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customXml/itemProps6.xml" ContentType="application/vnd.openxmlformats-officedocument.customXmlProperties+xml"/>
  <Override PartName="/customXml/itemProps5.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56AF38" w14:textId="77777777" w:rsidR="00AD19FA" w:rsidRDefault="008B1B87" w:rsidP="00AD19FA">
      <w:pPr>
        <w:ind w:left="720" w:firstLine="720"/>
      </w:pPr>
      <w:bookmarkStart w:id="0" w:name="Annex1"/>
      <w:bookmarkStart w:id="1" w:name="_GoBack"/>
      <w:bookmarkEnd w:id="1"/>
      <w:r>
        <w:rPr>
          <w:noProof/>
        </w:rPr>
        <w:drawing>
          <wp:anchor distT="0" distB="0" distL="114300" distR="114300" simplePos="0" relativeHeight="251656192" behindDoc="0" locked="0" layoutInCell="1" allowOverlap="1" wp14:anchorId="5C2E5337" wp14:editId="783B5D63">
            <wp:simplePos x="0" y="0"/>
            <wp:positionH relativeFrom="column">
              <wp:posOffset>5114290</wp:posOffset>
            </wp:positionH>
            <wp:positionV relativeFrom="paragraph">
              <wp:posOffset>6985</wp:posOffset>
            </wp:positionV>
            <wp:extent cx="647065" cy="1380490"/>
            <wp:effectExtent l="0" t="0" r="0" b="0"/>
            <wp:wrapNone/>
            <wp:docPr id="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647065" cy="1380490"/>
                    </a:xfrm>
                    <a:prstGeom prst="rect">
                      <a:avLst/>
                    </a:prstGeom>
                    <a:noFill/>
                    <a:ln>
                      <a:noFill/>
                    </a:ln>
                  </pic:spPr>
                </pic:pic>
              </a:graphicData>
            </a:graphic>
            <wp14:sizeRelH relativeFrom="page">
              <wp14:pctWidth>0</wp14:pctWidth>
            </wp14:sizeRelH>
            <wp14:sizeRelV relativeFrom="page">
              <wp14:pctHeight>0</wp14:pctHeight>
            </wp14:sizeRelV>
          </wp:anchor>
        </w:drawing>
      </w:r>
      <w:r w:rsidR="00FF7F79">
        <w:rPr>
          <w:sz w:val="15"/>
          <w:szCs w:val="15"/>
        </w:rPr>
        <w:tab/>
      </w:r>
    </w:p>
    <w:p w14:paraId="478CFD04" w14:textId="77777777" w:rsidR="00231A45" w:rsidRDefault="008B1B87" w:rsidP="00827FD9">
      <w:pPr>
        <w:spacing w:after="0"/>
        <w:ind w:left="2160" w:firstLine="720"/>
        <w:jc w:val="left"/>
        <w:rPr>
          <w:szCs w:val="20"/>
        </w:rPr>
      </w:pPr>
      <w:r>
        <w:rPr>
          <w:noProof/>
        </w:rPr>
        <w:drawing>
          <wp:anchor distT="0" distB="0" distL="114300" distR="114300" simplePos="0" relativeHeight="251657216" behindDoc="1" locked="0" layoutInCell="1" allowOverlap="1" wp14:anchorId="187A9B33" wp14:editId="32A0AD4C">
            <wp:simplePos x="0" y="0"/>
            <wp:positionH relativeFrom="margin">
              <wp:posOffset>85725</wp:posOffset>
            </wp:positionH>
            <wp:positionV relativeFrom="paragraph">
              <wp:posOffset>-1905</wp:posOffset>
            </wp:positionV>
            <wp:extent cx="709930" cy="818515"/>
            <wp:effectExtent l="0" t="0" r="1270" b="0"/>
            <wp:wrapTight wrapText="bothSides">
              <wp:wrapPolygon edited="0">
                <wp:start x="0" y="0"/>
                <wp:lineTo x="0" y="20779"/>
                <wp:lineTo x="20866" y="20779"/>
                <wp:lineTo x="20866" y="0"/>
                <wp:lineTo x="0" y="0"/>
              </wp:wrapPolygon>
            </wp:wrapTight>
            <wp:docPr id="40"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709930" cy="818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35E18" w14:textId="77777777" w:rsidR="00231A45" w:rsidRDefault="00231A45" w:rsidP="00CE72C2">
      <w:pPr>
        <w:spacing w:after="120"/>
        <w:ind w:left="2160" w:firstLine="720"/>
        <w:rPr>
          <w:szCs w:val="20"/>
        </w:rPr>
      </w:pPr>
    </w:p>
    <w:bookmarkEnd w:id="0"/>
    <w:p w14:paraId="75CD77D0" w14:textId="77777777" w:rsidR="00231A45" w:rsidRPr="00B87774" w:rsidRDefault="00B87774" w:rsidP="00B87774">
      <w:pPr>
        <w:spacing w:after="0"/>
        <w:ind w:left="2160" w:firstLine="720"/>
        <w:jc w:val="left"/>
        <w:rPr>
          <w:szCs w:val="20"/>
        </w:rPr>
      </w:pPr>
      <w:r>
        <w:rPr>
          <w:szCs w:val="20"/>
        </w:rPr>
        <w:tab/>
      </w:r>
      <w:r>
        <w:rPr>
          <w:szCs w:val="20"/>
        </w:rPr>
        <w:tab/>
      </w:r>
      <w:r w:rsidR="008B1B87">
        <w:rPr>
          <w:rFonts w:ascii="Arial" w:eastAsia="Times New Roman" w:hAnsi="Arial" w:cs="Arial"/>
          <w:noProof/>
          <w:color w:val="660099"/>
          <w:bdr w:val="none" w:sz="0" w:space="0" w:color="auto" w:frame="1"/>
          <w:shd w:val="clear" w:color="auto" w:fill="FFFFFF"/>
        </w:rPr>
        <w:drawing>
          <wp:inline distT="0" distB="0" distL="0" distR="0" wp14:anchorId="5925182C" wp14:editId="7F1D2879">
            <wp:extent cx="924560" cy="883285"/>
            <wp:effectExtent l="0" t="0" r="0" b="5715"/>
            <wp:docPr id="1" name="Picture 23" descr="Description: elated imag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elated image">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924560" cy="883285"/>
                    </a:xfrm>
                    <a:prstGeom prst="rect">
                      <a:avLst/>
                    </a:prstGeom>
                    <a:noFill/>
                    <a:ln>
                      <a:noFill/>
                    </a:ln>
                  </pic:spPr>
                </pic:pic>
              </a:graphicData>
            </a:graphic>
          </wp:inline>
        </w:drawing>
      </w:r>
    </w:p>
    <w:p w14:paraId="667A5022" w14:textId="77777777" w:rsidR="00231A45" w:rsidRDefault="00231A45" w:rsidP="00B87774">
      <w:pPr>
        <w:spacing w:after="120"/>
        <w:rPr>
          <w:rFonts w:cs="Arial"/>
          <w:b/>
          <w:i/>
          <w:szCs w:val="22"/>
        </w:rPr>
      </w:pPr>
    </w:p>
    <w:p w14:paraId="7D612601" w14:textId="77777777" w:rsidR="00DF11B5" w:rsidRPr="00B87774" w:rsidRDefault="00E1433A" w:rsidP="00B87774">
      <w:pPr>
        <w:spacing w:after="240"/>
        <w:jc w:val="center"/>
        <w:rPr>
          <w:rFonts w:cs="Arial"/>
          <w:b/>
          <w:szCs w:val="22"/>
        </w:rPr>
      </w:pPr>
      <w:r w:rsidRPr="0003763F">
        <w:rPr>
          <w:rFonts w:cs="Arial"/>
          <w:b/>
          <w:szCs w:val="22"/>
        </w:rPr>
        <w:t xml:space="preserve">United Nations Development </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1626"/>
        <w:gridCol w:w="450"/>
        <w:gridCol w:w="1170"/>
        <w:gridCol w:w="360"/>
        <w:gridCol w:w="3240"/>
      </w:tblGrid>
      <w:tr w:rsidR="00B270EB" w:rsidRPr="00C213EA" w14:paraId="64A62A15" w14:textId="77777777" w:rsidTr="00B87774">
        <w:trPr>
          <w:trHeight w:val="350"/>
        </w:trPr>
        <w:tc>
          <w:tcPr>
            <w:tcW w:w="9355" w:type="dxa"/>
            <w:gridSpan w:val="6"/>
            <w:shd w:val="clear" w:color="auto" w:fill="auto"/>
          </w:tcPr>
          <w:p w14:paraId="12FBE5A8" w14:textId="77777777" w:rsidR="00B270EB" w:rsidRPr="00C213EA" w:rsidRDefault="00235AE4" w:rsidP="00B87774">
            <w:pPr>
              <w:spacing w:after="0"/>
              <w:jc w:val="left"/>
              <w:rPr>
                <w:rFonts w:cs="Arial"/>
                <w:b/>
                <w:sz w:val="20"/>
                <w:szCs w:val="20"/>
              </w:rPr>
            </w:pPr>
            <w:r w:rsidRPr="00C213EA">
              <w:rPr>
                <w:rFonts w:cs="Arial"/>
                <w:b/>
                <w:sz w:val="20"/>
                <w:szCs w:val="20"/>
              </w:rPr>
              <w:t xml:space="preserve">Project title: </w:t>
            </w:r>
            <w:r w:rsidR="00F42F19" w:rsidRPr="00C213EA">
              <w:rPr>
                <w:rFonts w:cs="Arial"/>
                <w:b/>
                <w:sz w:val="20"/>
                <w:szCs w:val="20"/>
              </w:rPr>
              <w:t xml:space="preserve"> </w:t>
            </w:r>
            <w:r w:rsidR="00B87774" w:rsidRPr="00C213EA">
              <w:rPr>
                <w:rFonts w:cs="Arial"/>
                <w:sz w:val="20"/>
                <w:szCs w:val="20"/>
              </w:rPr>
              <w:t xml:space="preserve">Integrating biodiversity safeguards and conservation into development in Palau </w:t>
            </w:r>
          </w:p>
        </w:tc>
      </w:tr>
      <w:tr w:rsidR="0077088A" w:rsidRPr="00C213EA" w14:paraId="3C47D8DD" w14:textId="77777777" w:rsidTr="0003763F">
        <w:tc>
          <w:tcPr>
            <w:tcW w:w="2509" w:type="dxa"/>
            <w:shd w:val="clear" w:color="auto" w:fill="auto"/>
          </w:tcPr>
          <w:p w14:paraId="55A94F7B" w14:textId="77777777" w:rsidR="0077088A" w:rsidRPr="00C213EA" w:rsidRDefault="0077088A" w:rsidP="00B87774">
            <w:pPr>
              <w:spacing w:after="0"/>
              <w:jc w:val="left"/>
              <w:rPr>
                <w:rFonts w:cs="Arial"/>
                <w:b/>
                <w:sz w:val="20"/>
                <w:szCs w:val="20"/>
              </w:rPr>
            </w:pPr>
            <w:r w:rsidRPr="00C213EA">
              <w:rPr>
                <w:rFonts w:cs="Arial"/>
                <w:b/>
                <w:sz w:val="20"/>
                <w:szCs w:val="20"/>
              </w:rPr>
              <w:t xml:space="preserve">Country:  </w:t>
            </w:r>
            <w:r w:rsidR="00B87774" w:rsidRPr="00C213EA">
              <w:rPr>
                <w:rFonts w:cs="Arial"/>
                <w:sz w:val="20"/>
                <w:szCs w:val="20"/>
              </w:rPr>
              <w:t>Palau</w:t>
            </w:r>
          </w:p>
        </w:tc>
        <w:tc>
          <w:tcPr>
            <w:tcW w:w="3606" w:type="dxa"/>
            <w:gridSpan w:val="4"/>
            <w:shd w:val="clear" w:color="auto" w:fill="auto"/>
          </w:tcPr>
          <w:p w14:paraId="5B5AF215" w14:textId="77777777" w:rsidR="00F42F19" w:rsidRPr="00C213EA" w:rsidRDefault="00F42F19" w:rsidP="00B87774">
            <w:pPr>
              <w:spacing w:after="0"/>
              <w:jc w:val="left"/>
              <w:rPr>
                <w:rFonts w:cs="Arial"/>
                <w:b/>
                <w:sz w:val="20"/>
                <w:szCs w:val="20"/>
              </w:rPr>
            </w:pPr>
            <w:r w:rsidRPr="00C213EA">
              <w:rPr>
                <w:rFonts w:cs="Arial"/>
                <w:b/>
                <w:sz w:val="20"/>
                <w:szCs w:val="20"/>
              </w:rPr>
              <w:t>Implementing Partner:</w:t>
            </w:r>
            <w:r w:rsidR="00B87774" w:rsidRPr="00C213EA">
              <w:rPr>
                <w:rFonts w:cs="Arial"/>
                <w:b/>
                <w:sz w:val="20"/>
                <w:szCs w:val="20"/>
              </w:rPr>
              <w:t xml:space="preserve"> </w:t>
            </w:r>
            <w:r w:rsidR="00B87774" w:rsidRPr="00C213EA">
              <w:rPr>
                <w:rFonts w:cs="Arial"/>
                <w:sz w:val="20"/>
                <w:szCs w:val="20"/>
              </w:rPr>
              <w:t>Ministry of Natural Resources, Environment and Tourism</w:t>
            </w:r>
          </w:p>
        </w:tc>
        <w:tc>
          <w:tcPr>
            <w:tcW w:w="3240" w:type="dxa"/>
            <w:shd w:val="clear" w:color="auto" w:fill="auto"/>
          </w:tcPr>
          <w:p w14:paraId="4B05E5A5" w14:textId="404143A0" w:rsidR="0077088A" w:rsidRPr="00C213EA" w:rsidRDefault="00F81B41" w:rsidP="00790A32">
            <w:pPr>
              <w:spacing w:after="0"/>
              <w:jc w:val="left"/>
              <w:rPr>
                <w:rFonts w:cs="Arial"/>
                <w:i/>
                <w:sz w:val="20"/>
                <w:szCs w:val="20"/>
                <w:lang w:val="fr-FR"/>
              </w:rPr>
            </w:pPr>
            <w:r w:rsidRPr="00C213EA">
              <w:rPr>
                <w:rFonts w:cs="Arial"/>
                <w:b/>
                <w:sz w:val="20"/>
                <w:szCs w:val="20"/>
                <w:lang w:val="fr-FR"/>
              </w:rPr>
              <w:t xml:space="preserve">Management Arrangements: </w:t>
            </w:r>
            <w:r w:rsidR="00790A32" w:rsidRPr="00D17561">
              <w:rPr>
                <w:rFonts w:cs="Arial"/>
                <w:sz w:val="20"/>
                <w:szCs w:val="20"/>
                <w:lang w:val="fr-FR"/>
              </w:rPr>
              <w:t xml:space="preserve">National </w:t>
            </w:r>
            <w:r w:rsidR="00F42F19" w:rsidRPr="00D17561">
              <w:rPr>
                <w:rFonts w:cs="Arial"/>
                <w:sz w:val="20"/>
                <w:szCs w:val="20"/>
                <w:lang w:val="fr-FR"/>
              </w:rPr>
              <w:t>Implementation Modality (</w:t>
            </w:r>
            <w:r w:rsidR="00790A32" w:rsidRPr="00D17561">
              <w:rPr>
                <w:rFonts w:cs="Arial"/>
                <w:sz w:val="20"/>
                <w:szCs w:val="20"/>
                <w:lang w:val="fr-FR"/>
              </w:rPr>
              <w:t>N</w:t>
            </w:r>
            <w:r w:rsidR="0077088A" w:rsidRPr="00D17561">
              <w:rPr>
                <w:rFonts w:cs="Arial"/>
                <w:sz w:val="20"/>
                <w:szCs w:val="20"/>
                <w:lang w:val="fr-FR"/>
              </w:rPr>
              <w:t>IM)</w:t>
            </w:r>
            <w:r w:rsidR="0077088A" w:rsidRPr="00C213EA">
              <w:rPr>
                <w:rFonts w:cs="Arial"/>
                <w:i/>
                <w:sz w:val="20"/>
                <w:szCs w:val="20"/>
                <w:lang w:val="fr-FR"/>
              </w:rPr>
              <w:t xml:space="preserve"> </w:t>
            </w:r>
          </w:p>
        </w:tc>
      </w:tr>
      <w:tr w:rsidR="0077088A" w:rsidRPr="00C213EA" w14:paraId="5164909A" w14:textId="77777777" w:rsidTr="0021132C">
        <w:trPr>
          <w:trHeight w:val="309"/>
        </w:trPr>
        <w:tc>
          <w:tcPr>
            <w:tcW w:w="9355" w:type="dxa"/>
            <w:gridSpan w:val="6"/>
            <w:shd w:val="clear" w:color="auto" w:fill="auto"/>
          </w:tcPr>
          <w:p w14:paraId="2B575BAC" w14:textId="52EFA6A3" w:rsidR="0077088A" w:rsidRPr="00C213EA" w:rsidRDefault="0077088A" w:rsidP="00F86E4E">
            <w:pPr>
              <w:spacing w:after="0"/>
              <w:jc w:val="left"/>
              <w:rPr>
                <w:rFonts w:cs="Arial"/>
                <w:b/>
                <w:sz w:val="20"/>
                <w:szCs w:val="20"/>
              </w:rPr>
            </w:pPr>
            <w:r w:rsidRPr="00C213EA">
              <w:rPr>
                <w:rFonts w:cs="Arial"/>
                <w:b/>
                <w:sz w:val="20"/>
                <w:szCs w:val="20"/>
              </w:rPr>
              <w:t>UNDAF/Country Program Outcome</w:t>
            </w:r>
            <w:r w:rsidRPr="00C213EA">
              <w:rPr>
                <w:rFonts w:cs="Arial"/>
                <w:i/>
                <w:sz w:val="20"/>
                <w:szCs w:val="20"/>
              </w:rPr>
              <w:t xml:space="preserve">: </w:t>
            </w:r>
            <w:r w:rsidR="00F86E4E" w:rsidRPr="00C213EA">
              <w:rPr>
                <w:rFonts w:cs="Arial"/>
                <w:sz w:val="20"/>
                <w:szCs w:val="20"/>
              </w:rPr>
              <w:t>Environmental Sustainability</w:t>
            </w:r>
          </w:p>
        </w:tc>
      </w:tr>
      <w:tr w:rsidR="00AE7EF6" w:rsidRPr="00C213EA" w14:paraId="6479E4DE" w14:textId="77777777" w:rsidTr="001C203A">
        <w:trPr>
          <w:trHeight w:val="554"/>
        </w:trPr>
        <w:tc>
          <w:tcPr>
            <w:tcW w:w="9355" w:type="dxa"/>
            <w:gridSpan w:val="6"/>
            <w:shd w:val="clear" w:color="auto" w:fill="auto"/>
          </w:tcPr>
          <w:p w14:paraId="1A0C49DA" w14:textId="61044849" w:rsidR="00AE7EF6" w:rsidRPr="00C213EA" w:rsidRDefault="00AE7EF6" w:rsidP="00B87774">
            <w:pPr>
              <w:spacing w:after="0"/>
              <w:rPr>
                <w:rFonts w:cs="Arial"/>
                <w:b/>
                <w:sz w:val="20"/>
                <w:szCs w:val="20"/>
              </w:rPr>
            </w:pPr>
            <w:r w:rsidRPr="00C213EA">
              <w:rPr>
                <w:rFonts w:cs="Arial"/>
                <w:b/>
                <w:sz w:val="20"/>
                <w:szCs w:val="20"/>
              </w:rPr>
              <w:t xml:space="preserve">UNDP Strategic Plan Output: </w:t>
            </w:r>
            <w:r w:rsidR="00234E8B">
              <w:rPr>
                <w:b/>
                <w:sz w:val="20"/>
                <w:szCs w:val="20"/>
              </w:rPr>
              <w:t>Output 1.3</w:t>
            </w:r>
            <w:r w:rsidR="00F86E4E" w:rsidRPr="00C213EA">
              <w:rPr>
                <w:b/>
                <w:sz w:val="20"/>
                <w:szCs w:val="20"/>
              </w:rPr>
              <w:t xml:space="preserve"> </w:t>
            </w:r>
            <w:r w:rsidR="00F86E4E" w:rsidRPr="00C213EA">
              <w:rPr>
                <w:sz w:val="20"/>
                <w:szCs w:val="20"/>
              </w:rPr>
              <w:t>Solutions developed at national and sub-national levels for sustainable management of natural resources, ecosystem services, chemicals and waste</w:t>
            </w:r>
            <w:r w:rsidR="00934E5E" w:rsidRPr="00C213EA">
              <w:rPr>
                <w:sz w:val="20"/>
                <w:szCs w:val="20"/>
              </w:rPr>
              <w:t>.</w:t>
            </w:r>
          </w:p>
        </w:tc>
      </w:tr>
      <w:tr w:rsidR="0077088A" w:rsidRPr="00C213EA" w14:paraId="07FED807" w14:textId="77777777" w:rsidTr="00B87774">
        <w:trPr>
          <w:trHeight w:val="557"/>
        </w:trPr>
        <w:tc>
          <w:tcPr>
            <w:tcW w:w="4585" w:type="dxa"/>
            <w:gridSpan w:val="3"/>
            <w:shd w:val="clear" w:color="auto" w:fill="auto"/>
          </w:tcPr>
          <w:p w14:paraId="334E0D17" w14:textId="77777777" w:rsidR="0077088A" w:rsidRPr="00C213EA" w:rsidRDefault="0077088A" w:rsidP="00B87774">
            <w:pPr>
              <w:spacing w:after="0"/>
              <w:jc w:val="left"/>
              <w:rPr>
                <w:rFonts w:cs="Arial"/>
                <w:i/>
                <w:sz w:val="20"/>
                <w:szCs w:val="20"/>
              </w:rPr>
            </w:pPr>
            <w:r w:rsidRPr="00C213EA">
              <w:rPr>
                <w:rFonts w:cs="Arial"/>
                <w:b/>
                <w:sz w:val="20"/>
                <w:szCs w:val="20"/>
              </w:rPr>
              <w:t xml:space="preserve">UNDP Social and Environmental Screening Category:  </w:t>
            </w:r>
            <w:r w:rsidR="00B87774" w:rsidRPr="00C213EA">
              <w:rPr>
                <w:rFonts w:cs="Arial"/>
                <w:sz w:val="20"/>
                <w:szCs w:val="20"/>
              </w:rPr>
              <w:t>Moderate Risk</w:t>
            </w:r>
          </w:p>
        </w:tc>
        <w:tc>
          <w:tcPr>
            <w:tcW w:w="4770" w:type="dxa"/>
            <w:gridSpan w:val="3"/>
            <w:shd w:val="clear" w:color="auto" w:fill="auto"/>
          </w:tcPr>
          <w:p w14:paraId="5458E92C" w14:textId="77777777" w:rsidR="003E0CDB" w:rsidRPr="00C213EA" w:rsidRDefault="0077088A" w:rsidP="00B87774">
            <w:pPr>
              <w:spacing w:after="0"/>
              <w:jc w:val="left"/>
              <w:rPr>
                <w:rFonts w:cs="Arial"/>
                <w:i/>
                <w:sz w:val="20"/>
                <w:szCs w:val="20"/>
              </w:rPr>
            </w:pPr>
            <w:r w:rsidRPr="00C213EA">
              <w:rPr>
                <w:rFonts w:cs="Arial"/>
                <w:b/>
                <w:sz w:val="20"/>
                <w:szCs w:val="20"/>
              </w:rPr>
              <w:t xml:space="preserve">UNDP Gender Marker: </w:t>
            </w:r>
          </w:p>
          <w:p w14:paraId="71F61133" w14:textId="77777777" w:rsidR="00B87774" w:rsidRPr="00C213EA" w:rsidRDefault="00B87774" w:rsidP="00B87774">
            <w:pPr>
              <w:spacing w:after="0"/>
              <w:jc w:val="left"/>
              <w:rPr>
                <w:sz w:val="20"/>
                <w:szCs w:val="20"/>
              </w:rPr>
            </w:pPr>
            <w:r w:rsidRPr="00C213EA">
              <w:rPr>
                <w:rFonts w:cs="Arial"/>
                <w:sz w:val="20"/>
                <w:szCs w:val="20"/>
              </w:rPr>
              <w:t>2</w:t>
            </w:r>
          </w:p>
        </w:tc>
      </w:tr>
      <w:tr w:rsidR="0077088A" w:rsidRPr="00C213EA" w14:paraId="3673272D" w14:textId="77777777" w:rsidTr="0003763F">
        <w:tc>
          <w:tcPr>
            <w:tcW w:w="4585" w:type="dxa"/>
            <w:gridSpan w:val="3"/>
            <w:shd w:val="clear" w:color="auto" w:fill="auto"/>
          </w:tcPr>
          <w:p w14:paraId="56B239D1" w14:textId="70CCC344" w:rsidR="0077088A" w:rsidRPr="00D17561" w:rsidRDefault="0077088A" w:rsidP="00387D47">
            <w:pPr>
              <w:spacing w:after="0"/>
              <w:jc w:val="left"/>
              <w:rPr>
                <w:rFonts w:cs="Arial"/>
                <w:sz w:val="20"/>
                <w:szCs w:val="20"/>
                <w:highlight w:val="yellow"/>
                <w:lang w:eastAsia="zh-CN"/>
              </w:rPr>
            </w:pPr>
            <w:r w:rsidRPr="00D17561">
              <w:rPr>
                <w:rFonts w:cs="Arial"/>
                <w:b/>
                <w:sz w:val="20"/>
                <w:szCs w:val="20"/>
                <w:highlight w:val="yellow"/>
              </w:rPr>
              <w:t xml:space="preserve">Atlas </w:t>
            </w:r>
            <w:r w:rsidRPr="00D17561">
              <w:rPr>
                <w:rFonts w:cs="Arial"/>
                <w:b/>
                <w:sz w:val="20"/>
                <w:szCs w:val="20"/>
                <w:highlight w:val="yellow"/>
                <w:lang w:eastAsia="zh-CN"/>
              </w:rPr>
              <w:t>Pro</w:t>
            </w:r>
            <w:r w:rsidR="00133018" w:rsidRPr="00D17561">
              <w:rPr>
                <w:rFonts w:cs="Arial"/>
                <w:b/>
                <w:sz w:val="20"/>
                <w:szCs w:val="20"/>
                <w:highlight w:val="yellow"/>
                <w:lang w:eastAsia="zh-CN"/>
              </w:rPr>
              <w:t>ject ID</w:t>
            </w:r>
            <w:r w:rsidRPr="00D17561">
              <w:rPr>
                <w:rFonts w:cs="Arial"/>
                <w:b/>
                <w:sz w:val="20"/>
                <w:szCs w:val="20"/>
                <w:highlight w:val="yellow"/>
                <w:lang w:eastAsia="zh-CN"/>
              </w:rPr>
              <w:t>/</w:t>
            </w:r>
            <w:r w:rsidRPr="00D17561">
              <w:rPr>
                <w:rFonts w:cs="Arial"/>
                <w:b/>
                <w:sz w:val="20"/>
                <w:szCs w:val="20"/>
                <w:highlight w:val="yellow"/>
              </w:rPr>
              <w:t>Award ID</w:t>
            </w:r>
            <w:r w:rsidR="0089430E" w:rsidRPr="00D17561">
              <w:rPr>
                <w:rFonts w:cs="Arial"/>
                <w:b/>
                <w:sz w:val="20"/>
                <w:szCs w:val="20"/>
                <w:highlight w:val="yellow"/>
              </w:rPr>
              <w:t xml:space="preserve"> number</w:t>
            </w:r>
            <w:r w:rsidRPr="00D17561">
              <w:rPr>
                <w:rFonts w:cs="Arial"/>
                <w:b/>
                <w:sz w:val="20"/>
                <w:szCs w:val="20"/>
                <w:highlight w:val="yellow"/>
              </w:rPr>
              <w:t xml:space="preserve">: </w:t>
            </w:r>
          </w:p>
        </w:tc>
        <w:tc>
          <w:tcPr>
            <w:tcW w:w="4770" w:type="dxa"/>
            <w:gridSpan w:val="3"/>
            <w:shd w:val="clear" w:color="auto" w:fill="auto"/>
          </w:tcPr>
          <w:p w14:paraId="0E60E663" w14:textId="7323258E" w:rsidR="0077088A" w:rsidRPr="00D17561" w:rsidRDefault="0077088A" w:rsidP="00387D47">
            <w:pPr>
              <w:spacing w:after="0"/>
              <w:jc w:val="left"/>
              <w:rPr>
                <w:rFonts w:cs="Arial"/>
                <w:b/>
                <w:sz w:val="20"/>
                <w:szCs w:val="20"/>
                <w:highlight w:val="yellow"/>
              </w:rPr>
            </w:pPr>
            <w:r w:rsidRPr="00D17561">
              <w:rPr>
                <w:rFonts w:cs="Arial"/>
                <w:b/>
                <w:sz w:val="20"/>
                <w:szCs w:val="20"/>
                <w:highlight w:val="yellow"/>
              </w:rPr>
              <w:t xml:space="preserve">Atlas </w:t>
            </w:r>
            <w:r w:rsidR="00133018" w:rsidRPr="00D17561">
              <w:rPr>
                <w:rFonts w:cs="Arial"/>
                <w:b/>
                <w:sz w:val="20"/>
                <w:szCs w:val="20"/>
                <w:highlight w:val="yellow"/>
              </w:rPr>
              <w:t>O</w:t>
            </w:r>
            <w:r w:rsidRPr="00D17561">
              <w:rPr>
                <w:rFonts w:cs="Arial"/>
                <w:b/>
                <w:sz w:val="20"/>
                <w:szCs w:val="20"/>
                <w:highlight w:val="yellow"/>
                <w:lang w:eastAsia="zh-CN"/>
              </w:rPr>
              <w:t>utput</w:t>
            </w:r>
            <w:r w:rsidR="00133018" w:rsidRPr="00D17561">
              <w:rPr>
                <w:rFonts w:cs="Arial"/>
                <w:b/>
                <w:sz w:val="20"/>
                <w:szCs w:val="20"/>
                <w:highlight w:val="yellow"/>
                <w:lang w:eastAsia="zh-CN"/>
              </w:rPr>
              <w:t xml:space="preserve"> ID/</w:t>
            </w:r>
            <w:r w:rsidRPr="00D17561">
              <w:rPr>
                <w:rFonts w:cs="Arial"/>
                <w:b/>
                <w:sz w:val="20"/>
                <w:szCs w:val="20"/>
                <w:highlight w:val="yellow"/>
              </w:rPr>
              <w:t>Project ID</w:t>
            </w:r>
            <w:r w:rsidR="0089430E" w:rsidRPr="00D17561">
              <w:rPr>
                <w:rFonts w:cs="Arial"/>
                <w:b/>
                <w:sz w:val="20"/>
                <w:szCs w:val="20"/>
                <w:highlight w:val="yellow"/>
              </w:rPr>
              <w:t xml:space="preserve"> number</w:t>
            </w:r>
            <w:r w:rsidRPr="00D17561">
              <w:rPr>
                <w:rFonts w:cs="Arial"/>
                <w:b/>
                <w:sz w:val="20"/>
                <w:szCs w:val="20"/>
                <w:highlight w:val="yellow"/>
              </w:rPr>
              <w:t xml:space="preserve">: </w:t>
            </w:r>
          </w:p>
        </w:tc>
      </w:tr>
      <w:tr w:rsidR="0077088A" w:rsidRPr="00C213EA" w14:paraId="2379C377" w14:textId="77777777" w:rsidTr="0021132C">
        <w:trPr>
          <w:trHeight w:val="389"/>
        </w:trPr>
        <w:tc>
          <w:tcPr>
            <w:tcW w:w="4585" w:type="dxa"/>
            <w:gridSpan w:val="3"/>
            <w:shd w:val="clear" w:color="auto" w:fill="auto"/>
          </w:tcPr>
          <w:p w14:paraId="7AB2C090" w14:textId="3FA4C528" w:rsidR="0077088A" w:rsidRPr="00C213EA" w:rsidRDefault="0077088A" w:rsidP="00B87774">
            <w:pPr>
              <w:spacing w:after="0"/>
              <w:jc w:val="left"/>
              <w:rPr>
                <w:rFonts w:cs="Arial"/>
                <w:b/>
                <w:sz w:val="20"/>
                <w:szCs w:val="20"/>
              </w:rPr>
            </w:pPr>
            <w:r w:rsidRPr="00C213EA">
              <w:rPr>
                <w:rFonts w:cs="Arial"/>
                <w:b/>
                <w:sz w:val="20"/>
                <w:szCs w:val="20"/>
              </w:rPr>
              <w:t>UNDP-GEF PIMS ID</w:t>
            </w:r>
            <w:r w:rsidR="0089430E" w:rsidRPr="00C213EA">
              <w:rPr>
                <w:rFonts w:cs="Arial"/>
                <w:b/>
                <w:sz w:val="20"/>
                <w:szCs w:val="20"/>
              </w:rPr>
              <w:t xml:space="preserve"> number</w:t>
            </w:r>
            <w:r w:rsidR="00F42F19" w:rsidRPr="00C213EA">
              <w:rPr>
                <w:rFonts w:cs="Arial"/>
                <w:b/>
                <w:sz w:val="20"/>
                <w:szCs w:val="20"/>
              </w:rPr>
              <w:t xml:space="preserve">: </w:t>
            </w:r>
            <w:r w:rsidR="00B87774" w:rsidRPr="00C213EA">
              <w:rPr>
                <w:rFonts w:cs="Arial"/>
                <w:sz w:val="20"/>
                <w:szCs w:val="20"/>
              </w:rPr>
              <w:t>5645</w:t>
            </w:r>
          </w:p>
        </w:tc>
        <w:tc>
          <w:tcPr>
            <w:tcW w:w="4770" w:type="dxa"/>
            <w:gridSpan w:val="3"/>
            <w:shd w:val="clear" w:color="auto" w:fill="auto"/>
          </w:tcPr>
          <w:p w14:paraId="36923EA3" w14:textId="1697918D" w:rsidR="0077088A" w:rsidRPr="00C213EA" w:rsidRDefault="0077088A" w:rsidP="00B87774">
            <w:pPr>
              <w:spacing w:after="0"/>
              <w:jc w:val="left"/>
              <w:rPr>
                <w:rFonts w:cs="Arial"/>
                <w:b/>
                <w:sz w:val="20"/>
                <w:szCs w:val="20"/>
              </w:rPr>
            </w:pPr>
            <w:r w:rsidRPr="00C213EA">
              <w:rPr>
                <w:rFonts w:cs="Arial"/>
                <w:b/>
                <w:sz w:val="20"/>
                <w:szCs w:val="20"/>
              </w:rPr>
              <w:t>GEF ID</w:t>
            </w:r>
            <w:r w:rsidR="0089430E" w:rsidRPr="00C213EA">
              <w:rPr>
                <w:rFonts w:cs="Arial"/>
                <w:b/>
                <w:sz w:val="20"/>
                <w:szCs w:val="20"/>
              </w:rPr>
              <w:t xml:space="preserve"> number</w:t>
            </w:r>
            <w:r w:rsidRPr="00C213EA">
              <w:rPr>
                <w:rFonts w:cs="Arial"/>
                <w:b/>
                <w:sz w:val="20"/>
                <w:szCs w:val="20"/>
              </w:rPr>
              <w:t>:</w:t>
            </w:r>
            <w:r w:rsidR="00A06F01">
              <w:rPr>
                <w:rFonts w:cs="Arial"/>
                <w:b/>
                <w:sz w:val="20"/>
                <w:szCs w:val="20"/>
              </w:rPr>
              <w:t xml:space="preserve"> </w:t>
            </w:r>
            <w:r w:rsidR="00A06F01" w:rsidRPr="00A06F01">
              <w:rPr>
                <w:rFonts w:cs="Arial"/>
                <w:sz w:val="20"/>
                <w:szCs w:val="20"/>
              </w:rPr>
              <w:t>9208</w:t>
            </w:r>
          </w:p>
        </w:tc>
      </w:tr>
      <w:tr w:rsidR="0077088A" w:rsidRPr="00C213EA" w14:paraId="342312EC" w14:textId="77777777" w:rsidTr="004840B6">
        <w:trPr>
          <w:trHeight w:val="341"/>
        </w:trPr>
        <w:tc>
          <w:tcPr>
            <w:tcW w:w="4585" w:type="dxa"/>
            <w:gridSpan w:val="3"/>
            <w:shd w:val="clear" w:color="auto" w:fill="auto"/>
          </w:tcPr>
          <w:p w14:paraId="114C7451" w14:textId="3A837D34" w:rsidR="0077088A" w:rsidRPr="00C213EA" w:rsidRDefault="0077088A" w:rsidP="004A2830">
            <w:pPr>
              <w:spacing w:after="0"/>
              <w:jc w:val="left"/>
              <w:rPr>
                <w:rFonts w:cs="Arial"/>
                <w:b/>
                <w:sz w:val="20"/>
                <w:szCs w:val="20"/>
              </w:rPr>
            </w:pPr>
            <w:r w:rsidRPr="00C213EA">
              <w:rPr>
                <w:rFonts w:cs="Arial"/>
                <w:b/>
                <w:sz w:val="20"/>
                <w:szCs w:val="20"/>
              </w:rPr>
              <w:t xml:space="preserve">Planned start date: </w:t>
            </w:r>
            <w:r w:rsidR="004A2830" w:rsidRPr="00C213EA">
              <w:rPr>
                <w:rFonts w:cs="Arial"/>
                <w:sz w:val="20"/>
                <w:szCs w:val="20"/>
              </w:rPr>
              <w:t>July 1, 2018</w:t>
            </w:r>
          </w:p>
        </w:tc>
        <w:tc>
          <w:tcPr>
            <w:tcW w:w="4770" w:type="dxa"/>
            <w:gridSpan w:val="3"/>
            <w:shd w:val="clear" w:color="auto" w:fill="auto"/>
          </w:tcPr>
          <w:p w14:paraId="3D16F0DD" w14:textId="276FABE9" w:rsidR="0077088A" w:rsidRPr="00C213EA" w:rsidRDefault="0077088A" w:rsidP="004A2830">
            <w:pPr>
              <w:spacing w:after="0"/>
              <w:jc w:val="left"/>
              <w:rPr>
                <w:rFonts w:cs="Arial"/>
                <w:i/>
                <w:sz w:val="20"/>
                <w:szCs w:val="20"/>
              </w:rPr>
            </w:pPr>
            <w:r w:rsidRPr="00C213EA">
              <w:rPr>
                <w:rFonts w:cs="Arial"/>
                <w:b/>
                <w:sz w:val="20"/>
                <w:szCs w:val="20"/>
              </w:rPr>
              <w:t xml:space="preserve">Planned end date: </w:t>
            </w:r>
            <w:r w:rsidR="004A2830" w:rsidRPr="00C213EA">
              <w:rPr>
                <w:rFonts w:cs="Arial"/>
                <w:sz w:val="20"/>
                <w:szCs w:val="20"/>
              </w:rPr>
              <w:t>June 30,</w:t>
            </w:r>
            <w:r w:rsidR="004A2830" w:rsidRPr="00C213EA">
              <w:rPr>
                <w:rFonts w:cs="Arial"/>
                <w:b/>
                <w:sz w:val="20"/>
                <w:szCs w:val="20"/>
              </w:rPr>
              <w:t xml:space="preserve"> </w:t>
            </w:r>
            <w:r w:rsidR="004840B6" w:rsidRPr="00C213EA">
              <w:rPr>
                <w:rFonts w:cs="Arial"/>
                <w:sz w:val="20"/>
                <w:szCs w:val="20"/>
              </w:rPr>
              <w:t>2024</w:t>
            </w:r>
            <w:r w:rsidRPr="00C213EA">
              <w:rPr>
                <w:rFonts w:cs="Arial"/>
                <w:sz w:val="20"/>
                <w:szCs w:val="20"/>
              </w:rPr>
              <w:t xml:space="preserve"> </w:t>
            </w:r>
          </w:p>
        </w:tc>
      </w:tr>
      <w:tr w:rsidR="00133018" w:rsidRPr="001C203A" w14:paraId="3F395AD8" w14:textId="77777777" w:rsidTr="0003763F">
        <w:tc>
          <w:tcPr>
            <w:tcW w:w="9355" w:type="dxa"/>
            <w:gridSpan w:val="6"/>
            <w:shd w:val="clear" w:color="auto" w:fill="auto"/>
          </w:tcPr>
          <w:p w14:paraId="4099A9E5" w14:textId="7700A8A3" w:rsidR="00AC7B71" w:rsidRPr="001C203A" w:rsidRDefault="00133018" w:rsidP="00B87774">
            <w:pPr>
              <w:spacing w:after="0"/>
              <w:jc w:val="left"/>
              <w:rPr>
                <w:rStyle w:val="Hyperlink"/>
                <w:rFonts w:cs="Segoe UI"/>
                <w:sz w:val="20"/>
                <w:szCs w:val="20"/>
              </w:rPr>
            </w:pPr>
            <w:r w:rsidRPr="001C203A">
              <w:rPr>
                <w:rFonts w:cs="Arial"/>
                <w:b/>
                <w:sz w:val="20"/>
                <w:szCs w:val="20"/>
              </w:rPr>
              <w:t xml:space="preserve">LPAC date: </w:t>
            </w:r>
            <w:r w:rsidR="005A7590" w:rsidRPr="001C203A">
              <w:rPr>
                <w:rFonts w:cs="Arial"/>
                <w:sz w:val="20"/>
                <w:szCs w:val="20"/>
              </w:rPr>
              <w:t>10 August 2017</w:t>
            </w:r>
          </w:p>
          <w:p w14:paraId="62179EF0" w14:textId="77777777" w:rsidR="00051A25" w:rsidRPr="001C203A" w:rsidRDefault="00051A25" w:rsidP="00B87774">
            <w:pPr>
              <w:spacing w:after="0"/>
              <w:jc w:val="left"/>
              <w:rPr>
                <w:rFonts w:cs="Segoe UI"/>
                <w:color w:val="000000"/>
                <w:sz w:val="20"/>
                <w:szCs w:val="20"/>
              </w:rPr>
            </w:pPr>
          </w:p>
        </w:tc>
      </w:tr>
      <w:tr w:rsidR="009E44C7" w:rsidRPr="00C213EA" w14:paraId="5080E1C2" w14:textId="77777777" w:rsidTr="0003763F">
        <w:tc>
          <w:tcPr>
            <w:tcW w:w="9355" w:type="dxa"/>
            <w:gridSpan w:val="6"/>
            <w:shd w:val="clear" w:color="auto" w:fill="auto"/>
          </w:tcPr>
          <w:p w14:paraId="5013A41B" w14:textId="689C2E05" w:rsidR="009E44C7" w:rsidRPr="00C213EA" w:rsidRDefault="009E44C7" w:rsidP="00F86E4E">
            <w:pPr>
              <w:spacing w:after="0"/>
              <w:rPr>
                <w:rFonts w:cs="Arial"/>
                <w:b/>
                <w:sz w:val="20"/>
                <w:szCs w:val="20"/>
              </w:rPr>
            </w:pPr>
            <w:r w:rsidRPr="00C213EA">
              <w:rPr>
                <w:rFonts w:cs="Arial"/>
                <w:b/>
                <w:sz w:val="20"/>
                <w:szCs w:val="20"/>
              </w:rPr>
              <w:t>Brief project description:</w:t>
            </w:r>
            <w:r w:rsidR="0089430E" w:rsidRPr="00C213EA">
              <w:rPr>
                <w:rFonts w:cs="Arial"/>
                <w:b/>
                <w:sz w:val="20"/>
                <w:szCs w:val="20"/>
              </w:rPr>
              <w:t xml:space="preserve"> </w:t>
            </w:r>
            <w:r w:rsidR="00F86E4E" w:rsidRPr="00C213EA">
              <w:rPr>
                <w:rFonts w:cs="Segoe UI"/>
                <w:color w:val="000000"/>
                <w:sz w:val="20"/>
                <w:szCs w:val="20"/>
                <w:lang w:val="en-GB"/>
              </w:rPr>
              <w:t>Palau’s economy is projected to become increasing</w:t>
            </w:r>
            <w:r w:rsidR="00C213EA">
              <w:rPr>
                <w:rFonts w:cs="Segoe UI"/>
                <w:color w:val="000000"/>
                <w:sz w:val="20"/>
                <w:szCs w:val="20"/>
                <w:lang w:val="en-GB"/>
              </w:rPr>
              <w:t>ly</w:t>
            </w:r>
            <w:r w:rsidR="00F86E4E" w:rsidRPr="00C213EA">
              <w:rPr>
                <w:rFonts w:cs="Segoe UI"/>
                <w:color w:val="000000"/>
                <w:sz w:val="20"/>
                <w:szCs w:val="20"/>
                <w:lang w:val="en-GB"/>
              </w:rPr>
              <w:t xml:space="preserve"> dependent on tourism that is </w:t>
            </w:r>
            <w:r w:rsidR="00C213EA">
              <w:rPr>
                <w:rFonts w:cs="Segoe UI"/>
                <w:color w:val="000000"/>
                <w:sz w:val="20"/>
                <w:szCs w:val="20"/>
                <w:lang w:val="en-GB"/>
              </w:rPr>
              <w:t>rising</w:t>
            </w:r>
            <w:r w:rsidR="00F86E4E" w:rsidRPr="00C213EA">
              <w:rPr>
                <w:rFonts w:cs="Segoe UI"/>
                <w:color w:val="000000"/>
                <w:sz w:val="20"/>
                <w:szCs w:val="20"/>
                <w:lang w:val="en-GB"/>
              </w:rPr>
              <w:t xml:space="preserve"> by 30% annually, necessitating new tourism infrastructure and service industries. </w:t>
            </w:r>
            <w:r w:rsidR="00F86E4E" w:rsidRPr="00C213EA">
              <w:rPr>
                <w:sz w:val="20"/>
                <w:szCs w:val="20"/>
              </w:rPr>
              <w:t xml:space="preserve">Agriculture and fisheries, even though contributing barely 4% to Gross Domestic Product (GDP) still </w:t>
            </w:r>
            <w:r w:rsidR="00934E5E" w:rsidRPr="00C213EA">
              <w:rPr>
                <w:sz w:val="20"/>
                <w:szCs w:val="20"/>
              </w:rPr>
              <w:t xml:space="preserve">continues to </w:t>
            </w:r>
            <w:r w:rsidR="00F86E4E" w:rsidRPr="00C213EA">
              <w:rPr>
                <w:sz w:val="20"/>
                <w:szCs w:val="20"/>
              </w:rPr>
              <w:t xml:space="preserve">provide the main livelihood for about 20% of Palau’s population. Local food security is a national priority, given the heavy reliance on food imports, and these three sectors (agriculture, fisheries and tourism) are now growing in line with Palau’s national </w:t>
            </w:r>
            <w:r w:rsidR="00C213EA">
              <w:rPr>
                <w:sz w:val="20"/>
                <w:szCs w:val="20"/>
              </w:rPr>
              <w:t>d</w:t>
            </w:r>
            <w:r w:rsidR="00F86E4E" w:rsidRPr="00C213EA">
              <w:rPr>
                <w:sz w:val="20"/>
                <w:szCs w:val="20"/>
              </w:rPr>
              <w:t xml:space="preserve">evelopment </w:t>
            </w:r>
            <w:r w:rsidR="00C213EA">
              <w:rPr>
                <w:sz w:val="20"/>
                <w:szCs w:val="20"/>
              </w:rPr>
              <w:t>p</w:t>
            </w:r>
            <w:r w:rsidR="00F86E4E" w:rsidRPr="00C213EA">
              <w:rPr>
                <w:sz w:val="20"/>
                <w:szCs w:val="20"/>
              </w:rPr>
              <w:t xml:space="preserve">olicies and </w:t>
            </w:r>
            <w:r w:rsidR="00C213EA">
              <w:rPr>
                <w:sz w:val="20"/>
                <w:szCs w:val="20"/>
              </w:rPr>
              <w:t>p</w:t>
            </w:r>
            <w:r w:rsidR="00F86E4E" w:rsidRPr="00C213EA">
              <w:rPr>
                <w:sz w:val="20"/>
                <w:szCs w:val="20"/>
              </w:rPr>
              <w:t>lans.</w:t>
            </w:r>
            <w:r w:rsidR="00F86E4E" w:rsidRPr="00C213EA">
              <w:rPr>
                <w:rFonts w:cs="Segoe UI"/>
                <w:color w:val="000000"/>
                <w:sz w:val="20"/>
                <w:szCs w:val="20"/>
                <w:lang w:val="en-GB"/>
              </w:rPr>
              <w:t xml:space="preserve"> However, increasing pressures from tourism and agriculture and fisheries development activities are also resulting in rapidly increasing pressures on the country’s natural resources and biodiversity</w:t>
            </w:r>
            <w:r w:rsidR="00C213EA">
              <w:rPr>
                <w:rFonts w:cs="Segoe UI"/>
                <w:color w:val="000000"/>
                <w:sz w:val="20"/>
                <w:szCs w:val="20"/>
                <w:lang w:val="en-GB"/>
              </w:rPr>
              <w:t>;</w:t>
            </w:r>
            <w:r w:rsidR="00F86E4E" w:rsidRPr="00C213EA">
              <w:rPr>
                <w:rFonts w:cs="Segoe UI"/>
                <w:color w:val="000000"/>
                <w:sz w:val="20"/>
                <w:szCs w:val="20"/>
                <w:lang w:val="en-GB"/>
              </w:rPr>
              <w:t xml:space="preserve"> and the rich terrestrial and marine natural resources</w:t>
            </w:r>
            <w:r w:rsidR="00C213EA">
              <w:rPr>
                <w:rFonts w:cs="Segoe UI"/>
                <w:color w:val="000000"/>
                <w:sz w:val="20"/>
                <w:szCs w:val="20"/>
                <w:lang w:val="en-GB"/>
              </w:rPr>
              <w:t>,</w:t>
            </w:r>
            <w:r w:rsidR="00F86E4E" w:rsidRPr="00C213EA">
              <w:rPr>
                <w:rFonts w:cs="Segoe UI"/>
                <w:color w:val="000000"/>
                <w:sz w:val="20"/>
                <w:szCs w:val="20"/>
                <w:lang w:val="en-GB"/>
              </w:rPr>
              <w:t xml:space="preserve"> on which tourism (and agriculture and fisheries) depend, </w:t>
            </w:r>
            <w:r w:rsidR="00C213EA">
              <w:rPr>
                <w:rFonts w:cs="Segoe UI"/>
                <w:color w:val="000000"/>
                <w:sz w:val="20"/>
                <w:szCs w:val="20"/>
                <w:lang w:val="en-GB"/>
              </w:rPr>
              <w:t>are</w:t>
            </w:r>
            <w:r w:rsidR="00F86E4E" w:rsidRPr="00C213EA">
              <w:rPr>
                <w:rFonts w:cs="Segoe UI"/>
                <w:color w:val="000000"/>
                <w:sz w:val="20"/>
                <w:szCs w:val="20"/>
                <w:lang w:val="en-GB"/>
              </w:rPr>
              <w:t xml:space="preserve"> especially vulnerable to such pressures. </w:t>
            </w:r>
            <w:r w:rsidR="00C71EB0">
              <w:rPr>
                <w:rFonts w:cs="Segoe UI"/>
                <w:color w:val="000000"/>
                <w:sz w:val="20"/>
                <w:szCs w:val="20"/>
                <w:lang w:val="en-GB"/>
              </w:rPr>
              <w:t xml:space="preserve">Tourism, in particular </w:t>
            </w:r>
          </w:p>
          <w:p w14:paraId="1C8B87A9" w14:textId="77777777" w:rsidR="009E44C7" w:rsidRPr="00C213EA" w:rsidRDefault="009E44C7" w:rsidP="00F86E4E">
            <w:pPr>
              <w:spacing w:after="0"/>
              <w:rPr>
                <w:rFonts w:cs="Arial"/>
                <w:b/>
                <w:sz w:val="20"/>
                <w:szCs w:val="20"/>
              </w:rPr>
            </w:pPr>
          </w:p>
          <w:p w14:paraId="4C5FDFEC" w14:textId="033AF226" w:rsidR="00F86E4E" w:rsidRPr="00C213EA" w:rsidRDefault="00F86E4E" w:rsidP="00F86E4E">
            <w:pPr>
              <w:spacing w:after="0"/>
              <w:rPr>
                <w:sz w:val="20"/>
                <w:szCs w:val="20"/>
                <w:lang w:val="en-GB"/>
              </w:rPr>
            </w:pPr>
            <w:r w:rsidRPr="00C213EA">
              <w:rPr>
                <w:rFonts w:cs="Segoe UI"/>
                <w:color w:val="000000"/>
                <w:sz w:val="20"/>
                <w:szCs w:val="20"/>
                <w:lang w:val="en-GB"/>
              </w:rPr>
              <w:t xml:space="preserve">This project aims to address the negative impacts of unsustainable sector-led development practices on biodiversity-rich landscapes of Palau, including its productive coastal and marine ecosystems, while taking into account climate change adaptation needs and inclusive and equitable social and economic development for dependent communities, </w:t>
            </w:r>
            <w:r w:rsidR="00C71EB0">
              <w:rPr>
                <w:rFonts w:cs="Segoe UI"/>
                <w:color w:val="000000"/>
                <w:sz w:val="20"/>
                <w:szCs w:val="20"/>
                <w:lang w:val="en-GB"/>
              </w:rPr>
              <w:t xml:space="preserve">as well as safeguarding against </w:t>
            </w:r>
            <w:r w:rsidR="005233C0">
              <w:rPr>
                <w:rFonts w:cs="Segoe UI"/>
                <w:color w:val="000000"/>
                <w:sz w:val="20"/>
                <w:szCs w:val="20"/>
                <w:lang w:val="en-GB"/>
              </w:rPr>
              <w:t xml:space="preserve">threats to biodiversity and </w:t>
            </w:r>
            <w:r w:rsidR="00C71EB0">
              <w:rPr>
                <w:rFonts w:cs="Segoe UI"/>
                <w:color w:val="000000"/>
                <w:sz w:val="20"/>
                <w:szCs w:val="20"/>
                <w:lang w:val="en-GB"/>
              </w:rPr>
              <w:t xml:space="preserve">the introduction and spread of Invasive Alien Species through the tourism and related sectors. </w:t>
            </w:r>
            <w:r w:rsidRPr="001C203A">
              <w:rPr>
                <w:rFonts w:cs="Segoe UI"/>
                <w:b/>
                <w:color w:val="000000"/>
                <w:sz w:val="20"/>
                <w:szCs w:val="20"/>
                <w:lang w:val="en-GB"/>
              </w:rPr>
              <w:t xml:space="preserve">The objective of the project is to </w:t>
            </w:r>
            <w:r w:rsidRPr="001C203A">
              <w:rPr>
                <w:b/>
                <w:sz w:val="20"/>
                <w:szCs w:val="20"/>
              </w:rPr>
              <w:t>mainstream biodiversity conservation into integrated land and seascape governance, planning and management in Palau</w:t>
            </w:r>
            <w:r w:rsidRPr="001C203A">
              <w:rPr>
                <w:b/>
                <w:sz w:val="20"/>
                <w:szCs w:val="20"/>
                <w:lang w:val="en-GB"/>
              </w:rPr>
              <w:t>.</w:t>
            </w:r>
          </w:p>
          <w:p w14:paraId="151E3DCC" w14:textId="77777777" w:rsidR="00F86E4E" w:rsidRPr="00C213EA" w:rsidRDefault="00F86E4E" w:rsidP="00F86E4E">
            <w:pPr>
              <w:spacing w:after="0"/>
              <w:rPr>
                <w:sz w:val="20"/>
                <w:szCs w:val="20"/>
                <w:lang w:val="en-GB"/>
              </w:rPr>
            </w:pPr>
          </w:p>
          <w:p w14:paraId="29C5426B" w14:textId="19850344" w:rsidR="008A4CF8" w:rsidRPr="00C213EA" w:rsidRDefault="00F86E4E" w:rsidP="008A4CF8">
            <w:pPr>
              <w:spacing w:after="0"/>
              <w:rPr>
                <w:sz w:val="20"/>
                <w:szCs w:val="20"/>
              </w:rPr>
            </w:pPr>
            <w:r w:rsidRPr="00C213EA">
              <w:rPr>
                <w:sz w:val="20"/>
                <w:szCs w:val="20"/>
              </w:rPr>
              <w:t>The project recognizes the fact that these land</w:t>
            </w:r>
            <w:r w:rsidR="00934E5E" w:rsidRPr="00C213EA">
              <w:rPr>
                <w:sz w:val="20"/>
                <w:szCs w:val="20"/>
              </w:rPr>
              <w:t xml:space="preserve"> and </w:t>
            </w:r>
            <w:r w:rsidRPr="00C213EA">
              <w:rPr>
                <w:sz w:val="20"/>
                <w:szCs w:val="20"/>
              </w:rPr>
              <w:t>seascapes underpin the lives and livelihoods of a large number of local communities and that implementation of a coherent strategy to promote sustainable, biodiversity-friendly livelihood options is an integral part of the solution.</w:t>
            </w:r>
            <w:r w:rsidRPr="00C213EA">
              <w:rPr>
                <w:color w:val="000000"/>
                <w:sz w:val="20"/>
                <w:szCs w:val="20"/>
              </w:rPr>
              <w:t xml:space="preserve"> </w:t>
            </w:r>
            <w:r w:rsidR="008A4CF8" w:rsidRPr="00C213EA">
              <w:rPr>
                <w:rFonts w:eastAsia="Calibri" w:cs="Calibri"/>
                <w:noProof/>
                <w:color w:val="000000"/>
                <w:sz w:val="20"/>
                <w:szCs w:val="20"/>
              </w:rPr>
              <w:t xml:space="preserve">The project objective is to be achieved through the implementation of four inter-related and mutually complementary Components (Project </w:t>
            </w:r>
            <w:r w:rsidR="008A4CF8" w:rsidRPr="00C213EA">
              <w:rPr>
                <w:rFonts w:eastAsia="Calibri" w:cs="Calibri"/>
                <w:noProof/>
                <w:color w:val="000000"/>
                <w:sz w:val="20"/>
                <w:szCs w:val="20"/>
              </w:rPr>
              <w:lastRenderedPageBreak/>
              <w:t xml:space="preserve">Outcomes) that are focussed </w:t>
            </w:r>
            <w:r w:rsidR="00C213EA">
              <w:rPr>
                <w:rFonts w:eastAsia="Calibri" w:cs="Calibri"/>
                <w:noProof/>
                <w:color w:val="000000"/>
                <w:sz w:val="20"/>
                <w:szCs w:val="20"/>
              </w:rPr>
              <w:t>on</w:t>
            </w:r>
            <w:r w:rsidR="008A4CF8" w:rsidRPr="00C213EA">
              <w:rPr>
                <w:rFonts w:eastAsia="Calibri" w:cs="Calibri"/>
                <w:noProof/>
                <w:color w:val="000000"/>
                <w:sz w:val="20"/>
                <w:szCs w:val="20"/>
              </w:rPr>
              <w:t xml:space="preserve"> addressing </w:t>
            </w:r>
            <w:r w:rsidR="00934E5E" w:rsidRPr="00C213EA">
              <w:rPr>
                <w:rFonts w:eastAsia="Calibri" w:cs="Calibri"/>
                <w:noProof/>
                <w:color w:val="000000"/>
                <w:sz w:val="20"/>
                <w:szCs w:val="20"/>
              </w:rPr>
              <w:t>existing</w:t>
            </w:r>
            <w:r w:rsidR="008A4CF8" w:rsidRPr="00C213EA">
              <w:rPr>
                <w:rFonts w:eastAsia="Calibri" w:cs="Calibri"/>
                <w:noProof/>
                <w:color w:val="000000"/>
                <w:sz w:val="20"/>
                <w:szCs w:val="20"/>
              </w:rPr>
              <w:t xml:space="preserve"> barriers. The four Outcomes of the project are:</w:t>
            </w:r>
          </w:p>
          <w:p w14:paraId="0F91C57C" w14:textId="1EDB14BC" w:rsidR="008A4CF8" w:rsidRPr="00C213EA" w:rsidRDefault="008A4CF8" w:rsidP="00C213EA">
            <w:pPr>
              <w:spacing w:after="0"/>
              <w:ind w:left="144"/>
              <w:rPr>
                <w:sz w:val="20"/>
                <w:szCs w:val="20"/>
              </w:rPr>
            </w:pPr>
            <w:r w:rsidRPr="0021132C">
              <w:rPr>
                <w:b/>
                <w:sz w:val="20"/>
                <w:szCs w:val="20"/>
              </w:rPr>
              <w:t>Outcome 1:</w:t>
            </w:r>
            <w:r w:rsidRPr="00C213EA">
              <w:rPr>
                <w:sz w:val="20"/>
                <w:szCs w:val="20"/>
              </w:rPr>
              <w:t xml:space="preserve"> Enhanced </w:t>
            </w:r>
            <w:r w:rsidR="00C213EA">
              <w:rPr>
                <w:sz w:val="20"/>
                <w:szCs w:val="20"/>
              </w:rPr>
              <w:t>n</w:t>
            </w:r>
            <w:r w:rsidRPr="00C213EA">
              <w:rPr>
                <w:sz w:val="20"/>
                <w:szCs w:val="20"/>
              </w:rPr>
              <w:t>ational institutional framework for integrated planning and management of land and seascapes</w:t>
            </w:r>
            <w:r w:rsidR="00934E5E" w:rsidRPr="00C213EA">
              <w:rPr>
                <w:sz w:val="20"/>
                <w:szCs w:val="20"/>
              </w:rPr>
              <w:t>;</w:t>
            </w:r>
          </w:p>
          <w:p w14:paraId="6651EBE1" w14:textId="6E78F5ED" w:rsidR="008A4CF8" w:rsidRPr="00C213EA" w:rsidRDefault="008A4CF8" w:rsidP="00C213EA">
            <w:pPr>
              <w:tabs>
                <w:tab w:val="left" w:pos="144"/>
              </w:tabs>
              <w:spacing w:after="0"/>
              <w:ind w:left="144"/>
              <w:rPr>
                <w:sz w:val="20"/>
                <w:szCs w:val="20"/>
              </w:rPr>
            </w:pPr>
            <w:r w:rsidRPr="0021132C">
              <w:rPr>
                <w:b/>
                <w:sz w:val="20"/>
                <w:szCs w:val="20"/>
              </w:rPr>
              <w:t>Outcome 2:</w:t>
            </w:r>
            <w:r w:rsidRPr="00C213EA">
              <w:rPr>
                <w:sz w:val="20"/>
                <w:szCs w:val="20"/>
              </w:rPr>
              <w:t xml:space="preserve"> Integrated </w:t>
            </w:r>
            <w:r w:rsidR="0021132C">
              <w:rPr>
                <w:sz w:val="20"/>
                <w:szCs w:val="20"/>
              </w:rPr>
              <w:t>multi-sector</w:t>
            </w:r>
            <w:r w:rsidRPr="00C213EA">
              <w:rPr>
                <w:sz w:val="20"/>
                <w:szCs w:val="20"/>
              </w:rPr>
              <w:t xml:space="preserve"> land and seascape planning and management operational in Babeldaob states to reduce threats to biodiversity and improve ecosystem services to benefit communities and state economies</w:t>
            </w:r>
            <w:r w:rsidR="00934E5E" w:rsidRPr="00C213EA">
              <w:rPr>
                <w:sz w:val="20"/>
                <w:szCs w:val="20"/>
              </w:rPr>
              <w:t>;</w:t>
            </w:r>
          </w:p>
          <w:p w14:paraId="6FD2FBAA" w14:textId="317F7125" w:rsidR="008A4CF8" w:rsidRPr="00C213EA" w:rsidRDefault="008A4CF8" w:rsidP="00C213EA">
            <w:pPr>
              <w:tabs>
                <w:tab w:val="left" w:pos="144"/>
              </w:tabs>
              <w:spacing w:after="0"/>
              <w:ind w:left="144"/>
              <w:rPr>
                <w:sz w:val="20"/>
                <w:szCs w:val="20"/>
              </w:rPr>
            </w:pPr>
            <w:r w:rsidRPr="0021132C">
              <w:rPr>
                <w:b/>
                <w:sz w:val="20"/>
                <w:szCs w:val="20"/>
              </w:rPr>
              <w:t>Outcome 3:</w:t>
            </w:r>
            <w:r w:rsidRPr="00C213EA">
              <w:rPr>
                <w:sz w:val="20"/>
                <w:szCs w:val="20"/>
              </w:rPr>
              <w:t xml:space="preserve"> Integrated </w:t>
            </w:r>
            <w:r w:rsidR="0021132C">
              <w:rPr>
                <w:sz w:val="20"/>
                <w:szCs w:val="20"/>
              </w:rPr>
              <w:t>multi-sector</w:t>
            </w:r>
            <w:r w:rsidRPr="00C213EA">
              <w:rPr>
                <w:sz w:val="20"/>
                <w:szCs w:val="20"/>
              </w:rPr>
              <w:t xml:space="preserve"> planning and management operational in 264,686 ha of seascapes and coastal areas in the Southern Lagoon to reduce threats to biodiversity and improve ecosystem services t</w:t>
            </w:r>
            <w:r w:rsidR="00A04AB5">
              <w:rPr>
                <w:sz w:val="20"/>
                <w:szCs w:val="20"/>
              </w:rPr>
              <w:t>o benefit communities and state</w:t>
            </w:r>
            <w:r w:rsidRPr="00C213EA">
              <w:rPr>
                <w:sz w:val="20"/>
                <w:szCs w:val="20"/>
              </w:rPr>
              <w:t xml:space="preserve"> economies</w:t>
            </w:r>
            <w:r w:rsidR="00934E5E" w:rsidRPr="00C213EA">
              <w:rPr>
                <w:sz w:val="20"/>
                <w:szCs w:val="20"/>
              </w:rPr>
              <w:t xml:space="preserve">; and </w:t>
            </w:r>
          </w:p>
          <w:p w14:paraId="466FF7C4" w14:textId="2A5D7FF1" w:rsidR="008A4CF8" w:rsidRPr="00C213EA" w:rsidRDefault="008A4CF8" w:rsidP="00C213EA">
            <w:pPr>
              <w:tabs>
                <w:tab w:val="left" w:pos="360"/>
              </w:tabs>
              <w:spacing w:after="0"/>
              <w:ind w:left="144"/>
              <w:rPr>
                <w:sz w:val="20"/>
                <w:szCs w:val="20"/>
              </w:rPr>
            </w:pPr>
            <w:r w:rsidRPr="0021132C">
              <w:rPr>
                <w:b/>
                <w:sz w:val="20"/>
                <w:szCs w:val="20"/>
              </w:rPr>
              <w:t>Outcome 4:</w:t>
            </w:r>
            <w:r w:rsidRPr="00C213EA">
              <w:rPr>
                <w:sz w:val="20"/>
                <w:szCs w:val="20"/>
              </w:rPr>
              <w:t xml:space="preserve"> </w:t>
            </w:r>
            <w:r w:rsidRPr="00C213EA">
              <w:rPr>
                <w:color w:val="000000"/>
                <w:sz w:val="20"/>
                <w:szCs w:val="20"/>
              </w:rPr>
              <w:t>Knowledge management, monitoring and evaluation support, equitable gender benefits and biodiversity conservation in Palau</w:t>
            </w:r>
            <w:r w:rsidR="00934E5E" w:rsidRPr="00C213EA">
              <w:rPr>
                <w:color w:val="000000"/>
                <w:sz w:val="20"/>
                <w:szCs w:val="20"/>
              </w:rPr>
              <w:t>.</w:t>
            </w:r>
          </w:p>
        </w:tc>
      </w:tr>
      <w:tr w:rsidR="0077088A" w:rsidRPr="0021132C" w14:paraId="6F585B30" w14:textId="77777777" w:rsidTr="000F797F">
        <w:trPr>
          <w:trHeight w:val="377"/>
        </w:trPr>
        <w:tc>
          <w:tcPr>
            <w:tcW w:w="9355" w:type="dxa"/>
            <w:gridSpan w:val="6"/>
            <w:shd w:val="clear" w:color="auto" w:fill="D9D9D9"/>
          </w:tcPr>
          <w:p w14:paraId="7B61BB38" w14:textId="77777777" w:rsidR="0077088A" w:rsidRPr="0021132C" w:rsidRDefault="0077088A" w:rsidP="00B87774">
            <w:pPr>
              <w:spacing w:after="0"/>
              <w:jc w:val="left"/>
              <w:rPr>
                <w:rFonts w:cs="Arial"/>
                <w:b/>
                <w:smallCaps/>
                <w:sz w:val="20"/>
                <w:szCs w:val="20"/>
              </w:rPr>
            </w:pPr>
            <w:r w:rsidRPr="0021132C">
              <w:rPr>
                <w:rFonts w:cs="Arial"/>
                <w:b/>
                <w:smallCaps/>
                <w:sz w:val="20"/>
                <w:szCs w:val="20"/>
              </w:rPr>
              <w:lastRenderedPageBreak/>
              <w:t>Financing Plan</w:t>
            </w:r>
          </w:p>
        </w:tc>
      </w:tr>
      <w:tr w:rsidR="0077088A" w:rsidRPr="0021132C" w14:paraId="2F417BC8" w14:textId="77777777" w:rsidTr="0003763F">
        <w:tc>
          <w:tcPr>
            <w:tcW w:w="4585" w:type="dxa"/>
            <w:gridSpan w:val="3"/>
            <w:shd w:val="clear" w:color="auto" w:fill="auto"/>
          </w:tcPr>
          <w:p w14:paraId="2BAF266B" w14:textId="6B1EEB66" w:rsidR="0077088A" w:rsidRPr="0021132C" w:rsidRDefault="0077088A" w:rsidP="00B92273">
            <w:pPr>
              <w:spacing w:after="0"/>
              <w:jc w:val="left"/>
              <w:rPr>
                <w:rFonts w:cs="Arial"/>
                <w:sz w:val="20"/>
                <w:szCs w:val="20"/>
              </w:rPr>
            </w:pPr>
            <w:r w:rsidRPr="0021132C">
              <w:rPr>
                <w:rFonts w:cs="Arial"/>
                <w:sz w:val="20"/>
                <w:szCs w:val="20"/>
              </w:rPr>
              <w:t xml:space="preserve">GEF Trust Fund </w:t>
            </w:r>
          </w:p>
        </w:tc>
        <w:tc>
          <w:tcPr>
            <w:tcW w:w="4770" w:type="dxa"/>
            <w:gridSpan w:val="3"/>
            <w:shd w:val="clear" w:color="auto" w:fill="auto"/>
          </w:tcPr>
          <w:p w14:paraId="79619296" w14:textId="77777777" w:rsidR="0077088A" w:rsidRPr="0021132C" w:rsidRDefault="0077088A" w:rsidP="00B87774">
            <w:pPr>
              <w:spacing w:after="0"/>
              <w:jc w:val="left"/>
              <w:rPr>
                <w:rFonts w:cs="Arial"/>
                <w:sz w:val="20"/>
                <w:szCs w:val="20"/>
              </w:rPr>
            </w:pPr>
            <w:r w:rsidRPr="0021132C">
              <w:rPr>
                <w:rFonts w:cs="Arial"/>
                <w:sz w:val="20"/>
                <w:szCs w:val="20"/>
              </w:rPr>
              <w:t>USD</w:t>
            </w:r>
            <w:r w:rsidR="00B87774" w:rsidRPr="0021132C">
              <w:rPr>
                <w:rFonts w:cs="Arial"/>
                <w:sz w:val="20"/>
                <w:szCs w:val="20"/>
              </w:rPr>
              <w:t xml:space="preserve"> 4,233,562</w:t>
            </w:r>
          </w:p>
        </w:tc>
      </w:tr>
      <w:tr w:rsidR="0077088A" w:rsidRPr="0021132C" w14:paraId="205C9B1A" w14:textId="77777777" w:rsidTr="0003763F">
        <w:tc>
          <w:tcPr>
            <w:tcW w:w="4585" w:type="dxa"/>
            <w:gridSpan w:val="3"/>
            <w:shd w:val="clear" w:color="auto" w:fill="auto"/>
          </w:tcPr>
          <w:p w14:paraId="7E3661B9" w14:textId="77777777" w:rsidR="0077088A" w:rsidRPr="0021132C" w:rsidRDefault="0077088A" w:rsidP="00B87774">
            <w:pPr>
              <w:spacing w:after="0"/>
              <w:jc w:val="left"/>
              <w:rPr>
                <w:rFonts w:cs="Arial"/>
                <w:sz w:val="20"/>
                <w:szCs w:val="20"/>
              </w:rPr>
            </w:pPr>
            <w:r w:rsidRPr="0021132C">
              <w:rPr>
                <w:rFonts w:cs="Arial"/>
                <w:sz w:val="20"/>
                <w:szCs w:val="20"/>
              </w:rPr>
              <w:t>UNDP TRAC resources</w:t>
            </w:r>
          </w:p>
        </w:tc>
        <w:tc>
          <w:tcPr>
            <w:tcW w:w="4770" w:type="dxa"/>
            <w:gridSpan w:val="3"/>
            <w:shd w:val="clear" w:color="auto" w:fill="auto"/>
          </w:tcPr>
          <w:p w14:paraId="074FEDA6" w14:textId="01246F96" w:rsidR="0077088A" w:rsidRPr="0021132C" w:rsidRDefault="0077088A" w:rsidP="00B87774">
            <w:pPr>
              <w:spacing w:after="0"/>
              <w:jc w:val="left"/>
              <w:rPr>
                <w:rFonts w:cs="Arial"/>
                <w:sz w:val="20"/>
                <w:szCs w:val="20"/>
              </w:rPr>
            </w:pPr>
            <w:r w:rsidRPr="0021132C">
              <w:rPr>
                <w:rFonts w:cs="Arial"/>
                <w:sz w:val="20"/>
                <w:szCs w:val="20"/>
              </w:rPr>
              <w:t xml:space="preserve">USD </w:t>
            </w:r>
            <w:r w:rsidR="00A06F01">
              <w:rPr>
                <w:rFonts w:cs="Arial"/>
                <w:sz w:val="20"/>
                <w:szCs w:val="20"/>
              </w:rPr>
              <w:t>0</w:t>
            </w:r>
          </w:p>
        </w:tc>
      </w:tr>
      <w:tr w:rsidR="0077088A" w:rsidRPr="0021132C" w14:paraId="1D76EBA8" w14:textId="77777777" w:rsidTr="0003763F">
        <w:tc>
          <w:tcPr>
            <w:tcW w:w="4585" w:type="dxa"/>
            <w:gridSpan w:val="3"/>
            <w:shd w:val="clear" w:color="auto" w:fill="auto"/>
          </w:tcPr>
          <w:p w14:paraId="1BB6E4DA" w14:textId="77777777" w:rsidR="0077088A" w:rsidRPr="0021132C" w:rsidRDefault="0077088A" w:rsidP="00B87774">
            <w:pPr>
              <w:spacing w:after="0"/>
              <w:jc w:val="left"/>
              <w:rPr>
                <w:rFonts w:cs="Arial"/>
                <w:sz w:val="20"/>
                <w:szCs w:val="20"/>
              </w:rPr>
            </w:pPr>
            <w:r w:rsidRPr="0021132C">
              <w:rPr>
                <w:rFonts w:cs="Arial"/>
                <w:sz w:val="20"/>
                <w:szCs w:val="20"/>
              </w:rPr>
              <w:t>Cash co-financing to be administered by UNDP</w:t>
            </w:r>
          </w:p>
        </w:tc>
        <w:tc>
          <w:tcPr>
            <w:tcW w:w="4770" w:type="dxa"/>
            <w:gridSpan w:val="3"/>
            <w:shd w:val="clear" w:color="auto" w:fill="auto"/>
          </w:tcPr>
          <w:p w14:paraId="52763FB5" w14:textId="59CDF08F" w:rsidR="0077088A" w:rsidRPr="0021132C" w:rsidRDefault="0077088A" w:rsidP="00B87774">
            <w:pPr>
              <w:spacing w:after="0"/>
              <w:jc w:val="left"/>
              <w:rPr>
                <w:rFonts w:cs="Arial"/>
                <w:sz w:val="20"/>
                <w:szCs w:val="20"/>
              </w:rPr>
            </w:pPr>
            <w:r w:rsidRPr="0021132C">
              <w:rPr>
                <w:rFonts w:cs="Arial"/>
                <w:sz w:val="20"/>
                <w:szCs w:val="20"/>
              </w:rPr>
              <w:t>USD</w:t>
            </w:r>
            <w:r w:rsidR="00A06F01">
              <w:rPr>
                <w:rFonts w:cs="Arial"/>
                <w:sz w:val="20"/>
                <w:szCs w:val="20"/>
              </w:rPr>
              <w:t xml:space="preserve"> 0</w:t>
            </w:r>
          </w:p>
        </w:tc>
      </w:tr>
      <w:tr w:rsidR="0077088A" w:rsidRPr="0021132C" w14:paraId="0485928B" w14:textId="77777777" w:rsidTr="0003763F">
        <w:tc>
          <w:tcPr>
            <w:tcW w:w="4585" w:type="dxa"/>
            <w:gridSpan w:val="3"/>
            <w:shd w:val="clear" w:color="auto" w:fill="auto"/>
          </w:tcPr>
          <w:p w14:paraId="546E67B3" w14:textId="77777777" w:rsidR="0077088A" w:rsidRPr="0021132C" w:rsidRDefault="0077088A" w:rsidP="002674F1">
            <w:pPr>
              <w:pStyle w:val="ListParagraph"/>
              <w:numPr>
                <w:ilvl w:val="0"/>
                <w:numId w:val="5"/>
              </w:numPr>
              <w:jc w:val="right"/>
              <w:rPr>
                <w:rFonts w:ascii="Calibri" w:hAnsi="Calibri" w:cs="Arial"/>
                <w:b/>
                <w:sz w:val="20"/>
                <w:szCs w:val="20"/>
              </w:rPr>
            </w:pPr>
            <w:r w:rsidRPr="0021132C">
              <w:rPr>
                <w:rFonts w:ascii="Calibri" w:hAnsi="Calibri" w:cs="Arial"/>
                <w:b/>
                <w:sz w:val="20"/>
                <w:szCs w:val="20"/>
                <w:lang w:eastAsia="zh-CN"/>
              </w:rPr>
              <w:t xml:space="preserve">Total </w:t>
            </w:r>
            <w:r w:rsidRPr="0021132C">
              <w:rPr>
                <w:rFonts w:ascii="Calibri" w:hAnsi="Calibri" w:cs="Arial"/>
                <w:b/>
                <w:sz w:val="20"/>
                <w:szCs w:val="20"/>
              </w:rPr>
              <w:t xml:space="preserve">Budget administered by UNDP </w:t>
            </w:r>
          </w:p>
        </w:tc>
        <w:tc>
          <w:tcPr>
            <w:tcW w:w="4770" w:type="dxa"/>
            <w:gridSpan w:val="3"/>
            <w:shd w:val="clear" w:color="auto" w:fill="auto"/>
          </w:tcPr>
          <w:p w14:paraId="2A8D29B3" w14:textId="7AE7CFB6" w:rsidR="0077088A" w:rsidRPr="0021132C" w:rsidRDefault="0077088A" w:rsidP="00B87774">
            <w:pPr>
              <w:spacing w:after="0"/>
              <w:jc w:val="left"/>
              <w:rPr>
                <w:rFonts w:cs="Arial"/>
                <w:b/>
                <w:sz w:val="20"/>
                <w:szCs w:val="20"/>
              </w:rPr>
            </w:pPr>
            <w:r w:rsidRPr="0021132C">
              <w:rPr>
                <w:rFonts w:cs="Arial"/>
                <w:b/>
                <w:sz w:val="20"/>
                <w:szCs w:val="20"/>
              </w:rPr>
              <w:t>USD</w:t>
            </w:r>
            <w:r w:rsidR="00A06F01">
              <w:rPr>
                <w:rFonts w:cs="Arial"/>
                <w:b/>
                <w:sz w:val="20"/>
                <w:szCs w:val="20"/>
              </w:rPr>
              <w:t xml:space="preserve"> 4,233,562</w:t>
            </w:r>
          </w:p>
        </w:tc>
      </w:tr>
      <w:tr w:rsidR="0077088A" w:rsidRPr="0021132C" w14:paraId="0A80B333" w14:textId="77777777" w:rsidTr="0003763F">
        <w:tc>
          <w:tcPr>
            <w:tcW w:w="9355" w:type="dxa"/>
            <w:gridSpan w:val="6"/>
            <w:shd w:val="clear" w:color="auto" w:fill="D9D9D9"/>
          </w:tcPr>
          <w:p w14:paraId="1353A229" w14:textId="77777777" w:rsidR="0077088A" w:rsidRPr="0021132C" w:rsidRDefault="0077088A" w:rsidP="00B87774">
            <w:pPr>
              <w:spacing w:after="0"/>
              <w:jc w:val="left"/>
              <w:rPr>
                <w:rFonts w:cs="Arial"/>
                <w:b/>
                <w:sz w:val="20"/>
                <w:szCs w:val="20"/>
              </w:rPr>
            </w:pPr>
            <w:r w:rsidRPr="0021132C">
              <w:rPr>
                <w:rFonts w:cs="Arial"/>
                <w:b/>
                <w:smallCaps/>
                <w:sz w:val="20"/>
                <w:szCs w:val="20"/>
              </w:rPr>
              <w:t>Parallel co-financing</w:t>
            </w:r>
            <w:r w:rsidR="00F10F99" w:rsidRPr="0021132C">
              <w:rPr>
                <w:rFonts w:cs="Arial"/>
                <w:b/>
                <w:smallCaps/>
                <w:sz w:val="20"/>
                <w:szCs w:val="20"/>
              </w:rPr>
              <w:t xml:space="preserve"> </w:t>
            </w:r>
            <w:r w:rsidR="00F10F99" w:rsidRPr="0021132C">
              <w:rPr>
                <w:rFonts w:cs="Arial"/>
                <w:smallCaps/>
                <w:sz w:val="20"/>
                <w:szCs w:val="20"/>
              </w:rPr>
              <w:t>(</w:t>
            </w:r>
            <w:r w:rsidR="00F10F99" w:rsidRPr="0021132C">
              <w:rPr>
                <w:rFonts w:cs="Arial"/>
                <w:i/>
                <w:sz w:val="20"/>
                <w:szCs w:val="20"/>
              </w:rPr>
              <w:t xml:space="preserve">all other co-financing that is not cash </w:t>
            </w:r>
            <w:r w:rsidR="0004450C" w:rsidRPr="0021132C">
              <w:rPr>
                <w:rFonts w:cs="Arial"/>
                <w:i/>
                <w:sz w:val="20"/>
                <w:szCs w:val="20"/>
              </w:rPr>
              <w:t xml:space="preserve">co-financing </w:t>
            </w:r>
            <w:r w:rsidR="00F10F99" w:rsidRPr="0021132C">
              <w:rPr>
                <w:rFonts w:cs="Arial"/>
                <w:i/>
                <w:sz w:val="20"/>
                <w:szCs w:val="20"/>
              </w:rPr>
              <w:t>administered by UNDP)</w:t>
            </w:r>
          </w:p>
        </w:tc>
      </w:tr>
      <w:tr w:rsidR="0077088A" w:rsidRPr="0021132C" w14:paraId="329F61B0" w14:textId="77777777" w:rsidTr="0003763F">
        <w:trPr>
          <w:trHeight w:val="395"/>
        </w:trPr>
        <w:tc>
          <w:tcPr>
            <w:tcW w:w="4585" w:type="dxa"/>
            <w:gridSpan w:val="3"/>
            <w:shd w:val="clear" w:color="auto" w:fill="auto"/>
          </w:tcPr>
          <w:p w14:paraId="066756C4" w14:textId="77777777" w:rsidR="0077088A" w:rsidRPr="0021132C" w:rsidRDefault="0077088A" w:rsidP="00B87774">
            <w:pPr>
              <w:spacing w:after="0"/>
              <w:jc w:val="right"/>
              <w:rPr>
                <w:rFonts w:cs="Arial"/>
                <w:sz w:val="20"/>
                <w:szCs w:val="20"/>
              </w:rPr>
            </w:pPr>
            <w:r w:rsidRPr="0021132C">
              <w:rPr>
                <w:rFonts w:cs="Arial"/>
                <w:sz w:val="20"/>
                <w:szCs w:val="20"/>
              </w:rPr>
              <w:t xml:space="preserve">UNDP </w:t>
            </w:r>
          </w:p>
        </w:tc>
        <w:tc>
          <w:tcPr>
            <w:tcW w:w="4770" w:type="dxa"/>
            <w:gridSpan w:val="3"/>
            <w:shd w:val="clear" w:color="auto" w:fill="auto"/>
          </w:tcPr>
          <w:p w14:paraId="45784943" w14:textId="223E6287" w:rsidR="0077088A" w:rsidRPr="0021132C" w:rsidRDefault="0077088A" w:rsidP="00B87774">
            <w:pPr>
              <w:spacing w:after="0"/>
              <w:jc w:val="left"/>
              <w:rPr>
                <w:rFonts w:cs="Arial"/>
                <w:sz w:val="20"/>
                <w:szCs w:val="20"/>
              </w:rPr>
            </w:pPr>
            <w:r w:rsidRPr="0021132C">
              <w:rPr>
                <w:rFonts w:cs="Arial"/>
                <w:sz w:val="20"/>
                <w:szCs w:val="20"/>
              </w:rPr>
              <w:t>USD</w:t>
            </w:r>
            <w:r w:rsidR="00A06F01">
              <w:rPr>
                <w:rFonts w:cs="Arial"/>
                <w:sz w:val="20"/>
                <w:szCs w:val="20"/>
              </w:rPr>
              <w:t xml:space="preserve"> 0</w:t>
            </w:r>
          </w:p>
        </w:tc>
      </w:tr>
      <w:tr w:rsidR="0077088A" w:rsidRPr="00C213EA" w14:paraId="6C90E538" w14:textId="77777777" w:rsidTr="00D12E7C">
        <w:trPr>
          <w:trHeight w:val="269"/>
        </w:trPr>
        <w:tc>
          <w:tcPr>
            <w:tcW w:w="4585" w:type="dxa"/>
            <w:gridSpan w:val="3"/>
            <w:shd w:val="clear" w:color="auto" w:fill="auto"/>
          </w:tcPr>
          <w:p w14:paraId="27736851" w14:textId="77777777" w:rsidR="0077088A" w:rsidRPr="00C213EA" w:rsidRDefault="0077088A" w:rsidP="00B87774">
            <w:pPr>
              <w:spacing w:after="0"/>
              <w:jc w:val="right"/>
              <w:rPr>
                <w:rFonts w:cs="Arial"/>
                <w:sz w:val="20"/>
                <w:szCs w:val="20"/>
              </w:rPr>
            </w:pPr>
            <w:r w:rsidRPr="00C213EA">
              <w:rPr>
                <w:rFonts w:cs="Arial"/>
                <w:sz w:val="20"/>
                <w:szCs w:val="20"/>
              </w:rPr>
              <w:t>Government</w:t>
            </w:r>
          </w:p>
        </w:tc>
        <w:tc>
          <w:tcPr>
            <w:tcW w:w="4770" w:type="dxa"/>
            <w:gridSpan w:val="3"/>
            <w:shd w:val="clear" w:color="auto" w:fill="auto"/>
          </w:tcPr>
          <w:p w14:paraId="1175BAEE" w14:textId="5B129A23" w:rsidR="0077088A" w:rsidRPr="00C213EA" w:rsidRDefault="0077088A" w:rsidP="00387D47">
            <w:pPr>
              <w:spacing w:after="0"/>
              <w:jc w:val="left"/>
              <w:rPr>
                <w:rFonts w:cs="Arial"/>
                <w:sz w:val="20"/>
                <w:szCs w:val="20"/>
              </w:rPr>
            </w:pPr>
            <w:r w:rsidRPr="00C213EA">
              <w:rPr>
                <w:rFonts w:cs="Arial"/>
                <w:sz w:val="20"/>
                <w:szCs w:val="20"/>
              </w:rPr>
              <w:t>USD</w:t>
            </w:r>
            <w:r w:rsidR="005C7B51" w:rsidRPr="00C213EA">
              <w:rPr>
                <w:rFonts w:cs="Arial"/>
                <w:sz w:val="20"/>
                <w:szCs w:val="20"/>
              </w:rPr>
              <w:t xml:space="preserve"> </w:t>
            </w:r>
            <w:r w:rsidR="00D12E7C" w:rsidRPr="00C213EA">
              <w:rPr>
                <w:rFonts w:eastAsia="Times New Roman"/>
                <w:color w:val="000000"/>
                <w:sz w:val="20"/>
                <w:szCs w:val="20"/>
              </w:rPr>
              <w:t>1</w:t>
            </w:r>
            <w:r w:rsidR="00387D47">
              <w:rPr>
                <w:rFonts w:eastAsia="Times New Roman"/>
                <w:color w:val="000000"/>
                <w:sz w:val="20"/>
                <w:szCs w:val="20"/>
              </w:rPr>
              <w:t>5,616</w:t>
            </w:r>
            <w:r w:rsidR="00D12E7C" w:rsidRPr="00C213EA">
              <w:rPr>
                <w:rFonts w:eastAsia="Times New Roman"/>
                <w:color w:val="000000"/>
                <w:sz w:val="20"/>
                <w:szCs w:val="20"/>
              </w:rPr>
              <w:t>,306</w:t>
            </w:r>
          </w:p>
        </w:tc>
      </w:tr>
      <w:tr w:rsidR="00D12E7C" w:rsidRPr="00C213EA" w14:paraId="069CBDB5" w14:textId="77777777" w:rsidTr="00D12E7C">
        <w:trPr>
          <w:trHeight w:val="206"/>
        </w:trPr>
        <w:tc>
          <w:tcPr>
            <w:tcW w:w="4585" w:type="dxa"/>
            <w:gridSpan w:val="3"/>
            <w:shd w:val="clear" w:color="auto" w:fill="auto"/>
          </w:tcPr>
          <w:p w14:paraId="7F7174BF" w14:textId="4626873E" w:rsidR="00D12E7C" w:rsidRPr="00C213EA" w:rsidRDefault="00D12E7C" w:rsidP="00B87774">
            <w:pPr>
              <w:spacing w:after="0"/>
              <w:jc w:val="right"/>
              <w:rPr>
                <w:rFonts w:cs="Arial"/>
                <w:sz w:val="20"/>
                <w:szCs w:val="20"/>
              </w:rPr>
            </w:pPr>
            <w:r w:rsidRPr="00C213EA">
              <w:rPr>
                <w:rFonts w:cs="Arial"/>
                <w:sz w:val="20"/>
                <w:szCs w:val="20"/>
              </w:rPr>
              <w:t>Civil Society Organizations</w:t>
            </w:r>
          </w:p>
        </w:tc>
        <w:tc>
          <w:tcPr>
            <w:tcW w:w="4770" w:type="dxa"/>
            <w:gridSpan w:val="3"/>
            <w:shd w:val="clear" w:color="auto" w:fill="auto"/>
          </w:tcPr>
          <w:p w14:paraId="3E98CA7C" w14:textId="4F1F4218" w:rsidR="00D12E7C" w:rsidRPr="00C213EA" w:rsidRDefault="00D12E7C" w:rsidP="00833EB7">
            <w:pPr>
              <w:spacing w:after="0"/>
              <w:jc w:val="left"/>
              <w:rPr>
                <w:rFonts w:cs="Arial"/>
                <w:sz w:val="20"/>
                <w:szCs w:val="20"/>
              </w:rPr>
            </w:pPr>
            <w:r w:rsidRPr="00C213EA">
              <w:rPr>
                <w:rFonts w:cs="Arial"/>
                <w:sz w:val="20"/>
                <w:szCs w:val="20"/>
              </w:rPr>
              <w:t>USD 7,055,000</w:t>
            </w:r>
          </w:p>
        </w:tc>
      </w:tr>
      <w:tr w:rsidR="0077088A" w:rsidRPr="0021132C" w14:paraId="36A6F7F7" w14:textId="77777777" w:rsidTr="00833EB7">
        <w:trPr>
          <w:trHeight w:val="116"/>
        </w:trPr>
        <w:tc>
          <w:tcPr>
            <w:tcW w:w="4585" w:type="dxa"/>
            <w:gridSpan w:val="3"/>
            <w:shd w:val="clear" w:color="auto" w:fill="auto"/>
          </w:tcPr>
          <w:p w14:paraId="439FDDC2" w14:textId="77777777" w:rsidR="0077088A" w:rsidRPr="0021132C" w:rsidRDefault="0077088A" w:rsidP="002674F1">
            <w:pPr>
              <w:pStyle w:val="ListParagraph"/>
              <w:numPr>
                <w:ilvl w:val="0"/>
                <w:numId w:val="5"/>
              </w:numPr>
              <w:jc w:val="right"/>
              <w:rPr>
                <w:rFonts w:ascii="Calibri" w:hAnsi="Calibri" w:cs="Arial"/>
                <w:b/>
                <w:sz w:val="20"/>
                <w:szCs w:val="20"/>
              </w:rPr>
            </w:pPr>
            <w:r w:rsidRPr="0021132C">
              <w:rPr>
                <w:rFonts w:ascii="Calibri" w:hAnsi="Calibri" w:cs="Arial"/>
                <w:b/>
                <w:sz w:val="20"/>
                <w:szCs w:val="20"/>
              </w:rPr>
              <w:t>Total co-financing</w:t>
            </w:r>
          </w:p>
        </w:tc>
        <w:tc>
          <w:tcPr>
            <w:tcW w:w="4770" w:type="dxa"/>
            <w:gridSpan w:val="3"/>
            <w:shd w:val="clear" w:color="auto" w:fill="auto"/>
          </w:tcPr>
          <w:p w14:paraId="670B46C6" w14:textId="6AE945EF" w:rsidR="0077088A" w:rsidRPr="0021132C" w:rsidRDefault="0077088A" w:rsidP="00387D47">
            <w:pPr>
              <w:spacing w:after="0"/>
              <w:jc w:val="left"/>
              <w:rPr>
                <w:rFonts w:cs="Arial"/>
                <w:b/>
                <w:sz w:val="20"/>
                <w:szCs w:val="20"/>
              </w:rPr>
            </w:pPr>
            <w:r w:rsidRPr="0021132C">
              <w:rPr>
                <w:rFonts w:cs="Arial"/>
                <w:b/>
                <w:sz w:val="20"/>
                <w:szCs w:val="20"/>
              </w:rPr>
              <w:t>USD</w:t>
            </w:r>
            <w:r w:rsidR="004840B6" w:rsidRPr="0021132C">
              <w:rPr>
                <w:rFonts w:cs="Arial"/>
                <w:b/>
                <w:sz w:val="20"/>
                <w:szCs w:val="20"/>
              </w:rPr>
              <w:t xml:space="preserve"> </w:t>
            </w:r>
            <w:r w:rsidR="00833EB7" w:rsidRPr="0021132C">
              <w:rPr>
                <w:rFonts w:cs="Arial"/>
                <w:sz w:val="20"/>
                <w:szCs w:val="20"/>
              </w:rPr>
              <w:t>2</w:t>
            </w:r>
            <w:r w:rsidR="00387D47">
              <w:rPr>
                <w:rFonts w:cs="Arial"/>
                <w:sz w:val="20"/>
                <w:szCs w:val="20"/>
              </w:rPr>
              <w:t>2,671,306</w:t>
            </w:r>
          </w:p>
        </w:tc>
      </w:tr>
      <w:tr w:rsidR="0077088A" w:rsidRPr="0021132C" w14:paraId="35F271CE" w14:textId="77777777" w:rsidTr="0003763F">
        <w:tc>
          <w:tcPr>
            <w:tcW w:w="4585" w:type="dxa"/>
            <w:gridSpan w:val="3"/>
            <w:shd w:val="clear" w:color="auto" w:fill="auto"/>
          </w:tcPr>
          <w:p w14:paraId="3E8396FF" w14:textId="77777777" w:rsidR="0077088A" w:rsidRPr="0021132C" w:rsidRDefault="0077088A" w:rsidP="002674F1">
            <w:pPr>
              <w:pStyle w:val="ListParagraph"/>
              <w:numPr>
                <w:ilvl w:val="0"/>
                <w:numId w:val="5"/>
              </w:numPr>
              <w:jc w:val="right"/>
              <w:rPr>
                <w:rFonts w:ascii="Calibri" w:hAnsi="Calibri" w:cs="Arial"/>
                <w:b/>
                <w:sz w:val="20"/>
                <w:szCs w:val="20"/>
              </w:rPr>
            </w:pPr>
            <w:r w:rsidRPr="0021132C">
              <w:rPr>
                <w:rFonts w:ascii="Calibri" w:hAnsi="Calibri" w:cs="Arial"/>
                <w:b/>
                <w:sz w:val="20"/>
                <w:szCs w:val="20"/>
                <w:lang w:eastAsia="zh-CN"/>
              </w:rPr>
              <w:t>Grand-</w:t>
            </w:r>
            <w:r w:rsidRPr="0021132C">
              <w:rPr>
                <w:rFonts w:ascii="Calibri" w:hAnsi="Calibri" w:cs="Arial"/>
                <w:b/>
                <w:sz w:val="20"/>
                <w:szCs w:val="20"/>
              </w:rPr>
              <w:t xml:space="preserve">Total Project </w:t>
            </w:r>
            <w:r w:rsidRPr="0021132C">
              <w:rPr>
                <w:rFonts w:ascii="Calibri" w:hAnsi="Calibri" w:cs="Arial"/>
                <w:b/>
                <w:sz w:val="20"/>
                <w:szCs w:val="20"/>
                <w:lang w:eastAsia="zh-CN"/>
              </w:rPr>
              <w:t>Financing (1)+(2)</w:t>
            </w:r>
          </w:p>
        </w:tc>
        <w:tc>
          <w:tcPr>
            <w:tcW w:w="4770" w:type="dxa"/>
            <w:gridSpan w:val="3"/>
            <w:shd w:val="clear" w:color="auto" w:fill="auto"/>
          </w:tcPr>
          <w:p w14:paraId="59448D6D" w14:textId="21B97F1B" w:rsidR="0077088A" w:rsidRPr="0021132C" w:rsidRDefault="0077088A" w:rsidP="00387D47">
            <w:pPr>
              <w:spacing w:after="0"/>
              <w:jc w:val="left"/>
              <w:rPr>
                <w:rFonts w:cs="Arial"/>
                <w:b/>
                <w:sz w:val="20"/>
                <w:szCs w:val="20"/>
              </w:rPr>
            </w:pPr>
            <w:r w:rsidRPr="0021132C">
              <w:rPr>
                <w:rFonts w:cs="Arial"/>
                <w:b/>
                <w:sz w:val="20"/>
                <w:szCs w:val="20"/>
              </w:rPr>
              <w:t>USD</w:t>
            </w:r>
            <w:r w:rsidR="00483EE2" w:rsidRPr="0021132C">
              <w:rPr>
                <w:rFonts w:cs="Arial"/>
                <w:b/>
                <w:sz w:val="20"/>
                <w:szCs w:val="20"/>
              </w:rPr>
              <w:t xml:space="preserve"> </w:t>
            </w:r>
            <w:r w:rsidR="00483EE2" w:rsidRPr="0021132C">
              <w:rPr>
                <w:rFonts w:cs="Arial"/>
                <w:sz w:val="20"/>
                <w:szCs w:val="20"/>
              </w:rPr>
              <w:t>26,</w:t>
            </w:r>
            <w:r w:rsidR="00387D47">
              <w:rPr>
                <w:rFonts w:cs="Arial"/>
                <w:sz w:val="20"/>
                <w:szCs w:val="20"/>
              </w:rPr>
              <w:t>9</w:t>
            </w:r>
            <w:r w:rsidR="00387D47" w:rsidRPr="0021132C">
              <w:rPr>
                <w:rFonts w:cs="Arial"/>
                <w:sz w:val="20"/>
                <w:szCs w:val="20"/>
              </w:rPr>
              <w:t>04</w:t>
            </w:r>
            <w:r w:rsidR="00833EB7" w:rsidRPr="0021132C">
              <w:rPr>
                <w:rFonts w:cs="Arial"/>
                <w:sz w:val="20"/>
                <w:szCs w:val="20"/>
              </w:rPr>
              <w:t>,868</w:t>
            </w:r>
          </w:p>
        </w:tc>
      </w:tr>
      <w:tr w:rsidR="0077088A" w:rsidRPr="0021132C" w14:paraId="1C34F126" w14:textId="77777777" w:rsidTr="0003763F">
        <w:tc>
          <w:tcPr>
            <w:tcW w:w="9355" w:type="dxa"/>
            <w:gridSpan w:val="6"/>
            <w:shd w:val="clear" w:color="auto" w:fill="BFBFBF"/>
          </w:tcPr>
          <w:p w14:paraId="3104B232" w14:textId="77777777" w:rsidR="0077088A" w:rsidRPr="0021132C" w:rsidRDefault="0077088A" w:rsidP="00B87774">
            <w:pPr>
              <w:spacing w:after="0"/>
              <w:jc w:val="left"/>
              <w:rPr>
                <w:rFonts w:cs="Arial"/>
                <w:b/>
                <w:smallCaps/>
                <w:sz w:val="20"/>
                <w:szCs w:val="20"/>
              </w:rPr>
            </w:pPr>
            <w:r w:rsidRPr="0021132C">
              <w:rPr>
                <w:rFonts w:cs="Arial"/>
                <w:b/>
                <w:smallCaps/>
                <w:sz w:val="20"/>
                <w:szCs w:val="20"/>
              </w:rPr>
              <w:t>Signatures</w:t>
            </w:r>
          </w:p>
        </w:tc>
      </w:tr>
      <w:tr w:rsidR="0077088A" w:rsidRPr="0021132C" w14:paraId="27E92798" w14:textId="77777777" w:rsidTr="0003763F">
        <w:tc>
          <w:tcPr>
            <w:tcW w:w="4135" w:type="dxa"/>
            <w:gridSpan w:val="2"/>
            <w:shd w:val="clear" w:color="auto" w:fill="auto"/>
          </w:tcPr>
          <w:p w14:paraId="3613EF22" w14:textId="77777777" w:rsidR="0077088A" w:rsidRPr="0021132C" w:rsidRDefault="0077088A" w:rsidP="00B87774">
            <w:pPr>
              <w:spacing w:after="0"/>
              <w:jc w:val="left"/>
              <w:rPr>
                <w:rFonts w:cs="Arial"/>
                <w:sz w:val="20"/>
                <w:szCs w:val="20"/>
              </w:rPr>
            </w:pPr>
            <w:r w:rsidRPr="0021132C">
              <w:rPr>
                <w:rFonts w:cs="Arial"/>
                <w:b/>
                <w:sz w:val="20"/>
                <w:szCs w:val="20"/>
              </w:rPr>
              <w:t xml:space="preserve">Signature:  </w:t>
            </w:r>
            <w:r w:rsidR="00A21F3D" w:rsidRPr="0021132C">
              <w:rPr>
                <w:rFonts w:cs="Arial"/>
                <w:sz w:val="20"/>
                <w:szCs w:val="20"/>
              </w:rPr>
              <w:t>print name below</w:t>
            </w:r>
          </w:p>
          <w:p w14:paraId="0F4D737D" w14:textId="77777777" w:rsidR="00A21F3D" w:rsidRPr="0021132C" w:rsidRDefault="00A21F3D" w:rsidP="00B87774">
            <w:pPr>
              <w:spacing w:after="0"/>
              <w:jc w:val="left"/>
              <w:rPr>
                <w:rFonts w:cs="Arial"/>
                <w:b/>
                <w:sz w:val="20"/>
                <w:szCs w:val="20"/>
              </w:rPr>
            </w:pPr>
          </w:p>
          <w:p w14:paraId="35C9CB43" w14:textId="77777777" w:rsidR="005A7590" w:rsidRPr="0021132C" w:rsidRDefault="005A7590" w:rsidP="00B87774">
            <w:pPr>
              <w:spacing w:after="0"/>
              <w:jc w:val="left"/>
              <w:rPr>
                <w:rFonts w:cs="Arial"/>
                <w:b/>
                <w:sz w:val="20"/>
                <w:szCs w:val="20"/>
              </w:rPr>
            </w:pPr>
          </w:p>
        </w:tc>
        <w:tc>
          <w:tcPr>
            <w:tcW w:w="1620" w:type="dxa"/>
            <w:gridSpan w:val="2"/>
            <w:shd w:val="clear" w:color="auto" w:fill="auto"/>
          </w:tcPr>
          <w:p w14:paraId="19879000" w14:textId="77777777" w:rsidR="0077088A" w:rsidRPr="0021132C" w:rsidRDefault="0077088A" w:rsidP="00B87774">
            <w:pPr>
              <w:spacing w:after="0"/>
              <w:jc w:val="left"/>
              <w:rPr>
                <w:rFonts w:cs="Arial"/>
                <w:b/>
                <w:sz w:val="20"/>
                <w:szCs w:val="20"/>
              </w:rPr>
            </w:pPr>
            <w:r w:rsidRPr="0021132C">
              <w:rPr>
                <w:rFonts w:cs="Arial"/>
                <w:b/>
                <w:sz w:val="20"/>
                <w:szCs w:val="20"/>
              </w:rPr>
              <w:t>Agreed by Government</w:t>
            </w:r>
          </w:p>
        </w:tc>
        <w:tc>
          <w:tcPr>
            <w:tcW w:w="3600" w:type="dxa"/>
            <w:gridSpan w:val="2"/>
            <w:shd w:val="clear" w:color="auto" w:fill="auto"/>
          </w:tcPr>
          <w:p w14:paraId="00AC0E7F" w14:textId="77777777" w:rsidR="0077088A" w:rsidRPr="0021132C" w:rsidRDefault="0077088A" w:rsidP="00B87774">
            <w:pPr>
              <w:spacing w:after="0"/>
              <w:jc w:val="left"/>
              <w:rPr>
                <w:rFonts w:cs="Arial"/>
                <w:b/>
                <w:sz w:val="20"/>
                <w:szCs w:val="20"/>
              </w:rPr>
            </w:pPr>
            <w:r w:rsidRPr="0021132C">
              <w:rPr>
                <w:rFonts w:cs="Arial"/>
                <w:b/>
                <w:sz w:val="20"/>
                <w:szCs w:val="20"/>
              </w:rPr>
              <w:t>Date/Month/Year:</w:t>
            </w:r>
          </w:p>
          <w:p w14:paraId="63B4BDFB" w14:textId="77777777" w:rsidR="0077088A" w:rsidRPr="0021132C" w:rsidRDefault="0077088A" w:rsidP="00B87774">
            <w:pPr>
              <w:spacing w:after="0"/>
              <w:jc w:val="left"/>
              <w:rPr>
                <w:rFonts w:cs="Arial"/>
                <w:sz w:val="20"/>
                <w:szCs w:val="20"/>
              </w:rPr>
            </w:pPr>
          </w:p>
        </w:tc>
      </w:tr>
      <w:tr w:rsidR="0077088A" w:rsidRPr="0021132C" w14:paraId="3B07D51E" w14:textId="77777777" w:rsidTr="0003763F">
        <w:tc>
          <w:tcPr>
            <w:tcW w:w="4135" w:type="dxa"/>
            <w:gridSpan w:val="2"/>
            <w:shd w:val="clear" w:color="auto" w:fill="auto"/>
          </w:tcPr>
          <w:p w14:paraId="36A0B641" w14:textId="77777777" w:rsidR="00A21F3D" w:rsidRPr="0021132C" w:rsidRDefault="0077088A" w:rsidP="00B87774">
            <w:pPr>
              <w:spacing w:after="0"/>
              <w:jc w:val="left"/>
              <w:rPr>
                <w:rFonts w:cs="Arial"/>
                <w:sz w:val="20"/>
                <w:szCs w:val="20"/>
              </w:rPr>
            </w:pPr>
            <w:r w:rsidRPr="0021132C">
              <w:rPr>
                <w:rFonts w:cs="Arial"/>
                <w:b/>
                <w:sz w:val="20"/>
                <w:szCs w:val="20"/>
              </w:rPr>
              <w:t xml:space="preserve">Signature:  </w:t>
            </w:r>
            <w:r w:rsidR="00A21F3D" w:rsidRPr="0021132C">
              <w:rPr>
                <w:rFonts w:cs="Arial"/>
                <w:sz w:val="20"/>
                <w:szCs w:val="20"/>
              </w:rPr>
              <w:t>print name below</w:t>
            </w:r>
          </w:p>
          <w:p w14:paraId="4E7CB2C1" w14:textId="77777777" w:rsidR="0077088A" w:rsidRPr="0021132C" w:rsidRDefault="0077088A" w:rsidP="00B87774">
            <w:pPr>
              <w:spacing w:after="0"/>
              <w:jc w:val="left"/>
              <w:rPr>
                <w:rFonts w:cs="Arial"/>
                <w:b/>
                <w:sz w:val="20"/>
                <w:szCs w:val="20"/>
              </w:rPr>
            </w:pPr>
          </w:p>
        </w:tc>
        <w:tc>
          <w:tcPr>
            <w:tcW w:w="1620" w:type="dxa"/>
            <w:gridSpan w:val="2"/>
            <w:shd w:val="clear" w:color="auto" w:fill="auto"/>
          </w:tcPr>
          <w:p w14:paraId="20E27978" w14:textId="77777777" w:rsidR="0077088A" w:rsidRPr="0021132C" w:rsidRDefault="0077088A" w:rsidP="00B87774">
            <w:pPr>
              <w:spacing w:after="0"/>
              <w:jc w:val="left"/>
              <w:rPr>
                <w:rFonts w:cs="Arial"/>
                <w:b/>
                <w:sz w:val="20"/>
                <w:szCs w:val="20"/>
              </w:rPr>
            </w:pPr>
            <w:r w:rsidRPr="0021132C">
              <w:rPr>
                <w:rFonts w:cs="Arial"/>
                <w:b/>
                <w:sz w:val="20"/>
                <w:szCs w:val="20"/>
              </w:rPr>
              <w:t>Agreed by Implementing Partner</w:t>
            </w:r>
          </w:p>
        </w:tc>
        <w:tc>
          <w:tcPr>
            <w:tcW w:w="3600" w:type="dxa"/>
            <w:gridSpan w:val="2"/>
            <w:shd w:val="clear" w:color="auto" w:fill="auto"/>
          </w:tcPr>
          <w:p w14:paraId="2B5AC4E4" w14:textId="77777777" w:rsidR="0077088A" w:rsidRPr="0021132C" w:rsidRDefault="0077088A" w:rsidP="00B87774">
            <w:pPr>
              <w:spacing w:after="0"/>
              <w:jc w:val="left"/>
              <w:rPr>
                <w:rFonts w:cs="Arial"/>
                <w:b/>
                <w:sz w:val="20"/>
                <w:szCs w:val="20"/>
              </w:rPr>
            </w:pPr>
            <w:r w:rsidRPr="0021132C">
              <w:rPr>
                <w:rFonts w:cs="Arial"/>
                <w:b/>
                <w:sz w:val="20"/>
                <w:szCs w:val="20"/>
              </w:rPr>
              <w:t>Date/Month/Year:</w:t>
            </w:r>
          </w:p>
          <w:p w14:paraId="54401F91" w14:textId="77777777" w:rsidR="0077088A" w:rsidRPr="0021132C" w:rsidRDefault="0077088A" w:rsidP="00B87774">
            <w:pPr>
              <w:spacing w:after="0"/>
              <w:jc w:val="left"/>
              <w:rPr>
                <w:rFonts w:cs="Arial"/>
                <w:b/>
                <w:sz w:val="20"/>
                <w:szCs w:val="20"/>
              </w:rPr>
            </w:pPr>
          </w:p>
        </w:tc>
      </w:tr>
      <w:tr w:rsidR="0077088A" w:rsidRPr="0021132C" w14:paraId="38D30D34" w14:textId="77777777" w:rsidTr="0003763F">
        <w:tc>
          <w:tcPr>
            <w:tcW w:w="4135" w:type="dxa"/>
            <w:gridSpan w:val="2"/>
            <w:shd w:val="clear" w:color="auto" w:fill="auto"/>
          </w:tcPr>
          <w:p w14:paraId="3687B8C4" w14:textId="77777777" w:rsidR="00A21F3D" w:rsidRPr="0021132C" w:rsidRDefault="0077088A" w:rsidP="00B87774">
            <w:pPr>
              <w:spacing w:after="0"/>
              <w:jc w:val="left"/>
              <w:rPr>
                <w:rFonts w:cs="Arial"/>
                <w:sz w:val="20"/>
                <w:szCs w:val="20"/>
              </w:rPr>
            </w:pPr>
            <w:r w:rsidRPr="0021132C">
              <w:rPr>
                <w:rFonts w:cs="Arial"/>
                <w:b/>
                <w:sz w:val="20"/>
                <w:szCs w:val="20"/>
              </w:rPr>
              <w:t xml:space="preserve">Signature:  </w:t>
            </w:r>
            <w:r w:rsidR="00A21F3D" w:rsidRPr="0021132C">
              <w:rPr>
                <w:rFonts w:cs="Arial"/>
                <w:sz w:val="20"/>
                <w:szCs w:val="20"/>
              </w:rPr>
              <w:t>print name below</w:t>
            </w:r>
          </w:p>
          <w:p w14:paraId="29544134" w14:textId="77777777" w:rsidR="0077088A" w:rsidRPr="0021132C" w:rsidRDefault="0077088A" w:rsidP="00B87774">
            <w:pPr>
              <w:spacing w:after="0"/>
              <w:jc w:val="left"/>
              <w:rPr>
                <w:rFonts w:cs="Arial"/>
                <w:b/>
                <w:sz w:val="20"/>
                <w:szCs w:val="20"/>
              </w:rPr>
            </w:pPr>
          </w:p>
          <w:p w14:paraId="0FC7FB04" w14:textId="77777777" w:rsidR="005A7590" w:rsidRPr="0021132C" w:rsidRDefault="005A7590" w:rsidP="00B87774">
            <w:pPr>
              <w:spacing w:after="0"/>
              <w:jc w:val="left"/>
              <w:rPr>
                <w:rFonts w:cs="Arial"/>
                <w:b/>
                <w:sz w:val="20"/>
                <w:szCs w:val="20"/>
              </w:rPr>
            </w:pPr>
          </w:p>
        </w:tc>
        <w:tc>
          <w:tcPr>
            <w:tcW w:w="1620" w:type="dxa"/>
            <w:gridSpan w:val="2"/>
            <w:shd w:val="clear" w:color="auto" w:fill="auto"/>
          </w:tcPr>
          <w:p w14:paraId="05F58AB2" w14:textId="77777777" w:rsidR="0077088A" w:rsidRPr="0021132C" w:rsidRDefault="0077088A" w:rsidP="00B87774">
            <w:pPr>
              <w:spacing w:after="0"/>
              <w:jc w:val="left"/>
              <w:rPr>
                <w:rFonts w:cs="Arial"/>
                <w:b/>
                <w:sz w:val="20"/>
                <w:szCs w:val="20"/>
              </w:rPr>
            </w:pPr>
            <w:r w:rsidRPr="0021132C">
              <w:rPr>
                <w:rFonts w:cs="Arial"/>
                <w:b/>
                <w:sz w:val="20"/>
                <w:szCs w:val="20"/>
              </w:rPr>
              <w:t>Agreed by UNDP</w:t>
            </w:r>
          </w:p>
        </w:tc>
        <w:tc>
          <w:tcPr>
            <w:tcW w:w="3600" w:type="dxa"/>
            <w:gridSpan w:val="2"/>
            <w:shd w:val="clear" w:color="auto" w:fill="auto"/>
          </w:tcPr>
          <w:p w14:paraId="37D671A8" w14:textId="77777777" w:rsidR="0077088A" w:rsidRPr="0021132C" w:rsidRDefault="0077088A" w:rsidP="00B87774">
            <w:pPr>
              <w:spacing w:after="0"/>
              <w:jc w:val="left"/>
              <w:rPr>
                <w:rFonts w:cs="Arial"/>
                <w:b/>
                <w:sz w:val="20"/>
                <w:szCs w:val="20"/>
              </w:rPr>
            </w:pPr>
            <w:r w:rsidRPr="0021132C">
              <w:rPr>
                <w:rFonts w:cs="Arial"/>
                <w:b/>
                <w:sz w:val="20"/>
                <w:szCs w:val="20"/>
              </w:rPr>
              <w:t>Date/Month/Year:</w:t>
            </w:r>
          </w:p>
        </w:tc>
      </w:tr>
    </w:tbl>
    <w:p w14:paraId="0917F4EA" w14:textId="77777777" w:rsidR="001F6E52" w:rsidRPr="0003763F" w:rsidRDefault="001F6E52">
      <w:pPr>
        <w:spacing w:after="0"/>
        <w:jc w:val="left"/>
        <w:rPr>
          <w:rFonts w:eastAsia="Times New Roman"/>
          <w:szCs w:val="22"/>
        </w:rPr>
      </w:pPr>
      <w:r w:rsidRPr="0003763F">
        <w:rPr>
          <w:rFonts w:eastAsia="Times New Roman"/>
          <w:b/>
          <w:bCs/>
          <w:szCs w:val="22"/>
        </w:rPr>
        <w:br w:type="page"/>
      </w:r>
    </w:p>
    <w:p w14:paraId="771B60EA" w14:textId="77777777" w:rsidR="00D64EA4" w:rsidRPr="00C835CC" w:rsidRDefault="00D64EA4" w:rsidP="00C835CC">
      <w:pPr>
        <w:pStyle w:val="Heading1"/>
        <w:spacing w:before="0" w:after="0"/>
        <w:rPr>
          <w:rFonts w:ascii="Calibri" w:hAnsi="Calibri"/>
          <w:sz w:val="20"/>
        </w:rPr>
      </w:pPr>
      <w:bookmarkStart w:id="2" w:name="_Toc443050753"/>
      <w:r w:rsidRPr="00C835CC">
        <w:rPr>
          <w:rFonts w:ascii="Calibri" w:hAnsi="Calibri"/>
          <w:sz w:val="20"/>
        </w:rPr>
        <w:lastRenderedPageBreak/>
        <w:t>Table of Contents</w:t>
      </w:r>
      <w:bookmarkEnd w:id="2"/>
    </w:p>
    <w:p w14:paraId="7061DBC7" w14:textId="0BADBF83" w:rsidR="00E93529" w:rsidRPr="00C835CC" w:rsidRDefault="00D64EA4" w:rsidP="00C835CC">
      <w:pPr>
        <w:pStyle w:val="TOC1"/>
        <w:spacing w:after="0"/>
        <w:rPr>
          <w:rFonts w:eastAsia="Times New Roman"/>
          <w:noProof/>
          <w:sz w:val="20"/>
          <w:szCs w:val="20"/>
        </w:rPr>
      </w:pPr>
      <w:r w:rsidRPr="00C835CC">
        <w:rPr>
          <w:sz w:val="20"/>
          <w:szCs w:val="20"/>
        </w:rPr>
        <w:fldChar w:fldCharType="begin"/>
      </w:r>
      <w:r w:rsidRPr="00C835CC">
        <w:rPr>
          <w:sz w:val="20"/>
          <w:szCs w:val="20"/>
        </w:rPr>
        <w:instrText xml:space="preserve"> TOC \o "1-3" \h \z \u </w:instrText>
      </w:r>
      <w:r w:rsidRPr="00C835CC">
        <w:rPr>
          <w:sz w:val="20"/>
          <w:szCs w:val="20"/>
        </w:rPr>
        <w:fldChar w:fldCharType="separate"/>
      </w:r>
      <w:hyperlink w:anchor="_Toc443050753" w:history="1">
        <w:r w:rsidR="00E93529" w:rsidRPr="00C835CC">
          <w:rPr>
            <w:rStyle w:val="Hyperlink"/>
            <w:noProof/>
            <w:sz w:val="20"/>
            <w:szCs w:val="20"/>
          </w:rPr>
          <w:t>I.</w:t>
        </w:r>
        <w:r w:rsidR="00E93529" w:rsidRPr="00C835CC">
          <w:rPr>
            <w:rFonts w:eastAsia="Times New Roman"/>
            <w:noProof/>
            <w:sz w:val="20"/>
            <w:szCs w:val="20"/>
          </w:rPr>
          <w:tab/>
        </w:r>
        <w:r w:rsidR="00E93529" w:rsidRPr="00C835CC">
          <w:rPr>
            <w:rStyle w:val="Hyperlink"/>
            <w:noProof/>
            <w:sz w:val="20"/>
            <w:szCs w:val="20"/>
          </w:rPr>
          <w:t>Table of Contents</w:t>
        </w:r>
        <w:r w:rsidR="00E93529" w:rsidRPr="00C835CC">
          <w:rPr>
            <w:noProof/>
            <w:webHidden/>
            <w:sz w:val="20"/>
            <w:szCs w:val="20"/>
          </w:rPr>
          <w:tab/>
        </w:r>
        <w:r w:rsidR="00E93529" w:rsidRPr="00C835CC">
          <w:rPr>
            <w:noProof/>
            <w:webHidden/>
            <w:sz w:val="20"/>
            <w:szCs w:val="20"/>
          </w:rPr>
          <w:fldChar w:fldCharType="begin"/>
        </w:r>
        <w:r w:rsidR="00E93529" w:rsidRPr="00C835CC">
          <w:rPr>
            <w:noProof/>
            <w:webHidden/>
            <w:sz w:val="20"/>
            <w:szCs w:val="20"/>
          </w:rPr>
          <w:instrText xml:space="preserve"> PAGEREF _Toc443050753 \h </w:instrText>
        </w:r>
        <w:r w:rsidR="00E93529" w:rsidRPr="00C835CC">
          <w:rPr>
            <w:noProof/>
            <w:webHidden/>
            <w:sz w:val="20"/>
            <w:szCs w:val="20"/>
          </w:rPr>
        </w:r>
        <w:r w:rsidR="00E93529" w:rsidRPr="00C835CC">
          <w:rPr>
            <w:noProof/>
            <w:webHidden/>
            <w:sz w:val="20"/>
            <w:szCs w:val="20"/>
          </w:rPr>
          <w:fldChar w:fldCharType="separate"/>
        </w:r>
        <w:r w:rsidR="00D3049A">
          <w:rPr>
            <w:noProof/>
            <w:webHidden/>
            <w:sz w:val="20"/>
            <w:szCs w:val="20"/>
          </w:rPr>
          <w:t>3</w:t>
        </w:r>
        <w:r w:rsidR="00E93529" w:rsidRPr="00C835CC">
          <w:rPr>
            <w:noProof/>
            <w:webHidden/>
            <w:sz w:val="20"/>
            <w:szCs w:val="20"/>
          </w:rPr>
          <w:fldChar w:fldCharType="end"/>
        </w:r>
      </w:hyperlink>
    </w:p>
    <w:p w14:paraId="75395B59" w14:textId="6DD98A7B" w:rsidR="00E93529" w:rsidRPr="00C835CC" w:rsidRDefault="00E03EBE" w:rsidP="00C835CC">
      <w:pPr>
        <w:pStyle w:val="TOC1"/>
        <w:spacing w:after="0"/>
        <w:rPr>
          <w:rFonts w:eastAsia="Times New Roman"/>
          <w:noProof/>
          <w:sz w:val="20"/>
          <w:szCs w:val="20"/>
        </w:rPr>
      </w:pPr>
      <w:hyperlink w:anchor="_Toc443050754" w:history="1">
        <w:r w:rsidR="00E93529" w:rsidRPr="00C835CC">
          <w:rPr>
            <w:rStyle w:val="Hyperlink"/>
            <w:noProof/>
            <w:sz w:val="20"/>
            <w:szCs w:val="20"/>
          </w:rPr>
          <w:t>II.</w:t>
        </w:r>
        <w:r w:rsidR="00E93529" w:rsidRPr="00C835CC">
          <w:rPr>
            <w:rFonts w:eastAsia="Times New Roman"/>
            <w:noProof/>
            <w:sz w:val="20"/>
            <w:szCs w:val="20"/>
          </w:rPr>
          <w:tab/>
        </w:r>
        <w:r w:rsidR="00E93529" w:rsidRPr="00C835CC">
          <w:rPr>
            <w:rStyle w:val="Hyperlink"/>
            <w:noProof/>
            <w:sz w:val="20"/>
            <w:szCs w:val="20"/>
          </w:rPr>
          <w:t>Development Challenge</w:t>
        </w:r>
        <w:r w:rsidR="00E93529" w:rsidRPr="00C835CC">
          <w:rPr>
            <w:noProof/>
            <w:webHidden/>
            <w:sz w:val="20"/>
            <w:szCs w:val="20"/>
          </w:rPr>
          <w:tab/>
        </w:r>
        <w:r w:rsidR="00E93529" w:rsidRPr="00C835CC">
          <w:rPr>
            <w:noProof/>
            <w:webHidden/>
            <w:sz w:val="20"/>
            <w:szCs w:val="20"/>
          </w:rPr>
          <w:fldChar w:fldCharType="begin"/>
        </w:r>
        <w:r w:rsidR="00E93529" w:rsidRPr="00C835CC">
          <w:rPr>
            <w:noProof/>
            <w:webHidden/>
            <w:sz w:val="20"/>
            <w:szCs w:val="20"/>
          </w:rPr>
          <w:instrText xml:space="preserve"> PAGEREF _Toc443050754 \h </w:instrText>
        </w:r>
        <w:r w:rsidR="00E93529" w:rsidRPr="00C835CC">
          <w:rPr>
            <w:noProof/>
            <w:webHidden/>
            <w:sz w:val="20"/>
            <w:szCs w:val="20"/>
          </w:rPr>
        </w:r>
        <w:r w:rsidR="00E93529" w:rsidRPr="00C835CC">
          <w:rPr>
            <w:noProof/>
            <w:webHidden/>
            <w:sz w:val="20"/>
            <w:szCs w:val="20"/>
          </w:rPr>
          <w:fldChar w:fldCharType="separate"/>
        </w:r>
        <w:r w:rsidR="00D3049A">
          <w:rPr>
            <w:noProof/>
            <w:webHidden/>
            <w:sz w:val="20"/>
            <w:szCs w:val="20"/>
          </w:rPr>
          <w:t>7</w:t>
        </w:r>
        <w:r w:rsidR="00E93529" w:rsidRPr="00C835CC">
          <w:rPr>
            <w:noProof/>
            <w:webHidden/>
            <w:sz w:val="20"/>
            <w:szCs w:val="20"/>
          </w:rPr>
          <w:fldChar w:fldCharType="end"/>
        </w:r>
      </w:hyperlink>
    </w:p>
    <w:p w14:paraId="3472617D" w14:textId="457669CD" w:rsidR="00E93529" w:rsidRPr="00C835CC" w:rsidRDefault="00E03EBE" w:rsidP="00C835CC">
      <w:pPr>
        <w:pStyle w:val="TOC1"/>
        <w:spacing w:after="0"/>
        <w:rPr>
          <w:rFonts w:eastAsia="Times New Roman"/>
          <w:noProof/>
          <w:sz w:val="20"/>
          <w:szCs w:val="20"/>
        </w:rPr>
      </w:pPr>
      <w:hyperlink w:anchor="_Toc443050755" w:history="1">
        <w:r w:rsidR="00E93529" w:rsidRPr="00C835CC">
          <w:rPr>
            <w:rStyle w:val="Hyperlink"/>
            <w:noProof/>
            <w:sz w:val="20"/>
            <w:szCs w:val="20"/>
          </w:rPr>
          <w:t>III.</w:t>
        </w:r>
        <w:r w:rsidR="00E93529" w:rsidRPr="00C835CC">
          <w:rPr>
            <w:rFonts w:eastAsia="Times New Roman"/>
            <w:noProof/>
            <w:sz w:val="20"/>
            <w:szCs w:val="20"/>
          </w:rPr>
          <w:tab/>
        </w:r>
        <w:r w:rsidR="00E93529" w:rsidRPr="00C835CC">
          <w:rPr>
            <w:rStyle w:val="Hyperlink"/>
            <w:noProof/>
            <w:sz w:val="20"/>
            <w:szCs w:val="20"/>
          </w:rPr>
          <w:t>Strategy</w:t>
        </w:r>
        <w:r w:rsidR="00E93529" w:rsidRPr="00C835CC">
          <w:rPr>
            <w:noProof/>
            <w:webHidden/>
            <w:sz w:val="20"/>
            <w:szCs w:val="20"/>
          </w:rPr>
          <w:tab/>
        </w:r>
        <w:r w:rsidR="00E93529" w:rsidRPr="00C835CC">
          <w:rPr>
            <w:noProof/>
            <w:webHidden/>
            <w:sz w:val="20"/>
            <w:szCs w:val="20"/>
          </w:rPr>
          <w:fldChar w:fldCharType="begin"/>
        </w:r>
        <w:r w:rsidR="00E93529" w:rsidRPr="00C835CC">
          <w:rPr>
            <w:noProof/>
            <w:webHidden/>
            <w:sz w:val="20"/>
            <w:szCs w:val="20"/>
          </w:rPr>
          <w:instrText xml:space="preserve"> PAGEREF _Toc443050755 \h </w:instrText>
        </w:r>
        <w:r w:rsidR="00E93529" w:rsidRPr="00C835CC">
          <w:rPr>
            <w:noProof/>
            <w:webHidden/>
            <w:sz w:val="20"/>
            <w:szCs w:val="20"/>
          </w:rPr>
        </w:r>
        <w:r w:rsidR="00E93529" w:rsidRPr="00C835CC">
          <w:rPr>
            <w:noProof/>
            <w:webHidden/>
            <w:sz w:val="20"/>
            <w:szCs w:val="20"/>
          </w:rPr>
          <w:fldChar w:fldCharType="separate"/>
        </w:r>
        <w:r w:rsidR="00D3049A">
          <w:rPr>
            <w:noProof/>
            <w:webHidden/>
            <w:sz w:val="20"/>
            <w:szCs w:val="20"/>
          </w:rPr>
          <w:t>19</w:t>
        </w:r>
        <w:r w:rsidR="00E93529" w:rsidRPr="00C835CC">
          <w:rPr>
            <w:noProof/>
            <w:webHidden/>
            <w:sz w:val="20"/>
            <w:szCs w:val="20"/>
          </w:rPr>
          <w:fldChar w:fldCharType="end"/>
        </w:r>
      </w:hyperlink>
    </w:p>
    <w:p w14:paraId="2312D181" w14:textId="6AC5C505" w:rsidR="00E93529" w:rsidRPr="00C835CC" w:rsidRDefault="00E03EBE" w:rsidP="00C835CC">
      <w:pPr>
        <w:pStyle w:val="TOC1"/>
        <w:spacing w:after="0"/>
        <w:rPr>
          <w:rFonts w:eastAsia="Times New Roman"/>
          <w:noProof/>
          <w:sz w:val="20"/>
          <w:szCs w:val="20"/>
        </w:rPr>
      </w:pPr>
      <w:hyperlink w:anchor="_Toc443050756" w:history="1">
        <w:r w:rsidR="00E93529" w:rsidRPr="00C835CC">
          <w:rPr>
            <w:rStyle w:val="Hyperlink"/>
            <w:noProof/>
            <w:sz w:val="20"/>
            <w:szCs w:val="20"/>
          </w:rPr>
          <w:t>IV.</w:t>
        </w:r>
        <w:r w:rsidR="00E93529" w:rsidRPr="00C835CC">
          <w:rPr>
            <w:rFonts w:eastAsia="Times New Roman"/>
            <w:noProof/>
            <w:sz w:val="20"/>
            <w:szCs w:val="20"/>
          </w:rPr>
          <w:tab/>
        </w:r>
        <w:r w:rsidR="00E93529" w:rsidRPr="00C835CC">
          <w:rPr>
            <w:rStyle w:val="Hyperlink"/>
            <w:noProof/>
            <w:sz w:val="20"/>
            <w:szCs w:val="20"/>
          </w:rPr>
          <w:t>Results and Partnerships</w:t>
        </w:r>
        <w:r w:rsidR="00E93529" w:rsidRPr="00C835CC">
          <w:rPr>
            <w:noProof/>
            <w:webHidden/>
            <w:sz w:val="20"/>
            <w:szCs w:val="20"/>
          </w:rPr>
          <w:tab/>
        </w:r>
        <w:r w:rsidR="00E93529" w:rsidRPr="00C835CC">
          <w:rPr>
            <w:noProof/>
            <w:webHidden/>
            <w:sz w:val="20"/>
            <w:szCs w:val="20"/>
          </w:rPr>
          <w:fldChar w:fldCharType="begin"/>
        </w:r>
        <w:r w:rsidR="00E93529" w:rsidRPr="00C835CC">
          <w:rPr>
            <w:noProof/>
            <w:webHidden/>
            <w:sz w:val="20"/>
            <w:szCs w:val="20"/>
          </w:rPr>
          <w:instrText xml:space="preserve"> PAGEREF _Toc443050756 \h </w:instrText>
        </w:r>
        <w:r w:rsidR="00E93529" w:rsidRPr="00C835CC">
          <w:rPr>
            <w:noProof/>
            <w:webHidden/>
            <w:sz w:val="20"/>
            <w:szCs w:val="20"/>
          </w:rPr>
        </w:r>
        <w:r w:rsidR="00E93529" w:rsidRPr="00C835CC">
          <w:rPr>
            <w:noProof/>
            <w:webHidden/>
            <w:sz w:val="20"/>
            <w:szCs w:val="20"/>
          </w:rPr>
          <w:fldChar w:fldCharType="separate"/>
        </w:r>
        <w:r w:rsidR="00D3049A">
          <w:rPr>
            <w:noProof/>
            <w:webHidden/>
            <w:sz w:val="20"/>
            <w:szCs w:val="20"/>
          </w:rPr>
          <w:t>23</w:t>
        </w:r>
        <w:r w:rsidR="00E93529" w:rsidRPr="00C835CC">
          <w:rPr>
            <w:noProof/>
            <w:webHidden/>
            <w:sz w:val="20"/>
            <w:szCs w:val="20"/>
          </w:rPr>
          <w:fldChar w:fldCharType="end"/>
        </w:r>
      </w:hyperlink>
    </w:p>
    <w:p w14:paraId="23FBF438" w14:textId="40245211" w:rsidR="00E93529" w:rsidRPr="00C835CC" w:rsidRDefault="00E03EBE" w:rsidP="00C835CC">
      <w:pPr>
        <w:pStyle w:val="TOC1"/>
        <w:spacing w:after="0"/>
        <w:rPr>
          <w:rFonts w:eastAsia="Times New Roman"/>
          <w:noProof/>
          <w:sz w:val="20"/>
          <w:szCs w:val="20"/>
        </w:rPr>
      </w:pPr>
      <w:hyperlink w:anchor="_Toc443050757" w:history="1">
        <w:r w:rsidR="00E93529" w:rsidRPr="00C835CC">
          <w:rPr>
            <w:rStyle w:val="Hyperlink"/>
            <w:noProof/>
            <w:sz w:val="20"/>
            <w:szCs w:val="20"/>
          </w:rPr>
          <w:t>V.</w:t>
        </w:r>
        <w:r w:rsidR="00E93529" w:rsidRPr="00C835CC">
          <w:rPr>
            <w:rFonts w:eastAsia="Times New Roman"/>
            <w:noProof/>
            <w:sz w:val="20"/>
            <w:szCs w:val="20"/>
          </w:rPr>
          <w:tab/>
        </w:r>
        <w:r w:rsidR="00E93529" w:rsidRPr="00C835CC">
          <w:rPr>
            <w:rStyle w:val="Hyperlink"/>
            <w:noProof/>
            <w:sz w:val="20"/>
            <w:szCs w:val="20"/>
          </w:rPr>
          <w:t>Feasibility</w:t>
        </w:r>
        <w:r w:rsidR="00E93529" w:rsidRPr="00C835CC">
          <w:rPr>
            <w:noProof/>
            <w:webHidden/>
            <w:sz w:val="20"/>
            <w:szCs w:val="20"/>
          </w:rPr>
          <w:tab/>
        </w:r>
        <w:r w:rsidR="00E93529" w:rsidRPr="00C835CC">
          <w:rPr>
            <w:noProof/>
            <w:webHidden/>
            <w:sz w:val="20"/>
            <w:szCs w:val="20"/>
          </w:rPr>
          <w:fldChar w:fldCharType="begin"/>
        </w:r>
        <w:r w:rsidR="00E93529" w:rsidRPr="00C835CC">
          <w:rPr>
            <w:noProof/>
            <w:webHidden/>
            <w:sz w:val="20"/>
            <w:szCs w:val="20"/>
          </w:rPr>
          <w:instrText xml:space="preserve"> PAGEREF _Toc443050757 \h </w:instrText>
        </w:r>
        <w:r w:rsidR="00E93529" w:rsidRPr="00C835CC">
          <w:rPr>
            <w:noProof/>
            <w:webHidden/>
            <w:sz w:val="20"/>
            <w:szCs w:val="20"/>
          </w:rPr>
        </w:r>
        <w:r w:rsidR="00E93529" w:rsidRPr="00C835CC">
          <w:rPr>
            <w:noProof/>
            <w:webHidden/>
            <w:sz w:val="20"/>
            <w:szCs w:val="20"/>
          </w:rPr>
          <w:fldChar w:fldCharType="separate"/>
        </w:r>
        <w:r w:rsidR="00D3049A">
          <w:rPr>
            <w:noProof/>
            <w:webHidden/>
            <w:sz w:val="20"/>
            <w:szCs w:val="20"/>
          </w:rPr>
          <w:t>43</w:t>
        </w:r>
        <w:r w:rsidR="00E93529" w:rsidRPr="00C835CC">
          <w:rPr>
            <w:noProof/>
            <w:webHidden/>
            <w:sz w:val="20"/>
            <w:szCs w:val="20"/>
          </w:rPr>
          <w:fldChar w:fldCharType="end"/>
        </w:r>
      </w:hyperlink>
    </w:p>
    <w:p w14:paraId="13D4BE38" w14:textId="4C6D3CC1" w:rsidR="00E93529" w:rsidRPr="00C835CC" w:rsidRDefault="00E03EBE" w:rsidP="00C835CC">
      <w:pPr>
        <w:pStyle w:val="TOC1"/>
        <w:spacing w:after="0"/>
        <w:rPr>
          <w:rFonts w:eastAsia="Times New Roman"/>
          <w:noProof/>
          <w:sz w:val="20"/>
          <w:szCs w:val="20"/>
        </w:rPr>
      </w:pPr>
      <w:hyperlink w:anchor="_Toc443050758" w:history="1">
        <w:r w:rsidR="00E93529" w:rsidRPr="00C835CC">
          <w:rPr>
            <w:rStyle w:val="Hyperlink"/>
            <w:noProof/>
            <w:sz w:val="20"/>
            <w:szCs w:val="20"/>
          </w:rPr>
          <w:t>VI.</w:t>
        </w:r>
        <w:r w:rsidR="00E93529" w:rsidRPr="00C835CC">
          <w:rPr>
            <w:rFonts w:eastAsia="Times New Roman"/>
            <w:noProof/>
            <w:sz w:val="20"/>
            <w:szCs w:val="20"/>
          </w:rPr>
          <w:tab/>
        </w:r>
        <w:r w:rsidR="00E93529" w:rsidRPr="00C835CC">
          <w:rPr>
            <w:rStyle w:val="Hyperlink"/>
            <w:noProof/>
            <w:sz w:val="20"/>
            <w:szCs w:val="20"/>
          </w:rPr>
          <w:t>Project Results Framework</w:t>
        </w:r>
        <w:r w:rsidR="00E93529" w:rsidRPr="00C835CC">
          <w:rPr>
            <w:noProof/>
            <w:webHidden/>
            <w:sz w:val="20"/>
            <w:szCs w:val="20"/>
          </w:rPr>
          <w:tab/>
        </w:r>
        <w:r w:rsidR="00E93529" w:rsidRPr="00C835CC">
          <w:rPr>
            <w:noProof/>
            <w:webHidden/>
            <w:sz w:val="20"/>
            <w:szCs w:val="20"/>
          </w:rPr>
          <w:fldChar w:fldCharType="begin"/>
        </w:r>
        <w:r w:rsidR="00E93529" w:rsidRPr="00C835CC">
          <w:rPr>
            <w:noProof/>
            <w:webHidden/>
            <w:sz w:val="20"/>
            <w:szCs w:val="20"/>
          </w:rPr>
          <w:instrText xml:space="preserve"> PAGEREF _Toc443050758 \h </w:instrText>
        </w:r>
        <w:r w:rsidR="00E93529" w:rsidRPr="00C835CC">
          <w:rPr>
            <w:noProof/>
            <w:webHidden/>
            <w:sz w:val="20"/>
            <w:szCs w:val="20"/>
          </w:rPr>
        </w:r>
        <w:r w:rsidR="00E93529" w:rsidRPr="00C835CC">
          <w:rPr>
            <w:noProof/>
            <w:webHidden/>
            <w:sz w:val="20"/>
            <w:szCs w:val="20"/>
          </w:rPr>
          <w:fldChar w:fldCharType="separate"/>
        </w:r>
        <w:r w:rsidR="00D3049A">
          <w:rPr>
            <w:noProof/>
            <w:webHidden/>
            <w:sz w:val="20"/>
            <w:szCs w:val="20"/>
          </w:rPr>
          <w:t>49</w:t>
        </w:r>
        <w:r w:rsidR="00E93529" w:rsidRPr="00C835CC">
          <w:rPr>
            <w:noProof/>
            <w:webHidden/>
            <w:sz w:val="20"/>
            <w:szCs w:val="20"/>
          </w:rPr>
          <w:fldChar w:fldCharType="end"/>
        </w:r>
      </w:hyperlink>
    </w:p>
    <w:p w14:paraId="639234D2" w14:textId="15C08524" w:rsidR="00E93529" w:rsidRPr="00C835CC" w:rsidRDefault="00E03EBE" w:rsidP="00C835CC">
      <w:pPr>
        <w:pStyle w:val="TOC1"/>
        <w:spacing w:after="0"/>
        <w:rPr>
          <w:rFonts w:eastAsia="Times New Roman"/>
          <w:noProof/>
          <w:sz w:val="20"/>
          <w:szCs w:val="20"/>
        </w:rPr>
      </w:pPr>
      <w:hyperlink w:anchor="_Toc443050759" w:history="1">
        <w:r w:rsidR="00E93529" w:rsidRPr="00C835CC">
          <w:rPr>
            <w:rStyle w:val="Hyperlink"/>
            <w:noProof/>
            <w:sz w:val="20"/>
            <w:szCs w:val="20"/>
          </w:rPr>
          <w:t>VII.</w:t>
        </w:r>
        <w:r w:rsidR="00E93529" w:rsidRPr="00C835CC">
          <w:rPr>
            <w:rFonts w:eastAsia="Times New Roman"/>
            <w:noProof/>
            <w:sz w:val="20"/>
            <w:szCs w:val="20"/>
          </w:rPr>
          <w:tab/>
        </w:r>
        <w:r w:rsidR="00E93529" w:rsidRPr="00C835CC">
          <w:rPr>
            <w:rStyle w:val="Hyperlink"/>
            <w:noProof/>
            <w:sz w:val="20"/>
            <w:szCs w:val="20"/>
          </w:rPr>
          <w:t>Monitoring and Evaluation (M&amp;E) Plan</w:t>
        </w:r>
        <w:r w:rsidR="00E93529" w:rsidRPr="00C835CC">
          <w:rPr>
            <w:noProof/>
            <w:webHidden/>
            <w:sz w:val="20"/>
            <w:szCs w:val="20"/>
          </w:rPr>
          <w:tab/>
        </w:r>
        <w:r w:rsidR="00E93529" w:rsidRPr="00C835CC">
          <w:rPr>
            <w:noProof/>
            <w:webHidden/>
            <w:sz w:val="20"/>
            <w:szCs w:val="20"/>
          </w:rPr>
          <w:fldChar w:fldCharType="begin"/>
        </w:r>
        <w:r w:rsidR="00E93529" w:rsidRPr="00C835CC">
          <w:rPr>
            <w:noProof/>
            <w:webHidden/>
            <w:sz w:val="20"/>
            <w:szCs w:val="20"/>
          </w:rPr>
          <w:instrText xml:space="preserve"> PAGEREF _Toc443050759 \h </w:instrText>
        </w:r>
        <w:r w:rsidR="00E93529" w:rsidRPr="00C835CC">
          <w:rPr>
            <w:noProof/>
            <w:webHidden/>
            <w:sz w:val="20"/>
            <w:szCs w:val="20"/>
          </w:rPr>
        </w:r>
        <w:r w:rsidR="00E93529" w:rsidRPr="00C835CC">
          <w:rPr>
            <w:noProof/>
            <w:webHidden/>
            <w:sz w:val="20"/>
            <w:szCs w:val="20"/>
          </w:rPr>
          <w:fldChar w:fldCharType="separate"/>
        </w:r>
        <w:r w:rsidR="00D3049A">
          <w:rPr>
            <w:noProof/>
            <w:webHidden/>
            <w:sz w:val="20"/>
            <w:szCs w:val="20"/>
          </w:rPr>
          <w:t>56</w:t>
        </w:r>
        <w:r w:rsidR="00E93529" w:rsidRPr="00C835CC">
          <w:rPr>
            <w:noProof/>
            <w:webHidden/>
            <w:sz w:val="20"/>
            <w:szCs w:val="20"/>
          </w:rPr>
          <w:fldChar w:fldCharType="end"/>
        </w:r>
      </w:hyperlink>
    </w:p>
    <w:p w14:paraId="7B014B41" w14:textId="15C0856E" w:rsidR="00E93529" w:rsidRPr="00C835CC" w:rsidRDefault="00E03EBE" w:rsidP="00C835CC">
      <w:pPr>
        <w:pStyle w:val="TOC1"/>
        <w:spacing w:after="0"/>
        <w:rPr>
          <w:rFonts w:eastAsia="Times New Roman"/>
          <w:noProof/>
          <w:sz w:val="20"/>
          <w:szCs w:val="20"/>
        </w:rPr>
      </w:pPr>
      <w:hyperlink w:anchor="_Toc443050760" w:history="1">
        <w:r w:rsidR="00E93529" w:rsidRPr="00C835CC">
          <w:rPr>
            <w:rStyle w:val="Hyperlink"/>
            <w:noProof/>
            <w:sz w:val="20"/>
            <w:szCs w:val="20"/>
          </w:rPr>
          <w:t>VIII.</w:t>
        </w:r>
        <w:r w:rsidR="00E93529" w:rsidRPr="00C835CC">
          <w:rPr>
            <w:rFonts w:eastAsia="Times New Roman"/>
            <w:noProof/>
            <w:sz w:val="20"/>
            <w:szCs w:val="20"/>
          </w:rPr>
          <w:tab/>
        </w:r>
        <w:r w:rsidR="00E93529" w:rsidRPr="00C835CC">
          <w:rPr>
            <w:rStyle w:val="Hyperlink"/>
            <w:noProof/>
            <w:sz w:val="20"/>
            <w:szCs w:val="20"/>
          </w:rPr>
          <w:t>Governance and Management Arrangements</w:t>
        </w:r>
        <w:r w:rsidR="00E93529" w:rsidRPr="00C835CC">
          <w:rPr>
            <w:noProof/>
            <w:webHidden/>
            <w:sz w:val="20"/>
            <w:szCs w:val="20"/>
          </w:rPr>
          <w:tab/>
        </w:r>
        <w:r w:rsidR="00E93529" w:rsidRPr="00C835CC">
          <w:rPr>
            <w:noProof/>
            <w:webHidden/>
            <w:sz w:val="20"/>
            <w:szCs w:val="20"/>
          </w:rPr>
          <w:fldChar w:fldCharType="begin"/>
        </w:r>
        <w:r w:rsidR="00E93529" w:rsidRPr="00C835CC">
          <w:rPr>
            <w:noProof/>
            <w:webHidden/>
            <w:sz w:val="20"/>
            <w:szCs w:val="20"/>
          </w:rPr>
          <w:instrText xml:space="preserve"> PAGEREF _Toc443050760 \h </w:instrText>
        </w:r>
        <w:r w:rsidR="00E93529" w:rsidRPr="00C835CC">
          <w:rPr>
            <w:noProof/>
            <w:webHidden/>
            <w:sz w:val="20"/>
            <w:szCs w:val="20"/>
          </w:rPr>
        </w:r>
        <w:r w:rsidR="00E93529" w:rsidRPr="00C835CC">
          <w:rPr>
            <w:noProof/>
            <w:webHidden/>
            <w:sz w:val="20"/>
            <w:szCs w:val="20"/>
          </w:rPr>
          <w:fldChar w:fldCharType="separate"/>
        </w:r>
        <w:r w:rsidR="00D3049A">
          <w:rPr>
            <w:noProof/>
            <w:webHidden/>
            <w:sz w:val="20"/>
            <w:szCs w:val="20"/>
          </w:rPr>
          <w:t>60</w:t>
        </w:r>
        <w:r w:rsidR="00E93529" w:rsidRPr="00C835CC">
          <w:rPr>
            <w:noProof/>
            <w:webHidden/>
            <w:sz w:val="20"/>
            <w:szCs w:val="20"/>
          </w:rPr>
          <w:fldChar w:fldCharType="end"/>
        </w:r>
      </w:hyperlink>
    </w:p>
    <w:p w14:paraId="7BB0FD30" w14:textId="15CB8E27" w:rsidR="00E93529" w:rsidRPr="00C835CC" w:rsidRDefault="00E03EBE" w:rsidP="00C835CC">
      <w:pPr>
        <w:pStyle w:val="TOC1"/>
        <w:spacing w:after="0"/>
        <w:rPr>
          <w:rFonts w:eastAsia="Times New Roman"/>
          <w:noProof/>
          <w:sz w:val="20"/>
          <w:szCs w:val="20"/>
        </w:rPr>
      </w:pPr>
      <w:hyperlink w:anchor="_Toc443050761" w:history="1">
        <w:r w:rsidR="00E93529" w:rsidRPr="00C835CC">
          <w:rPr>
            <w:rStyle w:val="Hyperlink"/>
            <w:noProof/>
            <w:sz w:val="20"/>
            <w:szCs w:val="20"/>
          </w:rPr>
          <w:t>IX.</w:t>
        </w:r>
        <w:r w:rsidR="00E93529" w:rsidRPr="00C835CC">
          <w:rPr>
            <w:rFonts w:eastAsia="Times New Roman"/>
            <w:noProof/>
            <w:sz w:val="20"/>
            <w:szCs w:val="20"/>
          </w:rPr>
          <w:tab/>
        </w:r>
        <w:r w:rsidR="00E93529" w:rsidRPr="00C835CC">
          <w:rPr>
            <w:rStyle w:val="Hyperlink"/>
            <w:noProof/>
            <w:sz w:val="20"/>
            <w:szCs w:val="20"/>
          </w:rPr>
          <w:t>Financial Planning and Management</w:t>
        </w:r>
        <w:r w:rsidR="00E93529" w:rsidRPr="00C835CC">
          <w:rPr>
            <w:noProof/>
            <w:webHidden/>
            <w:sz w:val="20"/>
            <w:szCs w:val="20"/>
          </w:rPr>
          <w:tab/>
        </w:r>
        <w:r w:rsidR="00E93529" w:rsidRPr="00C835CC">
          <w:rPr>
            <w:noProof/>
            <w:webHidden/>
            <w:sz w:val="20"/>
            <w:szCs w:val="20"/>
          </w:rPr>
          <w:fldChar w:fldCharType="begin"/>
        </w:r>
        <w:r w:rsidR="00E93529" w:rsidRPr="00C835CC">
          <w:rPr>
            <w:noProof/>
            <w:webHidden/>
            <w:sz w:val="20"/>
            <w:szCs w:val="20"/>
          </w:rPr>
          <w:instrText xml:space="preserve"> PAGEREF _Toc443050761 \h </w:instrText>
        </w:r>
        <w:r w:rsidR="00E93529" w:rsidRPr="00C835CC">
          <w:rPr>
            <w:noProof/>
            <w:webHidden/>
            <w:sz w:val="20"/>
            <w:szCs w:val="20"/>
          </w:rPr>
        </w:r>
        <w:r w:rsidR="00E93529" w:rsidRPr="00C835CC">
          <w:rPr>
            <w:noProof/>
            <w:webHidden/>
            <w:sz w:val="20"/>
            <w:szCs w:val="20"/>
          </w:rPr>
          <w:fldChar w:fldCharType="separate"/>
        </w:r>
        <w:r w:rsidR="00D3049A">
          <w:rPr>
            <w:noProof/>
            <w:webHidden/>
            <w:sz w:val="20"/>
            <w:szCs w:val="20"/>
          </w:rPr>
          <w:t>64</w:t>
        </w:r>
        <w:r w:rsidR="00E93529" w:rsidRPr="00C835CC">
          <w:rPr>
            <w:noProof/>
            <w:webHidden/>
            <w:sz w:val="20"/>
            <w:szCs w:val="20"/>
          </w:rPr>
          <w:fldChar w:fldCharType="end"/>
        </w:r>
      </w:hyperlink>
    </w:p>
    <w:p w14:paraId="4FEE0EF3" w14:textId="3D1922B1" w:rsidR="00E93529" w:rsidRPr="00C835CC" w:rsidRDefault="00E03EBE" w:rsidP="00C835CC">
      <w:pPr>
        <w:pStyle w:val="TOC1"/>
        <w:spacing w:after="0"/>
        <w:rPr>
          <w:rFonts w:eastAsia="Times New Roman"/>
          <w:noProof/>
          <w:sz w:val="20"/>
          <w:szCs w:val="20"/>
        </w:rPr>
      </w:pPr>
      <w:hyperlink w:anchor="_Toc443050762" w:history="1">
        <w:r w:rsidR="00E93529" w:rsidRPr="00C835CC">
          <w:rPr>
            <w:rStyle w:val="Hyperlink"/>
            <w:noProof/>
            <w:sz w:val="20"/>
            <w:szCs w:val="20"/>
          </w:rPr>
          <w:t>X.</w:t>
        </w:r>
        <w:r w:rsidR="00E93529" w:rsidRPr="00C835CC">
          <w:rPr>
            <w:rFonts w:eastAsia="Times New Roman"/>
            <w:noProof/>
            <w:sz w:val="20"/>
            <w:szCs w:val="20"/>
          </w:rPr>
          <w:tab/>
        </w:r>
        <w:r w:rsidR="00E93529" w:rsidRPr="00C835CC">
          <w:rPr>
            <w:rStyle w:val="Hyperlink"/>
            <w:noProof/>
            <w:sz w:val="20"/>
            <w:szCs w:val="20"/>
          </w:rPr>
          <w:t>Total Budget and Work Plan</w:t>
        </w:r>
        <w:r w:rsidR="00E93529" w:rsidRPr="00C835CC">
          <w:rPr>
            <w:noProof/>
            <w:webHidden/>
            <w:sz w:val="20"/>
            <w:szCs w:val="20"/>
          </w:rPr>
          <w:tab/>
        </w:r>
        <w:r w:rsidR="00E93529" w:rsidRPr="00C835CC">
          <w:rPr>
            <w:noProof/>
            <w:webHidden/>
            <w:sz w:val="20"/>
            <w:szCs w:val="20"/>
          </w:rPr>
          <w:fldChar w:fldCharType="begin"/>
        </w:r>
        <w:r w:rsidR="00E93529" w:rsidRPr="00C835CC">
          <w:rPr>
            <w:noProof/>
            <w:webHidden/>
            <w:sz w:val="20"/>
            <w:szCs w:val="20"/>
          </w:rPr>
          <w:instrText xml:space="preserve"> PAGEREF _Toc443050762 \h </w:instrText>
        </w:r>
        <w:r w:rsidR="00E93529" w:rsidRPr="00C835CC">
          <w:rPr>
            <w:noProof/>
            <w:webHidden/>
            <w:sz w:val="20"/>
            <w:szCs w:val="20"/>
          </w:rPr>
        </w:r>
        <w:r w:rsidR="00E93529" w:rsidRPr="00C835CC">
          <w:rPr>
            <w:noProof/>
            <w:webHidden/>
            <w:sz w:val="20"/>
            <w:szCs w:val="20"/>
          </w:rPr>
          <w:fldChar w:fldCharType="separate"/>
        </w:r>
        <w:r w:rsidR="00D3049A">
          <w:rPr>
            <w:noProof/>
            <w:webHidden/>
            <w:sz w:val="20"/>
            <w:szCs w:val="20"/>
          </w:rPr>
          <w:t>66</w:t>
        </w:r>
        <w:r w:rsidR="00E93529" w:rsidRPr="00C835CC">
          <w:rPr>
            <w:noProof/>
            <w:webHidden/>
            <w:sz w:val="20"/>
            <w:szCs w:val="20"/>
          </w:rPr>
          <w:fldChar w:fldCharType="end"/>
        </w:r>
      </w:hyperlink>
    </w:p>
    <w:p w14:paraId="7AC06B7F" w14:textId="0854C6CE" w:rsidR="00E93529" w:rsidRPr="00C835CC" w:rsidRDefault="00E03EBE" w:rsidP="00C835CC">
      <w:pPr>
        <w:pStyle w:val="TOC1"/>
        <w:spacing w:after="0"/>
        <w:rPr>
          <w:rFonts w:eastAsia="Times New Roman"/>
          <w:noProof/>
          <w:sz w:val="20"/>
          <w:szCs w:val="20"/>
        </w:rPr>
      </w:pPr>
      <w:hyperlink w:anchor="_Toc443050763" w:history="1">
        <w:r w:rsidR="00E93529" w:rsidRPr="00C835CC">
          <w:rPr>
            <w:rStyle w:val="Hyperlink"/>
            <w:noProof/>
            <w:sz w:val="20"/>
            <w:szCs w:val="20"/>
          </w:rPr>
          <w:t>XI.</w:t>
        </w:r>
        <w:r w:rsidR="00E93529" w:rsidRPr="00C835CC">
          <w:rPr>
            <w:rFonts w:eastAsia="Times New Roman"/>
            <w:noProof/>
            <w:sz w:val="20"/>
            <w:szCs w:val="20"/>
          </w:rPr>
          <w:tab/>
        </w:r>
        <w:r w:rsidR="00E93529" w:rsidRPr="00C835CC">
          <w:rPr>
            <w:rStyle w:val="Hyperlink"/>
            <w:noProof/>
            <w:sz w:val="20"/>
            <w:szCs w:val="20"/>
          </w:rPr>
          <w:t>Legal Context</w:t>
        </w:r>
        <w:r w:rsidR="00E93529" w:rsidRPr="00C835CC">
          <w:rPr>
            <w:noProof/>
            <w:webHidden/>
            <w:sz w:val="20"/>
            <w:szCs w:val="20"/>
          </w:rPr>
          <w:tab/>
        </w:r>
        <w:r w:rsidR="00E93529" w:rsidRPr="00C835CC">
          <w:rPr>
            <w:noProof/>
            <w:webHidden/>
            <w:sz w:val="20"/>
            <w:szCs w:val="20"/>
          </w:rPr>
          <w:fldChar w:fldCharType="begin"/>
        </w:r>
        <w:r w:rsidR="00E93529" w:rsidRPr="00C835CC">
          <w:rPr>
            <w:noProof/>
            <w:webHidden/>
            <w:sz w:val="20"/>
            <w:szCs w:val="20"/>
          </w:rPr>
          <w:instrText xml:space="preserve"> PAGEREF _Toc443050763 \h </w:instrText>
        </w:r>
        <w:r w:rsidR="00E93529" w:rsidRPr="00C835CC">
          <w:rPr>
            <w:noProof/>
            <w:webHidden/>
            <w:sz w:val="20"/>
            <w:szCs w:val="20"/>
          </w:rPr>
        </w:r>
        <w:r w:rsidR="00E93529" w:rsidRPr="00C835CC">
          <w:rPr>
            <w:noProof/>
            <w:webHidden/>
            <w:sz w:val="20"/>
            <w:szCs w:val="20"/>
          </w:rPr>
          <w:fldChar w:fldCharType="separate"/>
        </w:r>
        <w:r w:rsidR="00D3049A">
          <w:rPr>
            <w:noProof/>
            <w:webHidden/>
            <w:sz w:val="20"/>
            <w:szCs w:val="20"/>
          </w:rPr>
          <w:t>75</w:t>
        </w:r>
        <w:r w:rsidR="00E93529" w:rsidRPr="00C835CC">
          <w:rPr>
            <w:noProof/>
            <w:webHidden/>
            <w:sz w:val="20"/>
            <w:szCs w:val="20"/>
          </w:rPr>
          <w:fldChar w:fldCharType="end"/>
        </w:r>
      </w:hyperlink>
    </w:p>
    <w:p w14:paraId="42E8E491" w14:textId="549AF522" w:rsidR="00E93529" w:rsidRPr="00C835CC" w:rsidRDefault="00E03EBE" w:rsidP="00C835CC">
      <w:pPr>
        <w:pStyle w:val="TOC1"/>
        <w:spacing w:after="0"/>
        <w:rPr>
          <w:rFonts w:eastAsia="Times New Roman"/>
          <w:noProof/>
          <w:sz w:val="20"/>
          <w:szCs w:val="20"/>
        </w:rPr>
      </w:pPr>
      <w:hyperlink w:anchor="_Toc443050764" w:history="1">
        <w:r w:rsidR="00E93529" w:rsidRPr="00C835CC">
          <w:rPr>
            <w:rStyle w:val="Hyperlink"/>
            <w:noProof/>
            <w:sz w:val="20"/>
            <w:szCs w:val="20"/>
          </w:rPr>
          <w:t>XII.</w:t>
        </w:r>
        <w:r w:rsidR="00E93529" w:rsidRPr="00C835CC">
          <w:rPr>
            <w:rFonts w:eastAsia="Times New Roman"/>
            <w:noProof/>
            <w:sz w:val="20"/>
            <w:szCs w:val="20"/>
          </w:rPr>
          <w:tab/>
        </w:r>
        <w:r w:rsidR="00E93529" w:rsidRPr="00C835CC">
          <w:rPr>
            <w:rStyle w:val="Hyperlink"/>
            <w:noProof/>
            <w:sz w:val="20"/>
            <w:szCs w:val="20"/>
          </w:rPr>
          <w:t>Annexes</w:t>
        </w:r>
        <w:r w:rsidR="00E93529" w:rsidRPr="00C835CC">
          <w:rPr>
            <w:noProof/>
            <w:webHidden/>
            <w:sz w:val="20"/>
            <w:szCs w:val="20"/>
          </w:rPr>
          <w:tab/>
        </w:r>
        <w:r w:rsidR="00E93529" w:rsidRPr="00C835CC">
          <w:rPr>
            <w:noProof/>
            <w:webHidden/>
            <w:sz w:val="20"/>
            <w:szCs w:val="20"/>
          </w:rPr>
          <w:fldChar w:fldCharType="begin"/>
        </w:r>
        <w:r w:rsidR="00E93529" w:rsidRPr="00C835CC">
          <w:rPr>
            <w:noProof/>
            <w:webHidden/>
            <w:sz w:val="20"/>
            <w:szCs w:val="20"/>
          </w:rPr>
          <w:instrText xml:space="preserve"> PAGEREF _Toc443050764 \h </w:instrText>
        </w:r>
        <w:r w:rsidR="00E93529" w:rsidRPr="00C835CC">
          <w:rPr>
            <w:noProof/>
            <w:webHidden/>
            <w:sz w:val="20"/>
            <w:szCs w:val="20"/>
          </w:rPr>
        </w:r>
        <w:r w:rsidR="00E93529" w:rsidRPr="00C835CC">
          <w:rPr>
            <w:noProof/>
            <w:webHidden/>
            <w:sz w:val="20"/>
            <w:szCs w:val="20"/>
          </w:rPr>
          <w:fldChar w:fldCharType="separate"/>
        </w:r>
        <w:r w:rsidR="00D3049A">
          <w:rPr>
            <w:noProof/>
            <w:webHidden/>
            <w:sz w:val="20"/>
            <w:szCs w:val="20"/>
          </w:rPr>
          <w:t>76</w:t>
        </w:r>
        <w:r w:rsidR="00E93529" w:rsidRPr="00C835CC">
          <w:rPr>
            <w:noProof/>
            <w:webHidden/>
            <w:sz w:val="20"/>
            <w:szCs w:val="20"/>
          </w:rPr>
          <w:fldChar w:fldCharType="end"/>
        </w:r>
      </w:hyperlink>
    </w:p>
    <w:p w14:paraId="0E833405" w14:textId="77777777" w:rsidR="00C835CC" w:rsidRDefault="00D64EA4" w:rsidP="00C835CC">
      <w:pPr>
        <w:spacing w:after="0"/>
        <w:rPr>
          <w:b/>
          <w:bCs/>
          <w:noProof/>
          <w:sz w:val="20"/>
          <w:szCs w:val="20"/>
        </w:rPr>
      </w:pPr>
      <w:r w:rsidRPr="00C835CC">
        <w:rPr>
          <w:b/>
          <w:bCs/>
          <w:noProof/>
          <w:sz w:val="20"/>
          <w:szCs w:val="20"/>
        </w:rPr>
        <w:fldChar w:fldCharType="end"/>
      </w:r>
    </w:p>
    <w:p w14:paraId="6E430DC2" w14:textId="03466DC4" w:rsidR="00C835CC" w:rsidRPr="00C835CC" w:rsidRDefault="005233C0" w:rsidP="00C835CC">
      <w:pPr>
        <w:pStyle w:val="ListParagraph"/>
        <w:widowControl w:val="0"/>
        <w:tabs>
          <w:tab w:val="left" w:pos="851"/>
        </w:tabs>
        <w:autoSpaceDE w:val="0"/>
        <w:autoSpaceDN w:val="0"/>
        <w:adjustRightInd w:val="0"/>
        <w:ind w:left="851" w:hanging="851"/>
        <w:rPr>
          <w:rFonts w:asciiTheme="majorHAnsi" w:hAnsiTheme="majorHAnsi"/>
          <w:color w:val="000000"/>
          <w:sz w:val="20"/>
          <w:szCs w:val="20"/>
        </w:rPr>
      </w:pPr>
      <w:r>
        <w:rPr>
          <w:rFonts w:asciiTheme="majorHAnsi" w:hAnsiTheme="majorHAnsi"/>
          <w:color w:val="000000"/>
          <w:sz w:val="20"/>
          <w:szCs w:val="20"/>
        </w:rPr>
        <w:t xml:space="preserve">Figure 1:  </w:t>
      </w:r>
      <w:r w:rsidR="00C835CC" w:rsidRPr="00C835CC">
        <w:rPr>
          <w:rFonts w:asciiTheme="majorHAnsi" w:hAnsiTheme="majorHAnsi"/>
          <w:color w:val="000000"/>
          <w:sz w:val="20"/>
          <w:szCs w:val="20"/>
        </w:rPr>
        <w:t>Threats, root causes and barriers to mainstreaming biodiversity conservation across land and seascape planning and management in Palau</w:t>
      </w:r>
      <w:r w:rsidR="009F4BA9">
        <w:rPr>
          <w:rFonts w:asciiTheme="majorHAnsi" w:hAnsiTheme="majorHAnsi"/>
          <w:color w:val="000000"/>
          <w:sz w:val="20"/>
          <w:szCs w:val="20"/>
        </w:rPr>
        <w:t>…………………………………………………………….……………………………………….14</w:t>
      </w:r>
    </w:p>
    <w:p w14:paraId="1D73C46A" w14:textId="5AC665D3" w:rsidR="00C835CC" w:rsidRPr="00C835CC" w:rsidRDefault="00C835CC" w:rsidP="00C835CC">
      <w:pPr>
        <w:spacing w:after="0"/>
        <w:rPr>
          <w:rFonts w:asciiTheme="majorHAnsi" w:hAnsiTheme="majorHAnsi"/>
          <w:sz w:val="20"/>
          <w:szCs w:val="20"/>
        </w:rPr>
      </w:pPr>
      <w:r w:rsidRPr="00C835CC">
        <w:rPr>
          <w:rFonts w:asciiTheme="majorHAnsi" w:hAnsiTheme="majorHAnsi"/>
          <w:sz w:val="20"/>
          <w:szCs w:val="20"/>
        </w:rPr>
        <w:t>Figure 2:  Theory of Change</w:t>
      </w:r>
      <w:r w:rsidR="009F4BA9">
        <w:rPr>
          <w:rFonts w:asciiTheme="majorHAnsi" w:hAnsiTheme="majorHAnsi"/>
          <w:sz w:val="20"/>
          <w:szCs w:val="20"/>
        </w:rPr>
        <w:t>……………………………………………………………………………………………………………………………..…..20</w:t>
      </w:r>
    </w:p>
    <w:p w14:paraId="07488ED8" w14:textId="39A117AC" w:rsidR="00C835CC" w:rsidRPr="00C835CC" w:rsidRDefault="00C835CC" w:rsidP="00C835CC">
      <w:pPr>
        <w:spacing w:after="0"/>
        <w:jc w:val="left"/>
        <w:rPr>
          <w:rFonts w:asciiTheme="majorHAnsi" w:hAnsiTheme="majorHAnsi"/>
          <w:sz w:val="20"/>
          <w:szCs w:val="20"/>
        </w:rPr>
      </w:pPr>
      <w:r w:rsidRPr="00C835CC">
        <w:rPr>
          <w:rFonts w:asciiTheme="majorHAnsi" w:hAnsiTheme="majorHAnsi"/>
          <w:sz w:val="20"/>
          <w:szCs w:val="20"/>
        </w:rPr>
        <w:t>Figure 3:</w:t>
      </w:r>
      <w:r w:rsidRPr="00C835CC">
        <w:rPr>
          <w:rFonts w:asciiTheme="majorHAnsi" w:hAnsiTheme="majorHAnsi"/>
          <w:sz w:val="20"/>
          <w:szCs w:val="20"/>
        </w:rPr>
        <w:tab/>
      </w:r>
      <w:r w:rsidR="005233C0">
        <w:rPr>
          <w:rFonts w:asciiTheme="majorHAnsi" w:hAnsiTheme="majorHAnsi"/>
          <w:sz w:val="20"/>
          <w:szCs w:val="20"/>
        </w:rPr>
        <w:t xml:space="preserve">  </w:t>
      </w:r>
      <w:r w:rsidRPr="00C835CC">
        <w:rPr>
          <w:rFonts w:asciiTheme="majorHAnsi" w:hAnsiTheme="majorHAnsi"/>
          <w:sz w:val="20"/>
          <w:szCs w:val="20"/>
        </w:rPr>
        <w:t>Map of project areas and states in relation to Outcomes 2 and 3</w:t>
      </w:r>
      <w:r w:rsidR="009F4BA9">
        <w:rPr>
          <w:rFonts w:asciiTheme="majorHAnsi" w:hAnsiTheme="majorHAnsi"/>
          <w:sz w:val="20"/>
          <w:szCs w:val="20"/>
        </w:rPr>
        <w:t>…….…………………………………………………..21</w:t>
      </w:r>
    </w:p>
    <w:p w14:paraId="0768446B" w14:textId="77777777" w:rsidR="005233C0" w:rsidRDefault="005233C0" w:rsidP="00C835CC">
      <w:pPr>
        <w:pStyle w:val="NoSpacing"/>
        <w:jc w:val="both"/>
        <w:rPr>
          <w:rFonts w:asciiTheme="majorHAnsi" w:hAnsiTheme="majorHAnsi"/>
          <w:sz w:val="20"/>
          <w:szCs w:val="20"/>
        </w:rPr>
      </w:pPr>
    </w:p>
    <w:p w14:paraId="059C9644" w14:textId="494E0B2F" w:rsidR="00C835CC" w:rsidRPr="00C835CC" w:rsidRDefault="00C835CC" w:rsidP="00C835CC">
      <w:pPr>
        <w:pStyle w:val="NoSpacing"/>
        <w:jc w:val="both"/>
        <w:rPr>
          <w:rFonts w:asciiTheme="majorHAnsi" w:hAnsiTheme="majorHAnsi"/>
          <w:sz w:val="20"/>
          <w:szCs w:val="20"/>
        </w:rPr>
      </w:pPr>
      <w:r w:rsidRPr="00C835CC">
        <w:rPr>
          <w:rFonts w:asciiTheme="majorHAnsi" w:hAnsiTheme="majorHAnsi"/>
          <w:sz w:val="20"/>
          <w:szCs w:val="20"/>
        </w:rPr>
        <w:t>Table 1:  Geographical, Biological and Socio-economic Features of Pilot Land and Seascapes</w:t>
      </w:r>
      <w:r w:rsidR="009F4BA9">
        <w:rPr>
          <w:rFonts w:asciiTheme="majorHAnsi" w:hAnsiTheme="majorHAnsi"/>
          <w:sz w:val="20"/>
          <w:szCs w:val="20"/>
        </w:rPr>
        <w:t>……………………………..22</w:t>
      </w:r>
    </w:p>
    <w:p w14:paraId="633D5F1B" w14:textId="38B40FB4" w:rsidR="00C835CC" w:rsidRPr="00C835CC" w:rsidRDefault="00C835CC" w:rsidP="00C835CC">
      <w:pPr>
        <w:spacing w:after="0"/>
        <w:rPr>
          <w:rFonts w:asciiTheme="majorHAnsi" w:hAnsiTheme="majorHAnsi"/>
          <w:sz w:val="20"/>
          <w:szCs w:val="20"/>
        </w:rPr>
      </w:pPr>
      <w:r w:rsidRPr="00C835CC">
        <w:rPr>
          <w:rFonts w:asciiTheme="majorHAnsi" w:hAnsiTheme="majorHAnsi"/>
          <w:sz w:val="20"/>
          <w:szCs w:val="20"/>
        </w:rPr>
        <w:t>Table 2: Risk Table</w:t>
      </w:r>
      <w:r w:rsidR="009F4BA9">
        <w:rPr>
          <w:rFonts w:asciiTheme="majorHAnsi" w:hAnsiTheme="majorHAnsi"/>
          <w:sz w:val="20"/>
          <w:szCs w:val="20"/>
        </w:rPr>
        <w:t>……………………………………………………………………………………………………………………………………………….44</w:t>
      </w:r>
    </w:p>
    <w:p w14:paraId="447675AF" w14:textId="27E3CF58" w:rsidR="00C835CC" w:rsidRPr="00C835CC" w:rsidRDefault="00C835CC" w:rsidP="00C835CC">
      <w:pPr>
        <w:spacing w:after="0"/>
        <w:rPr>
          <w:rFonts w:asciiTheme="majorHAnsi" w:hAnsiTheme="majorHAnsi"/>
          <w:sz w:val="20"/>
          <w:szCs w:val="20"/>
        </w:rPr>
      </w:pPr>
      <w:r w:rsidRPr="00C835CC">
        <w:rPr>
          <w:rFonts w:asciiTheme="majorHAnsi" w:hAnsiTheme="majorHAnsi" w:cs="Calibri"/>
          <w:sz w:val="20"/>
          <w:szCs w:val="20"/>
        </w:rPr>
        <w:t>Table 3: Mandatory GEF M&amp;E Requirements and M&amp;E Budget</w:t>
      </w:r>
      <w:r w:rsidR="009F4BA9">
        <w:rPr>
          <w:rFonts w:asciiTheme="majorHAnsi" w:hAnsiTheme="majorHAnsi" w:cs="Calibri"/>
          <w:sz w:val="20"/>
          <w:szCs w:val="20"/>
        </w:rPr>
        <w:t>…………………………………………………………………………..59</w:t>
      </w:r>
      <w:r w:rsidRPr="00C835CC">
        <w:rPr>
          <w:rFonts w:asciiTheme="majorHAnsi" w:hAnsiTheme="majorHAnsi" w:cs="Calibri"/>
          <w:sz w:val="20"/>
          <w:szCs w:val="20"/>
        </w:rPr>
        <w:t xml:space="preserve">  </w:t>
      </w:r>
    </w:p>
    <w:p w14:paraId="7DA83C14" w14:textId="77777777" w:rsidR="00C835CC" w:rsidRDefault="00C835CC" w:rsidP="00C835CC">
      <w:pPr>
        <w:spacing w:after="0"/>
        <w:rPr>
          <w:b/>
          <w:bCs/>
          <w:noProof/>
          <w:sz w:val="20"/>
          <w:szCs w:val="20"/>
        </w:rPr>
      </w:pPr>
    </w:p>
    <w:p w14:paraId="3CAFF4BB" w14:textId="5A6F5F4F" w:rsidR="00AE31A1" w:rsidRDefault="00A17343" w:rsidP="00C835CC">
      <w:pPr>
        <w:spacing w:after="0"/>
        <w:rPr>
          <w:b/>
          <w:bCs/>
          <w:noProof/>
          <w:sz w:val="20"/>
          <w:szCs w:val="20"/>
        </w:rPr>
      </w:pPr>
      <w:r>
        <w:rPr>
          <w:b/>
          <w:bCs/>
          <w:noProof/>
          <w:sz w:val="20"/>
          <w:szCs w:val="20"/>
        </w:rPr>
        <w:t>Annexes</w:t>
      </w:r>
    </w:p>
    <w:p w14:paraId="15089297" w14:textId="77777777" w:rsidR="00A17343" w:rsidRPr="0051160A" w:rsidRDefault="00A17343" w:rsidP="00A17343">
      <w:pPr>
        <w:pStyle w:val="ListParagraph"/>
        <w:numPr>
          <w:ilvl w:val="0"/>
          <w:numId w:val="6"/>
        </w:numPr>
        <w:rPr>
          <w:rFonts w:asciiTheme="majorHAnsi" w:hAnsiTheme="majorHAnsi"/>
          <w:sz w:val="20"/>
          <w:szCs w:val="20"/>
        </w:rPr>
      </w:pPr>
      <w:r w:rsidRPr="0051160A">
        <w:rPr>
          <w:rFonts w:asciiTheme="majorHAnsi" w:hAnsiTheme="majorHAnsi"/>
          <w:sz w:val="20"/>
          <w:szCs w:val="20"/>
        </w:rPr>
        <w:t xml:space="preserve">Palau Policies and Legislative Gaps </w:t>
      </w:r>
    </w:p>
    <w:p w14:paraId="04EC5D23" w14:textId="77777777" w:rsidR="00A17343" w:rsidRPr="0051160A" w:rsidRDefault="00A17343" w:rsidP="00A17343">
      <w:pPr>
        <w:pStyle w:val="ListParagraph"/>
        <w:numPr>
          <w:ilvl w:val="0"/>
          <w:numId w:val="6"/>
        </w:numPr>
        <w:rPr>
          <w:rFonts w:asciiTheme="majorHAnsi" w:hAnsiTheme="majorHAnsi"/>
          <w:sz w:val="20"/>
          <w:szCs w:val="20"/>
        </w:rPr>
      </w:pPr>
      <w:r w:rsidRPr="0051160A">
        <w:rPr>
          <w:rFonts w:asciiTheme="majorHAnsi" w:hAnsiTheme="majorHAnsi"/>
          <w:sz w:val="20"/>
          <w:szCs w:val="20"/>
        </w:rPr>
        <w:t>Outline of Proposed Palau National Invasive Species Strategic Action Plan</w:t>
      </w:r>
    </w:p>
    <w:p w14:paraId="7ABDB69E" w14:textId="77777777" w:rsidR="00A17343" w:rsidRPr="0051160A" w:rsidRDefault="00A17343" w:rsidP="00A17343">
      <w:pPr>
        <w:pStyle w:val="ListParagraph"/>
        <w:numPr>
          <w:ilvl w:val="0"/>
          <w:numId w:val="6"/>
        </w:numPr>
        <w:rPr>
          <w:rFonts w:asciiTheme="majorHAnsi" w:hAnsiTheme="majorHAnsi"/>
          <w:sz w:val="20"/>
          <w:szCs w:val="20"/>
        </w:rPr>
      </w:pPr>
      <w:r w:rsidRPr="0051160A">
        <w:rPr>
          <w:rFonts w:asciiTheme="majorHAnsi" w:hAnsiTheme="majorHAnsi"/>
          <w:sz w:val="20"/>
          <w:szCs w:val="20"/>
        </w:rPr>
        <w:t xml:space="preserve"> Status of Master Planning Conditions in Babeldaob and Southern Lagoon States</w:t>
      </w:r>
    </w:p>
    <w:p w14:paraId="5B13C05C" w14:textId="77777777" w:rsidR="00A17343" w:rsidRPr="0051160A" w:rsidRDefault="00A17343" w:rsidP="00A17343">
      <w:pPr>
        <w:pStyle w:val="ListParagraph"/>
        <w:numPr>
          <w:ilvl w:val="0"/>
          <w:numId w:val="6"/>
        </w:numPr>
        <w:rPr>
          <w:rFonts w:asciiTheme="majorHAnsi" w:hAnsiTheme="majorHAnsi"/>
          <w:sz w:val="20"/>
          <w:szCs w:val="20"/>
        </w:rPr>
      </w:pPr>
      <w:r w:rsidRPr="0051160A">
        <w:rPr>
          <w:rFonts w:asciiTheme="majorHAnsi" w:hAnsiTheme="majorHAnsi"/>
          <w:sz w:val="20"/>
          <w:szCs w:val="20"/>
        </w:rPr>
        <w:t>Framework for Participatory Land/Seascape Planning and Management</w:t>
      </w:r>
    </w:p>
    <w:p w14:paraId="1FC77818" w14:textId="71086448" w:rsidR="00A17343" w:rsidRPr="0051160A" w:rsidRDefault="00A17343" w:rsidP="00A17343">
      <w:pPr>
        <w:pStyle w:val="ListParagraph"/>
        <w:numPr>
          <w:ilvl w:val="0"/>
          <w:numId w:val="6"/>
        </w:numPr>
        <w:rPr>
          <w:rFonts w:asciiTheme="majorHAnsi" w:hAnsiTheme="majorHAnsi"/>
          <w:sz w:val="20"/>
          <w:szCs w:val="20"/>
        </w:rPr>
      </w:pPr>
      <w:r w:rsidRPr="0051160A">
        <w:rPr>
          <w:rFonts w:asciiTheme="majorHAnsi" w:hAnsiTheme="majorHAnsi"/>
          <w:sz w:val="20"/>
          <w:szCs w:val="20"/>
        </w:rPr>
        <w:t>Gender Analysis and Mainstreaming Action Plan</w:t>
      </w:r>
      <w:r w:rsidR="00757838">
        <w:rPr>
          <w:rFonts w:asciiTheme="majorHAnsi" w:hAnsiTheme="majorHAnsi"/>
          <w:sz w:val="20"/>
          <w:szCs w:val="20"/>
        </w:rPr>
        <w:t xml:space="preserve"> (Mandatory)</w:t>
      </w:r>
    </w:p>
    <w:p w14:paraId="4256EF0F" w14:textId="69FC1A29" w:rsidR="00A17343" w:rsidRPr="0051160A" w:rsidRDefault="00A17343" w:rsidP="00A17343">
      <w:pPr>
        <w:pStyle w:val="ListParagraph"/>
        <w:numPr>
          <w:ilvl w:val="0"/>
          <w:numId w:val="6"/>
        </w:numPr>
        <w:rPr>
          <w:rFonts w:asciiTheme="majorHAnsi" w:hAnsiTheme="majorHAnsi"/>
          <w:sz w:val="20"/>
          <w:szCs w:val="20"/>
        </w:rPr>
      </w:pPr>
      <w:r w:rsidRPr="0051160A">
        <w:rPr>
          <w:rFonts w:asciiTheme="majorHAnsi" w:hAnsiTheme="majorHAnsi"/>
          <w:sz w:val="20"/>
          <w:szCs w:val="20"/>
        </w:rPr>
        <w:t>Communications and Knowledge Management Strategy</w:t>
      </w:r>
      <w:r w:rsidR="00757838">
        <w:rPr>
          <w:rFonts w:asciiTheme="majorHAnsi" w:hAnsiTheme="majorHAnsi"/>
          <w:sz w:val="20"/>
          <w:szCs w:val="20"/>
        </w:rPr>
        <w:t xml:space="preserve"> (Mandatory)</w:t>
      </w:r>
    </w:p>
    <w:p w14:paraId="1C1DF116" w14:textId="6B3A91EE" w:rsidR="00A17343" w:rsidRPr="0051160A" w:rsidRDefault="00A17343" w:rsidP="00A17343">
      <w:pPr>
        <w:pStyle w:val="Footer"/>
        <w:numPr>
          <w:ilvl w:val="0"/>
          <w:numId w:val="6"/>
        </w:numPr>
        <w:spacing w:after="0"/>
        <w:jc w:val="left"/>
        <w:rPr>
          <w:rFonts w:asciiTheme="majorHAnsi" w:hAnsiTheme="majorHAnsi"/>
          <w:sz w:val="20"/>
          <w:szCs w:val="20"/>
        </w:rPr>
      </w:pPr>
      <w:r w:rsidRPr="0051160A">
        <w:rPr>
          <w:rFonts w:asciiTheme="majorHAnsi" w:hAnsiTheme="majorHAnsi"/>
          <w:sz w:val="20"/>
          <w:szCs w:val="20"/>
        </w:rPr>
        <w:t xml:space="preserve">Roles and responsibilities of main stakeholders of the project </w:t>
      </w:r>
      <w:r w:rsidR="00757838">
        <w:rPr>
          <w:rFonts w:asciiTheme="majorHAnsi" w:hAnsiTheme="majorHAnsi"/>
          <w:sz w:val="20"/>
          <w:szCs w:val="20"/>
        </w:rPr>
        <w:t>(Mandatory)</w:t>
      </w:r>
    </w:p>
    <w:p w14:paraId="43B69C47" w14:textId="77777777" w:rsidR="00A17343" w:rsidRPr="0051160A" w:rsidRDefault="00A17343" w:rsidP="00A17343">
      <w:pPr>
        <w:pStyle w:val="ListParagraph"/>
        <w:numPr>
          <w:ilvl w:val="0"/>
          <w:numId w:val="6"/>
        </w:numPr>
        <w:rPr>
          <w:rFonts w:asciiTheme="majorHAnsi" w:hAnsiTheme="majorHAnsi" w:cs="Segoe UI"/>
          <w:color w:val="000000"/>
          <w:sz w:val="20"/>
          <w:szCs w:val="20"/>
        </w:rPr>
      </w:pPr>
      <w:r w:rsidRPr="0051160A">
        <w:rPr>
          <w:rFonts w:asciiTheme="majorHAnsi" w:hAnsiTheme="majorHAnsi" w:cs="Segoe UI"/>
          <w:color w:val="000000"/>
          <w:sz w:val="20"/>
          <w:szCs w:val="20"/>
        </w:rPr>
        <w:t>Grievance Redressal Procedures</w:t>
      </w:r>
    </w:p>
    <w:p w14:paraId="4F962DFA" w14:textId="02E707A7" w:rsidR="00A17343" w:rsidRPr="0051160A" w:rsidRDefault="00A17343" w:rsidP="00A17343">
      <w:pPr>
        <w:pStyle w:val="ListParagraph"/>
        <w:numPr>
          <w:ilvl w:val="0"/>
          <w:numId w:val="6"/>
        </w:numPr>
        <w:rPr>
          <w:rFonts w:asciiTheme="majorHAnsi" w:hAnsiTheme="majorHAnsi"/>
          <w:sz w:val="20"/>
          <w:szCs w:val="20"/>
        </w:rPr>
      </w:pPr>
      <w:r w:rsidRPr="0051160A">
        <w:rPr>
          <w:rFonts w:asciiTheme="majorHAnsi" w:hAnsiTheme="majorHAnsi"/>
          <w:sz w:val="20"/>
          <w:szCs w:val="20"/>
        </w:rPr>
        <w:t>Social and Environmental Screening Template</w:t>
      </w:r>
      <w:r w:rsidR="00757838">
        <w:rPr>
          <w:rFonts w:asciiTheme="majorHAnsi" w:hAnsiTheme="majorHAnsi"/>
          <w:sz w:val="20"/>
          <w:szCs w:val="20"/>
        </w:rPr>
        <w:t xml:space="preserve"> (Mandatory)</w:t>
      </w:r>
    </w:p>
    <w:p w14:paraId="4F6EB606" w14:textId="3F6A01AD" w:rsidR="00A17343" w:rsidRPr="0051160A" w:rsidRDefault="00A17343" w:rsidP="00A17343">
      <w:pPr>
        <w:pStyle w:val="ListParagraph"/>
        <w:numPr>
          <w:ilvl w:val="0"/>
          <w:numId w:val="6"/>
        </w:numPr>
        <w:rPr>
          <w:rFonts w:asciiTheme="majorHAnsi" w:hAnsiTheme="majorHAnsi"/>
          <w:sz w:val="20"/>
          <w:szCs w:val="20"/>
        </w:rPr>
      </w:pPr>
      <w:r w:rsidRPr="0051160A">
        <w:rPr>
          <w:rFonts w:asciiTheme="majorHAnsi" w:hAnsiTheme="majorHAnsi"/>
          <w:sz w:val="20"/>
          <w:szCs w:val="20"/>
        </w:rPr>
        <w:t>Terms of Reference for Key Positions</w:t>
      </w:r>
      <w:r w:rsidR="00757838">
        <w:rPr>
          <w:rFonts w:asciiTheme="majorHAnsi" w:hAnsiTheme="majorHAnsi"/>
          <w:sz w:val="20"/>
          <w:szCs w:val="20"/>
        </w:rPr>
        <w:t xml:space="preserve"> (Mandatory)</w:t>
      </w:r>
    </w:p>
    <w:p w14:paraId="6549D4BA" w14:textId="03B6F012" w:rsidR="00A17343" w:rsidRPr="0051160A" w:rsidRDefault="00A17343" w:rsidP="00A17343">
      <w:pPr>
        <w:pStyle w:val="ListParagraph"/>
        <w:numPr>
          <w:ilvl w:val="0"/>
          <w:numId w:val="6"/>
        </w:numPr>
        <w:rPr>
          <w:rFonts w:asciiTheme="majorHAnsi" w:hAnsiTheme="majorHAnsi"/>
          <w:sz w:val="20"/>
          <w:szCs w:val="20"/>
        </w:rPr>
      </w:pPr>
      <w:r w:rsidRPr="0051160A">
        <w:rPr>
          <w:rFonts w:asciiTheme="majorHAnsi" w:hAnsiTheme="majorHAnsi"/>
          <w:sz w:val="20"/>
          <w:szCs w:val="20"/>
        </w:rPr>
        <w:t>Multi-Year Work Plan</w:t>
      </w:r>
      <w:r w:rsidR="00757838">
        <w:rPr>
          <w:rFonts w:asciiTheme="majorHAnsi" w:hAnsiTheme="majorHAnsi"/>
          <w:sz w:val="20"/>
          <w:szCs w:val="20"/>
        </w:rPr>
        <w:t xml:space="preserve"> (Mandatory)</w:t>
      </w:r>
    </w:p>
    <w:p w14:paraId="5C72C786" w14:textId="2D4BD5A4" w:rsidR="00A17343" w:rsidRPr="0051160A" w:rsidRDefault="00A17343" w:rsidP="00A17343">
      <w:pPr>
        <w:pStyle w:val="ListParagraph"/>
        <w:numPr>
          <w:ilvl w:val="0"/>
          <w:numId w:val="6"/>
        </w:numPr>
        <w:rPr>
          <w:rFonts w:asciiTheme="majorHAnsi" w:hAnsiTheme="majorHAnsi"/>
          <w:sz w:val="20"/>
          <w:szCs w:val="20"/>
        </w:rPr>
      </w:pPr>
      <w:r w:rsidRPr="0051160A">
        <w:rPr>
          <w:rFonts w:asciiTheme="majorHAnsi" w:hAnsiTheme="majorHAnsi"/>
          <w:sz w:val="20"/>
          <w:szCs w:val="20"/>
        </w:rPr>
        <w:t>Monitoring Plan</w:t>
      </w:r>
      <w:r w:rsidR="00757838">
        <w:rPr>
          <w:rFonts w:asciiTheme="majorHAnsi" w:hAnsiTheme="majorHAnsi"/>
          <w:sz w:val="20"/>
          <w:szCs w:val="20"/>
        </w:rPr>
        <w:t xml:space="preserve"> (Mandatory)</w:t>
      </w:r>
    </w:p>
    <w:p w14:paraId="3A5D455C" w14:textId="7E300AB8" w:rsidR="00A17343" w:rsidRPr="0051160A" w:rsidRDefault="00A17343" w:rsidP="00A17343">
      <w:pPr>
        <w:pStyle w:val="ListParagraph"/>
        <w:numPr>
          <w:ilvl w:val="0"/>
          <w:numId w:val="6"/>
        </w:numPr>
        <w:rPr>
          <w:rFonts w:asciiTheme="majorHAnsi" w:hAnsiTheme="majorHAnsi"/>
          <w:sz w:val="20"/>
          <w:szCs w:val="20"/>
        </w:rPr>
      </w:pPr>
      <w:r w:rsidRPr="0051160A">
        <w:rPr>
          <w:rFonts w:asciiTheme="majorHAnsi" w:hAnsiTheme="majorHAnsi"/>
          <w:sz w:val="20"/>
          <w:szCs w:val="20"/>
        </w:rPr>
        <w:t xml:space="preserve">Evaluation Plan </w:t>
      </w:r>
      <w:r w:rsidR="00757838">
        <w:rPr>
          <w:rFonts w:asciiTheme="majorHAnsi" w:hAnsiTheme="majorHAnsi"/>
          <w:sz w:val="20"/>
          <w:szCs w:val="20"/>
        </w:rPr>
        <w:t>(Mandatory)</w:t>
      </w:r>
    </w:p>
    <w:p w14:paraId="273AA08E" w14:textId="0272051B" w:rsidR="00A17343" w:rsidRDefault="00A17343" w:rsidP="00A17343">
      <w:pPr>
        <w:pStyle w:val="ListParagraph"/>
        <w:numPr>
          <w:ilvl w:val="0"/>
          <w:numId w:val="6"/>
        </w:numPr>
        <w:rPr>
          <w:rFonts w:ascii="Calibri" w:hAnsi="Calibri"/>
          <w:sz w:val="20"/>
          <w:szCs w:val="20"/>
        </w:rPr>
      </w:pPr>
      <w:r w:rsidRPr="0051160A">
        <w:rPr>
          <w:rFonts w:asciiTheme="majorHAnsi" w:hAnsiTheme="majorHAnsi"/>
          <w:sz w:val="20"/>
          <w:szCs w:val="20"/>
        </w:rPr>
        <w:t>Summ</w:t>
      </w:r>
      <w:r>
        <w:rPr>
          <w:rFonts w:ascii="Calibri" w:hAnsi="Calibri"/>
          <w:sz w:val="20"/>
          <w:szCs w:val="20"/>
        </w:rPr>
        <w:t>ary of Consultants and Contractual Services Financed by the Project</w:t>
      </w:r>
      <w:r w:rsidR="00757838">
        <w:rPr>
          <w:rFonts w:ascii="Calibri" w:hAnsi="Calibri"/>
          <w:sz w:val="20"/>
          <w:szCs w:val="20"/>
        </w:rPr>
        <w:t xml:space="preserve"> </w:t>
      </w:r>
      <w:r w:rsidR="00757838">
        <w:rPr>
          <w:rFonts w:asciiTheme="majorHAnsi" w:hAnsiTheme="majorHAnsi"/>
          <w:sz w:val="20"/>
          <w:szCs w:val="20"/>
        </w:rPr>
        <w:t>(Mandatory)</w:t>
      </w:r>
    </w:p>
    <w:p w14:paraId="0F2E4207" w14:textId="77777777" w:rsidR="00A17343" w:rsidRDefault="00A17343" w:rsidP="00A17343">
      <w:pPr>
        <w:pStyle w:val="ListParagraph"/>
        <w:numPr>
          <w:ilvl w:val="0"/>
          <w:numId w:val="6"/>
        </w:numPr>
        <w:rPr>
          <w:rFonts w:ascii="Calibri" w:hAnsi="Calibri"/>
          <w:sz w:val="20"/>
          <w:szCs w:val="20"/>
        </w:rPr>
      </w:pPr>
      <w:r>
        <w:rPr>
          <w:rFonts w:ascii="Calibri" w:hAnsi="Calibri"/>
          <w:sz w:val="20"/>
          <w:szCs w:val="20"/>
        </w:rPr>
        <w:t>Carbon Calculation Overview</w:t>
      </w:r>
    </w:p>
    <w:p w14:paraId="7CA7C33B" w14:textId="77777777" w:rsidR="00A17343" w:rsidRDefault="00A17343" w:rsidP="00A17343">
      <w:pPr>
        <w:pStyle w:val="ListParagraph"/>
        <w:numPr>
          <w:ilvl w:val="0"/>
          <w:numId w:val="6"/>
        </w:numPr>
        <w:rPr>
          <w:rFonts w:ascii="Calibri" w:hAnsi="Calibri"/>
          <w:sz w:val="20"/>
          <w:szCs w:val="20"/>
        </w:rPr>
      </w:pPr>
      <w:r>
        <w:rPr>
          <w:rFonts w:ascii="Calibri" w:hAnsi="Calibri"/>
          <w:sz w:val="20"/>
          <w:szCs w:val="20"/>
        </w:rPr>
        <w:t>Additional Information on indicators and monitoring</w:t>
      </w:r>
    </w:p>
    <w:p w14:paraId="4AF9B395" w14:textId="77777777" w:rsidR="00A17343" w:rsidRPr="00934E5E" w:rsidRDefault="00A17343" w:rsidP="00A17343">
      <w:pPr>
        <w:pStyle w:val="ListParagraph"/>
        <w:numPr>
          <w:ilvl w:val="0"/>
          <w:numId w:val="6"/>
        </w:numPr>
        <w:rPr>
          <w:rFonts w:ascii="Calibri" w:hAnsi="Calibri"/>
          <w:sz w:val="20"/>
          <w:szCs w:val="20"/>
        </w:rPr>
      </w:pPr>
      <w:r>
        <w:rPr>
          <w:rFonts w:ascii="Calibri" w:hAnsi="Calibri"/>
          <w:sz w:val="20"/>
          <w:szCs w:val="20"/>
        </w:rPr>
        <w:t>Assumptions and risks of the Project’s Theory of Change</w:t>
      </w:r>
    </w:p>
    <w:p w14:paraId="686B2C6D" w14:textId="741D3C4D" w:rsidR="00A17343" w:rsidRPr="0003763F" w:rsidRDefault="00A17343" w:rsidP="00A17343">
      <w:pPr>
        <w:pStyle w:val="ListParagraph"/>
        <w:numPr>
          <w:ilvl w:val="0"/>
          <w:numId w:val="6"/>
        </w:numPr>
        <w:rPr>
          <w:rFonts w:ascii="Calibri" w:hAnsi="Calibri"/>
          <w:sz w:val="20"/>
          <w:szCs w:val="20"/>
        </w:rPr>
      </w:pPr>
      <w:r w:rsidRPr="0003763F">
        <w:rPr>
          <w:rFonts w:ascii="Calibri" w:hAnsi="Calibri"/>
          <w:sz w:val="20"/>
          <w:szCs w:val="20"/>
        </w:rPr>
        <w:t xml:space="preserve">UNDP Project Quality Assurance Report (to be completed by UNDP Country Office) </w:t>
      </w:r>
      <w:r w:rsidR="00757838">
        <w:rPr>
          <w:rFonts w:asciiTheme="majorHAnsi" w:hAnsiTheme="majorHAnsi"/>
          <w:sz w:val="20"/>
          <w:szCs w:val="20"/>
        </w:rPr>
        <w:t>(Mandatory)</w:t>
      </w:r>
    </w:p>
    <w:p w14:paraId="72942E82" w14:textId="18026FE8" w:rsidR="00A17343" w:rsidRDefault="00A17343" w:rsidP="00A17343">
      <w:pPr>
        <w:pStyle w:val="ListParagraph"/>
        <w:numPr>
          <w:ilvl w:val="0"/>
          <w:numId w:val="6"/>
        </w:numPr>
        <w:rPr>
          <w:rFonts w:ascii="Calibri" w:hAnsi="Calibri"/>
          <w:sz w:val="20"/>
          <w:szCs w:val="20"/>
        </w:rPr>
      </w:pPr>
      <w:r>
        <w:rPr>
          <w:rFonts w:ascii="Calibri" w:hAnsi="Calibri"/>
          <w:sz w:val="20"/>
          <w:szCs w:val="20"/>
        </w:rPr>
        <w:t>UNDP Risk Log (to be completed by UNDP Country Office)</w:t>
      </w:r>
      <w:r w:rsidR="00757838">
        <w:rPr>
          <w:rFonts w:ascii="Calibri" w:hAnsi="Calibri"/>
          <w:sz w:val="20"/>
          <w:szCs w:val="20"/>
        </w:rPr>
        <w:t xml:space="preserve"> </w:t>
      </w:r>
      <w:r w:rsidR="00757838">
        <w:rPr>
          <w:rFonts w:asciiTheme="majorHAnsi" w:hAnsiTheme="majorHAnsi"/>
          <w:sz w:val="20"/>
          <w:szCs w:val="20"/>
        </w:rPr>
        <w:t>(Mandatory)</w:t>
      </w:r>
    </w:p>
    <w:p w14:paraId="39C9140F" w14:textId="308BDD91" w:rsidR="00A17343" w:rsidRPr="0003763F" w:rsidRDefault="00A17343" w:rsidP="00A17343">
      <w:pPr>
        <w:pStyle w:val="ListParagraph"/>
        <w:numPr>
          <w:ilvl w:val="0"/>
          <w:numId w:val="6"/>
        </w:numPr>
        <w:rPr>
          <w:rFonts w:ascii="Calibri" w:hAnsi="Calibri"/>
          <w:sz w:val="20"/>
          <w:szCs w:val="20"/>
        </w:rPr>
      </w:pPr>
      <w:r w:rsidRPr="0003763F">
        <w:rPr>
          <w:rFonts w:ascii="Calibri" w:hAnsi="Calibri"/>
          <w:sz w:val="20"/>
          <w:szCs w:val="20"/>
        </w:rPr>
        <w:t xml:space="preserve">Results of the capacity assessment of the project implementing partner and HACT micro assessment (to be completed by UNDP Country Office) </w:t>
      </w:r>
      <w:r w:rsidR="00757838">
        <w:rPr>
          <w:rFonts w:asciiTheme="majorHAnsi" w:hAnsiTheme="majorHAnsi"/>
          <w:sz w:val="20"/>
          <w:szCs w:val="20"/>
        </w:rPr>
        <w:t>(Mandatory)</w:t>
      </w:r>
    </w:p>
    <w:p w14:paraId="72134D67" w14:textId="3226AC54" w:rsidR="00A17343" w:rsidRDefault="00A17343" w:rsidP="00A17343">
      <w:pPr>
        <w:pStyle w:val="ListParagraph"/>
        <w:numPr>
          <w:ilvl w:val="0"/>
          <w:numId w:val="6"/>
        </w:numPr>
        <w:rPr>
          <w:rFonts w:ascii="Calibri" w:hAnsi="Calibri"/>
          <w:sz w:val="20"/>
          <w:szCs w:val="20"/>
        </w:rPr>
      </w:pPr>
      <w:r w:rsidRPr="0003763F">
        <w:rPr>
          <w:rFonts w:ascii="Calibri" w:hAnsi="Calibri"/>
          <w:sz w:val="20"/>
          <w:szCs w:val="20"/>
        </w:rPr>
        <w:t>Any additional agreements, such as cost sharing agreements, LOA with the government in case DPCs are applied should be attached.</w:t>
      </w:r>
    </w:p>
    <w:p w14:paraId="698D4CF8" w14:textId="77777777" w:rsidR="00A17343" w:rsidRDefault="00A17343" w:rsidP="00A17343">
      <w:pPr>
        <w:pStyle w:val="ListParagraph"/>
        <w:numPr>
          <w:ilvl w:val="0"/>
          <w:numId w:val="6"/>
        </w:numPr>
        <w:rPr>
          <w:rFonts w:ascii="Calibri" w:hAnsi="Calibri"/>
          <w:sz w:val="20"/>
          <w:szCs w:val="20"/>
        </w:rPr>
      </w:pPr>
      <w:r w:rsidRPr="0003763F">
        <w:rPr>
          <w:rFonts w:ascii="Calibri" w:hAnsi="Calibri"/>
          <w:sz w:val="20"/>
          <w:szCs w:val="20"/>
        </w:rPr>
        <w:t>List of people consulted during project development</w:t>
      </w:r>
      <w:r w:rsidRPr="0031479A">
        <w:rPr>
          <w:rFonts w:ascii="Calibri" w:hAnsi="Calibri"/>
          <w:sz w:val="20"/>
          <w:szCs w:val="20"/>
        </w:rPr>
        <w:t xml:space="preserve"> </w:t>
      </w:r>
    </w:p>
    <w:p w14:paraId="6CCEBD4D" w14:textId="77777777" w:rsidR="00A17343" w:rsidRPr="0031479A" w:rsidRDefault="00A17343" w:rsidP="00A17343">
      <w:pPr>
        <w:pStyle w:val="ListParagraph"/>
        <w:numPr>
          <w:ilvl w:val="0"/>
          <w:numId w:val="6"/>
        </w:numPr>
        <w:rPr>
          <w:rFonts w:ascii="Calibri" w:hAnsi="Calibri"/>
          <w:sz w:val="20"/>
          <w:szCs w:val="20"/>
        </w:rPr>
      </w:pPr>
      <w:r>
        <w:rPr>
          <w:rFonts w:ascii="Calibri" w:hAnsi="Calibri"/>
          <w:sz w:val="20"/>
          <w:szCs w:val="20"/>
        </w:rPr>
        <w:t>Capacity Development Scorecards</w:t>
      </w:r>
    </w:p>
    <w:p w14:paraId="524132CD" w14:textId="4E1538A3" w:rsidR="00A17343" w:rsidRDefault="00A17343" w:rsidP="00A17343">
      <w:pPr>
        <w:pStyle w:val="ListParagraph"/>
        <w:numPr>
          <w:ilvl w:val="0"/>
          <w:numId w:val="6"/>
        </w:numPr>
        <w:rPr>
          <w:rFonts w:ascii="Calibri" w:hAnsi="Calibri"/>
          <w:sz w:val="20"/>
          <w:szCs w:val="20"/>
        </w:rPr>
      </w:pPr>
      <w:r w:rsidRPr="00055F28">
        <w:rPr>
          <w:rFonts w:ascii="Calibri" w:hAnsi="Calibri"/>
          <w:sz w:val="20"/>
          <w:szCs w:val="20"/>
        </w:rPr>
        <w:t>GE</w:t>
      </w:r>
      <w:r>
        <w:rPr>
          <w:rFonts w:ascii="Calibri" w:hAnsi="Calibri"/>
          <w:sz w:val="20"/>
          <w:szCs w:val="20"/>
        </w:rPr>
        <w:t xml:space="preserve">F Tracking Tools </w:t>
      </w:r>
      <w:r w:rsidR="00757838">
        <w:rPr>
          <w:rFonts w:asciiTheme="majorHAnsi" w:hAnsiTheme="majorHAnsi"/>
          <w:sz w:val="20"/>
          <w:szCs w:val="20"/>
        </w:rPr>
        <w:t>(Mandatory)</w:t>
      </w:r>
    </w:p>
    <w:p w14:paraId="2A46B7D1" w14:textId="77777777" w:rsidR="00A17343" w:rsidRDefault="00A17343" w:rsidP="00A17343">
      <w:pPr>
        <w:pStyle w:val="ListParagraph"/>
        <w:numPr>
          <w:ilvl w:val="0"/>
          <w:numId w:val="6"/>
        </w:numPr>
        <w:rPr>
          <w:rFonts w:ascii="Calibri" w:hAnsi="Calibri"/>
          <w:sz w:val="20"/>
          <w:szCs w:val="20"/>
        </w:rPr>
      </w:pPr>
      <w:r>
        <w:rPr>
          <w:rFonts w:ascii="Calibri" w:hAnsi="Calibri"/>
          <w:sz w:val="20"/>
          <w:szCs w:val="20"/>
        </w:rPr>
        <w:t>Co-financing Letters</w:t>
      </w:r>
    </w:p>
    <w:p w14:paraId="10ADEC82" w14:textId="77777777" w:rsidR="00A52C78" w:rsidRDefault="00A52C78">
      <w:pPr>
        <w:spacing w:after="0"/>
        <w:jc w:val="left"/>
        <w:rPr>
          <w:rFonts w:cs="Arial"/>
          <w:b/>
          <w:sz w:val="20"/>
          <w:szCs w:val="20"/>
        </w:rPr>
      </w:pPr>
    </w:p>
    <w:p w14:paraId="454C6D38" w14:textId="1E38DAC4" w:rsidR="006B67FA" w:rsidRPr="004840B6" w:rsidRDefault="002905C6">
      <w:pPr>
        <w:spacing w:after="0"/>
        <w:jc w:val="left"/>
        <w:rPr>
          <w:rFonts w:cs="Arial"/>
          <w:b/>
          <w:sz w:val="20"/>
          <w:szCs w:val="20"/>
        </w:rPr>
      </w:pPr>
      <w:r>
        <w:rPr>
          <w:rFonts w:cs="Arial"/>
          <w:b/>
          <w:sz w:val="20"/>
          <w:szCs w:val="20"/>
        </w:rPr>
        <w:lastRenderedPageBreak/>
        <w:t>Abbreviations</w:t>
      </w:r>
    </w:p>
    <w:tbl>
      <w:tblPr>
        <w:tblW w:w="0" w:type="auto"/>
        <w:tblBorders>
          <w:bottom w:val="single" w:sz="4" w:space="0" w:color="auto"/>
        </w:tblBorders>
        <w:tblLook w:val="04A0" w:firstRow="1" w:lastRow="0" w:firstColumn="1" w:lastColumn="0" w:noHBand="0" w:noVBand="1"/>
      </w:tblPr>
      <w:tblGrid>
        <w:gridCol w:w="1203"/>
        <w:gridCol w:w="8157"/>
      </w:tblGrid>
      <w:tr w:rsidR="002905C6" w:rsidRPr="004840B6" w14:paraId="3DBF939C" w14:textId="77777777" w:rsidTr="0003763F">
        <w:trPr>
          <w:trHeight w:val="288"/>
        </w:trPr>
        <w:tc>
          <w:tcPr>
            <w:tcW w:w="1203" w:type="dxa"/>
            <w:shd w:val="clear" w:color="auto" w:fill="auto"/>
          </w:tcPr>
          <w:p w14:paraId="157FDCDF" w14:textId="2D7B9137" w:rsidR="002905C6" w:rsidRPr="00C835CC" w:rsidRDefault="002905C6" w:rsidP="00C835CC">
            <w:pPr>
              <w:spacing w:after="0"/>
              <w:rPr>
                <w:rFonts w:asciiTheme="majorHAnsi" w:hAnsiTheme="majorHAnsi"/>
                <w:sz w:val="18"/>
                <w:szCs w:val="18"/>
              </w:rPr>
            </w:pPr>
            <w:r w:rsidRPr="00C835CC">
              <w:rPr>
                <w:rFonts w:asciiTheme="majorHAnsi" w:hAnsiTheme="majorHAnsi"/>
                <w:sz w:val="18"/>
                <w:szCs w:val="18"/>
              </w:rPr>
              <w:t>ADB</w:t>
            </w:r>
          </w:p>
        </w:tc>
        <w:tc>
          <w:tcPr>
            <w:tcW w:w="8157" w:type="dxa"/>
            <w:shd w:val="clear" w:color="auto" w:fill="auto"/>
          </w:tcPr>
          <w:p w14:paraId="654907DD" w14:textId="53FA0E61" w:rsidR="002905C6" w:rsidRPr="00C835CC" w:rsidRDefault="002905C6" w:rsidP="00C835CC">
            <w:pPr>
              <w:spacing w:after="0"/>
              <w:ind w:left="116"/>
              <w:rPr>
                <w:rFonts w:asciiTheme="majorHAnsi" w:hAnsiTheme="majorHAnsi"/>
                <w:sz w:val="18"/>
                <w:szCs w:val="18"/>
              </w:rPr>
            </w:pPr>
            <w:r w:rsidRPr="00C835CC">
              <w:rPr>
                <w:rFonts w:asciiTheme="majorHAnsi" w:hAnsiTheme="majorHAnsi"/>
                <w:sz w:val="18"/>
                <w:szCs w:val="18"/>
              </w:rPr>
              <w:t>Asian Development Bank</w:t>
            </w:r>
          </w:p>
        </w:tc>
      </w:tr>
      <w:tr w:rsidR="002905C6" w:rsidRPr="004840B6" w14:paraId="1250B7E9" w14:textId="77777777" w:rsidTr="0003763F">
        <w:trPr>
          <w:trHeight w:val="288"/>
        </w:trPr>
        <w:tc>
          <w:tcPr>
            <w:tcW w:w="1203" w:type="dxa"/>
            <w:shd w:val="clear" w:color="auto" w:fill="auto"/>
          </w:tcPr>
          <w:p w14:paraId="798E97D8" w14:textId="3B06728F" w:rsidR="002905C6" w:rsidRPr="00C835CC" w:rsidRDefault="002905C6" w:rsidP="00C835CC">
            <w:pPr>
              <w:spacing w:after="0"/>
              <w:rPr>
                <w:rFonts w:asciiTheme="majorHAnsi" w:hAnsiTheme="majorHAnsi"/>
                <w:sz w:val="18"/>
                <w:szCs w:val="18"/>
              </w:rPr>
            </w:pPr>
            <w:r w:rsidRPr="00C835CC">
              <w:rPr>
                <w:rFonts w:asciiTheme="majorHAnsi" w:hAnsiTheme="majorHAnsi"/>
                <w:sz w:val="18"/>
                <w:szCs w:val="18"/>
              </w:rPr>
              <w:t>BD</w:t>
            </w:r>
          </w:p>
        </w:tc>
        <w:tc>
          <w:tcPr>
            <w:tcW w:w="8157" w:type="dxa"/>
            <w:shd w:val="clear" w:color="auto" w:fill="auto"/>
          </w:tcPr>
          <w:p w14:paraId="6E6420F1" w14:textId="4F62C0B9" w:rsidR="002905C6" w:rsidRPr="00C835CC" w:rsidRDefault="002905C6" w:rsidP="00C835CC">
            <w:pPr>
              <w:spacing w:after="0"/>
              <w:ind w:left="116"/>
              <w:rPr>
                <w:rFonts w:asciiTheme="majorHAnsi" w:hAnsiTheme="majorHAnsi"/>
                <w:sz w:val="18"/>
                <w:szCs w:val="18"/>
              </w:rPr>
            </w:pPr>
            <w:r w:rsidRPr="00C835CC">
              <w:rPr>
                <w:rFonts w:asciiTheme="majorHAnsi" w:hAnsiTheme="majorHAnsi"/>
                <w:sz w:val="18"/>
                <w:szCs w:val="18"/>
              </w:rPr>
              <w:t>Division</w:t>
            </w:r>
            <w:r w:rsidR="00B60A70" w:rsidRPr="00C835CC">
              <w:rPr>
                <w:rFonts w:asciiTheme="majorHAnsi" w:hAnsiTheme="majorHAnsi"/>
                <w:sz w:val="18"/>
                <w:szCs w:val="18"/>
              </w:rPr>
              <w:t xml:space="preserve"> of Biosecurity</w:t>
            </w:r>
          </w:p>
        </w:tc>
      </w:tr>
      <w:tr w:rsidR="002905C6" w:rsidRPr="004840B6" w14:paraId="2518B272" w14:textId="77777777" w:rsidTr="0003763F">
        <w:trPr>
          <w:trHeight w:val="288"/>
        </w:trPr>
        <w:tc>
          <w:tcPr>
            <w:tcW w:w="1203" w:type="dxa"/>
            <w:shd w:val="clear" w:color="auto" w:fill="auto"/>
          </w:tcPr>
          <w:p w14:paraId="3DAC30F3" w14:textId="2871F75A" w:rsidR="002905C6" w:rsidRPr="00C835CC" w:rsidRDefault="002905C6" w:rsidP="00C835CC">
            <w:pPr>
              <w:spacing w:after="0"/>
              <w:rPr>
                <w:rFonts w:asciiTheme="majorHAnsi" w:hAnsiTheme="majorHAnsi"/>
                <w:sz w:val="18"/>
                <w:szCs w:val="18"/>
              </w:rPr>
            </w:pPr>
            <w:r w:rsidRPr="00C835CC">
              <w:rPr>
                <w:rFonts w:asciiTheme="majorHAnsi" w:hAnsiTheme="majorHAnsi"/>
                <w:sz w:val="18"/>
                <w:szCs w:val="18"/>
              </w:rPr>
              <w:t>BMR</w:t>
            </w:r>
          </w:p>
        </w:tc>
        <w:tc>
          <w:tcPr>
            <w:tcW w:w="8157" w:type="dxa"/>
            <w:shd w:val="clear" w:color="auto" w:fill="auto"/>
          </w:tcPr>
          <w:p w14:paraId="11DEA2D0" w14:textId="372B0E6D" w:rsidR="002905C6" w:rsidRPr="00C835CC" w:rsidRDefault="002905C6" w:rsidP="00C835CC">
            <w:pPr>
              <w:spacing w:after="0"/>
              <w:ind w:left="116"/>
              <w:rPr>
                <w:rFonts w:asciiTheme="majorHAnsi" w:hAnsiTheme="majorHAnsi"/>
                <w:sz w:val="18"/>
                <w:szCs w:val="18"/>
              </w:rPr>
            </w:pPr>
            <w:r w:rsidRPr="00C835CC">
              <w:rPr>
                <w:rFonts w:asciiTheme="majorHAnsi" w:hAnsiTheme="majorHAnsi"/>
                <w:sz w:val="18"/>
                <w:szCs w:val="18"/>
              </w:rPr>
              <w:t>Bureau of Marine Resources</w:t>
            </w:r>
          </w:p>
        </w:tc>
      </w:tr>
      <w:tr w:rsidR="00EB3029" w:rsidRPr="004840B6" w14:paraId="6AC0999F" w14:textId="77777777" w:rsidTr="0003763F">
        <w:trPr>
          <w:trHeight w:val="288"/>
        </w:trPr>
        <w:tc>
          <w:tcPr>
            <w:tcW w:w="1203" w:type="dxa"/>
            <w:shd w:val="clear" w:color="auto" w:fill="auto"/>
          </w:tcPr>
          <w:p w14:paraId="77FF2632" w14:textId="79D24AEA" w:rsidR="00EB3029" w:rsidRPr="00C835CC" w:rsidRDefault="00EB3029" w:rsidP="00C835CC">
            <w:pPr>
              <w:spacing w:after="0"/>
              <w:rPr>
                <w:rFonts w:asciiTheme="majorHAnsi" w:hAnsiTheme="majorHAnsi"/>
                <w:sz w:val="18"/>
                <w:szCs w:val="18"/>
              </w:rPr>
            </w:pPr>
            <w:r w:rsidRPr="00C835CC">
              <w:rPr>
                <w:rFonts w:asciiTheme="majorHAnsi" w:hAnsiTheme="majorHAnsi"/>
                <w:sz w:val="18"/>
                <w:szCs w:val="18"/>
              </w:rPr>
              <w:t>BNM</w:t>
            </w:r>
          </w:p>
        </w:tc>
        <w:tc>
          <w:tcPr>
            <w:tcW w:w="8157" w:type="dxa"/>
            <w:shd w:val="clear" w:color="auto" w:fill="auto"/>
          </w:tcPr>
          <w:p w14:paraId="12693FC8" w14:textId="1390F144" w:rsidR="00EB3029" w:rsidRPr="00C835CC" w:rsidRDefault="00EB3029" w:rsidP="00C835CC">
            <w:pPr>
              <w:spacing w:after="0"/>
              <w:ind w:left="116"/>
              <w:rPr>
                <w:rFonts w:asciiTheme="majorHAnsi" w:hAnsiTheme="majorHAnsi"/>
                <w:sz w:val="18"/>
                <w:szCs w:val="18"/>
              </w:rPr>
            </w:pPr>
            <w:r w:rsidRPr="00C835CC">
              <w:rPr>
                <w:rFonts w:asciiTheme="majorHAnsi" w:hAnsiTheme="majorHAnsi"/>
                <w:sz w:val="18"/>
                <w:szCs w:val="18"/>
              </w:rPr>
              <w:t>Belau National Museum</w:t>
            </w:r>
          </w:p>
        </w:tc>
      </w:tr>
      <w:tr w:rsidR="002905C6" w:rsidRPr="004840B6" w14:paraId="393B16F4" w14:textId="77777777" w:rsidTr="0003763F">
        <w:trPr>
          <w:trHeight w:val="288"/>
        </w:trPr>
        <w:tc>
          <w:tcPr>
            <w:tcW w:w="1203" w:type="dxa"/>
            <w:shd w:val="clear" w:color="auto" w:fill="auto"/>
          </w:tcPr>
          <w:p w14:paraId="3F8291B0" w14:textId="09D53BD0" w:rsidR="002905C6" w:rsidRPr="00C835CC" w:rsidRDefault="002905C6" w:rsidP="00C835CC">
            <w:pPr>
              <w:spacing w:after="0"/>
              <w:rPr>
                <w:rFonts w:asciiTheme="majorHAnsi" w:hAnsiTheme="majorHAnsi"/>
                <w:sz w:val="18"/>
                <w:szCs w:val="18"/>
              </w:rPr>
            </w:pPr>
            <w:r w:rsidRPr="00C835CC">
              <w:rPr>
                <w:rFonts w:asciiTheme="majorHAnsi" w:hAnsiTheme="majorHAnsi"/>
                <w:sz w:val="18"/>
                <w:szCs w:val="18"/>
              </w:rPr>
              <w:t>BOA</w:t>
            </w:r>
          </w:p>
        </w:tc>
        <w:tc>
          <w:tcPr>
            <w:tcW w:w="8157" w:type="dxa"/>
            <w:shd w:val="clear" w:color="auto" w:fill="auto"/>
          </w:tcPr>
          <w:p w14:paraId="0F1BD15A" w14:textId="703C09AD" w:rsidR="002905C6" w:rsidRPr="00C835CC" w:rsidRDefault="002905C6" w:rsidP="00C835CC">
            <w:pPr>
              <w:spacing w:after="0"/>
              <w:ind w:left="116"/>
              <w:rPr>
                <w:rFonts w:asciiTheme="majorHAnsi" w:hAnsiTheme="majorHAnsi"/>
                <w:sz w:val="18"/>
                <w:szCs w:val="18"/>
              </w:rPr>
            </w:pPr>
            <w:r w:rsidRPr="00C835CC">
              <w:rPr>
                <w:rFonts w:asciiTheme="majorHAnsi" w:hAnsiTheme="majorHAnsi"/>
                <w:sz w:val="18"/>
                <w:szCs w:val="18"/>
              </w:rPr>
              <w:t>Bureau of Agriculture</w:t>
            </w:r>
          </w:p>
        </w:tc>
      </w:tr>
      <w:tr w:rsidR="002905C6" w:rsidRPr="004840B6" w14:paraId="2CA52CA2" w14:textId="77777777" w:rsidTr="0003763F">
        <w:trPr>
          <w:trHeight w:val="288"/>
        </w:trPr>
        <w:tc>
          <w:tcPr>
            <w:tcW w:w="1203" w:type="dxa"/>
            <w:shd w:val="clear" w:color="auto" w:fill="auto"/>
          </w:tcPr>
          <w:p w14:paraId="2AEC5D64" w14:textId="54644C04" w:rsidR="002905C6" w:rsidRPr="00C835CC" w:rsidRDefault="002905C6" w:rsidP="00C835CC">
            <w:pPr>
              <w:spacing w:after="0"/>
              <w:rPr>
                <w:rFonts w:asciiTheme="majorHAnsi" w:hAnsiTheme="majorHAnsi"/>
                <w:sz w:val="18"/>
                <w:szCs w:val="18"/>
              </w:rPr>
            </w:pPr>
            <w:r w:rsidRPr="00C835CC">
              <w:rPr>
                <w:rFonts w:asciiTheme="majorHAnsi" w:hAnsiTheme="majorHAnsi"/>
                <w:sz w:val="18"/>
                <w:szCs w:val="18"/>
              </w:rPr>
              <w:t>BOE</w:t>
            </w:r>
          </w:p>
        </w:tc>
        <w:tc>
          <w:tcPr>
            <w:tcW w:w="8157" w:type="dxa"/>
            <w:shd w:val="clear" w:color="auto" w:fill="auto"/>
          </w:tcPr>
          <w:p w14:paraId="48C79B7F" w14:textId="4A4C1C52" w:rsidR="002905C6" w:rsidRPr="00C835CC" w:rsidRDefault="002905C6" w:rsidP="00C835CC">
            <w:pPr>
              <w:spacing w:after="0"/>
              <w:ind w:left="116"/>
              <w:rPr>
                <w:rFonts w:asciiTheme="majorHAnsi" w:hAnsiTheme="majorHAnsi"/>
                <w:sz w:val="18"/>
                <w:szCs w:val="18"/>
              </w:rPr>
            </w:pPr>
            <w:r w:rsidRPr="00C835CC">
              <w:rPr>
                <w:rFonts w:asciiTheme="majorHAnsi" w:hAnsiTheme="majorHAnsi"/>
                <w:sz w:val="18"/>
                <w:szCs w:val="18"/>
              </w:rPr>
              <w:t>Bureau of Environment</w:t>
            </w:r>
          </w:p>
        </w:tc>
      </w:tr>
      <w:tr w:rsidR="002905C6" w:rsidRPr="004840B6" w14:paraId="1A6E54BA" w14:textId="77777777" w:rsidTr="0003763F">
        <w:trPr>
          <w:trHeight w:val="288"/>
        </w:trPr>
        <w:tc>
          <w:tcPr>
            <w:tcW w:w="1203" w:type="dxa"/>
            <w:shd w:val="clear" w:color="auto" w:fill="auto"/>
          </w:tcPr>
          <w:p w14:paraId="57ADFFFE" w14:textId="26C50ACC" w:rsidR="002905C6" w:rsidRPr="00C835CC" w:rsidRDefault="002905C6" w:rsidP="00C835CC">
            <w:pPr>
              <w:spacing w:after="0"/>
              <w:rPr>
                <w:rFonts w:asciiTheme="majorHAnsi" w:hAnsiTheme="majorHAnsi"/>
                <w:sz w:val="18"/>
                <w:szCs w:val="18"/>
              </w:rPr>
            </w:pPr>
            <w:r w:rsidRPr="00C835CC">
              <w:rPr>
                <w:rFonts w:asciiTheme="majorHAnsi" w:hAnsiTheme="majorHAnsi"/>
                <w:sz w:val="18"/>
                <w:szCs w:val="18"/>
              </w:rPr>
              <w:t>BOT</w:t>
            </w:r>
          </w:p>
        </w:tc>
        <w:tc>
          <w:tcPr>
            <w:tcW w:w="8157" w:type="dxa"/>
            <w:shd w:val="clear" w:color="auto" w:fill="auto"/>
          </w:tcPr>
          <w:p w14:paraId="49429581" w14:textId="64E753F9" w:rsidR="002905C6" w:rsidRPr="00C835CC" w:rsidRDefault="002905C6" w:rsidP="00C835CC">
            <w:pPr>
              <w:spacing w:after="0"/>
              <w:ind w:left="116"/>
              <w:rPr>
                <w:rFonts w:asciiTheme="majorHAnsi" w:hAnsiTheme="majorHAnsi"/>
                <w:sz w:val="18"/>
                <w:szCs w:val="18"/>
              </w:rPr>
            </w:pPr>
            <w:r w:rsidRPr="00C835CC">
              <w:rPr>
                <w:rFonts w:asciiTheme="majorHAnsi" w:hAnsiTheme="majorHAnsi"/>
                <w:sz w:val="18"/>
                <w:szCs w:val="18"/>
              </w:rPr>
              <w:t>Bureau of Tourism</w:t>
            </w:r>
          </w:p>
        </w:tc>
      </w:tr>
      <w:tr w:rsidR="002905C6" w:rsidRPr="004840B6" w14:paraId="43F2C143" w14:textId="77777777" w:rsidTr="0003763F">
        <w:trPr>
          <w:trHeight w:val="288"/>
        </w:trPr>
        <w:tc>
          <w:tcPr>
            <w:tcW w:w="1203" w:type="dxa"/>
            <w:shd w:val="clear" w:color="auto" w:fill="auto"/>
          </w:tcPr>
          <w:p w14:paraId="6803CAFF" w14:textId="52ECF065" w:rsidR="002905C6" w:rsidRPr="00C835CC" w:rsidRDefault="002905C6" w:rsidP="00C835CC">
            <w:pPr>
              <w:spacing w:after="0"/>
              <w:rPr>
                <w:rFonts w:asciiTheme="majorHAnsi" w:hAnsiTheme="majorHAnsi"/>
                <w:sz w:val="18"/>
                <w:szCs w:val="18"/>
              </w:rPr>
            </w:pPr>
            <w:r w:rsidRPr="00C835CC">
              <w:rPr>
                <w:rFonts w:asciiTheme="majorHAnsi" w:hAnsiTheme="majorHAnsi"/>
                <w:sz w:val="18"/>
                <w:szCs w:val="18"/>
              </w:rPr>
              <w:t>CB2</w:t>
            </w:r>
          </w:p>
        </w:tc>
        <w:tc>
          <w:tcPr>
            <w:tcW w:w="8157" w:type="dxa"/>
            <w:shd w:val="clear" w:color="auto" w:fill="auto"/>
          </w:tcPr>
          <w:p w14:paraId="748F9923" w14:textId="5B9D61EF" w:rsidR="002905C6" w:rsidRPr="00C835CC" w:rsidRDefault="00B60A70" w:rsidP="00C835CC">
            <w:pPr>
              <w:spacing w:after="0"/>
              <w:ind w:left="116"/>
              <w:rPr>
                <w:rFonts w:asciiTheme="majorHAnsi" w:hAnsiTheme="majorHAnsi"/>
                <w:sz w:val="18"/>
                <w:szCs w:val="18"/>
              </w:rPr>
            </w:pPr>
            <w:r w:rsidRPr="00C835CC">
              <w:rPr>
                <w:rFonts w:asciiTheme="majorHAnsi" w:hAnsiTheme="majorHAnsi"/>
                <w:sz w:val="18"/>
                <w:szCs w:val="18"/>
              </w:rPr>
              <w:t>Capacity Building Project</w:t>
            </w:r>
          </w:p>
        </w:tc>
      </w:tr>
      <w:tr w:rsidR="00C301B3" w:rsidRPr="004840B6" w14:paraId="1FE11457" w14:textId="77777777" w:rsidTr="0003763F">
        <w:trPr>
          <w:trHeight w:val="288"/>
        </w:trPr>
        <w:tc>
          <w:tcPr>
            <w:tcW w:w="1203" w:type="dxa"/>
            <w:shd w:val="clear" w:color="auto" w:fill="auto"/>
          </w:tcPr>
          <w:p w14:paraId="1100E68E" w14:textId="18D6098D" w:rsidR="00C301B3" w:rsidRPr="00C835CC" w:rsidRDefault="00C301B3" w:rsidP="00C835CC">
            <w:pPr>
              <w:spacing w:after="0"/>
              <w:rPr>
                <w:rFonts w:asciiTheme="majorHAnsi" w:hAnsiTheme="majorHAnsi"/>
                <w:sz w:val="18"/>
                <w:szCs w:val="18"/>
              </w:rPr>
            </w:pPr>
            <w:r w:rsidRPr="00C835CC">
              <w:rPr>
                <w:rFonts w:asciiTheme="majorHAnsi" w:hAnsiTheme="majorHAnsi"/>
                <w:sz w:val="18"/>
                <w:szCs w:val="18"/>
              </w:rPr>
              <w:t>CBO</w:t>
            </w:r>
          </w:p>
        </w:tc>
        <w:tc>
          <w:tcPr>
            <w:tcW w:w="8157" w:type="dxa"/>
            <w:shd w:val="clear" w:color="auto" w:fill="auto"/>
          </w:tcPr>
          <w:p w14:paraId="6A998DC8" w14:textId="663925AF" w:rsidR="00C301B3" w:rsidRPr="00C835CC" w:rsidRDefault="00C301B3" w:rsidP="00C835CC">
            <w:pPr>
              <w:spacing w:after="0"/>
              <w:ind w:left="116"/>
              <w:rPr>
                <w:rFonts w:asciiTheme="majorHAnsi" w:hAnsiTheme="majorHAnsi"/>
                <w:sz w:val="18"/>
                <w:szCs w:val="18"/>
              </w:rPr>
            </w:pPr>
            <w:r w:rsidRPr="00C835CC">
              <w:rPr>
                <w:rFonts w:asciiTheme="majorHAnsi" w:hAnsiTheme="majorHAnsi"/>
                <w:sz w:val="18"/>
                <w:szCs w:val="18"/>
              </w:rPr>
              <w:t>Community based Organization</w:t>
            </w:r>
          </w:p>
        </w:tc>
      </w:tr>
      <w:tr w:rsidR="002905C6" w:rsidRPr="004840B6" w14:paraId="704D5B2C" w14:textId="77777777" w:rsidTr="0003763F">
        <w:trPr>
          <w:trHeight w:val="288"/>
        </w:trPr>
        <w:tc>
          <w:tcPr>
            <w:tcW w:w="1203" w:type="dxa"/>
            <w:shd w:val="clear" w:color="auto" w:fill="auto"/>
          </w:tcPr>
          <w:p w14:paraId="030D2A61" w14:textId="18D73873" w:rsidR="002905C6" w:rsidRPr="00C835CC" w:rsidRDefault="002905C6" w:rsidP="00C835CC">
            <w:pPr>
              <w:spacing w:after="0"/>
              <w:rPr>
                <w:rFonts w:asciiTheme="majorHAnsi" w:hAnsiTheme="majorHAnsi"/>
                <w:sz w:val="18"/>
                <w:szCs w:val="18"/>
              </w:rPr>
            </w:pPr>
            <w:r w:rsidRPr="00C835CC">
              <w:rPr>
                <w:rFonts w:asciiTheme="majorHAnsi" w:hAnsiTheme="majorHAnsi"/>
                <w:sz w:val="18"/>
                <w:szCs w:val="18"/>
              </w:rPr>
              <w:t>C</w:t>
            </w:r>
            <w:r w:rsidR="00C301B3" w:rsidRPr="00C835CC">
              <w:rPr>
                <w:rFonts w:asciiTheme="majorHAnsi" w:hAnsiTheme="majorHAnsi"/>
                <w:sz w:val="18"/>
                <w:szCs w:val="18"/>
              </w:rPr>
              <w:t>N</w:t>
            </w:r>
            <w:r w:rsidRPr="00C835CC">
              <w:rPr>
                <w:rFonts w:asciiTheme="majorHAnsi" w:hAnsiTheme="majorHAnsi"/>
                <w:sz w:val="18"/>
                <w:szCs w:val="18"/>
              </w:rPr>
              <w:t>MI</w:t>
            </w:r>
          </w:p>
        </w:tc>
        <w:tc>
          <w:tcPr>
            <w:tcW w:w="8157" w:type="dxa"/>
            <w:shd w:val="clear" w:color="auto" w:fill="auto"/>
          </w:tcPr>
          <w:p w14:paraId="2B1F7161" w14:textId="139D460F" w:rsidR="002905C6" w:rsidRPr="00C835CC" w:rsidRDefault="00C301B3" w:rsidP="00C835CC">
            <w:pPr>
              <w:spacing w:after="0"/>
              <w:ind w:left="116"/>
              <w:rPr>
                <w:rFonts w:asciiTheme="majorHAnsi" w:hAnsiTheme="majorHAnsi"/>
                <w:sz w:val="18"/>
                <w:szCs w:val="18"/>
              </w:rPr>
            </w:pPr>
            <w:r w:rsidRPr="00C835CC">
              <w:rPr>
                <w:rFonts w:asciiTheme="majorHAnsi" w:hAnsiTheme="majorHAnsi"/>
                <w:sz w:val="18"/>
                <w:szCs w:val="18"/>
              </w:rPr>
              <w:t>Commonwealth of Northern Marina Islands and Hawaii</w:t>
            </w:r>
          </w:p>
        </w:tc>
      </w:tr>
      <w:tr w:rsidR="00C301B3" w:rsidRPr="004840B6" w14:paraId="31FEF685" w14:textId="77777777" w:rsidTr="0003763F">
        <w:trPr>
          <w:trHeight w:val="288"/>
        </w:trPr>
        <w:tc>
          <w:tcPr>
            <w:tcW w:w="1203" w:type="dxa"/>
            <w:shd w:val="clear" w:color="auto" w:fill="auto"/>
          </w:tcPr>
          <w:p w14:paraId="22A33E97" w14:textId="1D442928" w:rsidR="00C301B3" w:rsidRPr="00C835CC" w:rsidRDefault="00C301B3" w:rsidP="00C835CC">
            <w:pPr>
              <w:spacing w:after="0"/>
              <w:rPr>
                <w:rFonts w:asciiTheme="majorHAnsi" w:hAnsiTheme="majorHAnsi"/>
                <w:sz w:val="18"/>
                <w:szCs w:val="18"/>
              </w:rPr>
            </w:pPr>
            <w:r w:rsidRPr="00C835CC">
              <w:rPr>
                <w:rFonts w:asciiTheme="majorHAnsi" w:hAnsiTheme="majorHAnsi"/>
                <w:sz w:val="18"/>
                <w:szCs w:val="18"/>
              </w:rPr>
              <w:t>CRB</w:t>
            </w:r>
          </w:p>
        </w:tc>
        <w:tc>
          <w:tcPr>
            <w:tcW w:w="8157" w:type="dxa"/>
            <w:shd w:val="clear" w:color="auto" w:fill="auto"/>
          </w:tcPr>
          <w:p w14:paraId="6BA4F2AE" w14:textId="5AEB9907" w:rsidR="00C301B3" w:rsidRPr="00C835CC" w:rsidRDefault="00C301B3" w:rsidP="00C835CC">
            <w:pPr>
              <w:spacing w:after="0"/>
              <w:ind w:left="116"/>
              <w:rPr>
                <w:rFonts w:asciiTheme="majorHAnsi" w:hAnsiTheme="majorHAnsi"/>
                <w:sz w:val="18"/>
                <w:szCs w:val="18"/>
              </w:rPr>
            </w:pPr>
            <w:r w:rsidRPr="00C835CC">
              <w:rPr>
                <w:rFonts w:asciiTheme="majorHAnsi" w:hAnsiTheme="majorHAnsi"/>
                <w:sz w:val="18"/>
                <w:szCs w:val="18"/>
              </w:rPr>
              <w:t>Coconut Rhinoceros Beetle</w:t>
            </w:r>
          </w:p>
        </w:tc>
      </w:tr>
      <w:tr w:rsidR="002905C6" w:rsidRPr="004840B6" w14:paraId="7E075F97" w14:textId="77777777" w:rsidTr="0003763F">
        <w:trPr>
          <w:trHeight w:val="288"/>
        </w:trPr>
        <w:tc>
          <w:tcPr>
            <w:tcW w:w="1203" w:type="dxa"/>
            <w:shd w:val="clear" w:color="auto" w:fill="auto"/>
          </w:tcPr>
          <w:p w14:paraId="62AF9C05" w14:textId="71E4BD81" w:rsidR="002905C6" w:rsidRPr="00C835CC" w:rsidRDefault="002905C6" w:rsidP="00C835CC">
            <w:pPr>
              <w:spacing w:after="0"/>
              <w:rPr>
                <w:rFonts w:asciiTheme="majorHAnsi" w:hAnsiTheme="majorHAnsi"/>
                <w:sz w:val="18"/>
                <w:szCs w:val="18"/>
              </w:rPr>
            </w:pPr>
            <w:r w:rsidRPr="00C835CC">
              <w:rPr>
                <w:rFonts w:asciiTheme="majorHAnsi" w:hAnsiTheme="majorHAnsi"/>
                <w:sz w:val="18"/>
                <w:szCs w:val="18"/>
              </w:rPr>
              <w:t>CRRF</w:t>
            </w:r>
          </w:p>
        </w:tc>
        <w:tc>
          <w:tcPr>
            <w:tcW w:w="8157" w:type="dxa"/>
            <w:shd w:val="clear" w:color="auto" w:fill="auto"/>
          </w:tcPr>
          <w:p w14:paraId="06016188" w14:textId="1A886449" w:rsidR="002905C6" w:rsidRPr="00C835CC" w:rsidRDefault="002905C6" w:rsidP="00C835CC">
            <w:pPr>
              <w:spacing w:after="0"/>
              <w:ind w:left="116"/>
              <w:rPr>
                <w:rFonts w:asciiTheme="majorHAnsi" w:hAnsiTheme="majorHAnsi"/>
                <w:sz w:val="18"/>
                <w:szCs w:val="18"/>
              </w:rPr>
            </w:pPr>
            <w:r w:rsidRPr="00C835CC">
              <w:rPr>
                <w:rFonts w:asciiTheme="majorHAnsi" w:hAnsiTheme="majorHAnsi"/>
                <w:sz w:val="18"/>
                <w:szCs w:val="18"/>
              </w:rPr>
              <w:t xml:space="preserve">Coral Reef Research </w:t>
            </w:r>
            <w:r w:rsidR="00B60A70" w:rsidRPr="00C835CC">
              <w:rPr>
                <w:rFonts w:asciiTheme="majorHAnsi" w:hAnsiTheme="majorHAnsi"/>
                <w:sz w:val="18"/>
                <w:szCs w:val="18"/>
              </w:rPr>
              <w:t>Foundation</w:t>
            </w:r>
          </w:p>
        </w:tc>
      </w:tr>
      <w:tr w:rsidR="002905C6" w:rsidRPr="004840B6" w14:paraId="75209A10" w14:textId="77777777" w:rsidTr="0003763F">
        <w:trPr>
          <w:trHeight w:val="288"/>
        </w:trPr>
        <w:tc>
          <w:tcPr>
            <w:tcW w:w="1203" w:type="dxa"/>
            <w:shd w:val="clear" w:color="auto" w:fill="auto"/>
          </w:tcPr>
          <w:p w14:paraId="7BEB251A" w14:textId="5F5A0B80" w:rsidR="002905C6" w:rsidRPr="00C835CC" w:rsidRDefault="002905C6" w:rsidP="00C835CC">
            <w:pPr>
              <w:spacing w:after="0"/>
              <w:rPr>
                <w:rFonts w:asciiTheme="majorHAnsi" w:hAnsiTheme="majorHAnsi"/>
                <w:sz w:val="18"/>
                <w:szCs w:val="18"/>
              </w:rPr>
            </w:pPr>
            <w:r w:rsidRPr="00C835CC">
              <w:rPr>
                <w:rFonts w:asciiTheme="majorHAnsi" w:hAnsiTheme="majorHAnsi"/>
                <w:sz w:val="18"/>
                <w:szCs w:val="18"/>
              </w:rPr>
              <w:t>DFWP</w:t>
            </w:r>
          </w:p>
        </w:tc>
        <w:tc>
          <w:tcPr>
            <w:tcW w:w="8157" w:type="dxa"/>
            <w:shd w:val="clear" w:color="auto" w:fill="auto"/>
          </w:tcPr>
          <w:p w14:paraId="06FB6364" w14:textId="1C782829" w:rsidR="002905C6" w:rsidRPr="00C835CC" w:rsidRDefault="002905C6" w:rsidP="00C835CC">
            <w:pPr>
              <w:spacing w:after="0"/>
              <w:ind w:left="116"/>
              <w:rPr>
                <w:rFonts w:asciiTheme="majorHAnsi" w:hAnsiTheme="majorHAnsi"/>
                <w:sz w:val="18"/>
                <w:szCs w:val="18"/>
              </w:rPr>
            </w:pPr>
            <w:r w:rsidRPr="00C835CC">
              <w:rPr>
                <w:rFonts w:asciiTheme="majorHAnsi" w:hAnsiTheme="majorHAnsi"/>
                <w:sz w:val="18"/>
                <w:szCs w:val="18"/>
              </w:rPr>
              <w:t>Department of Forest and Wildlife Protection</w:t>
            </w:r>
          </w:p>
        </w:tc>
      </w:tr>
      <w:tr w:rsidR="002905C6" w:rsidRPr="004840B6" w14:paraId="5132A28D" w14:textId="77777777" w:rsidTr="0003763F">
        <w:trPr>
          <w:trHeight w:val="288"/>
        </w:trPr>
        <w:tc>
          <w:tcPr>
            <w:tcW w:w="1203" w:type="dxa"/>
            <w:shd w:val="clear" w:color="auto" w:fill="auto"/>
          </w:tcPr>
          <w:p w14:paraId="1859F9D0" w14:textId="4A7F339E" w:rsidR="002905C6" w:rsidRPr="00C835CC" w:rsidRDefault="002905C6" w:rsidP="00C835CC">
            <w:pPr>
              <w:spacing w:after="0"/>
              <w:rPr>
                <w:rFonts w:asciiTheme="majorHAnsi" w:hAnsiTheme="majorHAnsi"/>
                <w:sz w:val="18"/>
                <w:szCs w:val="18"/>
              </w:rPr>
            </w:pPr>
            <w:r w:rsidRPr="00C835CC">
              <w:rPr>
                <w:rFonts w:asciiTheme="majorHAnsi" w:hAnsiTheme="majorHAnsi"/>
                <w:sz w:val="18"/>
                <w:szCs w:val="18"/>
              </w:rPr>
              <w:t>EA</w:t>
            </w:r>
          </w:p>
        </w:tc>
        <w:tc>
          <w:tcPr>
            <w:tcW w:w="8157" w:type="dxa"/>
            <w:shd w:val="clear" w:color="auto" w:fill="auto"/>
          </w:tcPr>
          <w:p w14:paraId="4ED15EE7" w14:textId="0CEC1A14" w:rsidR="002905C6" w:rsidRPr="00C835CC" w:rsidRDefault="002905C6" w:rsidP="00C835CC">
            <w:pPr>
              <w:spacing w:after="0"/>
              <w:ind w:left="116"/>
              <w:rPr>
                <w:rFonts w:asciiTheme="majorHAnsi" w:hAnsiTheme="majorHAnsi"/>
                <w:sz w:val="18"/>
                <w:szCs w:val="18"/>
              </w:rPr>
            </w:pPr>
            <w:r w:rsidRPr="00C835CC">
              <w:rPr>
                <w:rFonts w:asciiTheme="majorHAnsi" w:hAnsiTheme="majorHAnsi"/>
                <w:sz w:val="18"/>
                <w:szCs w:val="18"/>
              </w:rPr>
              <w:t>Environmental Assessment</w:t>
            </w:r>
          </w:p>
        </w:tc>
      </w:tr>
      <w:tr w:rsidR="002905C6" w:rsidRPr="004840B6" w14:paraId="6465CAB3" w14:textId="77777777" w:rsidTr="0003763F">
        <w:trPr>
          <w:trHeight w:val="288"/>
        </w:trPr>
        <w:tc>
          <w:tcPr>
            <w:tcW w:w="1203" w:type="dxa"/>
            <w:shd w:val="clear" w:color="auto" w:fill="auto"/>
          </w:tcPr>
          <w:p w14:paraId="3483C746" w14:textId="301E15D6" w:rsidR="002905C6" w:rsidRPr="00C835CC" w:rsidRDefault="002905C6" w:rsidP="00C835CC">
            <w:pPr>
              <w:spacing w:after="0"/>
              <w:rPr>
                <w:rFonts w:asciiTheme="majorHAnsi" w:hAnsiTheme="majorHAnsi"/>
                <w:sz w:val="18"/>
                <w:szCs w:val="18"/>
              </w:rPr>
            </w:pPr>
            <w:r w:rsidRPr="00C835CC">
              <w:rPr>
                <w:rFonts w:asciiTheme="majorHAnsi" w:hAnsiTheme="majorHAnsi"/>
                <w:sz w:val="18"/>
                <w:szCs w:val="18"/>
              </w:rPr>
              <w:t>EEZ</w:t>
            </w:r>
          </w:p>
        </w:tc>
        <w:tc>
          <w:tcPr>
            <w:tcW w:w="8157" w:type="dxa"/>
            <w:shd w:val="clear" w:color="auto" w:fill="auto"/>
          </w:tcPr>
          <w:p w14:paraId="3E808B1E" w14:textId="0D38804C" w:rsidR="002905C6" w:rsidRPr="00C835CC" w:rsidRDefault="002905C6" w:rsidP="00C835CC">
            <w:pPr>
              <w:spacing w:after="0"/>
              <w:ind w:left="116"/>
              <w:rPr>
                <w:rFonts w:asciiTheme="majorHAnsi" w:hAnsiTheme="majorHAnsi"/>
                <w:sz w:val="18"/>
                <w:szCs w:val="18"/>
              </w:rPr>
            </w:pPr>
            <w:r w:rsidRPr="00C835CC">
              <w:rPr>
                <w:rFonts w:asciiTheme="majorHAnsi" w:hAnsiTheme="majorHAnsi"/>
                <w:sz w:val="18"/>
                <w:szCs w:val="18"/>
              </w:rPr>
              <w:t>Exclusive Economic Zone</w:t>
            </w:r>
          </w:p>
        </w:tc>
      </w:tr>
      <w:tr w:rsidR="002905C6" w:rsidRPr="004840B6" w14:paraId="2AA5B1F5" w14:textId="77777777" w:rsidTr="0003763F">
        <w:trPr>
          <w:trHeight w:val="288"/>
        </w:trPr>
        <w:tc>
          <w:tcPr>
            <w:tcW w:w="1203" w:type="dxa"/>
            <w:shd w:val="clear" w:color="auto" w:fill="auto"/>
          </w:tcPr>
          <w:p w14:paraId="5CBA7894" w14:textId="31A8C92A" w:rsidR="002905C6" w:rsidRPr="00C835CC" w:rsidRDefault="002905C6" w:rsidP="00C835CC">
            <w:pPr>
              <w:spacing w:after="0"/>
              <w:rPr>
                <w:rFonts w:asciiTheme="majorHAnsi" w:hAnsiTheme="majorHAnsi"/>
                <w:sz w:val="18"/>
                <w:szCs w:val="18"/>
              </w:rPr>
            </w:pPr>
            <w:r w:rsidRPr="00C835CC">
              <w:rPr>
                <w:rFonts w:asciiTheme="majorHAnsi" w:hAnsiTheme="majorHAnsi"/>
                <w:sz w:val="18"/>
                <w:szCs w:val="18"/>
              </w:rPr>
              <w:t>EDRR</w:t>
            </w:r>
          </w:p>
        </w:tc>
        <w:tc>
          <w:tcPr>
            <w:tcW w:w="8157" w:type="dxa"/>
            <w:shd w:val="clear" w:color="auto" w:fill="auto"/>
          </w:tcPr>
          <w:p w14:paraId="78B09DE1" w14:textId="520CD539" w:rsidR="002905C6" w:rsidRPr="00C835CC" w:rsidRDefault="00C301B3" w:rsidP="00C835CC">
            <w:pPr>
              <w:spacing w:after="0"/>
              <w:ind w:left="116"/>
              <w:rPr>
                <w:rFonts w:asciiTheme="majorHAnsi" w:hAnsiTheme="majorHAnsi"/>
                <w:sz w:val="18"/>
                <w:szCs w:val="18"/>
              </w:rPr>
            </w:pPr>
            <w:r w:rsidRPr="00C835CC">
              <w:rPr>
                <w:rFonts w:asciiTheme="majorHAnsi" w:hAnsiTheme="majorHAnsi"/>
                <w:sz w:val="18"/>
                <w:szCs w:val="18"/>
              </w:rPr>
              <w:t>Early Detection and Rapid Response</w:t>
            </w:r>
          </w:p>
        </w:tc>
      </w:tr>
      <w:tr w:rsidR="00C835CC" w:rsidRPr="004840B6" w14:paraId="10668AFA" w14:textId="77777777" w:rsidTr="0003763F">
        <w:trPr>
          <w:trHeight w:val="288"/>
        </w:trPr>
        <w:tc>
          <w:tcPr>
            <w:tcW w:w="1203" w:type="dxa"/>
            <w:shd w:val="clear" w:color="auto" w:fill="auto"/>
          </w:tcPr>
          <w:p w14:paraId="72F525D8" w14:textId="1538E493" w:rsidR="00C835CC" w:rsidRPr="00C835CC" w:rsidRDefault="00C835CC" w:rsidP="00C835CC">
            <w:pPr>
              <w:spacing w:after="0"/>
              <w:rPr>
                <w:rFonts w:asciiTheme="majorHAnsi" w:hAnsiTheme="majorHAnsi"/>
                <w:sz w:val="18"/>
                <w:szCs w:val="18"/>
              </w:rPr>
            </w:pPr>
            <w:r w:rsidRPr="00C835CC">
              <w:rPr>
                <w:rFonts w:asciiTheme="majorHAnsi" w:hAnsiTheme="majorHAnsi"/>
                <w:sz w:val="18"/>
                <w:szCs w:val="18"/>
              </w:rPr>
              <w:t>EIA</w:t>
            </w:r>
          </w:p>
        </w:tc>
        <w:tc>
          <w:tcPr>
            <w:tcW w:w="8157" w:type="dxa"/>
            <w:shd w:val="clear" w:color="auto" w:fill="auto"/>
          </w:tcPr>
          <w:p w14:paraId="41B9CFD2" w14:textId="07A30D10" w:rsidR="00C835CC" w:rsidRPr="00C835CC" w:rsidRDefault="00C835CC" w:rsidP="00C835CC">
            <w:pPr>
              <w:spacing w:after="0"/>
              <w:ind w:left="116"/>
              <w:rPr>
                <w:rFonts w:asciiTheme="majorHAnsi" w:hAnsiTheme="majorHAnsi"/>
                <w:sz w:val="18"/>
                <w:szCs w:val="18"/>
              </w:rPr>
            </w:pPr>
            <w:r w:rsidRPr="00C835CC">
              <w:rPr>
                <w:rFonts w:asciiTheme="majorHAnsi" w:hAnsiTheme="majorHAnsi"/>
                <w:sz w:val="18"/>
                <w:szCs w:val="18"/>
              </w:rPr>
              <w:t>Environment Impact Assessment</w:t>
            </w:r>
          </w:p>
        </w:tc>
      </w:tr>
      <w:tr w:rsidR="002905C6" w:rsidRPr="004840B6" w14:paraId="32F1949C" w14:textId="77777777" w:rsidTr="0003763F">
        <w:trPr>
          <w:trHeight w:val="288"/>
        </w:trPr>
        <w:tc>
          <w:tcPr>
            <w:tcW w:w="1203" w:type="dxa"/>
            <w:shd w:val="clear" w:color="auto" w:fill="auto"/>
          </w:tcPr>
          <w:p w14:paraId="5C2B65CC" w14:textId="78DEE542" w:rsidR="002905C6" w:rsidRPr="00C835CC" w:rsidRDefault="002905C6" w:rsidP="00C835CC">
            <w:pPr>
              <w:spacing w:after="0"/>
              <w:rPr>
                <w:rFonts w:asciiTheme="majorHAnsi" w:hAnsiTheme="majorHAnsi"/>
                <w:sz w:val="18"/>
                <w:szCs w:val="18"/>
              </w:rPr>
            </w:pPr>
            <w:r w:rsidRPr="00C835CC">
              <w:rPr>
                <w:rFonts w:asciiTheme="majorHAnsi" w:hAnsiTheme="majorHAnsi"/>
                <w:sz w:val="18"/>
                <w:szCs w:val="18"/>
              </w:rPr>
              <w:t>EIS</w:t>
            </w:r>
          </w:p>
        </w:tc>
        <w:tc>
          <w:tcPr>
            <w:tcW w:w="8157" w:type="dxa"/>
            <w:shd w:val="clear" w:color="auto" w:fill="auto"/>
          </w:tcPr>
          <w:p w14:paraId="07ED3AB3" w14:textId="5F0A2F5C" w:rsidR="002905C6" w:rsidRPr="00C835CC" w:rsidRDefault="00C835CC" w:rsidP="00C835CC">
            <w:pPr>
              <w:spacing w:after="0"/>
              <w:rPr>
                <w:rFonts w:asciiTheme="majorHAnsi" w:hAnsiTheme="majorHAnsi"/>
                <w:sz w:val="18"/>
                <w:szCs w:val="18"/>
              </w:rPr>
            </w:pPr>
            <w:r w:rsidRPr="00C835CC">
              <w:rPr>
                <w:rFonts w:asciiTheme="majorHAnsi" w:hAnsiTheme="majorHAnsi"/>
                <w:sz w:val="18"/>
                <w:szCs w:val="18"/>
              </w:rPr>
              <w:t xml:space="preserve">  </w:t>
            </w:r>
            <w:r w:rsidR="002905C6" w:rsidRPr="00C835CC">
              <w:rPr>
                <w:rFonts w:asciiTheme="majorHAnsi" w:hAnsiTheme="majorHAnsi"/>
                <w:sz w:val="18"/>
                <w:szCs w:val="18"/>
              </w:rPr>
              <w:t>Environmental Impact Statement</w:t>
            </w:r>
          </w:p>
        </w:tc>
      </w:tr>
      <w:tr w:rsidR="002905C6" w:rsidRPr="004840B6" w14:paraId="50F71DA5" w14:textId="77777777" w:rsidTr="0003763F">
        <w:trPr>
          <w:trHeight w:val="288"/>
        </w:trPr>
        <w:tc>
          <w:tcPr>
            <w:tcW w:w="1203" w:type="dxa"/>
            <w:shd w:val="clear" w:color="auto" w:fill="auto"/>
          </w:tcPr>
          <w:p w14:paraId="6F87911C" w14:textId="6AC341C1" w:rsidR="002905C6" w:rsidRPr="00C835CC" w:rsidRDefault="002905C6" w:rsidP="00C835CC">
            <w:pPr>
              <w:spacing w:after="0"/>
              <w:rPr>
                <w:rFonts w:asciiTheme="majorHAnsi" w:hAnsiTheme="majorHAnsi"/>
                <w:sz w:val="18"/>
                <w:szCs w:val="18"/>
              </w:rPr>
            </w:pPr>
            <w:r w:rsidRPr="00C835CC">
              <w:rPr>
                <w:rFonts w:asciiTheme="majorHAnsi" w:hAnsiTheme="majorHAnsi"/>
                <w:sz w:val="18"/>
                <w:szCs w:val="18"/>
              </w:rPr>
              <w:t>EQPB</w:t>
            </w:r>
          </w:p>
        </w:tc>
        <w:tc>
          <w:tcPr>
            <w:tcW w:w="8157" w:type="dxa"/>
            <w:shd w:val="clear" w:color="auto" w:fill="auto"/>
          </w:tcPr>
          <w:p w14:paraId="3ED6C958" w14:textId="46F7CA8B" w:rsidR="002905C6" w:rsidRPr="00C835CC" w:rsidRDefault="002905C6" w:rsidP="00C835CC">
            <w:pPr>
              <w:spacing w:after="0"/>
              <w:ind w:left="116"/>
              <w:rPr>
                <w:rFonts w:asciiTheme="majorHAnsi" w:hAnsiTheme="majorHAnsi"/>
                <w:sz w:val="18"/>
                <w:szCs w:val="18"/>
              </w:rPr>
            </w:pPr>
            <w:r w:rsidRPr="00C835CC">
              <w:rPr>
                <w:rFonts w:asciiTheme="majorHAnsi" w:hAnsiTheme="majorHAnsi"/>
                <w:sz w:val="18"/>
                <w:szCs w:val="18"/>
              </w:rPr>
              <w:t>Environment</w:t>
            </w:r>
            <w:r w:rsidR="00B60A70" w:rsidRPr="00C835CC">
              <w:rPr>
                <w:rFonts w:asciiTheme="majorHAnsi" w:hAnsiTheme="majorHAnsi"/>
                <w:sz w:val="18"/>
                <w:szCs w:val="18"/>
              </w:rPr>
              <w:t>al</w:t>
            </w:r>
            <w:r w:rsidRPr="00C835CC">
              <w:rPr>
                <w:rFonts w:asciiTheme="majorHAnsi" w:hAnsiTheme="majorHAnsi"/>
                <w:sz w:val="18"/>
                <w:szCs w:val="18"/>
              </w:rPr>
              <w:t xml:space="preserve"> Quality</w:t>
            </w:r>
            <w:r w:rsidR="00B60A70" w:rsidRPr="00C835CC">
              <w:rPr>
                <w:rFonts w:asciiTheme="majorHAnsi" w:hAnsiTheme="majorHAnsi"/>
                <w:sz w:val="18"/>
                <w:szCs w:val="18"/>
              </w:rPr>
              <w:t xml:space="preserve"> Protection Board</w:t>
            </w:r>
          </w:p>
        </w:tc>
      </w:tr>
      <w:tr w:rsidR="002905C6" w:rsidRPr="004840B6" w14:paraId="686907B5" w14:textId="77777777" w:rsidTr="0003763F">
        <w:trPr>
          <w:trHeight w:val="288"/>
        </w:trPr>
        <w:tc>
          <w:tcPr>
            <w:tcW w:w="1203" w:type="dxa"/>
            <w:shd w:val="clear" w:color="auto" w:fill="auto"/>
          </w:tcPr>
          <w:p w14:paraId="5E0B2232" w14:textId="5DAEAB0A" w:rsidR="002905C6" w:rsidRPr="00C835CC" w:rsidRDefault="002905C6" w:rsidP="00C835CC">
            <w:pPr>
              <w:spacing w:after="0"/>
              <w:rPr>
                <w:rFonts w:asciiTheme="majorHAnsi" w:hAnsiTheme="majorHAnsi"/>
                <w:sz w:val="18"/>
                <w:szCs w:val="18"/>
              </w:rPr>
            </w:pPr>
            <w:r w:rsidRPr="00C835CC">
              <w:rPr>
                <w:rFonts w:asciiTheme="majorHAnsi" w:hAnsiTheme="majorHAnsi"/>
                <w:sz w:val="18"/>
                <w:szCs w:val="18"/>
              </w:rPr>
              <w:t>EPU</w:t>
            </w:r>
          </w:p>
        </w:tc>
        <w:tc>
          <w:tcPr>
            <w:tcW w:w="8157" w:type="dxa"/>
            <w:shd w:val="clear" w:color="auto" w:fill="auto"/>
          </w:tcPr>
          <w:p w14:paraId="6C2BD3CB" w14:textId="2B3BA59C" w:rsidR="002905C6" w:rsidRPr="00C835CC" w:rsidRDefault="002905C6" w:rsidP="00C835CC">
            <w:pPr>
              <w:spacing w:after="0"/>
              <w:ind w:left="116"/>
              <w:rPr>
                <w:rFonts w:asciiTheme="majorHAnsi" w:hAnsiTheme="majorHAnsi"/>
                <w:sz w:val="18"/>
                <w:szCs w:val="18"/>
              </w:rPr>
            </w:pPr>
            <w:r w:rsidRPr="00C835CC">
              <w:rPr>
                <w:rFonts w:asciiTheme="majorHAnsi" w:hAnsiTheme="majorHAnsi"/>
                <w:sz w:val="18"/>
                <w:szCs w:val="18"/>
              </w:rPr>
              <w:t>Environmental Protection Unit</w:t>
            </w:r>
          </w:p>
        </w:tc>
      </w:tr>
      <w:tr w:rsidR="002905C6" w:rsidRPr="004840B6" w14:paraId="643545CA" w14:textId="77777777" w:rsidTr="0003763F">
        <w:trPr>
          <w:trHeight w:val="288"/>
        </w:trPr>
        <w:tc>
          <w:tcPr>
            <w:tcW w:w="1203" w:type="dxa"/>
            <w:shd w:val="clear" w:color="auto" w:fill="auto"/>
          </w:tcPr>
          <w:p w14:paraId="33391344" w14:textId="7B6E0516" w:rsidR="002905C6" w:rsidRPr="00C835CC" w:rsidRDefault="002905C6" w:rsidP="00C835CC">
            <w:pPr>
              <w:spacing w:after="0"/>
              <w:rPr>
                <w:rFonts w:asciiTheme="majorHAnsi" w:hAnsiTheme="majorHAnsi"/>
                <w:sz w:val="18"/>
                <w:szCs w:val="18"/>
              </w:rPr>
            </w:pPr>
            <w:r w:rsidRPr="00C835CC">
              <w:rPr>
                <w:rFonts w:asciiTheme="majorHAnsi" w:hAnsiTheme="majorHAnsi"/>
                <w:sz w:val="18"/>
                <w:szCs w:val="18"/>
              </w:rPr>
              <w:t>FD</w:t>
            </w:r>
          </w:p>
        </w:tc>
        <w:tc>
          <w:tcPr>
            <w:tcW w:w="8157" w:type="dxa"/>
            <w:shd w:val="clear" w:color="auto" w:fill="auto"/>
          </w:tcPr>
          <w:p w14:paraId="2FA4E6C1" w14:textId="46C6163A" w:rsidR="002905C6" w:rsidRPr="00C835CC" w:rsidRDefault="002905C6" w:rsidP="00C835CC">
            <w:pPr>
              <w:spacing w:after="0"/>
              <w:ind w:left="116"/>
              <w:rPr>
                <w:rFonts w:asciiTheme="majorHAnsi" w:hAnsiTheme="majorHAnsi"/>
                <w:sz w:val="18"/>
                <w:szCs w:val="18"/>
              </w:rPr>
            </w:pPr>
            <w:r w:rsidRPr="00C835CC">
              <w:rPr>
                <w:rFonts w:asciiTheme="majorHAnsi" w:hAnsiTheme="majorHAnsi"/>
                <w:sz w:val="18"/>
                <w:szCs w:val="18"/>
              </w:rPr>
              <w:t>Forest Division</w:t>
            </w:r>
          </w:p>
        </w:tc>
      </w:tr>
      <w:tr w:rsidR="00EB3029" w:rsidRPr="004840B6" w14:paraId="1E1AD1CD" w14:textId="77777777" w:rsidTr="0003763F">
        <w:trPr>
          <w:trHeight w:val="288"/>
        </w:trPr>
        <w:tc>
          <w:tcPr>
            <w:tcW w:w="1203" w:type="dxa"/>
            <w:shd w:val="clear" w:color="auto" w:fill="auto"/>
          </w:tcPr>
          <w:p w14:paraId="0C0C7047" w14:textId="05EF676A" w:rsidR="00EB3029" w:rsidRPr="00C835CC" w:rsidRDefault="00EB3029" w:rsidP="00C835CC">
            <w:pPr>
              <w:spacing w:after="0"/>
              <w:rPr>
                <w:rFonts w:asciiTheme="majorHAnsi" w:hAnsiTheme="majorHAnsi"/>
                <w:sz w:val="18"/>
                <w:szCs w:val="18"/>
              </w:rPr>
            </w:pPr>
            <w:r w:rsidRPr="00C835CC">
              <w:rPr>
                <w:rFonts w:asciiTheme="majorHAnsi" w:hAnsiTheme="majorHAnsi"/>
                <w:sz w:val="18"/>
                <w:szCs w:val="18"/>
              </w:rPr>
              <w:t>FIB</w:t>
            </w:r>
          </w:p>
        </w:tc>
        <w:tc>
          <w:tcPr>
            <w:tcW w:w="8157" w:type="dxa"/>
            <w:shd w:val="clear" w:color="auto" w:fill="auto"/>
          </w:tcPr>
          <w:p w14:paraId="543C0864" w14:textId="2229477B" w:rsidR="00EB3029" w:rsidRPr="00C835CC" w:rsidRDefault="00EB3029" w:rsidP="00C835CC">
            <w:pPr>
              <w:spacing w:after="0"/>
              <w:ind w:left="116"/>
              <w:rPr>
                <w:rFonts w:asciiTheme="majorHAnsi" w:hAnsiTheme="majorHAnsi"/>
                <w:sz w:val="18"/>
                <w:szCs w:val="18"/>
              </w:rPr>
            </w:pPr>
            <w:r w:rsidRPr="00C835CC">
              <w:rPr>
                <w:rFonts w:asciiTheme="majorHAnsi" w:hAnsiTheme="majorHAnsi"/>
                <w:sz w:val="18"/>
                <w:szCs w:val="18"/>
              </w:rPr>
              <w:t>Foreign Investment Board</w:t>
            </w:r>
          </w:p>
        </w:tc>
      </w:tr>
      <w:tr w:rsidR="002905C6" w:rsidRPr="004840B6" w14:paraId="50B6C979" w14:textId="77777777" w:rsidTr="0003763F">
        <w:trPr>
          <w:trHeight w:val="288"/>
        </w:trPr>
        <w:tc>
          <w:tcPr>
            <w:tcW w:w="1203" w:type="dxa"/>
            <w:shd w:val="clear" w:color="auto" w:fill="auto"/>
          </w:tcPr>
          <w:p w14:paraId="17AAAEF8" w14:textId="0F5BFDBA" w:rsidR="002905C6" w:rsidRPr="00C835CC" w:rsidRDefault="002905C6" w:rsidP="00C835CC">
            <w:pPr>
              <w:spacing w:after="0"/>
              <w:rPr>
                <w:rFonts w:asciiTheme="majorHAnsi" w:hAnsiTheme="majorHAnsi"/>
                <w:sz w:val="18"/>
                <w:szCs w:val="18"/>
              </w:rPr>
            </w:pPr>
            <w:r w:rsidRPr="00C835CC">
              <w:rPr>
                <w:rFonts w:asciiTheme="majorHAnsi" w:hAnsiTheme="majorHAnsi"/>
                <w:sz w:val="18"/>
                <w:szCs w:val="18"/>
              </w:rPr>
              <w:t>FSM</w:t>
            </w:r>
          </w:p>
        </w:tc>
        <w:tc>
          <w:tcPr>
            <w:tcW w:w="8157" w:type="dxa"/>
            <w:shd w:val="clear" w:color="auto" w:fill="auto"/>
          </w:tcPr>
          <w:p w14:paraId="0A072F85" w14:textId="13955C5B" w:rsidR="002905C6" w:rsidRPr="00C835CC" w:rsidRDefault="00C301B3" w:rsidP="00C835CC">
            <w:pPr>
              <w:spacing w:after="0"/>
              <w:ind w:left="116"/>
              <w:rPr>
                <w:rFonts w:asciiTheme="majorHAnsi" w:hAnsiTheme="majorHAnsi"/>
                <w:sz w:val="18"/>
                <w:szCs w:val="18"/>
              </w:rPr>
            </w:pPr>
            <w:r w:rsidRPr="00C835CC">
              <w:rPr>
                <w:rFonts w:asciiTheme="majorHAnsi" w:hAnsiTheme="majorHAnsi"/>
                <w:sz w:val="18"/>
                <w:szCs w:val="18"/>
              </w:rPr>
              <w:t>Federated States of Micronesia</w:t>
            </w:r>
          </w:p>
        </w:tc>
      </w:tr>
      <w:tr w:rsidR="004C454A" w:rsidRPr="004840B6" w14:paraId="7B16316E" w14:textId="77777777" w:rsidTr="0003763F">
        <w:trPr>
          <w:trHeight w:val="288"/>
        </w:trPr>
        <w:tc>
          <w:tcPr>
            <w:tcW w:w="1203" w:type="dxa"/>
            <w:shd w:val="clear" w:color="auto" w:fill="auto"/>
          </w:tcPr>
          <w:p w14:paraId="2006DB88" w14:textId="77777777" w:rsidR="004C454A" w:rsidRPr="00C835CC" w:rsidRDefault="004C454A" w:rsidP="00C835CC">
            <w:pPr>
              <w:spacing w:after="0"/>
              <w:rPr>
                <w:rFonts w:asciiTheme="majorHAnsi" w:hAnsiTheme="majorHAnsi"/>
                <w:sz w:val="18"/>
                <w:szCs w:val="18"/>
              </w:rPr>
            </w:pPr>
            <w:r w:rsidRPr="00C835CC">
              <w:rPr>
                <w:rFonts w:asciiTheme="majorHAnsi" w:hAnsiTheme="majorHAnsi"/>
                <w:sz w:val="18"/>
                <w:szCs w:val="18"/>
              </w:rPr>
              <w:t>FSP</w:t>
            </w:r>
          </w:p>
        </w:tc>
        <w:tc>
          <w:tcPr>
            <w:tcW w:w="8157" w:type="dxa"/>
            <w:shd w:val="clear" w:color="auto" w:fill="auto"/>
          </w:tcPr>
          <w:p w14:paraId="4220B03F" w14:textId="77777777" w:rsidR="004C454A" w:rsidRPr="00C835CC" w:rsidRDefault="004C454A" w:rsidP="00C835CC">
            <w:pPr>
              <w:spacing w:after="0"/>
              <w:ind w:left="116"/>
              <w:rPr>
                <w:rFonts w:asciiTheme="majorHAnsi" w:hAnsiTheme="majorHAnsi"/>
                <w:sz w:val="18"/>
                <w:szCs w:val="18"/>
              </w:rPr>
            </w:pPr>
            <w:r w:rsidRPr="00C835CC">
              <w:rPr>
                <w:rFonts w:asciiTheme="majorHAnsi" w:hAnsiTheme="majorHAnsi"/>
                <w:sz w:val="18"/>
                <w:szCs w:val="18"/>
              </w:rPr>
              <w:t>Full Sized Project</w:t>
            </w:r>
          </w:p>
        </w:tc>
      </w:tr>
      <w:tr w:rsidR="002905C6" w:rsidRPr="004840B6" w14:paraId="54DC3DD0" w14:textId="77777777" w:rsidTr="0003763F">
        <w:trPr>
          <w:trHeight w:val="288"/>
        </w:trPr>
        <w:tc>
          <w:tcPr>
            <w:tcW w:w="1203" w:type="dxa"/>
            <w:shd w:val="clear" w:color="auto" w:fill="auto"/>
          </w:tcPr>
          <w:p w14:paraId="4482AF4A" w14:textId="203C35BF" w:rsidR="002905C6" w:rsidRPr="00C835CC" w:rsidRDefault="002905C6" w:rsidP="00C835CC">
            <w:pPr>
              <w:spacing w:after="0"/>
              <w:rPr>
                <w:rFonts w:asciiTheme="majorHAnsi" w:hAnsiTheme="majorHAnsi"/>
                <w:sz w:val="18"/>
                <w:szCs w:val="18"/>
              </w:rPr>
            </w:pPr>
            <w:r w:rsidRPr="00C835CC">
              <w:rPr>
                <w:rFonts w:asciiTheme="majorHAnsi" w:hAnsiTheme="majorHAnsi"/>
                <w:sz w:val="18"/>
                <w:szCs w:val="18"/>
              </w:rPr>
              <w:t>GDP</w:t>
            </w:r>
          </w:p>
        </w:tc>
        <w:tc>
          <w:tcPr>
            <w:tcW w:w="8157" w:type="dxa"/>
            <w:shd w:val="clear" w:color="auto" w:fill="auto"/>
          </w:tcPr>
          <w:p w14:paraId="648B7389" w14:textId="40E6AA6B" w:rsidR="002905C6" w:rsidRPr="00C835CC" w:rsidRDefault="002905C6" w:rsidP="00C835CC">
            <w:pPr>
              <w:spacing w:after="0"/>
              <w:ind w:left="116"/>
              <w:rPr>
                <w:rFonts w:asciiTheme="majorHAnsi" w:hAnsiTheme="majorHAnsi"/>
                <w:sz w:val="18"/>
                <w:szCs w:val="18"/>
              </w:rPr>
            </w:pPr>
            <w:r w:rsidRPr="00C835CC">
              <w:rPr>
                <w:rFonts w:asciiTheme="majorHAnsi" w:hAnsiTheme="majorHAnsi"/>
                <w:sz w:val="18"/>
                <w:szCs w:val="18"/>
              </w:rPr>
              <w:t>Gross Domestic Production</w:t>
            </w:r>
          </w:p>
        </w:tc>
      </w:tr>
      <w:tr w:rsidR="002905C6" w:rsidRPr="004840B6" w14:paraId="22B6AA4B" w14:textId="77777777" w:rsidTr="0003763F">
        <w:trPr>
          <w:trHeight w:val="288"/>
        </w:trPr>
        <w:tc>
          <w:tcPr>
            <w:tcW w:w="1203" w:type="dxa"/>
            <w:shd w:val="clear" w:color="auto" w:fill="auto"/>
          </w:tcPr>
          <w:p w14:paraId="04080143" w14:textId="6C249007" w:rsidR="002905C6" w:rsidRPr="00C835CC" w:rsidRDefault="002905C6" w:rsidP="00C835CC">
            <w:pPr>
              <w:spacing w:after="0"/>
              <w:rPr>
                <w:rFonts w:asciiTheme="majorHAnsi" w:hAnsiTheme="majorHAnsi"/>
                <w:sz w:val="18"/>
                <w:szCs w:val="18"/>
              </w:rPr>
            </w:pPr>
            <w:r w:rsidRPr="00C835CC">
              <w:rPr>
                <w:rFonts w:asciiTheme="majorHAnsi" w:hAnsiTheme="majorHAnsi"/>
                <w:sz w:val="18"/>
                <w:szCs w:val="18"/>
              </w:rPr>
              <w:t>GEB</w:t>
            </w:r>
          </w:p>
        </w:tc>
        <w:tc>
          <w:tcPr>
            <w:tcW w:w="8157" w:type="dxa"/>
            <w:shd w:val="clear" w:color="auto" w:fill="auto"/>
          </w:tcPr>
          <w:p w14:paraId="42250ED4" w14:textId="76AB8220" w:rsidR="002905C6" w:rsidRPr="00C835CC" w:rsidRDefault="002905C6" w:rsidP="00C835CC">
            <w:pPr>
              <w:spacing w:after="0"/>
              <w:ind w:left="116"/>
              <w:rPr>
                <w:rFonts w:asciiTheme="majorHAnsi" w:hAnsiTheme="majorHAnsi"/>
                <w:sz w:val="18"/>
                <w:szCs w:val="18"/>
              </w:rPr>
            </w:pPr>
            <w:r w:rsidRPr="00C835CC">
              <w:rPr>
                <w:rFonts w:asciiTheme="majorHAnsi" w:hAnsiTheme="majorHAnsi"/>
                <w:sz w:val="18"/>
                <w:szCs w:val="18"/>
              </w:rPr>
              <w:t>Global Environmental Benefits</w:t>
            </w:r>
          </w:p>
        </w:tc>
      </w:tr>
      <w:tr w:rsidR="004C454A" w:rsidRPr="004840B6" w14:paraId="21DA97D5" w14:textId="77777777" w:rsidTr="0003763F">
        <w:trPr>
          <w:trHeight w:val="288"/>
        </w:trPr>
        <w:tc>
          <w:tcPr>
            <w:tcW w:w="1203" w:type="dxa"/>
            <w:shd w:val="clear" w:color="auto" w:fill="auto"/>
          </w:tcPr>
          <w:p w14:paraId="1D735348" w14:textId="77777777" w:rsidR="004C454A" w:rsidRPr="00C835CC" w:rsidRDefault="004C454A" w:rsidP="00C835CC">
            <w:pPr>
              <w:spacing w:after="0"/>
              <w:rPr>
                <w:rFonts w:asciiTheme="majorHAnsi" w:hAnsiTheme="majorHAnsi"/>
                <w:sz w:val="18"/>
                <w:szCs w:val="18"/>
              </w:rPr>
            </w:pPr>
            <w:r w:rsidRPr="00C835CC">
              <w:rPr>
                <w:rFonts w:asciiTheme="majorHAnsi" w:hAnsiTheme="majorHAnsi"/>
                <w:sz w:val="18"/>
                <w:szCs w:val="18"/>
              </w:rPr>
              <w:t>GEF</w:t>
            </w:r>
          </w:p>
        </w:tc>
        <w:tc>
          <w:tcPr>
            <w:tcW w:w="8157" w:type="dxa"/>
            <w:shd w:val="clear" w:color="auto" w:fill="auto"/>
          </w:tcPr>
          <w:p w14:paraId="6C4EB09E" w14:textId="77777777" w:rsidR="004C454A" w:rsidRPr="00C835CC" w:rsidRDefault="004C454A" w:rsidP="00C835CC">
            <w:pPr>
              <w:spacing w:after="0"/>
              <w:ind w:left="116"/>
              <w:rPr>
                <w:rFonts w:asciiTheme="majorHAnsi" w:hAnsiTheme="majorHAnsi"/>
                <w:sz w:val="18"/>
                <w:szCs w:val="18"/>
              </w:rPr>
            </w:pPr>
            <w:r w:rsidRPr="00C835CC">
              <w:rPr>
                <w:rFonts w:asciiTheme="majorHAnsi" w:hAnsiTheme="majorHAnsi"/>
                <w:sz w:val="18"/>
                <w:szCs w:val="18"/>
              </w:rPr>
              <w:t>Global Environment Facility</w:t>
            </w:r>
          </w:p>
        </w:tc>
      </w:tr>
      <w:tr w:rsidR="004C454A" w:rsidRPr="004840B6" w14:paraId="471953C7" w14:textId="77777777" w:rsidTr="0003763F">
        <w:trPr>
          <w:trHeight w:val="288"/>
        </w:trPr>
        <w:tc>
          <w:tcPr>
            <w:tcW w:w="1203" w:type="dxa"/>
            <w:shd w:val="clear" w:color="auto" w:fill="auto"/>
          </w:tcPr>
          <w:p w14:paraId="59FF98B9" w14:textId="77777777" w:rsidR="004C454A" w:rsidRPr="00C835CC" w:rsidRDefault="004C454A" w:rsidP="00C835CC">
            <w:pPr>
              <w:spacing w:after="0"/>
              <w:rPr>
                <w:rFonts w:asciiTheme="majorHAnsi" w:hAnsiTheme="majorHAnsi"/>
                <w:sz w:val="18"/>
                <w:szCs w:val="18"/>
              </w:rPr>
            </w:pPr>
            <w:r w:rsidRPr="00C835CC">
              <w:rPr>
                <w:rFonts w:asciiTheme="majorHAnsi" w:hAnsiTheme="majorHAnsi"/>
                <w:sz w:val="18"/>
                <w:szCs w:val="18"/>
              </w:rPr>
              <w:t>GEFSEC</w:t>
            </w:r>
          </w:p>
        </w:tc>
        <w:tc>
          <w:tcPr>
            <w:tcW w:w="8157" w:type="dxa"/>
            <w:shd w:val="clear" w:color="auto" w:fill="auto"/>
          </w:tcPr>
          <w:p w14:paraId="3D92E2F3" w14:textId="77777777" w:rsidR="004C454A" w:rsidRPr="00C835CC" w:rsidRDefault="004C454A" w:rsidP="00C835CC">
            <w:pPr>
              <w:spacing w:after="0"/>
              <w:ind w:left="116"/>
              <w:rPr>
                <w:rFonts w:asciiTheme="majorHAnsi" w:hAnsiTheme="majorHAnsi"/>
                <w:sz w:val="18"/>
                <w:szCs w:val="18"/>
              </w:rPr>
            </w:pPr>
            <w:r w:rsidRPr="00C835CC">
              <w:rPr>
                <w:rFonts w:asciiTheme="majorHAnsi" w:hAnsiTheme="majorHAnsi"/>
                <w:sz w:val="18"/>
                <w:szCs w:val="18"/>
              </w:rPr>
              <w:t>Global Environment Facility Secretariat</w:t>
            </w:r>
          </w:p>
        </w:tc>
      </w:tr>
      <w:tr w:rsidR="002905C6" w:rsidRPr="004840B6" w14:paraId="48B05172" w14:textId="77777777" w:rsidTr="0003763F">
        <w:trPr>
          <w:trHeight w:val="288"/>
        </w:trPr>
        <w:tc>
          <w:tcPr>
            <w:tcW w:w="1203" w:type="dxa"/>
            <w:shd w:val="clear" w:color="auto" w:fill="auto"/>
          </w:tcPr>
          <w:p w14:paraId="4D4D77EB" w14:textId="2F315F8D" w:rsidR="002905C6" w:rsidRPr="00C835CC" w:rsidRDefault="002905C6" w:rsidP="00C835CC">
            <w:pPr>
              <w:spacing w:after="0"/>
              <w:rPr>
                <w:rFonts w:asciiTheme="majorHAnsi" w:hAnsiTheme="majorHAnsi"/>
                <w:sz w:val="18"/>
                <w:szCs w:val="18"/>
              </w:rPr>
            </w:pPr>
            <w:r w:rsidRPr="00C835CC">
              <w:rPr>
                <w:rFonts w:asciiTheme="majorHAnsi" w:hAnsiTheme="majorHAnsi"/>
                <w:sz w:val="18"/>
                <w:szCs w:val="18"/>
              </w:rPr>
              <w:t>GIS</w:t>
            </w:r>
          </w:p>
        </w:tc>
        <w:tc>
          <w:tcPr>
            <w:tcW w:w="8157" w:type="dxa"/>
            <w:shd w:val="clear" w:color="auto" w:fill="auto"/>
          </w:tcPr>
          <w:p w14:paraId="2FFE452B" w14:textId="142B7599" w:rsidR="002905C6" w:rsidRPr="00C835CC" w:rsidRDefault="002905C6" w:rsidP="00C835CC">
            <w:pPr>
              <w:spacing w:after="0"/>
              <w:ind w:left="116"/>
              <w:rPr>
                <w:rFonts w:asciiTheme="majorHAnsi" w:hAnsiTheme="majorHAnsi"/>
                <w:sz w:val="18"/>
                <w:szCs w:val="18"/>
              </w:rPr>
            </w:pPr>
            <w:r w:rsidRPr="00C835CC">
              <w:rPr>
                <w:rFonts w:asciiTheme="majorHAnsi" w:hAnsiTheme="majorHAnsi"/>
                <w:sz w:val="18"/>
                <w:szCs w:val="18"/>
              </w:rPr>
              <w:t>Geographical Information System</w:t>
            </w:r>
          </w:p>
        </w:tc>
      </w:tr>
      <w:tr w:rsidR="00C301B3" w:rsidRPr="004840B6" w14:paraId="1C3021AF" w14:textId="77777777" w:rsidTr="0003763F">
        <w:trPr>
          <w:trHeight w:val="288"/>
        </w:trPr>
        <w:tc>
          <w:tcPr>
            <w:tcW w:w="1203" w:type="dxa"/>
            <w:shd w:val="clear" w:color="auto" w:fill="auto"/>
          </w:tcPr>
          <w:p w14:paraId="34D35F3D" w14:textId="695ED6A0" w:rsidR="00C301B3" w:rsidRPr="00C835CC" w:rsidRDefault="00C301B3" w:rsidP="00C835CC">
            <w:pPr>
              <w:spacing w:after="0"/>
              <w:rPr>
                <w:rFonts w:asciiTheme="majorHAnsi" w:hAnsiTheme="majorHAnsi"/>
                <w:sz w:val="18"/>
                <w:szCs w:val="18"/>
              </w:rPr>
            </w:pPr>
            <w:r w:rsidRPr="00C835CC">
              <w:rPr>
                <w:rFonts w:asciiTheme="majorHAnsi" w:hAnsiTheme="majorHAnsi"/>
                <w:sz w:val="18"/>
                <w:szCs w:val="18"/>
              </w:rPr>
              <w:t>HCVF</w:t>
            </w:r>
          </w:p>
        </w:tc>
        <w:tc>
          <w:tcPr>
            <w:tcW w:w="8157" w:type="dxa"/>
            <w:shd w:val="clear" w:color="auto" w:fill="auto"/>
          </w:tcPr>
          <w:p w14:paraId="2BF975FC" w14:textId="42115E2D" w:rsidR="00C301B3" w:rsidRPr="00C835CC" w:rsidRDefault="00C301B3" w:rsidP="00C835CC">
            <w:pPr>
              <w:spacing w:after="0"/>
              <w:ind w:left="116"/>
              <w:rPr>
                <w:rFonts w:asciiTheme="majorHAnsi" w:hAnsiTheme="majorHAnsi"/>
                <w:sz w:val="18"/>
                <w:szCs w:val="18"/>
              </w:rPr>
            </w:pPr>
            <w:r w:rsidRPr="00C835CC">
              <w:rPr>
                <w:rFonts w:asciiTheme="majorHAnsi" w:hAnsiTheme="majorHAnsi"/>
                <w:sz w:val="18"/>
                <w:szCs w:val="18"/>
              </w:rPr>
              <w:t>High Conservation Value Forest</w:t>
            </w:r>
          </w:p>
        </w:tc>
      </w:tr>
      <w:tr w:rsidR="00C301B3" w:rsidRPr="004840B6" w14:paraId="3B91F488" w14:textId="77777777" w:rsidTr="0003763F">
        <w:trPr>
          <w:trHeight w:val="288"/>
        </w:trPr>
        <w:tc>
          <w:tcPr>
            <w:tcW w:w="1203" w:type="dxa"/>
            <w:shd w:val="clear" w:color="auto" w:fill="auto"/>
          </w:tcPr>
          <w:p w14:paraId="7D8907F1" w14:textId="5D82C6E9" w:rsidR="00C301B3" w:rsidRPr="00C835CC" w:rsidRDefault="00C301B3" w:rsidP="00C835CC">
            <w:pPr>
              <w:spacing w:after="0"/>
              <w:rPr>
                <w:rFonts w:asciiTheme="majorHAnsi" w:hAnsiTheme="majorHAnsi"/>
                <w:sz w:val="18"/>
                <w:szCs w:val="18"/>
              </w:rPr>
            </w:pPr>
            <w:r w:rsidRPr="00C835CC">
              <w:rPr>
                <w:rFonts w:asciiTheme="majorHAnsi" w:hAnsiTheme="majorHAnsi"/>
                <w:sz w:val="18"/>
                <w:szCs w:val="18"/>
              </w:rPr>
              <w:t>HCVMA</w:t>
            </w:r>
          </w:p>
        </w:tc>
        <w:tc>
          <w:tcPr>
            <w:tcW w:w="8157" w:type="dxa"/>
            <w:shd w:val="clear" w:color="auto" w:fill="auto"/>
          </w:tcPr>
          <w:p w14:paraId="0D02B2CC" w14:textId="2F56C827" w:rsidR="00C301B3" w:rsidRPr="00C835CC" w:rsidRDefault="00C301B3" w:rsidP="00C835CC">
            <w:pPr>
              <w:spacing w:after="0"/>
              <w:ind w:left="116"/>
              <w:rPr>
                <w:rFonts w:asciiTheme="majorHAnsi" w:hAnsiTheme="majorHAnsi"/>
                <w:sz w:val="18"/>
                <w:szCs w:val="18"/>
              </w:rPr>
            </w:pPr>
            <w:r w:rsidRPr="00C835CC">
              <w:rPr>
                <w:rFonts w:asciiTheme="majorHAnsi" w:hAnsiTheme="majorHAnsi"/>
                <w:sz w:val="18"/>
                <w:szCs w:val="18"/>
              </w:rPr>
              <w:t>High Conservation Value Marine Area</w:t>
            </w:r>
          </w:p>
        </w:tc>
      </w:tr>
      <w:tr w:rsidR="002905C6" w:rsidRPr="004840B6" w14:paraId="516D498C" w14:textId="77777777" w:rsidTr="0003763F">
        <w:trPr>
          <w:trHeight w:val="288"/>
        </w:trPr>
        <w:tc>
          <w:tcPr>
            <w:tcW w:w="1203" w:type="dxa"/>
            <w:shd w:val="clear" w:color="auto" w:fill="auto"/>
          </w:tcPr>
          <w:p w14:paraId="5BDE0414" w14:textId="5388CA5E" w:rsidR="002905C6" w:rsidRPr="00C835CC" w:rsidRDefault="002905C6" w:rsidP="00C835CC">
            <w:pPr>
              <w:spacing w:after="0"/>
              <w:rPr>
                <w:rFonts w:asciiTheme="majorHAnsi" w:hAnsiTheme="majorHAnsi"/>
                <w:sz w:val="18"/>
                <w:szCs w:val="18"/>
              </w:rPr>
            </w:pPr>
            <w:r w:rsidRPr="00C835CC">
              <w:rPr>
                <w:rFonts w:asciiTheme="majorHAnsi" w:hAnsiTheme="majorHAnsi"/>
                <w:sz w:val="18"/>
                <w:szCs w:val="18"/>
              </w:rPr>
              <w:t>IAS</w:t>
            </w:r>
          </w:p>
        </w:tc>
        <w:tc>
          <w:tcPr>
            <w:tcW w:w="8157" w:type="dxa"/>
            <w:shd w:val="clear" w:color="auto" w:fill="auto"/>
          </w:tcPr>
          <w:p w14:paraId="6F4F5498" w14:textId="41C8591B" w:rsidR="002905C6" w:rsidRPr="00C835CC" w:rsidRDefault="002905C6" w:rsidP="00C835CC">
            <w:pPr>
              <w:spacing w:after="0"/>
              <w:ind w:left="116"/>
              <w:rPr>
                <w:rFonts w:asciiTheme="majorHAnsi" w:hAnsiTheme="majorHAnsi"/>
                <w:sz w:val="18"/>
                <w:szCs w:val="18"/>
              </w:rPr>
            </w:pPr>
            <w:r w:rsidRPr="00C835CC">
              <w:rPr>
                <w:rFonts w:asciiTheme="majorHAnsi" w:hAnsiTheme="majorHAnsi"/>
                <w:sz w:val="18"/>
                <w:szCs w:val="18"/>
              </w:rPr>
              <w:t>Invasive Alien Species</w:t>
            </w:r>
          </w:p>
        </w:tc>
      </w:tr>
      <w:tr w:rsidR="00C301B3" w:rsidRPr="004840B6" w14:paraId="2B5D637A" w14:textId="77777777" w:rsidTr="0003763F">
        <w:trPr>
          <w:trHeight w:val="288"/>
        </w:trPr>
        <w:tc>
          <w:tcPr>
            <w:tcW w:w="1203" w:type="dxa"/>
            <w:shd w:val="clear" w:color="auto" w:fill="auto"/>
          </w:tcPr>
          <w:p w14:paraId="39D20855" w14:textId="6E3CFE0F" w:rsidR="00C301B3" w:rsidRPr="00C835CC" w:rsidRDefault="00C301B3" w:rsidP="00C835CC">
            <w:pPr>
              <w:spacing w:after="0"/>
              <w:rPr>
                <w:rFonts w:asciiTheme="majorHAnsi" w:hAnsiTheme="majorHAnsi"/>
                <w:sz w:val="18"/>
                <w:szCs w:val="18"/>
              </w:rPr>
            </w:pPr>
            <w:r w:rsidRPr="00C835CC">
              <w:rPr>
                <w:rFonts w:asciiTheme="majorHAnsi" w:hAnsiTheme="majorHAnsi"/>
                <w:sz w:val="18"/>
                <w:szCs w:val="18"/>
              </w:rPr>
              <w:t>ILSMF</w:t>
            </w:r>
          </w:p>
        </w:tc>
        <w:tc>
          <w:tcPr>
            <w:tcW w:w="8157" w:type="dxa"/>
            <w:shd w:val="clear" w:color="auto" w:fill="auto"/>
          </w:tcPr>
          <w:p w14:paraId="49967042" w14:textId="46B5F48E" w:rsidR="00C301B3" w:rsidRPr="00C835CC" w:rsidRDefault="00C301B3" w:rsidP="00C835CC">
            <w:pPr>
              <w:spacing w:after="0"/>
              <w:ind w:left="116"/>
              <w:rPr>
                <w:rFonts w:asciiTheme="majorHAnsi" w:hAnsiTheme="majorHAnsi"/>
                <w:sz w:val="18"/>
                <w:szCs w:val="18"/>
              </w:rPr>
            </w:pPr>
            <w:r w:rsidRPr="00C835CC">
              <w:rPr>
                <w:rFonts w:asciiTheme="majorHAnsi" w:hAnsiTheme="majorHAnsi"/>
                <w:sz w:val="18"/>
                <w:szCs w:val="18"/>
              </w:rPr>
              <w:t>Integrated Land and Seascape Management Framework</w:t>
            </w:r>
          </w:p>
        </w:tc>
      </w:tr>
      <w:tr w:rsidR="002905C6" w:rsidRPr="004840B6" w14:paraId="2D9B3E11" w14:textId="77777777" w:rsidTr="0003763F">
        <w:trPr>
          <w:trHeight w:val="288"/>
        </w:trPr>
        <w:tc>
          <w:tcPr>
            <w:tcW w:w="1203" w:type="dxa"/>
            <w:shd w:val="clear" w:color="auto" w:fill="auto"/>
          </w:tcPr>
          <w:p w14:paraId="1459136D" w14:textId="5727E1BB" w:rsidR="002905C6" w:rsidRPr="00C835CC" w:rsidRDefault="000E6988" w:rsidP="00C835CC">
            <w:pPr>
              <w:spacing w:after="0"/>
              <w:rPr>
                <w:rFonts w:asciiTheme="majorHAnsi" w:hAnsiTheme="majorHAnsi"/>
                <w:sz w:val="18"/>
                <w:szCs w:val="18"/>
              </w:rPr>
            </w:pPr>
            <w:r w:rsidRPr="00C835CC">
              <w:rPr>
                <w:rFonts w:asciiTheme="majorHAnsi" w:hAnsiTheme="majorHAnsi"/>
                <w:sz w:val="18"/>
                <w:szCs w:val="18"/>
              </w:rPr>
              <w:t>ILSMP</w:t>
            </w:r>
          </w:p>
        </w:tc>
        <w:tc>
          <w:tcPr>
            <w:tcW w:w="8157" w:type="dxa"/>
            <w:shd w:val="clear" w:color="auto" w:fill="auto"/>
          </w:tcPr>
          <w:p w14:paraId="384AEE0D" w14:textId="16C88A27" w:rsidR="002905C6" w:rsidRPr="00C835CC" w:rsidRDefault="000E6988" w:rsidP="00C835CC">
            <w:pPr>
              <w:spacing w:after="0"/>
              <w:ind w:left="116"/>
              <w:rPr>
                <w:rFonts w:asciiTheme="majorHAnsi" w:hAnsiTheme="majorHAnsi"/>
                <w:sz w:val="18"/>
                <w:szCs w:val="18"/>
              </w:rPr>
            </w:pPr>
            <w:r w:rsidRPr="00C835CC">
              <w:rPr>
                <w:rFonts w:asciiTheme="majorHAnsi" w:hAnsiTheme="majorHAnsi"/>
                <w:sz w:val="18"/>
                <w:szCs w:val="18"/>
              </w:rPr>
              <w:t>Integrated Land and Seascape Management Plan</w:t>
            </w:r>
          </w:p>
        </w:tc>
      </w:tr>
      <w:tr w:rsidR="000E6988" w:rsidRPr="004840B6" w14:paraId="70E2A5EE" w14:textId="77777777" w:rsidTr="0003763F">
        <w:trPr>
          <w:trHeight w:val="288"/>
        </w:trPr>
        <w:tc>
          <w:tcPr>
            <w:tcW w:w="1203" w:type="dxa"/>
            <w:shd w:val="clear" w:color="auto" w:fill="auto"/>
          </w:tcPr>
          <w:p w14:paraId="5D033C3F" w14:textId="4CE2978D" w:rsidR="000E6988" w:rsidRPr="00C835CC" w:rsidRDefault="000E6988" w:rsidP="00C835CC">
            <w:pPr>
              <w:spacing w:after="0"/>
              <w:rPr>
                <w:rFonts w:asciiTheme="majorHAnsi" w:hAnsiTheme="majorHAnsi"/>
                <w:sz w:val="18"/>
                <w:szCs w:val="18"/>
              </w:rPr>
            </w:pPr>
            <w:r w:rsidRPr="00C835CC">
              <w:rPr>
                <w:rFonts w:asciiTheme="majorHAnsi" w:hAnsiTheme="majorHAnsi"/>
                <w:sz w:val="18"/>
                <w:szCs w:val="18"/>
              </w:rPr>
              <w:t>ILSMS</w:t>
            </w:r>
          </w:p>
        </w:tc>
        <w:tc>
          <w:tcPr>
            <w:tcW w:w="8157" w:type="dxa"/>
            <w:shd w:val="clear" w:color="auto" w:fill="auto"/>
          </w:tcPr>
          <w:p w14:paraId="602B1C1E" w14:textId="547139F0" w:rsidR="000E6988" w:rsidRPr="00C835CC" w:rsidRDefault="000E6988" w:rsidP="00C835CC">
            <w:pPr>
              <w:spacing w:after="0"/>
              <w:ind w:left="116"/>
              <w:rPr>
                <w:rFonts w:asciiTheme="majorHAnsi" w:hAnsiTheme="majorHAnsi"/>
                <w:sz w:val="18"/>
                <w:szCs w:val="18"/>
              </w:rPr>
            </w:pPr>
            <w:r w:rsidRPr="00C835CC">
              <w:rPr>
                <w:rFonts w:asciiTheme="majorHAnsi" w:hAnsiTheme="majorHAnsi"/>
                <w:sz w:val="18"/>
                <w:szCs w:val="18"/>
              </w:rPr>
              <w:t>Integrated Land and Seascape Management Strategy</w:t>
            </w:r>
          </w:p>
        </w:tc>
      </w:tr>
      <w:tr w:rsidR="002905C6" w:rsidRPr="004840B6" w14:paraId="3A43BBCF" w14:textId="77777777" w:rsidTr="0003763F">
        <w:trPr>
          <w:trHeight w:val="288"/>
        </w:trPr>
        <w:tc>
          <w:tcPr>
            <w:tcW w:w="1203" w:type="dxa"/>
            <w:shd w:val="clear" w:color="auto" w:fill="auto"/>
          </w:tcPr>
          <w:p w14:paraId="7B2624FC" w14:textId="2668A51B" w:rsidR="002905C6" w:rsidRPr="00C835CC" w:rsidRDefault="000E6988" w:rsidP="00C835CC">
            <w:pPr>
              <w:spacing w:after="0"/>
              <w:rPr>
                <w:rFonts w:asciiTheme="majorHAnsi" w:hAnsiTheme="majorHAnsi"/>
                <w:sz w:val="18"/>
                <w:szCs w:val="18"/>
              </w:rPr>
            </w:pPr>
            <w:r w:rsidRPr="00C835CC">
              <w:rPr>
                <w:rFonts w:asciiTheme="majorHAnsi" w:hAnsiTheme="majorHAnsi"/>
                <w:sz w:val="18"/>
                <w:szCs w:val="18"/>
              </w:rPr>
              <w:t>IMF</w:t>
            </w:r>
          </w:p>
        </w:tc>
        <w:tc>
          <w:tcPr>
            <w:tcW w:w="8157" w:type="dxa"/>
            <w:shd w:val="clear" w:color="auto" w:fill="auto"/>
          </w:tcPr>
          <w:p w14:paraId="0165D25C" w14:textId="1792B35C" w:rsidR="002905C6" w:rsidRPr="00C835CC" w:rsidRDefault="000E6988" w:rsidP="00C835CC">
            <w:pPr>
              <w:spacing w:after="0"/>
              <w:ind w:left="116"/>
              <w:rPr>
                <w:rFonts w:asciiTheme="majorHAnsi" w:hAnsiTheme="majorHAnsi"/>
                <w:sz w:val="18"/>
                <w:szCs w:val="18"/>
              </w:rPr>
            </w:pPr>
            <w:r w:rsidRPr="00C835CC">
              <w:rPr>
                <w:rFonts w:asciiTheme="majorHAnsi" w:hAnsiTheme="majorHAnsi"/>
                <w:sz w:val="18"/>
                <w:szCs w:val="18"/>
              </w:rPr>
              <w:t>International Monetary Fund</w:t>
            </w:r>
          </w:p>
        </w:tc>
      </w:tr>
      <w:tr w:rsidR="00C301B3" w:rsidRPr="004840B6" w14:paraId="54842833" w14:textId="77777777" w:rsidTr="0003763F">
        <w:trPr>
          <w:trHeight w:val="288"/>
        </w:trPr>
        <w:tc>
          <w:tcPr>
            <w:tcW w:w="1203" w:type="dxa"/>
            <w:shd w:val="clear" w:color="auto" w:fill="auto"/>
          </w:tcPr>
          <w:p w14:paraId="1273341E" w14:textId="39BD8098" w:rsidR="00C301B3" w:rsidRPr="00C835CC" w:rsidRDefault="00C301B3" w:rsidP="00C835CC">
            <w:pPr>
              <w:spacing w:after="0"/>
              <w:rPr>
                <w:rFonts w:asciiTheme="majorHAnsi" w:hAnsiTheme="majorHAnsi"/>
                <w:sz w:val="18"/>
                <w:szCs w:val="18"/>
              </w:rPr>
            </w:pPr>
            <w:r w:rsidRPr="00C835CC">
              <w:rPr>
                <w:rFonts w:asciiTheme="majorHAnsi" w:hAnsiTheme="majorHAnsi"/>
                <w:sz w:val="18"/>
                <w:szCs w:val="18"/>
              </w:rPr>
              <w:t>IPM</w:t>
            </w:r>
          </w:p>
        </w:tc>
        <w:tc>
          <w:tcPr>
            <w:tcW w:w="8157" w:type="dxa"/>
            <w:shd w:val="clear" w:color="auto" w:fill="auto"/>
          </w:tcPr>
          <w:p w14:paraId="68A31C5E" w14:textId="35FB1465" w:rsidR="00C301B3" w:rsidRPr="00C835CC" w:rsidRDefault="00C301B3" w:rsidP="00C835CC">
            <w:pPr>
              <w:spacing w:after="0"/>
              <w:ind w:left="116"/>
              <w:rPr>
                <w:rFonts w:asciiTheme="majorHAnsi" w:hAnsiTheme="majorHAnsi"/>
                <w:sz w:val="18"/>
                <w:szCs w:val="18"/>
              </w:rPr>
            </w:pPr>
            <w:r w:rsidRPr="00C835CC">
              <w:rPr>
                <w:rFonts w:asciiTheme="majorHAnsi" w:hAnsiTheme="majorHAnsi"/>
                <w:sz w:val="18"/>
                <w:szCs w:val="18"/>
              </w:rPr>
              <w:t>Integrated Pest Management</w:t>
            </w:r>
          </w:p>
        </w:tc>
      </w:tr>
      <w:tr w:rsidR="000E6988" w:rsidRPr="004840B6" w14:paraId="1E1D2303" w14:textId="77777777" w:rsidTr="0003763F">
        <w:trPr>
          <w:trHeight w:val="288"/>
        </w:trPr>
        <w:tc>
          <w:tcPr>
            <w:tcW w:w="1203" w:type="dxa"/>
            <w:shd w:val="clear" w:color="auto" w:fill="auto"/>
          </w:tcPr>
          <w:p w14:paraId="5EB6F702" w14:textId="5ED4F95D" w:rsidR="000E6988" w:rsidRPr="00C835CC" w:rsidRDefault="000E6988" w:rsidP="00C835CC">
            <w:pPr>
              <w:spacing w:after="0"/>
              <w:rPr>
                <w:rFonts w:asciiTheme="majorHAnsi" w:hAnsiTheme="majorHAnsi"/>
                <w:sz w:val="18"/>
                <w:szCs w:val="18"/>
              </w:rPr>
            </w:pPr>
            <w:r w:rsidRPr="00C835CC">
              <w:rPr>
                <w:rFonts w:asciiTheme="majorHAnsi" w:hAnsiTheme="majorHAnsi"/>
                <w:sz w:val="18"/>
                <w:szCs w:val="18"/>
              </w:rPr>
              <w:t>IUCN</w:t>
            </w:r>
          </w:p>
        </w:tc>
        <w:tc>
          <w:tcPr>
            <w:tcW w:w="8157" w:type="dxa"/>
            <w:shd w:val="clear" w:color="auto" w:fill="auto"/>
          </w:tcPr>
          <w:p w14:paraId="2C2EE53D" w14:textId="5EFAA6F9" w:rsidR="000E6988" w:rsidRPr="00C835CC" w:rsidRDefault="000E6988" w:rsidP="00C835CC">
            <w:pPr>
              <w:spacing w:after="0"/>
              <w:ind w:left="116"/>
              <w:rPr>
                <w:rFonts w:asciiTheme="majorHAnsi" w:hAnsiTheme="majorHAnsi"/>
                <w:sz w:val="18"/>
                <w:szCs w:val="18"/>
              </w:rPr>
            </w:pPr>
            <w:r w:rsidRPr="00C835CC">
              <w:rPr>
                <w:rFonts w:asciiTheme="majorHAnsi" w:hAnsiTheme="majorHAnsi"/>
                <w:sz w:val="18"/>
                <w:szCs w:val="18"/>
              </w:rPr>
              <w:t>International Union for the Conservation of Nature</w:t>
            </w:r>
          </w:p>
        </w:tc>
      </w:tr>
      <w:tr w:rsidR="000E6988" w:rsidRPr="004840B6" w14:paraId="392A4F88" w14:textId="77777777" w:rsidTr="0003763F">
        <w:trPr>
          <w:trHeight w:val="288"/>
        </w:trPr>
        <w:tc>
          <w:tcPr>
            <w:tcW w:w="1203" w:type="dxa"/>
            <w:shd w:val="clear" w:color="auto" w:fill="auto"/>
          </w:tcPr>
          <w:p w14:paraId="25278D7E" w14:textId="0D4A2CA8" w:rsidR="000E6988" w:rsidRPr="00C835CC" w:rsidRDefault="000E6988" w:rsidP="00C835CC">
            <w:pPr>
              <w:spacing w:after="0"/>
              <w:rPr>
                <w:rFonts w:asciiTheme="majorHAnsi" w:hAnsiTheme="majorHAnsi"/>
                <w:sz w:val="18"/>
                <w:szCs w:val="18"/>
              </w:rPr>
            </w:pPr>
            <w:r w:rsidRPr="00C835CC">
              <w:rPr>
                <w:rFonts w:asciiTheme="majorHAnsi" w:hAnsiTheme="majorHAnsi"/>
                <w:sz w:val="18"/>
                <w:szCs w:val="18"/>
              </w:rPr>
              <w:t>JCB</w:t>
            </w:r>
          </w:p>
        </w:tc>
        <w:tc>
          <w:tcPr>
            <w:tcW w:w="8157" w:type="dxa"/>
            <w:shd w:val="clear" w:color="auto" w:fill="auto"/>
          </w:tcPr>
          <w:p w14:paraId="796BD72A" w14:textId="3C3F966B" w:rsidR="000E6988" w:rsidRPr="00C835CC" w:rsidRDefault="000E6988" w:rsidP="00C835CC">
            <w:pPr>
              <w:spacing w:after="0"/>
              <w:ind w:left="116"/>
              <w:rPr>
                <w:rFonts w:asciiTheme="majorHAnsi" w:hAnsiTheme="majorHAnsi"/>
                <w:sz w:val="18"/>
                <w:szCs w:val="18"/>
              </w:rPr>
            </w:pPr>
            <w:r w:rsidRPr="00C835CC">
              <w:rPr>
                <w:rFonts w:asciiTheme="majorHAnsi" w:hAnsiTheme="majorHAnsi"/>
                <w:sz w:val="18"/>
                <w:szCs w:val="18"/>
              </w:rPr>
              <w:t>Joint Coordinating Body</w:t>
            </w:r>
          </w:p>
        </w:tc>
      </w:tr>
      <w:tr w:rsidR="000E6988" w:rsidRPr="004840B6" w14:paraId="0C5DF7C1" w14:textId="77777777" w:rsidTr="0003763F">
        <w:trPr>
          <w:trHeight w:val="288"/>
        </w:trPr>
        <w:tc>
          <w:tcPr>
            <w:tcW w:w="1203" w:type="dxa"/>
            <w:shd w:val="clear" w:color="auto" w:fill="auto"/>
          </w:tcPr>
          <w:p w14:paraId="2739F631" w14:textId="50E48688" w:rsidR="000E6988" w:rsidRPr="00C835CC" w:rsidRDefault="000E6988" w:rsidP="00C835CC">
            <w:pPr>
              <w:spacing w:after="0"/>
              <w:rPr>
                <w:rFonts w:asciiTheme="majorHAnsi" w:hAnsiTheme="majorHAnsi"/>
                <w:sz w:val="18"/>
                <w:szCs w:val="18"/>
              </w:rPr>
            </w:pPr>
            <w:r w:rsidRPr="00C835CC">
              <w:rPr>
                <w:rFonts w:asciiTheme="majorHAnsi" w:hAnsiTheme="majorHAnsi"/>
                <w:sz w:val="18"/>
                <w:szCs w:val="18"/>
              </w:rPr>
              <w:t>KBA</w:t>
            </w:r>
          </w:p>
        </w:tc>
        <w:tc>
          <w:tcPr>
            <w:tcW w:w="8157" w:type="dxa"/>
            <w:shd w:val="clear" w:color="auto" w:fill="auto"/>
          </w:tcPr>
          <w:p w14:paraId="75A66AD9" w14:textId="6A09F4B5" w:rsidR="000E6988" w:rsidRPr="00C835CC" w:rsidRDefault="000E6988" w:rsidP="00C835CC">
            <w:pPr>
              <w:spacing w:after="0"/>
              <w:ind w:left="116"/>
              <w:rPr>
                <w:rFonts w:asciiTheme="majorHAnsi" w:hAnsiTheme="majorHAnsi"/>
                <w:sz w:val="18"/>
                <w:szCs w:val="18"/>
              </w:rPr>
            </w:pPr>
            <w:r w:rsidRPr="00C835CC">
              <w:rPr>
                <w:rFonts w:asciiTheme="majorHAnsi" w:hAnsiTheme="majorHAnsi"/>
                <w:sz w:val="18"/>
                <w:szCs w:val="18"/>
              </w:rPr>
              <w:t>Key Biodiversity Area</w:t>
            </w:r>
          </w:p>
        </w:tc>
      </w:tr>
      <w:tr w:rsidR="00B60A70" w:rsidRPr="004840B6" w14:paraId="3C3F0D90" w14:textId="77777777" w:rsidTr="0003763F">
        <w:trPr>
          <w:trHeight w:val="288"/>
        </w:trPr>
        <w:tc>
          <w:tcPr>
            <w:tcW w:w="1203" w:type="dxa"/>
            <w:shd w:val="clear" w:color="auto" w:fill="auto"/>
          </w:tcPr>
          <w:p w14:paraId="422E5646" w14:textId="59F81D56" w:rsidR="00B60A70" w:rsidRPr="00C835CC" w:rsidRDefault="00B60A70" w:rsidP="00C835CC">
            <w:pPr>
              <w:spacing w:after="0"/>
              <w:rPr>
                <w:rFonts w:asciiTheme="majorHAnsi" w:hAnsiTheme="majorHAnsi"/>
                <w:sz w:val="18"/>
                <w:szCs w:val="18"/>
              </w:rPr>
            </w:pPr>
            <w:r w:rsidRPr="00C835CC">
              <w:rPr>
                <w:rFonts w:asciiTheme="majorHAnsi" w:hAnsiTheme="majorHAnsi"/>
                <w:sz w:val="18"/>
                <w:szCs w:val="18"/>
              </w:rPr>
              <w:t>LMO</w:t>
            </w:r>
          </w:p>
        </w:tc>
        <w:tc>
          <w:tcPr>
            <w:tcW w:w="8157" w:type="dxa"/>
            <w:shd w:val="clear" w:color="auto" w:fill="auto"/>
          </w:tcPr>
          <w:p w14:paraId="06B08084" w14:textId="1E8A45C9" w:rsidR="00B60A70" w:rsidRPr="00C835CC" w:rsidRDefault="00B60A70" w:rsidP="00C835CC">
            <w:pPr>
              <w:spacing w:after="0"/>
              <w:ind w:left="116"/>
              <w:rPr>
                <w:rFonts w:asciiTheme="majorHAnsi" w:hAnsiTheme="majorHAnsi"/>
                <w:sz w:val="18"/>
                <w:szCs w:val="18"/>
              </w:rPr>
            </w:pPr>
            <w:r w:rsidRPr="00C835CC">
              <w:rPr>
                <w:rFonts w:asciiTheme="majorHAnsi" w:hAnsiTheme="majorHAnsi"/>
                <w:sz w:val="18"/>
                <w:szCs w:val="18"/>
              </w:rPr>
              <w:t>Living Modified Organism</w:t>
            </w:r>
          </w:p>
        </w:tc>
      </w:tr>
      <w:tr w:rsidR="000E6988" w:rsidRPr="004840B6" w14:paraId="0F63E74E" w14:textId="77777777" w:rsidTr="0003763F">
        <w:trPr>
          <w:trHeight w:val="288"/>
        </w:trPr>
        <w:tc>
          <w:tcPr>
            <w:tcW w:w="1203" w:type="dxa"/>
            <w:shd w:val="clear" w:color="auto" w:fill="auto"/>
          </w:tcPr>
          <w:p w14:paraId="0BF65067" w14:textId="1AFDB3C6" w:rsidR="000E6988" w:rsidRPr="00C835CC" w:rsidRDefault="000E6988" w:rsidP="00C835CC">
            <w:pPr>
              <w:spacing w:after="0"/>
              <w:rPr>
                <w:rFonts w:asciiTheme="majorHAnsi" w:hAnsiTheme="majorHAnsi"/>
                <w:sz w:val="18"/>
                <w:szCs w:val="18"/>
              </w:rPr>
            </w:pPr>
            <w:r w:rsidRPr="00C835CC">
              <w:rPr>
                <w:rFonts w:asciiTheme="majorHAnsi" w:hAnsiTheme="majorHAnsi"/>
                <w:sz w:val="18"/>
                <w:szCs w:val="18"/>
              </w:rPr>
              <w:t>MCE</w:t>
            </w:r>
          </w:p>
        </w:tc>
        <w:tc>
          <w:tcPr>
            <w:tcW w:w="8157" w:type="dxa"/>
            <w:shd w:val="clear" w:color="auto" w:fill="auto"/>
          </w:tcPr>
          <w:p w14:paraId="0377361F" w14:textId="6F243DC5" w:rsidR="000E6988" w:rsidRPr="00C835CC" w:rsidRDefault="00FA290C" w:rsidP="00C835CC">
            <w:pPr>
              <w:spacing w:after="0"/>
              <w:ind w:left="116"/>
              <w:rPr>
                <w:rFonts w:asciiTheme="majorHAnsi" w:hAnsiTheme="majorHAnsi"/>
                <w:sz w:val="18"/>
                <w:szCs w:val="18"/>
              </w:rPr>
            </w:pPr>
            <w:r w:rsidRPr="00C835CC">
              <w:rPr>
                <w:rFonts w:asciiTheme="majorHAnsi" w:hAnsiTheme="majorHAnsi"/>
                <w:sz w:val="18"/>
                <w:szCs w:val="18"/>
              </w:rPr>
              <w:t>Micronesia Chief Executives (Summit)</w:t>
            </w:r>
          </w:p>
        </w:tc>
      </w:tr>
      <w:tr w:rsidR="000E6988" w:rsidRPr="004840B6" w14:paraId="7546573F" w14:textId="77777777" w:rsidTr="0003763F">
        <w:trPr>
          <w:trHeight w:val="288"/>
        </w:trPr>
        <w:tc>
          <w:tcPr>
            <w:tcW w:w="1203" w:type="dxa"/>
            <w:shd w:val="clear" w:color="auto" w:fill="auto"/>
          </w:tcPr>
          <w:p w14:paraId="4E432B85" w14:textId="11E67B9D" w:rsidR="000E6988" w:rsidRPr="00C835CC" w:rsidRDefault="000E6988" w:rsidP="00C835CC">
            <w:pPr>
              <w:spacing w:after="0"/>
              <w:rPr>
                <w:rFonts w:asciiTheme="majorHAnsi" w:hAnsiTheme="majorHAnsi"/>
                <w:sz w:val="18"/>
                <w:szCs w:val="18"/>
              </w:rPr>
            </w:pPr>
            <w:r w:rsidRPr="00C835CC">
              <w:rPr>
                <w:rFonts w:asciiTheme="majorHAnsi" w:hAnsiTheme="majorHAnsi"/>
                <w:sz w:val="18"/>
                <w:szCs w:val="18"/>
              </w:rPr>
              <w:t>MNRET</w:t>
            </w:r>
          </w:p>
        </w:tc>
        <w:tc>
          <w:tcPr>
            <w:tcW w:w="8157" w:type="dxa"/>
            <w:shd w:val="clear" w:color="auto" w:fill="auto"/>
          </w:tcPr>
          <w:p w14:paraId="01E97BFD" w14:textId="4AE739F2" w:rsidR="000E6988" w:rsidRPr="00C835CC" w:rsidRDefault="000E6988" w:rsidP="00C835CC">
            <w:pPr>
              <w:spacing w:after="0"/>
              <w:ind w:left="116"/>
              <w:rPr>
                <w:rFonts w:asciiTheme="majorHAnsi" w:hAnsiTheme="majorHAnsi"/>
                <w:sz w:val="18"/>
                <w:szCs w:val="18"/>
              </w:rPr>
            </w:pPr>
            <w:r w:rsidRPr="00C835CC">
              <w:rPr>
                <w:rFonts w:asciiTheme="majorHAnsi" w:hAnsiTheme="majorHAnsi"/>
                <w:sz w:val="18"/>
                <w:szCs w:val="18"/>
              </w:rPr>
              <w:t>Ministry of Natural Resources, Environment and Tourism</w:t>
            </w:r>
          </w:p>
        </w:tc>
      </w:tr>
      <w:tr w:rsidR="00C301B3" w:rsidRPr="004840B6" w14:paraId="74FA092D" w14:textId="77777777" w:rsidTr="0003763F">
        <w:trPr>
          <w:trHeight w:val="288"/>
        </w:trPr>
        <w:tc>
          <w:tcPr>
            <w:tcW w:w="1203" w:type="dxa"/>
            <w:shd w:val="clear" w:color="auto" w:fill="auto"/>
          </w:tcPr>
          <w:p w14:paraId="5F826AD4" w14:textId="373F00DA" w:rsidR="00C301B3" w:rsidRPr="00C835CC" w:rsidRDefault="00C301B3" w:rsidP="00C835CC">
            <w:pPr>
              <w:spacing w:after="0"/>
              <w:rPr>
                <w:rFonts w:asciiTheme="majorHAnsi" w:hAnsiTheme="majorHAnsi"/>
                <w:sz w:val="18"/>
                <w:szCs w:val="18"/>
              </w:rPr>
            </w:pPr>
            <w:r w:rsidRPr="00C835CC">
              <w:rPr>
                <w:rFonts w:asciiTheme="majorHAnsi" w:hAnsiTheme="majorHAnsi"/>
                <w:sz w:val="18"/>
                <w:szCs w:val="18"/>
              </w:rPr>
              <w:t>MOE</w:t>
            </w:r>
          </w:p>
        </w:tc>
        <w:tc>
          <w:tcPr>
            <w:tcW w:w="8157" w:type="dxa"/>
            <w:shd w:val="clear" w:color="auto" w:fill="auto"/>
          </w:tcPr>
          <w:p w14:paraId="29491D69" w14:textId="07108EA1" w:rsidR="00C301B3" w:rsidRPr="00C835CC" w:rsidRDefault="00C301B3" w:rsidP="00C835CC">
            <w:pPr>
              <w:spacing w:after="0"/>
              <w:ind w:left="116"/>
              <w:rPr>
                <w:rFonts w:asciiTheme="majorHAnsi" w:hAnsiTheme="majorHAnsi"/>
                <w:sz w:val="18"/>
                <w:szCs w:val="18"/>
              </w:rPr>
            </w:pPr>
            <w:r w:rsidRPr="00C835CC">
              <w:rPr>
                <w:rFonts w:asciiTheme="majorHAnsi" w:hAnsiTheme="majorHAnsi"/>
                <w:sz w:val="18"/>
                <w:szCs w:val="18"/>
              </w:rPr>
              <w:t>Ministry of Education</w:t>
            </w:r>
          </w:p>
        </w:tc>
      </w:tr>
      <w:tr w:rsidR="000E6988" w:rsidRPr="004840B6" w14:paraId="077EF73C" w14:textId="77777777" w:rsidTr="0003763F">
        <w:trPr>
          <w:trHeight w:val="288"/>
        </w:trPr>
        <w:tc>
          <w:tcPr>
            <w:tcW w:w="1203" w:type="dxa"/>
            <w:shd w:val="clear" w:color="auto" w:fill="auto"/>
          </w:tcPr>
          <w:p w14:paraId="268E10E3" w14:textId="5220F0DA" w:rsidR="000E6988" w:rsidRPr="00C835CC" w:rsidRDefault="000E6988" w:rsidP="00C835CC">
            <w:pPr>
              <w:spacing w:after="0"/>
              <w:rPr>
                <w:rFonts w:asciiTheme="majorHAnsi" w:hAnsiTheme="majorHAnsi"/>
                <w:sz w:val="18"/>
                <w:szCs w:val="18"/>
              </w:rPr>
            </w:pPr>
            <w:r w:rsidRPr="00C835CC">
              <w:rPr>
                <w:rFonts w:asciiTheme="majorHAnsi" w:hAnsiTheme="majorHAnsi"/>
                <w:sz w:val="18"/>
                <w:szCs w:val="18"/>
              </w:rPr>
              <w:lastRenderedPageBreak/>
              <w:t>MPA</w:t>
            </w:r>
          </w:p>
        </w:tc>
        <w:tc>
          <w:tcPr>
            <w:tcW w:w="8157" w:type="dxa"/>
            <w:shd w:val="clear" w:color="auto" w:fill="auto"/>
          </w:tcPr>
          <w:p w14:paraId="332AAEC1" w14:textId="23A6C81E" w:rsidR="000E6988" w:rsidRPr="00C835CC" w:rsidRDefault="000E6988" w:rsidP="00C835CC">
            <w:pPr>
              <w:spacing w:after="0"/>
              <w:ind w:left="116"/>
              <w:rPr>
                <w:rFonts w:asciiTheme="majorHAnsi" w:hAnsiTheme="majorHAnsi"/>
                <w:sz w:val="18"/>
                <w:szCs w:val="18"/>
              </w:rPr>
            </w:pPr>
            <w:r w:rsidRPr="00C835CC">
              <w:rPr>
                <w:rFonts w:asciiTheme="majorHAnsi" w:hAnsiTheme="majorHAnsi"/>
                <w:sz w:val="18"/>
                <w:szCs w:val="18"/>
              </w:rPr>
              <w:t>Marine Protected Area</w:t>
            </w:r>
          </w:p>
        </w:tc>
      </w:tr>
      <w:tr w:rsidR="004C454A" w:rsidRPr="004840B6" w14:paraId="3ECA4634" w14:textId="77777777" w:rsidTr="0003763F">
        <w:trPr>
          <w:trHeight w:val="288"/>
        </w:trPr>
        <w:tc>
          <w:tcPr>
            <w:tcW w:w="1203" w:type="dxa"/>
            <w:tcBorders>
              <w:bottom w:val="nil"/>
            </w:tcBorders>
            <w:shd w:val="clear" w:color="auto" w:fill="auto"/>
          </w:tcPr>
          <w:p w14:paraId="31AFC86B" w14:textId="77777777" w:rsidR="004C454A" w:rsidRPr="00C835CC" w:rsidRDefault="004C454A" w:rsidP="00C835CC">
            <w:pPr>
              <w:spacing w:after="0"/>
              <w:rPr>
                <w:rFonts w:asciiTheme="majorHAnsi" w:hAnsiTheme="majorHAnsi"/>
                <w:sz w:val="18"/>
                <w:szCs w:val="18"/>
              </w:rPr>
            </w:pPr>
            <w:r w:rsidRPr="00C835CC">
              <w:rPr>
                <w:rFonts w:asciiTheme="majorHAnsi" w:hAnsiTheme="majorHAnsi"/>
                <w:sz w:val="18"/>
                <w:szCs w:val="18"/>
              </w:rPr>
              <w:t>MSP</w:t>
            </w:r>
          </w:p>
        </w:tc>
        <w:tc>
          <w:tcPr>
            <w:tcW w:w="8157" w:type="dxa"/>
            <w:tcBorders>
              <w:bottom w:val="nil"/>
            </w:tcBorders>
            <w:shd w:val="clear" w:color="auto" w:fill="auto"/>
          </w:tcPr>
          <w:p w14:paraId="3FA88384" w14:textId="77777777" w:rsidR="004C454A" w:rsidRPr="00C835CC" w:rsidRDefault="004C454A" w:rsidP="00C835CC">
            <w:pPr>
              <w:spacing w:after="0"/>
              <w:ind w:left="116"/>
              <w:rPr>
                <w:rFonts w:asciiTheme="majorHAnsi" w:hAnsiTheme="majorHAnsi"/>
                <w:sz w:val="18"/>
                <w:szCs w:val="18"/>
              </w:rPr>
            </w:pPr>
            <w:r w:rsidRPr="00C835CC">
              <w:rPr>
                <w:rFonts w:asciiTheme="majorHAnsi" w:hAnsiTheme="majorHAnsi"/>
                <w:sz w:val="18"/>
                <w:szCs w:val="18"/>
              </w:rPr>
              <w:t>Medium Sized Project</w:t>
            </w:r>
          </w:p>
        </w:tc>
      </w:tr>
      <w:tr w:rsidR="000E6988" w:rsidRPr="004840B6" w14:paraId="5C429483" w14:textId="77777777" w:rsidTr="0003763F">
        <w:trPr>
          <w:trHeight w:val="288"/>
        </w:trPr>
        <w:tc>
          <w:tcPr>
            <w:tcW w:w="1203" w:type="dxa"/>
            <w:tcBorders>
              <w:bottom w:val="nil"/>
            </w:tcBorders>
            <w:shd w:val="clear" w:color="auto" w:fill="auto"/>
          </w:tcPr>
          <w:p w14:paraId="5CE0BD60" w14:textId="01483A0A" w:rsidR="000E6988" w:rsidRPr="00C835CC" w:rsidRDefault="000E6988" w:rsidP="00C835CC">
            <w:pPr>
              <w:spacing w:after="0"/>
              <w:rPr>
                <w:rFonts w:asciiTheme="majorHAnsi" w:hAnsiTheme="majorHAnsi"/>
                <w:sz w:val="18"/>
                <w:szCs w:val="18"/>
              </w:rPr>
            </w:pPr>
            <w:r w:rsidRPr="00C835CC">
              <w:rPr>
                <w:rFonts w:asciiTheme="majorHAnsi" w:hAnsiTheme="majorHAnsi"/>
                <w:sz w:val="18"/>
                <w:szCs w:val="18"/>
              </w:rPr>
              <w:t>MSY</w:t>
            </w:r>
          </w:p>
        </w:tc>
        <w:tc>
          <w:tcPr>
            <w:tcW w:w="8157" w:type="dxa"/>
            <w:tcBorders>
              <w:bottom w:val="nil"/>
            </w:tcBorders>
            <w:shd w:val="clear" w:color="auto" w:fill="auto"/>
          </w:tcPr>
          <w:p w14:paraId="34CDF526" w14:textId="23309D07" w:rsidR="000E6988" w:rsidRPr="00C835CC" w:rsidRDefault="00B60A70" w:rsidP="00C835CC">
            <w:pPr>
              <w:spacing w:after="0"/>
              <w:ind w:left="116"/>
              <w:rPr>
                <w:rFonts w:asciiTheme="majorHAnsi" w:hAnsiTheme="majorHAnsi"/>
                <w:sz w:val="18"/>
                <w:szCs w:val="18"/>
              </w:rPr>
            </w:pPr>
            <w:r w:rsidRPr="00C835CC">
              <w:rPr>
                <w:rFonts w:asciiTheme="majorHAnsi" w:hAnsiTheme="majorHAnsi"/>
                <w:sz w:val="18"/>
                <w:szCs w:val="18"/>
              </w:rPr>
              <w:t>Maximum Sustainable Yield</w:t>
            </w:r>
          </w:p>
        </w:tc>
      </w:tr>
      <w:tr w:rsidR="000E6988" w:rsidRPr="004840B6" w14:paraId="6F28686B" w14:textId="77777777" w:rsidTr="0003763F">
        <w:trPr>
          <w:trHeight w:val="288"/>
        </w:trPr>
        <w:tc>
          <w:tcPr>
            <w:tcW w:w="1203" w:type="dxa"/>
            <w:tcBorders>
              <w:bottom w:val="nil"/>
            </w:tcBorders>
            <w:shd w:val="clear" w:color="auto" w:fill="auto"/>
          </w:tcPr>
          <w:p w14:paraId="31E9EDD9" w14:textId="4ABFE430" w:rsidR="000E6988" w:rsidRPr="00C835CC" w:rsidRDefault="000E6988" w:rsidP="00C835CC">
            <w:pPr>
              <w:spacing w:after="0"/>
              <w:rPr>
                <w:rFonts w:asciiTheme="majorHAnsi" w:hAnsiTheme="majorHAnsi"/>
                <w:sz w:val="18"/>
                <w:szCs w:val="18"/>
              </w:rPr>
            </w:pPr>
            <w:r w:rsidRPr="00C835CC">
              <w:rPr>
                <w:rFonts w:asciiTheme="majorHAnsi" w:hAnsiTheme="majorHAnsi"/>
                <w:sz w:val="18"/>
                <w:szCs w:val="18"/>
              </w:rPr>
              <w:t>NBSAP</w:t>
            </w:r>
          </w:p>
        </w:tc>
        <w:tc>
          <w:tcPr>
            <w:tcW w:w="8157" w:type="dxa"/>
            <w:tcBorders>
              <w:bottom w:val="nil"/>
            </w:tcBorders>
            <w:shd w:val="clear" w:color="auto" w:fill="auto"/>
          </w:tcPr>
          <w:p w14:paraId="76567DE3" w14:textId="5893D8C2" w:rsidR="000E6988" w:rsidRPr="00C835CC" w:rsidRDefault="000E6988" w:rsidP="00C835CC">
            <w:pPr>
              <w:spacing w:after="0"/>
              <w:ind w:left="116"/>
              <w:rPr>
                <w:rFonts w:asciiTheme="majorHAnsi" w:hAnsiTheme="majorHAnsi"/>
                <w:sz w:val="18"/>
                <w:szCs w:val="18"/>
              </w:rPr>
            </w:pPr>
            <w:r w:rsidRPr="00C835CC">
              <w:rPr>
                <w:rFonts w:asciiTheme="majorHAnsi" w:hAnsiTheme="majorHAnsi"/>
                <w:sz w:val="18"/>
                <w:szCs w:val="18"/>
              </w:rPr>
              <w:t>National Biodiversity Strategy and Action Plan</w:t>
            </w:r>
          </w:p>
        </w:tc>
      </w:tr>
      <w:tr w:rsidR="000E6988" w:rsidRPr="004840B6" w14:paraId="07015396" w14:textId="77777777" w:rsidTr="0003763F">
        <w:trPr>
          <w:trHeight w:val="288"/>
        </w:trPr>
        <w:tc>
          <w:tcPr>
            <w:tcW w:w="1203" w:type="dxa"/>
            <w:tcBorders>
              <w:bottom w:val="nil"/>
            </w:tcBorders>
            <w:shd w:val="clear" w:color="auto" w:fill="auto"/>
          </w:tcPr>
          <w:p w14:paraId="7C3AD3EB" w14:textId="3EA1F3CF" w:rsidR="000E6988" w:rsidRPr="00C835CC" w:rsidRDefault="000E6988" w:rsidP="00C835CC">
            <w:pPr>
              <w:spacing w:after="0"/>
              <w:rPr>
                <w:rFonts w:asciiTheme="majorHAnsi" w:hAnsiTheme="majorHAnsi"/>
                <w:sz w:val="18"/>
                <w:szCs w:val="18"/>
              </w:rPr>
            </w:pPr>
            <w:r w:rsidRPr="00C835CC">
              <w:rPr>
                <w:rFonts w:asciiTheme="majorHAnsi" w:hAnsiTheme="majorHAnsi"/>
                <w:sz w:val="18"/>
                <w:szCs w:val="18"/>
              </w:rPr>
              <w:t>NCSA</w:t>
            </w:r>
          </w:p>
        </w:tc>
        <w:tc>
          <w:tcPr>
            <w:tcW w:w="8157" w:type="dxa"/>
            <w:tcBorders>
              <w:bottom w:val="nil"/>
            </w:tcBorders>
            <w:shd w:val="clear" w:color="auto" w:fill="auto"/>
          </w:tcPr>
          <w:p w14:paraId="77E0D2BB" w14:textId="6408554C" w:rsidR="000E6988" w:rsidRPr="00C835CC" w:rsidRDefault="00EB3029" w:rsidP="00C835CC">
            <w:pPr>
              <w:spacing w:after="0"/>
              <w:ind w:left="116"/>
              <w:rPr>
                <w:rFonts w:asciiTheme="majorHAnsi" w:hAnsiTheme="majorHAnsi"/>
                <w:sz w:val="18"/>
                <w:szCs w:val="18"/>
              </w:rPr>
            </w:pPr>
            <w:r w:rsidRPr="00C835CC">
              <w:rPr>
                <w:rFonts w:asciiTheme="majorHAnsi" w:hAnsiTheme="majorHAnsi"/>
                <w:sz w:val="18"/>
                <w:szCs w:val="18"/>
              </w:rPr>
              <w:t>National Capacity Self Assessment</w:t>
            </w:r>
          </w:p>
        </w:tc>
      </w:tr>
      <w:tr w:rsidR="00D26D7D" w:rsidRPr="004840B6" w14:paraId="62ECCF0B" w14:textId="77777777" w:rsidTr="0003763F">
        <w:trPr>
          <w:trHeight w:val="288"/>
        </w:trPr>
        <w:tc>
          <w:tcPr>
            <w:tcW w:w="1203" w:type="dxa"/>
            <w:tcBorders>
              <w:bottom w:val="nil"/>
            </w:tcBorders>
            <w:shd w:val="clear" w:color="auto" w:fill="auto"/>
          </w:tcPr>
          <w:p w14:paraId="48A8EBC6" w14:textId="31CFC8B7" w:rsidR="00D26D7D" w:rsidRPr="00C835CC" w:rsidRDefault="00D26D7D" w:rsidP="00C835CC">
            <w:pPr>
              <w:spacing w:after="0"/>
              <w:rPr>
                <w:rFonts w:asciiTheme="majorHAnsi" w:hAnsiTheme="majorHAnsi"/>
                <w:sz w:val="18"/>
                <w:szCs w:val="18"/>
              </w:rPr>
            </w:pPr>
            <w:r w:rsidRPr="00C835CC">
              <w:rPr>
                <w:rFonts w:asciiTheme="majorHAnsi" w:hAnsiTheme="majorHAnsi"/>
                <w:sz w:val="18"/>
                <w:szCs w:val="18"/>
              </w:rPr>
              <w:t>NEPC</w:t>
            </w:r>
          </w:p>
        </w:tc>
        <w:tc>
          <w:tcPr>
            <w:tcW w:w="8157" w:type="dxa"/>
            <w:tcBorders>
              <w:bottom w:val="nil"/>
            </w:tcBorders>
            <w:shd w:val="clear" w:color="auto" w:fill="auto"/>
          </w:tcPr>
          <w:p w14:paraId="1369F51B" w14:textId="0B53E7A8" w:rsidR="00D26D7D" w:rsidRPr="00C835CC" w:rsidRDefault="00D26D7D" w:rsidP="00C835CC">
            <w:pPr>
              <w:spacing w:after="0"/>
              <w:ind w:left="116"/>
              <w:rPr>
                <w:rFonts w:asciiTheme="majorHAnsi" w:hAnsiTheme="majorHAnsi"/>
                <w:sz w:val="18"/>
                <w:szCs w:val="18"/>
              </w:rPr>
            </w:pPr>
            <w:r w:rsidRPr="00C835CC">
              <w:rPr>
                <w:rFonts w:asciiTheme="majorHAnsi" w:hAnsiTheme="majorHAnsi"/>
                <w:sz w:val="18"/>
                <w:szCs w:val="18"/>
              </w:rPr>
              <w:t>National Environment Protection Council</w:t>
            </w:r>
          </w:p>
        </w:tc>
      </w:tr>
      <w:tr w:rsidR="000E6988" w:rsidRPr="004840B6" w14:paraId="7F61D7D7" w14:textId="77777777" w:rsidTr="0003763F">
        <w:trPr>
          <w:trHeight w:val="288"/>
        </w:trPr>
        <w:tc>
          <w:tcPr>
            <w:tcW w:w="1203" w:type="dxa"/>
            <w:tcBorders>
              <w:bottom w:val="nil"/>
            </w:tcBorders>
            <w:shd w:val="clear" w:color="auto" w:fill="auto"/>
          </w:tcPr>
          <w:p w14:paraId="325BEC8E" w14:textId="67A24DE9" w:rsidR="000E6988" w:rsidRPr="00C835CC" w:rsidRDefault="000E6988" w:rsidP="00C835CC">
            <w:pPr>
              <w:spacing w:after="0"/>
              <w:rPr>
                <w:rFonts w:asciiTheme="majorHAnsi" w:hAnsiTheme="majorHAnsi"/>
                <w:sz w:val="18"/>
                <w:szCs w:val="18"/>
              </w:rPr>
            </w:pPr>
            <w:r w:rsidRPr="00C835CC">
              <w:rPr>
                <w:rFonts w:asciiTheme="majorHAnsi" w:hAnsiTheme="majorHAnsi"/>
                <w:sz w:val="18"/>
                <w:szCs w:val="18"/>
              </w:rPr>
              <w:t>NGO</w:t>
            </w:r>
          </w:p>
        </w:tc>
        <w:tc>
          <w:tcPr>
            <w:tcW w:w="8157" w:type="dxa"/>
            <w:tcBorders>
              <w:bottom w:val="nil"/>
            </w:tcBorders>
            <w:shd w:val="clear" w:color="auto" w:fill="auto"/>
          </w:tcPr>
          <w:p w14:paraId="0B8EC680" w14:textId="3AEF60A5" w:rsidR="000E6988" w:rsidRPr="00C835CC" w:rsidRDefault="000E6988" w:rsidP="00C835CC">
            <w:pPr>
              <w:spacing w:after="0"/>
              <w:ind w:left="116"/>
              <w:rPr>
                <w:rFonts w:asciiTheme="majorHAnsi" w:hAnsiTheme="majorHAnsi"/>
                <w:sz w:val="18"/>
                <w:szCs w:val="18"/>
              </w:rPr>
            </w:pPr>
            <w:r w:rsidRPr="00C835CC">
              <w:rPr>
                <w:rFonts w:asciiTheme="majorHAnsi" w:hAnsiTheme="majorHAnsi"/>
                <w:sz w:val="18"/>
                <w:szCs w:val="18"/>
              </w:rPr>
              <w:t>Non-governmental Organization</w:t>
            </w:r>
          </w:p>
        </w:tc>
      </w:tr>
      <w:tr w:rsidR="000E6988" w:rsidRPr="004840B6" w14:paraId="36A4F781" w14:textId="77777777" w:rsidTr="0003763F">
        <w:trPr>
          <w:trHeight w:val="288"/>
        </w:trPr>
        <w:tc>
          <w:tcPr>
            <w:tcW w:w="1203" w:type="dxa"/>
            <w:tcBorders>
              <w:bottom w:val="nil"/>
            </w:tcBorders>
            <w:shd w:val="clear" w:color="auto" w:fill="auto"/>
          </w:tcPr>
          <w:p w14:paraId="58F05A83" w14:textId="68F8E78B" w:rsidR="000E6988" w:rsidRPr="00C835CC" w:rsidRDefault="000E6988" w:rsidP="00C835CC">
            <w:pPr>
              <w:spacing w:after="0"/>
              <w:rPr>
                <w:rFonts w:asciiTheme="majorHAnsi" w:hAnsiTheme="majorHAnsi"/>
                <w:sz w:val="18"/>
                <w:szCs w:val="18"/>
              </w:rPr>
            </w:pPr>
            <w:r w:rsidRPr="00C835CC">
              <w:rPr>
                <w:rFonts w:asciiTheme="majorHAnsi" w:hAnsiTheme="majorHAnsi"/>
                <w:sz w:val="18"/>
                <w:szCs w:val="18"/>
              </w:rPr>
              <w:t>NISC</w:t>
            </w:r>
          </w:p>
        </w:tc>
        <w:tc>
          <w:tcPr>
            <w:tcW w:w="8157" w:type="dxa"/>
            <w:tcBorders>
              <w:bottom w:val="nil"/>
            </w:tcBorders>
            <w:shd w:val="clear" w:color="auto" w:fill="auto"/>
          </w:tcPr>
          <w:p w14:paraId="17CD3633" w14:textId="515CBC41" w:rsidR="000E6988" w:rsidRPr="00C835CC" w:rsidRDefault="000E6988" w:rsidP="00C835CC">
            <w:pPr>
              <w:spacing w:after="0"/>
              <w:ind w:left="116"/>
              <w:rPr>
                <w:rFonts w:asciiTheme="majorHAnsi" w:hAnsiTheme="majorHAnsi"/>
                <w:sz w:val="18"/>
                <w:szCs w:val="18"/>
              </w:rPr>
            </w:pPr>
            <w:r w:rsidRPr="00C835CC">
              <w:rPr>
                <w:rFonts w:asciiTheme="majorHAnsi" w:hAnsiTheme="majorHAnsi"/>
                <w:sz w:val="18"/>
                <w:szCs w:val="18"/>
              </w:rPr>
              <w:t xml:space="preserve">National Invasive Species </w:t>
            </w:r>
            <w:r w:rsidR="00EB3029" w:rsidRPr="00C835CC">
              <w:rPr>
                <w:rFonts w:asciiTheme="majorHAnsi" w:hAnsiTheme="majorHAnsi"/>
                <w:sz w:val="18"/>
                <w:szCs w:val="18"/>
              </w:rPr>
              <w:t>Committee</w:t>
            </w:r>
          </w:p>
        </w:tc>
      </w:tr>
      <w:tr w:rsidR="000E6988" w:rsidRPr="004840B6" w14:paraId="586015C0" w14:textId="77777777" w:rsidTr="0003763F">
        <w:trPr>
          <w:trHeight w:val="288"/>
        </w:trPr>
        <w:tc>
          <w:tcPr>
            <w:tcW w:w="1203" w:type="dxa"/>
            <w:tcBorders>
              <w:bottom w:val="nil"/>
            </w:tcBorders>
            <w:shd w:val="clear" w:color="auto" w:fill="auto"/>
          </w:tcPr>
          <w:p w14:paraId="71B7D372" w14:textId="2FD7ABC5" w:rsidR="000E6988" w:rsidRPr="00C835CC" w:rsidRDefault="000E6988" w:rsidP="00C835CC">
            <w:pPr>
              <w:spacing w:after="0"/>
              <w:rPr>
                <w:rFonts w:asciiTheme="majorHAnsi" w:hAnsiTheme="majorHAnsi"/>
                <w:sz w:val="18"/>
                <w:szCs w:val="18"/>
              </w:rPr>
            </w:pPr>
            <w:r w:rsidRPr="00C835CC">
              <w:rPr>
                <w:rFonts w:asciiTheme="majorHAnsi" w:hAnsiTheme="majorHAnsi"/>
                <w:sz w:val="18"/>
                <w:szCs w:val="18"/>
              </w:rPr>
              <w:t>NISCO</w:t>
            </w:r>
          </w:p>
        </w:tc>
        <w:tc>
          <w:tcPr>
            <w:tcW w:w="8157" w:type="dxa"/>
            <w:tcBorders>
              <w:bottom w:val="nil"/>
            </w:tcBorders>
            <w:shd w:val="clear" w:color="auto" w:fill="auto"/>
          </w:tcPr>
          <w:p w14:paraId="3437B679" w14:textId="6DAEED91" w:rsidR="000E6988" w:rsidRPr="00C835CC" w:rsidRDefault="000E6988" w:rsidP="00C835CC">
            <w:pPr>
              <w:spacing w:after="0"/>
              <w:ind w:left="116"/>
              <w:rPr>
                <w:rFonts w:asciiTheme="majorHAnsi" w:hAnsiTheme="majorHAnsi"/>
                <w:sz w:val="18"/>
                <w:szCs w:val="18"/>
              </w:rPr>
            </w:pPr>
            <w:r w:rsidRPr="00C835CC">
              <w:rPr>
                <w:rFonts w:asciiTheme="majorHAnsi" w:hAnsiTheme="majorHAnsi"/>
                <w:sz w:val="18"/>
                <w:szCs w:val="18"/>
              </w:rPr>
              <w:t xml:space="preserve">National Invasive Species </w:t>
            </w:r>
            <w:r w:rsidR="00EB3029" w:rsidRPr="00C835CC">
              <w:rPr>
                <w:rFonts w:asciiTheme="majorHAnsi" w:hAnsiTheme="majorHAnsi"/>
                <w:sz w:val="18"/>
                <w:szCs w:val="18"/>
              </w:rPr>
              <w:t xml:space="preserve">Committee </w:t>
            </w:r>
            <w:r w:rsidRPr="00C835CC">
              <w:rPr>
                <w:rFonts w:asciiTheme="majorHAnsi" w:hAnsiTheme="majorHAnsi"/>
                <w:sz w:val="18"/>
                <w:szCs w:val="18"/>
              </w:rPr>
              <w:t>Office</w:t>
            </w:r>
          </w:p>
        </w:tc>
      </w:tr>
      <w:tr w:rsidR="00B60A70" w:rsidRPr="004840B6" w14:paraId="048336D3" w14:textId="77777777" w:rsidTr="0003763F">
        <w:trPr>
          <w:trHeight w:val="288"/>
        </w:trPr>
        <w:tc>
          <w:tcPr>
            <w:tcW w:w="1203" w:type="dxa"/>
            <w:tcBorders>
              <w:bottom w:val="nil"/>
            </w:tcBorders>
            <w:shd w:val="clear" w:color="auto" w:fill="auto"/>
          </w:tcPr>
          <w:p w14:paraId="27BEC133" w14:textId="38DAEFAE" w:rsidR="00B60A70" w:rsidRPr="00C835CC" w:rsidRDefault="00B60A70" w:rsidP="00C835CC">
            <w:pPr>
              <w:spacing w:after="0"/>
              <w:rPr>
                <w:rFonts w:asciiTheme="majorHAnsi" w:hAnsiTheme="majorHAnsi"/>
                <w:sz w:val="18"/>
                <w:szCs w:val="18"/>
              </w:rPr>
            </w:pPr>
            <w:r w:rsidRPr="00C835CC">
              <w:rPr>
                <w:rFonts w:asciiTheme="majorHAnsi" w:hAnsiTheme="majorHAnsi"/>
                <w:sz w:val="18"/>
                <w:szCs w:val="18"/>
              </w:rPr>
              <w:t>NISS</w:t>
            </w:r>
          </w:p>
        </w:tc>
        <w:tc>
          <w:tcPr>
            <w:tcW w:w="8157" w:type="dxa"/>
            <w:tcBorders>
              <w:bottom w:val="nil"/>
            </w:tcBorders>
            <w:shd w:val="clear" w:color="auto" w:fill="auto"/>
          </w:tcPr>
          <w:p w14:paraId="5C069B5D" w14:textId="4229B470" w:rsidR="00B60A70" w:rsidRPr="00C835CC" w:rsidRDefault="00B60A70" w:rsidP="00C835CC">
            <w:pPr>
              <w:spacing w:after="0"/>
              <w:ind w:left="116"/>
              <w:rPr>
                <w:rFonts w:asciiTheme="majorHAnsi" w:hAnsiTheme="majorHAnsi"/>
                <w:sz w:val="18"/>
                <w:szCs w:val="18"/>
              </w:rPr>
            </w:pPr>
            <w:r w:rsidRPr="00C835CC">
              <w:rPr>
                <w:rFonts w:asciiTheme="majorHAnsi" w:hAnsiTheme="majorHAnsi"/>
                <w:sz w:val="18"/>
                <w:szCs w:val="18"/>
              </w:rPr>
              <w:t>National Invasive Species Strategy</w:t>
            </w:r>
          </w:p>
        </w:tc>
      </w:tr>
      <w:tr w:rsidR="000E6988" w:rsidRPr="004840B6" w14:paraId="454031B6" w14:textId="77777777" w:rsidTr="0003763F">
        <w:trPr>
          <w:trHeight w:val="288"/>
        </w:trPr>
        <w:tc>
          <w:tcPr>
            <w:tcW w:w="1203" w:type="dxa"/>
            <w:tcBorders>
              <w:bottom w:val="nil"/>
            </w:tcBorders>
            <w:shd w:val="clear" w:color="auto" w:fill="auto"/>
          </w:tcPr>
          <w:p w14:paraId="792F3FC3" w14:textId="7FE56A19" w:rsidR="000E6988" w:rsidRPr="00C835CC" w:rsidRDefault="000E6988" w:rsidP="00C835CC">
            <w:pPr>
              <w:spacing w:after="0"/>
              <w:rPr>
                <w:rFonts w:asciiTheme="majorHAnsi" w:hAnsiTheme="majorHAnsi"/>
                <w:sz w:val="18"/>
                <w:szCs w:val="18"/>
              </w:rPr>
            </w:pPr>
            <w:r w:rsidRPr="00C835CC">
              <w:rPr>
                <w:rFonts w:asciiTheme="majorHAnsi" w:hAnsiTheme="majorHAnsi"/>
                <w:sz w:val="18"/>
                <w:szCs w:val="18"/>
              </w:rPr>
              <w:t>NISSAP</w:t>
            </w:r>
          </w:p>
        </w:tc>
        <w:tc>
          <w:tcPr>
            <w:tcW w:w="8157" w:type="dxa"/>
            <w:tcBorders>
              <w:bottom w:val="nil"/>
            </w:tcBorders>
            <w:shd w:val="clear" w:color="auto" w:fill="auto"/>
          </w:tcPr>
          <w:p w14:paraId="24AE13F4" w14:textId="14F892C0" w:rsidR="000E6988" w:rsidRPr="00C835CC" w:rsidRDefault="000E6988" w:rsidP="00C835CC">
            <w:pPr>
              <w:spacing w:after="0"/>
              <w:ind w:left="116"/>
              <w:rPr>
                <w:rFonts w:asciiTheme="majorHAnsi" w:hAnsiTheme="majorHAnsi"/>
                <w:sz w:val="18"/>
                <w:szCs w:val="18"/>
              </w:rPr>
            </w:pPr>
            <w:r w:rsidRPr="00C835CC">
              <w:rPr>
                <w:rFonts w:asciiTheme="majorHAnsi" w:hAnsiTheme="majorHAnsi"/>
                <w:sz w:val="18"/>
                <w:szCs w:val="18"/>
              </w:rPr>
              <w:t>National Invasive Species Strategy and Action Plan</w:t>
            </w:r>
          </w:p>
        </w:tc>
      </w:tr>
      <w:tr w:rsidR="00D26D7D" w:rsidRPr="004840B6" w14:paraId="05F6F65F" w14:textId="77777777" w:rsidTr="0003763F">
        <w:trPr>
          <w:trHeight w:val="288"/>
        </w:trPr>
        <w:tc>
          <w:tcPr>
            <w:tcW w:w="1203" w:type="dxa"/>
            <w:tcBorders>
              <w:bottom w:val="nil"/>
            </w:tcBorders>
            <w:shd w:val="clear" w:color="auto" w:fill="auto"/>
          </w:tcPr>
          <w:p w14:paraId="0687E597" w14:textId="6E565BD9" w:rsidR="00D26D7D" w:rsidRPr="00C835CC" w:rsidRDefault="00D26D7D" w:rsidP="00C835CC">
            <w:pPr>
              <w:spacing w:after="0"/>
              <w:rPr>
                <w:rFonts w:asciiTheme="majorHAnsi" w:hAnsiTheme="majorHAnsi"/>
                <w:sz w:val="18"/>
                <w:szCs w:val="18"/>
              </w:rPr>
            </w:pPr>
            <w:r w:rsidRPr="00C835CC">
              <w:rPr>
                <w:rFonts w:asciiTheme="majorHAnsi" w:hAnsiTheme="majorHAnsi"/>
                <w:sz w:val="18"/>
                <w:szCs w:val="18"/>
              </w:rPr>
              <w:t>PA</w:t>
            </w:r>
          </w:p>
        </w:tc>
        <w:tc>
          <w:tcPr>
            <w:tcW w:w="8157" w:type="dxa"/>
            <w:tcBorders>
              <w:bottom w:val="nil"/>
            </w:tcBorders>
            <w:shd w:val="clear" w:color="auto" w:fill="auto"/>
          </w:tcPr>
          <w:p w14:paraId="267F8AA7" w14:textId="70512859" w:rsidR="00D26D7D" w:rsidRPr="00C835CC" w:rsidRDefault="00EC4F6E" w:rsidP="00C835CC">
            <w:pPr>
              <w:spacing w:after="0"/>
              <w:ind w:left="116"/>
              <w:rPr>
                <w:rFonts w:asciiTheme="majorHAnsi" w:hAnsiTheme="majorHAnsi"/>
                <w:sz w:val="18"/>
                <w:szCs w:val="18"/>
              </w:rPr>
            </w:pPr>
            <w:r w:rsidRPr="00C835CC">
              <w:rPr>
                <w:rFonts w:asciiTheme="majorHAnsi" w:hAnsiTheme="majorHAnsi"/>
                <w:sz w:val="18"/>
                <w:szCs w:val="18"/>
              </w:rPr>
              <w:t>Protected Area</w:t>
            </w:r>
          </w:p>
        </w:tc>
      </w:tr>
      <w:tr w:rsidR="000E6988" w:rsidRPr="004840B6" w14:paraId="2418C082" w14:textId="77777777" w:rsidTr="0003763F">
        <w:trPr>
          <w:trHeight w:val="288"/>
        </w:trPr>
        <w:tc>
          <w:tcPr>
            <w:tcW w:w="1203" w:type="dxa"/>
            <w:tcBorders>
              <w:bottom w:val="nil"/>
            </w:tcBorders>
            <w:shd w:val="clear" w:color="auto" w:fill="auto"/>
          </w:tcPr>
          <w:p w14:paraId="33832D83" w14:textId="649DFBD0" w:rsidR="000E6988" w:rsidRPr="00C835CC" w:rsidRDefault="000E6988" w:rsidP="00C835CC">
            <w:pPr>
              <w:spacing w:after="0"/>
              <w:rPr>
                <w:rFonts w:asciiTheme="majorHAnsi" w:hAnsiTheme="majorHAnsi"/>
                <w:sz w:val="18"/>
                <w:szCs w:val="18"/>
              </w:rPr>
            </w:pPr>
            <w:r w:rsidRPr="00C835CC">
              <w:rPr>
                <w:rFonts w:asciiTheme="majorHAnsi" w:hAnsiTheme="majorHAnsi"/>
                <w:sz w:val="18"/>
                <w:szCs w:val="18"/>
              </w:rPr>
              <w:t>PACC</w:t>
            </w:r>
          </w:p>
        </w:tc>
        <w:tc>
          <w:tcPr>
            <w:tcW w:w="8157" w:type="dxa"/>
            <w:tcBorders>
              <w:bottom w:val="nil"/>
            </w:tcBorders>
            <w:shd w:val="clear" w:color="auto" w:fill="auto"/>
          </w:tcPr>
          <w:p w14:paraId="4A75CBD0" w14:textId="52A33E64" w:rsidR="000E6988" w:rsidRPr="00C835CC" w:rsidRDefault="00B60A70" w:rsidP="00C835CC">
            <w:pPr>
              <w:spacing w:after="0"/>
              <w:ind w:left="116"/>
              <w:rPr>
                <w:rFonts w:asciiTheme="majorHAnsi" w:hAnsiTheme="majorHAnsi"/>
                <w:sz w:val="18"/>
                <w:szCs w:val="18"/>
              </w:rPr>
            </w:pPr>
            <w:r w:rsidRPr="00C835CC">
              <w:rPr>
                <w:rFonts w:asciiTheme="majorHAnsi" w:hAnsiTheme="majorHAnsi"/>
                <w:sz w:val="18"/>
                <w:szCs w:val="18"/>
              </w:rPr>
              <w:t>Pacific Adaptation to Climate Change</w:t>
            </w:r>
          </w:p>
        </w:tc>
      </w:tr>
      <w:tr w:rsidR="000E6988" w:rsidRPr="004840B6" w14:paraId="74E1F8FA" w14:textId="77777777" w:rsidTr="0003763F">
        <w:trPr>
          <w:trHeight w:val="288"/>
        </w:trPr>
        <w:tc>
          <w:tcPr>
            <w:tcW w:w="1203" w:type="dxa"/>
            <w:tcBorders>
              <w:bottom w:val="nil"/>
            </w:tcBorders>
            <w:shd w:val="clear" w:color="auto" w:fill="auto"/>
          </w:tcPr>
          <w:p w14:paraId="470662F6" w14:textId="1C197C25" w:rsidR="000E6988" w:rsidRPr="00C835CC" w:rsidRDefault="000E6988" w:rsidP="00C835CC">
            <w:pPr>
              <w:spacing w:after="0"/>
              <w:rPr>
                <w:rFonts w:asciiTheme="majorHAnsi" w:hAnsiTheme="majorHAnsi"/>
                <w:sz w:val="18"/>
                <w:szCs w:val="18"/>
              </w:rPr>
            </w:pPr>
            <w:r w:rsidRPr="00C835CC">
              <w:rPr>
                <w:rFonts w:asciiTheme="majorHAnsi" w:hAnsiTheme="majorHAnsi"/>
                <w:sz w:val="18"/>
                <w:szCs w:val="18"/>
              </w:rPr>
              <w:t>PALARIS</w:t>
            </w:r>
          </w:p>
        </w:tc>
        <w:tc>
          <w:tcPr>
            <w:tcW w:w="8157" w:type="dxa"/>
            <w:tcBorders>
              <w:bottom w:val="nil"/>
            </w:tcBorders>
            <w:shd w:val="clear" w:color="auto" w:fill="auto"/>
          </w:tcPr>
          <w:p w14:paraId="5B0F4BF6" w14:textId="318B7953" w:rsidR="000E6988" w:rsidRPr="00C835CC" w:rsidRDefault="00C301B3" w:rsidP="00C835CC">
            <w:pPr>
              <w:spacing w:after="0"/>
              <w:ind w:left="116"/>
              <w:rPr>
                <w:rFonts w:asciiTheme="majorHAnsi" w:hAnsiTheme="majorHAnsi"/>
                <w:sz w:val="18"/>
                <w:szCs w:val="18"/>
              </w:rPr>
            </w:pPr>
            <w:r w:rsidRPr="00C835CC">
              <w:rPr>
                <w:rFonts w:asciiTheme="majorHAnsi" w:hAnsiTheme="majorHAnsi"/>
                <w:sz w:val="18"/>
                <w:szCs w:val="18"/>
              </w:rPr>
              <w:t>Palau Automated Land and Resources Information System</w:t>
            </w:r>
          </w:p>
        </w:tc>
      </w:tr>
      <w:tr w:rsidR="000E6988" w:rsidRPr="004840B6" w14:paraId="50BB44EE" w14:textId="77777777" w:rsidTr="0003763F">
        <w:trPr>
          <w:trHeight w:val="288"/>
        </w:trPr>
        <w:tc>
          <w:tcPr>
            <w:tcW w:w="1203" w:type="dxa"/>
            <w:tcBorders>
              <w:bottom w:val="nil"/>
            </w:tcBorders>
            <w:shd w:val="clear" w:color="auto" w:fill="auto"/>
          </w:tcPr>
          <w:p w14:paraId="53084DD1" w14:textId="4258FC1D" w:rsidR="000E6988" w:rsidRPr="00C835CC" w:rsidRDefault="000E6988" w:rsidP="00C835CC">
            <w:pPr>
              <w:spacing w:after="0"/>
              <w:rPr>
                <w:rFonts w:asciiTheme="majorHAnsi" w:hAnsiTheme="majorHAnsi"/>
                <w:sz w:val="18"/>
                <w:szCs w:val="18"/>
              </w:rPr>
            </w:pPr>
            <w:r w:rsidRPr="00C835CC">
              <w:rPr>
                <w:rFonts w:asciiTheme="majorHAnsi" w:hAnsiTheme="majorHAnsi"/>
                <w:sz w:val="18"/>
                <w:szCs w:val="18"/>
              </w:rPr>
              <w:t>PAN</w:t>
            </w:r>
          </w:p>
        </w:tc>
        <w:tc>
          <w:tcPr>
            <w:tcW w:w="8157" w:type="dxa"/>
            <w:tcBorders>
              <w:bottom w:val="nil"/>
            </w:tcBorders>
            <w:shd w:val="clear" w:color="auto" w:fill="auto"/>
          </w:tcPr>
          <w:p w14:paraId="009E3747" w14:textId="6ACCB096" w:rsidR="000E6988" w:rsidRPr="00C835CC" w:rsidRDefault="000E6988" w:rsidP="00C835CC">
            <w:pPr>
              <w:spacing w:after="0"/>
              <w:ind w:left="116"/>
              <w:rPr>
                <w:rFonts w:asciiTheme="majorHAnsi" w:hAnsiTheme="majorHAnsi"/>
                <w:sz w:val="18"/>
                <w:szCs w:val="18"/>
              </w:rPr>
            </w:pPr>
            <w:r w:rsidRPr="00C835CC">
              <w:rPr>
                <w:rFonts w:asciiTheme="majorHAnsi" w:hAnsiTheme="majorHAnsi"/>
                <w:sz w:val="18"/>
                <w:szCs w:val="18"/>
              </w:rPr>
              <w:t>Protected Area Network</w:t>
            </w:r>
          </w:p>
        </w:tc>
      </w:tr>
      <w:tr w:rsidR="000E6988" w:rsidRPr="004840B6" w14:paraId="03A2C713" w14:textId="77777777" w:rsidTr="0003763F">
        <w:trPr>
          <w:trHeight w:val="288"/>
        </w:trPr>
        <w:tc>
          <w:tcPr>
            <w:tcW w:w="1203" w:type="dxa"/>
            <w:tcBorders>
              <w:bottom w:val="nil"/>
            </w:tcBorders>
            <w:shd w:val="clear" w:color="auto" w:fill="auto"/>
          </w:tcPr>
          <w:p w14:paraId="3B5049C3" w14:textId="499F5258" w:rsidR="000E6988" w:rsidRPr="00C835CC" w:rsidRDefault="000E6988" w:rsidP="00C835CC">
            <w:pPr>
              <w:spacing w:after="0"/>
              <w:rPr>
                <w:rFonts w:asciiTheme="majorHAnsi" w:hAnsiTheme="majorHAnsi"/>
                <w:sz w:val="18"/>
                <w:szCs w:val="18"/>
              </w:rPr>
            </w:pPr>
            <w:r w:rsidRPr="00C835CC">
              <w:rPr>
                <w:rFonts w:asciiTheme="majorHAnsi" w:hAnsiTheme="majorHAnsi"/>
                <w:sz w:val="18"/>
                <w:szCs w:val="18"/>
              </w:rPr>
              <w:t>PCS</w:t>
            </w:r>
          </w:p>
        </w:tc>
        <w:tc>
          <w:tcPr>
            <w:tcW w:w="8157" w:type="dxa"/>
            <w:tcBorders>
              <w:bottom w:val="nil"/>
            </w:tcBorders>
            <w:shd w:val="clear" w:color="auto" w:fill="auto"/>
          </w:tcPr>
          <w:p w14:paraId="122A80FB" w14:textId="3FC30556" w:rsidR="000E6988" w:rsidRPr="00C835CC" w:rsidRDefault="00B60A70" w:rsidP="00C835CC">
            <w:pPr>
              <w:spacing w:after="0"/>
              <w:ind w:left="116"/>
              <w:rPr>
                <w:rFonts w:asciiTheme="majorHAnsi" w:hAnsiTheme="majorHAnsi"/>
                <w:sz w:val="18"/>
                <w:szCs w:val="18"/>
              </w:rPr>
            </w:pPr>
            <w:r w:rsidRPr="00C835CC">
              <w:rPr>
                <w:rFonts w:asciiTheme="majorHAnsi" w:hAnsiTheme="majorHAnsi"/>
                <w:sz w:val="18"/>
                <w:szCs w:val="18"/>
              </w:rPr>
              <w:t>Palau Conservation Society</w:t>
            </w:r>
          </w:p>
        </w:tc>
      </w:tr>
      <w:tr w:rsidR="00EC4F6E" w:rsidRPr="004840B6" w14:paraId="68180E4C" w14:textId="77777777" w:rsidTr="0003763F">
        <w:trPr>
          <w:trHeight w:val="288"/>
        </w:trPr>
        <w:tc>
          <w:tcPr>
            <w:tcW w:w="1203" w:type="dxa"/>
            <w:tcBorders>
              <w:bottom w:val="nil"/>
            </w:tcBorders>
            <w:shd w:val="clear" w:color="auto" w:fill="auto"/>
          </w:tcPr>
          <w:p w14:paraId="486781B5" w14:textId="7DE96401" w:rsidR="00EC4F6E" w:rsidRPr="00C835CC" w:rsidRDefault="00EC4F6E" w:rsidP="00C835CC">
            <w:pPr>
              <w:spacing w:after="0"/>
              <w:rPr>
                <w:rFonts w:asciiTheme="majorHAnsi" w:hAnsiTheme="majorHAnsi"/>
                <w:sz w:val="18"/>
                <w:szCs w:val="18"/>
              </w:rPr>
            </w:pPr>
            <w:r w:rsidRPr="00C835CC">
              <w:rPr>
                <w:rFonts w:asciiTheme="majorHAnsi" w:hAnsiTheme="majorHAnsi"/>
                <w:sz w:val="18"/>
                <w:szCs w:val="18"/>
              </w:rPr>
              <w:t>PES</w:t>
            </w:r>
          </w:p>
        </w:tc>
        <w:tc>
          <w:tcPr>
            <w:tcW w:w="8157" w:type="dxa"/>
            <w:tcBorders>
              <w:bottom w:val="nil"/>
            </w:tcBorders>
            <w:shd w:val="clear" w:color="auto" w:fill="auto"/>
          </w:tcPr>
          <w:p w14:paraId="45E7C908" w14:textId="7DAE77DD" w:rsidR="00EC4F6E" w:rsidRPr="00C835CC" w:rsidRDefault="00EC4F6E" w:rsidP="00C835CC">
            <w:pPr>
              <w:spacing w:after="0"/>
              <w:ind w:left="116"/>
              <w:rPr>
                <w:rFonts w:asciiTheme="majorHAnsi" w:hAnsiTheme="majorHAnsi"/>
                <w:sz w:val="18"/>
                <w:szCs w:val="18"/>
              </w:rPr>
            </w:pPr>
            <w:r w:rsidRPr="00C835CC">
              <w:rPr>
                <w:rFonts w:asciiTheme="majorHAnsi" w:hAnsiTheme="majorHAnsi"/>
                <w:sz w:val="18"/>
                <w:szCs w:val="18"/>
              </w:rPr>
              <w:t>Payment for Environmental Services</w:t>
            </w:r>
          </w:p>
        </w:tc>
      </w:tr>
      <w:tr w:rsidR="00D26D7D" w:rsidRPr="004840B6" w14:paraId="60EDC9D8" w14:textId="77777777" w:rsidTr="0003763F">
        <w:trPr>
          <w:trHeight w:val="288"/>
        </w:trPr>
        <w:tc>
          <w:tcPr>
            <w:tcW w:w="1203" w:type="dxa"/>
            <w:tcBorders>
              <w:bottom w:val="nil"/>
            </w:tcBorders>
            <w:shd w:val="clear" w:color="auto" w:fill="auto"/>
          </w:tcPr>
          <w:p w14:paraId="1F428C3F" w14:textId="1D655BE2" w:rsidR="00D26D7D" w:rsidRPr="00C835CC" w:rsidRDefault="00D26D7D" w:rsidP="00C835CC">
            <w:pPr>
              <w:spacing w:after="0"/>
              <w:rPr>
                <w:rFonts w:asciiTheme="majorHAnsi" w:hAnsiTheme="majorHAnsi"/>
                <w:sz w:val="18"/>
                <w:szCs w:val="18"/>
              </w:rPr>
            </w:pPr>
            <w:r w:rsidRPr="00C835CC">
              <w:rPr>
                <w:rFonts w:asciiTheme="majorHAnsi" w:hAnsiTheme="majorHAnsi"/>
                <w:sz w:val="18"/>
                <w:szCs w:val="18"/>
              </w:rPr>
              <w:t>PICRC</w:t>
            </w:r>
          </w:p>
        </w:tc>
        <w:tc>
          <w:tcPr>
            <w:tcW w:w="8157" w:type="dxa"/>
            <w:tcBorders>
              <w:bottom w:val="nil"/>
            </w:tcBorders>
            <w:shd w:val="clear" w:color="auto" w:fill="auto"/>
          </w:tcPr>
          <w:p w14:paraId="570B2095" w14:textId="37B08338" w:rsidR="00D26D7D" w:rsidRPr="00C835CC" w:rsidRDefault="00B60A70" w:rsidP="00C835CC">
            <w:pPr>
              <w:spacing w:after="0"/>
              <w:ind w:left="116"/>
              <w:rPr>
                <w:rFonts w:asciiTheme="majorHAnsi" w:hAnsiTheme="majorHAnsi"/>
                <w:sz w:val="18"/>
                <w:szCs w:val="18"/>
              </w:rPr>
            </w:pPr>
            <w:r w:rsidRPr="00C835CC">
              <w:rPr>
                <w:rFonts w:asciiTheme="majorHAnsi" w:hAnsiTheme="majorHAnsi"/>
                <w:sz w:val="18"/>
                <w:szCs w:val="18"/>
              </w:rPr>
              <w:t>Palau International Coral Reef Center</w:t>
            </w:r>
          </w:p>
        </w:tc>
      </w:tr>
      <w:tr w:rsidR="004C454A" w:rsidRPr="004840B6" w14:paraId="2E2C03DD" w14:textId="77777777" w:rsidTr="0003763F">
        <w:trPr>
          <w:trHeight w:val="288"/>
        </w:trPr>
        <w:tc>
          <w:tcPr>
            <w:tcW w:w="1203" w:type="dxa"/>
            <w:tcBorders>
              <w:bottom w:val="nil"/>
            </w:tcBorders>
            <w:shd w:val="clear" w:color="auto" w:fill="auto"/>
          </w:tcPr>
          <w:p w14:paraId="70F41E44" w14:textId="77777777" w:rsidR="004C454A" w:rsidRPr="00C835CC" w:rsidRDefault="004C454A" w:rsidP="00C835CC">
            <w:pPr>
              <w:spacing w:after="0"/>
              <w:rPr>
                <w:rFonts w:asciiTheme="majorHAnsi" w:hAnsiTheme="majorHAnsi"/>
                <w:sz w:val="18"/>
                <w:szCs w:val="18"/>
              </w:rPr>
            </w:pPr>
            <w:r w:rsidRPr="00C835CC">
              <w:rPr>
                <w:rFonts w:asciiTheme="majorHAnsi" w:hAnsiTheme="majorHAnsi"/>
                <w:sz w:val="18"/>
                <w:szCs w:val="18"/>
              </w:rPr>
              <w:t>PIF</w:t>
            </w:r>
          </w:p>
        </w:tc>
        <w:tc>
          <w:tcPr>
            <w:tcW w:w="8157" w:type="dxa"/>
            <w:tcBorders>
              <w:bottom w:val="nil"/>
            </w:tcBorders>
            <w:shd w:val="clear" w:color="auto" w:fill="auto"/>
          </w:tcPr>
          <w:p w14:paraId="603A0DB0" w14:textId="77777777" w:rsidR="004C454A" w:rsidRPr="00C835CC" w:rsidRDefault="004C454A" w:rsidP="00C835CC">
            <w:pPr>
              <w:spacing w:after="0"/>
              <w:ind w:left="116"/>
              <w:rPr>
                <w:rFonts w:asciiTheme="majorHAnsi" w:hAnsiTheme="majorHAnsi"/>
                <w:sz w:val="18"/>
                <w:szCs w:val="18"/>
              </w:rPr>
            </w:pPr>
            <w:r w:rsidRPr="00C835CC">
              <w:rPr>
                <w:rFonts w:asciiTheme="majorHAnsi" w:hAnsiTheme="majorHAnsi"/>
                <w:sz w:val="18"/>
                <w:szCs w:val="18"/>
              </w:rPr>
              <w:t>Project Identification Form</w:t>
            </w:r>
          </w:p>
        </w:tc>
      </w:tr>
      <w:tr w:rsidR="00477E70" w:rsidRPr="004840B6" w14:paraId="70B0DFB7" w14:textId="77777777" w:rsidTr="0003763F">
        <w:trPr>
          <w:trHeight w:val="288"/>
        </w:trPr>
        <w:tc>
          <w:tcPr>
            <w:tcW w:w="1203" w:type="dxa"/>
            <w:tcBorders>
              <w:bottom w:val="nil"/>
            </w:tcBorders>
            <w:shd w:val="clear" w:color="auto" w:fill="auto"/>
          </w:tcPr>
          <w:p w14:paraId="699CF07A" w14:textId="77777777" w:rsidR="00477E70" w:rsidRPr="00C835CC" w:rsidRDefault="00477E70" w:rsidP="00C835CC">
            <w:pPr>
              <w:spacing w:after="0"/>
              <w:rPr>
                <w:rFonts w:asciiTheme="majorHAnsi" w:hAnsiTheme="majorHAnsi"/>
                <w:sz w:val="18"/>
                <w:szCs w:val="18"/>
              </w:rPr>
            </w:pPr>
            <w:r w:rsidRPr="00C835CC">
              <w:rPr>
                <w:rFonts w:asciiTheme="majorHAnsi" w:hAnsiTheme="majorHAnsi"/>
                <w:sz w:val="18"/>
                <w:szCs w:val="18"/>
              </w:rPr>
              <w:t>PIR</w:t>
            </w:r>
          </w:p>
        </w:tc>
        <w:tc>
          <w:tcPr>
            <w:tcW w:w="8157" w:type="dxa"/>
            <w:tcBorders>
              <w:bottom w:val="nil"/>
            </w:tcBorders>
            <w:shd w:val="clear" w:color="auto" w:fill="auto"/>
          </w:tcPr>
          <w:p w14:paraId="44C26531" w14:textId="77777777" w:rsidR="00477E70" w:rsidRPr="00C835CC" w:rsidRDefault="00477E70" w:rsidP="00C835CC">
            <w:pPr>
              <w:spacing w:after="0"/>
              <w:ind w:left="116"/>
              <w:rPr>
                <w:rFonts w:asciiTheme="majorHAnsi" w:hAnsiTheme="majorHAnsi"/>
                <w:sz w:val="18"/>
                <w:szCs w:val="18"/>
              </w:rPr>
            </w:pPr>
            <w:r w:rsidRPr="00C835CC">
              <w:rPr>
                <w:rFonts w:asciiTheme="majorHAnsi" w:hAnsiTheme="majorHAnsi"/>
                <w:sz w:val="18"/>
                <w:szCs w:val="18"/>
              </w:rPr>
              <w:t>GEF Project Implementation Report</w:t>
            </w:r>
          </w:p>
        </w:tc>
      </w:tr>
      <w:tr w:rsidR="00C301B3" w:rsidRPr="004840B6" w14:paraId="470A150F" w14:textId="77777777" w:rsidTr="0003763F">
        <w:trPr>
          <w:trHeight w:val="288"/>
        </w:trPr>
        <w:tc>
          <w:tcPr>
            <w:tcW w:w="1203" w:type="dxa"/>
            <w:tcBorders>
              <w:bottom w:val="nil"/>
            </w:tcBorders>
            <w:shd w:val="clear" w:color="auto" w:fill="auto"/>
          </w:tcPr>
          <w:p w14:paraId="7A023783" w14:textId="68D6C1DB" w:rsidR="00C301B3" w:rsidRPr="00C835CC" w:rsidRDefault="00C301B3" w:rsidP="00C835CC">
            <w:pPr>
              <w:spacing w:after="0"/>
              <w:rPr>
                <w:rFonts w:asciiTheme="majorHAnsi" w:hAnsiTheme="majorHAnsi"/>
                <w:sz w:val="18"/>
                <w:szCs w:val="18"/>
              </w:rPr>
            </w:pPr>
            <w:r w:rsidRPr="00C835CC">
              <w:rPr>
                <w:rFonts w:asciiTheme="majorHAnsi" w:hAnsiTheme="majorHAnsi"/>
                <w:sz w:val="18"/>
                <w:szCs w:val="18"/>
              </w:rPr>
              <w:t>PM</w:t>
            </w:r>
          </w:p>
        </w:tc>
        <w:tc>
          <w:tcPr>
            <w:tcW w:w="8157" w:type="dxa"/>
            <w:tcBorders>
              <w:bottom w:val="nil"/>
            </w:tcBorders>
            <w:shd w:val="clear" w:color="auto" w:fill="auto"/>
          </w:tcPr>
          <w:p w14:paraId="4218A8A2" w14:textId="11D7CD7F" w:rsidR="00C301B3" w:rsidRPr="00C835CC" w:rsidRDefault="00C301B3" w:rsidP="00C835CC">
            <w:pPr>
              <w:spacing w:after="0"/>
              <w:ind w:left="116"/>
              <w:rPr>
                <w:rFonts w:asciiTheme="majorHAnsi" w:hAnsiTheme="majorHAnsi" w:cs="Calibri"/>
                <w:sz w:val="18"/>
                <w:szCs w:val="18"/>
              </w:rPr>
            </w:pPr>
            <w:r w:rsidRPr="00C835CC">
              <w:rPr>
                <w:rFonts w:asciiTheme="majorHAnsi" w:hAnsiTheme="majorHAnsi" w:cs="Calibri"/>
                <w:sz w:val="18"/>
                <w:szCs w:val="18"/>
              </w:rPr>
              <w:t>Project Manager</w:t>
            </w:r>
          </w:p>
        </w:tc>
      </w:tr>
      <w:tr w:rsidR="00C301B3" w:rsidRPr="004840B6" w14:paraId="71992E5C" w14:textId="77777777" w:rsidTr="0003763F">
        <w:trPr>
          <w:trHeight w:val="288"/>
        </w:trPr>
        <w:tc>
          <w:tcPr>
            <w:tcW w:w="1203" w:type="dxa"/>
            <w:tcBorders>
              <w:bottom w:val="nil"/>
            </w:tcBorders>
            <w:shd w:val="clear" w:color="auto" w:fill="auto"/>
          </w:tcPr>
          <w:p w14:paraId="1A01F6BC" w14:textId="1C9469E6" w:rsidR="00C301B3" w:rsidRPr="00C835CC" w:rsidRDefault="00C301B3" w:rsidP="00C835CC">
            <w:pPr>
              <w:spacing w:after="0"/>
              <w:rPr>
                <w:rFonts w:asciiTheme="majorHAnsi" w:hAnsiTheme="majorHAnsi"/>
                <w:sz w:val="18"/>
                <w:szCs w:val="18"/>
              </w:rPr>
            </w:pPr>
            <w:r w:rsidRPr="00C835CC">
              <w:rPr>
                <w:rFonts w:asciiTheme="majorHAnsi" w:hAnsiTheme="majorHAnsi"/>
                <w:sz w:val="18"/>
                <w:szCs w:val="18"/>
              </w:rPr>
              <w:t>PMU</w:t>
            </w:r>
          </w:p>
        </w:tc>
        <w:tc>
          <w:tcPr>
            <w:tcW w:w="8157" w:type="dxa"/>
            <w:tcBorders>
              <w:bottom w:val="nil"/>
            </w:tcBorders>
            <w:shd w:val="clear" w:color="auto" w:fill="auto"/>
          </w:tcPr>
          <w:p w14:paraId="58633947" w14:textId="04AF5461" w:rsidR="00C301B3" w:rsidRPr="00C835CC" w:rsidRDefault="00C301B3" w:rsidP="00C835CC">
            <w:pPr>
              <w:spacing w:after="0"/>
              <w:ind w:left="116"/>
              <w:rPr>
                <w:rFonts w:asciiTheme="majorHAnsi" w:hAnsiTheme="majorHAnsi" w:cs="Calibri"/>
                <w:sz w:val="18"/>
                <w:szCs w:val="18"/>
              </w:rPr>
            </w:pPr>
            <w:r w:rsidRPr="00C835CC">
              <w:rPr>
                <w:rFonts w:asciiTheme="majorHAnsi" w:hAnsiTheme="majorHAnsi" w:cs="Calibri"/>
                <w:sz w:val="18"/>
                <w:szCs w:val="18"/>
              </w:rPr>
              <w:t>Project Management Unit</w:t>
            </w:r>
          </w:p>
        </w:tc>
      </w:tr>
      <w:tr w:rsidR="004C454A" w:rsidRPr="004840B6" w14:paraId="374070C4" w14:textId="77777777" w:rsidTr="0003763F">
        <w:trPr>
          <w:trHeight w:val="288"/>
        </w:trPr>
        <w:tc>
          <w:tcPr>
            <w:tcW w:w="1203" w:type="dxa"/>
            <w:tcBorders>
              <w:bottom w:val="nil"/>
            </w:tcBorders>
            <w:shd w:val="clear" w:color="auto" w:fill="auto"/>
          </w:tcPr>
          <w:p w14:paraId="4C83644B" w14:textId="77777777" w:rsidR="004C454A" w:rsidRPr="00C835CC" w:rsidRDefault="004C454A" w:rsidP="00C835CC">
            <w:pPr>
              <w:spacing w:after="0"/>
              <w:rPr>
                <w:rFonts w:asciiTheme="majorHAnsi" w:hAnsiTheme="majorHAnsi"/>
                <w:sz w:val="18"/>
                <w:szCs w:val="18"/>
              </w:rPr>
            </w:pPr>
            <w:r w:rsidRPr="00C835CC">
              <w:rPr>
                <w:rFonts w:asciiTheme="majorHAnsi" w:hAnsiTheme="majorHAnsi"/>
                <w:sz w:val="18"/>
                <w:szCs w:val="18"/>
              </w:rPr>
              <w:t>POPP</w:t>
            </w:r>
          </w:p>
        </w:tc>
        <w:tc>
          <w:tcPr>
            <w:tcW w:w="8157" w:type="dxa"/>
            <w:tcBorders>
              <w:bottom w:val="nil"/>
            </w:tcBorders>
            <w:shd w:val="clear" w:color="auto" w:fill="auto"/>
          </w:tcPr>
          <w:p w14:paraId="67AB71FA" w14:textId="47EBA0B0" w:rsidR="004C454A" w:rsidRPr="00C835CC" w:rsidRDefault="004C454A" w:rsidP="00C835CC">
            <w:pPr>
              <w:spacing w:after="0"/>
              <w:ind w:left="116"/>
              <w:rPr>
                <w:rFonts w:asciiTheme="majorHAnsi" w:hAnsiTheme="majorHAnsi"/>
                <w:sz w:val="18"/>
                <w:szCs w:val="18"/>
              </w:rPr>
            </w:pPr>
            <w:r w:rsidRPr="00C835CC">
              <w:rPr>
                <w:rFonts w:asciiTheme="majorHAnsi" w:hAnsiTheme="majorHAnsi" w:cs="Calibri"/>
                <w:sz w:val="18"/>
                <w:szCs w:val="18"/>
              </w:rPr>
              <w:t>Program and Operations Policies and Procedures</w:t>
            </w:r>
          </w:p>
        </w:tc>
      </w:tr>
      <w:tr w:rsidR="004C454A" w:rsidRPr="004840B6" w14:paraId="1AE9FB9C" w14:textId="77777777" w:rsidTr="0003763F">
        <w:trPr>
          <w:trHeight w:val="288"/>
        </w:trPr>
        <w:tc>
          <w:tcPr>
            <w:tcW w:w="1203" w:type="dxa"/>
            <w:tcBorders>
              <w:bottom w:val="nil"/>
            </w:tcBorders>
            <w:shd w:val="clear" w:color="auto" w:fill="auto"/>
          </w:tcPr>
          <w:p w14:paraId="3E32ED17" w14:textId="77777777" w:rsidR="004C454A" w:rsidRPr="00C835CC" w:rsidRDefault="004C454A" w:rsidP="00C835CC">
            <w:pPr>
              <w:spacing w:after="0"/>
              <w:rPr>
                <w:rFonts w:asciiTheme="majorHAnsi" w:hAnsiTheme="majorHAnsi"/>
                <w:sz w:val="18"/>
                <w:szCs w:val="18"/>
              </w:rPr>
            </w:pPr>
            <w:r w:rsidRPr="00C835CC">
              <w:rPr>
                <w:rFonts w:asciiTheme="majorHAnsi" w:hAnsiTheme="majorHAnsi"/>
                <w:sz w:val="18"/>
                <w:szCs w:val="18"/>
              </w:rPr>
              <w:t>PPG</w:t>
            </w:r>
          </w:p>
        </w:tc>
        <w:tc>
          <w:tcPr>
            <w:tcW w:w="8157" w:type="dxa"/>
            <w:tcBorders>
              <w:bottom w:val="nil"/>
            </w:tcBorders>
            <w:shd w:val="clear" w:color="auto" w:fill="auto"/>
          </w:tcPr>
          <w:p w14:paraId="42BE55AF" w14:textId="77777777" w:rsidR="004C454A" w:rsidRPr="00C835CC" w:rsidRDefault="004C454A" w:rsidP="00C835CC">
            <w:pPr>
              <w:spacing w:after="0"/>
              <w:ind w:left="116"/>
              <w:rPr>
                <w:rFonts w:asciiTheme="majorHAnsi" w:hAnsiTheme="majorHAnsi"/>
                <w:sz w:val="18"/>
                <w:szCs w:val="18"/>
              </w:rPr>
            </w:pPr>
            <w:r w:rsidRPr="00C835CC">
              <w:rPr>
                <w:rFonts w:asciiTheme="majorHAnsi" w:hAnsiTheme="majorHAnsi"/>
                <w:sz w:val="18"/>
                <w:szCs w:val="18"/>
              </w:rPr>
              <w:t>Project Preparation Grant</w:t>
            </w:r>
          </w:p>
        </w:tc>
      </w:tr>
      <w:tr w:rsidR="00D26D7D" w:rsidRPr="004840B6" w14:paraId="2BA03690" w14:textId="77777777" w:rsidTr="0003763F">
        <w:trPr>
          <w:trHeight w:val="288"/>
        </w:trPr>
        <w:tc>
          <w:tcPr>
            <w:tcW w:w="1203" w:type="dxa"/>
            <w:tcBorders>
              <w:bottom w:val="nil"/>
            </w:tcBorders>
            <w:shd w:val="clear" w:color="auto" w:fill="auto"/>
          </w:tcPr>
          <w:p w14:paraId="5891D3FE" w14:textId="36D2D43E" w:rsidR="00D26D7D" w:rsidRPr="00C835CC" w:rsidRDefault="00D26D7D" w:rsidP="00C835CC">
            <w:pPr>
              <w:spacing w:after="0"/>
              <w:rPr>
                <w:rFonts w:asciiTheme="majorHAnsi" w:hAnsiTheme="majorHAnsi"/>
                <w:sz w:val="18"/>
                <w:szCs w:val="18"/>
              </w:rPr>
            </w:pPr>
            <w:r w:rsidRPr="00C835CC">
              <w:rPr>
                <w:rFonts w:asciiTheme="majorHAnsi" w:hAnsiTheme="majorHAnsi"/>
                <w:sz w:val="18"/>
                <w:szCs w:val="18"/>
              </w:rPr>
              <w:t>PPLA</w:t>
            </w:r>
          </w:p>
        </w:tc>
        <w:tc>
          <w:tcPr>
            <w:tcW w:w="8157" w:type="dxa"/>
            <w:tcBorders>
              <w:bottom w:val="nil"/>
            </w:tcBorders>
            <w:shd w:val="clear" w:color="auto" w:fill="auto"/>
          </w:tcPr>
          <w:p w14:paraId="6D7E917C" w14:textId="5BFF6075" w:rsidR="00D26D7D" w:rsidRPr="00C835CC" w:rsidRDefault="00EB3029" w:rsidP="00C835CC">
            <w:pPr>
              <w:spacing w:after="0"/>
              <w:ind w:left="116"/>
              <w:rPr>
                <w:rFonts w:asciiTheme="majorHAnsi" w:hAnsiTheme="majorHAnsi"/>
                <w:sz w:val="18"/>
                <w:szCs w:val="18"/>
              </w:rPr>
            </w:pPr>
            <w:r w:rsidRPr="00C835CC">
              <w:rPr>
                <w:rFonts w:asciiTheme="majorHAnsi" w:hAnsiTheme="majorHAnsi"/>
                <w:sz w:val="18"/>
                <w:szCs w:val="18"/>
              </w:rPr>
              <w:t>Palau</w:t>
            </w:r>
            <w:r w:rsidR="00FA290C" w:rsidRPr="00C835CC">
              <w:rPr>
                <w:rFonts w:asciiTheme="majorHAnsi" w:hAnsiTheme="majorHAnsi"/>
                <w:sz w:val="18"/>
                <w:szCs w:val="18"/>
              </w:rPr>
              <w:t xml:space="preserve"> Public Lands Authority</w:t>
            </w:r>
          </w:p>
        </w:tc>
      </w:tr>
      <w:tr w:rsidR="00D26D7D" w:rsidRPr="004840B6" w14:paraId="6A96111B" w14:textId="77777777" w:rsidTr="0003763F">
        <w:trPr>
          <w:trHeight w:val="288"/>
        </w:trPr>
        <w:tc>
          <w:tcPr>
            <w:tcW w:w="1203" w:type="dxa"/>
            <w:tcBorders>
              <w:bottom w:val="nil"/>
            </w:tcBorders>
            <w:shd w:val="clear" w:color="auto" w:fill="auto"/>
          </w:tcPr>
          <w:p w14:paraId="3C59F72C" w14:textId="51251A93" w:rsidR="00D26D7D" w:rsidRPr="00C835CC" w:rsidRDefault="00D26D7D" w:rsidP="00C835CC">
            <w:pPr>
              <w:spacing w:after="0"/>
              <w:rPr>
                <w:rFonts w:asciiTheme="majorHAnsi" w:hAnsiTheme="majorHAnsi"/>
                <w:sz w:val="18"/>
                <w:szCs w:val="18"/>
              </w:rPr>
            </w:pPr>
            <w:r w:rsidRPr="00C835CC">
              <w:rPr>
                <w:rFonts w:asciiTheme="majorHAnsi" w:hAnsiTheme="majorHAnsi"/>
                <w:sz w:val="18"/>
                <w:szCs w:val="18"/>
              </w:rPr>
              <w:t>PVA</w:t>
            </w:r>
          </w:p>
        </w:tc>
        <w:tc>
          <w:tcPr>
            <w:tcW w:w="8157" w:type="dxa"/>
            <w:tcBorders>
              <w:bottom w:val="nil"/>
            </w:tcBorders>
            <w:shd w:val="clear" w:color="auto" w:fill="auto"/>
          </w:tcPr>
          <w:p w14:paraId="626C2A0D" w14:textId="2B220193" w:rsidR="00D26D7D" w:rsidRPr="00C835CC" w:rsidRDefault="00EC4F6E" w:rsidP="00C835CC">
            <w:pPr>
              <w:spacing w:after="0"/>
              <w:ind w:left="116"/>
              <w:rPr>
                <w:rFonts w:asciiTheme="majorHAnsi" w:hAnsiTheme="majorHAnsi"/>
                <w:sz w:val="18"/>
                <w:szCs w:val="18"/>
              </w:rPr>
            </w:pPr>
            <w:r w:rsidRPr="00C835CC">
              <w:rPr>
                <w:rFonts w:asciiTheme="majorHAnsi" w:hAnsiTheme="majorHAnsi"/>
                <w:sz w:val="18"/>
                <w:szCs w:val="18"/>
              </w:rPr>
              <w:t>Palau Visitor</w:t>
            </w:r>
            <w:r w:rsidR="00B60A70" w:rsidRPr="00C835CC">
              <w:rPr>
                <w:rFonts w:asciiTheme="majorHAnsi" w:hAnsiTheme="majorHAnsi"/>
                <w:sz w:val="18"/>
                <w:szCs w:val="18"/>
              </w:rPr>
              <w:t>s</w:t>
            </w:r>
            <w:r w:rsidRPr="00C835CC">
              <w:rPr>
                <w:rFonts w:asciiTheme="majorHAnsi" w:hAnsiTheme="majorHAnsi"/>
                <w:sz w:val="18"/>
                <w:szCs w:val="18"/>
              </w:rPr>
              <w:t xml:space="preserve"> Authority</w:t>
            </w:r>
          </w:p>
        </w:tc>
      </w:tr>
      <w:tr w:rsidR="00D26D7D" w:rsidRPr="004840B6" w14:paraId="29E0F990" w14:textId="77777777" w:rsidTr="0003763F">
        <w:trPr>
          <w:trHeight w:val="288"/>
        </w:trPr>
        <w:tc>
          <w:tcPr>
            <w:tcW w:w="1203" w:type="dxa"/>
            <w:tcBorders>
              <w:bottom w:val="nil"/>
            </w:tcBorders>
            <w:shd w:val="clear" w:color="auto" w:fill="auto"/>
          </w:tcPr>
          <w:p w14:paraId="000EBCCF" w14:textId="2694CB03" w:rsidR="00D26D7D" w:rsidRPr="00C835CC" w:rsidRDefault="00D26D7D" w:rsidP="00C835CC">
            <w:pPr>
              <w:spacing w:after="0"/>
              <w:rPr>
                <w:rFonts w:asciiTheme="majorHAnsi" w:hAnsiTheme="majorHAnsi"/>
                <w:sz w:val="18"/>
                <w:szCs w:val="18"/>
              </w:rPr>
            </w:pPr>
            <w:r w:rsidRPr="00C835CC">
              <w:rPr>
                <w:rFonts w:asciiTheme="majorHAnsi" w:hAnsiTheme="majorHAnsi"/>
                <w:sz w:val="18"/>
                <w:szCs w:val="18"/>
              </w:rPr>
              <w:t>RBP</w:t>
            </w:r>
          </w:p>
        </w:tc>
        <w:tc>
          <w:tcPr>
            <w:tcW w:w="8157" w:type="dxa"/>
            <w:tcBorders>
              <w:bottom w:val="nil"/>
            </w:tcBorders>
            <w:shd w:val="clear" w:color="auto" w:fill="auto"/>
          </w:tcPr>
          <w:p w14:paraId="506E1323" w14:textId="7D7BFE49" w:rsidR="00D26D7D" w:rsidRPr="00C835CC" w:rsidRDefault="00C301B3" w:rsidP="00C835CC">
            <w:pPr>
              <w:spacing w:after="0"/>
              <w:ind w:left="116"/>
              <w:rPr>
                <w:rFonts w:asciiTheme="majorHAnsi" w:hAnsiTheme="majorHAnsi"/>
                <w:sz w:val="18"/>
                <w:szCs w:val="18"/>
              </w:rPr>
            </w:pPr>
            <w:r w:rsidRPr="00C835CC">
              <w:rPr>
                <w:rFonts w:asciiTheme="majorHAnsi" w:hAnsiTheme="majorHAnsi"/>
                <w:sz w:val="18"/>
                <w:szCs w:val="18"/>
              </w:rPr>
              <w:t>Regional Biosecurity Plan for Micronesia and Hawaii</w:t>
            </w:r>
          </w:p>
        </w:tc>
      </w:tr>
      <w:tr w:rsidR="00C301B3" w:rsidRPr="004840B6" w14:paraId="6AF96F89" w14:textId="77777777" w:rsidTr="0003763F">
        <w:trPr>
          <w:trHeight w:val="288"/>
        </w:trPr>
        <w:tc>
          <w:tcPr>
            <w:tcW w:w="1203" w:type="dxa"/>
            <w:tcBorders>
              <w:bottom w:val="nil"/>
            </w:tcBorders>
            <w:shd w:val="clear" w:color="auto" w:fill="auto"/>
          </w:tcPr>
          <w:p w14:paraId="60A82C78" w14:textId="7E38C743" w:rsidR="00C301B3" w:rsidRPr="00C835CC" w:rsidRDefault="00C301B3" w:rsidP="00C835CC">
            <w:pPr>
              <w:spacing w:after="0"/>
              <w:rPr>
                <w:rFonts w:asciiTheme="majorHAnsi" w:hAnsiTheme="majorHAnsi"/>
                <w:sz w:val="18"/>
                <w:szCs w:val="18"/>
              </w:rPr>
            </w:pPr>
            <w:r w:rsidRPr="00C835CC">
              <w:rPr>
                <w:rFonts w:asciiTheme="majorHAnsi" w:hAnsiTheme="majorHAnsi"/>
                <w:sz w:val="18"/>
                <w:szCs w:val="18"/>
              </w:rPr>
              <w:t>RIMA</w:t>
            </w:r>
          </w:p>
        </w:tc>
        <w:tc>
          <w:tcPr>
            <w:tcW w:w="8157" w:type="dxa"/>
            <w:tcBorders>
              <w:bottom w:val="nil"/>
            </w:tcBorders>
            <w:shd w:val="clear" w:color="auto" w:fill="auto"/>
          </w:tcPr>
          <w:p w14:paraId="2EBEDB8D" w14:textId="63415624" w:rsidR="00C301B3" w:rsidRPr="00C835CC" w:rsidRDefault="00C301B3" w:rsidP="00C835CC">
            <w:pPr>
              <w:spacing w:after="0"/>
              <w:ind w:left="116"/>
              <w:rPr>
                <w:rFonts w:asciiTheme="majorHAnsi" w:hAnsiTheme="majorHAnsi"/>
                <w:sz w:val="18"/>
                <w:szCs w:val="18"/>
              </w:rPr>
            </w:pPr>
            <w:r w:rsidRPr="00C835CC">
              <w:rPr>
                <w:rFonts w:asciiTheme="majorHAnsi" w:hAnsiTheme="majorHAnsi"/>
                <w:sz w:val="18"/>
                <w:szCs w:val="18"/>
              </w:rPr>
              <w:t>Rock Island Management Area</w:t>
            </w:r>
          </w:p>
        </w:tc>
      </w:tr>
      <w:tr w:rsidR="00D26D7D" w:rsidRPr="004840B6" w14:paraId="19ACF1A7" w14:textId="77777777" w:rsidTr="0003763F">
        <w:trPr>
          <w:trHeight w:val="288"/>
        </w:trPr>
        <w:tc>
          <w:tcPr>
            <w:tcW w:w="1203" w:type="dxa"/>
            <w:tcBorders>
              <w:bottom w:val="nil"/>
            </w:tcBorders>
            <w:shd w:val="clear" w:color="auto" w:fill="auto"/>
          </w:tcPr>
          <w:p w14:paraId="491C8851" w14:textId="1E06A295" w:rsidR="00D26D7D" w:rsidRPr="00C835CC" w:rsidRDefault="00D26D7D" w:rsidP="00C835CC">
            <w:pPr>
              <w:spacing w:after="0"/>
              <w:rPr>
                <w:rFonts w:asciiTheme="majorHAnsi" w:hAnsiTheme="majorHAnsi"/>
                <w:sz w:val="18"/>
                <w:szCs w:val="18"/>
              </w:rPr>
            </w:pPr>
            <w:r w:rsidRPr="00C835CC">
              <w:rPr>
                <w:rFonts w:asciiTheme="majorHAnsi" w:hAnsiTheme="majorHAnsi"/>
                <w:sz w:val="18"/>
                <w:szCs w:val="18"/>
              </w:rPr>
              <w:t>RISC</w:t>
            </w:r>
          </w:p>
        </w:tc>
        <w:tc>
          <w:tcPr>
            <w:tcW w:w="8157" w:type="dxa"/>
            <w:tcBorders>
              <w:bottom w:val="nil"/>
            </w:tcBorders>
            <w:shd w:val="clear" w:color="auto" w:fill="auto"/>
          </w:tcPr>
          <w:p w14:paraId="66A66CE8" w14:textId="163C7FB0" w:rsidR="00D26D7D" w:rsidRPr="00C835CC" w:rsidRDefault="00EB3029" w:rsidP="00C835CC">
            <w:pPr>
              <w:spacing w:after="0"/>
              <w:ind w:left="116"/>
              <w:rPr>
                <w:rFonts w:asciiTheme="majorHAnsi" w:hAnsiTheme="majorHAnsi"/>
                <w:sz w:val="18"/>
                <w:szCs w:val="18"/>
              </w:rPr>
            </w:pPr>
            <w:r w:rsidRPr="00C835CC">
              <w:rPr>
                <w:rFonts w:asciiTheme="majorHAnsi" w:hAnsiTheme="majorHAnsi"/>
                <w:sz w:val="18"/>
                <w:szCs w:val="18"/>
              </w:rPr>
              <w:t>Regional Invasive Species Council</w:t>
            </w:r>
          </w:p>
        </w:tc>
      </w:tr>
      <w:tr w:rsidR="00D26D7D" w:rsidRPr="004840B6" w14:paraId="281D15E0" w14:textId="77777777" w:rsidTr="0003763F">
        <w:trPr>
          <w:trHeight w:val="288"/>
        </w:trPr>
        <w:tc>
          <w:tcPr>
            <w:tcW w:w="1203" w:type="dxa"/>
            <w:tcBorders>
              <w:bottom w:val="nil"/>
            </w:tcBorders>
            <w:shd w:val="clear" w:color="auto" w:fill="auto"/>
          </w:tcPr>
          <w:p w14:paraId="1ABF4054" w14:textId="7F97F95A" w:rsidR="00D26D7D" w:rsidRPr="00C835CC" w:rsidRDefault="00D26D7D" w:rsidP="00C835CC">
            <w:pPr>
              <w:spacing w:after="0"/>
              <w:rPr>
                <w:rFonts w:asciiTheme="majorHAnsi" w:hAnsiTheme="majorHAnsi"/>
                <w:sz w:val="18"/>
                <w:szCs w:val="18"/>
              </w:rPr>
            </w:pPr>
            <w:r w:rsidRPr="00C835CC">
              <w:rPr>
                <w:rFonts w:asciiTheme="majorHAnsi" w:hAnsiTheme="majorHAnsi"/>
                <w:sz w:val="18"/>
                <w:szCs w:val="18"/>
              </w:rPr>
              <w:t>RMI</w:t>
            </w:r>
          </w:p>
        </w:tc>
        <w:tc>
          <w:tcPr>
            <w:tcW w:w="8157" w:type="dxa"/>
            <w:tcBorders>
              <w:bottom w:val="nil"/>
            </w:tcBorders>
            <w:shd w:val="clear" w:color="auto" w:fill="auto"/>
          </w:tcPr>
          <w:p w14:paraId="361393E2" w14:textId="764E168E" w:rsidR="00D26D7D" w:rsidRPr="00C835CC" w:rsidRDefault="00B60A70" w:rsidP="00C835CC">
            <w:pPr>
              <w:spacing w:after="0"/>
              <w:ind w:left="116"/>
              <w:rPr>
                <w:rFonts w:asciiTheme="majorHAnsi" w:hAnsiTheme="majorHAnsi"/>
                <w:sz w:val="18"/>
                <w:szCs w:val="18"/>
              </w:rPr>
            </w:pPr>
            <w:r w:rsidRPr="00C835CC">
              <w:rPr>
                <w:rFonts w:asciiTheme="majorHAnsi" w:hAnsiTheme="majorHAnsi"/>
                <w:sz w:val="18"/>
                <w:szCs w:val="18"/>
              </w:rPr>
              <w:t>Republic of Marshall Islands</w:t>
            </w:r>
          </w:p>
        </w:tc>
      </w:tr>
      <w:tr w:rsidR="00C301B3" w:rsidRPr="004840B6" w14:paraId="2FC92913" w14:textId="77777777" w:rsidTr="0003763F">
        <w:trPr>
          <w:trHeight w:val="288"/>
        </w:trPr>
        <w:tc>
          <w:tcPr>
            <w:tcW w:w="1203" w:type="dxa"/>
            <w:tcBorders>
              <w:bottom w:val="nil"/>
            </w:tcBorders>
            <w:shd w:val="clear" w:color="auto" w:fill="auto"/>
          </w:tcPr>
          <w:p w14:paraId="184B2362" w14:textId="533984B5" w:rsidR="00C301B3" w:rsidRPr="00C835CC" w:rsidRDefault="00C301B3" w:rsidP="00C835CC">
            <w:pPr>
              <w:spacing w:after="0"/>
              <w:rPr>
                <w:rFonts w:asciiTheme="majorHAnsi" w:hAnsiTheme="majorHAnsi"/>
                <w:sz w:val="18"/>
                <w:szCs w:val="18"/>
              </w:rPr>
            </w:pPr>
            <w:r w:rsidRPr="00C835CC">
              <w:rPr>
                <w:rFonts w:asciiTheme="majorHAnsi" w:hAnsiTheme="majorHAnsi"/>
                <w:sz w:val="18"/>
                <w:szCs w:val="18"/>
              </w:rPr>
              <w:t>RTA</w:t>
            </w:r>
          </w:p>
        </w:tc>
        <w:tc>
          <w:tcPr>
            <w:tcW w:w="8157" w:type="dxa"/>
            <w:tcBorders>
              <w:bottom w:val="nil"/>
            </w:tcBorders>
            <w:shd w:val="clear" w:color="auto" w:fill="auto"/>
          </w:tcPr>
          <w:p w14:paraId="15992911" w14:textId="60A5068B" w:rsidR="00C301B3" w:rsidRPr="00C835CC" w:rsidRDefault="00C301B3" w:rsidP="00C835CC">
            <w:pPr>
              <w:spacing w:after="0"/>
              <w:ind w:left="116"/>
              <w:rPr>
                <w:rFonts w:asciiTheme="majorHAnsi" w:hAnsiTheme="majorHAnsi"/>
                <w:sz w:val="18"/>
                <w:szCs w:val="18"/>
              </w:rPr>
            </w:pPr>
            <w:r w:rsidRPr="00C835CC">
              <w:rPr>
                <w:rFonts w:asciiTheme="majorHAnsi" w:hAnsiTheme="majorHAnsi"/>
                <w:sz w:val="18"/>
                <w:szCs w:val="18"/>
              </w:rPr>
              <w:t>UNDP Regional Technical Advisor</w:t>
            </w:r>
          </w:p>
        </w:tc>
      </w:tr>
      <w:tr w:rsidR="00D26D7D" w:rsidRPr="004840B6" w14:paraId="1C7C35C6" w14:textId="77777777" w:rsidTr="0003763F">
        <w:trPr>
          <w:trHeight w:val="288"/>
        </w:trPr>
        <w:tc>
          <w:tcPr>
            <w:tcW w:w="1203" w:type="dxa"/>
            <w:tcBorders>
              <w:bottom w:val="nil"/>
            </w:tcBorders>
            <w:shd w:val="clear" w:color="auto" w:fill="auto"/>
          </w:tcPr>
          <w:p w14:paraId="7EDD04DE" w14:textId="2CEABCF9" w:rsidR="00D26D7D" w:rsidRPr="00C835CC" w:rsidRDefault="00D26D7D" w:rsidP="00C835CC">
            <w:pPr>
              <w:spacing w:after="0"/>
              <w:rPr>
                <w:rFonts w:asciiTheme="majorHAnsi" w:hAnsiTheme="majorHAnsi"/>
                <w:sz w:val="18"/>
                <w:szCs w:val="18"/>
              </w:rPr>
            </w:pPr>
            <w:r w:rsidRPr="00C835CC">
              <w:rPr>
                <w:rFonts w:asciiTheme="majorHAnsi" w:hAnsiTheme="majorHAnsi"/>
                <w:sz w:val="18"/>
                <w:szCs w:val="18"/>
              </w:rPr>
              <w:t>SDG</w:t>
            </w:r>
          </w:p>
        </w:tc>
        <w:tc>
          <w:tcPr>
            <w:tcW w:w="8157" w:type="dxa"/>
            <w:tcBorders>
              <w:bottom w:val="nil"/>
            </w:tcBorders>
            <w:shd w:val="clear" w:color="auto" w:fill="auto"/>
          </w:tcPr>
          <w:p w14:paraId="0010B855" w14:textId="54FBF870" w:rsidR="00D26D7D" w:rsidRPr="00C835CC" w:rsidRDefault="00B60A70" w:rsidP="00C835CC">
            <w:pPr>
              <w:spacing w:after="0"/>
              <w:ind w:left="116"/>
              <w:rPr>
                <w:rFonts w:asciiTheme="majorHAnsi" w:hAnsiTheme="majorHAnsi"/>
                <w:sz w:val="18"/>
                <w:szCs w:val="18"/>
              </w:rPr>
            </w:pPr>
            <w:r w:rsidRPr="00C835CC">
              <w:rPr>
                <w:rFonts w:asciiTheme="majorHAnsi" w:hAnsiTheme="majorHAnsi"/>
                <w:sz w:val="18"/>
                <w:szCs w:val="18"/>
              </w:rPr>
              <w:t>Sustainable Development Goal</w:t>
            </w:r>
          </w:p>
        </w:tc>
      </w:tr>
      <w:tr w:rsidR="00D26D7D" w:rsidRPr="004840B6" w14:paraId="0AC85D0C" w14:textId="77777777" w:rsidTr="0003763F">
        <w:trPr>
          <w:trHeight w:val="288"/>
        </w:trPr>
        <w:tc>
          <w:tcPr>
            <w:tcW w:w="1203" w:type="dxa"/>
            <w:tcBorders>
              <w:bottom w:val="nil"/>
            </w:tcBorders>
            <w:shd w:val="clear" w:color="auto" w:fill="auto"/>
          </w:tcPr>
          <w:p w14:paraId="7EC9F8DE" w14:textId="43A653DA" w:rsidR="00D26D7D" w:rsidRPr="00C835CC" w:rsidRDefault="00D26D7D" w:rsidP="00C835CC">
            <w:pPr>
              <w:spacing w:after="0"/>
              <w:rPr>
                <w:rFonts w:asciiTheme="majorHAnsi" w:hAnsiTheme="majorHAnsi"/>
                <w:sz w:val="18"/>
                <w:szCs w:val="18"/>
              </w:rPr>
            </w:pPr>
            <w:r w:rsidRPr="00C835CC">
              <w:rPr>
                <w:rFonts w:asciiTheme="majorHAnsi" w:hAnsiTheme="majorHAnsi"/>
                <w:sz w:val="18"/>
                <w:szCs w:val="18"/>
              </w:rPr>
              <w:t>SEA</w:t>
            </w:r>
          </w:p>
        </w:tc>
        <w:tc>
          <w:tcPr>
            <w:tcW w:w="8157" w:type="dxa"/>
            <w:tcBorders>
              <w:bottom w:val="nil"/>
            </w:tcBorders>
            <w:shd w:val="clear" w:color="auto" w:fill="auto"/>
          </w:tcPr>
          <w:p w14:paraId="255D63BF" w14:textId="402CB360" w:rsidR="00D26D7D" w:rsidRPr="00C835CC" w:rsidRDefault="00EC4F6E" w:rsidP="00C835CC">
            <w:pPr>
              <w:spacing w:after="0"/>
              <w:ind w:left="116"/>
              <w:rPr>
                <w:rFonts w:asciiTheme="majorHAnsi" w:hAnsiTheme="majorHAnsi"/>
                <w:sz w:val="18"/>
                <w:szCs w:val="18"/>
              </w:rPr>
            </w:pPr>
            <w:r w:rsidRPr="00C835CC">
              <w:rPr>
                <w:rFonts w:asciiTheme="majorHAnsi" w:hAnsiTheme="majorHAnsi"/>
                <w:sz w:val="18"/>
                <w:szCs w:val="18"/>
              </w:rPr>
              <w:t>Sectoral Environmental Assessment</w:t>
            </w:r>
          </w:p>
        </w:tc>
      </w:tr>
      <w:tr w:rsidR="00C301B3" w:rsidRPr="004840B6" w14:paraId="2DFC57EF" w14:textId="77777777" w:rsidTr="0003763F">
        <w:trPr>
          <w:trHeight w:val="288"/>
        </w:trPr>
        <w:tc>
          <w:tcPr>
            <w:tcW w:w="1203" w:type="dxa"/>
            <w:tcBorders>
              <w:bottom w:val="nil"/>
            </w:tcBorders>
            <w:shd w:val="clear" w:color="auto" w:fill="auto"/>
          </w:tcPr>
          <w:p w14:paraId="2F231792" w14:textId="44C63E2C" w:rsidR="00C301B3" w:rsidRPr="00C835CC" w:rsidRDefault="00C301B3" w:rsidP="00C835CC">
            <w:pPr>
              <w:spacing w:after="0"/>
              <w:rPr>
                <w:rFonts w:asciiTheme="majorHAnsi" w:hAnsiTheme="majorHAnsi"/>
                <w:sz w:val="18"/>
                <w:szCs w:val="18"/>
              </w:rPr>
            </w:pPr>
            <w:r w:rsidRPr="00C835CC">
              <w:rPr>
                <w:rFonts w:asciiTheme="majorHAnsi" w:hAnsiTheme="majorHAnsi"/>
                <w:sz w:val="18"/>
                <w:szCs w:val="18"/>
              </w:rPr>
              <w:t>SESP</w:t>
            </w:r>
          </w:p>
        </w:tc>
        <w:tc>
          <w:tcPr>
            <w:tcW w:w="8157" w:type="dxa"/>
            <w:tcBorders>
              <w:bottom w:val="nil"/>
            </w:tcBorders>
            <w:shd w:val="clear" w:color="auto" w:fill="auto"/>
          </w:tcPr>
          <w:p w14:paraId="704BFB80" w14:textId="044BE95E" w:rsidR="00C301B3" w:rsidRPr="00C835CC" w:rsidRDefault="00C301B3" w:rsidP="00C835CC">
            <w:pPr>
              <w:spacing w:after="0"/>
              <w:ind w:left="116"/>
              <w:rPr>
                <w:rFonts w:asciiTheme="majorHAnsi" w:hAnsiTheme="majorHAnsi"/>
                <w:sz w:val="18"/>
                <w:szCs w:val="18"/>
              </w:rPr>
            </w:pPr>
            <w:r w:rsidRPr="00C835CC">
              <w:rPr>
                <w:rFonts w:asciiTheme="majorHAnsi" w:hAnsiTheme="majorHAnsi"/>
                <w:sz w:val="18"/>
                <w:szCs w:val="18"/>
              </w:rPr>
              <w:t>Social and Environmental Screening Template</w:t>
            </w:r>
          </w:p>
        </w:tc>
      </w:tr>
      <w:tr w:rsidR="00EC4F6E" w:rsidRPr="004840B6" w14:paraId="01C30153" w14:textId="77777777" w:rsidTr="0003763F">
        <w:trPr>
          <w:trHeight w:val="288"/>
        </w:trPr>
        <w:tc>
          <w:tcPr>
            <w:tcW w:w="1203" w:type="dxa"/>
            <w:tcBorders>
              <w:bottom w:val="nil"/>
            </w:tcBorders>
            <w:shd w:val="clear" w:color="auto" w:fill="auto"/>
          </w:tcPr>
          <w:p w14:paraId="5376D542" w14:textId="311684FA" w:rsidR="00EC4F6E" w:rsidRPr="00C835CC" w:rsidRDefault="00EC4F6E" w:rsidP="00C835CC">
            <w:pPr>
              <w:spacing w:after="0"/>
              <w:rPr>
                <w:rFonts w:asciiTheme="majorHAnsi" w:hAnsiTheme="majorHAnsi"/>
                <w:sz w:val="18"/>
                <w:szCs w:val="18"/>
              </w:rPr>
            </w:pPr>
            <w:r w:rsidRPr="00C835CC">
              <w:rPr>
                <w:rFonts w:asciiTheme="majorHAnsi" w:hAnsiTheme="majorHAnsi"/>
                <w:sz w:val="18"/>
                <w:szCs w:val="18"/>
              </w:rPr>
              <w:t>SFM</w:t>
            </w:r>
          </w:p>
        </w:tc>
        <w:tc>
          <w:tcPr>
            <w:tcW w:w="8157" w:type="dxa"/>
            <w:tcBorders>
              <w:bottom w:val="nil"/>
            </w:tcBorders>
            <w:shd w:val="clear" w:color="auto" w:fill="auto"/>
          </w:tcPr>
          <w:p w14:paraId="10E0239D" w14:textId="47F82AA9" w:rsidR="00EC4F6E" w:rsidRPr="00C835CC" w:rsidRDefault="00EC4F6E" w:rsidP="00C835CC">
            <w:pPr>
              <w:spacing w:after="0"/>
              <w:ind w:left="116"/>
              <w:rPr>
                <w:rFonts w:asciiTheme="majorHAnsi" w:hAnsiTheme="majorHAnsi"/>
                <w:sz w:val="18"/>
                <w:szCs w:val="18"/>
              </w:rPr>
            </w:pPr>
            <w:r w:rsidRPr="00C835CC">
              <w:rPr>
                <w:rFonts w:asciiTheme="majorHAnsi" w:hAnsiTheme="majorHAnsi"/>
                <w:sz w:val="18"/>
                <w:szCs w:val="18"/>
              </w:rPr>
              <w:t>Sustainable Forest Management</w:t>
            </w:r>
          </w:p>
        </w:tc>
      </w:tr>
      <w:tr w:rsidR="00C301B3" w:rsidRPr="004840B6" w14:paraId="3ED068B4" w14:textId="77777777" w:rsidTr="0003763F">
        <w:trPr>
          <w:trHeight w:val="288"/>
        </w:trPr>
        <w:tc>
          <w:tcPr>
            <w:tcW w:w="1203" w:type="dxa"/>
            <w:tcBorders>
              <w:bottom w:val="nil"/>
            </w:tcBorders>
            <w:shd w:val="clear" w:color="auto" w:fill="auto"/>
          </w:tcPr>
          <w:p w14:paraId="5BE4A6A0" w14:textId="5C4D98AE" w:rsidR="00C301B3" w:rsidRPr="00C835CC" w:rsidRDefault="00C301B3" w:rsidP="00C835CC">
            <w:pPr>
              <w:spacing w:after="0"/>
              <w:rPr>
                <w:rFonts w:asciiTheme="majorHAnsi" w:hAnsiTheme="majorHAnsi"/>
                <w:sz w:val="18"/>
                <w:szCs w:val="18"/>
              </w:rPr>
            </w:pPr>
            <w:r w:rsidRPr="00C835CC">
              <w:rPr>
                <w:rFonts w:asciiTheme="majorHAnsi" w:hAnsiTheme="majorHAnsi"/>
                <w:sz w:val="18"/>
                <w:szCs w:val="18"/>
              </w:rPr>
              <w:t>SGP</w:t>
            </w:r>
          </w:p>
        </w:tc>
        <w:tc>
          <w:tcPr>
            <w:tcW w:w="8157" w:type="dxa"/>
            <w:tcBorders>
              <w:bottom w:val="nil"/>
            </w:tcBorders>
            <w:shd w:val="clear" w:color="auto" w:fill="auto"/>
          </w:tcPr>
          <w:p w14:paraId="6DD92795" w14:textId="27E73C81" w:rsidR="00C301B3" w:rsidRPr="00C835CC" w:rsidRDefault="00C301B3" w:rsidP="00C835CC">
            <w:pPr>
              <w:spacing w:after="0"/>
              <w:ind w:left="116"/>
              <w:rPr>
                <w:rFonts w:asciiTheme="majorHAnsi" w:hAnsiTheme="majorHAnsi"/>
                <w:sz w:val="18"/>
                <w:szCs w:val="18"/>
              </w:rPr>
            </w:pPr>
            <w:r w:rsidRPr="00C835CC">
              <w:rPr>
                <w:rFonts w:asciiTheme="majorHAnsi" w:hAnsiTheme="majorHAnsi"/>
                <w:sz w:val="18"/>
                <w:szCs w:val="18"/>
              </w:rPr>
              <w:t>GEF Small Grants Program</w:t>
            </w:r>
          </w:p>
        </w:tc>
      </w:tr>
      <w:tr w:rsidR="00D26D7D" w:rsidRPr="004840B6" w14:paraId="3440338E" w14:textId="77777777" w:rsidTr="0003763F">
        <w:trPr>
          <w:trHeight w:val="288"/>
        </w:trPr>
        <w:tc>
          <w:tcPr>
            <w:tcW w:w="1203" w:type="dxa"/>
            <w:tcBorders>
              <w:bottom w:val="nil"/>
            </w:tcBorders>
            <w:shd w:val="clear" w:color="auto" w:fill="auto"/>
          </w:tcPr>
          <w:p w14:paraId="6427BCCE" w14:textId="446064FD" w:rsidR="00D26D7D" w:rsidRPr="00C835CC" w:rsidRDefault="00D26D7D" w:rsidP="00C835CC">
            <w:pPr>
              <w:spacing w:after="0"/>
              <w:rPr>
                <w:rFonts w:asciiTheme="majorHAnsi" w:hAnsiTheme="majorHAnsi"/>
                <w:sz w:val="18"/>
                <w:szCs w:val="18"/>
              </w:rPr>
            </w:pPr>
            <w:r w:rsidRPr="00C835CC">
              <w:rPr>
                <w:rFonts w:asciiTheme="majorHAnsi" w:hAnsiTheme="majorHAnsi"/>
                <w:sz w:val="18"/>
                <w:szCs w:val="18"/>
              </w:rPr>
              <w:t>SLM</w:t>
            </w:r>
          </w:p>
        </w:tc>
        <w:tc>
          <w:tcPr>
            <w:tcW w:w="8157" w:type="dxa"/>
            <w:tcBorders>
              <w:bottom w:val="nil"/>
            </w:tcBorders>
            <w:shd w:val="clear" w:color="auto" w:fill="auto"/>
          </w:tcPr>
          <w:p w14:paraId="63830413" w14:textId="07A50A66" w:rsidR="00D26D7D" w:rsidRPr="00C835CC" w:rsidRDefault="00EC4F6E" w:rsidP="00C835CC">
            <w:pPr>
              <w:spacing w:after="0"/>
              <w:ind w:left="116"/>
              <w:rPr>
                <w:rFonts w:asciiTheme="majorHAnsi" w:hAnsiTheme="majorHAnsi"/>
                <w:sz w:val="18"/>
                <w:szCs w:val="18"/>
              </w:rPr>
            </w:pPr>
            <w:r w:rsidRPr="00C835CC">
              <w:rPr>
                <w:rFonts w:asciiTheme="majorHAnsi" w:hAnsiTheme="majorHAnsi"/>
                <w:sz w:val="18"/>
                <w:szCs w:val="18"/>
              </w:rPr>
              <w:t>Sustainable Land Management</w:t>
            </w:r>
          </w:p>
        </w:tc>
      </w:tr>
      <w:tr w:rsidR="00C301B3" w:rsidRPr="004840B6" w14:paraId="19AC04C1" w14:textId="77777777" w:rsidTr="0003763F">
        <w:trPr>
          <w:trHeight w:val="288"/>
        </w:trPr>
        <w:tc>
          <w:tcPr>
            <w:tcW w:w="1203" w:type="dxa"/>
            <w:tcBorders>
              <w:bottom w:val="nil"/>
            </w:tcBorders>
            <w:shd w:val="clear" w:color="auto" w:fill="auto"/>
          </w:tcPr>
          <w:p w14:paraId="1399B48B" w14:textId="773F1370" w:rsidR="00C301B3" w:rsidRPr="00C835CC" w:rsidRDefault="00C301B3" w:rsidP="00C835CC">
            <w:pPr>
              <w:spacing w:after="0"/>
              <w:rPr>
                <w:rFonts w:asciiTheme="majorHAnsi" w:hAnsiTheme="majorHAnsi"/>
                <w:sz w:val="18"/>
                <w:szCs w:val="18"/>
              </w:rPr>
            </w:pPr>
            <w:r w:rsidRPr="00C835CC">
              <w:rPr>
                <w:rFonts w:asciiTheme="majorHAnsi" w:hAnsiTheme="majorHAnsi"/>
                <w:sz w:val="18"/>
                <w:szCs w:val="18"/>
              </w:rPr>
              <w:t>SPC</w:t>
            </w:r>
          </w:p>
        </w:tc>
        <w:tc>
          <w:tcPr>
            <w:tcW w:w="8157" w:type="dxa"/>
            <w:tcBorders>
              <w:bottom w:val="nil"/>
            </w:tcBorders>
            <w:shd w:val="clear" w:color="auto" w:fill="auto"/>
          </w:tcPr>
          <w:p w14:paraId="0AAFE9E1" w14:textId="49D999C9" w:rsidR="00C301B3" w:rsidRPr="00C835CC" w:rsidRDefault="00C301B3" w:rsidP="00C835CC">
            <w:pPr>
              <w:spacing w:after="0"/>
              <w:ind w:left="116"/>
              <w:rPr>
                <w:rFonts w:asciiTheme="majorHAnsi" w:hAnsiTheme="majorHAnsi"/>
                <w:sz w:val="18"/>
                <w:szCs w:val="18"/>
              </w:rPr>
            </w:pPr>
            <w:r w:rsidRPr="00C835CC">
              <w:rPr>
                <w:rFonts w:asciiTheme="majorHAnsi" w:hAnsiTheme="majorHAnsi"/>
                <w:sz w:val="18"/>
                <w:szCs w:val="18"/>
              </w:rPr>
              <w:t>Secretariat of the Pacific Community</w:t>
            </w:r>
          </w:p>
        </w:tc>
      </w:tr>
      <w:tr w:rsidR="008508CE" w:rsidRPr="004840B6" w14:paraId="6F4AE638" w14:textId="77777777" w:rsidTr="0003763F">
        <w:trPr>
          <w:trHeight w:val="288"/>
        </w:trPr>
        <w:tc>
          <w:tcPr>
            <w:tcW w:w="1203" w:type="dxa"/>
            <w:tcBorders>
              <w:bottom w:val="nil"/>
            </w:tcBorders>
            <w:shd w:val="clear" w:color="auto" w:fill="auto"/>
          </w:tcPr>
          <w:p w14:paraId="01F56B88" w14:textId="276EEC54" w:rsidR="008508CE" w:rsidRPr="00C835CC" w:rsidRDefault="008508CE" w:rsidP="00C835CC">
            <w:pPr>
              <w:spacing w:after="0"/>
              <w:rPr>
                <w:rFonts w:asciiTheme="majorHAnsi" w:hAnsiTheme="majorHAnsi"/>
                <w:sz w:val="18"/>
                <w:szCs w:val="18"/>
              </w:rPr>
            </w:pPr>
            <w:r w:rsidRPr="00C835CC">
              <w:rPr>
                <w:rFonts w:asciiTheme="majorHAnsi" w:hAnsiTheme="majorHAnsi"/>
                <w:sz w:val="18"/>
                <w:szCs w:val="18"/>
              </w:rPr>
              <w:t>SPREP</w:t>
            </w:r>
          </w:p>
        </w:tc>
        <w:tc>
          <w:tcPr>
            <w:tcW w:w="8157" w:type="dxa"/>
            <w:tcBorders>
              <w:bottom w:val="nil"/>
            </w:tcBorders>
            <w:shd w:val="clear" w:color="auto" w:fill="auto"/>
          </w:tcPr>
          <w:p w14:paraId="3F2AFD79" w14:textId="656D2143" w:rsidR="008508CE" w:rsidRPr="00C835CC" w:rsidRDefault="008508CE" w:rsidP="00C835CC">
            <w:pPr>
              <w:spacing w:after="0"/>
              <w:ind w:left="116"/>
              <w:rPr>
                <w:rFonts w:asciiTheme="majorHAnsi" w:hAnsiTheme="majorHAnsi"/>
                <w:sz w:val="18"/>
                <w:szCs w:val="18"/>
              </w:rPr>
            </w:pPr>
            <w:r w:rsidRPr="00C835CC">
              <w:rPr>
                <w:rFonts w:asciiTheme="majorHAnsi" w:hAnsiTheme="majorHAnsi"/>
                <w:sz w:val="18"/>
                <w:szCs w:val="18"/>
              </w:rPr>
              <w:t>Secretariat of the Pacific Regional Environment Program</w:t>
            </w:r>
          </w:p>
        </w:tc>
      </w:tr>
      <w:tr w:rsidR="004C454A" w:rsidRPr="004840B6" w14:paraId="4BADE523" w14:textId="77777777" w:rsidTr="0003763F">
        <w:trPr>
          <w:trHeight w:val="288"/>
        </w:trPr>
        <w:tc>
          <w:tcPr>
            <w:tcW w:w="1203" w:type="dxa"/>
            <w:tcBorders>
              <w:bottom w:val="nil"/>
            </w:tcBorders>
            <w:shd w:val="clear" w:color="auto" w:fill="auto"/>
          </w:tcPr>
          <w:p w14:paraId="1D664BC4" w14:textId="77777777" w:rsidR="004C454A" w:rsidRPr="00C835CC" w:rsidRDefault="004C454A" w:rsidP="00C835CC">
            <w:pPr>
              <w:spacing w:after="0"/>
              <w:rPr>
                <w:rFonts w:asciiTheme="majorHAnsi" w:hAnsiTheme="majorHAnsi"/>
                <w:sz w:val="18"/>
                <w:szCs w:val="18"/>
              </w:rPr>
            </w:pPr>
            <w:r w:rsidRPr="00C835CC">
              <w:rPr>
                <w:rFonts w:asciiTheme="majorHAnsi" w:hAnsiTheme="majorHAnsi"/>
                <w:sz w:val="18"/>
                <w:szCs w:val="18"/>
              </w:rPr>
              <w:t>STAP</w:t>
            </w:r>
          </w:p>
        </w:tc>
        <w:tc>
          <w:tcPr>
            <w:tcW w:w="8157" w:type="dxa"/>
            <w:tcBorders>
              <w:bottom w:val="nil"/>
            </w:tcBorders>
            <w:shd w:val="clear" w:color="auto" w:fill="auto"/>
          </w:tcPr>
          <w:p w14:paraId="78756B9A" w14:textId="124F402E" w:rsidR="004C454A" w:rsidRPr="00C835CC" w:rsidRDefault="004C454A" w:rsidP="00C835CC">
            <w:pPr>
              <w:spacing w:after="0"/>
              <w:ind w:left="116"/>
              <w:rPr>
                <w:rFonts w:asciiTheme="majorHAnsi" w:hAnsiTheme="majorHAnsi"/>
                <w:sz w:val="18"/>
                <w:szCs w:val="18"/>
              </w:rPr>
            </w:pPr>
            <w:r w:rsidRPr="00C835CC">
              <w:rPr>
                <w:rFonts w:asciiTheme="majorHAnsi" w:hAnsiTheme="majorHAnsi"/>
                <w:sz w:val="18"/>
                <w:szCs w:val="18"/>
              </w:rPr>
              <w:t>Scientific Technical Advisory Panel</w:t>
            </w:r>
          </w:p>
        </w:tc>
      </w:tr>
      <w:tr w:rsidR="00D26D7D" w:rsidRPr="004840B6" w14:paraId="7C22DD05" w14:textId="77777777" w:rsidTr="0003763F">
        <w:trPr>
          <w:trHeight w:val="288"/>
        </w:trPr>
        <w:tc>
          <w:tcPr>
            <w:tcW w:w="1203" w:type="dxa"/>
            <w:tcBorders>
              <w:bottom w:val="nil"/>
            </w:tcBorders>
            <w:shd w:val="clear" w:color="auto" w:fill="auto"/>
          </w:tcPr>
          <w:p w14:paraId="707A3EEC" w14:textId="6ADCB95A" w:rsidR="00D26D7D" w:rsidRPr="00C835CC" w:rsidRDefault="00D26D7D" w:rsidP="00C835CC">
            <w:pPr>
              <w:spacing w:after="0"/>
              <w:rPr>
                <w:rFonts w:asciiTheme="majorHAnsi" w:hAnsiTheme="majorHAnsi"/>
                <w:sz w:val="18"/>
                <w:szCs w:val="18"/>
              </w:rPr>
            </w:pPr>
            <w:r w:rsidRPr="00C835CC">
              <w:rPr>
                <w:rFonts w:asciiTheme="majorHAnsi" w:hAnsiTheme="majorHAnsi"/>
                <w:sz w:val="18"/>
                <w:szCs w:val="18"/>
              </w:rPr>
              <w:t>SWO</w:t>
            </w:r>
            <w:r w:rsidR="00C301B3" w:rsidRPr="00C835CC">
              <w:rPr>
                <w:rFonts w:asciiTheme="majorHAnsi" w:hAnsiTheme="majorHAnsi"/>
                <w:sz w:val="18"/>
                <w:szCs w:val="18"/>
              </w:rPr>
              <w:t>T</w:t>
            </w:r>
          </w:p>
        </w:tc>
        <w:tc>
          <w:tcPr>
            <w:tcW w:w="8157" w:type="dxa"/>
            <w:tcBorders>
              <w:bottom w:val="nil"/>
            </w:tcBorders>
            <w:shd w:val="clear" w:color="auto" w:fill="auto"/>
          </w:tcPr>
          <w:p w14:paraId="1CCCE967" w14:textId="2DC813A5" w:rsidR="00D26D7D" w:rsidRPr="00C835CC" w:rsidRDefault="00C301B3" w:rsidP="00C835CC">
            <w:pPr>
              <w:spacing w:after="0"/>
              <w:ind w:left="116"/>
              <w:rPr>
                <w:rFonts w:asciiTheme="majorHAnsi" w:hAnsiTheme="majorHAnsi"/>
                <w:sz w:val="18"/>
                <w:szCs w:val="18"/>
              </w:rPr>
            </w:pPr>
            <w:r w:rsidRPr="00C835CC">
              <w:rPr>
                <w:rFonts w:asciiTheme="majorHAnsi" w:hAnsiTheme="majorHAnsi"/>
                <w:sz w:val="18"/>
                <w:szCs w:val="18"/>
              </w:rPr>
              <w:t>Strengths, Weaknesses, Opportunities, Threats</w:t>
            </w:r>
          </w:p>
        </w:tc>
      </w:tr>
      <w:tr w:rsidR="004C454A" w:rsidRPr="004840B6" w14:paraId="7E1C156C" w14:textId="77777777" w:rsidTr="0003763F">
        <w:trPr>
          <w:trHeight w:val="288"/>
        </w:trPr>
        <w:tc>
          <w:tcPr>
            <w:tcW w:w="1203" w:type="dxa"/>
            <w:tcBorders>
              <w:bottom w:val="nil"/>
            </w:tcBorders>
            <w:shd w:val="clear" w:color="auto" w:fill="auto"/>
          </w:tcPr>
          <w:p w14:paraId="693C42A9" w14:textId="22ED8C28" w:rsidR="004C454A" w:rsidRPr="00C835CC" w:rsidRDefault="004C454A" w:rsidP="00C835CC">
            <w:pPr>
              <w:pStyle w:val="NoSpacing"/>
              <w:rPr>
                <w:rFonts w:asciiTheme="majorHAnsi" w:hAnsiTheme="majorHAnsi" w:cs="Calibri"/>
                <w:sz w:val="18"/>
                <w:szCs w:val="18"/>
              </w:rPr>
            </w:pPr>
            <w:r w:rsidRPr="00C835CC">
              <w:rPr>
                <w:rFonts w:asciiTheme="majorHAnsi" w:hAnsiTheme="majorHAnsi" w:cs="Calibri"/>
                <w:sz w:val="18"/>
                <w:szCs w:val="18"/>
              </w:rPr>
              <w:t>UNDP</w:t>
            </w:r>
          </w:p>
        </w:tc>
        <w:tc>
          <w:tcPr>
            <w:tcW w:w="8157" w:type="dxa"/>
            <w:tcBorders>
              <w:bottom w:val="nil"/>
            </w:tcBorders>
            <w:shd w:val="clear" w:color="auto" w:fill="auto"/>
          </w:tcPr>
          <w:p w14:paraId="47D62A28" w14:textId="30627373" w:rsidR="004C454A" w:rsidRPr="00C835CC" w:rsidRDefault="004C454A" w:rsidP="00C835CC">
            <w:pPr>
              <w:pStyle w:val="NoSpacing"/>
              <w:ind w:left="116"/>
              <w:rPr>
                <w:rFonts w:asciiTheme="majorHAnsi" w:hAnsiTheme="majorHAnsi" w:cs="Calibri"/>
                <w:sz w:val="18"/>
                <w:szCs w:val="18"/>
              </w:rPr>
            </w:pPr>
            <w:r w:rsidRPr="00C835CC">
              <w:rPr>
                <w:rFonts w:asciiTheme="majorHAnsi" w:hAnsiTheme="majorHAnsi" w:cs="Calibri"/>
                <w:sz w:val="18"/>
                <w:szCs w:val="18"/>
              </w:rPr>
              <w:t>U</w:t>
            </w:r>
            <w:r w:rsidR="00D26D7D" w:rsidRPr="00C835CC">
              <w:rPr>
                <w:rFonts w:asciiTheme="majorHAnsi" w:hAnsiTheme="majorHAnsi" w:cs="Calibri"/>
                <w:sz w:val="18"/>
                <w:szCs w:val="18"/>
              </w:rPr>
              <w:t xml:space="preserve">nited Nations Development Program </w:t>
            </w:r>
          </w:p>
        </w:tc>
      </w:tr>
      <w:tr w:rsidR="00C301B3" w:rsidRPr="004840B6" w14:paraId="36DC9292" w14:textId="77777777" w:rsidTr="0003763F">
        <w:trPr>
          <w:trHeight w:val="288"/>
        </w:trPr>
        <w:tc>
          <w:tcPr>
            <w:tcW w:w="1203" w:type="dxa"/>
            <w:tcBorders>
              <w:bottom w:val="nil"/>
            </w:tcBorders>
            <w:shd w:val="clear" w:color="auto" w:fill="auto"/>
          </w:tcPr>
          <w:p w14:paraId="5190F317" w14:textId="46EFAF86" w:rsidR="00C301B3" w:rsidRPr="00C835CC" w:rsidRDefault="00C301B3" w:rsidP="00C835CC">
            <w:pPr>
              <w:pStyle w:val="NoSpacing"/>
              <w:rPr>
                <w:rFonts w:asciiTheme="majorHAnsi" w:hAnsiTheme="majorHAnsi" w:cs="Calibri"/>
                <w:sz w:val="18"/>
                <w:szCs w:val="18"/>
              </w:rPr>
            </w:pPr>
            <w:r w:rsidRPr="00C835CC">
              <w:rPr>
                <w:rFonts w:asciiTheme="majorHAnsi" w:hAnsiTheme="majorHAnsi" w:cs="Calibri"/>
                <w:sz w:val="18"/>
                <w:szCs w:val="18"/>
              </w:rPr>
              <w:t>UNDP-CO</w:t>
            </w:r>
          </w:p>
        </w:tc>
        <w:tc>
          <w:tcPr>
            <w:tcW w:w="8157" w:type="dxa"/>
            <w:tcBorders>
              <w:bottom w:val="nil"/>
            </w:tcBorders>
            <w:shd w:val="clear" w:color="auto" w:fill="auto"/>
          </w:tcPr>
          <w:p w14:paraId="40CA95AB" w14:textId="742D8244" w:rsidR="00C301B3" w:rsidRPr="00C835CC" w:rsidRDefault="00C301B3" w:rsidP="00C835CC">
            <w:pPr>
              <w:pStyle w:val="NoSpacing"/>
              <w:ind w:left="116"/>
              <w:rPr>
                <w:rFonts w:asciiTheme="majorHAnsi" w:hAnsiTheme="majorHAnsi" w:cs="Calibri"/>
                <w:sz w:val="18"/>
                <w:szCs w:val="18"/>
              </w:rPr>
            </w:pPr>
            <w:r w:rsidRPr="00C835CC">
              <w:rPr>
                <w:rFonts w:asciiTheme="majorHAnsi" w:hAnsiTheme="majorHAnsi" w:cs="Calibri"/>
                <w:sz w:val="18"/>
                <w:szCs w:val="18"/>
              </w:rPr>
              <w:t>UNDP Country Office</w:t>
            </w:r>
          </w:p>
        </w:tc>
      </w:tr>
      <w:tr w:rsidR="00D26D7D" w:rsidRPr="004840B6" w14:paraId="4D5D7FAA" w14:textId="77777777" w:rsidTr="008C0BCC">
        <w:trPr>
          <w:trHeight w:val="288"/>
        </w:trPr>
        <w:tc>
          <w:tcPr>
            <w:tcW w:w="1203" w:type="dxa"/>
            <w:shd w:val="clear" w:color="auto" w:fill="auto"/>
          </w:tcPr>
          <w:p w14:paraId="61B13580" w14:textId="16F78B0E" w:rsidR="00D26D7D" w:rsidRPr="00C835CC" w:rsidRDefault="00D26D7D" w:rsidP="00C835CC">
            <w:pPr>
              <w:pStyle w:val="NoSpacing"/>
              <w:rPr>
                <w:rFonts w:asciiTheme="majorHAnsi" w:hAnsiTheme="majorHAnsi" w:cs="Calibri"/>
                <w:sz w:val="18"/>
                <w:szCs w:val="18"/>
              </w:rPr>
            </w:pPr>
            <w:r w:rsidRPr="00C835CC">
              <w:rPr>
                <w:rFonts w:asciiTheme="majorHAnsi" w:hAnsiTheme="majorHAnsi" w:cs="Calibri"/>
                <w:sz w:val="18"/>
                <w:szCs w:val="18"/>
              </w:rPr>
              <w:t>USDA</w:t>
            </w:r>
          </w:p>
        </w:tc>
        <w:tc>
          <w:tcPr>
            <w:tcW w:w="8157" w:type="dxa"/>
            <w:shd w:val="clear" w:color="auto" w:fill="auto"/>
          </w:tcPr>
          <w:p w14:paraId="665E5E88" w14:textId="319E59F3" w:rsidR="00D26D7D" w:rsidRPr="00C835CC" w:rsidRDefault="00D26D7D" w:rsidP="00C835CC">
            <w:pPr>
              <w:pStyle w:val="NoSpacing"/>
              <w:ind w:left="116"/>
              <w:rPr>
                <w:rFonts w:asciiTheme="majorHAnsi" w:hAnsiTheme="majorHAnsi" w:cs="Calibri"/>
                <w:sz w:val="18"/>
                <w:szCs w:val="18"/>
              </w:rPr>
            </w:pPr>
            <w:r w:rsidRPr="00C835CC">
              <w:rPr>
                <w:rFonts w:asciiTheme="majorHAnsi" w:hAnsiTheme="majorHAnsi" w:cs="Calibri"/>
                <w:sz w:val="18"/>
                <w:szCs w:val="18"/>
              </w:rPr>
              <w:t>United States Department of Agriculture</w:t>
            </w:r>
          </w:p>
        </w:tc>
      </w:tr>
      <w:tr w:rsidR="008508CE" w:rsidRPr="004840B6" w14:paraId="54308A0A" w14:textId="77777777" w:rsidTr="0003763F">
        <w:trPr>
          <w:trHeight w:val="288"/>
        </w:trPr>
        <w:tc>
          <w:tcPr>
            <w:tcW w:w="1203" w:type="dxa"/>
            <w:tcBorders>
              <w:bottom w:val="nil"/>
            </w:tcBorders>
            <w:shd w:val="clear" w:color="auto" w:fill="auto"/>
          </w:tcPr>
          <w:p w14:paraId="1DA003D9" w14:textId="652C9240" w:rsidR="008508CE" w:rsidRPr="00C835CC" w:rsidRDefault="008508CE" w:rsidP="00C835CC">
            <w:pPr>
              <w:pStyle w:val="NoSpacing"/>
              <w:rPr>
                <w:rFonts w:asciiTheme="majorHAnsi" w:hAnsiTheme="majorHAnsi" w:cs="Calibri"/>
                <w:sz w:val="18"/>
                <w:szCs w:val="18"/>
              </w:rPr>
            </w:pPr>
            <w:r w:rsidRPr="00C835CC">
              <w:rPr>
                <w:rFonts w:asciiTheme="majorHAnsi" w:hAnsiTheme="majorHAnsi" w:cs="Calibri"/>
                <w:sz w:val="18"/>
                <w:szCs w:val="18"/>
              </w:rPr>
              <w:t>WCMC</w:t>
            </w:r>
          </w:p>
        </w:tc>
        <w:tc>
          <w:tcPr>
            <w:tcW w:w="8157" w:type="dxa"/>
            <w:tcBorders>
              <w:bottom w:val="nil"/>
            </w:tcBorders>
            <w:shd w:val="clear" w:color="auto" w:fill="auto"/>
          </w:tcPr>
          <w:p w14:paraId="1EC0595A" w14:textId="2F4957E9" w:rsidR="008508CE" w:rsidRPr="00C835CC" w:rsidRDefault="008508CE" w:rsidP="00C835CC">
            <w:pPr>
              <w:pStyle w:val="NoSpacing"/>
              <w:ind w:left="116"/>
              <w:rPr>
                <w:rFonts w:asciiTheme="majorHAnsi" w:hAnsiTheme="majorHAnsi" w:cs="Calibri"/>
                <w:sz w:val="18"/>
                <w:szCs w:val="18"/>
              </w:rPr>
            </w:pPr>
            <w:r w:rsidRPr="00C835CC">
              <w:rPr>
                <w:rFonts w:asciiTheme="majorHAnsi" w:hAnsiTheme="majorHAnsi" w:cs="Calibri"/>
                <w:sz w:val="18"/>
                <w:szCs w:val="18"/>
              </w:rPr>
              <w:t>World Conservation Monitoring Cent</w:t>
            </w:r>
            <w:r w:rsidR="007E04A7" w:rsidRPr="00C835CC">
              <w:rPr>
                <w:rFonts w:asciiTheme="majorHAnsi" w:hAnsiTheme="majorHAnsi" w:cs="Calibri"/>
                <w:sz w:val="18"/>
                <w:szCs w:val="18"/>
              </w:rPr>
              <w:t>re</w:t>
            </w:r>
          </w:p>
        </w:tc>
      </w:tr>
    </w:tbl>
    <w:p w14:paraId="21F2E322" w14:textId="77777777" w:rsidR="00347790" w:rsidRDefault="00AE31A1">
      <w:r>
        <w:lastRenderedPageBreak/>
        <w:br w:type="page"/>
      </w:r>
    </w:p>
    <w:p w14:paraId="7E004153" w14:textId="77777777" w:rsidR="00D218B7" w:rsidRDefault="008C65EB" w:rsidP="00D218B7">
      <w:pPr>
        <w:pStyle w:val="Heading1"/>
        <w:spacing w:before="0" w:after="0" w:line="271" w:lineRule="auto"/>
        <w:jc w:val="left"/>
        <w:rPr>
          <w:rFonts w:ascii="Calibri" w:hAnsi="Calibri"/>
        </w:rPr>
      </w:pPr>
      <w:bookmarkStart w:id="3" w:name="_Toc407785517"/>
      <w:bookmarkStart w:id="4" w:name="_Toc443050754"/>
      <w:r w:rsidRPr="0003763F">
        <w:rPr>
          <w:rFonts w:ascii="Calibri" w:hAnsi="Calibri"/>
        </w:rPr>
        <w:lastRenderedPageBreak/>
        <w:t xml:space="preserve">Development </w:t>
      </w:r>
      <w:r w:rsidR="00005D48" w:rsidRPr="0003763F">
        <w:rPr>
          <w:rFonts w:ascii="Calibri" w:hAnsi="Calibri"/>
        </w:rPr>
        <w:t>C</w:t>
      </w:r>
      <w:r w:rsidR="004C3717" w:rsidRPr="0003763F">
        <w:rPr>
          <w:rFonts w:ascii="Calibri" w:hAnsi="Calibri"/>
        </w:rPr>
        <w:t>hallenge</w:t>
      </w:r>
      <w:bookmarkEnd w:id="3"/>
      <w:bookmarkEnd w:id="4"/>
      <w:r w:rsidR="00A25CCB">
        <w:rPr>
          <w:rFonts w:ascii="Calibri" w:hAnsi="Calibri"/>
        </w:rPr>
        <w:t xml:space="preserve"> </w:t>
      </w:r>
    </w:p>
    <w:p w14:paraId="6AD71346" w14:textId="63F891C3" w:rsidR="001A16F2" w:rsidRPr="001A16F2" w:rsidRDefault="001A16F2" w:rsidP="001A16F2"/>
    <w:p w14:paraId="060E5154" w14:textId="77777777" w:rsidR="008A1910" w:rsidRPr="001C203A" w:rsidRDefault="008A1910" w:rsidP="001C203A">
      <w:pPr>
        <w:rPr>
          <w:rFonts w:asciiTheme="majorHAnsi" w:hAnsiTheme="majorHAnsi" w:cs="Segoe UI"/>
          <w:b/>
          <w:color w:val="000000"/>
          <w:sz w:val="20"/>
          <w:szCs w:val="20"/>
        </w:rPr>
      </w:pPr>
      <w:r w:rsidRPr="001C203A">
        <w:rPr>
          <w:rFonts w:asciiTheme="majorHAnsi" w:hAnsiTheme="majorHAnsi" w:cs="Segoe UI"/>
          <w:b/>
          <w:color w:val="000000"/>
          <w:sz w:val="20"/>
          <w:szCs w:val="20"/>
        </w:rPr>
        <w:t>Context</w:t>
      </w:r>
    </w:p>
    <w:p w14:paraId="2EDB047C" w14:textId="467538B6" w:rsidR="007105DC" w:rsidRPr="005722A6" w:rsidRDefault="000602C2" w:rsidP="007105DC">
      <w:pPr>
        <w:widowControl w:val="0"/>
        <w:autoSpaceDE w:val="0"/>
        <w:autoSpaceDN w:val="0"/>
        <w:adjustRightInd w:val="0"/>
        <w:spacing w:after="0"/>
        <w:rPr>
          <w:rFonts w:asciiTheme="majorHAnsi" w:hAnsiTheme="majorHAnsi" w:cs="Segoe UI"/>
          <w:color w:val="000000"/>
          <w:sz w:val="20"/>
          <w:szCs w:val="20"/>
          <w:lang w:val="en-GB"/>
        </w:rPr>
      </w:pPr>
      <w:r w:rsidRPr="005722A6">
        <w:rPr>
          <w:rFonts w:asciiTheme="majorHAnsi" w:hAnsiTheme="majorHAnsi" w:cs="Segoe UI"/>
          <w:color w:val="000000"/>
          <w:sz w:val="20"/>
          <w:szCs w:val="20"/>
          <w:lang w:val="en-GB"/>
        </w:rPr>
        <w:t xml:space="preserve">This project aims to address the negative impacts of unsustainable sector-led development practices on biodiversity-rich landscapes </w:t>
      </w:r>
      <w:r w:rsidR="007105DC" w:rsidRPr="005722A6">
        <w:rPr>
          <w:rFonts w:asciiTheme="majorHAnsi" w:hAnsiTheme="majorHAnsi" w:cs="Segoe UI"/>
          <w:color w:val="000000"/>
          <w:sz w:val="20"/>
          <w:szCs w:val="20"/>
          <w:lang w:val="en-GB"/>
        </w:rPr>
        <w:t xml:space="preserve">of Palau, </w:t>
      </w:r>
      <w:r w:rsidRPr="005722A6">
        <w:rPr>
          <w:rFonts w:asciiTheme="majorHAnsi" w:hAnsiTheme="majorHAnsi" w:cs="Segoe UI"/>
          <w:color w:val="000000"/>
          <w:sz w:val="20"/>
          <w:szCs w:val="20"/>
          <w:lang w:val="en-GB"/>
        </w:rPr>
        <w:t>i</w:t>
      </w:r>
      <w:r w:rsidR="007105DC" w:rsidRPr="005722A6">
        <w:rPr>
          <w:rFonts w:asciiTheme="majorHAnsi" w:hAnsiTheme="majorHAnsi" w:cs="Segoe UI"/>
          <w:color w:val="000000"/>
          <w:sz w:val="20"/>
          <w:szCs w:val="20"/>
          <w:lang w:val="en-GB"/>
        </w:rPr>
        <w:t xml:space="preserve">ncluding its </w:t>
      </w:r>
      <w:r w:rsidRPr="005722A6">
        <w:rPr>
          <w:rFonts w:asciiTheme="majorHAnsi" w:hAnsiTheme="majorHAnsi" w:cs="Segoe UI"/>
          <w:color w:val="000000"/>
          <w:sz w:val="20"/>
          <w:szCs w:val="20"/>
          <w:lang w:val="en-GB"/>
        </w:rPr>
        <w:t>productive coastal and marine ecosystems, while taking into account climate change adaptation needs and inclusive and equitable social and economic development for dependent communities, thereby contributing towards poverty alleviation, food security and sustainable agriculture and gender equality. The project</w:t>
      </w:r>
      <w:r w:rsidR="007105DC" w:rsidRPr="005722A6">
        <w:rPr>
          <w:rFonts w:asciiTheme="majorHAnsi" w:hAnsiTheme="majorHAnsi" w:cs="Segoe UI"/>
          <w:color w:val="000000"/>
          <w:sz w:val="20"/>
          <w:szCs w:val="20"/>
          <w:lang w:val="en-GB"/>
        </w:rPr>
        <w:t>’s</w:t>
      </w:r>
      <w:r w:rsidRPr="005722A6">
        <w:rPr>
          <w:rFonts w:asciiTheme="majorHAnsi" w:hAnsiTheme="majorHAnsi" w:cs="Segoe UI"/>
          <w:color w:val="000000"/>
          <w:sz w:val="20"/>
          <w:szCs w:val="20"/>
          <w:lang w:val="en-GB"/>
        </w:rPr>
        <w:t xml:space="preserve"> intervention comes at a time when </w:t>
      </w:r>
      <w:r w:rsidR="007105DC" w:rsidRPr="005722A6">
        <w:rPr>
          <w:rFonts w:asciiTheme="majorHAnsi" w:hAnsiTheme="majorHAnsi" w:cs="Segoe UI"/>
          <w:color w:val="000000"/>
          <w:sz w:val="20"/>
          <w:szCs w:val="20"/>
          <w:lang w:val="en-GB"/>
        </w:rPr>
        <w:t>Palau’s economy is projected to become increasing dependent on tourism</w:t>
      </w:r>
      <w:r w:rsidR="00395712">
        <w:rPr>
          <w:rFonts w:asciiTheme="majorHAnsi" w:hAnsiTheme="majorHAnsi" w:cs="Segoe UI"/>
          <w:color w:val="000000"/>
          <w:sz w:val="20"/>
          <w:szCs w:val="20"/>
          <w:lang w:val="en-GB"/>
        </w:rPr>
        <w:t>,</w:t>
      </w:r>
      <w:r w:rsidR="007105DC" w:rsidRPr="005722A6">
        <w:rPr>
          <w:rFonts w:asciiTheme="majorHAnsi" w:hAnsiTheme="majorHAnsi" w:cs="Segoe UI"/>
          <w:color w:val="000000"/>
          <w:sz w:val="20"/>
          <w:szCs w:val="20"/>
          <w:lang w:val="en-GB"/>
        </w:rPr>
        <w:t xml:space="preserve"> </w:t>
      </w:r>
      <w:r w:rsidR="00395712">
        <w:rPr>
          <w:rFonts w:asciiTheme="majorHAnsi" w:hAnsiTheme="majorHAnsi" w:cs="Segoe UI"/>
          <w:color w:val="000000"/>
          <w:sz w:val="20"/>
          <w:szCs w:val="20"/>
          <w:lang w:val="en-GB"/>
        </w:rPr>
        <w:t>rising</w:t>
      </w:r>
      <w:r w:rsidR="007105DC" w:rsidRPr="005722A6">
        <w:rPr>
          <w:rFonts w:asciiTheme="majorHAnsi" w:hAnsiTheme="majorHAnsi" w:cs="Segoe UI"/>
          <w:color w:val="000000"/>
          <w:sz w:val="20"/>
          <w:szCs w:val="20"/>
          <w:lang w:val="en-GB"/>
        </w:rPr>
        <w:t xml:space="preserve"> by 30% annually</w:t>
      </w:r>
      <w:r w:rsidR="00395712">
        <w:rPr>
          <w:rFonts w:asciiTheme="majorHAnsi" w:hAnsiTheme="majorHAnsi" w:cs="Segoe UI"/>
          <w:color w:val="000000"/>
          <w:sz w:val="20"/>
          <w:szCs w:val="20"/>
          <w:lang w:val="en-GB"/>
        </w:rPr>
        <w:t xml:space="preserve"> and</w:t>
      </w:r>
      <w:r w:rsidR="007105DC" w:rsidRPr="005722A6">
        <w:rPr>
          <w:rFonts w:asciiTheme="majorHAnsi" w:hAnsiTheme="majorHAnsi" w:cs="Segoe UI"/>
          <w:color w:val="000000"/>
          <w:sz w:val="20"/>
          <w:szCs w:val="20"/>
          <w:lang w:val="en-GB"/>
        </w:rPr>
        <w:t xml:space="preserve"> necessitating new tourism infrastructure and service industries. </w:t>
      </w:r>
      <w:r w:rsidR="0044025D" w:rsidRPr="005722A6">
        <w:rPr>
          <w:rFonts w:asciiTheme="majorHAnsi" w:hAnsiTheme="majorHAnsi"/>
          <w:sz w:val="20"/>
          <w:szCs w:val="20"/>
        </w:rPr>
        <w:t>Agriculture and fisheries, even though contributing barely 4% to Gross Domestic Product (GDP)</w:t>
      </w:r>
      <w:r w:rsidR="00EA13BB">
        <w:rPr>
          <w:rFonts w:asciiTheme="majorHAnsi" w:hAnsiTheme="majorHAnsi"/>
          <w:sz w:val="20"/>
          <w:szCs w:val="20"/>
        </w:rPr>
        <w:t>,</w:t>
      </w:r>
      <w:r w:rsidR="0044025D" w:rsidRPr="005722A6">
        <w:rPr>
          <w:rFonts w:asciiTheme="majorHAnsi" w:hAnsiTheme="majorHAnsi"/>
          <w:sz w:val="20"/>
          <w:szCs w:val="20"/>
        </w:rPr>
        <w:t xml:space="preserve"> still provides the main livelihood for about 20% of Palau’s population</w:t>
      </w:r>
      <w:r w:rsidR="00194AA1">
        <w:rPr>
          <w:rFonts w:asciiTheme="majorHAnsi" w:hAnsiTheme="majorHAnsi"/>
          <w:sz w:val="20"/>
          <w:szCs w:val="20"/>
        </w:rPr>
        <w:t xml:space="preserve">. </w:t>
      </w:r>
      <w:r w:rsidR="0044025D" w:rsidRPr="005722A6">
        <w:rPr>
          <w:rFonts w:asciiTheme="majorHAnsi" w:hAnsiTheme="majorHAnsi"/>
          <w:sz w:val="20"/>
          <w:szCs w:val="20"/>
        </w:rPr>
        <w:t xml:space="preserve">Local food security is a national priority, given the heavy reliance on food imports, and these three sectors (agriculture, fisheries and tourism) are now growing in line with Palau’s national </w:t>
      </w:r>
      <w:r w:rsidR="00EA13BB">
        <w:rPr>
          <w:rFonts w:asciiTheme="majorHAnsi" w:hAnsiTheme="majorHAnsi"/>
          <w:sz w:val="20"/>
          <w:szCs w:val="20"/>
        </w:rPr>
        <w:t>d</w:t>
      </w:r>
      <w:r w:rsidR="0044025D" w:rsidRPr="005722A6">
        <w:rPr>
          <w:rFonts w:asciiTheme="majorHAnsi" w:hAnsiTheme="majorHAnsi"/>
          <w:sz w:val="20"/>
          <w:szCs w:val="20"/>
        </w:rPr>
        <w:t xml:space="preserve">evelopment </w:t>
      </w:r>
      <w:r w:rsidR="00EA13BB">
        <w:rPr>
          <w:rFonts w:asciiTheme="majorHAnsi" w:hAnsiTheme="majorHAnsi"/>
          <w:sz w:val="20"/>
          <w:szCs w:val="20"/>
        </w:rPr>
        <w:t>p</w:t>
      </w:r>
      <w:r w:rsidR="0044025D" w:rsidRPr="005722A6">
        <w:rPr>
          <w:rFonts w:asciiTheme="majorHAnsi" w:hAnsiTheme="majorHAnsi"/>
          <w:sz w:val="20"/>
          <w:szCs w:val="20"/>
        </w:rPr>
        <w:t xml:space="preserve">olicies and </w:t>
      </w:r>
      <w:r w:rsidR="00EA13BB">
        <w:rPr>
          <w:rFonts w:asciiTheme="majorHAnsi" w:hAnsiTheme="majorHAnsi"/>
          <w:sz w:val="20"/>
          <w:szCs w:val="20"/>
        </w:rPr>
        <w:t>p</w:t>
      </w:r>
      <w:r w:rsidR="0044025D" w:rsidRPr="005722A6">
        <w:rPr>
          <w:rFonts w:asciiTheme="majorHAnsi" w:hAnsiTheme="majorHAnsi"/>
          <w:sz w:val="20"/>
          <w:szCs w:val="20"/>
        </w:rPr>
        <w:t>lans.</w:t>
      </w:r>
      <w:r w:rsidR="0044025D" w:rsidRPr="005722A6">
        <w:rPr>
          <w:rFonts w:asciiTheme="majorHAnsi" w:hAnsiTheme="majorHAnsi" w:cs="Segoe UI"/>
          <w:color w:val="000000"/>
          <w:sz w:val="20"/>
          <w:szCs w:val="20"/>
          <w:lang w:val="en-GB"/>
        </w:rPr>
        <w:t xml:space="preserve"> </w:t>
      </w:r>
      <w:r w:rsidRPr="005722A6">
        <w:rPr>
          <w:rFonts w:asciiTheme="majorHAnsi" w:hAnsiTheme="majorHAnsi" w:cs="Segoe UI"/>
          <w:color w:val="000000"/>
          <w:sz w:val="20"/>
          <w:szCs w:val="20"/>
          <w:lang w:val="en-GB"/>
        </w:rPr>
        <w:t xml:space="preserve">However, </w:t>
      </w:r>
      <w:r w:rsidR="007105DC" w:rsidRPr="005722A6">
        <w:rPr>
          <w:rFonts w:asciiTheme="majorHAnsi" w:hAnsiTheme="majorHAnsi" w:cs="Segoe UI"/>
          <w:color w:val="000000"/>
          <w:sz w:val="20"/>
          <w:szCs w:val="20"/>
          <w:lang w:val="en-GB"/>
        </w:rPr>
        <w:t xml:space="preserve">increasing </w:t>
      </w:r>
      <w:r w:rsidR="00EA13BB" w:rsidRPr="005722A6">
        <w:rPr>
          <w:rFonts w:asciiTheme="majorHAnsi" w:hAnsiTheme="majorHAnsi" w:cs="Segoe UI"/>
          <w:color w:val="000000"/>
          <w:sz w:val="20"/>
          <w:szCs w:val="20"/>
          <w:lang w:val="en-GB"/>
        </w:rPr>
        <w:t xml:space="preserve">development </w:t>
      </w:r>
      <w:r w:rsidR="007105DC" w:rsidRPr="005722A6">
        <w:rPr>
          <w:rFonts w:asciiTheme="majorHAnsi" w:hAnsiTheme="majorHAnsi" w:cs="Segoe UI"/>
          <w:color w:val="000000"/>
          <w:sz w:val="20"/>
          <w:szCs w:val="20"/>
          <w:lang w:val="en-GB"/>
        </w:rPr>
        <w:t>pressures from tourism</w:t>
      </w:r>
      <w:r w:rsidR="00EA13BB">
        <w:rPr>
          <w:rFonts w:asciiTheme="majorHAnsi" w:hAnsiTheme="majorHAnsi" w:cs="Segoe UI"/>
          <w:color w:val="000000"/>
          <w:sz w:val="20"/>
          <w:szCs w:val="20"/>
          <w:lang w:val="en-GB"/>
        </w:rPr>
        <w:t>,</w:t>
      </w:r>
      <w:r w:rsidR="007105DC" w:rsidRPr="005722A6">
        <w:rPr>
          <w:rFonts w:asciiTheme="majorHAnsi" w:hAnsiTheme="majorHAnsi" w:cs="Segoe UI"/>
          <w:color w:val="000000"/>
          <w:sz w:val="20"/>
          <w:szCs w:val="20"/>
          <w:lang w:val="en-GB"/>
        </w:rPr>
        <w:t xml:space="preserve"> </w:t>
      </w:r>
      <w:r w:rsidR="0044025D" w:rsidRPr="005722A6">
        <w:rPr>
          <w:rFonts w:asciiTheme="majorHAnsi" w:hAnsiTheme="majorHAnsi" w:cs="Segoe UI"/>
          <w:color w:val="000000"/>
          <w:sz w:val="20"/>
          <w:szCs w:val="20"/>
          <w:lang w:val="en-GB"/>
        </w:rPr>
        <w:t>agriculture and fisheries</w:t>
      </w:r>
      <w:r w:rsidR="007105DC" w:rsidRPr="005722A6">
        <w:rPr>
          <w:rFonts w:asciiTheme="majorHAnsi" w:hAnsiTheme="majorHAnsi" w:cs="Segoe UI"/>
          <w:color w:val="000000"/>
          <w:sz w:val="20"/>
          <w:szCs w:val="20"/>
          <w:lang w:val="en-GB"/>
        </w:rPr>
        <w:t xml:space="preserve"> </w:t>
      </w:r>
      <w:r w:rsidRPr="005722A6">
        <w:rPr>
          <w:rFonts w:asciiTheme="majorHAnsi" w:hAnsiTheme="majorHAnsi" w:cs="Segoe UI"/>
          <w:color w:val="000000"/>
          <w:sz w:val="20"/>
          <w:szCs w:val="20"/>
          <w:lang w:val="en-GB"/>
        </w:rPr>
        <w:t xml:space="preserve">are also resulting in </w:t>
      </w:r>
      <w:r w:rsidR="00EA13BB">
        <w:rPr>
          <w:rFonts w:asciiTheme="majorHAnsi" w:hAnsiTheme="majorHAnsi" w:cs="Segoe UI"/>
          <w:color w:val="000000"/>
          <w:sz w:val="20"/>
          <w:szCs w:val="20"/>
          <w:lang w:val="en-GB"/>
        </w:rPr>
        <w:t>mounting</w:t>
      </w:r>
      <w:r w:rsidRPr="005722A6">
        <w:rPr>
          <w:rFonts w:asciiTheme="majorHAnsi" w:hAnsiTheme="majorHAnsi" w:cs="Segoe UI"/>
          <w:color w:val="000000"/>
          <w:sz w:val="20"/>
          <w:szCs w:val="20"/>
          <w:lang w:val="en-GB"/>
        </w:rPr>
        <w:t xml:space="preserve"> pressures on the country’s natural resources and biodiversity</w:t>
      </w:r>
      <w:r w:rsidR="00EA13BB">
        <w:rPr>
          <w:rFonts w:asciiTheme="majorHAnsi" w:hAnsiTheme="majorHAnsi" w:cs="Segoe UI"/>
          <w:color w:val="000000"/>
          <w:sz w:val="20"/>
          <w:szCs w:val="20"/>
          <w:lang w:val="en-GB"/>
        </w:rPr>
        <w:t xml:space="preserve">. Moreover, </w:t>
      </w:r>
      <w:r w:rsidRPr="005722A6">
        <w:rPr>
          <w:rFonts w:asciiTheme="majorHAnsi" w:hAnsiTheme="majorHAnsi" w:cs="Segoe UI"/>
          <w:color w:val="000000"/>
          <w:sz w:val="20"/>
          <w:szCs w:val="20"/>
          <w:lang w:val="en-GB"/>
        </w:rPr>
        <w:t xml:space="preserve">the rich terrestrial and marine natural resources </w:t>
      </w:r>
      <w:r w:rsidR="007105DC" w:rsidRPr="005722A6">
        <w:rPr>
          <w:rFonts w:asciiTheme="majorHAnsi" w:hAnsiTheme="majorHAnsi" w:cs="Segoe UI"/>
          <w:color w:val="000000"/>
          <w:sz w:val="20"/>
          <w:szCs w:val="20"/>
          <w:lang w:val="en-GB"/>
        </w:rPr>
        <w:t xml:space="preserve">on which </w:t>
      </w:r>
      <w:r w:rsidR="00EA13BB">
        <w:rPr>
          <w:rFonts w:asciiTheme="majorHAnsi" w:hAnsiTheme="majorHAnsi" w:cs="Segoe UI"/>
          <w:color w:val="000000"/>
          <w:sz w:val="20"/>
          <w:szCs w:val="20"/>
          <w:lang w:val="en-GB"/>
        </w:rPr>
        <w:t>these three sectors</w:t>
      </w:r>
      <w:r w:rsidR="0044025D" w:rsidRPr="005722A6">
        <w:rPr>
          <w:rFonts w:asciiTheme="majorHAnsi" w:hAnsiTheme="majorHAnsi" w:cs="Segoe UI"/>
          <w:color w:val="000000"/>
          <w:sz w:val="20"/>
          <w:szCs w:val="20"/>
          <w:lang w:val="en-GB"/>
        </w:rPr>
        <w:t xml:space="preserve"> </w:t>
      </w:r>
      <w:r w:rsidR="007105DC" w:rsidRPr="005722A6">
        <w:rPr>
          <w:rFonts w:asciiTheme="majorHAnsi" w:hAnsiTheme="majorHAnsi" w:cs="Segoe UI"/>
          <w:color w:val="000000"/>
          <w:sz w:val="20"/>
          <w:szCs w:val="20"/>
          <w:lang w:val="en-GB"/>
        </w:rPr>
        <w:t xml:space="preserve"> depend </w:t>
      </w:r>
      <w:r w:rsidR="00EA13BB">
        <w:rPr>
          <w:rFonts w:asciiTheme="majorHAnsi" w:hAnsiTheme="majorHAnsi" w:cs="Segoe UI"/>
          <w:color w:val="000000"/>
          <w:sz w:val="20"/>
          <w:szCs w:val="20"/>
          <w:lang w:val="en-GB"/>
        </w:rPr>
        <w:t>are</w:t>
      </w:r>
      <w:r w:rsidR="007105DC" w:rsidRPr="005722A6">
        <w:rPr>
          <w:rFonts w:asciiTheme="majorHAnsi" w:hAnsiTheme="majorHAnsi" w:cs="Segoe UI"/>
          <w:color w:val="000000"/>
          <w:sz w:val="20"/>
          <w:szCs w:val="20"/>
          <w:lang w:val="en-GB"/>
        </w:rPr>
        <w:t xml:space="preserve"> </w:t>
      </w:r>
      <w:r w:rsidRPr="005722A6">
        <w:rPr>
          <w:rFonts w:asciiTheme="majorHAnsi" w:hAnsiTheme="majorHAnsi" w:cs="Segoe UI"/>
          <w:color w:val="000000"/>
          <w:sz w:val="20"/>
          <w:szCs w:val="20"/>
          <w:lang w:val="en-GB"/>
        </w:rPr>
        <w:t xml:space="preserve">especially vulnerable to such pressures. The </w:t>
      </w:r>
      <w:r w:rsidR="007105DC" w:rsidRPr="005722A6">
        <w:rPr>
          <w:rFonts w:asciiTheme="majorHAnsi" w:hAnsiTheme="majorHAnsi" w:cs="Segoe UI"/>
          <w:color w:val="000000"/>
          <w:sz w:val="20"/>
          <w:szCs w:val="20"/>
          <w:lang w:val="en-GB"/>
        </w:rPr>
        <w:t xml:space="preserve">Palau </w:t>
      </w:r>
      <w:r w:rsidRPr="005722A6">
        <w:rPr>
          <w:rFonts w:asciiTheme="majorHAnsi" w:hAnsiTheme="majorHAnsi" w:cs="Segoe UI"/>
          <w:color w:val="000000"/>
          <w:sz w:val="20"/>
          <w:szCs w:val="20"/>
          <w:lang w:val="en-GB"/>
        </w:rPr>
        <w:t xml:space="preserve">government has recognized the risks and opportunities of future </w:t>
      </w:r>
      <w:r w:rsidR="007105DC" w:rsidRPr="005722A6">
        <w:rPr>
          <w:rFonts w:asciiTheme="majorHAnsi" w:hAnsiTheme="majorHAnsi" w:cs="Segoe UI"/>
          <w:color w:val="000000"/>
          <w:sz w:val="20"/>
          <w:szCs w:val="20"/>
          <w:lang w:val="en-GB"/>
        </w:rPr>
        <w:t xml:space="preserve">tourism </w:t>
      </w:r>
      <w:r w:rsidRPr="005722A6">
        <w:rPr>
          <w:rFonts w:asciiTheme="majorHAnsi" w:hAnsiTheme="majorHAnsi" w:cs="Segoe UI"/>
          <w:color w:val="000000"/>
          <w:sz w:val="20"/>
          <w:szCs w:val="20"/>
          <w:lang w:val="en-GB"/>
        </w:rPr>
        <w:t xml:space="preserve">development for biodiversity conservation </w:t>
      </w:r>
      <w:r w:rsidR="007105DC" w:rsidRPr="005722A6">
        <w:rPr>
          <w:rFonts w:asciiTheme="majorHAnsi" w:hAnsiTheme="majorHAnsi" w:cs="Segoe UI"/>
          <w:color w:val="000000"/>
          <w:sz w:val="20"/>
          <w:szCs w:val="20"/>
          <w:lang w:val="en-GB"/>
        </w:rPr>
        <w:t xml:space="preserve">and </w:t>
      </w:r>
      <w:r w:rsidR="007105DC" w:rsidRPr="005722A6">
        <w:rPr>
          <w:rFonts w:asciiTheme="majorHAnsi" w:hAnsiTheme="majorHAnsi"/>
          <w:sz w:val="20"/>
          <w:szCs w:val="20"/>
        </w:rPr>
        <w:t xml:space="preserve">adopted a Responsible Tourism Framework in 2017 with the intent of pursuing a low impact, high value tourism approach to keep </w:t>
      </w:r>
      <w:r w:rsidR="005602CC">
        <w:rPr>
          <w:rFonts w:asciiTheme="majorHAnsi" w:hAnsiTheme="majorHAnsi"/>
          <w:sz w:val="20"/>
          <w:szCs w:val="20"/>
        </w:rPr>
        <w:t>visitor</w:t>
      </w:r>
      <w:r w:rsidR="007105DC" w:rsidRPr="005722A6">
        <w:rPr>
          <w:rFonts w:asciiTheme="majorHAnsi" w:hAnsiTheme="majorHAnsi"/>
          <w:sz w:val="20"/>
          <w:szCs w:val="20"/>
        </w:rPr>
        <w:t xml:space="preserve"> numbers manageable.</w:t>
      </w:r>
    </w:p>
    <w:p w14:paraId="432FA580" w14:textId="77777777" w:rsidR="00B87774" w:rsidRPr="005722A6" w:rsidRDefault="00B87774" w:rsidP="00B87774">
      <w:pPr>
        <w:widowControl w:val="0"/>
        <w:autoSpaceDE w:val="0"/>
        <w:autoSpaceDN w:val="0"/>
        <w:adjustRightInd w:val="0"/>
        <w:spacing w:after="0"/>
        <w:rPr>
          <w:rFonts w:asciiTheme="majorHAnsi" w:hAnsiTheme="majorHAnsi"/>
          <w:color w:val="000000"/>
          <w:sz w:val="20"/>
          <w:szCs w:val="20"/>
        </w:rPr>
      </w:pPr>
    </w:p>
    <w:p w14:paraId="15ED0A0D" w14:textId="19067815" w:rsidR="00B87774" w:rsidRPr="005722A6" w:rsidRDefault="00B87774" w:rsidP="00B87774">
      <w:pPr>
        <w:widowControl w:val="0"/>
        <w:autoSpaceDE w:val="0"/>
        <w:autoSpaceDN w:val="0"/>
        <w:adjustRightInd w:val="0"/>
        <w:spacing w:after="0"/>
        <w:rPr>
          <w:rFonts w:asciiTheme="majorHAnsi" w:hAnsiTheme="majorHAnsi"/>
          <w:sz w:val="20"/>
          <w:szCs w:val="20"/>
        </w:rPr>
      </w:pPr>
      <w:r w:rsidRPr="005722A6">
        <w:rPr>
          <w:rFonts w:asciiTheme="majorHAnsi" w:hAnsiTheme="majorHAnsi"/>
          <w:color w:val="000000"/>
          <w:sz w:val="20"/>
          <w:szCs w:val="20"/>
        </w:rPr>
        <w:t>Located at the northeastern edge of the Coral Triangle</w:t>
      </w:r>
      <w:r w:rsidR="003C68CA" w:rsidRPr="005722A6">
        <w:rPr>
          <w:rFonts w:asciiTheme="majorHAnsi" w:hAnsiTheme="majorHAnsi"/>
          <w:color w:val="000000"/>
          <w:sz w:val="20"/>
          <w:szCs w:val="20"/>
        </w:rPr>
        <w:t>, Palau</w:t>
      </w:r>
      <w:r w:rsidRPr="005722A6">
        <w:rPr>
          <w:rFonts w:asciiTheme="majorHAnsi" w:hAnsiTheme="majorHAnsi"/>
          <w:color w:val="000000"/>
          <w:sz w:val="20"/>
          <w:szCs w:val="20"/>
        </w:rPr>
        <w:t xml:space="preserve"> </w:t>
      </w:r>
      <w:r w:rsidR="003C68CA" w:rsidRPr="005722A6">
        <w:rPr>
          <w:rFonts w:asciiTheme="majorHAnsi" w:hAnsiTheme="majorHAnsi"/>
          <w:color w:val="000000"/>
          <w:sz w:val="20"/>
          <w:szCs w:val="20"/>
        </w:rPr>
        <w:t xml:space="preserve">is </w:t>
      </w:r>
      <w:r w:rsidRPr="005722A6">
        <w:rPr>
          <w:rFonts w:asciiTheme="majorHAnsi" w:hAnsiTheme="majorHAnsi"/>
          <w:color w:val="000000"/>
          <w:sz w:val="20"/>
          <w:szCs w:val="20"/>
        </w:rPr>
        <w:t>home to the greatest area of continuous native forest in Micronesia</w:t>
      </w:r>
      <w:r w:rsidR="003C68CA" w:rsidRPr="005722A6">
        <w:rPr>
          <w:rFonts w:asciiTheme="majorHAnsi" w:hAnsiTheme="majorHAnsi"/>
          <w:color w:val="000000"/>
          <w:sz w:val="20"/>
          <w:szCs w:val="20"/>
        </w:rPr>
        <w:t>.</w:t>
      </w:r>
      <w:r w:rsidRPr="005722A6">
        <w:rPr>
          <w:rFonts w:asciiTheme="majorHAnsi" w:hAnsiTheme="majorHAnsi"/>
          <w:color w:val="000000"/>
          <w:sz w:val="20"/>
          <w:szCs w:val="20"/>
        </w:rPr>
        <w:t xml:space="preserve"> Palau houses the most diverse terrestrial biodiversity in the Micronesia region and one of the most biologically diverse marine environments globally. Numerous island types from volcanic islands, atolls</w:t>
      </w:r>
      <w:r w:rsidR="00A000F6" w:rsidRPr="005722A6">
        <w:rPr>
          <w:rFonts w:asciiTheme="majorHAnsi" w:hAnsiTheme="majorHAnsi"/>
          <w:color w:val="000000"/>
          <w:sz w:val="20"/>
          <w:szCs w:val="20"/>
        </w:rPr>
        <w:t xml:space="preserve"> and</w:t>
      </w:r>
      <w:r w:rsidRPr="005722A6">
        <w:rPr>
          <w:rFonts w:asciiTheme="majorHAnsi" w:hAnsiTheme="majorHAnsi"/>
          <w:color w:val="000000"/>
          <w:sz w:val="20"/>
          <w:szCs w:val="20"/>
        </w:rPr>
        <w:t xml:space="preserve"> raised limestone to low coral islands provide a wide variety of habitats. Endemism in terrestrial habitats is high (&gt;1,000 endemic species). </w:t>
      </w:r>
      <w:r w:rsidR="00A000F6" w:rsidRPr="005722A6">
        <w:rPr>
          <w:rFonts w:asciiTheme="majorHAnsi" w:hAnsiTheme="majorHAnsi"/>
          <w:color w:val="000000"/>
          <w:sz w:val="20"/>
          <w:szCs w:val="20"/>
        </w:rPr>
        <w:t xml:space="preserve">Eighty two percent </w:t>
      </w:r>
      <w:r w:rsidRPr="005722A6">
        <w:rPr>
          <w:rFonts w:asciiTheme="majorHAnsi" w:hAnsiTheme="majorHAnsi"/>
          <w:color w:val="000000"/>
          <w:sz w:val="20"/>
          <w:szCs w:val="20"/>
        </w:rPr>
        <w:t xml:space="preserve">of Palau’s land area is forest, with about </w:t>
      </w:r>
      <w:r w:rsidR="00626D88" w:rsidRPr="005722A6">
        <w:rPr>
          <w:rFonts w:asciiTheme="majorHAnsi" w:hAnsiTheme="majorHAnsi"/>
          <w:color w:val="000000"/>
          <w:sz w:val="20"/>
          <w:szCs w:val="20"/>
        </w:rPr>
        <w:t xml:space="preserve">400 </w:t>
      </w:r>
      <w:r w:rsidRPr="005722A6">
        <w:rPr>
          <w:rFonts w:asciiTheme="majorHAnsi" w:hAnsiTheme="majorHAnsi"/>
          <w:color w:val="000000"/>
          <w:sz w:val="20"/>
          <w:szCs w:val="20"/>
        </w:rPr>
        <w:t>km</w:t>
      </w:r>
      <w:r w:rsidRPr="005722A6">
        <w:rPr>
          <w:rFonts w:asciiTheme="majorHAnsi" w:hAnsiTheme="majorHAnsi"/>
          <w:color w:val="000000"/>
          <w:sz w:val="20"/>
          <w:szCs w:val="20"/>
          <w:vertAlign w:val="superscript"/>
        </w:rPr>
        <w:t>2</w:t>
      </w:r>
      <w:r w:rsidRPr="005722A6">
        <w:rPr>
          <w:rFonts w:asciiTheme="majorHAnsi" w:hAnsiTheme="majorHAnsi"/>
          <w:color w:val="000000"/>
          <w:sz w:val="20"/>
          <w:szCs w:val="20"/>
        </w:rPr>
        <w:t xml:space="preserve"> of continuous native forest cover throughout the islands comprising nine forest types</w:t>
      </w:r>
      <w:r w:rsidR="00626D88" w:rsidRPr="005722A6">
        <w:rPr>
          <w:rFonts w:asciiTheme="majorHAnsi" w:hAnsiTheme="majorHAnsi"/>
          <w:color w:val="000000"/>
          <w:sz w:val="20"/>
          <w:szCs w:val="20"/>
        </w:rPr>
        <w:t>.</w:t>
      </w:r>
      <w:r w:rsidRPr="005722A6">
        <w:rPr>
          <w:rFonts w:asciiTheme="majorHAnsi" w:hAnsiTheme="majorHAnsi"/>
          <w:color w:val="000000"/>
          <w:sz w:val="20"/>
          <w:szCs w:val="20"/>
        </w:rPr>
        <w:t xml:space="preserve"> Palau has 860 recorded species of native plants, of which 194 </w:t>
      </w:r>
      <w:r w:rsidR="00A000F6" w:rsidRPr="005722A6">
        <w:rPr>
          <w:rFonts w:asciiTheme="majorHAnsi" w:hAnsiTheme="majorHAnsi"/>
          <w:color w:val="000000"/>
          <w:sz w:val="20"/>
          <w:szCs w:val="20"/>
        </w:rPr>
        <w:t xml:space="preserve">(23%) </w:t>
      </w:r>
      <w:r w:rsidRPr="005722A6">
        <w:rPr>
          <w:rFonts w:asciiTheme="majorHAnsi" w:hAnsiTheme="majorHAnsi"/>
          <w:color w:val="000000"/>
          <w:sz w:val="20"/>
          <w:szCs w:val="20"/>
        </w:rPr>
        <w:t>are endemic, including at least 50 endemic trees</w:t>
      </w:r>
      <w:r w:rsidRPr="005722A6">
        <w:rPr>
          <w:rStyle w:val="FootnoteReference"/>
          <w:rFonts w:asciiTheme="majorHAnsi" w:hAnsiTheme="majorHAnsi"/>
          <w:color w:val="000000"/>
          <w:sz w:val="20"/>
          <w:szCs w:val="20"/>
        </w:rPr>
        <w:footnoteReference w:id="1"/>
      </w:r>
      <w:r w:rsidRPr="005722A6">
        <w:rPr>
          <w:rFonts w:asciiTheme="majorHAnsi" w:hAnsiTheme="majorHAnsi"/>
          <w:color w:val="000000"/>
          <w:sz w:val="20"/>
          <w:szCs w:val="20"/>
        </w:rPr>
        <w:t xml:space="preserve">. At least 162 bird species </w:t>
      </w:r>
      <w:r w:rsidR="00A000F6" w:rsidRPr="005722A6">
        <w:rPr>
          <w:rFonts w:asciiTheme="majorHAnsi" w:hAnsiTheme="majorHAnsi"/>
          <w:color w:val="000000"/>
          <w:sz w:val="20"/>
          <w:szCs w:val="20"/>
        </w:rPr>
        <w:t>have been recorded</w:t>
      </w:r>
      <w:r w:rsidR="005602CC">
        <w:rPr>
          <w:rFonts w:asciiTheme="majorHAnsi" w:hAnsiTheme="majorHAnsi"/>
          <w:color w:val="000000"/>
          <w:sz w:val="20"/>
          <w:szCs w:val="20"/>
        </w:rPr>
        <w:t>,</w:t>
      </w:r>
      <w:r w:rsidR="00A000F6" w:rsidRPr="005722A6">
        <w:rPr>
          <w:rFonts w:asciiTheme="majorHAnsi" w:hAnsiTheme="majorHAnsi"/>
          <w:color w:val="000000"/>
          <w:sz w:val="20"/>
          <w:szCs w:val="20"/>
        </w:rPr>
        <w:t xml:space="preserve"> </w:t>
      </w:r>
      <w:r w:rsidRPr="005722A6">
        <w:rPr>
          <w:rFonts w:asciiTheme="majorHAnsi" w:hAnsiTheme="majorHAnsi"/>
          <w:color w:val="000000"/>
          <w:sz w:val="20"/>
          <w:szCs w:val="20"/>
        </w:rPr>
        <w:t>including 111 migratory birds and 51 resident species (of which 10 species and 6 sub-species are endemic</w:t>
      </w:r>
      <w:r w:rsidRPr="005722A6">
        <w:rPr>
          <w:rStyle w:val="FootnoteReference"/>
          <w:rFonts w:asciiTheme="majorHAnsi" w:hAnsiTheme="majorHAnsi"/>
          <w:color w:val="000000"/>
          <w:sz w:val="20"/>
          <w:szCs w:val="20"/>
        </w:rPr>
        <w:footnoteReference w:id="2"/>
      </w:r>
      <w:r w:rsidRPr="005722A6">
        <w:rPr>
          <w:rFonts w:asciiTheme="majorHAnsi" w:hAnsiTheme="majorHAnsi"/>
          <w:color w:val="000000"/>
          <w:sz w:val="20"/>
          <w:szCs w:val="20"/>
        </w:rPr>
        <w:t>)</w:t>
      </w:r>
      <w:r w:rsidR="00A000F6" w:rsidRPr="005722A6">
        <w:rPr>
          <w:rFonts w:asciiTheme="majorHAnsi" w:hAnsiTheme="majorHAnsi"/>
          <w:color w:val="000000"/>
          <w:sz w:val="20"/>
          <w:szCs w:val="20"/>
        </w:rPr>
        <w:t xml:space="preserve">. </w:t>
      </w:r>
      <w:r w:rsidR="005602CC">
        <w:rPr>
          <w:rFonts w:asciiTheme="majorHAnsi" w:hAnsiTheme="majorHAnsi"/>
          <w:color w:val="000000"/>
          <w:sz w:val="20"/>
          <w:szCs w:val="20"/>
        </w:rPr>
        <w:t>L</w:t>
      </w:r>
      <w:r w:rsidR="005602CC" w:rsidRPr="005722A6">
        <w:rPr>
          <w:rFonts w:asciiTheme="majorHAnsi" w:hAnsiTheme="majorHAnsi"/>
          <w:color w:val="000000"/>
          <w:sz w:val="20"/>
          <w:szCs w:val="20"/>
        </w:rPr>
        <w:t xml:space="preserve">and snails </w:t>
      </w:r>
      <w:r w:rsidR="00A70B36">
        <w:rPr>
          <w:rFonts w:asciiTheme="majorHAnsi" w:hAnsiTheme="majorHAnsi"/>
          <w:color w:val="000000"/>
          <w:sz w:val="20"/>
          <w:szCs w:val="20"/>
        </w:rPr>
        <w:t xml:space="preserve">total </w:t>
      </w:r>
      <w:r w:rsidRPr="005722A6">
        <w:rPr>
          <w:rFonts w:asciiTheme="majorHAnsi" w:hAnsiTheme="majorHAnsi"/>
          <w:color w:val="000000"/>
          <w:sz w:val="20"/>
          <w:szCs w:val="20"/>
        </w:rPr>
        <w:t>up to 200 species</w:t>
      </w:r>
      <w:r w:rsidR="00A70B36">
        <w:rPr>
          <w:rFonts w:asciiTheme="majorHAnsi" w:hAnsiTheme="majorHAnsi"/>
          <w:color w:val="000000"/>
          <w:sz w:val="20"/>
          <w:szCs w:val="20"/>
        </w:rPr>
        <w:t>,</w:t>
      </w:r>
      <w:r w:rsidRPr="005722A6">
        <w:rPr>
          <w:rFonts w:asciiTheme="majorHAnsi" w:hAnsiTheme="majorHAnsi"/>
          <w:color w:val="000000"/>
          <w:sz w:val="20"/>
          <w:szCs w:val="20"/>
        </w:rPr>
        <w:t xml:space="preserve"> of</w:t>
      </w:r>
      <w:r w:rsidR="00A70B36">
        <w:rPr>
          <w:rFonts w:asciiTheme="majorHAnsi" w:hAnsiTheme="majorHAnsi"/>
          <w:color w:val="000000"/>
          <w:sz w:val="20"/>
          <w:szCs w:val="20"/>
        </w:rPr>
        <w:t xml:space="preserve"> which</w:t>
      </w:r>
      <w:r w:rsidRPr="005722A6">
        <w:rPr>
          <w:rFonts w:asciiTheme="majorHAnsi" w:hAnsiTheme="majorHAnsi"/>
          <w:color w:val="000000"/>
          <w:sz w:val="20"/>
          <w:szCs w:val="20"/>
        </w:rPr>
        <w:t xml:space="preserve">, 95% are endemic. </w:t>
      </w:r>
      <w:r w:rsidRPr="005722A6">
        <w:rPr>
          <w:rFonts w:asciiTheme="majorHAnsi" w:hAnsiTheme="majorHAnsi"/>
          <w:sz w:val="20"/>
          <w:szCs w:val="20"/>
        </w:rPr>
        <w:t xml:space="preserve">Palau’s diverse fauna of insects and their kin </w:t>
      </w:r>
      <w:r w:rsidR="00A000F6" w:rsidRPr="005722A6">
        <w:rPr>
          <w:rFonts w:asciiTheme="majorHAnsi" w:hAnsiTheme="majorHAnsi"/>
          <w:sz w:val="20"/>
          <w:szCs w:val="20"/>
        </w:rPr>
        <w:t xml:space="preserve">represent </w:t>
      </w:r>
      <w:r w:rsidRPr="005722A6">
        <w:rPr>
          <w:rFonts w:asciiTheme="majorHAnsi" w:hAnsiTheme="majorHAnsi"/>
          <w:sz w:val="20"/>
          <w:szCs w:val="20"/>
        </w:rPr>
        <w:t>31 major groups of arthropods</w:t>
      </w:r>
      <w:r w:rsidR="00A70B36">
        <w:rPr>
          <w:rFonts w:asciiTheme="majorHAnsi" w:hAnsiTheme="majorHAnsi"/>
          <w:sz w:val="20"/>
          <w:szCs w:val="20"/>
        </w:rPr>
        <w:t>,</w:t>
      </w:r>
      <w:r w:rsidRPr="005722A6">
        <w:rPr>
          <w:rFonts w:asciiTheme="majorHAnsi" w:hAnsiTheme="majorHAnsi"/>
          <w:sz w:val="20"/>
          <w:szCs w:val="20"/>
        </w:rPr>
        <w:t xml:space="preserve"> </w:t>
      </w:r>
      <w:r w:rsidR="00A000F6" w:rsidRPr="005722A6">
        <w:rPr>
          <w:rFonts w:asciiTheme="majorHAnsi" w:hAnsiTheme="majorHAnsi"/>
          <w:sz w:val="20"/>
          <w:szCs w:val="20"/>
        </w:rPr>
        <w:t xml:space="preserve">comprising an </w:t>
      </w:r>
      <w:r w:rsidRPr="005722A6">
        <w:rPr>
          <w:rFonts w:asciiTheme="majorHAnsi" w:hAnsiTheme="majorHAnsi"/>
          <w:sz w:val="20"/>
          <w:szCs w:val="20"/>
        </w:rPr>
        <w:t xml:space="preserve">estimated at 5,000 species </w:t>
      </w:r>
      <w:r w:rsidR="00A000F6" w:rsidRPr="005722A6">
        <w:rPr>
          <w:rFonts w:asciiTheme="majorHAnsi" w:hAnsiTheme="majorHAnsi"/>
          <w:sz w:val="20"/>
          <w:szCs w:val="20"/>
        </w:rPr>
        <w:t>of which over</w:t>
      </w:r>
      <w:r w:rsidRPr="005722A6">
        <w:rPr>
          <w:rFonts w:asciiTheme="majorHAnsi" w:hAnsiTheme="majorHAnsi"/>
          <w:sz w:val="20"/>
          <w:szCs w:val="20"/>
        </w:rPr>
        <w:t xml:space="preserve"> 300</w:t>
      </w:r>
      <w:r w:rsidR="00300C09">
        <w:rPr>
          <w:rFonts w:asciiTheme="majorHAnsi" w:hAnsiTheme="majorHAnsi"/>
          <w:sz w:val="20"/>
          <w:szCs w:val="20"/>
        </w:rPr>
        <w:t xml:space="preserve"> are endemic</w:t>
      </w:r>
      <w:r w:rsidR="00A000F6" w:rsidRPr="005722A6">
        <w:rPr>
          <w:rFonts w:asciiTheme="majorHAnsi" w:hAnsiTheme="majorHAnsi"/>
          <w:sz w:val="20"/>
          <w:szCs w:val="20"/>
        </w:rPr>
        <w:t xml:space="preserve">. </w:t>
      </w:r>
      <w:r w:rsidRPr="005722A6">
        <w:rPr>
          <w:rFonts w:asciiTheme="majorHAnsi" w:hAnsiTheme="majorHAnsi"/>
          <w:sz w:val="20"/>
          <w:szCs w:val="20"/>
        </w:rPr>
        <w:t xml:space="preserve">Palau has 40 </w:t>
      </w:r>
      <w:r w:rsidR="00A000F6" w:rsidRPr="005722A6">
        <w:rPr>
          <w:rFonts w:asciiTheme="majorHAnsi" w:hAnsiTheme="majorHAnsi"/>
          <w:sz w:val="20"/>
          <w:szCs w:val="20"/>
        </w:rPr>
        <w:t xml:space="preserve">native </w:t>
      </w:r>
      <w:r w:rsidRPr="005722A6">
        <w:rPr>
          <w:rFonts w:asciiTheme="majorHAnsi" w:hAnsiTheme="majorHAnsi"/>
          <w:sz w:val="20"/>
          <w:szCs w:val="20"/>
        </w:rPr>
        <w:t>species of reptiles, including four sea turtle</w:t>
      </w:r>
      <w:r w:rsidR="00A70B36">
        <w:rPr>
          <w:rFonts w:asciiTheme="majorHAnsi" w:hAnsiTheme="majorHAnsi"/>
          <w:sz w:val="20"/>
          <w:szCs w:val="20"/>
        </w:rPr>
        <w:t>s</w:t>
      </w:r>
      <w:r w:rsidRPr="005722A6">
        <w:rPr>
          <w:rFonts w:asciiTheme="majorHAnsi" w:hAnsiTheme="majorHAnsi"/>
          <w:sz w:val="20"/>
          <w:szCs w:val="20"/>
        </w:rPr>
        <w:t>, seven snake</w:t>
      </w:r>
      <w:r w:rsidR="00A70B36">
        <w:rPr>
          <w:rFonts w:asciiTheme="majorHAnsi" w:hAnsiTheme="majorHAnsi"/>
          <w:sz w:val="20"/>
          <w:szCs w:val="20"/>
        </w:rPr>
        <w:t>s</w:t>
      </w:r>
      <w:r w:rsidRPr="005722A6">
        <w:rPr>
          <w:rFonts w:asciiTheme="majorHAnsi" w:hAnsiTheme="majorHAnsi"/>
          <w:sz w:val="20"/>
          <w:szCs w:val="20"/>
        </w:rPr>
        <w:t xml:space="preserve">, </w:t>
      </w:r>
      <w:r w:rsidR="00A000F6" w:rsidRPr="005722A6">
        <w:rPr>
          <w:rFonts w:asciiTheme="majorHAnsi" w:hAnsiTheme="majorHAnsi"/>
          <w:sz w:val="20"/>
          <w:szCs w:val="20"/>
        </w:rPr>
        <w:t xml:space="preserve">30 </w:t>
      </w:r>
      <w:r w:rsidRPr="005722A6">
        <w:rPr>
          <w:rFonts w:asciiTheme="majorHAnsi" w:hAnsiTheme="majorHAnsi"/>
          <w:sz w:val="20"/>
          <w:szCs w:val="20"/>
        </w:rPr>
        <w:t>lizard</w:t>
      </w:r>
      <w:r w:rsidR="00A70B36">
        <w:rPr>
          <w:rFonts w:asciiTheme="majorHAnsi" w:hAnsiTheme="majorHAnsi"/>
          <w:sz w:val="20"/>
          <w:szCs w:val="20"/>
        </w:rPr>
        <w:t>s</w:t>
      </w:r>
      <w:r w:rsidRPr="005722A6">
        <w:rPr>
          <w:rFonts w:asciiTheme="majorHAnsi" w:hAnsiTheme="majorHAnsi"/>
          <w:sz w:val="20"/>
          <w:szCs w:val="20"/>
        </w:rPr>
        <w:t xml:space="preserve"> and one crocodile species. Endemic reptiles include the Palau blind snake</w:t>
      </w:r>
      <w:r w:rsidR="00300C09">
        <w:rPr>
          <w:rFonts w:asciiTheme="majorHAnsi" w:hAnsiTheme="majorHAnsi"/>
          <w:sz w:val="20"/>
          <w:szCs w:val="20"/>
        </w:rPr>
        <w:t xml:space="preserve"> (</w:t>
      </w:r>
      <w:r w:rsidR="00300C09">
        <w:rPr>
          <w:rFonts w:asciiTheme="majorHAnsi" w:hAnsiTheme="majorHAnsi"/>
          <w:i/>
          <w:sz w:val="20"/>
          <w:szCs w:val="20"/>
        </w:rPr>
        <w:t>Ramphotyphlops acuticauda</w:t>
      </w:r>
      <w:r w:rsidR="00300C09">
        <w:rPr>
          <w:rFonts w:asciiTheme="majorHAnsi" w:hAnsiTheme="majorHAnsi"/>
          <w:sz w:val="20"/>
          <w:szCs w:val="20"/>
        </w:rPr>
        <w:t>)</w:t>
      </w:r>
      <w:r w:rsidRPr="005722A6">
        <w:rPr>
          <w:rFonts w:asciiTheme="majorHAnsi" w:hAnsiTheme="majorHAnsi"/>
          <w:sz w:val="20"/>
          <w:szCs w:val="20"/>
        </w:rPr>
        <w:t xml:space="preserve">, Palau Bevel-nosed Boa </w:t>
      </w:r>
      <w:r w:rsidR="00300C09">
        <w:rPr>
          <w:rFonts w:asciiTheme="majorHAnsi" w:hAnsiTheme="majorHAnsi"/>
          <w:sz w:val="20"/>
          <w:szCs w:val="20"/>
        </w:rPr>
        <w:t>(</w:t>
      </w:r>
      <w:r w:rsidR="00300C09">
        <w:rPr>
          <w:rFonts w:asciiTheme="majorHAnsi" w:hAnsiTheme="majorHAnsi"/>
          <w:i/>
          <w:sz w:val="20"/>
          <w:szCs w:val="20"/>
        </w:rPr>
        <w:t xml:space="preserve">Candoia </w:t>
      </w:r>
      <w:r w:rsidR="00300C09" w:rsidRPr="005461CA">
        <w:rPr>
          <w:rFonts w:asciiTheme="majorHAnsi" w:hAnsiTheme="majorHAnsi"/>
          <w:sz w:val="20"/>
          <w:szCs w:val="20"/>
        </w:rPr>
        <w:t>superciliosa</w:t>
      </w:r>
      <w:r w:rsidR="00300C09">
        <w:rPr>
          <w:rFonts w:asciiTheme="majorHAnsi" w:hAnsiTheme="majorHAnsi"/>
          <w:sz w:val="20"/>
          <w:szCs w:val="20"/>
        </w:rPr>
        <w:t xml:space="preserve">) </w:t>
      </w:r>
      <w:r w:rsidRPr="00300C09">
        <w:rPr>
          <w:rFonts w:asciiTheme="majorHAnsi" w:hAnsiTheme="majorHAnsi"/>
          <w:sz w:val="20"/>
          <w:szCs w:val="20"/>
        </w:rPr>
        <w:t>and</w:t>
      </w:r>
      <w:r w:rsidRPr="005722A6">
        <w:rPr>
          <w:rFonts w:asciiTheme="majorHAnsi" w:hAnsiTheme="majorHAnsi"/>
          <w:sz w:val="20"/>
          <w:szCs w:val="20"/>
        </w:rPr>
        <w:t xml:space="preserve"> nine endemic lizards. </w:t>
      </w:r>
      <w:r w:rsidR="00626D88" w:rsidRPr="005722A6">
        <w:rPr>
          <w:rFonts w:asciiTheme="majorHAnsi" w:hAnsiTheme="majorHAnsi"/>
          <w:sz w:val="20"/>
          <w:szCs w:val="20"/>
        </w:rPr>
        <w:t xml:space="preserve">The </w:t>
      </w:r>
      <w:r w:rsidR="00A70B36">
        <w:rPr>
          <w:rFonts w:asciiTheme="majorHAnsi" w:hAnsiTheme="majorHAnsi"/>
          <w:sz w:val="20"/>
          <w:szCs w:val="20"/>
        </w:rPr>
        <w:t xml:space="preserve">endemic </w:t>
      </w:r>
      <w:r w:rsidR="00626D88" w:rsidRPr="005722A6">
        <w:rPr>
          <w:rFonts w:asciiTheme="majorHAnsi" w:hAnsiTheme="majorHAnsi"/>
          <w:sz w:val="20"/>
          <w:szCs w:val="20"/>
        </w:rPr>
        <w:t xml:space="preserve">Palauan frog, </w:t>
      </w:r>
      <w:r w:rsidR="00626D88" w:rsidRPr="005722A6">
        <w:rPr>
          <w:rFonts w:asciiTheme="majorHAnsi" w:hAnsiTheme="majorHAnsi"/>
          <w:i/>
          <w:iCs/>
          <w:sz w:val="20"/>
          <w:szCs w:val="20"/>
        </w:rPr>
        <w:t>Platymantis pelewensis</w:t>
      </w:r>
      <w:r w:rsidR="00626D88" w:rsidRPr="005722A6">
        <w:rPr>
          <w:rFonts w:asciiTheme="majorHAnsi" w:hAnsiTheme="majorHAnsi"/>
          <w:sz w:val="20"/>
          <w:szCs w:val="20"/>
        </w:rPr>
        <w:t xml:space="preserve">, is the only amphibian. </w:t>
      </w:r>
      <w:r w:rsidRPr="005722A6">
        <w:rPr>
          <w:rFonts w:asciiTheme="majorHAnsi" w:hAnsiTheme="majorHAnsi"/>
          <w:sz w:val="20"/>
          <w:szCs w:val="20"/>
        </w:rPr>
        <w:t xml:space="preserve">Palau’s two native terrestrial species of mammals are both </w:t>
      </w:r>
      <w:r w:rsidR="00626D88" w:rsidRPr="005722A6">
        <w:rPr>
          <w:rFonts w:asciiTheme="majorHAnsi" w:hAnsiTheme="majorHAnsi"/>
          <w:sz w:val="20"/>
          <w:szCs w:val="20"/>
        </w:rPr>
        <w:t>globally</w:t>
      </w:r>
      <w:r w:rsidR="00A70B36">
        <w:rPr>
          <w:rFonts w:asciiTheme="majorHAnsi" w:hAnsiTheme="majorHAnsi"/>
          <w:sz w:val="20"/>
          <w:szCs w:val="20"/>
        </w:rPr>
        <w:t xml:space="preserve"> </w:t>
      </w:r>
      <w:r w:rsidR="00626D88" w:rsidRPr="005722A6">
        <w:rPr>
          <w:rFonts w:asciiTheme="majorHAnsi" w:hAnsiTheme="majorHAnsi"/>
          <w:sz w:val="20"/>
          <w:szCs w:val="20"/>
        </w:rPr>
        <w:t>endangered</w:t>
      </w:r>
      <w:r w:rsidR="00A70B36">
        <w:rPr>
          <w:rFonts w:asciiTheme="majorHAnsi" w:hAnsiTheme="majorHAnsi"/>
          <w:sz w:val="20"/>
          <w:szCs w:val="20"/>
        </w:rPr>
        <w:t>: the</w:t>
      </w:r>
      <w:r w:rsidR="00A000F6" w:rsidRPr="005722A6">
        <w:rPr>
          <w:rFonts w:asciiTheme="majorHAnsi" w:hAnsiTheme="majorHAnsi"/>
          <w:sz w:val="20"/>
          <w:szCs w:val="20"/>
        </w:rPr>
        <w:t xml:space="preserve"> </w:t>
      </w:r>
      <w:r w:rsidRPr="005722A6">
        <w:rPr>
          <w:rFonts w:asciiTheme="majorHAnsi" w:hAnsiTheme="majorHAnsi"/>
          <w:sz w:val="20"/>
          <w:szCs w:val="20"/>
        </w:rPr>
        <w:t>endemic Palau sub-species of the Marianas fruit bat (</w:t>
      </w:r>
      <w:r w:rsidRPr="005722A6">
        <w:rPr>
          <w:rFonts w:asciiTheme="majorHAnsi" w:hAnsiTheme="majorHAnsi"/>
          <w:i/>
          <w:iCs/>
          <w:sz w:val="20"/>
          <w:szCs w:val="20"/>
        </w:rPr>
        <w:t>Pteropus mariannus pelewensis</w:t>
      </w:r>
      <w:r w:rsidRPr="005722A6">
        <w:rPr>
          <w:rFonts w:asciiTheme="majorHAnsi" w:hAnsiTheme="majorHAnsi"/>
          <w:sz w:val="20"/>
          <w:szCs w:val="20"/>
        </w:rPr>
        <w:t xml:space="preserve">) and the Palau sub-species of the </w:t>
      </w:r>
      <w:r w:rsidR="00A70B36">
        <w:rPr>
          <w:rFonts w:asciiTheme="majorHAnsi" w:hAnsiTheme="majorHAnsi"/>
          <w:sz w:val="20"/>
          <w:szCs w:val="20"/>
        </w:rPr>
        <w:t>s</w:t>
      </w:r>
      <w:r w:rsidRPr="005722A6">
        <w:rPr>
          <w:rFonts w:asciiTheme="majorHAnsi" w:hAnsiTheme="majorHAnsi"/>
          <w:sz w:val="20"/>
          <w:szCs w:val="20"/>
        </w:rPr>
        <w:t xml:space="preserve">heath-tailed </w:t>
      </w:r>
      <w:r w:rsidR="00A70B36">
        <w:rPr>
          <w:rFonts w:asciiTheme="majorHAnsi" w:hAnsiTheme="majorHAnsi"/>
          <w:sz w:val="20"/>
          <w:szCs w:val="20"/>
        </w:rPr>
        <w:t>b</w:t>
      </w:r>
      <w:r w:rsidRPr="005722A6">
        <w:rPr>
          <w:rFonts w:asciiTheme="majorHAnsi" w:hAnsiTheme="majorHAnsi"/>
          <w:sz w:val="20"/>
          <w:szCs w:val="20"/>
        </w:rPr>
        <w:t>at (</w:t>
      </w:r>
      <w:r w:rsidRPr="005722A6">
        <w:rPr>
          <w:rFonts w:asciiTheme="majorHAnsi" w:hAnsiTheme="majorHAnsi"/>
          <w:i/>
          <w:iCs/>
          <w:sz w:val="20"/>
          <w:szCs w:val="20"/>
        </w:rPr>
        <w:t>Emballanura semicaudata palauensis</w:t>
      </w:r>
      <w:r w:rsidRPr="005722A6">
        <w:rPr>
          <w:rFonts w:asciiTheme="majorHAnsi" w:hAnsiTheme="majorHAnsi"/>
          <w:sz w:val="20"/>
          <w:szCs w:val="20"/>
        </w:rPr>
        <w:t xml:space="preserve">). </w:t>
      </w:r>
    </w:p>
    <w:p w14:paraId="41A75370" w14:textId="77777777" w:rsidR="00B87774" w:rsidRPr="005722A6" w:rsidRDefault="00B87774" w:rsidP="00B87774">
      <w:pPr>
        <w:widowControl w:val="0"/>
        <w:autoSpaceDE w:val="0"/>
        <w:autoSpaceDN w:val="0"/>
        <w:adjustRightInd w:val="0"/>
        <w:spacing w:after="0"/>
        <w:rPr>
          <w:rFonts w:asciiTheme="majorHAnsi" w:hAnsiTheme="majorHAnsi"/>
          <w:sz w:val="20"/>
          <w:szCs w:val="20"/>
        </w:rPr>
      </w:pPr>
    </w:p>
    <w:p w14:paraId="4B38CACD" w14:textId="375EE604" w:rsidR="00B87774" w:rsidRPr="005722A6" w:rsidRDefault="00B87774" w:rsidP="00B87774">
      <w:pPr>
        <w:widowControl w:val="0"/>
        <w:autoSpaceDE w:val="0"/>
        <w:autoSpaceDN w:val="0"/>
        <w:adjustRightInd w:val="0"/>
        <w:spacing w:after="0"/>
        <w:rPr>
          <w:rFonts w:asciiTheme="majorHAnsi" w:hAnsiTheme="majorHAnsi"/>
          <w:sz w:val="20"/>
          <w:szCs w:val="20"/>
        </w:rPr>
      </w:pPr>
      <w:r w:rsidRPr="005722A6">
        <w:rPr>
          <w:rFonts w:asciiTheme="majorHAnsi" w:hAnsiTheme="majorHAnsi"/>
          <w:sz w:val="20"/>
          <w:szCs w:val="20"/>
        </w:rPr>
        <w:t>Palau’s forests, including mangroves, provide vital ecological services that help maintain the health and integrity of all terrestrial and marine ecosystems through, for example, sediment trapping, climate stability, nurseries for reef fish, soil production and conservation</w:t>
      </w:r>
      <w:r w:rsidR="00F7334F" w:rsidRPr="005722A6">
        <w:rPr>
          <w:rFonts w:asciiTheme="majorHAnsi" w:hAnsiTheme="majorHAnsi"/>
          <w:sz w:val="20"/>
          <w:szCs w:val="20"/>
        </w:rPr>
        <w:t>,</w:t>
      </w:r>
      <w:r w:rsidRPr="005722A6">
        <w:rPr>
          <w:rFonts w:asciiTheme="majorHAnsi" w:hAnsiTheme="majorHAnsi"/>
          <w:sz w:val="20"/>
          <w:szCs w:val="20"/>
        </w:rPr>
        <w:t xml:space="preserve"> and as watersheds.</w:t>
      </w:r>
      <w:r w:rsidRPr="005722A6">
        <w:rPr>
          <w:rFonts w:asciiTheme="majorHAnsi" w:hAnsiTheme="majorHAnsi"/>
          <w:color w:val="000000"/>
          <w:sz w:val="20"/>
          <w:szCs w:val="20"/>
        </w:rPr>
        <w:t xml:space="preserve"> </w:t>
      </w:r>
      <w:r w:rsidRPr="005722A6">
        <w:rPr>
          <w:rFonts w:asciiTheme="majorHAnsi" w:hAnsiTheme="majorHAnsi"/>
          <w:sz w:val="20"/>
          <w:szCs w:val="20"/>
        </w:rPr>
        <w:t>Palau is renowned for its marine life</w:t>
      </w:r>
      <w:r w:rsidR="00A70B36">
        <w:rPr>
          <w:rFonts w:asciiTheme="majorHAnsi" w:hAnsiTheme="majorHAnsi"/>
          <w:sz w:val="20"/>
          <w:szCs w:val="20"/>
        </w:rPr>
        <w:t>:</w:t>
      </w:r>
      <w:r w:rsidR="00A000F6" w:rsidRPr="005722A6">
        <w:rPr>
          <w:rFonts w:asciiTheme="majorHAnsi" w:hAnsiTheme="majorHAnsi"/>
          <w:sz w:val="20"/>
          <w:szCs w:val="20"/>
        </w:rPr>
        <w:t xml:space="preserve"> </w:t>
      </w:r>
      <w:r w:rsidR="00F7334F" w:rsidRPr="005722A6">
        <w:rPr>
          <w:rFonts w:asciiTheme="majorHAnsi" w:hAnsiTheme="majorHAnsi"/>
          <w:sz w:val="20"/>
          <w:szCs w:val="20"/>
        </w:rPr>
        <w:t>pristine</w:t>
      </w:r>
      <w:r w:rsidRPr="005722A6">
        <w:rPr>
          <w:rFonts w:asciiTheme="majorHAnsi" w:hAnsiTheme="majorHAnsi"/>
          <w:sz w:val="20"/>
          <w:szCs w:val="20"/>
        </w:rPr>
        <w:t xml:space="preserve"> reefs </w:t>
      </w:r>
      <w:r w:rsidR="00A000F6" w:rsidRPr="005722A6">
        <w:rPr>
          <w:rFonts w:asciiTheme="majorHAnsi" w:hAnsiTheme="majorHAnsi"/>
          <w:sz w:val="20"/>
          <w:szCs w:val="20"/>
        </w:rPr>
        <w:t xml:space="preserve">of </w:t>
      </w:r>
      <w:r w:rsidRPr="005722A6">
        <w:rPr>
          <w:rFonts w:asciiTheme="majorHAnsi" w:hAnsiTheme="majorHAnsi"/>
          <w:sz w:val="20"/>
          <w:szCs w:val="20"/>
        </w:rPr>
        <w:t>approximate</w:t>
      </w:r>
      <w:r w:rsidR="00A000F6" w:rsidRPr="005722A6">
        <w:rPr>
          <w:rFonts w:asciiTheme="majorHAnsi" w:hAnsiTheme="majorHAnsi"/>
          <w:sz w:val="20"/>
          <w:szCs w:val="20"/>
        </w:rPr>
        <w:t>ly</w:t>
      </w:r>
      <w:r w:rsidRPr="005722A6">
        <w:rPr>
          <w:rFonts w:asciiTheme="majorHAnsi" w:hAnsiTheme="majorHAnsi"/>
          <w:sz w:val="20"/>
          <w:szCs w:val="20"/>
        </w:rPr>
        <w:t xml:space="preserve"> 82</w:t>
      </w:r>
      <w:r w:rsidR="00F7334F" w:rsidRPr="005722A6">
        <w:rPr>
          <w:rFonts w:asciiTheme="majorHAnsi" w:hAnsiTheme="majorHAnsi"/>
          <w:sz w:val="20"/>
          <w:szCs w:val="20"/>
        </w:rPr>
        <w:t xml:space="preserve">2 </w:t>
      </w:r>
      <w:r w:rsidRPr="005722A6">
        <w:rPr>
          <w:rFonts w:asciiTheme="majorHAnsi" w:hAnsiTheme="majorHAnsi"/>
          <w:sz w:val="20"/>
          <w:szCs w:val="20"/>
        </w:rPr>
        <w:t>km</w:t>
      </w:r>
      <w:r w:rsidRPr="005722A6">
        <w:rPr>
          <w:rFonts w:asciiTheme="majorHAnsi" w:hAnsiTheme="majorHAnsi"/>
          <w:sz w:val="20"/>
          <w:szCs w:val="20"/>
          <w:vertAlign w:val="superscript"/>
        </w:rPr>
        <w:t>2</w:t>
      </w:r>
      <w:r w:rsidRPr="005722A6">
        <w:rPr>
          <w:rFonts w:asciiTheme="majorHAnsi" w:hAnsiTheme="majorHAnsi"/>
          <w:sz w:val="20"/>
          <w:szCs w:val="20"/>
        </w:rPr>
        <w:t xml:space="preserve"> enclose a 1,13</w:t>
      </w:r>
      <w:r w:rsidR="00F7334F" w:rsidRPr="005722A6">
        <w:rPr>
          <w:rFonts w:asciiTheme="majorHAnsi" w:hAnsiTheme="majorHAnsi"/>
          <w:sz w:val="20"/>
          <w:szCs w:val="20"/>
        </w:rPr>
        <w:t>7</w:t>
      </w:r>
      <w:r w:rsidRPr="005722A6">
        <w:rPr>
          <w:rFonts w:asciiTheme="majorHAnsi" w:hAnsiTheme="majorHAnsi"/>
          <w:sz w:val="20"/>
          <w:szCs w:val="20"/>
        </w:rPr>
        <w:t xml:space="preserve"> km</w:t>
      </w:r>
      <w:r w:rsidRPr="005722A6">
        <w:rPr>
          <w:rFonts w:asciiTheme="majorHAnsi" w:hAnsiTheme="majorHAnsi"/>
          <w:sz w:val="20"/>
          <w:szCs w:val="20"/>
          <w:vertAlign w:val="superscript"/>
        </w:rPr>
        <w:t>2</w:t>
      </w:r>
      <w:r w:rsidRPr="005722A6">
        <w:rPr>
          <w:rFonts w:asciiTheme="majorHAnsi" w:hAnsiTheme="majorHAnsi"/>
          <w:sz w:val="20"/>
          <w:szCs w:val="20"/>
        </w:rPr>
        <w:t xml:space="preserve"> </w:t>
      </w:r>
      <w:r w:rsidR="00A70B36" w:rsidRPr="005722A6">
        <w:rPr>
          <w:rFonts w:asciiTheme="majorHAnsi" w:hAnsiTheme="majorHAnsi"/>
          <w:sz w:val="20"/>
          <w:szCs w:val="20"/>
        </w:rPr>
        <w:t xml:space="preserve">lagoon </w:t>
      </w:r>
      <w:r w:rsidRPr="005722A6">
        <w:rPr>
          <w:rFonts w:asciiTheme="majorHAnsi" w:hAnsiTheme="majorHAnsi"/>
          <w:sz w:val="20"/>
          <w:szCs w:val="20"/>
        </w:rPr>
        <w:t xml:space="preserve">and comprise numerous reef types, including barrier, fringing, patch and atoll reefs. Palau has extensive </w:t>
      </w:r>
      <w:r w:rsidR="00F7334F" w:rsidRPr="005722A6">
        <w:rPr>
          <w:rFonts w:asciiTheme="majorHAnsi" w:hAnsiTheme="majorHAnsi"/>
          <w:sz w:val="20"/>
          <w:szCs w:val="20"/>
        </w:rPr>
        <w:t xml:space="preserve">mangroves, </w:t>
      </w:r>
      <w:r w:rsidRPr="005722A6">
        <w:rPr>
          <w:rFonts w:asciiTheme="majorHAnsi" w:hAnsiTheme="majorHAnsi"/>
          <w:sz w:val="20"/>
          <w:szCs w:val="20"/>
        </w:rPr>
        <w:t xml:space="preserve">seagrass beds, deep algal beds, mud basins, current-swept lagoon bottoms, rich tidal channels and anoxic basins. These habitats are home to diverse and abundant marine life, with more than 1,500 species of shallow water (&lt;200m) fish and over 500 species of hard and soft corals reported. These include many threatened reef fish and coral species, such as the globally </w:t>
      </w:r>
      <w:r w:rsidR="00EC0AE2">
        <w:rPr>
          <w:rFonts w:asciiTheme="majorHAnsi" w:hAnsiTheme="majorHAnsi"/>
          <w:sz w:val="20"/>
          <w:szCs w:val="20"/>
        </w:rPr>
        <w:t>e</w:t>
      </w:r>
      <w:r w:rsidRPr="005722A6">
        <w:rPr>
          <w:rFonts w:asciiTheme="majorHAnsi" w:hAnsiTheme="majorHAnsi"/>
          <w:sz w:val="20"/>
          <w:szCs w:val="20"/>
        </w:rPr>
        <w:t xml:space="preserve">ndangered humphead wrasse </w:t>
      </w:r>
      <w:r w:rsidRPr="005722A6">
        <w:rPr>
          <w:rFonts w:asciiTheme="majorHAnsi" w:hAnsiTheme="majorHAnsi"/>
          <w:i/>
          <w:iCs/>
          <w:sz w:val="20"/>
          <w:szCs w:val="20"/>
        </w:rPr>
        <w:t>Cheilinus undulatus</w:t>
      </w:r>
      <w:r w:rsidRPr="005722A6">
        <w:rPr>
          <w:rFonts w:asciiTheme="majorHAnsi" w:hAnsiTheme="majorHAnsi"/>
          <w:sz w:val="20"/>
          <w:szCs w:val="20"/>
        </w:rPr>
        <w:t xml:space="preserve">, </w:t>
      </w:r>
      <w:r w:rsidR="00EC0AE2">
        <w:rPr>
          <w:rFonts w:asciiTheme="majorHAnsi" w:hAnsiTheme="majorHAnsi"/>
          <w:sz w:val="20"/>
          <w:szCs w:val="20"/>
        </w:rPr>
        <w:t>v</w:t>
      </w:r>
      <w:r w:rsidRPr="005722A6">
        <w:rPr>
          <w:rFonts w:asciiTheme="majorHAnsi" w:hAnsiTheme="majorHAnsi"/>
          <w:sz w:val="20"/>
          <w:szCs w:val="20"/>
        </w:rPr>
        <w:t>ulnerable Bumphead parrotfish (</w:t>
      </w:r>
      <w:r w:rsidRPr="005722A6">
        <w:rPr>
          <w:rFonts w:asciiTheme="majorHAnsi" w:hAnsiTheme="majorHAnsi"/>
          <w:i/>
          <w:iCs/>
          <w:sz w:val="20"/>
          <w:szCs w:val="20"/>
        </w:rPr>
        <w:t>Bolbometopon muricatum</w:t>
      </w:r>
      <w:r w:rsidRPr="005722A6">
        <w:rPr>
          <w:rFonts w:asciiTheme="majorHAnsi" w:hAnsiTheme="majorHAnsi"/>
          <w:sz w:val="20"/>
          <w:szCs w:val="20"/>
        </w:rPr>
        <w:t xml:space="preserve">) and </w:t>
      </w:r>
      <w:r w:rsidRPr="005722A6">
        <w:rPr>
          <w:rFonts w:asciiTheme="majorHAnsi" w:hAnsiTheme="majorHAnsi"/>
          <w:i/>
          <w:iCs/>
          <w:sz w:val="20"/>
          <w:szCs w:val="20"/>
        </w:rPr>
        <w:t xml:space="preserve">Acropora </w:t>
      </w:r>
      <w:r w:rsidRPr="005722A6">
        <w:rPr>
          <w:rFonts w:asciiTheme="majorHAnsi" w:hAnsiTheme="majorHAnsi"/>
          <w:sz w:val="20"/>
          <w:szCs w:val="20"/>
        </w:rPr>
        <w:t xml:space="preserve">corals. Spawning aggregations of </w:t>
      </w:r>
      <w:r w:rsidR="00EC0AE2" w:rsidRPr="005722A6">
        <w:rPr>
          <w:rFonts w:asciiTheme="majorHAnsi" w:hAnsiTheme="majorHAnsi"/>
          <w:sz w:val="20"/>
          <w:szCs w:val="20"/>
        </w:rPr>
        <w:t xml:space="preserve">globally </w:t>
      </w:r>
      <w:r w:rsidRPr="005722A6">
        <w:rPr>
          <w:rFonts w:asciiTheme="majorHAnsi" w:hAnsiTheme="majorHAnsi"/>
          <w:sz w:val="20"/>
          <w:szCs w:val="20"/>
        </w:rPr>
        <w:t xml:space="preserve">threatened reef fish, such as </w:t>
      </w:r>
      <w:r w:rsidR="00EC0AE2">
        <w:rPr>
          <w:rFonts w:asciiTheme="majorHAnsi" w:hAnsiTheme="majorHAnsi"/>
          <w:sz w:val="20"/>
          <w:szCs w:val="20"/>
        </w:rPr>
        <w:t>the v</w:t>
      </w:r>
      <w:r w:rsidRPr="005722A6">
        <w:rPr>
          <w:rFonts w:asciiTheme="majorHAnsi" w:hAnsiTheme="majorHAnsi"/>
          <w:sz w:val="20"/>
          <w:szCs w:val="20"/>
        </w:rPr>
        <w:t xml:space="preserve">ulnerable Squaretail Grouper </w:t>
      </w:r>
      <w:r w:rsidR="00EC0AE2">
        <w:rPr>
          <w:rFonts w:asciiTheme="majorHAnsi" w:hAnsiTheme="majorHAnsi"/>
          <w:sz w:val="20"/>
          <w:szCs w:val="20"/>
        </w:rPr>
        <w:t>(</w:t>
      </w:r>
      <w:r w:rsidRPr="005722A6">
        <w:rPr>
          <w:rFonts w:asciiTheme="majorHAnsi" w:hAnsiTheme="majorHAnsi"/>
          <w:i/>
          <w:iCs/>
          <w:sz w:val="20"/>
          <w:szCs w:val="20"/>
        </w:rPr>
        <w:t>Plectropomus areolatus</w:t>
      </w:r>
      <w:r w:rsidR="00EC0AE2">
        <w:rPr>
          <w:rFonts w:asciiTheme="majorHAnsi" w:hAnsiTheme="majorHAnsi"/>
          <w:sz w:val="20"/>
          <w:szCs w:val="20"/>
        </w:rPr>
        <w:t>)</w:t>
      </w:r>
      <w:r w:rsidRPr="005722A6">
        <w:rPr>
          <w:rFonts w:asciiTheme="majorHAnsi" w:hAnsiTheme="majorHAnsi"/>
          <w:sz w:val="20"/>
          <w:szCs w:val="20"/>
        </w:rPr>
        <w:t xml:space="preserve"> are also present. The Rock Islands of Palau have the highest number and density of marine lakes in the </w:t>
      </w:r>
      <w:r w:rsidRPr="005722A6">
        <w:rPr>
          <w:rFonts w:asciiTheme="majorHAnsi" w:hAnsiTheme="majorHAnsi"/>
          <w:sz w:val="20"/>
          <w:szCs w:val="20"/>
        </w:rPr>
        <w:lastRenderedPageBreak/>
        <w:t>world</w:t>
      </w:r>
      <w:r w:rsidR="00EC0AE2">
        <w:rPr>
          <w:rFonts w:asciiTheme="majorHAnsi" w:hAnsiTheme="majorHAnsi"/>
          <w:sz w:val="20"/>
          <w:szCs w:val="20"/>
        </w:rPr>
        <w:t>;</w:t>
      </w:r>
      <w:r w:rsidRPr="005722A6">
        <w:rPr>
          <w:rFonts w:asciiTheme="majorHAnsi" w:hAnsiTheme="majorHAnsi"/>
          <w:sz w:val="20"/>
          <w:szCs w:val="20"/>
        </w:rPr>
        <w:t xml:space="preserve"> and five of these are home to different endemic sub-species of jellyfish that have evolved in isolation over thousands of years. Marine life also includes threatened megafauna, such as the most isolated population of </w:t>
      </w:r>
      <w:r w:rsidR="00EC0AE2">
        <w:rPr>
          <w:rFonts w:asciiTheme="majorHAnsi" w:hAnsiTheme="majorHAnsi"/>
          <w:sz w:val="20"/>
          <w:szCs w:val="20"/>
        </w:rPr>
        <w:t>e</w:t>
      </w:r>
      <w:r w:rsidRPr="005722A6">
        <w:rPr>
          <w:rFonts w:asciiTheme="majorHAnsi" w:hAnsiTheme="majorHAnsi"/>
          <w:sz w:val="20"/>
          <w:szCs w:val="20"/>
        </w:rPr>
        <w:t xml:space="preserve">ndangered </w:t>
      </w:r>
      <w:r w:rsidRPr="005722A6">
        <w:rPr>
          <w:rFonts w:asciiTheme="majorHAnsi" w:hAnsiTheme="majorHAnsi"/>
          <w:i/>
          <w:iCs/>
          <w:sz w:val="20"/>
          <w:szCs w:val="20"/>
        </w:rPr>
        <w:t>Dugong dugon</w:t>
      </w:r>
      <w:r w:rsidR="00F55DCF">
        <w:rPr>
          <w:rFonts w:asciiTheme="majorHAnsi" w:hAnsiTheme="majorHAnsi"/>
          <w:i/>
          <w:iCs/>
          <w:sz w:val="20"/>
          <w:szCs w:val="20"/>
        </w:rPr>
        <w:t>g</w:t>
      </w:r>
      <w:r w:rsidRPr="005722A6">
        <w:rPr>
          <w:rFonts w:asciiTheme="majorHAnsi" w:hAnsiTheme="majorHAnsi"/>
          <w:i/>
          <w:iCs/>
          <w:sz w:val="20"/>
          <w:szCs w:val="20"/>
        </w:rPr>
        <w:t xml:space="preserve"> </w:t>
      </w:r>
      <w:r w:rsidRPr="005722A6">
        <w:rPr>
          <w:rFonts w:asciiTheme="majorHAnsi" w:hAnsiTheme="majorHAnsi"/>
          <w:sz w:val="20"/>
          <w:szCs w:val="20"/>
        </w:rPr>
        <w:t xml:space="preserve">in the world, </w:t>
      </w:r>
      <w:r w:rsidR="00F7334F" w:rsidRPr="005722A6">
        <w:rPr>
          <w:rFonts w:asciiTheme="majorHAnsi" w:hAnsiTheme="majorHAnsi"/>
          <w:sz w:val="20"/>
          <w:szCs w:val="20"/>
        </w:rPr>
        <w:t xml:space="preserve">and </w:t>
      </w:r>
      <w:r w:rsidRPr="005722A6">
        <w:rPr>
          <w:rFonts w:asciiTheme="majorHAnsi" w:hAnsiTheme="majorHAnsi"/>
          <w:sz w:val="20"/>
          <w:szCs w:val="20"/>
        </w:rPr>
        <w:t xml:space="preserve">hawksbill turtle </w:t>
      </w:r>
      <w:r w:rsidR="00EC0AE2">
        <w:rPr>
          <w:rFonts w:asciiTheme="majorHAnsi" w:hAnsiTheme="majorHAnsi"/>
          <w:sz w:val="20"/>
          <w:szCs w:val="20"/>
        </w:rPr>
        <w:t>(</w:t>
      </w:r>
      <w:r w:rsidRPr="005722A6">
        <w:rPr>
          <w:rFonts w:asciiTheme="majorHAnsi" w:hAnsiTheme="majorHAnsi"/>
          <w:i/>
          <w:iCs/>
          <w:sz w:val="20"/>
          <w:szCs w:val="20"/>
        </w:rPr>
        <w:t>Erythrochelys imbrecata</w:t>
      </w:r>
      <w:r w:rsidR="00EC0AE2">
        <w:rPr>
          <w:rFonts w:asciiTheme="majorHAnsi" w:hAnsiTheme="majorHAnsi"/>
          <w:iCs/>
          <w:sz w:val="20"/>
          <w:szCs w:val="20"/>
        </w:rPr>
        <w:t>)</w:t>
      </w:r>
      <w:r w:rsidRPr="005722A6">
        <w:rPr>
          <w:rFonts w:asciiTheme="majorHAnsi" w:hAnsiTheme="majorHAnsi"/>
          <w:i/>
          <w:iCs/>
          <w:sz w:val="20"/>
          <w:szCs w:val="20"/>
        </w:rPr>
        <w:t xml:space="preserve"> </w:t>
      </w:r>
      <w:r w:rsidRPr="005722A6">
        <w:rPr>
          <w:rFonts w:asciiTheme="majorHAnsi" w:hAnsiTheme="majorHAnsi"/>
          <w:sz w:val="20"/>
          <w:szCs w:val="20"/>
        </w:rPr>
        <w:t xml:space="preserve">and green turtle </w:t>
      </w:r>
      <w:r w:rsidR="00EC0AE2">
        <w:rPr>
          <w:rFonts w:asciiTheme="majorHAnsi" w:hAnsiTheme="majorHAnsi"/>
          <w:sz w:val="20"/>
          <w:szCs w:val="20"/>
        </w:rPr>
        <w:t>(</w:t>
      </w:r>
      <w:r w:rsidRPr="005722A6">
        <w:rPr>
          <w:rFonts w:asciiTheme="majorHAnsi" w:hAnsiTheme="majorHAnsi"/>
          <w:i/>
          <w:iCs/>
          <w:sz w:val="20"/>
          <w:szCs w:val="20"/>
        </w:rPr>
        <w:t>Chelonia mydas</w:t>
      </w:r>
      <w:r w:rsidR="00EC0AE2">
        <w:rPr>
          <w:rFonts w:asciiTheme="majorHAnsi" w:hAnsiTheme="majorHAnsi"/>
          <w:iCs/>
          <w:sz w:val="20"/>
          <w:szCs w:val="20"/>
        </w:rPr>
        <w:t>)</w:t>
      </w:r>
      <w:r w:rsidRPr="005722A6">
        <w:rPr>
          <w:rFonts w:asciiTheme="majorHAnsi" w:hAnsiTheme="majorHAnsi"/>
          <w:sz w:val="20"/>
          <w:szCs w:val="20"/>
        </w:rPr>
        <w:t xml:space="preserve">. </w:t>
      </w:r>
    </w:p>
    <w:p w14:paraId="5CC8EF84" w14:textId="77777777" w:rsidR="00B87774" w:rsidRPr="005722A6" w:rsidRDefault="00B87774" w:rsidP="00B87774">
      <w:pPr>
        <w:widowControl w:val="0"/>
        <w:autoSpaceDE w:val="0"/>
        <w:autoSpaceDN w:val="0"/>
        <w:adjustRightInd w:val="0"/>
        <w:spacing w:after="0"/>
        <w:rPr>
          <w:rFonts w:asciiTheme="majorHAnsi" w:hAnsiTheme="majorHAnsi"/>
          <w:sz w:val="20"/>
          <w:szCs w:val="20"/>
        </w:rPr>
      </w:pPr>
    </w:p>
    <w:p w14:paraId="23997B03" w14:textId="1FBBB479" w:rsidR="00B87774" w:rsidRPr="005722A6" w:rsidRDefault="00B87774" w:rsidP="00B87774">
      <w:pPr>
        <w:widowControl w:val="0"/>
        <w:autoSpaceDE w:val="0"/>
        <w:autoSpaceDN w:val="0"/>
        <w:adjustRightInd w:val="0"/>
        <w:spacing w:after="0"/>
        <w:rPr>
          <w:rFonts w:asciiTheme="majorHAnsi" w:hAnsiTheme="majorHAnsi"/>
          <w:sz w:val="20"/>
          <w:szCs w:val="20"/>
        </w:rPr>
      </w:pPr>
      <w:r w:rsidRPr="005722A6">
        <w:rPr>
          <w:rFonts w:asciiTheme="majorHAnsi" w:hAnsiTheme="majorHAnsi"/>
          <w:i/>
          <w:iCs/>
          <w:sz w:val="20"/>
          <w:szCs w:val="20"/>
        </w:rPr>
        <w:t>Babeldaob Island</w:t>
      </w:r>
      <w:r w:rsidRPr="005722A6">
        <w:rPr>
          <w:rFonts w:asciiTheme="majorHAnsi" w:hAnsiTheme="majorHAnsi"/>
          <w:sz w:val="20"/>
          <w:szCs w:val="20"/>
        </w:rPr>
        <w:t xml:space="preserve"> is the largest island </w:t>
      </w:r>
      <w:r w:rsidR="00EC0AE2">
        <w:rPr>
          <w:rFonts w:asciiTheme="majorHAnsi" w:hAnsiTheme="majorHAnsi"/>
          <w:sz w:val="20"/>
          <w:szCs w:val="20"/>
        </w:rPr>
        <w:t xml:space="preserve">and </w:t>
      </w:r>
      <w:r w:rsidR="00E8348F" w:rsidRPr="005722A6">
        <w:rPr>
          <w:rFonts w:asciiTheme="majorHAnsi" w:hAnsiTheme="majorHAnsi"/>
          <w:sz w:val="20"/>
          <w:szCs w:val="20"/>
        </w:rPr>
        <w:t>s</w:t>
      </w:r>
      <w:r w:rsidRPr="005722A6">
        <w:rPr>
          <w:rFonts w:asciiTheme="majorHAnsi" w:hAnsiTheme="majorHAnsi"/>
          <w:sz w:val="20"/>
          <w:szCs w:val="20"/>
        </w:rPr>
        <w:t xml:space="preserve">parsely inhabited compared to Koror. Almost all of Palau’s mature native volcanic soil forest, riverine forest, swamp forest and coastal and riverine mangroves (about 80% of the island’s shoreline is mangrove forest) are located on this island. There are </w:t>
      </w:r>
      <w:r w:rsidR="00F7334F" w:rsidRPr="005722A6">
        <w:rPr>
          <w:rFonts w:asciiTheme="majorHAnsi" w:hAnsiTheme="majorHAnsi"/>
          <w:sz w:val="20"/>
          <w:szCs w:val="20"/>
        </w:rPr>
        <w:t xml:space="preserve">23 marine and terrestrial </w:t>
      </w:r>
      <w:r w:rsidRPr="005722A6">
        <w:rPr>
          <w:rFonts w:asciiTheme="majorHAnsi" w:hAnsiTheme="majorHAnsi"/>
          <w:sz w:val="20"/>
          <w:szCs w:val="20"/>
        </w:rPr>
        <w:t xml:space="preserve">Protected Area Network (PAN) sites on Babeldaob but </w:t>
      </w:r>
      <w:r w:rsidR="00F7334F" w:rsidRPr="005722A6">
        <w:rPr>
          <w:rFonts w:asciiTheme="majorHAnsi" w:hAnsiTheme="majorHAnsi"/>
          <w:sz w:val="20"/>
          <w:szCs w:val="20"/>
        </w:rPr>
        <w:t>most</w:t>
      </w:r>
      <w:r w:rsidRPr="005722A6">
        <w:rPr>
          <w:rFonts w:asciiTheme="majorHAnsi" w:hAnsiTheme="majorHAnsi"/>
          <w:sz w:val="20"/>
          <w:szCs w:val="20"/>
        </w:rPr>
        <w:t xml:space="preserve"> forest </w:t>
      </w:r>
      <w:r w:rsidR="00F7334F" w:rsidRPr="005722A6">
        <w:rPr>
          <w:rFonts w:asciiTheme="majorHAnsi" w:hAnsiTheme="majorHAnsi"/>
          <w:sz w:val="20"/>
          <w:szCs w:val="20"/>
        </w:rPr>
        <w:t xml:space="preserve">is </w:t>
      </w:r>
      <w:r w:rsidRPr="005722A6">
        <w:rPr>
          <w:rFonts w:asciiTheme="majorHAnsi" w:hAnsiTheme="majorHAnsi"/>
          <w:sz w:val="20"/>
          <w:szCs w:val="20"/>
        </w:rPr>
        <w:t>located outside o</w:t>
      </w:r>
      <w:r w:rsidR="00E8348F" w:rsidRPr="005722A6">
        <w:rPr>
          <w:rFonts w:asciiTheme="majorHAnsi" w:hAnsiTheme="majorHAnsi"/>
          <w:sz w:val="20"/>
          <w:szCs w:val="20"/>
        </w:rPr>
        <w:t xml:space="preserve">f </w:t>
      </w:r>
      <w:r w:rsidR="00F7334F" w:rsidRPr="005722A6">
        <w:rPr>
          <w:rFonts w:asciiTheme="majorHAnsi" w:hAnsiTheme="majorHAnsi"/>
          <w:sz w:val="20"/>
          <w:szCs w:val="20"/>
        </w:rPr>
        <w:t>protected areas</w:t>
      </w:r>
      <w:r w:rsidRPr="005722A6">
        <w:rPr>
          <w:rFonts w:asciiTheme="majorHAnsi" w:hAnsiTheme="majorHAnsi"/>
          <w:sz w:val="20"/>
          <w:szCs w:val="20"/>
        </w:rPr>
        <w:t>. Forests are threatened by conversion for development, land fragmentation, fire</w:t>
      </w:r>
      <w:r w:rsidR="00F7334F" w:rsidRPr="005722A6">
        <w:rPr>
          <w:rFonts w:asciiTheme="majorHAnsi" w:hAnsiTheme="majorHAnsi"/>
          <w:sz w:val="20"/>
          <w:szCs w:val="20"/>
        </w:rPr>
        <w:t>, climate change,</w:t>
      </w:r>
      <w:r w:rsidRPr="005722A6">
        <w:rPr>
          <w:rFonts w:asciiTheme="majorHAnsi" w:hAnsiTheme="majorHAnsi"/>
          <w:sz w:val="20"/>
          <w:szCs w:val="20"/>
        </w:rPr>
        <w:t xml:space="preserve"> and invasive species. Remaining terrestrial land includes savannah/grasslands, scrub savannah, freshwater ecosystems, plantation, agricultural land </w:t>
      </w:r>
      <w:r w:rsidR="00F7334F" w:rsidRPr="005722A6">
        <w:rPr>
          <w:rFonts w:asciiTheme="majorHAnsi" w:hAnsiTheme="majorHAnsi"/>
          <w:sz w:val="20"/>
          <w:szCs w:val="20"/>
        </w:rPr>
        <w:t xml:space="preserve">and </w:t>
      </w:r>
      <w:r w:rsidRPr="005722A6">
        <w:rPr>
          <w:rFonts w:asciiTheme="majorHAnsi" w:hAnsiTheme="majorHAnsi"/>
          <w:sz w:val="20"/>
          <w:szCs w:val="20"/>
        </w:rPr>
        <w:t xml:space="preserve">urban development. </w:t>
      </w:r>
    </w:p>
    <w:p w14:paraId="5210F6AF" w14:textId="77777777" w:rsidR="00B87774" w:rsidRPr="005722A6" w:rsidRDefault="00B87774" w:rsidP="00B87774">
      <w:pPr>
        <w:widowControl w:val="0"/>
        <w:autoSpaceDE w:val="0"/>
        <w:autoSpaceDN w:val="0"/>
        <w:adjustRightInd w:val="0"/>
        <w:spacing w:after="0"/>
        <w:rPr>
          <w:rFonts w:asciiTheme="majorHAnsi" w:hAnsiTheme="majorHAnsi"/>
          <w:sz w:val="20"/>
          <w:szCs w:val="20"/>
        </w:rPr>
      </w:pPr>
    </w:p>
    <w:p w14:paraId="709CBA09" w14:textId="0DCC2A09" w:rsidR="002C1D21" w:rsidRDefault="00B87774" w:rsidP="00B87774">
      <w:pPr>
        <w:widowControl w:val="0"/>
        <w:autoSpaceDE w:val="0"/>
        <w:autoSpaceDN w:val="0"/>
        <w:adjustRightInd w:val="0"/>
        <w:spacing w:after="0"/>
        <w:rPr>
          <w:rFonts w:asciiTheme="majorHAnsi" w:hAnsiTheme="majorHAnsi"/>
          <w:sz w:val="20"/>
          <w:szCs w:val="20"/>
        </w:rPr>
      </w:pPr>
      <w:r w:rsidRPr="005722A6">
        <w:rPr>
          <w:rFonts w:asciiTheme="majorHAnsi" w:hAnsiTheme="majorHAnsi"/>
          <w:i/>
          <w:iCs/>
          <w:sz w:val="20"/>
          <w:szCs w:val="20"/>
        </w:rPr>
        <w:t>Southern Lagoon States of Koror and Peleliu</w:t>
      </w:r>
      <w:r w:rsidR="00E8348F" w:rsidRPr="005722A6">
        <w:rPr>
          <w:rFonts w:asciiTheme="majorHAnsi" w:hAnsiTheme="majorHAnsi"/>
          <w:i/>
          <w:iCs/>
          <w:sz w:val="20"/>
          <w:szCs w:val="20"/>
        </w:rPr>
        <w:t xml:space="preserve">: </w:t>
      </w:r>
      <w:r w:rsidR="00E8348F" w:rsidRPr="005722A6">
        <w:rPr>
          <w:rFonts w:asciiTheme="majorHAnsi" w:hAnsiTheme="majorHAnsi"/>
          <w:iCs/>
          <w:sz w:val="20"/>
          <w:szCs w:val="20"/>
        </w:rPr>
        <w:t>Koror</w:t>
      </w:r>
      <w:r w:rsidRPr="005722A6">
        <w:rPr>
          <w:rFonts w:asciiTheme="majorHAnsi" w:hAnsiTheme="majorHAnsi"/>
          <w:sz w:val="20"/>
          <w:szCs w:val="20"/>
        </w:rPr>
        <w:t xml:space="preserve"> </w:t>
      </w:r>
      <w:r w:rsidR="00E8348F" w:rsidRPr="005722A6">
        <w:rPr>
          <w:rFonts w:asciiTheme="majorHAnsi" w:hAnsiTheme="majorHAnsi"/>
          <w:sz w:val="20"/>
          <w:szCs w:val="20"/>
        </w:rPr>
        <w:t>S</w:t>
      </w:r>
      <w:r w:rsidRPr="005722A6">
        <w:rPr>
          <w:rFonts w:asciiTheme="majorHAnsi" w:hAnsiTheme="majorHAnsi"/>
          <w:sz w:val="20"/>
          <w:szCs w:val="20"/>
        </w:rPr>
        <w:t>tate</w:t>
      </w:r>
      <w:r w:rsidR="00E8348F" w:rsidRPr="005722A6">
        <w:rPr>
          <w:rFonts w:asciiTheme="majorHAnsi" w:hAnsiTheme="majorHAnsi"/>
          <w:sz w:val="20"/>
          <w:szCs w:val="20"/>
        </w:rPr>
        <w:t>,</w:t>
      </w:r>
      <w:r w:rsidRPr="005722A6">
        <w:rPr>
          <w:rFonts w:asciiTheme="majorHAnsi" w:hAnsiTheme="majorHAnsi"/>
          <w:sz w:val="20"/>
          <w:szCs w:val="20"/>
        </w:rPr>
        <w:t xml:space="preserve"> specifically </w:t>
      </w:r>
      <w:r w:rsidR="00E8348F" w:rsidRPr="005722A6">
        <w:rPr>
          <w:rFonts w:asciiTheme="majorHAnsi" w:hAnsiTheme="majorHAnsi"/>
          <w:sz w:val="20"/>
          <w:szCs w:val="20"/>
        </w:rPr>
        <w:t xml:space="preserve">its </w:t>
      </w:r>
      <w:r w:rsidR="00F7334F" w:rsidRPr="005722A6">
        <w:rPr>
          <w:rFonts w:asciiTheme="majorHAnsi" w:hAnsiTheme="majorHAnsi"/>
          <w:sz w:val="20"/>
          <w:szCs w:val="20"/>
        </w:rPr>
        <w:t xml:space="preserve">3 </w:t>
      </w:r>
      <w:r w:rsidRPr="005722A6">
        <w:rPr>
          <w:rFonts w:asciiTheme="majorHAnsi" w:hAnsiTheme="majorHAnsi"/>
          <w:sz w:val="20"/>
          <w:szCs w:val="20"/>
        </w:rPr>
        <w:t>main Koror island</w:t>
      </w:r>
      <w:r w:rsidR="00F7334F" w:rsidRPr="005722A6">
        <w:rPr>
          <w:rFonts w:asciiTheme="majorHAnsi" w:hAnsiTheme="majorHAnsi"/>
          <w:sz w:val="20"/>
          <w:szCs w:val="20"/>
        </w:rPr>
        <w:t>s</w:t>
      </w:r>
      <w:r w:rsidRPr="005722A6">
        <w:rPr>
          <w:rFonts w:asciiTheme="majorHAnsi" w:hAnsiTheme="majorHAnsi"/>
          <w:sz w:val="20"/>
          <w:szCs w:val="20"/>
        </w:rPr>
        <w:t xml:space="preserve">, is the most urbanized </w:t>
      </w:r>
      <w:r w:rsidR="002C1D21">
        <w:rPr>
          <w:rFonts w:asciiTheme="majorHAnsi" w:hAnsiTheme="majorHAnsi"/>
          <w:sz w:val="20"/>
          <w:szCs w:val="20"/>
        </w:rPr>
        <w:t>part of</w:t>
      </w:r>
      <w:r w:rsidRPr="005722A6">
        <w:rPr>
          <w:rFonts w:asciiTheme="majorHAnsi" w:hAnsiTheme="majorHAnsi"/>
          <w:sz w:val="20"/>
          <w:szCs w:val="20"/>
        </w:rPr>
        <w:t xml:space="preserve"> Palau</w:t>
      </w:r>
      <w:r w:rsidR="00E8348F" w:rsidRPr="005722A6">
        <w:rPr>
          <w:rFonts w:asciiTheme="majorHAnsi" w:hAnsiTheme="majorHAnsi"/>
          <w:sz w:val="20"/>
          <w:szCs w:val="20"/>
        </w:rPr>
        <w:t xml:space="preserve">. It is the </w:t>
      </w:r>
      <w:r w:rsidRPr="005722A6">
        <w:rPr>
          <w:rFonts w:asciiTheme="majorHAnsi" w:hAnsiTheme="majorHAnsi"/>
          <w:sz w:val="20"/>
          <w:szCs w:val="20"/>
        </w:rPr>
        <w:t>economic center</w:t>
      </w:r>
      <w:r w:rsidR="00E8348F" w:rsidRPr="005722A6">
        <w:rPr>
          <w:rFonts w:asciiTheme="majorHAnsi" w:hAnsiTheme="majorHAnsi"/>
          <w:sz w:val="20"/>
          <w:szCs w:val="20"/>
        </w:rPr>
        <w:t xml:space="preserve">, inhabited by </w:t>
      </w:r>
      <w:r w:rsidRPr="005722A6">
        <w:rPr>
          <w:rFonts w:asciiTheme="majorHAnsi" w:hAnsiTheme="majorHAnsi"/>
          <w:sz w:val="20"/>
          <w:szCs w:val="20"/>
        </w:rPr>
        <w:t>11,</w:t>
      </w:r>
      <w:r w:rsidR="00F7334F" w:rsidRPr="005722A6">
        <w:rPr>
          <w:rFonts w:asciiTheme="majorHAnsi" w:hAnsiTheme="majorHAnsi"/>
          <w:sz w:val="20"/>
          <w:szCs w:val="20"/>
        </w:rPr>
        <w:t xml:space="preserve">400 </w:t>
      </w:r>
      <w:r w:rsidRPr="005722A6">
        <w:rPr>
          <w:rFonts w:asciiTheme="majorHAnsi" w:hAnsiTheme="majorHAnsi"/>
          <w:sz w:val="20"/>
          <w:szCs w:val="20"/>
        </w:rPr>
        <w:t>people</w:t>
      </w:r>
      <w:r w:rsidR="00E8348F" w:rsidRPr="005722A6">
        <w:rPr>
          <w:rFonts w:asciiTheme="majorHAnsi" w:hAnsiTheme="majorHAnsi"/>
          <w:sz w:val="20"/>
          <w:szCs w:val="20"/>
        </w:rPr>
        <w:t xml:space="preserve"> (65% of Palau’s population</w:t>
      </w:r>
      <w:r w:rsidRPr="005722A6">
        <w:rPr>
          <w:rFonts w:asciiTheme="majorHAnsi" w:hAnsiTheme="majorHAnsi"/>
          <w:sz w:val="20"/>
          <w:szCs w:val="20"/>
        </w:rPr>
        <w:t>). Koror</w:t>
      </w:r>
      <w:r w:rsidR="00E8348F" w:rsidRPr="005722A6">
        <w:rPr>
          <w:rFonts w:asciiTheme="majorHAnsi" w:hAnsiTheme="majorHAnsi"/>
          <w:sz w:val="20"/>
          <w:szCs w:val="20"/>
        </w:rPr>
        <w:t>, lying between Babeldaob and Peleliu</w:t>
      </w:r>
      <w:r w:rsidR="002C1D21">
        <w:rPr>
          <w:rFonts w:asciiTheme="majorHAnsi" w:hAnsiTheme="majorHAnsi"/>
          <w:sz w:val="20"/>
          <w:szCs w:val="20"/>
        </w:rPr>
        <w:t>,</w:t>
      </w:r>
      <w:r w:rsidR="00E8348F" w:rsidRPr="005722A6">
        <w:rPr>
          <w:rFonts w:asciiTheme="majorHAnsi" w:hAnsiTheme="majorHAnsi"/>
          <w:sz w:val="20"/>
          <w:szCs w:val="20"/>
        </w:rPr>
        <w:t xml:space="preserve"> </w:t>
      </w:r>
      <w:r w:rsidRPr="005722A6">
        <w:rPr>
          <w:rFonts w:asciiTheme="majorHAnsi" w:hAnsiTheme="majorHAnsi"/>
          <w:sz w:val="20"/>
          <w:szCs w:val="20"/>
        </w:rPr>
        <w:t>encompass</w:t>
      </w:r>
      <w:r w:rsidR="00E8348F" w:rsidRPr="005722A6">
        <w:rPr>
          <w:rFonts w:asciiTheme="majorHAnsi" w:hAnsiTheme="majorHAnsi"/>
          <w:sz w:val="20"/>
          <w:szCs w:val="20"/>
        </w:rPr>
        <w:t>es</w:t>
      </w:r>
      <w:r w:rsidRPr="005722A6">
        <w:rPr>
          <w:rFonts w:asciiTheme="majorHAnsi" w:hAnsiTheme="majorHAnsi"/>
          <w:sz w:val="20"/>
          <w:szCs w:val="20"/>
        </w:rPr>
        <w:t xml:space="preserve"> hundreds of islands (covering </w:t>
      </w:r>
      <w:r w:rsidR="00E8348F" w:rsidRPr="005722A6">
        <w:rPr>
          <w:rFonts w:asciiTheme="majorHAnsi" w:hAnsiTheme="majorHAnsi"/>
          <w:sz w:val="20"/>
          <w:szCs w:val="20"/>
        </w:rPr>
        <w:t>some</w:t>
      </w:r>
      <w:r w:rsidRPr="005722A6">
        <w:rPr>
          <w:rFonts w:asciiTheme="majorHAnsi" w:hAnsiTheme="majorHAnsi"/>
          <w:sz w:val="20"/>
          <w:szCs w:val="20"/>
        </w:rPr>
        <w:t xml:space="preserve"> 58 km</w:t>
      </w:r>
      <w:r w:rsidR="00F7334F" w:rsidRPr="005722A6">
        <w:rPr>
          <w:rFonts w:asciiTheme="majorHAnsi" w:hAnsiTheme="majorHAnsi"/>
          <w:sz w:val="20"/>
          <w:szCs w:val="20"/>
          <w:vertAlign w:val="superscript"/>
        </w:rPr>
        <w:t>2</w:t>
      </w:r>
      <w:r w:rsidRPr="005722A6">
        <w:rPr>
          <w:rFonts w:asciiTheme="majorHAnsi" w:hAnsiTheme="majorHAnsi"/>
          <w:sz w:val="20"/>
          <w:szCs w:val="20"/>
        </w:rPr>
        <w:t xml:space="preserve"> total landmass)</w:t>
      </w:r>
      <w:r w:rsidR="00194AA1">
        <w:rPr>
          <w:rFonts w:asciiTheme="majorHAnsi" w:hAnsiTheme="majorHAnsi"/>
          <w:sz w:val="20"/>
          <w:szCs w:val="20"/>
        </w:rPr>
        <w:t xml:space="preserve">. </w:t>
      </w:r>
      <w:r w:rsidRPr="005722A6">
        <w:rPr>
          <w:rFonts w:asciiTheme="majorHAnsi" w:hAnsiTheme="majorHAnsi"/>
          <w:sz w:val="20"/>
          <w:szCs w:val="20"/>
        </w:rPr>
        <w:t>Peleliu (18 km</w:t>
      </w:r>
      <w:r w:rsidR="00F7334F" w:rsidRPr="005722A6">
        <w:rPr>
          <w:rFonts w:asciiTheme="majorHAnsi" w:hAnsiTheme="majorHAnsi"/>
          <w:sz w:val="20"/>
          <w:szCs w:val="20"/>
          <w:vertAlign w:val="superscript"/>
        </w:rPr>
        <w:t>2</w:t>
      </w:r>
      <w:r w:rsidRPr="005722A6">
        <w:rPr>
          <w:rFonts w:asciiTheme="majorHAnsi" w:hAnsiTheme="majorHAnsi"/>
          <w:sz w:val="20"/>
          <w:szCs w:val="20"/>
        </w:rPr>
        <w:t xml:space="preserve"> total landmass) is a raised coralline island located at the southern end of Palau’s southern lagoon. The scattered collection of limestone </w:t>
      </w:r>
      <w:r w:rsidR="00F7334F" w:rsidRPr="005722A6">
        <w:rPr>
          <w:rFonts w:asciiTheme="majorHAnsi" w:hAnsiTheme="majorHAnsi"/>
          <w:sz w:val="20"/>
          <w:szCs w:val="20"/>
        </w:rPr>
        <w:t>islands</w:t>
      </w:r>
      <w:r w:rsidRPr="005722A6">
        <w:rPr>
          <w:rFonts w:asciiTheme="majorHAnsi" w:hAnsiTheme="majorHAnsi"/>
          <w:sz w:val="20"/>
          <w:szCs w:val="20"/>
        </w:rPr>
        <w:t xml:space="preserve"> </w:t>
      </w:r>
      <w:r w:rsidR="00F7334F" w:rsidRPr="005722A6">
        <w:rPr>
          <w:rFonts w:asciiTheme="majorHAnsi" w:hAnsiTheme="majorHAnsi"/>
          <w:sz w:val="20"/>
          <w:szCs w:val="20"/>
        </w:rPr>
        <w:t xml:space="preserve">in </w:t>
      </w:r>
      <w:r w:rsidRPr="005722A6">
        <w:rPr>
          <w:rFonts w:asciiTheme="majorHAnsi" w:hAnsiTheme="majorHAnsi"/>
          <w:sz w:val="20"/>
          <w:szCs w:val="20"/>
        </w:rPr>
        <w:t xml:space="preserve">this area is </w:t>
      </w:r>
      <w:r w:rsidR="00F7334F" w:rsidRPr="005722A6">
        <w:rPr>
          <w:rFonts w:asciiTheme="majorHAnsi" w:hAnsiTheme="majorHAnsi"/>
          <w:sz w:val="20"/>
          <w:szCs w:val="20"/>
        </w:rPr>
        <w:t xml:space="preserve">known as </w:t>
      </w:r>
      <w:r w:rsidRPr="005722A6">
        <w:rPr>
          <w:rFonts w:asciiTheme="majorHAnsi" w:hAnsiTheme="majorHAnsi"/>
          <w:sz w:val="20"/>
          <w:szCs w:val="20"/>
        </w:rPr>
        <w:t>the Rock Islands</w:t>
      </w:r>
      <w:r w:rsidR="00E8348F" w:rsidRPr="005722A6">
        <w:rPr>
          <w:rFonts w:asciiTheme="majorHAnsi" w:hAnsiTheme="majorHAnsi"/>
          <w:sz w:val="20"/>
          <w:szCs w:val="20"/>
        </w:rPr>
        <w:t xml:space="preserve"> </w:t>
      </w:r>
      <w:r w:rsidR="00F55DCF">
        <w:rPr>
          <w:rFonts w:asciiTheme="majorHAnsi" w:hAnsiTheme="majorHAnsi"/>
          <w:sz w:val="20"/>
          <w:szCs w:val="20"/>
        </w:rPr>
        <w:t>that</w:t>
      </w:r>
      <w:r w:rsidR="00F55DCF" w:rsidRPr="005722A6">
        <w:rPr>
          <w:rFonts w:asciiTheme="majorHAnsi" w:hAnsiTheme="majorHAnsi"/>
          <w:sz w:val="20"/>
          <w:szCs w:val="20"/>
        </w:rPr>
        <w:t xml:space="preserve"> </w:t>
      </w:r>
      <w:r w:rsidR="00E8348F" w:rsidRPr="005722A6">
        <w:rPr>
          <w:rFonts w:asciiTheme="majorHAnsi" w:hAnsiTheme="majorHAnsi"/>
          <w:sz w:val="20"/>
          <w:szCs w:val="20"/>
        </w:rPr>
        <w:t>harbor a</w:t>
      </w:r>
      <w:r w:rsidRPr="005722A6">
        <w:rPr>
          <w:rFonts w:asciiTheme="majorHAnsi" w:hAnsiTheme="majorHAnsi"/>
          <w:sz w:val="20"/>
          <w:szCs w:val="20"/>
        </w:rPr>
        <w:t>lmost all of Palau’s limestone forest</w:t>
      </w:r>
      <w:r w:rsidR="00E8348F" w:rsidRPr="005722A6">
        <w:rPr>
          <w:rFonts w:asciiTheme="majorHAnsi" w:hAnsiTheme="majorHAnsi"/>
          <w:sz w:val="20"/>
          <w:szCs w:val="20"/>
        </w:rPr>
        <w:t xml:space="preserve">. </w:t>
      </w:r>
      <w:r w:rsidRPr="005722A6">
        <w:rPr>
          <w:rFonts w:asciiTheme="majorHAnsi" w:hAnsiTheme="majorHAnsi"/>
          <w:sz w:val="20"/>
          <w:szCs w:val="20"/>
        </w:rPr>
        <w:t xml:space="preserve">As well as limestone forest and mangroves, Peleliu has areas of </w:t>
      </w:r>
      <w:r w:rsidRPr="001C203A">
        <w:rPr>
          <w:rFonts w:asciiTheme="majorHAnsi" w:hAnsiTheme="majorHAnsi"/>
          <w:i/>
          <w:sz w:val="20"/>
          <w:szCs w:val="20"/>
        </w:rPr>
        <w:t>Casuarina</w:t>
      </w:r>
      <w:r w:rsidRPr="005722A6">
        <w:rPr>
          <w:rFonts w:asciiTheme="majorHAnsi" w:hAnsiTheme="majorHAnsi"/>
          <w:sz w:val="20"/>
          <w:szCs w:val="20"/>
        </w:rPr>
        <w:t xml:space="preserve"> forest along </w:t>
      </w:r>
      <w:r w:rsidR="00E8348F" w:rsidRPr="005722A6">
        <w:rPr>
          <w:rFonts w:asciiTheme="majorHAnsi" w:hAnsiTheme="majorHAnsi"/>
          <w:sz w:val="20"/>
          <w:szCs w:val="20"/>
        </w:rPr>
        <w:t xml:space="preserve">its </w:t>
      </w:r>
      <w:r w:rsidRPr="005722A6">
        <w:rPr>
          <w:rFonts w:asciiTheme="majorHAnsi" w:hAnsiTheme="majorHAnsi"/>
          <w:sz w:val="20"/>
          <w:szCs w:val="20"/>
        </w:rPr>
        <w:t xml:space="preserve">sandy beaches. The islands sustain a large diversity plants, birds and marine life. </w:t>
      </w:r>
      <w:r w:rsidR="0054519A" w:rsidRPr="005722A6">
        <w:rPr>
          <w:rFonts w:asciiTheme="majorHAnsi" w:hAnsiTheme="majorHAnsi"/>
          <w:sz w:val="20"/>
          <w:szCs w:val="20"/>
        </w:rPr>
        <w:t>The</w:t>
      </w:r>
      <w:r w:rsidR="004C530D" w:rsidRPr="005722A6">
        <w:rPr>
          <w:rFonts w:asciiTheme="majorHAnsi" w:hAnsiTheme="majorHAnsi"/>
          <w:sz w:val="20"/>
          <w:szCs w:val="20"/>
        </w:rPr>
        <w:t xml:space="preserve"> entire Rock Island</w:t>
      </w:r>
      <w:r w:rsidR="0054519A" w:rsidRPr="005722A6">
        <w:rPr>
          <w:rFonts w:asciiTheme="majorHAnsi" w:hAnsiTheme="majorHAnsi"/>
          <w:sz w:val="20"/>
          <w:szCs w:val="20"/>
        </w:rPr>
        <w:t>s</w:t>
      </w:r>
      <w:r w:rsidR="004C530D" w:rsidRPr="005722A6">
        <w:rPr>
          <w:rFonts w:asciiTheme="majorHAnsi" w:hAnsiTheme="majorHAnsi"/>
          <w:sz w:val="20"/>
          <w:szCs w:val="20"/>
        </w:rPr>
        <w:t xml:space="preserve"> Southern Lagoon </w:t>
      </w:r>
      <w:r w:rsidR="0054519A" w:rsidRPr="005722A6">
        <w:rPr>
          <w:rFonts w:asciiTheme="majorHAnsi" w:hAnsiTheme="majorHAnsi"/>
          <w:sz w:val="20"/>
          <w:szCs w:val="20"/>
        </w:rPr>
        <w:t>in Koror</w:t>
      </w:r>
      <w:r w:rsidR="004C530D" w:rsidRPr="005722A6">
        <w:rPr>
          <w:rFonts w:asciiTheme="majorHAnsi" w:hAnsiTheme="majorHAnsi"/>
          <w:sz w:val="20"/>
          <w:szCs w:val="20"/>
        </w:rPr>
        <w:t xml:space="preserve"> State was declared a World Heritage Site in 2012 for both their natural and cultural heritage. </w:t>
      </w:r>
      <w:r w:rsidRPr="005722A6">
        <w:rPr>
          <w:rFonts w:asciiTheme="majorHAnsi" w:hAnsiTheme="majorHAnsi"/>
          <w:sz w:val="20"/>
          <w:szCs w:val="20"/>
        </w:rPr>
        <w:t>All the endangered megafauna of Palau, 746 species of fish, over 385 species of coral, at least 13 species of shark and manta ray, 7 species of giant clam</w:t>
      </w:r>
      <w:r w:rsidR="0054519A" w:rsidRPr="005722A6">
        <w:rPr>
          <w:rFonts w:asciiTheme="majorHAnsi" w:hAnsiTheme="majorHAnsi"/>
          <w:sz w:val="20"/>
          <w:szCs w:val="20"/>
        </w:rPr>
        <w:t>,</w:t>
      </w:r>
      <w:r w:rsidRPr="005722A6">
        <w:rPr>
          <w:rFonts w:asciiTheme="majorHAnsi" w:hAnsiTheme="majorHAnsi"/>
          <w:sz w:val="20"/>
          <w:szCs w:val="20"/>
        </w:rPr>
        <w:t xml:space="preserve"> and the endemic </w:t>
      </w:r>
      <w:r w:rsidR="002C1D21" w:rsidRPr="001C203A">
        <w:rPr>
          <w:rFonts w:asciiTheme="majorHAnsi" w:hAnsiTheme="majorHAnsi"/>
          <w:i/>
          <w:sz w:val="20"/>
          <w:szCs w:val="20"/>
        </w:rPr>
        <w:t>N</w:t>
      </w:r>
      <w:r w:rsidRPr="001C203A">
        <w:rPr>
          <w:rFonts w:asciiTheme="majorHAnsi" w:hAnsiTheme="majorHAnsi"/>
          <w:i/>
          <w:sz w:val="20"/>
          <w:szCs w:val="20"/>
        </w:rPr>
        <w:t>autilus</w:t>
      </w:r>
      <w:r w:rsidRPr="005722A6">
        <w:rPr>
          <w:rFonts w:asciiTheme="majorHAnsi" w:hAnsiTheme="majorHAnsi"/>
          <w:sz w:val="20"/>
          <w:szCs w:val="20"/>
        </w:rPr>
        <w:t xml:space="preserve"> are </w:t>
      </w:r>
      <w:r w:rsidR="0054519A" w:rsidRPr="005722A6">
        <w:rPr>
          <w:rFonts w:asciiTheme="majorHAnsi" w:hAnsiTheme="majorHAnsi"/>
          <w:sz w:val="20"/>
          <w:szCs w:val="20"/>
        </w:rPr>
        <w:t>present</w:t>
      </w:r>
      <w:r w:rsidR="002C1D21">
        <w:rPr>
          <w:rFonts w:asciiTheme="majorHAnsi" w:hAnsiTheme="majorHAnsi"/>
          <w:sz w:val="20"/>
          <w:szCs w:val="20"/>
        </w:rPr>
        <w:t>.T</w:t>
      </w:r>
      <w:r w:rsidRPr="005722A6">
        <w:rPr>
          <w:rFonts w:asciiTheme="majorHAnsi" w:hAnsiTheme="majorHAnsi"/>
          <w:sz w:val="20"/>
          <w:szCs w:val="20"/>
        </w:rPr>
        <w:t xml:space="preserve">he </w:t>
      </w:r>
      <w:r w:rsidR="0054519A" w:rsidRPr="005722A6">
        <w:rPr>
          <w:rFonts w:asciiTheme="majorHAnsi" w:hAnsiTheme="majorHAnsi"/>
          <w:sz w:val="20"/>
          <w:szCs w:val="20"/>
        </w:rPr>
        <w:t xml:space="preserve">forests </w:t>
      </w:r>
      <w:r w:rsidRPr="005722A6">
        <w:rPr>
          <w:rFonts w:asciiTheme="majorHAnsi" w:hAnsiTheme="majorHAnsi"/>
          <w:sz w:val="20"/>
          <w:szCs w:val="20"/>
        </w:rPr>
        <w:t xml:space="preserve">include all of Palau’s endemic birds, mammals, herpetofauna, and nearly half of </w:t>
      </w:r>
      <w:r w:rsidR="0054519A" w:rsidRPr="005722A6">
        <w:rPr>
          <w:rFonts w:asciiTheme="majorHAnsi" w:hAnsiTheme="majorHAnsi"/>
          <w:sz w:val="20"/>
          <w:szCs w:val="20"/>
        </w:rPr>
        <w:t xml:space="preserve">its </w:t>
      </w:r>
      <w:r w:rsidRPr="005722A6">
        <w:rPr>
          <w:rFonts w:asciiTheme="majorHAnsi" w:hAnsiTheme="majorHAnsi"/>
          <w:sz w:val="20"/>
          <w:szCs w:val="20"/>
        </w:rPr>
        <w:t xml:space="preserve">endemic plants. The </w:t>
      </w:r>
      <w:r w:rsidR="002C1D21">
        <w:rPr>
          <w:rFonts w:asciiTheme="majorHAnsi" w:hAnsiTheme="majorHAnsi"/>
          <w:sz w:val="20"/>
          <w:szCs w:val="20"/>
        </w:rPr>
        <w:t xml:space="preserve">unique </w:t>
      </w:r>
      <w:r w:rsidRPr="005722A6">
        <w:rPr>
          <w:rFonts w:asciiTheme="majorHAnsi" w:hAnsiTheme="majorHAnsi"/>
          <w:sz w:val="20"/>
          <w:szCs w:val="20"/>
        </w:rPr>
        <w:t>vegetation of the Rock Islands</w:t>
      </w:r>
      <w:r w:rsidR="002C1D21">
        <w:rPr>
          <w:rFonts w:asciiTheme="majorHAnsi" w:hAnsiTheme="majorHAnsi"/>
          <w:sz w:val="20"/>
          <w:szCs w:val="20"/>
        </w:rPr>
        <w:t xml:space="preserve"> </w:t>
      </w:r>
      <w:r w:rsidRPr="005722A6">
        <w:rPr>
          <w:rFonts w:asciiTheme="majorHAnsi" w:hAnsiTheme="majorHAnsi"/>
          <w:sz w:val="20"/>
          <w:szCs w:val="20"/>
        </w:rPr>
        <w:t xml:space="preserve">has been characterized as </w:t>
      </w:r>
      <w:r w:rsidR="0054519A" w:rsidRPr="005722A6">
        <w:rPr>
          <w:rFonts w:asciiTheme="majorHAnsi" w:hAnsiTheme="majorHAnsi"/>
          <w:sz w:val="20"/>
          <w:szCs w:val="20"/>
        </w:rPr>
        <w:t xml:space="preserve">a </w:t>
      </w:r>
      <w:r w:rsidRPr="005722A6">
        <w:rPr>
          <w:rFonts w:asciiTheme="majorHAnsi" w:hAnsiTheme="majorHAnsi"/>
          <w:sz w:val="20"/>
          <w:szCs w:val="20"/>
        </w:rPr>
        <w:t>distinct subtype of limestone forest. The Rock Islands</w:t>
      </w:r>
      <w:r w:rsidR="00574991" w:rsidRPr="005722A6">
        <w:rPr>
          <w:rFonts w:asciiTheme="majorHAnsi" w:hAnsiTheme="majorHAnsi"/>
          <w:sz w:val="20"/>
          <w:szCs w:val="20"/>
        </w:rPr>
        <w:t xml:space="preserve"> and their surrounding reef</w:t>
      </w:r>
      <w:r w:rsidRPr="005722A6">
        <w:rPr>
          <w:rFonts w:asciiTheme="majorHAnsi" w:hAnsiTheme="majorHAnsi"/>
          <w:sz w:val="20"/>
          <w:szCs w:val="20"/>
        </w:rPr>
        <w:t>, including Peleliu</w:t>
      </w:r>
      <w:r w:rsidR="00A06DB5" w:rsidRPr="005722A6">
        <w:rPr>
          <w:rFonts w:asciiTheme="majorHAnsi" w:hAnsiTheme="majorHAnsi"/>
          <w:sz w:val="20"/>
          <w:szCs w:val="20"/>
        </w:rPr>
        <w:t>,</w:t>
      </w:r>
      <w:r w:rsidRPr="005722A6">
        <w:rPr>
          <w:rFonts w:asciiTheme="majorHAnsi" w:hAnsiTheme="majorHAnsi"/>
          <w:sz w:val="20"/>
          <w:szCs w:val="20"/>
        </w:rPr>
        <w:t xml:space="preserve"> are a major tourist attraction for their natural beauty</w:t>
      </w:r>
      <w:r w:rsidR="00A06DB5" w:rsidRPr="005722A6">
        <w:rPr>
          <w:rFonts w:asciiTheme="majorHAnsi" w:hAnsiTheme="majorHAnsi"/>
          <w:sz w:val="20"/>
          <w:szCs w:val="20"/>
        </w:rPr>
        <w:t xml:space="preserve">, biodiversity and historical sites, associated </w:t>
      </w:r>
      <w:r w:rsidR="004D3263" w:rsidRPr="005722A6">
        <w:rPr>
          <w:rFonts w:asciiTheme="majorHAnsi" w:hAnsiTheme="majorHAnsi"/>
          <w:sz w:val="20"/>
          <w:szCs w:val="20"/>
        </w:rPr>
        <w:t xml:space="preserve">with which are a variety of recreational sports such as diving, snorkeling and </w:t>
      </w:r>
      <w:r w:rsidRPr="005722A6">
        <w:rPr>
          <w:rFonts w:asciiTheme="majorHAnsi" w:hAnsiTheme="majorHAnsi"/>
          <w:sz w:val="20"/>
          <w:szCs w:val="20"/>
        </w:rPr>
        <w:t>kayaking</w:t>
      </w:r>
      <w:r w:rsidR="004D3263" w:rsidRPr="005722A6">
        <w:rPr>
          <w:rFonts w:asciiTheme="majorHAnsi" w:hAnsiTheme="majorHAnsi"/>
          <w:sz w:val="20"/>
          <w:szCs w:val="20"/>
        </w:rPr>
        <w:t xml:space="preserve">. </w:t>
      </w:r>
    </w:p>
    <w:p w14:paraId="74DD615F" w14:textId="77777777" w:rsidR="002C1D21" w:rsidRDefault="002C1D21" w:rsidP="00B87774">
      <w:pPr>
        <w:widowControl w:val="0"/>
        <w:autoSpaceDE w:val="0"/>
        <w:autoSpaceDN w:val="0"/>
        <w:adjustRightInd w:val="0"/>
        <w:spacing w:after="0"/>
        <w:rPr>
          <w:rFonts w:asciiTheme="majorHAnsi" w:hAnsiTheme="majorHAnsi"/>
          <w:sz w:val="20"/>
          <w:szCs w:val="20"/>
        </w:rPr>
      </w:pPr>
    </w:p>
    <w:p w14:paraId="75179297" w14:textId="4A4A8798" w:rsidR="00F0250E" w:rsidRPr="005722A6" w:rsidRDefault="00B87774" w:rsidP="00B87774">
      <w:pPr>
        <w:widowControl w:val="0"/>
        <w:autoSpaceDE w:val="0"/>
        <w:autoSpaceDN w:val="0"/>
        <w:adjustRightInd w:val="0"/>
        <w:spacing w:after="0"/>
        <w:rPr>
          <w:rFonts w:asciiTheme="majorHAnsi" w:hAnsiTheme="majorHAnsi"/>
          <w:sz w:val="20"/>
          <w:szCs w:val="20"/>
        </w:rPr>
      </w:pPr>
      <w:r w:rsidRPr="005722A6">
        <w:rPr>
          <w:rFonts w:asciiTheme="majorHAnsi" w:hAnsiTheme="majorHAnsi"/>
          <w:sz w:val="20"/>
          <w:szCs w:val="20"/>
        </w:rPr>
        <w:t xml:space="preserve">Currently, the vast majority of tourism in Palau is concentrated in the </w:t>
      </w:r>
      <w:r w:rsidR="004F7AAB">
        <w:rPr>
          <w:rFonts w:asciiTheme="majorHAnsi" w:hAnsiTheme="majorHAnsi"/>
          <w:sz w:val="20"/>
          <w:szCs w:val="20"/>
        </w:rPr>
        <w:t>Rock I</w:t>
      </w:r>
      <w:r w:rsidRPr="005722A6">
        <w:rPr>
          <w:rFonts w:asciiTheme="majorHAnsi" w:hAnsiTheme="majorHAnsi"/>
          <w:sz w:val="20"/>
          <w:szCs w:val="20"/>
        </w:rPr>
        <w:t xml:space="preserve">slands, with </w:t>
      </w:r>
      <w:r w:rsidR="004D3263" w:rsidRPr="005722A6">
        <w:rPr>
          <w:rFonts w:asciiTheme="majorHAnsi" w:hAnsiTheme="majorHAnsi"/>
          <w:sz w:val="20"/>
          <w:szCs w:val="20"/>
        </w:rPr>
        <w:t xml:space="preserve">most </w:t>
      </w:r>
      <w:r w:rsidRPr="005722A6">
        <w:rPr>
          <w:rFonts w:asciiTheme="majorHAnsi" w:hAnsiTheme="majorHAnsi"/>
          <w:sz w:val="20"/>
          <w:szCs w:val="20"/>
        </w:rPr>
        <w:t xml:space="preserve">hotels located in urbanized areas of Koror. </w:t>
      </w:r>
      <w:r w:rsidR="00F0250E" w:rsidRPr="005722A6">
        <w:rPr>
          <w:rFonts w:asciiTheme="majorHAnsi" w:hAnsiTheme="majorHAnsi" w:cs="Segoe UI"/>
          <w:color w:val="000000"/>
          <w:sz w:val="20"/>
          <w:szCs w:val="20"/>
          <w:lang w:val="en-GB"/>
        </w:rPr>
        <w:t xml:space="preserve">However, </w:t>
      </w:r>
      <w:r w:rsidR="00F0250E" w:rsidRPr="005722A6">
        <w:rPr>
          <w:rFonts w:asciiTheme="majorHAnsi" w:hAnsiTheme="majorHAnsi"/>
          <w:sz w:val="20"/>
          <w:szCs w:val="20"/>
        </w:rPr>
        <w:t xml:space="preserve">increasing numbers of visitors, demand and types of recreational activities have led to safety, congestion and environmental concerns. This, together with </w:t>
      </w:r>
      <w:r w:rsidR="00F0250E" w:rsidRPr="005722A6">
        <w:rPr>
          <w:rFonts w:asciiTheme="majorHAnsi" w:hAnsiTheme="majorHAnsi" w:cs="Segoe UI"/>
          <w:color w:val="000000"/>
          <w:sz w:val="20"/>
          <w:szCs w:val="20"/>
          <w:lang w:val="en-GB"/>
        </w:rPr>
        <w:t>forest encroachment, forest fires, intr</w:t>
      </w:r>
      <w:r w:rsidR="004F7AAB">
        <w:rPr>
          <w:rFonts w:asciiTheme="majorHAnsi" w:hAnsiTheme="majorHAnsi" w:cs="Segoe UI"/>
          <w:color w:val="000000"/>
          <w:sz w:val="20"/>
          <w:szCs w:val="20"/>
          <w:lang w:val="en-GB"/>
        </w:rPr>
        <w:t>oduction</w:t>
      </w:r>
      <w:r w:rsidR="00F0250E" w:rsidRPr="005722A6">
        <w:rPr>
          <w:rFonts w:asciiTheme="majorHAnsi" w:hAnsiTheme="majorHAnsi" w:cs="Segoe UI"/>
          <w:color w:val="000000"/>
          <w:sz w:val="20"/>
          <w:szCs w:val="20"/>
          <w:lang w:val="en-GB"/>
        </w:rPr>
        <w:t xml:space="preserve"> and spread</w:t>
      </w:r>
      <w:r w:rsidR="004F7AAB" w:rsidRPr="004F7AAB">
        <w:rPr>
          <w:rFonts w:asciiTheme="majorHAnsi" w:hAnsiTheme="majorHAnsi" w:cs="Segoe UI"/>
          <w:color w:val="000000"/>
          <w:sz w:val="20"/>
          <w:szCs w:val="20"/>
          <w:lang w:val="en-GB"/>
        </w:rPr>
        <w:t xml:space="preserve"> </w:t>
      </w:r>
      <w:r w:rsidR="004F7AAB">
        <w:rPr>
          <w:rFonts w:asciiTheme="majorHAnsi" w:hAnsiTheme="majorHAnsi" w:cs="Segoe UI"/>
          <w:color w:val="000000"/>
          <w:sz w:val="20"/>
          <w:szCs w:val="20"/>
          <w:lang w:val="en-GB"/>
        </w:rPr>
        <w:t>of Invasive Alien Species (</w:t>
      </w:r>
      <w:r w:rsidR="004F7AAB" w:rsidRPr="005722A6">
        <w:rPr>
          <w:rFonts w:asciiTheme="majorHAnsi" w:hAnsiTheme="majorHAnsi" w:cs="Segoe UI"/>
          <w:color w:val="000000"/>
          <w:sz w:val="20"/>
          <w:szCs w:val="20"/>
          <w:lang w:val="en-GB"/>
        </w:rPr>
        <w:t>IAS</w:t>
      </w:r>
      <w:r w:rsidR="004F7AAB">
        <w:rPr>
          <w:rFonts w:asciiTheme="majorHAnsi" w:hAnsiTheme="majorHAnsi" w:cs="Segoe UI"/>
          <w:color w:val="000000"/>
          <w:sz w:val="20"/>
          <w:szCs w:val="20"/>
          <w:lang w:val="en-GB"/>
        </w:rPr>
        <w:t>)</w:t>
      </w:r>
      <w:r w:rsidR="00F0250E" w:rsidRPr="005722A6">
        <w:rPr>
          <w:rFonts w:asciiTheme="majorHAnsi" w:hAnsiTheme="majorHAnsi" w:cs="Segoe UI"/>
          <w:color w:val="000000"/>
          <w:sz w:val="20"/>
          <w:szCs w:val="20"/>
          <w:lang w:val="en-GB"/>
        </w:rPr>
        <w:t>, and unsustainable fishing practices, require urgent action to seize this opportunity to conserve biodiversity and safeguard the country’s ecological and socio-economic security. The current pattern of unsustainable economic and tourism development could be reversed to accrue benefits to the nation and states</w:t>
      </w:r>
      <w:r w:rsidR="004F7AAB">
        <w:rPr>
          <w:rFonts w:asciiTheme="majorHAnsi" w:hAnsiTheme="majorHAnsi" w:cs="Segoe UI"/>
          <w:color w:val="000000"/>
          <w:sz w:val="20"/>
          <w:szCs w:val="20"/>
          <w:lang w:val="en-GB"/>
        </w:rPr>
        <w:t>,</w:t>
      </w:r>
      <w:r w:rsidR="00F0250E" w:rsidRPr="005722A6">
        <w:rPr>
          <w:rFonts w:asciiTheme="majorHAnsi" w:hAnsiTheme="majorHAnsi" w:cs="Segoe UI"/>
          <w:color w:val="000000"/>
          <w:sz w:val="20"/>
          <w:szCs w:val="20"/>
          <w:lang w:val="en-GB"/>
        </w:rPr>
        <w:t xml:space="preserve"> provid</w:t>
      </w:r>
      <w:r w:rsidR="004F7AAB">
        <w:rPr>
          <w:rFonts w:asciiTheme="majorHAnsi" w:hAnsiTheme="majorHAnsi" w:cs="Segoe UI"/>
          <w:color w:val="000000"/>
          <w:sz w:val="20"/>
          <w:szCs w:val="20"/>
          <w:lang w:val="en-GB"/>
        </w:rPr>
        <w:t>ing</w:t>
      </w:r>
      <w:r w:rsidR="00F0250E" w:rsidRPr="005722A6">
        <w:rPr>
          <w:rFonts w:asciiTheme="majorHAnsi" w:hAnsiTheme="majorHAnsi" w:cs="Segoe UI"/>
          <w:color w:val="000000"/>
          <w:sz w:val="20"/>
          <w:szCs w:val="20"/>
          <w:lang w:val="en-GB"/>
        </w:rPr>
        <w:t xml:space="preserve"> the basis for more integrated, holistic and sustainable development</w:t>
      </w:r>
      <w:r w:rsidR="00194AA1">
        <w:rPr>
          <w:rFonts w:asciiTheme="majorHAnsi" w:hAnsiTheme="majorHAnsi" w:cs="Segoe UI"/>
          <w:color w:val="000000"/>
          <w:sz w:val="20"/>
          <w:szCs w:val="20"/>
          <w:lang w:val="en-GB"/>
        </w:rPr>
        <w:t xml:space="preserve">. </w:t>
      </w:r>
    </w:p>
    <w:p w14:paraId="6F12DFF2" w14:textId="77777777" w:rsidR="00B87774" w:rsidRPr="005722A6" w:rsidRDefault="00B87774" w:rsidP="00FB6518">
      <w:pPr>
        <w:widowControl w:val="0"/>
        <w:autoSpaceDE w:val="0"/>
        <w:autoSpaceDN w:val="0"/>
        <w:adjustRightInd w:val="0"/>
        <w:spacing w:after="0"/>
        <w:rPr>
          <w:rFonts w:asciiTheme="majorHAnsi" w:hAnsiTheme="majorHAnsi"/>
          <w:sz w:val="20"/>
          <w:szCs w:val="20"/>
        </w:rPr>
      </w:pPr>
    </w:p>
    <w:p w14:paraId="42263057" w14:textId="67A06886" w:rsidR="00B87774" w:rsidRPr="001C203A" w:rsidRDefault="00B87774" w:rsidP="001C203A">
      <w:pPr>
        <w:rPr>
          <w:rFonts w:asciiTheme="majorHAnsi" w:hAnsiTheme="majorHAnsi" w:cs="Segoe UI"/>
          <w:b/>
          <w:color w:val="000000"/>
          <w:sz w:val="20"/>
          <w:szCs w:val="20"/>
        </w:rPr>
      </w:pPr>
      <w:r w:rsidRPr="001C203A">
        <w:rPr>
          <w:rFonts w:asciiTheme="majorHAnsi" w:hAnsiTheme="majorHAnsi" w:cs="Segoe UI"/>
          <w:b/>
          <w:color w:val="000000"/>
          <w:sz w:val="20"/>
          <w:szCs w:val="20"/>
        </w:rPr>
        <w:t xml:space="preserve">Threats to </w:t>
      </w:r>
      <w:r w:rsidR="002E6BBE" w:rsidRPr="001C203A">
        <w:rPr>
          <w:rFonts w:asciiTheme="majorHAnsi" w:hAnsiTheme="majorHAnsi" w:cs="Segoe UI"/>
          <w:b/>
          <w:color w:val="000000"/>
          <w:sz w:val="20"/>
          <w:szCs w:val="20"/>
        </w:rPr>
        <w:t>b</w:t>
      </w:r>
      <w:r w:rsidRPr="001C203A">
        <w:rPr>
          <w:rFonts w:asciiTheme="majorHAnsi" w:hAnsiTheme="majorHAnsi" w:cs="Segoe UI"/>
          <w:b/>
          <w:color w:val="000000"/>
          <w:sz w:val="20"/>
          <w:szCs w:val="20"/>
        </w:rPr>
        <w:t xml:space="preserve">iodiversity and </w:t>
      </w:r>
      <w:r w:rsidR="002E6BBE" w:rsidRPr="001C203A">
        <w:rPr>
          <w:rFonts w:asciiTheme="majorHAnsi" w:hAnsiTheme="majorHAnsi" w:cs="Segoe UI"/>
          <w:b/>
          <w:color w:val="000000"/>
          <w:sz w:val="20"/>
          <w:szCs w:val="20"/>
        </w:rPr>
        <w:t>e</w:t>
      </w:r>
      <w:r w:rsidRPr="001C203A">
        <w:rPr>
          <w:rFonts w:asciiTheme="majorHAnsi" w:hAnsiTheme="majorHAnsi" w:cs="Segoe UI"/>
          <w:b/>
          <w:color w:val="000000"/>
          <w:sz w:val="20"/>
          <w:szCs w:val="20"/>
        </w:rPr>
        <w:t xml:space="preserve">cosystem </w:t>
      </w:r>
      <w:r w:rsidR="002E6BBE" w:rsidRPr="001C203A">
        <w:rPr>
          <w:rFonts w:asciiTheme="majorHAnsi" w:hAnsiTheme="majorHAnsi" w:cs="Segoe UI"/>
          <w:b/>
          <w:color w:val="000000"/>
          <w:sz w:val="20"/>
          <w:szCs w:val="20"/>
        </w:rPr>
        <w:t>s</w:t>
      </w:r>
      <w:r w:rsidRPr="001C203A">
        <w:rPr>
          <w:rFonts w:asciiTheme="majorHAnsi" w:hAnsiTheme="majorHAnsi" w:cs="Segoe UI"/>
          <w:b/>
          <w:color w:val="000000"/>
          <w:sz w:val="20"/>
          <w:szCs w:val="20"/>
        </w:rPr>
        <w:t xml:space="preserve">ervices </w:t>
      </w:r>
    </w:p>
    <w:p w14:paraId="3A2AAA8A" w14:textId="229FCA0B" w:rsidR="004C530D" w:rsidRDefault="00B87774" w:rsidP="004C530D">
      <w:pPr>
        <w:autoSpaceDE w:val="0"/>
        <w:autoSpaceDN w:val="0"/>
        <w:adjustRightInd w:val="0"/>
        <w:spacing w:after="0"/>
        <w:rPr>
          <w:rFonts w:asciiTheme="majorHAnsi" w:hAnsiTheme="majorHAnsi"/>
          <w:sz w:val="20"/>
          <w:szCs w:val="20"/>
        </w:rPr>
      </w:pPr>
      <w:r w:rsidRPr="005722A6">
        <w:rPr>
          <w:rFonts w:asciiTheme="majorHAnsi" w:hAnsiTheme="majorHAnsi"/>
          <w:i/>
          <w:sz w:val="20"/>
          <w:szCs w:val="20"/>
        </w:rPr>
        <w:t xml:space="preserve">Forest clearing and </w:t>
      </w:r>
      <w:r w:rsidR="00964A1C" w:rsidRPr="005722A6">
        <w:rPr>
          <w:rFonts w:asciiTheme="majorHAnsi" w:hAnsiTheme="majorHAnsi"/>
          <w:i/>
          <w:sz w:val="20"/>
          <w:szCs w:val="20"/>
        </w:rPr>
        <w:t xml:space="preserve">other land </w:t>
      </w:r>
      <w:r w:rsidRPr="005722A6">
        <w:rPr>
          <w:rFonts w:asciiTheme="majorHAnsi" w:hAnsiTheme="majorHAnsi"/>
          <w:i/>
          <w:sz w:val="20"/>
          <w:szCs w:val="20"/>
        </w:rPr>
        <w:t>conversion leading to degradation of natural terrestrial and marine habitats:</w:t>
      </w:r>
      <w:r w:rsidRPr="005722A6">
        <w:rPr>
          <w:rFonts w:asciiTheme="majorHAnsi" w:hAnsiTheme="majorHAnsi"/>
          <w:sz w:val="20"/>
          <w:szCs w:val="20"/>
        </w:rPr>
        <w:t xml:space="preserve"> Key threats to both terrestrial and marine environments are land clearing, </w:t>
      </w:r>
      <w:r w:rsidR="004C530D" w:rsidRPr="005722A6">
        <w:rPr>
          <w:rFonts w:asciiTheme="majorHAnsi" w:hAnsiTheme="majorHAnsi"/>
          <w:sz w:val="20"/>
          <w:szCs w:val="20"/>
        </w:rPr>
        <w:t xml:space="preserve">erosion and sedimentation from </w:t>
      </w:r>
      <w:r w:rsidRPr="005722A6">
        <w:rPr>
          <w:rFonts w:asciiTheme="majorHAnsi" w:hAnsiTheme="majorHAnsi"/>
          <w:sz w:val="20"/>
          <w:szCs w:val="20"/>
        </w:rPr>
        <w:t>development pressure, particularly on Babeldaob</w:t>
      </w:r>
      <w:r w:rsidR="00964A1C" w:rsidRPr="005722A6">
        <w:rPr>
          <w:rFonts w:asciiTheme="majorHAnsi" w:hAnsiTheme="majorHAnsi"/>
          <w:sz w:val="20"/>
          <w:szCs w:val="20"/>
        </w:rPr>
        <w:t xml:space="preserve"> Island</w:t>
      </w:r>
      <w:r w:rsidR="00194AA1">
        <w:rPr>
          <w:rFonts w:asciiTheme="majorHAnsi" w:hAnsiTheme="majorHAnsi"/>
          <w:sz w:val="20"/>
          <w:szCs w:val="20"/>
        </w:rPr>
        <w:t xml:space="preserve">. </w:t>
      </w:r>
      <w:r w:rsidR="004C530D" w:rsidRPr="005722A6">
        <w:rPr>
          <w:rFonts w:asciiTheme="majorHAnsi" w:hAnsiTheme="majorHAnsi"/>
          <w:sz w:val="20"/>
          <w:szCs w:val="20"/>
        </w:rPr>
        <w:t xml:space="preserve">Pollution from land-based activities, direct loss of habitat from clearing, and overuse/overharvesting are key threats in Koror and Peleliu. </w:t>
      </w:r>
      <w:r w:rsidRPr="005722A6">
        <w:rPr>
          <w:rFonts w:asciiTheme="majorHAnsi" w:hAnsiTheme="majorHAnsi"/>
          <w:sz w:val="20"/>
          <w:szCs w:val="20"/>
        </w:rPr>
        <w:t>Much development pressure is driven by the tourism industry, but additional development pressure comes from recently improved access. Previously inaccessible areas of relatively undisturbed forest (including mangroves) are now at risk of being developed for commercial, agricultural and residential purposes</w:t>
      </w:r>
      <w:r w:rsidR="00A6682A" w:rsidRPr="005722A6">
        <w:rPr>
          <w:rFonts w:asciiTheme="majorHAnsi" w:hAnsiTheme="majorHAnsi"/>
          <w:sz w:val="20"/>
          <w:szCs w:val="20"/>
        </w:rPr>
        <w:t>.</w:t>
      </w:r>
      <w:r w:rsidRPr="005722A6">
        <w:rPr>
          <w:rFonts w:asciiTheme="majorHAnsi" w:hAnsiTheme="majorHAnsi"/>
          <w:sz w:val="20"/>
          <w:szCs w:val="20"/>
        </w:rPr>
        <w:t xml:space="preserve"> </w:t>
      </w:r>
      <w:r w:rsidR="004C530D" w:rsidRPr="005722A6">
        <w:rPr>
          <w:rFonts w:asciiTheme="majorHAnsi" w:hAnsiTheme="majorHAnsi"/>
          <w:sz w:val="20"/>
          <w:szCs w:val="20"/>
        </w:rPr>
        <w:t>Mangroves are reclaimed for development at a rate of 0.04km</w:t>
      </w:r>
      <w:r w:rsidR="004C530D" w:rsidRPr="005722A6">
        <w:rPr>
          <w:rFonts w:asciiTheme="majorHAnsi" w:hAnsiTheme="majorHAnsi"/>
          <w:sz w:val="20"/>
          <w:szCs w:val="20"/>
          <w:vertAlign w:val="superscript"/>
        </w:rPr>
        <w:t xml:space="preserve">2 </w:t>
      </w:r>
      <w:r w:rsidR="004C530D" w:rsidRPr="005722A6">
        <w:rPr>
          <w:rFonts w:asciiTheme="majorHAnsi" w:hAnsiTheme="majorHAnsi"/>
          <w:sz w:val="20"/>
          <w:szCs w:val="20"/>
        </w:rPr>
        <w:t xml:space="preserve">per year in most of </w:t>
      </w:r>
      <w:r w:rsidR="00964A1C" w:rsidRPr="005722A6">
        <w:rPr>
          <w:rFonts w:asciiTheme="majorHAnsi" w:hAnsiTheme="majorHAnsi"/>
          <w:sz w:val="20"/>
          <w:szCs w:val="20"/>
        </w:rPr>
        <w:t>Babeldaob</w:t>
      </w:r>
      <w:r w:rsidR="004C530D" w:rsidRPr="005722A6">
        <w:rPr>
          <w:rFonts w:asciiTheme="majorHAnsi" w:hAnsiTheme="majorHAnsi"/>
          <w:sz w:val="20"/>
          <w:szCs w:val="20"/>
        </w:rPr>
        <w:t>, Koror, and other outlying states</w:t>
      </w:r>
      <w:r w:rsidR="00964A1C" w:rsidRPr="005722A6">
        <w:rPr>
          <w:rFonts w:asciiTheme="majorHAnsi" w:hAnsiTheme="majorHAnsi"/>
          <w:sz w:val="20"/>
          <w:szCs w:val="20"/>
        </w:rPr>
        <w:t xml:space="preserve">, equating to </w:t>
      </w:r>
      <w:r w:rsidR="004C530D" w:rsidRPr="005722A6">
        <w:rPr>
          <w:rFonts w:asciiTheme="majorHAnsi" w:hAnsiTheme="majorHAnsi"/>
          <w:sz w:val="20"/>
          <w:szCs w:val="20"/>
        </w:rPr>
        <w:t>1% of the nations’ mangroves</w:t>
      </w:r>
      <w:r w:rsidR="00964A1C" w:rsidRPr="005722A6">
        <w:rPr>
          <w:rFonts w:asciiTheme="majorHAnsi" w:hAnsiTheme="majorHAnsi"/>
          <w:sz w:val="20"/>
          <w:szCs w:val="20"/>
        </w:rPr>
        <w:t xml:space="preserve"> annually.</w:t>
      </w:r>
      <w:r w:rsidR="004C530D" w:rsidRPr="005722A6">
        <w:rPr>
          <w:rFonts w:asciiTheme="majorHAnsi" w:hAnsiTheme="majorHAnsi"/>
          <w:sz w:val="20"/>
          <w:szCs w:val="20"/>
        </w:rPr>
        <w:t xml:space="preserve"> In 2007, 100% of surveyed mangroves showed negative impacts from human disturbance. </w:t>
      </w:r>
      <w:r w:rsidR="00A6682A" w:rsidRPr="005722A6">
        <w:rPr>
          <w:rFonts w:asciiTheme="majorHAnsi" w:hAnsiTheme="majorHAnsi"/>
          <w:sz w:val="20"/>
          <w:szCs w:val="20"/>
        </w:rPr>
        <w:t>Forest cover is clearly declining in Koror and Peleliu. T</w:t>
      </w:r>
      <w:r w:rsidR="004C530D" w:rsidRPr="005722A6">
        <w:rPr>
          <w:rFonts w:asciiTheme="majorHAnsi" w:hAnsiTheme="majorHAnsi"/>
          <w:sz w:val="20"/>
          <w:szCs w:val="20"/>
        </w:rPr>
        <w:t xml:space="preserve">he quality of </w:t>
      </w:r>
      <w:r w:rsidR="00A6682A" w:rsidRPr="005722A6">
        <w:rPr>
          <w:rFonts w:asciiTheme="majorHAnsi" w:hAnsiTheme="majorHAnsi"/>
          <w:sz w:val="20"/>
          <w:szCs w:val="20"/>
        </w:rPr>
        <w:t xml:space="preserve">much </w:t>
      </w:r>
      <w:r w:rsidR="004C530D" w:rsidRPr="005722A6">
        <w:rPr>
          <w:rFonts w:asciiTheme="majorHAnsi" w:hAnsiTheme="majorHAnsi"/>
          <w:sz w:val="20"/>
          <w:szCs w:val="20"/>
        </w:rPr>
        <w:t xml:space="preserve">forest is </w:t>
      </w:r>
      <w:r w:rsidR="009B059B" w:rsidRPr="005722A6">
        <w:rPr>
          <w:rFonts w:asciiTheme="majorHAnsi" w:hAnsiTheme="majorHAnsi"/>
          <w:sz w:val="20"/>
          <w:szCs w:val="20"/>
        </w:rPr>
        <w:t xml:space="preserve">also </w:t>
      </w:r>
      <w:r w:rsidR="004C530D" w:rsidRPr="005722A6">
        <w:rPr>
          <w:rFonts w:asciiTheme="majorHAnsi" w:hAnsiTheme="majorHAnsi"/>
          <w:sz w:val="20"/>
          <w:szCs w:val="20"/>
        </w:rPr>
        <w:t xml:space="preserve">in decline, with increases in the number of trees with crown damage and increases in the total amount of disturbed forestland. </w:t>
      </w:r>
    </w:p>
    <w:p w14:paraId="6716DE8A" w14:textId="77777777" w:rsidR="00C71EB0" w:rsidRPr="005722A6" w:rsidRDefault="00C71EB0" w:rsidP="004C530D">
      <w:pPr>
        <w:autoSpaceDE w:val="0"/>
        <w:autoSpaceDN w:val="0"/>
        <w:adjustRightInd w:val="0"/>
        <w:spacing w:after="0"/>
        <w:rPr>
          <w:rFonts w:asciiTheme="majorHAnsi" w:hAnsiTheme="majorHAnsi"/>
          <w:sz w:val="20"/>
          <w:szCs w:val="20"/>
        </w:rPr>
      </w:pPr>
    </w:p>
    <w:p w14:paraId="6F3E0037" w14:textId="280CFD75" w:rsidR="004C530D" w:rsidRDefault="004C530D" w:rsidP="004C530D">
      <w:pPr>
        <w:autoSpaceDE w:val="0"/>
        <w:autoSpaceDN w:val="0"/>
        <w:adjustRightInd w:val="0"/>
        <w:spacing w:after="0"/>
        <w:rPr>
          <w:sz w:val="20"/>
          <w:szCs w:val="20"/>
        </w:rPr>
      </w:pPr>
      <w:r w:rsidRPr="005722A6">
        <w:rPr>
          <w:rFonts w:asciiTheme="majorHAnsi" w:hAnsiTheme="majorHAnsi"/>
          <w:sz w:val="20"/>
          <w:szCs w:val="20"/>
        </w:rPr>
        <w:t>There has been a</w:t>
      </w:r>
      <w:r w:rsidR="00A6682A" w:rsidRPr="005722A6">
        <w:rPr>
          <w:rFonts w:asciiTheme="majorHAnsi" w:hAnsiTheme="majorHAnsi"/>
          <w:sz w:val="20"/>
          <w:szCs w:val="20"/>
        </w:rPr>
        <w:t xml:space="preserve"> steady</w:t>
      </w:r>
      <w:r w:rsidRPr="005722A6">
        <w:rPr>
          <w:rFonts w:asciiTheme="majorHAnsi" w:hAnsiTheme="majorHAnsi"/>
          <w:sz w:val="20"/>
          <w:szCs w:val="20"/>
        </w:rPr>
        <w:t xml:space="preserve"> increase in permitted development from 100 </w:t>
      </w:r>
      <w:r w:rsidR="00C12B3F" w:rsidRPr="005722A6">
        <w:rPr>
          <w:rFonts w:asciiTheme="majorHAnsi" w:hAnsiTheme="majorHAnsi"/>
          <w:sz w:val="20"/>
          <w:szCs w:val="20"/>
        </w:rPr>
        <w:t xml:space="preserve">to 300 </w:t>
      </w:r>
      <w:r w:rsidRPr="005722A6">
        <w:rPr>
          <w:rFonts w:asciiTheme="majorHAnsi" w:hAnsiTheme="majorHAnsi"/>
          <w:sz w:val="20"/>
          <w:szCs w:val="20"/>
        </w:rPr>
        <w:t xml:space="preserve">permitted projects </w:t>
      </w:r>
      <w:r w:rsidR="00C12B3F" w:rsidRPr="005722A6">
        <w:rPr>
          <w:rFonts w:asciiTheme="majorHAnsi" w:hAnsiTheme="majorHAnsi"/>
          <w:sz w:val="20"/>
          <w:szCs w:val="20"/>
        </w:rPr>
        <w:t xml:space="preserve">between </w:t>
      </w:r>
      <w:r w:rsidRPr="005722A6">
        <w:rPr>
          <w:rFonts w:asciiTheme="majorHAnsi" w:hAnsiTheme="majorHAnsi"/>
          <w:sz w:val="20"/>
          <w:szCs w:val="20"/>
        </w:rPr>
        <w:t xml:space="preserve">2012 </w:t>
      </w:r>
      <w:r w:rsidR="00C12B3F" w:rsidRPr="00833EB7">
        <w:rPr>
          <w:rFonts w:asciiTheme="majorHAnsi" w:hAnsiTheme="majorHAnsi"/>
          <w:sz w:val="20"/>
          <w:szCs w:val="20"/>
        </w:rPr>
        <w:t xml:space="preserve">and </w:t>
      </w:r>
      <w:r w:rsidR="00833EB7">
        <w:rPr>
          <w:rFonts w:asciiTheme="majorHAnsi" w:hAnsiTheme="majorHAnsi"/>
          <w:sz w:val="20"/>
          <w:szCs w:val="20"/>
        </w:rPr>
        <w:t>2015</w:t>
      </w:r>
      <w:r w:rsidR="00833EB7" w:rsidRPr="005722A6">
        <w:rPr>
          <w:rFonts w:asciiTheme="majorHAnsi" w:hAnsiTheme="majorHAnsi"/>
          <w:sz w:val="20"/>
          <w:szCs w:val="20"/>
        </w:rPr>
        <w:t xml:space="preserve"> </w:t>
      </w:r>
      <w:r w:rsidR="00C12B3F" w:rsidRPr="005722A6">
        <w:rPr>
          <w:rFonts w:asciiTheme="majorHAnsi" w:hAnsiTheme="majorHAnsi"/>
          <w:sz w:val="20"/>
          <w:szCs w:val="20"/>
        </w:rPr>
        <w:t xml:space="preserve">respectively. </w:t>
      </w:r>
      <w:r w:rsidRPr="005722A6">
        <w:rPr>
          <w:rFonts w:asciiTheme="majorHAnsi" w:hAnsiTheme="majorHAnsi"/>
          <w:sz w:val="20"/>
          <w:szCs w:val="20"/>
        </w:rPr>
        <w:t xml:space="preserve">Despite the growth in permits, the country’s capacity to monitor and enforce </w:t>
      </w:r>
      <w:r w:rsidR="00C12B3F" w:rsidRPr="005722A6">
        <w:rPr>
          <w:rFonts w:asciiTheme="majorHAnsi" w:hAnsiTheme="majorHAnsi"/>
          <w:sz w:val="20"/>
          <w:szCs w:val="20"/>
        </w:rPr>
        <w:t xml:space="preserve">planning </w:t>
      </w:r>
      <w:r w:rsidRPr="005722A6">
        <w:rPr>
          <w:rFonts w:asciiTheme="majorHAnsi" w:hAnsiTheme="majorHAnsi"/>
          <w:sz w:val="20"/>
          <w:szCs w:val="20"/>
        </w:rPr>
        <w:t>conditions has not grown</w:t>
      </w:r>
      <w:r w:rsidR="00C71EB0">
        <w:rPr>
          <w:rFonts w:asciiTheme="majorHAnsi" w:hAnsiTheme="majorHAnsi"/>
          <w:sz w:val="20"/>
          <w:szCs w:val="20"/>
        </w:rPr>
        <w:t xml:space="preserve">. </w:t>
      </w:r>
      <w:r w:rsidRPr="005722A6">
        <w:rPr>
          <w:rFonts w:asciiTheme="majorHAnsi" w:hAnsiTheme="majorHAnsi"/>
          <w:sz w:val="20"/>
          <w:szCs w:val="20"/>
        </w:rPr>
        <w:t xml:space="preserve"> It is expected that the rate of deforestation</w:t>
      </w:r>
      <w:r w:rsidR="00A23F5B" w:rsidRPr="005722A6">
        <w:rPr>
          <w:rFonts w:asciiTheme="majorHAnsi" w:hAnsiTheme="majorHAnsi"/>
          <w:sz w:val="20"/>
          <w:szCs w:val="20"/>
        </w:rPr>
        <w:t xml:space="preserve"> with subsequent erosion and sedimentation</w:t>
      </w:r>
      <w:r w:rsidRPr="005722A6">
        <w:rPr>
          <w:rFonts w:asciiTheme="majorHAnsi" w:hAnsiTheme="majorHAnsi"/>
          <w:sz w:val="20"/>
          <w:szCs w:val="20"/>
        </w:rPr>
        <w:t xml:space="preserve"> </w:t>
      </w:r>
      <w:r w:rsidRPr="005722A6">
        <w:rPr>
          <w:rFonts w:asciiTheme="majorHAnsi" w:hAnsiTheme="majorHAnsi"/>
          <w:sz w:val="20"/>
          <w:szCs w:val="20"/>
        </w:rPr>
        <w:lastRenderedPageBreak/>
        <w:t xml:space="preserve">will accelerate significantly in the next 10 years under a business as usual scenario. </w:t>
      </w:r>
      <w:r w:rsidRPr="005722A6">
        <w:rPr>
          <w:rFonts w:asciiTheme="majorHAnsi" w:hAnsiTheme="majorHAnsi" w:cs="Garamond"/>
          <w:sz w:val="20"/>
          <w:szCs w:val="20"/>
        </w:rPr>
        <w:t xml:space="preserve">Siltation rates </w:t>
      </w:r>
      <w:r w:rsidR="00B739E0">
        <w:rPr>
          <w:rFonts w:asciiTheme="majorHAnsi" w:hAnsiTheme="majorHAnsi" w:cs="Garamond"/>
          <w:sz w:val="20"/>
          <w:szCs w:val="20"/>
        </w:rPr>
        <w:t xml:space="preserve">have </w:t>
      </w:r>
      <w:r w:rsidRPr="005722A6">
        <w:rPr>
          <w:rFonts w:asciiTheme="majorHAnsi" w:hAnsiTheme="majorHAnsi" w:cs="Garamond"/>
          <w:sz w:val="20"/>
          <w:szCs w:val="20"/>
        </w:rPr>
        <w:t>increased in two watersheds in Palau by 300% (Ngerikiil) and 500% (Ngerdorch) since 2003. This</w:t>
      </w:r>
      <w:r w:rsidR="00B739E0">
        <w:rPr>
          <w:rFonts w:asciiTheme="majorHAnsi" w:hAnsiTheme="majorHAnsi" w:cs="Garamond"/>
          <w:sz w:val="20"/>
          <w:szCs w:val="20"/>
        </w:rPr>
        <w:t>,</w:t>
      </w:r>
      <w:r w:rsidRPr="005722A6">
        <w:rPr>
          <w:rFonts w:asciiTheme="majorHAnsi" w:hAnsiTheme="majorHAnsi" w:cs="Garamond"/>
          <w:sz w:val="20"/>
          <w:szCs w:val="20"/>
        </w:rPr>
        <w:t xml:space="preserve"> combined with the rate of increase in permitted projects</w:t>
      </w:r>
      <w:r w:rsidR="00B739E0">
        <w:rPr>
          <w:rFonts w:asciiTheme="majorHAnsi" w:hAnsiTheme="majorHAnsi" w:cs="Garamond"/>
          <w:sz w:val="20"/>
          <w:szCs w:val="20"/>
        </w:rPr>
        <w:t>,</w:t>
      </w:r>
      <w:r w:rsidRPr="005722A6">
        <w:rPr>
          <w:rFonts w:asciiTheme="majorHAnsi" w:hAnsiTheme="majorHAnsi" w:cs="Garamond"/>
          <w:sz w:val="20"/>
          <w:szCs w:val="20"/>
        </w:rPr>
        <w:t xml:space="preserve"> means that both terrestrial and marine resources are under increas</w:t>
      </w:r>
      <w:r w:rsidR="00B739E0">
        <w:rPr>
          <w:rFonts w:asciiTheme="majorHAnsi" w:hAnsiTheme="majorHAnsi" w:cs="Garamond"/>
          <w:sz w:val="20"/>
          <w:szCs w:val="20"/>
        </w:rPr>
        <w:t>ing</w:t>
      </w:r>
      <w:r w:rsidRPr="005722A6">
        <w:rPr>
          <w:rFonts w:asciiTheme="majorHAnsi" w:hAnsiTheme="majorHAnsi" w:cs="Garamond"/>
          <w:sz w:val="20"/>
          <w:szCs w:val="20"/>
        </w:rPr>
        <w:t xml:space="preserve"> </w:t>
      </w:r>
      <w:r w:rsidRPr="00FB6518">
        <w:rPr>
          <w:rFonts w:cs="Garamond"/>
          <w:sz w:val="20"/>
          <w:szCs w:val="20"/>
        </w:rPr>
        <w:t>threat</w:t>
      </w:r>
      <w:r w:rsidR="00B739E0" w:rsidRPr="00FB6518">
        <w:rPr>
          <w:rFonts w:cs="Garamond"/>
          <w:sz w:val="20"/>
          <w:szCs w:val="20"/>
        </w:rPr>
        <w:t>s</w:t>
      </w:r>
      <w:r w:rsidRPr="00FB6518">
        <w:rPr>
          <w:rFonts w:cs="Garamond"/>
          <w:sz w:val="20"/>
          <w:szCs w:val="20"/>
        </w:rPr>
        <w:t xml:space="preserve"> from development.</w:t>
      </w:r>
    </w:p>
    <w:p w14:paraId="4C808C45" w14:textId="77777777" w:rsidR="00B87774" w:rsidRPr="00FB6518" w:rsidRDefault="00B87774" w:rsidP="00B87774">
      <w:pPr>
        <w:rPr>
          <w:sz w:val="20"/>
          <w:szCs w:val="20"/>
        </w:rPr>
      </w:pPr>
    </w:p>
    <w:p w14:paraId="4E7943CD" w14:textId="28A57EBB" w:rsidR="00B87774" w:rsidRPr="005722A6" w:rsidRDefault="00B87774" w:rsidP="00C71EB0">
      <w:pPr>
        <w:rPr>
          <w:rFonts w:asciiTheme="majorHAnsi" w:hAnsiTheme="majorHAnsi"/>
          <w:sz w:val="20"/>
          <w:szCs w:val="20"/>
        </w:rPr>
      </w:pPr>
      <w:r w:rsidRPr="005722A6">
        <w:rPr>
          <w:rFonts w:asciiTheme="majorHAnsi" w:hAnsiTheme="majorHAnsi"/>
          <w:i/>
          <w:sz w:val="20"/>
          <w:szCs w:val="20"/>
        </w:rPr>
        <w:t>Invasive Alien Species (IAS)</w:t>
      </w:r>
      <w:r w:rsidR="00F95973">
        <w:rPr>
          <w:rFonts w:asciiTheme="majorHAnsi" w:hAnsiTheme="majorHAnsi"/>
          <w:i/>
          <w:sz w:val="20"/>
          <w:szCs w:val="20"/>
        </w:rPr>
        <w:t>,</w:t>
      </w:r>
      <w:r w:rsidR="003E627C" w:rsidRPr="005722A6">
        <w:rPr>
          <w:rFonts w:asciiTheme="majorHAnsi" w:hAnsiTheme="majorHAnsi"/>
          <w:i/>
          <w:sz w:val="20"/>
          <w:szCs w:val="20"/>
        </w:rPr>
        <w:t xml:space="preserve"> </w:t>
      </w:r>
      <w:r w:rsidR="003E627C" w:rsidRPr="005722A6">
        <w:rPr>
          <w:rFonts w:asciiTheme="majorHAnsi" w:hAnsiTheme="majorHAnsi"/>
          <w:sz w:val="20"/>
          <w:szCs w:val="20"/>
        </w:rPr>
        <w:t xml:space="preserve">possibly the </w:t>
      </w:r>
      <w:r w:rsidRPr="005722A6">
        <w:rPr>
          <w:rFonts w:asciiTheme="majorHAnsi" w:hAnsiTheme="majorHAnsi"/>
          <w:sz w:val="20"/>
          <w:szCs w:val="20"/>
        </w:rPr>
        <w:t>greatest threat to biodiversity in the Pacific Islands</w:t>
      </w:r>
      <w:r w:rsidR="00F95973">
        <w:rPr>
          <w:rFonts w:asciiTheme="majorHAnsi" w:hAnsiTheme="majorHAnsi"/>
          <w:sz w:val="20"/>
          <w:szCs w:val="20"/>
        </w:rPr>
        <w:t>,</w:t>
      </w:r>
      <w:r w:rsidRPr="005722A6">
        <w:rPr>
          <w:rFonts w:asciiTheme="majorHAnsi" w:hAnsiTheme="majorHAnsi"/>
          <w:sz w:val="20"/>
          <w:szCs w:val="20"/>
        </w:rPr>
        <w:t xml:space="preserve"> threaten Palau’s economy, human health, agriculture and aquaculture. Given that nearly all of Palau’s PAs include endemic or endangered animals with small populations, IAS are of particular concern to protected area management on land. IAS also pose</w:t>
      </w:r>
      <w:r w:rsidR="007C0541" w:rsidRPr="005722A6">
        <w:rPr>
          <w:rFonts w:asciiTheme="majorHAnsi" w:hAnsiTheme="majorHAnsi"/>
          <w:sz w:val="20"/>
          <w:szCs w:val="20"/>
        </w:rPr>
        <w:t>s</w:t>
      </w:r>
      <w:r w:rsidRPr="005722A6">
        <w:rPr>
          <w:rFonts w:asciiTheme="majorHAnsi" w:hAnsiTheme="majorHAnsi"/>
          <w:sz w:val="20"/>
          <w:szCs w:val="20"/>
        </w:rPr>
        <w:t xml:space="preserve"> a threat of unquantified magnitude to Palau’s marine biodiversity. In </w:t>
      </w:r>
      <w:r w:rsidR="0086364B">
        <w:rPr>
          <w:rFonts w:asciiTheme="majorHAnsi" w:hAnsiTheme="majorHAnsi"/>
          <w:sz w:val="20"/>
          <w:szCs w:val="20"/>
        </w:rPr>
        <w:t xml:space="preserve">a </w:t>
      </w:r>
      <w:r w:rsidRPr="005722A6">
        <w:rPr>
          <w:rFonts w:asciiTheme="majorHAnsi" w:hAnsiTheme="majorHAnsi"/>
          <w:sz w:val="20"/>
          <w:szCs w:val="20"/>
        </w:rPr>
        <w:t xml:space="preserve">marine lake open to tourists, a non-native </w:t>
      </w:r>
      <w:r w:rsidRPr="005722A6">
        <w:rPr>
          <w:rFonts w:asciiTheme="majorHAnsi" w:hAnsiTheme="majorHAnsi"/>
          <w:i/>
          <w:iCs/>
          <w:sz w:val="20"/>
          <w:szCs w:val="20"/>
        </w:rPr>
        <w:t xml:space="preserve">Aiptasia </w:t>
      </w:r>
      <w:r w:rsidRPr="005722A6">
        <w:rPr>
          <w:rFonts w:asciiTheme="majorHAnsi" w:hAnsiTheme="majorHAnsi"/>
          <w:sz w:val="20"/>
          <w:szCs w:val="20"/>
        </w:rPr>
        <w:t xml:space="preserve">species of anemone has established and is spreading across </w:t>
      </w:r>
      <w:r w:rsidR="000323AF" w:rsidRPr="005722A6">
        <w:rPr>
          <w:rFonts w:asciiTheme="majorHAnsi" w:hAnsiTheme="majorHAnsi"/>
          <w:sz w:val="20"/>
          <w:szCs w:val="20"/>
        </w:rPr>
        <w:t xml:space="preserve">Jellyfish </w:t>
      </w:r>
      <w:r w:rsidR="0086364B">
        <w:rPr>
          <w:rFonts w:asciiTheme="majorHAnsi" w:hAnsiTheme="majorHAnsi"/>
          <w:sz w:val="20"/>
          <w:szCs w:val="20"/>
        </w:rPr>
        <w:t>L</w:t>
      </w:r>
      <w:r w:rsidRPr="005722A6">
        <w:rPr>
          <w:rFonts w:asciiTheme="majorHAnsi" w:hAnsiTheme="majorHAnsi"/>
          <w:sz w:val="20"/>
          <w:szCs w:val="20"/>
        </w:rPr>
        <w:t xml:space="preserve">ake where it appears to be </w:t>
      </w:r>
      <w:r w:rsidR="000323AF" w:rsidRPr="005722A6">
        <w:rPr>
          <w:rFonts w:asciiTheme="majorHAnsi" w:hAnsiTheme="majorHAnsi"/>
          <w:sz w:val="20"/>
          <w:szCs w:val="20"/>
        </w:rPr>
        <w:t>competing with native species</w:t>
      </w:r>
      <w:r w:rsidRPr="005722A6">
        <w:rPr>
          <w:rFonts w:asciiTheme="majorHAnsi" w:hAnsiTheme="majorHAnsi"/>
          <w:sz w:val="20"/>
          <w:szCs w:val="20"/>
        </w:rPr>
        <w:t xml:space="preserve">. A non-native species of hydroid, </w:t>
      </w:r>
      <w:r w:rsidRPr="005722A6">
        <w:rPr>
          <w:rFonts w:asciiTheme="majorHAnsi" w:hAnsiTheme="majorHAnsi"/>
          <w:i/>
          <w:iCs/>
          <w:sz w:val="20"/>
          <w:szCs w:val="20"/>
        </w:rPr>
        <w:t>Eudendrium carneum</w:t>
      </w:r>
      <w:r w:rsidRPr="005722A6">
        <w:rPr>
          <w:rFonts w:asciiTheme="majorHAnsi" w:hAnsiTheme="majorHAnsi"/>
          <w:sz w:val="20"/>
          <w:szCs w:val="20"/>
        </w:rPr>
        <w:t>, was introduced via a floating bridge from China</w:t>
      </w:r>
      <w:r w:rsidR="00B804F3" w:rsidRPr="005722A6">
        <w:rPr>
          <w:rFonts w:asciiTheme="majorHAnsi" w:hAnsiTheme="majorHAnsi"/>
          <w:sz w:val="20"/>
          <w:szCs w:val="20"/>
        </w:rPr>
        <w:t xml:space="preserve"> and has the </w:t>
      </w:r>
      <w:r w:rsidRPr="005722A6">
        <w:rPr>
          <w:rFonts w:asciiTheme="majorHAnsi" w:hAnsiTheme="majorHAnsi"/>
          <w:sz w:val="20"/>
          <w:szCs w:val="20"/>
        </w:rPr>
        <w:t>potential to become a “pest” organism</w:t>
      </w:r>
      <w:r w:rsidR="00B804F3" w:rsidRPr="005722A6">
        <w:rPr>
          <w:rFonts w:asciiTheme="majorHAnsi" w:hAnsiTheme="majorHAnsi"/>
          <w:sz w:val="20"/>
          <w:szCs w:val="20"/>
        </w:rPr>
        <w:t xml:space="preserve">. </w:t>
      </w:r>
      <w:r w:rsidRPr="005722A6">
        <w:rPr>
          <w:rFonts w:asciiTheme="majorHAnsi" w:hAnsiTheme="majorHAnsi"/>
          <w:sz w:val="20"/>
          <w:szCs w:val="20"/>
        </w:rPr>
        <w:t xml:space="preserve">Key potential pathways include transport, tourism (tourists and </w:t>
      </w:r>
      <w:r w:rsidR="000323AF" w:rsidRPr="005722A6">
        <w:rPr>
          <w:rFonts w:asciiTheme="majorHAnsi" w:hAnsiTheme="majorHAnsi"/>
          <w:sz w:val="20"/>
          <w:szCs w:val="20"/>
        </w:rPr>
        <w:t xml:space="preserve">the </w:t>
      </w:r>
      <w:r w:rsidRPr="005722A6">
        <w:rPr>
          <w:rFonts w:asciiTheme="majorHAnsi" w:hAnsiTheme="majorHAnsi"/>
          <w:sz w:val="20"/>
          <w:szCs w:val="20"/>
        </w:rPr>
        <w:t xml:space="preserve">ornamental plants </w:t>
      </w:r>
      <w:r w:rsidR="000323AF" w:rsidRPr="005722A6">
        <w:rPr>
          <w:rFonts w:asciiTheme="majorHAnsi" w:hAnsiTheme="majorHAnsi"/>
          <w:sz w:val="20"/>
          <w:szCs w:val="20"/>
        </w:rPr>
        <w:t xml:space="preserve">introduced to </w:t>
      </w:r>
      <w:r w:rsidRPr="005722A6">
        <w:rPr>
          <w:rFonts w:asciiTheme="majorHAnsi" w:hAnsiTheme="majorHAnsi"/>
          <w:sz w:val="20"/>
          <w:szCs w:val="20"/>
        </w:rPr>
        <w:t xml:space="preserve">hotel landscaped gardens), agriculture, pet trade, foreign fishing vessels, shipping, </w:t>
      </w:r>
      <w:r w:rsidR="00A23F5B" w:rsidRPr="005722A6">
        <w:rPr>
          <w:rFonts w:asciiTheme="majorHAnsi" w:hAnsiTheme="majorHAnsi"/>
          <w:sz w:val="20"/>
          <w:szCs w:val="20"/>
        </w:rPr>
        <w:t xml:space="preserve">and </w:t>
      </w:r>
      <w:r w:rsidRPr="005722A6">
        <w:rPr>
          <w:rFonts w:asciiTheme="majorHAnsi" w:hAnsiTheme="majorHAnsi"/>
          <w:sz w:val="20"/>
          <w:szCs w:val="20"/>
        </w:rPr>
        <w:t>aquaculture (though efforts are now being made to focus only on native species for aquaculture)</w:t>
      </w:r>
      <w:r w:rsidR="00194AA1">
        <w:rPr>
          <w:rFonts w:asciiTheme="majorHAnsi" w:hAnsiTheme="majorHAnsi"/>
          <w:sz w:val="20"/>
          <w:szCs w:val="20"/>
        </w:rPr>
        <w:t xml:space="preserve">. </w:t>
      </w:r>
    </w:p>
    <w:p w14:paraId="1D2AE21F" w14:textId="77777777" w:rsidR="00B87774" w:rsidRPr="005722A6" w:rsidRDefault="00B87774" w:rsidP="00B87774">
      <w:pPr>
        <w:widowControl w:val="0"/>
        <w:autoSpaceDE w:val="0"/>
        <w:autoSpaceDN w:val="0"/>
        <w:adjustRightInd w:val="0"/>
        <w:spacing w:after="0"/>
        <w:rPr>
          <w:rFonts w:asciiTheme="majorHAnsi" w:hAnsiTheme="majorHAnsi"/>
          <w:sz w:val="20"/>
          <w:szCs w:val="20"/>
        </w:rPr>
      </w:pPr>
    </w:p>
    <w:p w14:paraId="11318027" w14:textId="3759CF68" w:rsidR="00B87774" w:rsidRPr="005722A6" w:rsidRDefault="00B87774" w:rsidP="00B87774">
      <w:pPr>
        <w:widowControl w:val="0"/>
        <w:autoSpaceDE w:val="0"/>
        <w:autoSpaceDN w:val="0"/>
        <w:adjustRightInd w:val="0"/>
        <w:spacing w:after="0"/>
        <w:rPr>
          <w:rFonts w:asciiTheme="majorHAnsi" w:hAnsiTheme="majorHAnsi"/>
          <w:sz w:val="20"/>
          <w:szCs w:val="20"/>
        </w:rPr>
      </w:pPr>
      <w:r w:rsidRPr="005722A6">
        <w:rPr>
          <w:rFonts w:asciiTheme="majorHAnsi" w:hAnsiTheme="majorHAnsi"/>
          <w:i/>
          <w:sz w:val="20"/>
          <w:szCs w:val="20"/>
        </w:rPr>
        <w:t>Uncontrolled fires</w:t>
      </w:r>
      <w:r w:rsidR="000323AF" w:rsidRPr="005722A6">
        <w:rPr>
          <w:rFonts w:asciiTheme="majorHAnsi" w:hAnsiTheme="majorHAnsi"/>
          <w:i/>
          <w:sz w:val="20"/>
          <w:szCs w:val="20"/>
        </w:rPr>
        <w:t xml:space="preserve"> </w:t>
      </w:r>
      <w:r w:rsidR="000323AF" w:rsidRPr="005722A6">
        <w:rPr>
          <w:rFonts w:asciiTheme="majorHAnsi" w:hAnsiTheme="majorHAnsi"/>
          <w:sz w:val="20"/>
          <w:szCs w:val="20"/>
        </w:rPr>
        <w:t xml:space="preserve">are a </w:t>
      </w:r>
      <w:r w:rsidR="004C530D" w:rsidRPr="005722A6">
        <w:rPr>
          <w:rFonts w:asciiTheme="majorHAnsi" w:hAnsiTheme="majorHAnsi"/>
          <w:sz w:val="20"/>
          <w:szCs w:val="20"/>
        </w:rPr>
        <w:t xml:space="preserve">major threat to terrestrial biodiversity </w:t>
      </w:r>
      <w:r w:rsidR="000323AF" w:rsidRPr="005722A6">
        <w:rPr>
          <w:rFonts w:asciiTheme="majorHAnsi" w:hAnsiTheme="majorHAnsi"/>
          <w:sz w:val="20"/>
          <w:szCs w:val="20"/>
        </w:rPr>
        <w:t xml:space="preserve">on Babeldaob as well as degrading </w:t>
      </w:r>
      <w:r w:rsidR="004C530D" w:rsidRPr="005722A6">
        <w:rPr>
          <w:rFonts w:asciiTheme="majorHAnsi" w:hAnsiTheme="majorHAnsi"/>
          <w:sz w:val="20"/>
          <w:szCs w:val="20"/>
        </w:rPr>
        <w:t>marine habitat</w:t>
      </w:r>
      <w:r w:rsidR="000323AF" w:rsidRPr="005722A6">
        <w:rPr>
          <w:rFonts w:asciiTheme="majorHAnsi" w:hAnsiTheme="majorHAnsi"/>
          <w:sz w:val="20"/>
          <w:szCs w:val="20"/>
        </w:rPr>
        <w:t xml:space="preserve">s downstream. </w:t>
      </w:r>
      <w:r w:rsidRPr="005722A6">
        <w:rPr>
          <w:rFonts w:asciiTheme="majorHAnsi" w:hAnsiTheme="majorHAnsi"/>
          <w:sz w:val="20"/>
          <w:szCs w:val="20"/>
        </w:rPr>
        <w:t>Disturbed forest and savannah is highly susceptible to IAS invasions. Completely eroded soils and bare areas are developing where fires occur on steep slopes, in areas exposed to strong winds</w:t>
      </w:r>
      <w:r w:rsidR="00401272" w:rsidRPr="005722A6">
        <w:rPr>
          <w:rFonts w:asciiTheme="majorHAnsi" w:hAnsiTheme="majorHAnsi"/>
          <w:sz w:val="20"/>
          <w:szCs w:val="20"/>
        </w:rPr>
        <w:t>,</w:t>
      </w:r>
      <w:r w:rsidRPr="005722A6">
        <w:rPr>
          <w:rFonts w:asciiTheme="majorHAnsi" w:hAnsiTheme="majorHAnsi"/>
          <w:sz w:val="20"/>
          <w:szCs w:val="20"/>
        </w:rPr>
        <w:t xml:space="preserve"> or areas repeatedly burned. </w:t>
      </w:r>
      <w:r w:rsidR="00C07358" w:rsidRPr="005722A6">
        <w:rPr>
          <w:rFonts w:asciiTheme="majorHAnsi" w:hAnsiTheme="majorHAnsi"/>
          <w:sz w:val="20"/>
          <w:szCs w:val="20"/>
        </w:rPr>
        <w:t>The threat of fire has increased significantly in recent years: in 2007</w:t>
      </w:r>
      <w:r w:rsidR="007B16CC" w:rsidRPr="005722A6">
        <w:rPr>
          <w:rFonts w:asciiTheme="majorHAnsi" w:hAnsiTheme="majorHAnsi"/>
          <w:sz w:val="20"/>
          <w:szCs w:val="20"/>
        </w:rPr>
        <w:t>,</w:t>
      </w:r>
      <w:r w:rsidR="00C07358" w:rsidRPr="005722A6">
        <w:rPr>
          <w:rFonts w:asciiTheme="majorHAnsi" w:hAnsiTheme="majorHAnsi"/>
          <w:sz w:val="20"/>
          <w:szCs w:val="20"/>
        </w:rPr>
        <w:t xml:space="preserve"> 68 fires burned 7 hectares (0.02% of Babeldoab); in 2015</w:t>
      </w:r>
      <w:r w:rsidR="00311A25" w:rsidRPr="005722A6">
        <w:rPr>
          <w:rFonts w:asciiTheme="majorHAnsi" w:hAnsiTheme="majorHAnsi"/>
          <w:sz w:val="20"/>
          <w:szCs w:val="20"/>
        </w:rPr>
        <w:t>,</w:t>
      </w:r>
      <w:r w:rsidR="00C07358" w:rsidRPr="005722A6">
        <w:rPr>
          <w:rFonts w:asciiTheme="majorHAnsi" w:hAnsiTheme="majorHAnsi"/>
          <w:sz w:val="20"/>
          <w:szCs w:val="20"/>
        </w:rPr>
        <w:t xml:space="preserve"> 179 fires burned 507 hectares (1.5% of the island). </w:t>
      </w:r>
      <w:r w:rsidR="00401272" w:rsidRPr="005722A6">
        <w:rPr>
          <w:rFonts w:asciiTheme="majorHAnsi" w:hAnsiTheme="majorHAnsi"/>
          <w:sz w:val="20"/>
          <w:szCs w:val="20"/>
        </w:rPr>
        <w:t>75% of w</w:t>
      </w:r>
      <w:r w:rsidR="00C07358" w:rsidRPr="005722A6">
        <w:rPr>
          <w:rFonts w:asciiTheme="majorHAnsi" w:hAnsiTheme="majorHAnsi"/>
          <w:sz w:val="20"/>
          <w:szCs w:val="20"/>
        </w:rPr>
        <w:t xml:space="preserve">ildfires on Babeldaob are human derived (through arson, farming, hunting, </w:t>
      </w:r>
      <w:r w:rsidR="00401272" w:rsidRPr="005722A6">
        <w:rPr>
          <w:rFonts w:asciiTheme="majorHAnsi" w:hAnsiTheme="majorHAnsi"/>
          <w:sz w:val="20"/>
          <w:szCs w:val="20"/>
        </w:rPr>
        <w:t>and clearin</w:t>
      </w:r>
      <w:r w:rsidR="007C0541" w:rsidRPr="005722A6">
        <w:rPr>
          <w:rFonts w:asciiTheme="majorHAnsi" w:hAnsiTheme="majorHAnsi"/>
          <w:sz w:val="20"/>
          <w:szCs w:val="20"/>
        </w:rPr>
        <w:t>g</w:t>
      </w:r>
      <w:r w:rsidR="00C07358" w:rsidRPr="005722A6">
        <w:rPr>
          <w:rFonts w:asciiTheme="majorHAnsi" w:hAnsiTheme="majorHAnsi"/>
          <w:sz w:val="20"/>
          <w:szCs w:val="20"/>
        </w:rPr>
        <w:t>)</w:t>
      </w:r>
      <w:r w:rsidR="00194AA1">
        <w:rPr>
          <w:rFonts w:asciiTheme="majorHAnsi" w:hAnsiTheme="majorHAnsi"/>
          <w:sz w:val="20"/>
          <w:szCs w:val="20"/>
        </w:rPr>
        <w:t xml:space="preserve">. </w:t>
      </w:r>
      <w:r w:rsidRPr="005722A6">
        <w:rPr>
          <w:rFonts w:asciiTheme="majorHAnsi" w:hAnsiTheme="majorHAnsi"/>
          <w:sz w:val="20"/>
          <w:szCs w:val="20"/>
        </w:rPr>
        <w:t xml:space="preserve">Climate change is projected to exacerbate the risk of fire. </w:t>
      </w:r>
      <w:r w:rsidR="000323AF" w:rsidRPr="005722A6">
        <w:rPr>
          <w:rFonts w:asciiTheme="majorHAnsi" w:hAnsiTheme="majorHAnsi"/>
          <w:sz w:val="20"/>
          <w:szCs w:val="20"/>
        </w:rPr>
        <w:t>Palau currently lacks sufficient infrastructure and resources to effectively respond to most wilderness fires.</w:t>
      </w:r>
    </w:p>
    <w:p w14:paraId="330E172F" w14:textId="77777777" w:rsidR="00B87774" w:rsidRPr="005722A6" w:rsidRDefault="00B87774" w:rsidP="00B87774">
      <w:pPr>
        <w:widowControl w:val="0"/>
        <w:autoSpaceDE w:val="0"/>
        <w:autoSpaceDN w:val="0"/>
        <w:adjustRightInd w:val="0"/>
        <w:spacing w:after="0"/>
        <w:rPr>
          <w:rFonts w:asciiTheme="majorHAnsi" w:hAnsiTheme="majorHAnsi"/>
          <w:sz w:val="20"/>
          <w:szCs w:val="20"/>
        </w:rPr>
      </w:pPr>
    </w:p>
    <w:p w14:paraId="3E9C36B3" w14:textId="7F71A10C" w:rsidR="00B87774" w:rsidRPr="005722A6" w:rsidRDefault="00B87774" w:rsidP="00B87774">
      <w:pPr>
        <w:widowControl w:val="0"/>
        <w:autoSpaceDE w:val="0"/>
        <w:autoSpaceDN w:val="0"/>
        <w:adjustRightInd w:val="0"/>
        <w:spacing w:after="0"/>
        <w:rPr>
          <w:rFonts w:asciiTheme="majorHAnsi" w:hAnsiTheme="majorHAnsi"/>
          <w:sz w:val="20"/>
          <w:szCs w:val="20"/>
        </w:rPr>
      </w:pPr>
      <w:r w:rsidRPr="005722A6">
        <w:rPr>
          <w:rFonts w:asciiTheme="majorHAnsi" w:hAnsiTheme="majorHAnsi"/>
          <w:i/>
          <w:sz w:val="20"/>
          <w:szCs w:val="20"/>
        </w:rPr>
        <w:t>Damaging practices in tourism, coupled with rising demand</w:t>
      </w:r>
      <w:r w:rsidRPr="005722A6">
        <w:rPr>
          <w:rFonts w:asciiTheme="majorHAnsi" w:hAnsiTheme="majorHAnsi"/>
          <w:sz w:val="20"/>
          <w:szCs w:val="20"/>
        </w:rPr>
        <w:t xml:space="preserve">: International tourism arrivals to Palau </w:t>
      </w:r>
      <w:r w:rsidR="00C07358" w:rsidRPr="005722A6">
        <w:rPr>
          <w:rFonts w:asciiTheme="majorHAnsi" w:hAnsiTheme="majorHAnsi"/>
          <w:sz w:val="20"/>
          <w:szCs w:val="20"/>
        </w:rPr>
        <w:t xml:space="preserve">have steadily </w:t>
      </w:r>
      <w:r w:rsidR="000323AF" w:rsidRPr="005722A6">
        <w:rPr>
          <w:rFonts w:asciiTheme="majorHAnsi" w:hAnsiTheme="majorHAnsi"/>
          <w:sz w:val="20"/>
          <w:szCs w:val="20"/>
        </w:rPr>
        <w:t xml:space="preserve">increased </w:t>
      </w:r>
      <w:r w:rsidR="00C71EB0">
        <w:rPr>
          <w:rFonts w:asciiTheme="majorHAnsi" w:hAnsiTheme="majorHAnsi"/>
          <w:sz w:val="20"/>
          <w:szCs w:val="20"/>
        </w:rPr>
        <w:t>and</w:t>
      </w:r>
      <w:r w:rsidRPr="005722A6">
        <w:rPr>
          <w:rFonts w:asciiTheme="majorHAnsi" w:hAnsiTheme="majorHAnsi"/>
          <w:sz w:val="20"/>
          <w:szCs w:val="20"/>
        </w:rPr>
        <w:t xml:space="preserve"> contributes roughly 50% of Palau’s GDP, but </w:t>
      </w:r>
      <w:r w:rsidR="00B30A55" w:rsidRPr="005722A6">
        <w:rPr>
          <w:rFonts w:asciiTheme="majorHAnsi" w:hAnsiTheme="majorHAnsi"/>
          <w:sz w:val="20"/>
          <w:szCs w:val="20"/>
        </w:rPr>
        <w:t xml:space="preserve">it is </w:t>
      </w:r>
      <w:r w:rsidRPr="005722A6">
        <w:rPr>
          <w:rFonts w:asciiTheme="majorHAnsi" w:hAnsiTheme="majorHAnsi"/>
          <w:sz w:val="20"/>
          <w:szCs w:val="20"/>
        </w:rPr>
        <w:t xml:space="preserve">driving </w:t>
      </w:r>
      <w:r w:rsidR="00B30A55" w:rsidRPr="005722A6">
        <w:rPr>
          <w:rFonts w:asciiTheme="majorHAnsi" w:hAnsiTheme="majorHAnsi"/>
          <w:sz w:val="20"/>
          <w:szCs w:val="20"/>
        </w:rPr>
        <w:t xml:space="preserve">much of the </w:t>
      </w:r>
      <w:r w:rsidRPr="005722A6">
        <w:rPr>
          <w:rFonts w:asciiTheme="majorHAnsi" w:hAnsiTheme="majorHAnsi"/>
          <w:sz w:val="20"/>
          <w:szCs w:val="20"/>
        </w:rPr>
        <w:t>degradation of the natural beauty</w:t>
      </w:r>
      <w:r w:rsidR="007C0541" w:rsidRPr="005722A6">
        <w:rPr>
          <w:rFonts w:asciiTheme="majorHAnsi" w:hAnsiTheme="majorHAnsi"/>
          <w:sz w:val="20"/>
          <w:szCs w:val="20"/>
        </w:rPr>
        <w:t xml:space="preserve"> </w:t>
      </w:r>
      <w:r w:rsidRPr="005722A6">
        <w:rPr>
          <w:rFonts w:asciiTheme="majorHAnsi" w:hAnsiTheme="majorHAnsi"/>
          <w:sz w:val="20"/>
          <w:szCs w:val="20"/>
        </w:rPr>
        <w:t xml:space="preserve">that tourists come to see and on which the economy largely depends. </w:t>
      </w:r>
      <w:r w:rsidR="00B30A55" w:rsidRPr="005722A6">
        <w:rPr>
          <w:rFonts w:asciiTheme="majorHAnsi" w:hAnsiTheme="majorHAnsi"/>
          <w:sz w:val="20"/>
          <w:szCs w:val="20"/>
        </w:rPr>
        <w:t>M</w:t>
      </w:r>
      <w:r w:rsidR="00C07358" w:rsidRPr="005722A6">
        <w:rPr>
          <w:rFonts w:asciiTheme="majorHAnsi" w:hAnsiTheme="majorHAnsi"/>
          <w:sz w:val="20"/>
          <w:szCs w:val="20"/>
        </w:rPr>
        <w:t>arine sites have been hosting more visitors than their capacity</w:t>
      </w:r>
      <w:r w:rsidR="00B30A55" w:rsidRPr="005722A6">
        <w:rPr>
          <w:rFonts w:asciiTheme="majorHAnsi" w:hAnsiTheme="majorHAnsi"/>
          <w:sz w:val="20"/>
          <w:szCs w:val="20"/>
        </w:rPr>
        <w:t xml:space="preserve"> can sustain</w:t>
      </w:r>
      <w:r w:rsidR="00C07358" w:rsidRPr="005722A6">
        <w:rPr>
          <w:rFonts w:asciiTheme="majorHAnsi" w:hAnsiTheme="majorHAnsi"/>
          <w:sz w:val="20"/>
          <w:szCs w:val="20"/>
        </w:rPr>
        <w:t xml:space="preserve">: for instance in 2010 there were an estimated 50,000 dives at the popular German Channel site, </w:t>
      </w:r>
      <w:r w:rsidR="00C80F11" w:rsidRPr="005722A6">
        <w:rPr>
          <w:rFonts w:asciiTheme="majorHAnsi" w:hAnsiTheme="majorHAnsi"/>
          <w:sz w:val="20"/>
          <w:szCs w:val="20"/>
        </w:rPr>
        <w:t xml:space="preserve">where </w:t>
      </w:r>
      <w:r w:rsidR="00C07358" w:rsidRPr="005722A6">
        <w:rPr>
          <w:rFonts w:asciiTheme="majorHAnsi" w:hAnsiTheme="majorHAnsi"/>
          <w:sz w:val="20"/>
          <w:szCs w:val="20"/>
        </w:rPr>
        <w:t xml:space="preserve">the carrying capacity was estimated </w:t>
      </w:r>
      <w:r w:rsidR="00C80F11" w:rsidRPr="005722A6">
        <w:rPr>
          <w:rFonts w:asciiTheme="majorHAnsi" w:hAnsiTheme="majorHAnsi"/>
          <w:sz w:val="20"/>
          <w:szCs w:val="20"/>
        </w:rPr>
        <w:t>to be an order of magnitude lower (</w:t>
      </w:r>
      <w:r w:rsidR="00C07358" w:rsidRPr="005722A6">
        <w:rPr>
          <w:rFonts w:asciiTheme="majorHAnsi" w:hAnsiTheme="majorHAnsi"/>
          <w:sz w:val="20"/>
          <w:szCs w:val="20"/>
        </w:rPr>
        <w:t>4,000-7,000</w:t>
      </w:r>
      <w:r w:rsidR="00C80F11" w:rsidRPr="005722A6">
        <w:rPr>
          <w:rFonts w:asciiTheme="majorHAnsi" w:hAnsiTheme="majorHAnsi"/>
          <w:sz w:val="20"/>
          <w:szCs w:val="20"/>
        </w:rPr>
        <w:t>)</w:t>
      </w:r>
      <w:r w:rsidR="00401272" w:rsidRPr="005722A6">
        <w:rPr>
          <w:rStyle w:val="FootnoteReference"/>
          <w:rFonts w:asciiTheme="majorHAnsi" w:hAnsiTheme="majorHAnsi"/>
          <w:sz w:val="20"/>
          <w:szCs w:val="20"/>
        </w:rPr>
        <w:footnoteReference w:id="3"/>
      </w:r>
      <w:r w:rsidR="00C07358" w:rsidRPr="005722A6">
        <w:rPr>
          <w:rFonts w:asciiTheme="majorHAnsi" w:hAnsiTheme="majorHAnsi"/>
          <w:sz w:val="20"/>
          <w:szCs w:val="20"/>
        </w:rPr>
        <w:t xml:space="preserve">. </w:t>
      </w:r>
      <w:r w:rsidR="00311A25" w:rsidRPr="005722A6">
        <w:rPr>
          <w:rFonts w:asciiTheme="majorHAnsi" w:hAnsiTheme="majorHAnsi"/>
          <w:sz w:val="20"/>
          <w:szCs w:val="20"/>
        </w:rPr>
        <w:t>Growth in the tourism sector</w:t>
      </w:r>
      <w:r w:rsidR="00C07358" w:rsidRPr="005722A6">
        <w:rPr>
          <w:rFonts w:asciiTheme="majorHAnsi" w:hAnsiTheme="majorHAnsi"/>
          <w:sz w:val="20"/>
          <w:szCs w:val="20"/>
        </w:rPr>
        <w:t xml:space="preserve"> </w:t>
      </w:r>
      <w:r w:rsidRPr="005722A6">
        <w:rPr>
          <w:rFonts w:asciiTheme="majorHAnsi" w:hAnsiTheme="majorHAnsi"/>
          <w:sz w:val="20"/>
          <w:szCs w:val="20"/>
        </w:rPr>
        <w:t xml:space="preserve">will undoubtedly place enormous pressure on Palau’s resources if not managed carefully. An increase in mass package tours from various Asian countries to Palau has resulted in greater pressures on natural resources, </w:t>
      </w:r>
      <w:r w:rsidR="00C80F11" w:rsidRPr="005722A6">
        <w:rPr>
          <w:rFonts w:asciiTheme="majorHAnsi" w:hAnsiTheme="majorHAnsi"/>
          <w:sz w:val="20"/>
          <w:szCs w:val="20"/>
        </w:rPr>
        <w:t xml:space="preserve">combined with little of such revenue being </w:t>
      </w:r>
      <w:r w:rsidRPr="005722A6">
        <w:rPr>
          <w:rFonts w:asciiTheme="majorHAnsi" w:hAnsiTheme="majorHAnsi"/>
          <w:sz w:val="20"/>
          <w:szCs w:val="20"/>
        </w:rPr>
        <w:t xml:space="preserve">retained in country. Demand for fish and other seafood from the tourist market has already placed increasing pressure on coastal waters and reef fish. Coastal fisheries are declining across utilized species, as measured by biological counts and socioeconomic perception and income surveys. The continued success of the dive industry arguably depends on </w:t>
      </w:r>
      <w:r w:rsidR="00C80F11" w:rsidRPr="005722A6">
        <w:rPr>
          <w:rFonts w:asciiTheme="majorHAnsi" w:hAnsiTheme="majorHAnsi"/>
          <w:sz w:val="20"/>
          <w:szCs w:val="20"/>
        </w:rPr>
        <w:t xml:space="preserve">marine biodiversity, including </w:t>
      </w:r>
      <w:r w:rsidRPr="005722A6">
        <w:rPr>
          <w:rFonts w:asciiTheme="majorHAnsi" w:hAnsiTheme="majorHAnsi"/>
          <w:sz w:val="20"/>
          <w:szCs w:val="20"/>
        </w:rPr>
        <w:t>healthy intact reefs</w:t>
      </w:r>
      <w:r w:rsidR="00C80F11" w:rsidRPr="005722A6">
        <w:rPr>
          <w:rFonts w:asciiTheme="majorHAnsi" w:hAnsiTheme="majorHAnsi"/>
          <w:sz w:val="20"/>
          <w:szCs w:val="20"/>
        </w:rPr>
        <w:t xml:space="preserve"> and</w:t>
      </w:r>
      <w:r w:rsidRPr="005722A6">
        <w:rPr>
          <w:rFonts w:asciiTheme="majorHAnsi" w:hAnsiTheme="majorHAnsi"/>
          <w:sz w:val="20"/>
          <w:szCs w:val="20"/>
        </w:rPr>
        <w:t xml:space="preserve"> stocks of large reef fish. </w:t>
      </w:r>
    </w:p>
    <w:p w14:paraId="09EB3597" w14:textId="77777777" w:rsidR="00B87774" w:rsidRPr="005722A6" w:rsidRDefault="00B87774" w:rsidP="00B87774">
      <w:pPr>
        <w:widowControl w:val="0"/>
        <w:autoSpaceDE w:val="0"/>
        <w:autoSpaceDN w:val="0"/>
        <w:adjustRightInd w:val="0"/>
        <w:spacing w:after="0"/>
        <w:rPr>
          <w:rFonts w:asciiTheme="majorHAnsi" w:hAnsiTheme="majorHAnsi"/>
          <w:sz w:val="20"/>
          <w:szCs w:val="20"/>
        </w:rPr>
      </w:pPr>
    </w:p>
    <w:p w14:paraId="0408F0D0" w14:textId="1CC83130" w:rsidR="00377B93" w:rsidRPr="005722A6" w:rsidRDefault="00B87774" w:rsidP="00B87774">
      <w:pPr>
        <w:rPr>
          <w:rFonts w:asciiTheme="majorHAnsi" w:hAnsiTheme="majorHAnsi"/>
          <w:sz w:val="20"/>
          <w:szCs w:val="20"/>
        </w:rPr>
      </w:pPr>
      <w:r w:rsidRPr="005722A6">
        <w:rPr>
          <w:rFonts w:asciiTheme="majorHAnsi" w:hAnsiTheme="majorHAnsi"/>
          <w:i/>
          <w:sz w:val="20"/>
          <w:szCs w:val="20"/>
        </w:rPr>
        <w:t>Over-fishing:</w:t>
      </w:r>
      <w:r w:rsidRPr="005722A6">
        <w:rPr>
          <w:rFonts w:asciiTheme="majorHAnsi" w:hAnsiTheme="majorHAnsi"/>
          <w:sz w:val="20"/>
          <w:szCs w:val="20"/>
        </w:rPr>
        <w:t xml:space="preserve"> </w:t>
      </w:r>
      <w:r w:rsidR="00311A25" w:rsidRPr="005722A6">
        <w:rPr>
          <w:rFonts w:asciiTheme="majorHAnsi" w:hAnsiTheme="majorHAnsi"/>
          <w:sz w:val="20"/>
          <w:szCs w:val="20"/>
        </w:rPr>
        <w:t>Fishing pressure on inshore reefs has led to declining stocks</w:t>
      </w:r>
      <w:r w:rsidR="00377B93" w:rsidRPr="005722A6">
        <w:rPr>
          <w:rFonts w:asciiTheme="majorHAnsi" w:hAnsiTheme="majorHAnsi"/>
          <w:sz w:val="20"/>
          <w:szCs w:val="20"/>
        </w:rPr>
        <w:t xml:space="preserve"> as evidenced from regular monitoring of sites since 2002:</w:t>
      </w:r>
      <w:r w:rsidR="00311A25" w:rsidRPr="005722A6">
        <w:rPr>
          <w:rFonts w:asciiTheme="majorHAnsi" w:hAnsiTheme="majorHAnsi"/>
          <w:sz w:val="20"/>
          <w:szCs w:val="20"/>
        </w:rPr>
        <w:t xml:space="preserve"> </w:t>
      </w:r>
    </w:p>
    <w:p w14:paraId="626214C6" w14:textId="0E4020AB" w:rsidR="00377B93" w:rsidRPr="005722A6" w:rsidRDefault="00377B93" w:rsidP="00EA4043">
      <w:pPr>
        <w:pStyle w:val="ListParagraph"/>
        <w:numPr>
          <w:ilvl w:val="0"/>
          <w:numId w:val="103"/>
        </w:numPr>
        <w:jc w:val="both"/>
        <w:rPr>
          <w:rFonts w:asciiTheme="majorHAnsi" w:hAnsiTheme="majorHAnsi"/>
          <w:sz w:val="20"/>
          <w:szCs w:val="20"/>
        </w:rPr>
      </w:pPr>
      <w:r w:rsidRPr="005722A6">
        <w:rPr>
          <w:rFonts w:asciiTheme="majorHAnsi" w:hAnsiTheme="majorHAnsi"/>
          <w:sz w:val="20"/>
          <w:szCs w:val="20"/>
        </w:rPr>
        <w:t>C</w:t>
      </w:r>
      <w:r w:rsidR="00311A25" w:rsidRPr="005722A6">
        <w:rPr>
          <w:rFonts w:asciiTheme="majorHAnsi" w:hAnsiTheme="majorHAnsi"/>
          <w:sz w:val="20"/>
          <w:szCs w:val="20"/>
        </w:rPr>
        <w:t>ommercially targeted reef fish</w:t>
      </w:r>
      <w:r w:rsidRPr="005722A6">
        <w:rPr>
          <w:rFonts w:asciiTheme="majorHAnsi" w:hAnsiTheme="majorHAnsi"/>
          <w:sz w:val="20"/>
          <w:szCs w:val="20"/>
        </w:rPr>
        <w:t xml:space="preserve"> have declined, </w:t>
      </w:r>
      <w:r w:rsidR="00311A25" w:rsidRPr="005722A6">
        <w:rPr>
          <w:rFonts w:asciiTheme="majorHAnsi" w:hAnsiTheme="majorHAnsi"/>
          <w:sz w:val="20"/>
          <w:szCs w:val="20"/>
        </w:rPr>
        <w:t xml:space="preserve">both in terms of abundance and biomass, particularly on Palau’s outer reef on the west coast and in seagrass beds. Within the reef fishery, the quantity of reef fish caught is declining and several studies have determined that specific fisheries (such as herbivorous fish and specific species) are overfished or close to their maximum sustainable yield. </w:t>
      </w:r>
    </w:p>
    <w:p w14:paraId="5F95DFEA" w14:textId="779AD6D2" w:rsidR="00377B93" w:rsidRPr="005722A6" w:rsidRDefault="00377B93" w:rsidP="00EA4043">
      <w:pPr>
        <w:pStyle w:val="ListParagraph"/>
        <w:numPr>
          <w:ilvl w:val="0"/>
          <w:numId w:val="103"/>
        </w:numPr>
        <w:jc w:val="both"/>
        <w:rPr>
          <w:rFonts w:asciiTheme="majorHAnsi" w:hAnsiTheme="majorHAnsi"/>
          <w:sz w:val="20"/>
          <w:szCs w:val="20"/>
        </w:rPr>
      </w:pPr>
      <w:r w:rsidRPr="005722A6">
        <w:rPr>
          <w:rFonts w:asciiTheme="majorHAnsi" w:hAnsiTheme="majorHAnsi"/>
          <w:sz w:val="20"/>
          <w:szCs w:val="20"/>
        </w:rPr>
        <w:t>Biomass is lower for certain fish, such as groupers, are fewer and declining in unprotected (outside M</w:t>
      </w:r>
      <w:r w:rsidR="00EC4F6E">
        <w:rPr>
          <w:rFonts w:asciiTheme="majorHAnsi" w:hAnsiTheme="majorHAnsi"/>
          <w:sz w:val="20"/>
          <w:szCs w:val="20"/>
        </w:rPr>
        <w:t>arine Protected Areas</w:t>
      </w:r>
      <w:r w:rsidR="00D934AC">
        <w:rPr>
          <w:rFonts w:asciiTheme="majorHAnsi" w:hAnsiTheme="majorHAnsi"/>
          <w:sz w:val="20"/>
          <w:szCs w:val="20"/>
        </w:rPr>
        <w:t xml:space="preserve"> or M</w:t>
      </w:r>
      <w:r w:rsidRPr="005722A6">
        <w:rPr>
          <w:rFonts w:asciiTheme="majorHAnsi" w:hAnsiTheme="majorHAnsi"/>
          <w:sz w:val="20"/>
          <w:szCs w:val="20"/>
        </w:rPr>
        <w:t xml:space="preserve">PAs) than in MPAs; </w:t>
      </w:r>
    </w:p>
    <w:p w14:paraId="03CB61DF" w14:textId="2AD69E49" w:rsidR="00377B93" w:rsidRPr="000D0522" w:rsidRDefault="00377B93" w:rsidP="00EA4043">
      <w:pPr>
        <w:pStyle w:val="ListParagraph"/>
        <w:numPr>
          <w:ilvl w:val="0"/>
          <w:numId w:val="103"/>
        </w:numPr>
        <w:jc w:val="both"/>
        <w:rPr>
          <w:rFonts w:asciiTheme="majorHAnsi" w:hAnsiTheme="majorHAnsi"/>
          <w:sz w:val="20"/>
          <w:szCs w:val="20"/>
        </w:rPr>
      </w:pPr>
      <w:r w:rsidRPr="00A04578">
        <w:rPr>
          <w:rFonts w:asciiTheme="majorHAnsi" w:hAnsiTheme="majorHAnsi"/>
          <w:sz w:val="20"/>
          <w:szCs w:val="20"/>
        </w:rPr>
        <w:t xml:space="preserve">High </w:t>
      </w:r>
      <w:r w:rsidR="00311A25" w:rsidRPr="005722A6">
        <w:rPr>
          <w:rFonts w:asciiTheme="majorHAnsi" w:hAnsiTheme="majorHAnsi"/>
          <w:sz w:val="20"/>
          <w:szCs w:val="20"/>
        </w:rPr>
        <w:t xml:space="preserve">demand for fish as food from tourists has driven increasing commercialization of local reef fish catches on the Koror fish market, placing increasing pressure on reefs and fish stocks. The reef fishery is not well understood: total harvest of reef fish is around 2100 metric tons per year; 60% is for subsistence </w:t>
      </w:r>
      <w:r w:rsidR="00311A25" w:rsidRPr="005722A6">
        <w:rPr>
          <w:rFonts w:asciiTheme="majorHAnsi" w:hAnsiTheme="majorHAnsi"/>
          <w:sz w:val="20"/>
          <w:szCs w:val="20"/>
        </w:rPr>
        <w:lastRenderedPageBreak/>
        <w:t>use and 40% for commercial use. At least 100 metric tons (and increasing annually) goes to restaurants and 100 metric tons is exported</w:t>
      </w:r>
      <w:r w:rsidRPr="00A04578">
        <w:rPr>
          <w:rFonts w:asciiTheme="majorHAnsi" w:hAnsiTheme="majorHAnsi"/>
          <w:sz w:val="20"/>
          <w:szCs w:val="20"/>
        </w:rPr>
        <w:t xml:space="preserve"> annually;</w:t>
      </w:r>
    </w:p>
    <w:p w14:paraId="56438A68" w14:textId="0FDB7C63" w:rsidR="00A35C6F" w:rsidRPr="00A04578" w:rsidRDefault="00311A25" w:rsidP="00EA4043">
      <w:pPr>
        <w:pStyle w:val="ListParagraph"/>
        <w:numPr>
          <w:ilvl w:val="0"/>
          <w:numId w:val="103"/>
        </w:numPr>
        <w:jc w:val="both"/>
        <w:rPr>
          <w:rFonts w:asciiTheme="majorHAnsi" w:hAnsiTheme="majorHAnsi"/>
          <w:sz w:val="20"/>
          <w:szCs w:val="20"/>
        </w:rPr>
      </w:pPr>
      <w:r w:rsidRPr="005722A6">
        <w:rPr>
          <w:rFonts w:asciiTheme="majorHAnsi" w:hAnsiTheme="majorHAnsi"/>
          <w:sz w:val="20"/>
          <w:szCs w:val="20"/>
        </w:rPr>
        <w:t xml:space="preserve">Macro-invertebrates are also declining on reefs (particularly clams) and across multiple species in seagrass beds (sea cucumbers, clams, urchins, and </w:t>
      </w:r>
      <w:r w:rsidR="00377B93" w:rsidRPr="005722A6">
        <w:rPr>
          <w:rFonts w:asciiTheme="majorHAnsi" w:hAnsiTheme="majorHAnsi"/>
          <w:i/>
          <w:sz w:val="20"/>
          <w:szCs w:val="20"/>
        </w:rPr>
        <w:t>T</w:t>
      </w:r>
      <w:r w:rsidRPr="005722A6">
        <w:rPr>
          <w:rFonts w:asciiTheme="majorHAnsi" w:hAnsiTheme="majorHAnsi"/>
          <w:i/>
          <w:sz w:val="20"/>
          <w:szCs w:val="20"/>
        </w:rPr>
        <w:t>rochus</w:t>
      </w:r>
      <w:r w:rsidR="00377B93" w:rsidRPr="00A04578">
        <w:rPr>
          <w:rFonts w:asciiTheme="majorHAnsi" w:hAnsiTheme="majorHAnsi"/>
          <w:i/>
          <w:sz w:val="20"/>
          <w:szCs w:val="20"/>
        </w:rPr>
        <w:t xml:space="preserve"> </w:t>
      </w:r>
      <w:r w:rsidR="00377B93" w:rsidRPr="000D0522">
        <w:rPr>
          <w:rFonts w:asciiTheme="majorHAnsi" w:hAnsiTheme="majorHAnsi"/>
          <w:sz w:val="20"/>
          <w:szCs w:val="20"/>
        </w:rPr>
        <w:t>spp</w:t>
      </w:r>
      <w:r w:rsidR="00A35C6F" w:rsidRPr="00F35DC5">
        <w:rPr>
          <w:rFonts w:asciiTheme="majorHAnsi" w:hAnsiTheme="majorHAnsi"/>
          <w:sz w:val="20"/>
          <w:szCs w:val="20"/>
        </w:rPr>
        <w:t>.</w:t>
      </w:r>
      <w:r w:rsidRPr="005722A6">
        <w:rPr>
          <w:rFonts w:asciiTheme="majorHAnsi" w:hAnsiTheme="majorHAnsi"/>
          <w:sz w:val="20"/>
          <w:szCs w:val="20"/>
        </w:rPr>
        <w:t xml:space="preserve">). Sea cucumbers tend to be overharvested near population centers. Protected </w:t>
      </w:r>
      <w:r w:rsidR="00A35C6F" w:rsidRPr="00A04578">
        <w:rPr>
          <w:rFonts w:asciiTheme="majorHAnsi" w:hAnsiTheme="majorHAnsi"/>
          <w:sz w:val="20"/>
          <w:szCs w:val="20"/>
        </w:rPr>
        <w:t>e</w:t>
      </w:r>
      <w:r w:rsidRPr="005722A6">
        <w:rPr>
          <w:rFonts w:asciiTheme="majorHAnsi" w:hAnsiTheme="majorHAnsi"/>
          <w:sz w:val="20"/>
          <w:szCs w:val="20"/>
        </w:rPr>
        <w:t xml:space="preserve">ndangered marine species such as dugongs and sea turtles have clearly declining populations. Offshore fisheries (Bigeye, Yellowfin, and Skipjack tuna) are abundant, although in the Western Pacific Region that includes Palau Bigeye </w:t>
      </w:r>
      <w:r w:rsidR="00A35C6F" w:rsidRPr="00A04578">
        <w:rPr>
          <w:rFonts w:asciiTheme="majorHAnsi" w:hAnsiTheme="majorHAnsi"/>
          <w:sz w:val="20"/>
          <w:szCs w:val="20"/>
        </w:rPr>
        <w:t xml:space="preserve">which </w:t>
      </w:r>
      <w:r w:rsidRPr="005722A6">
        <w:rPr>
          <w:rFonts w:asciiTheme="majorHAnsi" w:hAnsiTheme="majorHAnsi"/>
          <w:sz w:val="20"/>
          <w:szCs w:val="20"/>
        </w:rPr>
        <w:t>is currently overfished above M</w:t>
      </w:r>
      <w:r w:rsidR="00536B90" w:rsidRPr="005722A6">
        <w:rPr>
          <w:rFonts w:asciiTheme="majorHAnsi" w:hAnsiTheme="majorHAnsi"/>
          <w:sz w:val="20"/>
          <w:szCs w:val="20"/>
        </w:rPr>
        <w:t>aximum Sustainable Yield (M</w:t>
      </w:r>
      <w:r w:rsidRPr="005722A6">
        <w:rPr>
          <w:rFonts w:asciiTheme="majorHAnsi" w:hAnsiTheme="majorHAnsi"/>
          <w:sz w:val="20"/>
          <w:szCs w:val="20"/>
        </w:rPr>
        <w:t>SY</w:t>
      </w:r>
      <w:r w:rsidR="00536B90" w:rsidRPr="005722A6">
        <w:rPr>
          <w:rFonts w:asciiTheme="majorHAnsi" w:hAnsiTheme="majorHAnsi"/>
          <w:sz w:val="20"/>
          <w:szCs w:val="20"/>
        </w:rPr>
        <w:t>)</w:t>
      </w:r>
      <w:r w:rsidRPr="005722A6">
        <w:rPr>
          <w:rFonts w:asciiTheme="majorHAnsi" w:hAnsiTheme="majorHAnsi"/>
          <w:sz w:val="20"/>
          <w:szCs w:val="20"/>
        </w:rPr>
        <w:t xml:space="preserve"> and Yellowfin is near MS</w:t>
      </w:r>
      <w:r w:rsidR="00A35C6F" w:rsidRPr="00A04578">
        <w:rPr>
          <w:rFonts w:asciiTheme="majorHAnsi" w:hAnsiTheme="majorHAnsi"/>
          <w:sz w:val="20"/>
          <w:szCs w:val="20"/>
        </w:rPr>
        <w:t>Y; and</w:t>
      </w:r>
      <w:r w:rsidRPr="005722A6">
        <w:rPr>
          <w:rFonts w:asciiTheme="majorHAnsi" w:hAnsiTheme="majorHAnsi"/>
          <w:sz w:val="20"/>
          <w:szCs w:val="20"/>
        </w:rPr>
        <w:t xml:space="preserve">. </w:t>
      </w:r>
    </w:p>
    <w:p w14:paraId="1F739D0D" w14:textId="48AFFA44" w:rsidR="00B87774" w:rsidRPr="005722A6" w:rsidRDefault="00311A25" w:rsidP="00EA4043">
      <w:pPr>
        <w:pStyle w:val="ListParagraph"/>
        <w:numPr>
          <w:ilvl w:val="0"/>
          <w:numId w:val="103"/>
        </w:numPr>
        <w:jc w:val="both"/>
        <w:rPr>
          <w:rFonts w:asciiTheme="majorHAnsi" w:hAnsiTheme="majorHAnsi"/>
          <w:sz w:val="20"/>
          <w:szCs w:val="20"/>
        </w:rPr>
      </w:pPr>
      <w:r w:rsidRPr="005722A6">
        <w:rPr>
          <w:rFonts w:asciiTheme="majorHAnsi" w:hAnsiTheme="majorHAnsi"/>
          <w:sz w:val="20"/>
          <w:szCs w:val="20"/>
        </w:rPr>
        <w:t xml:space="preserve">Local artisanal </w:t>
      </w:r>
      <w:r w:rsidR="00A35C6F" w:rsidRPr="005722A6">
        <w:rPr>
          <w:rFonts w:asciiTheme="majorHAnsi" w:hAnsiTheme="majorHAnsi"/>
          <w:sz w:val="20"/>
          <w:szCs w:val="20"/>
        </w:rPr>
        <w:t>fisher</w:t>
      </w:r>
      <w:r w:rsidR="00A35C6F" w:rsidRPr="00A04578">
        <w:rPr>
          <w:rFonts w:asciiTheme="majorHAnsi" w:hAnsiTheme="majorHAnsi"/>
          <w:sz w:val="20"/>
          <w:szCs w:val="20"/>
        </w:rPr>
        <w:t>men</w:t>
      </w:r>
      <w:r w:rsidR="00A35C6F" w:rsidRPr="005722A6">
        <w:rPr>
          <w:rFonts w:asciiTheme="majorHAnsi" w:hAnsiTheme="majorHAnsi"/>
          <w:sz w:val="20"/>
          <w:szCs w:val="20"/>
        </w:rPr>
        <w:t xml:space="preserve"> </w:t>
      </w:r>
      <w:r w:rsidRPr="005722A6">
        <w:rPr>
          <w:rFonts w:asciiTheme="majorHAnsi" w:hAnsiTheme="majorHAnsi"/>
          <w:sz w:val="20"/>
          <w:szCs w:val="20"/>
        </w:rPr>
        <w:t>harvest only about 100 metric tons per year from the offshore fishery, but on the average over 2,000 metric tons are harvested annually by foreign-owned and operated vessels</w:t>
      </w:r>
      <w:r w:rsidR="00194AA1">
        <w:rPr>
          <w:rFonts w:asciiTheme="majorHAnsi" w:hAnsiTheme="majorHAnsi"/>
          <w:sz w:val="20"/>
          <w:szCs w:val="20"/>
        </w:rPr>
        <w:t xml:space="preserve">. </w:t>
      </w:r>
      <w:r w:rsidRPr="005722A6">
        <w:rPr>
          <w:rFonts w:asciiTheme="majorHAnsi" w:hAnsiTheme="majorHAnsi"/>
          <w:sz w:val="20"/>
          <w:szCs w:val="20"/>
        </w:rPr>
        <w:t xml:space="preserve">While there </w:t>
      </w:r>
      <w:r w:rsidR="00B87774" w:rsidRPr="005722A6">
        <w:rPr>
          <w:rFonts w:asciiTheme="majorHAnsi" w:hAnsiTheme="majorHAnsi"/>
          <w:sz w:val="20"/>
          <w:szCs w:val="20"/>
        </w:rPr>
        <w:t>is a license system in place</w:t>
      </w:r>
      <w:r w:rsidRPr="005722A6">
        <w:rPr>
          <w:rFonts w:asciiTheme="majorHAnsi" w:hAnsiTheme="majorHAnsi"/>
          <w:sz w:val="20"/>
          <w:szCs w:val="20"/>
        </w:rPr>
        <w:t xml:space="preserve"> for operation of foreign vessels</w:t>
      </w:r>
      <w:r w:rsidR="00B87774" w:rsidRPr="005722A6">
        <w:rPr>
          <w:rFonts w:asciiTheme="majorHAnsi" w:hAnsiTheme="majorHAnsi"/>
          <w:sz w:val="20"/>
          <w:szCs w:val="20"/>
        </w:rPr>
        <w:t>, Palau lacks sufficient capacity for effective enforcement to ensure compliance.</w:t>
      </w:r>
    </w:p>
    <w:p w14:paraId="3EA226FB" w14:textId="593E9D47" w:rsidR="00A35C6F" w:rsidRPr="005722A6" w:rsidRDefault="00A35C6F" w:rsidP="00FB6518">
      <w:pPr>
        <w:spacing w:after="0"/>
        <w:rPr>
          <w:rFonts w:asciiTheme="majorHAnsi" w:hAnsiTheme="majorHAnsi"/>
          <w:sz w:val="20"/>
          <w:szCs w:val="20"/>
        </w:rPr>
      </w:pPr>
    </w:p>
    <w:p w14:paraId="315CC23B" w14:textId="2E541913" w:rsidR="00311A25" w:rsidRPr="005722A6" w:rsidRDefault="00311A25" w:rsidP="00311A25">
      <w:pPr>
        <w:rPr>
          <w:rFonts w:asciiTheme="majorHAnsi" w:hAnsiTheme="majorHAnsi"/>
          <w:sz w:val="20"/>
          <w:szCs w:val="20"/>
        </w:rPr>
      </w:pPr>
      <w:r w:rsidRPr="005722A6">
        <w:rPr>
          <w:rFonts w:asciiTheme="majorHAnsi" w:hAnsiTheme="majorHAnsi"/>
          <w:sz w:val="20"/>
          <w:szCs w:val="20"/>
        </w:rPr>
        <w:t xml:space="preserve">There are gaps in the current legal framework </w:t>
      </w:r>
      <w:r w:rsidR="00A35C6F" w:rsidRPr="005722A6">
        <w:rPr>
          <w:rFonts w:asciiTheme="majorHAnsi" w:hAnsiTheme="majorHAnsi"/>
          <w:sz w:val="20"/>
          <w:szCs w:val="20"/>
        </w:rPr>
        <w:t>for fisheries</w:t>
      </w:r>
      <w:r w:rsidRPr="005722A6">
        <w:rPr>
          <w:rFonts w:asciiTheme="majorHAnsi" w:hAnsiTheme="majorHAnsi"/>
          <w:sz w:val="20"/>
          <w:szCs w:val="20"/>
        </w:rPr>
        <w:t>; for instance</w:t>
      </w:r>
      <w:r w:rsidR="00A35C6F" w:rsidRPr="005722A6">
        <w:rPr>
          <w:rFonts w:asciiTheme="majorHAnsi" w:hAnsiTheme="majorHAnsi"/>
          <w:sz w:val="20"/>
          <w:szCs w:val="20"/>
        </w:rPr>
        <w:t xml:space="preserve">, </w:t>
      </w:r>
      <w:r w:rsidRPr="005722A6">
        <w:rPr>
          <w:rFonts w:asciiTheme="majorHAnsi" w:hAnsiTheme="majorHAnsi"/>
          <w:sz w:val="20"/>
          <w:szCs w:val="20"/>
        </w:rPr>
        <w:t xml:space="preserve">there are good regulations </w:t>
      </w:r>
      <w:r w:rsidR="0086364B">
        <w:rPr>
          <w:rFonts w:asciiTheme="majorHAnsi" w:hAnsiTheme="majorHAnsi"/>
          <w:sz w:val="20"/>
          <w:szCs w:val="20"/>
        </w:rPr>
        <w:t>for</w:t>
      </w:r>
      <w:r w:rsidRPr="005722A6">
        <w:rPr>
          <w:rFonts w:asciiTheme="majorHAnsi" w:hAnsiTheme="majorHAnsi"/>
          <w:sz w:val="20"/>
          <w:szCs w:val="20"/>
        </w:rPr>
        <w:t xml:space="preserve"> gear, </w:t>
      </w:r>
      <w:r w:rsidR="00A35C6F" w:rsidRPr="005722A6">
        <w:rPr>
          <w:rFonts w:asciiTheme="majorHAnsi" w:hAnsiTheme="majorHAnsi"/>
          <w:sz w:val="20"/>
          <w:szCs w:val="20"/>
        </w:rPr>
        <w:t xml:space="preserve">but </w:t>
      </w:r>
      <w:r w:rsidRPr="005722A6">
        <w:rPr>
          <w:rFonts w:asciiTheme="majorHAnsi" w:hAnsiTheme="majorHAnsi"/>
          <w:sz w:val="20"/>
          <w:szCs w:val="20"/>
        </w:rPr>
        <w:t>inadequate rules on seasons and no</w:t>
      </w:r>
      <w:r w:rsidR="00A35C6F" w:rsidRPr="005722A6">
        <w:rPr>
          <w:rFonts w:asciiTheme="majorHAnsi" w:hAnsiTheme="majorHAnsi"/>
          <w:sz w:val="20"/>
          <w:szCs w:val="20"/>
        </w:rPr>
        <w:t xml:space="preserve">ne to </w:t>
      </w:r>
      <w:r w:rsidRPr="005722A6">
        <w:rPr>
          <w:rFonts w:asciiTheme="majorHAnsi" w:hAnsiTheme="majorHAnsi"/>
          <w:sz w:val="20"/>
          <w:szCs w:val="20"/>
        </w:rPr>
        <w:t>regulat</w:t>
      </w:r>
      <w:r w:rsidR="00A35C6F" w:rsidRPr="005722A6">
        <w:rPr>
          <w:rFonts w:asciiTheme="majorHAnsi" w:hAnsiTheme="majorHAnsi"/>
          <w:sz w:val="20"/>
          <w:szCs w:val="20"/>
        </w:rPr>
        <w:t>e</w:t>
      </w:r>
      <w:r w:rsidRPr="005722A6">
        <w:rPr>
          <w:rFonts w:asciiTheme="majorHAnsi" w:hAnsiTheme="majorHAnsi"/>
          <w:sz w:val="20"/>
          <w:szCs w:val="20"/>
        </w:rPr>
        <w:t xml:space="preserve"> </w:t>
      </w:r>
      <w:r w:rsidR="00A35C6F" w:rsidRPr="005722A6">
        <w:rPr>
          <w:rFonts w:asciiTheme="majorHAnsi" w:hAnsiTheme="majorHAnsi"/>
          <w:sz w:val="20"/>
          <w:szCs w:val="20"/>
        </w:rPr>
        <w:t>over</w:t>
      </w:r>
      <w:r w:rsidRPr="005722A6">
        <w:rPr>
          <w:rFonts w:asciiTheme="majorHAnsi" w:hAnsiTheme="majorHAnsi"/>
          <w:sz w:val="20"/>
          <w:szCs w:val="20"/>
        </w:rPr>
        <w:t>harvest</w:t>
      </w:r>
      <w:r w:rsidR="00A35C6F" w:rsidRPr="005722A6">
        <w:rPr>
          <w:rFonts w:asciiTheme="majorHAnsi" w:hAnsiTheme="majorHAnsi"/>
          <w:sz w:val="20"/>
          <w:szCs w:val="20"/>
        </w:rPr>
        <w:t>ing</w:t>
      </w:r>
      <w:r w:rsidRPr="005722A6">
        <w:rPr>
          <w:rFonts w:asciiTheme="majorHAnsi" w:hAnsiTheme="majorHAnsi"/>
          <w:sz w:val="20"/>
          <w:szCs w:val="20"/>
        </w:rPr>
        <w:t>. For example, export of marine reef fish continues despite concerns about declining stocks</w:t>
      </w:r>
      <w:r w:rsidR="0086364B">
        <w:rPr>
          <w:rFonts w:asciiTheme="majorHAnsi" w:hAnsiTheme="majorHAnsi"/>
          <w:sz w:val="20"/>
          <w:szCs w:val="20"/>
        </w:rPr>
        <w:t>;</w:t>
      </w:r>
      <w:r w:rsidRPr="005722A6">
        <w:rPr>
          <w:rFonts w:asciiTheme="majorHAnsi" w:hAnsiTheme="majorHAnsi"/>
          <w:sz w:val="20"/>
          <w:szCs w:val="20"/>
        </w:rPr>
        <w:t xml:space="preserve"> and turtle shells and other marine products are on sale in many shops. Many families</w:t>
      </w:r>
      <w:r w:rsidR="00A35C6F" w:rsidRPr="005722A6">
        <w:rPr>
          <w:rFonts w:asciiTheme="majorHAnsi" w:hAnsiTheme="majorHAnsi"/>
          <w:sz w:val="20"/>
          <w:szCs w:val="20"/>
        </w:rPr>
        <w:t xml:space="preserve"> rely on subsistence fishing as an important food source (37% of households)</w:t>
      </w:r>
      <w:r w:rsidR="00B804F3" w:rsidRPr="005722A6">
        <w:rPr>
          <w:rFonts w:asciiTheme="majorHAnsi" w:hAnsiTheme="majorHAnsi"/>
          <w:sz w:val="20"/>
          <w:szCs w:val="20"/>
        </w:rPr>
        <w:t xml:space="preserve">, </w:t>
      </w:r>
      <w:r w:rsidR="00A35C6F" w:rsidRPr="005722A6">
        <w:rPr>
          <w:rFonts w:asciiTheme="majorHAnsi" w:hAnsiTheme="majorHAnsi"/>
          <w:sz w:val="20"/>
          <w:szCs w:val="20"/>
        </w:rPr>
        <w:t>especially in rural areas (58% households). The</w:t>
      </w:r>
      <w:r w:rsidR="00D934AC">
        <w:rPr>
          <w:rFonts w:asciiTheme="majorHAnsi" w:hAnsiTheme="majorHAnsi"/>
          <w:sz w:val="20"/>
          <w:szCs w:val="20"/>
        </w:rPr>
        <w:t xml:space="preserve"> </w:t>
      </w:r>
      <w:r w:rsidRPr="005722A6">
        <w:rPr>
          <w:rFonts w:asciiTheme="majorHAnsi" w:hAnsiTheme="majorHAnsi"/>
          <w:sz w:val="20"/>
          <w:szCs w:val="20"/>
        </w:rPr>
        <w:t xml:space="preserve">vast majority (91%) of fishing households rely exclusively on the declining and more vulnerable reef fisheries; only 9% </w:t>
      </w:r>
      <w:r w:rsidR="00A35C6F" w:rsidRPr="005722A6">
        <w:rPr>
          <w:rFonts w:asciiTheme="majorHAnsi" w:hAnsiTheme="majorHAnsi"/>
          <w:sz w:val="20"/>
          <w:szCs w:val="20"/>
        </w:rPr>
        <w:t xml:space="preserve">are involved in </w:t>
      </w:r>
      <w:r w:rsidRPr="005722A6">
        <w:rPr>
          <w:rFonts w:asciiTheme="majorHAnsi" w:hAnsiTheme="majorHAnsi"/>
          <w:sz w:val="20"/>
          <w:szCs w:val="20"/>
        </w:rPr>
        <w:t xml:space="preserve">Palau’s abundant offshore tuna fishery. The number of </w:t>
      </w:r>
      <w:r w:rsidR="00E0615B" w:rsidRPr="005722A6">
        <w:rPr>
          <w:rFonts w:asciiTheme="majorHAnsi" w:hAnsiTheme="majorHAnsi"/>
          <w:sz w:val="20"/>
          <w:szCs w:val="20"/>
        </w:rPr>
        <w:t xml:space="preserve">smaller </w:t>
      </w:r>
      <w:r w:rsidRPr="005722A6">
        <w:rPr>
          <w:rFonts w:asciiTheme="majorHAnsi" w:hAnsiTheme="majorHAnsi"/>
          <w:sz w:val="20"/>
          <w:szCs w:val="20"/>
        </w:rPr>
        <w:t xml:space="preserve">boats has decreased by about 20% in the past decade; </w:t>
      </w:r>
      <w:r w:rsidR="00B804F3" w:rsidRPr="005722A6">
        <w:rPr>
          <w:rFonts w:asciiTheme="majorHAnsi" w:hAnsiTheme="majorHAnsi"/>
          <w:sz w:val="20"/>
          <w:szCs w:val="20"/>
        </w:rPr>
        <w:t xml:space="preserve">but </w:t>
      </w:r>
      <w:r w:rsidRPr="005722A6">
        <w:rPr>
          <w:rFonts w:asciiTheme="majorHAnsi" w:hAnsiTheme="majorHAnsi"/>
          <w:sz w:val="20"/>
          <w:szCs w:val="20"/>
        </w:rPr>
        <w:t>wealthier urban residents own</w:t>
      </w:r>
      <w:r w:rsidR="00A35C6F" w:rsidRPr="005722A6">
        <w:rPr>
          <w:rFonts w:asciiTheme="majorHAnsi" w:hAnsiTheme="majorHAnsi"/>
          <w:sz w:val="20"/>
          <w:szCs w:val="20"/>
        </w:rPr>
        <w:t>ing</w:t>
      </w:r>
      <w:r w:rsidRPr="005722A6">
        <w:rPr>
          <w:rFonts w:asciiTheme="majorHAnsi" w:hAnsiTheme="majorHAnsi"/>
          <w:sz w:val="20"/>
          <w:szCs w:val="20"/>
        </w:rPr>
        <w:t xml:space="preserve"> bigger and more powerful boats and rural </w:t>
      </w:r>
      <w:r w:rsidR="00A35C6F" w:rsidRPr="005722A6">
        <w:rPr>
          <w:rFonts w:asciiTheme="majorHAnsi" w:hAnsiTheme="majorHAnsi"/>
          <w:sz w:val="20"/>
          <w:szCs w:val="20"/>
        </w:rPr>
        <w:t xml:space="preserve">fishermen with their </w:t>
      </w:r>
      <w:r w:rsidRPr="005722A6">
        <w:rPr>
          <w:rFonts w:asciiTheme="majorHAnsi" w:hAnsiTheme="majorHAnsi"/>
          <w:sz w:val="20"/>
          <w:szCs w:val="20"/>
        </w:rPr>
        <w:t xml:space="preserve">smaller, less powerful boats. Koror State waters, which adjoin the major population center of Palau and are therefore easily accessible, continue to be an extremely important and heavily </w:t>
      </w:r>
      <w:r w:rsidR="00A35C6F" w:rsidRPr="005722A6">
        <w:rPr>
          <w:rFonts w:asciiTheme="majorHAnsi" w:hAnsiTheme="majorHAnsi"/>
          <w:sz w:val="20"/>
          <w:szCs w:val="20"/>
        </w:rPr>
        <w:t xml:space="preserve">rely </w:t>
      </w:r>
      <w:r w:rsidRPr="005722A6">
        <w:rPr>
          <w:rFonts w:asciiTheme="majorHAnsi" w:hAnsiTheme="majorHAnsi"/>
          <w:sz w:val="20"/>
          <w:szCs w:val="20"/>
        </w:rPr>
        <w:t>on fisher</w:t>
      </w:r>
      <w:r w:rsidR="00A35C6F" w:rsidRPr="005722A6">
        <w:rPr>
          <w:rFonts w:asciiTheme="majorHAnsi" w:hAnsiTheme="majorHAnsi"/>
          <w:sz w:val="20"/>
          <w:szCs w:val="20"/>
        </w:rPr>
        <w:t>y</w:t>
      </w:r>
      <w:r w:rsidRPr="005722A6">
        <w:rPr>
          <w:rFonts w:asciiTheme="majorHAnsi" w:hAnsiTheme="majorHAnsi"/>
          <w:sz w:val="20"/>
          <w:szCs w:val="20"/>
        </w:rPr>
        <w:t>, although Koror-based fisher</w:t>
      </w:r>
      <w:r w:rsidR="00A35C6F" w:rsidRPr="005722A6">
        <w:rPr>
          <w:rFonts w:asciiTheme="majorHAnsi" w:hAnsiTheme="majorHAnsi"/>
          <w:sz w:val="20"/>
          <w:szCs w:val="20"/>
        </w:rPr>
        <w:t>men</w:t>
      </w:r>
      <w:r w:rsidRPr="005722A6">
        <w:rPr>
          <w:rFonts w:asciiTheme="majorHAnsi" w:hAnsiTheme="majorHAnsi"/>
          <w:sz w:val="20"/>
          <w:szCs w:val="20"/>
        </w:rPr>
        <w:t xml:space="preserve"> fish throughout Palau. There are also threats from illegal foreign fishing in the offshore waters. </w:t>
      </w:r>
    </w:p>
    <w:p w14:paraId="469D1319" w14:textId="77777777" w:rsidR="00B87774" w:rsidRPr="005722A6" w:rsidRDefault="00B87774" w:rsidP="00B87774">
      <w:pPr>
        <w:rPr>
          <w:rFonts w:asciiTheme="majorHAnsi" w:hAnsiTheme="majorHAnsi"/>
          <w:sz w:val="20"/>
          <w:szCs w:val="20"/>
        </w:rPr>
      </w:pPr>
    </w:p>
    <w:p w14:paraId="12F28C10" w14:textId="47A6AD42" w:rsidR="00B87774" w:rsidRPr="005722A6" w:rsidRDefault="00D04A10" w:rsidP="00B87774">
      <w:pPr>
        <w:rPr>
          <w:rFonts w:asciiTheme="majorHAnsi" w:hAnsiTheme="majorHAnsi" w:cs="Segoe UI"/>
          <w:b/>
          <w:color w:val="000000"/>
          <w:sz w:val="20"/>
          <w:szCs w:val="20"/>
        </w:rPr>
      </w:pPr>
      <w:r>
        <w:rPr>
          <w:rFonts w:asciiTheme="majorHAnsi" w:hAnsiTheme="majorHAnsi" w:cs="Segoe UI"/>
          <w:b/>
          <w:color w:val="000000"/>
          <w:sz w:val="20"/>
          <w:szCs w:val="20"/>
        </w:rPr>
        <w:t>Long-term solution</w:t>
      </w:r>
      <w:r w:rsidR="00B87774" w:rsidRPr="005722A6">
        <w:rPr>
          <w:rFonts w:asciiTheme="majorHAnsi" w:hAnsiTheme="majorHAnsi" w:cs="Segoe UI"/>
          <w:b/>
          <w:color w:val="000000"/>
          <w:sz w:val="20"/>
          <w:szCs w:val="20"/>
        </w:rPr>
        <w:t xml:space="preserve"> and barriers to be addressed</w:t>
      </w:r>
    </w:p>
    <w:p w14:paraId="144F3B76" w14:textId="6051A965" w:rsidR="00B87774" w:rsidRDefault="00B87774" w:rsidP="00B87774">
      <w:pPr>
        <w:rPr>
          <w:rFonts w:asciiTheme="majorHAnsi" w:hAnsiTheme="majorHAnsi"/>
          <w:sz w:val="20"/>
          <w:szCs w:val="20"/>
        </w:rPr>
      </w:pPr>
      <w:r w:rsidRPr="005722A6">
        <w:rPr>
          <w:rFonts w:asciiTheme="majorHAnsi" w:hAnsiTheme="majorHAnsi"/>
          <w:sz w:val="20"/>
          <w:szCs w:val="20"/>
        </w:rPr>
        <w:t xml:space="preserve">Palau is </w:t>
      </w:r>
      <w:r w:rsidR="00FE210D" w:rsidRPr="005722A6">
        <w:rPr>
          <w:rFonts w:asciiTheme="majorHAnsi" w:hAnsiTheme="majorHAnsi"/>
          <w:sz w:val="20"/>
          <w:szCs w:val="20"/>
        </w:rPr>
        <w:t xml:space="preserve">developing </w:t>
      </w:r>
      <w:r w:rsidRPr="005722A6">
        <w:rPr>
          <w:rFonts w:asciiTheme="majorHAnsi" w:hAnsiTheme="majorHAnsi"/>
          <w:sz w:val="20"/>
          <w:szCs w:val="20"/>
        </w:rPr>
        <w:t xml:space="preserve">rapidly and threats to biodiversity and ecosystem services are mounting from multiple pressures. The long-term solution sought by the project is for Palau to mainstream biodiversity </w:t>
      </w:r>
      <w:r w:rsidR="00FE210D" w:rsidRPr="005722A6">
        <w:rPr>
          <w:rFonts w:asciiTheme="majorHAnsi" w:hAnsiTheme="majorHAnsi"/>
          <w:sz w:val="20"/>
          <w:szCs w:val="20"/>
        </w:rPr>
        <w:t xml:space="preserve">conservation and </w:t>
      </w:r>
      <w:r w:rsidRPr="005722A6">
        <w:rPr>
          <w:rFonts w:asciiTheme="majorHAnsi" w:hAnsiTheme="majorHAnsi"/>
          <w:sz w:val="20"/>
          <w:szCs w:val="20"/>
        </w:rPr>
        <w:t xml:space="preserve">safeguards </w:t>
      </w:r>
      <w:r w:rsidR="00A96FFD">
        <w:rPr>
          <w:rFonts w:asciiTheme="majorHAnsi" w:hAnsiTheme="majorHAnsi"/>
          <w:sz w:val="20"/>
          <w:szCs w:val="20"/>
        </w:rPr>
        <w:t>across</w:t>
      </w:r>
      <w:r w:rsidRPr="005722A6">
        <w:rPr>
          <w:rFonts w:asciiTheme="majorHAnsi" w:hAnsiTheme="majorHAnsi"/>
          <w:sz w:val="20"/>
          <w:szCs w:val="20"/>
        </w:rPr>
        <w:t xml:space="preserve"> landscape and seascape planning and management</w:t>
      </w:r>
      <w:r w:rsidR="00A96FFD">
        <w:rPr>
          <w:rFonts w:asciiTheme="majorHAnsi" w:hAnsiTheme="majorHAnsi"/>
          <w:sz w:val="20"/>
          <w:szCs w:val="20"/>
        </w:rPr>
        <w:t>,</w:t>
      </w:r>
      <w:r w:rsidRPr="005722A6">
        <w:rPr>
          <w:rFonts w:asciiTheme="majorHAnsi" w:hAnsiTheme="majorHAnsi"/>
          <w:sz w:val="20"/>
          <w:szCs w:val="20"/>
        </w:rPr>
        <w:t xml:space="preserve"> </w:t>
      </w:r>
      <w:r w:rsidR="00FE210D" w:rsidRPr="005722A6">
        <w:rPr>
          <w:rFonts w:asciiTheme="majorHAnsi" w:hAnsiTheme="majorHAnsi"/>
          <w:sz w:val="20"/>
          <w:szCs w:val="20"/>
        </w:rPr>
        <w:t xml:space="preserve">thereby enabling </w:t>
      </w:r>
      <w:r w:rsidRPr="005722A6">
        <w:rPr>
          <w:rFonts w:asciiTheme="majorHAnsi" w:hAnsiTheme="majorHAnsi"/>
          <w:sz w:val="20"/>
          <w:szCs w:val="20"/>
        </w:rPr>
        <w:t xml:space="preserve">key economic and productive sectors to shift to more sustainable, inclusive and equitable development. To achieve this, actions must be taken to strengthen capacity and coordination among the national and state levels </w:t>
      </w:r>
      <w:r w:rsidR="00FE210D" w:rsidRPr="005722A6">
        <w:rPr>
          <w:rFonts w:asciiTheme="majorHAnsi" w:hAnsiTheme="majorHAnsi"/>
          <w:sz w:val="20"/>
          <w:szCs w:val="20"/>
        </w:rPr>
        <w:t>i</w:t>
      </w:r>
      <w:r w:rsidRPr="005722A6">
        <w:rPr>
          <w:rFonts w:asciiTheme="majorHAnsi" w:hAnsiTheme="majorHAnsi"/>
          <w:sz w:val="20"/>
          <w:szCs w:val="20"/>
        </w:rPr>
        <w:t>n natural resources management</w:t>
      </w:r>
      <w:r w:rsidR="00FE210D" w:rsidRPr="005722A6">
        <w:rPr>
          <w:rFonts w:asciiTheme="majorHAnsi" w:hAnsiTheme="majorHAnsi"/>
          <w:sz w:val="20"/>
          <w:szCs w:val="20"/>
        </w:rPr>
        <w:t>, including the</w:t>
      </w:r>
      <w:r w:rsidRPr="005722A6">
        <w:rPr>
          <w:rFonts w:asciiTheme="majorHAnsi" w:hAnsiTheme="majorHAnsi"/>
          <w:sz w:val="20"/>
          <w:szCs w:val="20"/>
        </w:rPr>
        <w:t xml:space="preserve"> prevention and management of </w:t>
      </w:r>
      <w:r w:rsidR="00FE210D" w:rsidRPr="005722A6">
        <w:rPr>
          <w:rFonts w:asciiTheme="majorHAnsi" w:hAnsiTheme="majorHAnsi"/>
          <w:sz w:val="20"/>
          <w:szCs w:val="20"/>
        </w:rPr>
        <w:t xml:space="preserve">IAS at national and state levels. The </w:t>
      </w:r>
      <w:r w:rsidR="007B16CC" w:rsidRPr="005722A6">
        <w:rPr>
          <w:rFonts w:asciiTheme="majorHAnsi" w:hAnsiTheme="majorHAnsi"/>
          <w:sz w:val="20"/>
          <w:szCs w:val="20"/>
        </w:rPr>
        <w:t>four</w:t>
      </w:r>
      <w:r w:rsidRPr="005722A6">
        <w:rPr>
          <w:rFonts w:asciiTheme="majorHAnsi" w:hAnsiTheme="majorHAnsi"/>
          <w:sz w:val="20"/>
          <w:szCs w:val="20"/>
        </w:rPr>
        <w:t xml:space="preserve"> major barriers</w:t>
      </w:r>
      <w:r w:rsidR="00FE210D" w:rsidRPr="005722A6">
        <w:rPr>
          <w:rFonts w:asciiTheme="majorHAnsi" w:hAnsiTheme="majorHAnsi"/>
          <w:sz w:val="20"/>
          <w:szCs w:val="20"/>
        </w:rPr>
        <w:t xml:space="preserve"> to achieving this solution are, as follows: </w:t>
      </w:r>
    </w:p>
    <w:p w14:paraId="0B4C55D9" w14:textId="77777777" w:rsidR="00FB6518" w:rsidRPr="005722A6" w:rsidRDefault="00FB6518" w:rsidP="00B87774">
      <w:pPr>
        <w:rPr>
          <w:rFonts w:asciiTheme="majorHAnsi" w:hAnsiTheme="majorHAnsi"/>
          <w:sz w:val="20"/>
          <w:szCs w:val="20"/>
        </w:rPr>
      </w:pPr>
    </w:p>
    <w:p w14:paraId="3EA8DC22" w14:textId="280EA10A" w:rsidR="00B87774" w:rsidRPr="005722A6" w:rsidRDefault="00B87774" w:rsidP="00FB6518">
      <w:pPr>
        <w:widowControl w:val="0"/>
        <w:autoSpaceDE w:val="0"/>
        <w:autoSpaceDN w:val="0"/>
        <w:adjustRightInd w:val="0"/>
        <w:rPr>
          <w:rFonts w:asciiTheme="majorHAnsi" w:hAnsiTheme="majorHAnsi"/>
          <w:i/>
          <w:iCs/>
          <w:color w:val="000000"/>
          <w:sz w:val="20"/>
          <w:szCs w:val="20"/>
        </w:rPr>
      </w:pPr>
      <w:r w:rsidRPr="005722A6">
        <w:rPr>
          <w:rFonts w:asciiTheme="majorHAnsi" w:hAnsiTheme="majorHAnsi"/>
          <w:i/>
          <w:iCs/>
          <w:color w:val="000000"/>
          <w:sz w:val="20"/>
          <w:szCs w:val="20"/>
        </w:rPr>
        <w:t>Barrier 1: Inadequate national enabling and institutional framework</w:t>
      </w:r>
      <w:r w:rsidR="00FE210D" w:rsidRPr="005722A6">
        <w:rPr>
          <w:rFonts w:asciiTheme="majorHAnsi" w:hAnsiTheme="majorHAnsi"/>
          <w:i/>
          <w:iCs/>
          <w:color w:val="000000"/>
          <w:sz w:val="20"/>
          <w:szCs w:val="20"/>
        </w:rPr>
        <w:t>, including its consistent application across Palau’s states,</w:t>
      </w:r>
      <w:r w:rsidRPr="005722A6">
        <w:rPr>
          <w:rFonts w:asciiTheme="majorHAnsi" w:hAnsiTheme="majorHAnsi"/>
          <w:i/>
          <w:iCs/>
          <w:color w:val="000000"/>
          <w:sz w:val="20"/>
          <w:szCs w:val="20"/>
        </w:rPr>
        <w:t xml:space="preserve"> to safeguard biodiversity and </w:t>
      </w:r>
      <w:r w:rsidR="00FE210D" w:rsidRPr="005722A6">
        <w:rPr>
          <w:rFonts w:asciiTheme="majorHAnsi" w:hAnsiTheme="majorHAnsi"/>
          <w:i/>
          <w:iCs/>
          <w:color w:val="000000"/>
          <w:sz w:val="20"/>
          <w:szCs w:val="20"/>
        </w:rPr>
        <w:t>underpin integrated n</w:t>
      </w:r>
      <w:r w:rsidRPr="005722A6">
        <w:rPr>
          <w:rFonts w:asciiTheme="majorHAnsi" w:hAnsiTheme="majorHAnsi"/>
          <w:i/>
          <w:iCs/>
          <w:color w:val="000000"/>
          <w:sz w:val="20"/>
          <w:szCs w:val="20"/>
        </w:rPr>
        <w:t xml:space="preserve">atural </w:t>
      </w:r>
      <w:r w:rsidR="00FE210D" w:rsidRPr="005722A6">
        <w:rPr>
          <w:rFonts w:asciiTheme="majorHAnsi" w:hAnsiTheme="majorHAnsi"/>
          <w:i/>
          <w:iCs/>
          <w:color w:val="000000"/>
          <w:sz w:val="20"/>
          <w:szCs w:val="20"/>
        </w:rPr>
        <w:t>r</w:t>
      </w:r>
      <w:r w:rsidRPr="005722A6">
        <w:rPr>
          <w:rFonts w:asciiTheme="majorHAnsi" w:hAnsiTheme="majorHAnsi"/>
          <w:i/>
          <w:iCs/>
          <w:color w:val="000000"/>
          <w:sz w:val="20"/>
          <w:szCs w:val="20"/>
        </w:rPr>
        <w:t xml:space="preserve">esource </w:t>
      </w:r>
      <w:r w:rsidR="00FE210D" w:rsidRPr="005722A6">
        <w:rPr>
          <w:rFonts w:asciiTheme="majorHAnsi" w:hAnsiTheme="majorHAnsi"/>
          <w:i/>
          <w:iCs/>
          <w:color w:val="000000"/>
          <w:sz w:val="20"/>
          <w:szCs w:val="20"/>
        </w:rPr>
        <w:t>m</w:t>
      </w:r>
      <w:r w:rsidRPr="005722A6">
        <w:rPr>
          <w:rFonts w:asciiTheme="majorHAnsi" w:hAnsiTheme="majorHAnsi"/>
          <w:i/>
          <w:iCs/>
          <w:color w:val="000000"/>
          <w:sz w:val="20"/>
          <w:szCs w:val="20"/>
        </w:rPr>
        <w:t>anagement.</w:t>
      </w:r>
    </w:p>
    <w:p w14:paraId="1B32733A" w14:textId="2161D8DC" w:rsidR="00311A25" w:rsidRPr="005722A6" w:rsidRDefault="00B87774" w:rsidP="00311A25">
      <w:pPr>
        <w:widowControl w:val="0"/>
        <w:autoSpaceDE w:val="0"/>
        <w:autoSpaceDN w:val="0"/>
        <w:adjustRightInd w:val="0"/>
        <w:spacing w:after="0"/>
        <w:rPr>
          <w:rFonts w:asciiTheme="majorHAnsi" w:hAnsiTheme="majorHAnsi"/>
          <w:color w:val="000000"/>
          <w:sz w:val="20"/>
          <w:szCs w:val="20"/>
        </w:rPr>
      </w:pPr>
      <w:r w:rsidRPr="005722A6">
        <w:rPr>
          <w:rFonts w:asciiTheme="majorHAnsi" w:hAnsiTheme="majorHAnsi"/>
          <w:i/>
          <w:iCs/>
          <w:color w:val="000000"/>
          <w:sz w:val="20"/>
          <w:szCs w:val="20"/>
        </w:rPr>
        <w:t xml:space="preserve"> </w:t>
      </w:r>
      <w:r w:rsidR="00311A25" w:rsidRPr="005722A6">
        <w:rPr>
          <w:rFonts w:asciiTheme="majorHAnsi" w:hAnsiTheme="majorHAnsi"/>
          <w:iCs/>
          <w:color w:val="000000"/>
          <w:sz w:val="20"/>
          <w:szCs w:val="20"/>
        </w:rPr>
        <w:t xml:space="preserve">Although Palau has developed several sector-based national policies in agriculture, forestry, and climate change, </w:t>
      </w:r>
      <w:r w:rsidR="00206A67" w:rsidRPr="005722A6">
        <w:rPr>
          <w:rFonts w:asciiTheme="majorHAnsi" w:hAnsiTheme="majorHAnsi"/>
          <w:iCs/>
          <w:color w:val="000000"/>
          <w:sz w:val="20"/>
          <w:szCs w:val="20"/>
        </w:rPr>
        <w:t xml:space="preserve">they are not </w:t>
      </w:r>
      <w:r w:rsidR="00FE210D" w:rsidRPr="005722A6">
        <w:rPr>
          <w:rFonts w:asciiTheme="majorHAnsi" w:hAnsiTheme="majorHAnsi"/>
          <w:iCs/>
          <w:color w:val="000000"/>
          <w:sz w:val="20"/>
          <w:szCs w:val="20"/>
        </w:rPr>
        <w:t xml:space="preserve">integrated or spatially linked with the </w:t>
      </w:r>
      <w:r w:rsidR="00206A67" w:rsidRPr="005722A6">
        <w:rPr>
          <w:rFonts w:asciiTheme="majorHAnsi" w:hAnsiTheme="majorHAnsi"/>
          <w:iCs/>
          <w:color w:val="000000"/>
          <w:sz w:val="20"/>
          <w:szCs w:val="20"/>
        </w:rPr>
        <w:t>2020 National Master Plan</w:t>
      </w:r>
      <w:r w:rsidR="00FE210D" w:rsidRPr="005722A6">
        <w:rPr>
          <w:rFonts w:asciiTheme="majorHAnsi" w:hAnsiTheme="majorHAnsi"/>
          <w:iCs/>
          <w:color w:val="000000"/>
          <w:sz w:val="20"/>
          <w:szCs w:val="20"/>
        </w:rPr>
        <w:t>.</w:t>
      </w:r>
      <w:r w:rsidR="00311A25" w:rsidRPr="005722A6">
        <w:rPr>
          <w:rFonts w:asciiTheme="majorHAnsi" w:hAnsiTheme="majorHAnsi"/>
          <w:iCs/>
          <w:color w:val="000000"/>
          <w:sz w:val="20"/>
          <w:szCs w:val="20"/>
        </w:rPr>
        <w:t xml:space="preserve"> </w:t>
      </w:r>
      <w:r w:rsidR="00311A25" w:rsidRPr="005722A6">
        <w:rPr>
          <w:rFonts w:asciiTheme="majorHAnsi" w:hAnsiTheme="majorHAnsi"/>
          <w:sz w:val="20"/>
          <w:szCs w:val="20"/>
        </w:rPr>
        <w:t xml:space="preserve">A 2015 National Agriculture and Aquaculture policy calls for a 25% increase in agricultural production but it does not prioritize </w:t>
      </w:r>
      <w:r w:rsidR="006A452B" w:rsidRPr="005722A6">
        <w:rPr>
          <w:rFonts w:asciiTheme="majorHAnsi" w:hAnsiTheme="majorHAnsi"/>
          <w:sz w:val="20"/>
          <w:szCs w:val="20"/>
        </w:rPr>
        <w:t>locations</w:t>
      </w:r>
      <w:r w:rsidR="00206A67" w:rsidRPr="005722A6">
        <w:rPr>
          <w:rFonts w:asciiTheme="majorHAnsi" w:hAnsiTheme="majorHAnsi"/>
          <w:sz w:val="20"/>
          <w:szCs w:val="20"/>
        </w:rPr>
        <w:t xml:space="preserve"> beyond Babeldaob</w:t>
      </w:r>
      <w:r w:rsidR="00311A25" w:rsidRPr="005722A6">
        <w:rPr>
          <w:rFonts w:asciiTheme="majorHAnsi" w:hAnsiTheme="majorHAnsi"/>
          <w:sz w:val="20"/>
          <w:szCs w:val="20"/>
        </w:rPr>
        <w:t>. The Policy calls for</w:t>
      </w:r>
      <w:r w:rsidR="00FE210D" w:rsidRPr="005722A6">
        <w:rPr>
          <w:rFonts w:asciiTheme="majorHAnsi" w:hAnsiTheme="majorHAnsi"/>
          <w:sz w:val="20"/>
          <w:szCs w:val="20"/>
        </w:rPr>
        <w:t>:</w:t>
      </w:r>
      <w:r w:rsidR="00311A25" w:rsidRPr="005722A6">
        <w:rPr>
          <w:rFonts w:asciiTheme="majorHAnsi" w:hAnsiTheme="majorHAnsi"/>
          <w:sz w:val="20"/>
          <w:szCs w:val="20"/>
        </w:rPr>
        <w:t xml:space="preserve"> integrated land use and marine spatial planning</w:t>
      </w:r>
      <w:r w:rsidR="00FE210D" w:rsidRPr="005722A6">
        <w:rPr>
          <w:rFonts w:asciiTheme="majorHAnsi" w:hAnsiTheme="majorHAnsi"/>
          <w:sz w:val="20"/>
          <w:szCs w:val="20"/>
        </w:rPr>
        <w:t xml:space="preserve">; the </w:t>
      </w:r>
      <w:r w:rsidR="00311A25" w:rsidRPr="005722A6">
        <w:rPr>
          <w:rFonts w:asciiTheme="majorHAnsi" w:hAnsiTheme="majorHAnsi"/>
          <w:sz w:val="20"/>
          <w:szCs w:val="20"/>
        </w:rPr>
        <w:t xml:space="preserve">use of strategic locations </w:t>
      </w:r>
      <w:r w:rsidR="00FE210D" w:rsidRPr="005722A6">
        <w:rPr>
          <w:rFonts w:asciiTheme="majorHAnsi" w:hAnsiTheme="majorHAnsi"/>
          <w:sz w:val="20"/>
          <w:szCs w:val="20"/>
        </w:rPr>
        <w:t xml:space="preserve">for </w:t>
      </w:r>
      <w:r w:rsidR="00311A25" w:rsidRPr="005722A6">
        <w:rPr>
          <w:rFonts w:asciiTheme="majorHAnsi" w:hAnsiTheme="majorHAnsi"/>
          <w:sz w:val="20"/>
          <w:szCs w:val="20"/>
        </w:rPr>
        <w:t>placement of farms</w:t>
      </w:r>
      <w:r w:rsidR="00FE210D" w:rsidRPr="005722A6">
        <w:rPr>
          <w:rFonts w:asciiTheme="majorHAnsi" w:hAnsiTheme="majorHAnsi"/>
          <w:sz w:val="20"/>
          <w:szCs w:val="20"/>
        </w:rPr>
        <w:t>;</w:t>
      </w:r>
      <w:r w:rsidR="00311A25" w:rsidRPr="005722A6">
        <w:rPr>
          <w:rFonts w:asciiTheme="majorHAnsi" w:hAnsiTheme="majorHAnsi"/>
          <w:sz w:val="20"/>
          <w:szCs w:val="20"/>
        </w:rPr>
        <w:t xml:space="preserve"> and the </w:t>
      </w:r>
      <w:r w:rsidR="00FE210D" w:rsidRPr="005722A6">
        <w:rPr>
          <w:rFonts w:asciiTheme="majorHAnsi" w:hAnsiTheme="majorHAnsi"/>
          <w:sz w:val="20"/>
          <w:szCs w:val="20"/>
        </w:rPr>
        <w:t xml:space="preserve">adoption </w:t>
      </w:r>
      <w:r w:rsidR="00311A25" w:rsidRPr="005722A6">
        <w:rPr>
          <w:rFonts w:asciiTheme="majorHAnsi" w:hAnsiTheme="majorHAnsi"/>
          <w:sz w:val="20"/>
          <w:szCs w:val="20"/>
        </w:rPr>
        <w:t xml:space="preserve">of Best Practices, including minimizing introduction </w:t>
      </w:r>
      <w:r w:rsidR="007E5DBE" w:rsidRPr="005722A6">
        <w:rPr>
          <w:rFonts w:asciiTheme="majorHAnsi" w:hAnsiTheme="majorHAnsi"/>
          <w:sz w:val="20"/>
          <w:szCs w:val="20"/>
        </w:rPr>
        <w:t xml:space="preserve">and spread </w:t>
      </w:r>
      <w:r w:rsidR="00311A25" w:rsidRPr="005722A6">
        <w:rPr>
          <w:rFonts w:asciiTheme="majorHAnsi" w:hAnsiTheme="majorHAnsi"/>
          <w:sz w:val="20"/>
          <w:szCs w:val="20"/>
        </w:rPr>
        <w:t xml:space="preserve">of </w:t>
      </w:r>
      <w:r w:rsidR="007E5DBE" w:rsidRPr="005722A6">
        <w:rPr>
          <w:rFonts w:asciiTheme="majorHAnsi" w:hAnsiTheme="majorHAnsi"/>
          <w:sz w:val="20"/>
          <w:szCs w:val="20"/>
        </w:rPr>
        <w:t>IAS. T</w:t>
      </w:r>
      <w:r w:rsidR="00311A25" w:rsidRPr="005722A6">
        <w:rPr>
          <w:rFonts w:asciiTheme="majorHAnsi" w:hAnsiTheme="majorHAnsi"/>
          <w:sz w:val="20"/>
          <w:szCs w:val="20"/>
        </w:rPr>
        <w:t xml:space="preserve">he Policy </w:t>
      </w:r>
      <w:r w:rsidR="007E5DBE" w:rsidRPr="005722A6">
        <w:rPr>
          <w:rFonts w:asciiTheme="majorHAnsi" w:hAnsiTheme="majorHAnsi"/>
          <w:sz w:val="20"/>
          <w:szCs w:val="20"/>
        </w:rPr>
        <w:t xml:space="preserve">provides guidance only but falls short of identifying any </w:t>
      </w:r>
      <w:r w:rsidR="00311A25" w:rsidRPr="005722A6">
        <w:rPr>
          <w:rFonts w:asciiTheme="majorHAnsi" w:hAnsiTheme="majorHAnsi"/>
          <w:sz w:val="20"/>
          <w:szCs w:val="20"/>
        </w:rPr>
        <w:t xml:space="preserve">regulatory </w:t>
      </w:r>
      <w:r w:rsidR="007E5DBE" w:rsidRPr="005722A6">
        <w:rPr>
          <w:rFonts w:asciiTheme="majorHAnsi" w:hAnsiTheme="majorHAnsi"/>
          <w:sz w:val="20"/>
          <w:szCs w:val="20"/>
        </w:rPr>
        <w:t xml:space="preserve">enforcement </w:t>
      </w:r>
      <w:r w:rsidR="00311A25" w:rsidRPr="005722A6">
        <w:rPr>
          <w:rFonts w:asciiTheme="majorHAnsi" w:hAnsiTheme="majorHAnsi"/>
          <w:sz w:val="20"/>
          <w:szCs w:val="20"/>
        </w:rPr>
        <w:t>authority</w:t>
      </w:r>
      <w:r w:rsidR="007E5DBE" w:rsidRPr="005722A6">
        <w:rPr>
          <w:rFonts w:asciiTheme="majorHAnsi" w:hAnsiTheme="majorHAnsi"/>
          <w:sz w:val="20"/>
          <w:szCs w:val="20"/>
        </w:rPr>
        <w:t xml:space="preserve">. </w:t>
      </w:r>
      <w:r w:rsidR="00311A25" w:rsidRPr="005722A6">
        <w:rPr>
          <w:rFonts w:asciiTheme="majorHAnsi" w:hAnsiTheme="majorHAnsi"/>
          <w:sz w:val="20"/>
          <w:szCs w:val="20"/>
        </w:rPr>
        <w:t xml:space="preserve">While based on a spatial analysis, a 2010 Statewide Assessment of Forest Resources and Forest Strategy does not include an overarching spatial plan and includes only high-level strategies for individual sectors (forestry, fire, water quality, etc.) without </w:t>
      </w:r>
      <w:r w:rsidR="007E5DBE" w:rsidRPr="005722A6">
        <w:rPr>
          <w:rFonts w:asciiTheme="majorHAnsi" w:hAnsiTheme="majorHAnsi"/>
          <w:sz w:val="20"/>
          <w:szCs w:val="20"/>
        </w:rPr>
        <w:t xml:space="preserve">any </w:t>
      </w:r>
      <w:r w:rsidR="00311A25" w:rsidRPr="005722A6">
        <w:rPr>
          <w:rFonts w:asciiTheme="majorHAnsi" w:hAnsiTheme="majorHAnsi"/>
          <w:sz w:val="20"/>
          <w:szCs w:val="20"/>
        </w:rPr>
        <w:t xml:space="preserve">regulatory authority. </w:t>
      </w:r>
      <w:r w:rsidR="007E5DBE" w:rsidRPr="005722A6">
        <w:rPr>
          <w:rFonts w:asciiTheme="majorHAnsi" w:hAnsiTheme="majorHAnsi"/>
          <w:sz w:val="20"/>
          <w:szCs w:val="20"/>
        </w:rPr>
        <w:t xml:space="preserve">The </w:t>
      </w:r>
      <w:r w:rsidR="00311A25" w:rsidRPr="005722A6">
        <w:rPr>
          <w:rFonts w:asciiTheme="majorHAnsi" w:hAnsiTheme="majorHAnsi"/>
          <w:sz w:val="20"/>
          <w:szCs w:val="20"/>
        </w:rPr>
        <w:t xml:space="preserve">clearing of forest for development is opportunistic and ad-hoc and done without consideration of </w:t>
      </w:r>
      <w:r w:rsidR="006A452B" w:rsidRPr="005722A6">
        <w:rPr>
          <w:rFonts w:asciiTheme="majorHAnsi" w:hAnsiTheme="majorHAnsi"/>
          <w:sz w:val="20"/>
          <w:szCs w:val="20"/>
        </w:rPr>
        <w:t xml:space="preserve">critical </w:t>
      </w:r>
      <w:r w:rsidR="007E5DBE" w:rsidRPr="005722A6">
        <w:rPr>
          <w:rFonts w:asciiTheme="majorHAnsi" w:hAnsiTheme="majorHAnsi"/>
          <w:sz w:val="20"/>
          <w:szCs w:val="20"/>
        </w:rPr>
        <w:t xml:space="preserve">ecosystem services and valuable </w:t>
      </w:r>
      <w:r w:rsidR="006A452B" w:rsidRPr="005722A6">
        <w:rPr>
          <w:rFonts w:asciiTheme="majorHAnsi" w:hAnsiTheme="majorHAnsi"/>
          <w:sz w:val="20"/>
          <w:szCs w:val="20"/>
        </w:rPr>
        <w:t>biodiversity</w:t>
      </w:r>
      <w:r w:rsidR="00311A25" w:rsidRPr="005722A6">
        <w:rPr>
          <w:rFonts w:asciiTheme="majorHAnsi" w:hAnsiTheme="majorHAnsi"/>
          <w:sz w:val="20"/>
          <w:szCs w:val="20"/>
        </w:rPr>
        <w:t xml:space="preserve">, distribution of endangered species, or the current or potential value of biodiversity and ecosystem services. </w:t>
      </w:r>
    </w:p>
    <w:p w14:paraId="797B2F97" w14:textId="77777777" w:rsidR="00311A25" w:rsidRPr="005722A6" w:rsidRDefault="00311A25" w:rsidP="00B87774">
      <w:pPr>
        <w:pStyle w:val="Default"/>
        <w:jc w:val="both"/>
        <w:rPr>
          <w:rFonts w:asciiTheme="majorHAnsi" w:hAnsiTheme="majorHAnsi"/>
          <w:sz w:val="20"/>
          <w:szCs w:val="20"/>
        </w:rPr>
      </w:pPr>
    </w:p>
    <w:p w14:paraId="09B20B14" w14:textId="41C927F8" w:rsidR="007E5DBE" w:rsidRPr="005722A6" w:rsidRDefault="00B87774" w:rsidP="00B87774">
      <w:pPr>
        <w:pStyle w:val="Default"/>
        <w:jc w:val="both"/>
        <w:rPr>
          <w:rFonts w:asciiTheme="majorHAnsi" w:hAnsiTheme="majorHAnsi"/>
          <w:sz w:val="20"/>
          <w:szCs w:val="20"/>
        </w:rPr>
      </w:pPr>
      <w:r w:rsidRPr="005722A6">
        <w:rPr>
          <w:rFonts w:asciiTheme="majorHAnsi" w:hAnsiTheme="majorHAnsi"/>
          <w:sz w:val="20"/>
          <w:szCs w:val="20"/>
        </w:rPr>
        <w:t xml:space="preserve">Palau </w:t>
      </w:r>
      <w:r w:rsidR="00311A25" w:rsidRPr="005722A6">
        <w:rPr>
          <w:rFonts w:asciiTheme="majorHAnsi" w:hAnsiTheme="majorHAnsi"/>
          <w:sz w:val="20"/>
          <w:szCs w:val="20"/>
        </w:rPr>
        <w:t xml:space="preserve">also </w:t>
      </w:r>
      <w:r w:rsidRPr="005722A6">
        <w:rPr>
          <w:rFonts w:asciiTheme="majorHAnsi" w:hAnsiTheme="majorHAnsi"/>
          <w:sz w:val="20"/>
          <w:szCs w:val="20"/>
        </w:rPr>
        <w:t>lacks a national strategy on forestry or agriculture and as yet there are no guidelines or plans for sustainable development of forestry, agriculture</w:t>
      </w:r>
      <w:r w:rsidR="006A452B" w:rsidRPr="005722A6">
        <w:rPr>
          <w:rFonts w:asciiTheme="majorHAnsi" w:hAnsiTheme="majorHAnsi"/>
          <w:sz w:val="20"/>
          <w:szCs w:val="20"/>
        </w:rPr>
        <w:t>,</w:t>
      </w:r>
      <w:r w:rsidRPr="005722A6">
        <w:rPr>
          <w:rFonts w:asciiTheme="majorHAnsi" w:hAnsiTheme="majorHAnsi"/>
          <w:sz w:val="20"/>
          <w:szCs w:val="20"/>
        </w:rPr>
        <w:t xml:space="preserve"> or aquaculture. As the</w:t>
      </w:r>
      <w:r w:rsidR="007E5DBE" w:rsidRPr="005722A6">
        <w:rPr>
          <w:rFonts w:asciiTheme="majorHAnsi" w:hAnsiTheme="majorHAnsi"/>
          <w:sz w:val="20"/>
          <w:szCs w:val="20"/>
        </w:rPr>
        <w:t>se</w:t>
      </w:r>
      <w:r w:rsidRPr="005722A6">
        <w:rPr>
          <w:rFonts w:asciiTheme="majorHAnsi" w:hAnsiTheme="majorHAnsi"/>
          <w:sz w:val="20"/>
          <w:szCs w:val="20"/>
        </w:rPr>
        <w:t xml:space="preserve"> sectors are national priorities for development and have significant potential to impact biodiversity, </w:t>
      </w:r>
      <w:r w:rsidR="007E5DBE" w:rsidRPr="005722A6">
        <w:rPr>
          <w:rFonts w:asciiTheme="majorHAnsi" w:hAnsiTheme="majorHAnsi"/>
          <w:sz w:val="20"/>
          <w:szCs w:val="20"/>
        </w:rPr>
        <w:t xml:space="preserve">specific </w:t>
      </w:r>
      <w:r w:rsidRPr="005722A6">
        <w:rPr>
          <w:rFonts w:asciiTheme="majorHAnsi" w:hAnsiTheme="majorHAnsi"/>
          <w:sz w:val="20"/>
          <w:szCs w:val="20"/>
        </w:rPr>
        <w:t>assessments</w:t>
      </w:r>
      <w:r w:rsidR="007E5DBE" w:rsidRPr="005722A6">
        <w:rPr>
          <w:rFonts w:asciiTheme="majorHAnsi" w:hAnsiTheme="majorHAnsi"/>
          <w:sz w:val="20"/>
          <w:szCs w:val="20"/>
        </w:rPr>
        <w:t xml:space="preserve">, safeguards </w:t>
      </w:r>
      <w:r w:rsidRPr="005722A6">
        <w:rPr>
          <w:rFonts w:asciiTheme="majorHAnsi" w:hAnsiTheme="majorHAnsi"/>
          <w:sz w:val="20"/>
          <w:szCs w:val="20"/>
        </w:rPr>
        <w:t xml:space="preserve">and guidelines </w:t>
      </w:r>
      <w:r w:rsidRPr="005722A6">
        <w:rPr>
          <w:rFonts w:asciiTheme="majorHAnsi" w:hAnsiTheme="majorHAnsi"/>
          <w:sz w:val="20"/>
          <w:szCs w:val="20"/>
        </w:rPr>
        <w:lastRenderedPageBreak/>
        <w:t xml:space="preserve">are needed to </w:t>
      </w:r>
      <w:r w:rsidR="007E5DBE" w:rsidRPr="005722A6">
        <w:rPr>
          <w:rFonts w:asciiTheme="majorHAnsi" w:hAnsiTheme="majorHAnsi"/>
          <w:sz w:val="20"/>
          <w:szCs w:val="20"/>
        </w:rPr>
        <w:t xml:space="preserve">secure </w:t>
      </w:r>
      <w:r w:rsidRPr="005722A6">
        <w:rPr>
          <w:rFonts w:asciiTheme="majorHAnsi" w:hAnsiTheme="majorHAnsi"/>
          <w:sz w:val="20"/>
          <w:szCs w:val="20"/>
        </w:rPr>
        <w:t>the</w:t>
      </w:r>
      <w:r w:rsidR="007E5DBE" w:rsidRPr="005722A6">
        <w:rPr>
          <w:rFonts w:asciiTheme="majorHAnsi" w:hAnsiTheme="majorHAnsi"/>
          <w:sz w:val="20"/>
          <w:szCs w:val="20"/>
        </w:rPr>
        <w:t>ir</w:t>
      </w:r>
      <w:r w:rsidRPr="005722A6">
        <w:rPr>
          <w:rFonts w:asciiTheme="majorHAnsi" w:hAnsiTheme="majorHAnsi"/>
          <w:sz w:val="20"/>
          <w:szCs w:val="20"/>
        </w:rPr>
        <w:t xml:space="preserve"> </w:t>
      </w:r>
      <w:r w:rsidR="007E5DBE" w:rsidRPr="005722A6">
        <w:rPr>
          <w:rFonts w:asciiTheme="majorHAnsi" w:hAnsiTheme="majorHAnsi"/>
          <w:sz w:val="20"/>
          <w:szCs w:val="20"/>
        </w:rPr>
        <w:t xml:space="preserve">sustainable </w:t>
      </w:r>
      <w:r w:rsidRPr="005722A6">
        <w:rPr>
          <w:rFonts w:asciiTheme="majorHAnsi" w:hAnsiTheme="majorHAnsi"/>
          <w:sz w:val="20"/>
          <w:szCs w:val="20"/>
        </w:rPr>
        <w:t>development</w:t>
      </w:r>
      <w:r w:rsidR="007E5DBE" w:rsidRPr="005722A6">
        <w:rPr>
          <w:rFonts w:asciiTheme="majorHAnsi" w:hAnsiTheme="majorHAnsi"/>
          <w:sz w:val="20"/>
          <w:szCs w:val="20"/>
        </w:rPr>
        <w:t xml:space="preserve">. </w:t>
      </w:r>
      <w:r w:rsidRPr="005722A6">
        <w:rPr>
          <w:rFonts w:asciiTheme="majorHAnsi" w:hAnsiTheme="majorHAnsi"/>
          <w:sz w:val="20"/>
          <w:szCs w:val="20"/>
        </w:rPr>
        <w:t>Currently, Palau has limited expertise and capacity to address socio-economic issues and</w:t>
      </w:r>
      <w:r w:rsidR="002E0400">
        <w:rPr>
          <w:rFonts w:asciiTheme="majorHAnsi" w:hAnsiTheme="majorHAnsi"/>
          <w:sz w:val="20"/>
          <w:szCs w:val="20"/>
        </w:rPr>
        <w:t>,</w:t>
      </w:r>
      <w:r w:rsidRPr="005722A6">
        <w:rPr>
          <w:rFonts w:asciiTheme="majorHAnsi" w:hAnsiTheme="majorHAnsi"/>
          <w:sz w:val="20"/>
          <w:szCs w:val="20"/>
        </w:rPr>
        <w:t xml:space="preserve"> therefore</w:t>
      </w:r>
      <w:r w:rsidR="002E0400">
        <w:rPr>
          <w:rFonts w:asciiTheme="majorHAnsi" w:hAnsiTheme="majorHAnsi"/>
          <w:sz w:val="20"/>
          <w:szCs w:val="20"/>
        </w:rPr>
        <w:t xml:space="preserve">, </w:t>
      </w:r>
      <w:r w:rsidRPr="005722A6">
        <w:rPr>
          <w:rFonts w:asciiTheme="majorHAnsi" w:hAnsiTheme="majorHAnsi"/>
          <w:sz w:val="20"/>
          <w:szCs w:val="20"/>
        </w:rPr>
        <w:t xml:space="preserve">expertise in this area </w:t>
      </w:r>
      <w:r w:rsidR="007E5DBE" w:rsidRPr="005722A6">
        <w:rPr>
          <w:rFonts w:asciiTheme="majorHAnsi" w:hAnsiTheme="majorHAnsi"/>
          <w:sz w:val="20"/>
          <w:szCs w:val="20"/>
        </w:rPr>
        <w:t xml:space="preserve">is </w:t>
      </w:r>
      <w:r w:rsidRPr="005722A6">
        <w:rPr>
          <w:rFonts w:asciiTheme="majorHAnsi" w:hAnsiTheme="majorHAnsi"/>
          <w:sz w:val="20"/>
          <w:szCs w:val="20"/>
        </w:rPr>
        <w:t xml:space="preserve">needed. </w:t>
      </w:r>
      <w:r w:rsidR="007E5DBE" w:rsidRPr="005722A6">
        <w:rPr>
          <w:rFonts w:asciiTheme="majorHAnsi" w:hAnsiTheme="majorHAnsi"/>
          <w:sz w:val="20"/>
          <w:szCs w:val="20"/>
        </w:rPr>
        <w:t>Key limitations include:</w:t>
      </w:r>
    </w:p>
    <w:p w14:paraId="3F2F31D9" w14:textId="5D0F29D6" w:rsidR="007E5DBE" w:rsidRPr="005722A6" w:rsidRDefault="00B87774" w:rsidP="00C71EB0">
      <w:pPr>
        <w:pStyle w:val="Default"/>
        <w:numPr>
          <w:ilvl w:val="0"/>
          <w:numId w:val="104"/>
        </w:numPr>
        <w:jc w:val="both"/>
        <w:rPr>
          <w:rFonts w:asciiTheme="majorHAnsi" w:eastAsia="SimSun" w:hAnsiTheme="majorHAnsi" w:cs="Times New Roman"/>
          <w:sz w:val="20"/>
          <w:szCs w:val="20"/>
          <w:lang w:eastAsia="en-US"/>
        </w:rPr>
      </w:pPr>
      <w:r w:rsidRPr="005722A6">
        <w:rPr>
          <w:rFonts w:asciiTheme="majorHAnsi" w:hAnsiTheme="majorHAnsi"/>
          <w:sz w:val="20"/>
          <w:szCs w:val="20"/>
        </w:rPr>
        <w:t>The Division of Forestry is mandated to provide technical assistance to states but has limited staff, technical capacity</w:t>
      </w:r>
      <w:r w:rsidR="006A452B" w:rsidRPr="005722A6">
        <w:rPr>
          <w:rFonts w:asciiTheme="majorHAnsi" w:hAnsiTheme="majorHAnsi"/>
          <w:sz w:val="20"/>
          <w:szCs w:val="20"/>
        </w:rPr>
        <w:t>,</w:t>
      </w:r>
      <w:r w:rsidRPr="005722A6">
        <w:rPr>
          <w:rFonts w:asciiTheme="majorHAnsi" w:hAnsiTheme="majorHAnsi"/>
          <w:sz w:val="20"/>
          <w:szCs w:val="20"/>
        </w:rPr>
        <w:t xml:space="preserve"> and funding</w:t>
      </w:r>
      <w:r w:rsidR="009638EF">
        <w:rPr>
          <w:rFonts w:asciiTheme="majorHAnsi" w:hAnsiTheme="majorHAnsi"/>
          <w:sz w:val="20"/>
          <w:szCs w:val="20"/>
        </w:rPr>
        <w:t>.</w:t>
      </w:r>
      <w:r w:rsidRPr="005722A6">
        <w:rPr>
          <w:rFonts w:asciiTheme="majorHAnsi" w:hAnsiTheme="majorHAnsi"/>
          <w:sz w:val="20"/>
          <w:szCs w:val="20"/>
        </w:rPr>
        <w:t xml:space="preserve"> </w:t>
      </w:r>
    </w:p>
    <w:p w14:paraId="263992C8" w14:textId="29C4E14B" w:rsidR="007E5DBE" w:rsidRPr="005722A6" w:rsidRDefault="007E5DBE" w:rsidP="00C71EB0">
      <w:pPr>
        <w:pStyle w:val="Default"/>
        <w:numPr>
          <w:ilvl w:val="0"/>
          <w:numId w:val="104"/>
        </w:numPr>
        <w:jc w:val="both"/>
        <w:rPr>
          <w:rFonts w:asciiTheme="majorHAnsi" w:eastAsia="SimSun" w:hAnsiTheme="majorHAnsi" w:cs="Times New Roman"/>
          <w:sz w:val="20"/>
          <w:szCs w:val="20"/>
          <w:lang w:eastAsia="en-US"/>
        </w:rPr>
      </w:pPr>
      <w:r w:rsidRPr="005722A6">
        <w:rPr>
          <w:rFonts w:asciiTheme="majorHAnsi" w:hAnsiTheme="majorHAnsi"/>
          <w:sz w:val="20"/>
          <w:szCs w:val="20"/>
        </w:rPr>
        <w:t>Alt</w:t>
      </w:r>
      <w:r w:rsidR="00B87774" w:rsidRPr="005722A6">
        <w:rPr>
          <w:rFonts w:asciiTheme="majorHAnsi" w:hAnsiTheme="majorHAnsi"/>
          <w:sz w:val="20"/>
          <w:szCs w:val="20"/>
        </w:rPr>
        <w:t xml:space="preserve">hough there is desire to shift towards sustainable tourist practices, </w:t>
      </w:r>
      <w:r w:rsidRPr="005722A6">
        <w:rPr>
          <w:rFonts w:asciiTheme="majorHAnsi" w:hAnsiTheme="majorHAnsi"/>
          <w:sz w:val="20"/>
          <w:szCs w:val="20"/>
        </w:rPr>
        <w:t>b</w:t>
      </w:r>
      <w:r w:rsidR="00B87774" w:rsidRPr="005722A6">
        <w:rPr>
          <w:rFonts w:asciiTheme="majorHAnsi" w:hAnsiTheme="majorHAnsi"/>
          <w:sz w:val="20"/>
          <w:szCs w:val="20"/>
        </w:rPr>
        <w:t>usiness development plan</w:t>
      </w:r>
      <w:r w:rsidRPr="005722A6">
        <w:rPr>
          <w:rFonts w:asciiTheme="majorHAnsi" w:hAnsiTheme="majorHAnsi"/>
          <w:sz w:val="20"/>
          <w:szCs w:val="20"/>
        </w:rPr>
        <w:t>ning</w:t>
      </w:r>
      <w:r w:rsidR="00B87774" w:rsidRPr="005722A6">
        <w:rPr>
          <w:rFonts w:asciiTheme="majorHAnsi" w:hAnsiTheme="majorHAnsi"/>
          <w:sz w:val="20"/>
          <w:szCs w:val="20"/>
        </w:rPr>
        <w:t xml:space="preserve"> </w:t>
      </w:r>
      <w:r w:rsidRPr="005722A6">
        <w:rPr>
          <w:rFonts w:asciiTheme="majorHAnsi" w:hAnsiTheme="majorHAnsi"/>
          <w:sz w:val="20"/>
          <w:szCs w:val="20"/>
        </w:rPr>
        <w:t>lacks</w:t>
      </w:r>
      <w:r w:rsidR="00B87774" w:rsidRPr="005722A6">
        <w:rPr>
          <w:rFonts w:asciiTheme="majorHAnsi" w:hAnsiTheme="majorHAnsi"/>
          <w:sz w:val="20"/>
          <w:szCs w:val="20"/>
        </w:rPr>
        <w:t xml:space="preserve"> </w:t>
      </w:r>
      <w:r w:rsidR="005600A5" w:rsidRPr="005722A6">
        <w:rPr>
          <w:rFonts w:asciiTheme="majorHAnsi" w:hAnsiTheme="majorHAnsi"/>
          <w:sz w:val="20"/>
          <w:szCs w:val="20"/>
        </w:rPr>
        <w:t>measures necessary to</w:t>
      </w:r>
      <w:r w:rsidR="00B87774" w:rsidRPr="005722A6">
        <w:rPr>
          <w:rFonts w:asciiTheme="majorHAnsi" w:hAnsiTheme="majorHAnsi"/>
          <w:sz w:val="20"/>
          <w:szCs w:val="20"/>
        </w:rPr>
        <w:t xml:space="preserve"> develop biodiversity-friendly tourism</w:t>
      </w:r>
      <w:r w:rsidR="006A452B" w:rsidRPr="005722A6">
        <w:rPr>
          <w:rFonts w:asciiTheme="majorHAnsi" w:hAnsiTheme="majorHAnsi"/>
          <w:sz w:val="20"/>
          <w:szCs w:val="20"/>
        </w:rPr>
        <w:t xml:space="preserve"> and certification </w:t>
      </w:r>
      <w:r w:rsidRPr="005722A6">
        <w:rPr>
          <w:rFonts w:asciiTheme="majorHAnsi" w:hAnsiTheme="majorHAnsi"/>
          <w:sz w:val="20"/>
          <w:szCs w:val="20"/>
        </w:rPr>
        <w:t>programs</w:t>
      </w:r>
      <w:r w:rsidR="009638EF">
        <w:rPr>
          <w:rFonts w:asciiTheme="majorHAnsi" w:hAnsiTheme="majorHAnsi"/>
          <w:sz w:val="20"/>
          <w:szCs w:val="20"/>
        </w:rPr>
        <w:t>.</w:t>
      </w:r>
      <w:r w:rsidRPr="005722A6">
        <w:rPr>
          <w:rFonts w:asciiTheme="majorHAnsi" w:hAnsiTheme="majorHAnsi"/>
          <w:sz w:val="20"/>
          <w:szCs w:val="20"/>
        </w:rPr>
        <w:t xml:space="preserve"> </w:t>
      </w:r>
    </w:p>
    <w:p w14:paraId="59B71B4E" w14:textId="06DB907C" w:rsidR="007E5DBE" w:rsidRPr="005722A6" w:rsidRDefault="007E5DBE" w:rsidP="00C71EB0">
      <w:pPr>
        <w:pStyle w:val="Default"/>
        <w:numPr>
          <w:ilvl w:val="0"/>
          <w:numId w:val="104"/>
        </w:numPr>
        <w:jc w:val="both"/>
        <w:rPr>
          <w:rFonts w:asciiTheme="majorHAnsi" w:eastAsia="SimSun" w:hAnsiTheme="majorHAnsi" w:cs="Times New Roman"/>
          <w:sz w:val="20"/>
          <w:szCs w:val="20"/>
          <w:lang w:eastAsia="en-US"/>
        </w:rPr>
      </w:pPr>
      <w:r w:rsidRPr="005722A6">
        <w:rPr>
          <w:rFonts w:asciiTheme="majorHAnsi" w:hAnsiTheme="majorHAnsi"/>
          <w:sz w:val="20"/>
          <w:szCs w:val="20"/>
        </w:rPr>
        <w:t>Gaps</w:t>
      </w:r>
      <w:r w:rsidR="00B87774" w:rsidRPr="005722A6">
        <w:rPr>
          <w:rFonts w:asciiTheme="majorHAnsi" w:hAnsiTheme="majorHAnsi"/>
          <w:sz w:val="20"/>
          <w:szCs w:val="20"/>
        </w:rPr>
        <w:t xml:space="preserve"> in legal and regulatory frameworks allow threats to biodiversity to continue unabated. Capacities and protocols to ensure compliance with existing regulations and licensing systems at the national level in Palau’s territorial seascape are </w:t>
      </w:r>
      <w:r w:rsidRPr="005722A6">
        <w:rPr>
          <w:rFonts w:asciiTheme="majorHAnsi" w:hAnsiTheme="majorHAnsi"/>
          <w:sz w:val="20"/>
          <w:szCs w:val="20"/>
        </w:rPr>
        <w:t xml:space="preserve">also </w:t>
      </w:r>
      <w:r w:rsidR="006A452B" w:rsidRPr="005722A6">
        <w:rPr>
          <w:rFonts w:asciiTheme="majorHAnsi" w:hAnsiTheme="majorHAnsi"/>
          <w:sz w:val="20"/>
          <w:szCs w:val="20"/>
        </w:rPr>
        <w:t>limited</w:t>
      </w:r>
      <w:r w:rsidR="00B87774" w:rsidRPr="005722A6">
        <w:rPr>
          <w:rFonts w:asciiTheme="majorHAnsi" w:hAnsiTheme="majorHAnsi"/>
          <w:sz w:val="20"/>
          <w:szCs w:val="20"/>
        </w:rPr>
        <w:t xml:space="preserve">. </w:t>
      </w:r>
      <w:r w:rsidR="006A452B" w:rsidRPr="005722A6">
        <w:rPr>
          <w:rFonts w:asciiTheme="majorHAnsi" w:hAnsiTheme="majorHAnsi"/>
          <w:sz w:val="20"/>
          <w:szCs w:val="20"/>
        </w:rPr>
        <w:t xml:space="preserve">There are gaps in the national IAS </w:t>
      </w:r>
      <w:r w:rsidR="004A4120" w:rsidRPr="005722A6">
        <w:rPr>
          <w:rFonts w:asciiTheme="majorHAnsi" w:hAnsiTheme="majorHAnsi"/>
          <w:sz w:val="20"/>
          <w:szCs w:val="20"/>
        </w:rPr>
        <w:t xml:space="preserve">institutional framework. </w:t>
      </w:r>
      <w:r w:rsidR="00B87774" w:rsidRPr="005722A6">
        <w:rPr>
          <w:rFonts w:asciiTheme="majorHAnsi" w:hAnsiTheme="majorHAnsi"/>
          <w:sz w:val="20"/>
          <w:szCs w:val="20"/>
        </w:rPr>
        <w:t>Approaches to biosecurity and IAS prevention, detection</w:t>
      </w:r>
      <w:r w:rsidR="006A452B" w:rsidRPr="005722A6">
        <w:rPr>
          <w:rFonts w:asciiTheme="majorHAnsi" w:hAnsiTheme="majorHAnsi"/>
          <w:sz w:val="20"/>
          <w:szCs w:val="20"/>
        </w:rPr>
        <w:t>,</w:t>
      </w:r>
      <w:r w:rsidR="00B87774" w:rsidRPr="005722A6">
        <w:rPr>
          <w:rFonts w:asciiTheme="majorHAnsi" w:hAnsiTheme="majorHAnsi"/>
          <w:sz w:val="20"/>
          <w:szCs w:val="20"/>
        </w:rPr>
        <w:t xml:space="preserve"> and management are fragmented </w:t>
      </w:r>
      <w:r w:rsidR="004A4120" w:rsidRPr="005722A6">
        <w:rPr>
          <w:rFonts w:asciiTheme="majorHAnsi" w:hAnsiTheme="majorHAnsi"/>
          <w:sz w:val="20"/>
          <w:szCs w:val="20"/>
        </w:rPr>
        <w:t>with insufficient capacity</w:t>
      </w:r>
      <w:r w:rsidR="00B87774" w:rsidRPr="005722A6">
        <w:rPr>
          <w:rFonts w:asciiTheme="majorHAnsi" w:hAnsiTheme="majorHAnsi"/>
          <w:sz w:val="20"/>
          <w:szCs w:val="20"/>
        </w:rPr>
        <w:t xml:space="preserve">. Protocols and quarantine mechanisms for preventing IAS, including fines and fees, </w:t>
      </w:r>
      <w:r w:rsidRPr="005722A6">
        <w:rPr>
          <w:rFonts w:asciiTheme="majorHAnsi" w:hAnsiTheme="majorHAnsi"/>
          <w:sz w:val="20"/>
          <w:szCs w:val="20"/>
        </w:rPr>
        <w:t>are not</w:t>
      </w:r>
      <w:r w:rsidR="00B87774" w:rsidRPr="005722A6">
        <w:rPr>
          <w:rFonts w:asciiTheme="majorHAnsi" w:hAnsiTheme="majorHAnsi"/>
          <w:sz w:val="20"/>
          <w:szCs w:val="20"/>
        </w:rPr>
        <w:t xml:space="preserve"> standardized</w:t>
      </w:r>
      <w:r w:rsidR="009638EF">
        <w:rPr>
          <w:rFonts w:asciiTheme="majorHAnsi" w:hAnsiTheme="majorHAnsi"/>
          <w:sz w:val="20"/>
          <w:szCs w:val="20"/>
        </w:rPr>
        <w:t>.</w:t>
      </w:r>
    </w:p>
    <w:p w14:paraId="7C5C5CB5" w14:textId="304293BB" w:rsidR="005600A5" w:rsidRPr="005722A6" w:rsidRDefault="006A452B" w:rsidP="00C71EB0">
      <w:pPr>
        <w:pStyle w:val="Default"/>
        <w:numPr>
          <w:ilvl w:val="0"/>
          <w:numId w:val="104"/>
        </w:numPr>
        <w:jc w:val="both"/>
        <w:rPr>
          <w:rFonts w:asciiTheme="majorHAnsi" w:eastAsia="SimSun" w:hAnsiTheme="majorHAnsi" w:cs="Times New Roman"/>
          <w:sz w:val="20"/>
          <w:szCs w:val="20"/>
          <w:lang w:eastAsia="en-US"/>
        </w:rPr>
      </w:pPr>
      <w:r w:rsidRPr="005722A6">
        <w:rPr>
          <w:rFonts w:asciiTheme="majorHAnsi" w:hAnsiTheme="majorHAnsi"/>
          <w:sz w:val="20"/>
          <w:szCs w:val="20"/>
        </w:rPr>
        <w:t xml:space="preserve">Palau’s </w:t>
      </w:r>
      <w:r w:rsidR="00B87774" w:rsidRPr="005722A6">
        <w:rPr>
          <w:rFonts w:asciiTheme="majorHAnsi" w:hAnsiTheme="majorHAnsi"/>
          <w:sz w:val="20"/>
          <w:szCs w:val="20"/>
        </w:rPr>
        <w:t xml:space="preserve">National Invasive Species Committee and </w:t>
      </w:r>
      <w:r w:rsidR="005600A5" w:rsidRPr="005722A6">
        <w:rPr>
          <w:rFonts w:asciiTheme="majorHAnsi" w:hAnsiTheme="majorHAnsi"/>
          <w:sz w:val="20"/>
          <w:szCs w:val="20"/>
        </w:rPr>
        <w:t>the</w:t>
      </w:r>
      <w:r w:rsidR="00B87774" w:rsidRPr="005722A6">
        <w:rPr>
          <w:rFonts w:asciiTheme="majorHAnsi" w:hAnsiTheme="majorHAnsi"/>
          <w:sz w:val="20"/>
          <w:szCs w:val="20"/>
        </w:rPr>
        <w:t xml:space="preserve"> National Invasive Species Office </w:t>
      </w:r>
      <w:r w:rsidR="005600A5" w:rsidRPr="005722A6">
        <w:rPr>
          <w:rFonts w:asciiTheme="majorHAnsi" w:hAnsiTheme="majorHAnsi"/>
          <w:sz w:val="20"/>
          <w:szCs w:val="20"/>
        </w:rPr>
        <w:t xml:space="preserve">lack sufficient capacity to </w:t>
      </w:r>
      <w:r w:rsidR="00B87774" w:rsidRPr="005722A6">
        <w:rPr>
          <w:rFonts w:asciiTheme="majorHAnsi" w:hAnsiTheme="majorHAnsi"/>
          <w:sz w:val="20"/>
          <w:szCs w:val="20"/>
        </w:rPr>
        <w:t>lead a national action plan on IAS</w:t>
      </w:r>
      <w:r w:rsidR="004A4120" w:rsidRPr="005722A6">
        <w:rPr>
          <w:rFonts w:asciiTheme="majorHAnsi" w:hAnsiTheme="majorHAnsi"/>
          <w:sz w:val="20"/>
          <w:szCs w:val="20"/>
        </w:rPr>
        <w:t xml:space="preserve">, including </w:t>
      </w:r>
      <w:r w:rsidR="00B87774" w:rsidRPr="005722A6">
        <w:rPr>
          <w:rFonts w:asciiTheme="majorHAnsi" w:hAnsiTheme="majorHAnsi"/>
          <w:sz w:val="20"/>
          <w:szCs w:val="20"/>
        </w:rPr>
        <w:t>integrat</w:t>
      </w:r>
      <w:r w:rsidR="004A4120" w:rsidRPr="005722A6">
        <w:rPr>
          <w:rFonts w:asciiTheme="majorHAnsi" w:hAnsiTheme="majorHAnsi"/>
          <w:sz w:val="20"/>
          <w:szCs w:val="20"/>
        </w:rPr>
        <w:t>ing</w:t>
      </w:r>
      <w:r w:rsidR="00B87774" w:rsidRPr="005722A6">
        <w:rPr>
          <w:rFonts w:asciiTheme="majorHAnsi" w:hAnsiTheme="majorHAnsi"/>
          <w:sz w:val="20"/>
          <w:szCs w:val="20"/>
        </w:rPr>
        <w:t xml:space="preserve"> IAS prevention and management into the </w:t>
      </w:r>
      <w:r w:rsidR="00D934AC">
        <w:rPr>
          <w:rFonts w:asciiTheme="majorHAnsi" w:hAnsiTheme="majorHAnsi"/>
          <w:sz w:val="20"/>
          <w:szCs w:val="20"/>
        </w:rPr>
        <w:t>Protected Area Network (</w:t>
      </w:r>
      <w:r w:rsidR="00B87774" w:rsidRPr="005722A6">
        <w:rPr>
          <w:rFonts w:asciiTheme="majorHAnsi" w:hAnsiTheme="majorHAnsi"/>
          <w:sz w:val="20"/>
          <w:szCs w:val="20"/>
        </w:rPr>
        <w:t>PAN</w:t>
      </w:r>
      <w:r w:rsidR="00D934AC">
        <w:rPr>
          <w:rFonts w:asciiTheme="majorHAnsi" w:hAnsiTheme="majorHAnsi"/>
          <w:sz w:val="20"/>
          <w:szCs w:val="20"/>
        </w:rPr>
        <w:t>)</w:t>
      </w:r>
      <w:r w:rsidR="009638EF">
        <w:rPr>
          <w:rFonts w:asciiTheme="majorHAnsi" w:hAnsiTheme="majorHAnsi"/>
          <w:sz w:val="20"/>
          <w:szCs w:val="20"/>
        </w:rPr>
        <w:t>.</w:t>
      </w:r>
    </w:p>
    <w:p w14:paraId="7F712AB8" w14:textId="052A3222" w:rsidR="005600A5" w:rsidRPr="005722A6" w:rsidRDefault="00B87774" w:rsidP="00C71EB0">
      <w:pPr>
        <w:pStyle w:val="Default"/>
        <w:numPr>
          <w:ilvl w:val="0"/>
          <w:numId w:val="104"/>
        </w:numPr>
        <w:jc w:val="both"/>
        <w:rPr>
          <w:rFonts w:asciiTheme="majorHAnsi" w:eastAsia="SimSun" w:hAnsiTheme="majorHAnsi" w:cs="Times New Roman"/>
          <w:sz w:val="20"/>
          <w:szCs w:val="20"/>
          <w:lang w:eastAsia="en-US"/>
        </w:rPr>
      </w:pPr>
      <w:r w:rsidRPr="005722A6">
        <w:rPr>
          <w:rFonts w:asciiTheme="majorHAnsi" w:hAnsiTheme="majorHAnsi"/>
          <w:sz w:val="20"/>
          <w:szCs w:val="20"/>
        </w:rPr>
        <w:t xml:space="preserve">A few agencies and organizations have established information systems and data collection efforts on biodiversity </w:t>
      </w:r>
      <w:r w:rsidRPr="005722A6">
        <w:rPr>
          <w:rFonts w:asciiTheme="majorHAnsi" w:eastAsia="SimSun" w:hAnsiTheme="majorHAnsi" w:cs="Times New Roman"/>
          <w:sz w:val="20"/>
          <w:szCs w:val="20"/>
          <w:lang w:eastAsia="en-US"/>
        </w:rPr>
        <w:t xml:space="preserve">and threats, including IAS and wildfire, but </w:t>
      </w:r>
      <w:r w:rsidR="005600A5" w:rsidRPr="005722A6">
        <w:rPr>
          <w:rFonts w:asciiTheme="majorHAnsi" w:eastAsia="SimSun" w:hAnsiTheme="majorHAnsi" w:cs="Times New Roman"/>
          <w:sz w:val="20"/>
          <w:szCs w:val="20"/>
          <w:lang w:eastAsia="en-US"/>
        </w:rPr>
        <w:t xml:space="preserve">this </w:t>
      </w:r>
      <w:r w:rsidRPr="005722A6">
        <w:rPr>
          <w:rFonts w:asciiTheme="majorHAnsi" w:eastAsia="SimSun" w:hAnsiTheme="majorHAnsi" w:cs="Times New Roman"/>
          <w:sz w:val="20"/>
          <w:szCs w:val="20"/>
          <w:lang w:eastAsia="en-US"/>
        </w:rPr>
        <w:t xml:space="preserve">data </w:t>
      </w:r>
      <w:r w:rsidR="005600A5" w:rsidRPr="005722A6">
        <w:rPr>
          <w:rFonts w:asciiTheme="majorHAnsi" w:eastAsia="SimSun" w:hAnsiTheme="majorHAnsi" w:cs="Times New Roman"/>
          <w:sz w:val="20"/>
          <w:szCs w:val="20"/>
          <w:lang w:eastAsia="en-US"/>
        </w:rPr>
        <w:t xml:space="preserve">is </w:t>
      </w:r>
      <w:r w:rsidRPr="005722A6">
        <w:rPr>
          <w:rFonts w:asciiTheme="majorHAnsi" w:eastAsia="SimSun" w:hAnsiTheme="majorHAnsi" w:cs="Times New Roman"/>
          <w:sz w:val="20"/>
          <w:szCs w:val="20"/>
          <w:lang w:eastAsia="en-US"/>
        </w:rPr>
        <w:t xml:space="preserve">dispersed and fragmented. Efforts on data collection and compilation </w:t>
      </w:r>
      <w:r w:rsidR="005600A5" w:rsidRPr="005722A6">
        <w:rPr>
          <w:rFonts w:asciiTheme="majorHAnsi" w:eastAsia="SimSun" w:hAnsiTheme="majorHAnsi" w:cs="Times New Roman"/>
          <w:sz w:val="20"/>
          <w:szCs w:val="20"/>
          <w:lang w:eastAsia="en-US"/>
        </w:rPr>
        <w:t>are not</w:t>
      </w:r>
      <w:r w:rsidRPr="005722A6">
        <w:rPr>
          <w:rFonts w:asciiTheme="majorHAnsi" w:eastAsia="SimSun" w:hAnsiTheme="majorHAnsi" w:cs="Times New Roman"/>
          <w:sz w:val="20"/>
          <w:szCs w:val="20"/>
          <w:lang w:eastAsia="en-US"/>
        </w:rPr>
        <w:t xml:space="preserve"> standardized for </w:t>
      </w:r>
      <w:r w:rsidR="005600A5" w:rsidRPr="005722A6">
        <w:rPr>
          <w:rFonts w:asciiTheme="majorHAnsi" w:eastAsia="SimSun" w:hAnsiTheme="majorHAnsi" w:cs="Times New Roman"/>
          <w:sz w:val="20"/>
          <w:szCs w:val="20"/>
          <w:lang w:eastAsia="en-US"/>
        </w:rPr>
        <w:t xml:space="preserve">effective </w:t>
      </w:r>
      <w:r w:rsidRPr="005722A6">
        <w:rPr>
          <w:rFonts w:asciiTheme="majorHAnsi" w:eastAsia="SimSun" w:hAnsiTheme="majorHAnsi" w:cs="Times New Roman"/>
          <w:sz w:val="20"/>
          <w:szCs w:val="20"/>
          <w:lang w:eastAsia="en-US"/>
        </w:rPr>
        <w:t>decision makers. Information on the potential costs/benefits of different interventions is not available</w:t>
      </w:r>
      <w:r w:rsidR="004A4120" w:rsidRPr="005722A6">
        <w:rPr>
          <w:rFonts w:asciiTheme="majorHAnsi" w:eastAsia="SimSun" w:hAnsiTheme="majorHAnsi" w:cs="Times New Roman"/>
          <w:sz w:val="20"/>
          <w:szCs w:val="20"/>
          <w:lang w:eastAsia="en-US"/>
        </w:rPr>
        <w:t>; e</w:t>
      </w:r>
      <w:r w:rsidRPr="005722A6">
        <w:rPr>
          <w:rFonts w:asciiTheme="majorHAnsi" w:eastAsia="SimSun" w:hAnsiTheme="majorHAnsi" w:cs="Times New Roman"/>
          <w:sz w:val="20"/>
          <w:szCs w:val="20"/>
          <w:lang w:eastAsia="en-US"/>
        </w:rPr>
        <w:t xml:space="preserve">.g. economic data showing the cost-effective added value of improved prevention frameworks for IAS versus more traditional approaches of control and eradication </w:t>
      </w:r>
      <w:r w:rsidR="005600A5" w:rsidRPr="005722A6">
        <w:rPr>
          <w:rFonts w:asciiTheme="majorHAnsi" w:eastAsia="SimSun" w:hAnsiTheme="majorHAnsi" w:cs="Times New Roman"/>
          <w:sz w:val="20"/>
          <w:szCs w:val="20"/>
          <w:lang w:eastAsia="en-US"/>
        </w:rPr>
        <w:t>is lacking</w:t>
      </w:r>
      <w:r w:rsidR="009638EF">
        <w:rPr>
          <w:rFonts w:asciiTheme="majorHAnsi" w:eastAsia="SimSun" w:hAnsiTheme="majorHAnsi" w:cs="Times New Roman"/>
          <w:sz w:val="20"/>
          <w:szCs w:val="20"/>
          <w:lang w:eastAsia="en-US"/>
        </w:rPr>
        <w:t>.</w:t>
      </w:r>
    </w:p>
    <w:p w14:paraId="2A82B86C" w14:textId="5CD7DEED" w:rsidR="005600A5" w:rsidRPr="005722A6" w:rsidRDefault="00A96FFD" w:rsidP="00C71EB0">
      <w:pPr>
        <w:pStyle w:val="Default"/>
        <w:numPr>
          <w:ilvl w:val="0"/>
          <w:numId w:val="104"/>
        </w:numPr>
        <w:jc w:val="both"/>
        <w:rPr>
          <w:rFonts w:asciiTheme="majorHAnsi" w:eastAsia="SimSun" w:hAnsiTheme="majorHAnsi" w:cs="Times New Roman"/>
          <w:sz w:val="20"/>
          <w:szCs w:val="20"/>
          <w:lang w:eastAsia="en-US"/>
        </w:rPr>
      </w:pPr>
      <w:r>
        <w:rPr>
          <w:rFonts w:asciiTheme="majorHAnsi" w:eastAsia="SimSun" w:hAnsiTheme="majorHAnsi" w:cs="Times New Roman"/>
          <w:sz w:val="20"/>
          <w:szCs w:val="20"/>
          <w:lang w:eastAsia="en-US"/>
        </w:rPr>
        <w:t>E</w:t>
      </w:r>
      <w:r w:rsidR="00B87774" w:rsidRPr="005722A6">
        <w:rPr>
          <w:rFonts w:asciiTheme="majorHAnsi" w:eastAsia="SimSun" w:hAnsiTheme="majorHAnsi" w:cs="Times New Roman"/>
          <w:sz w:val="20"/>
          <w:szCs w:val="20"/>
          <w:lang w:eastAsia="en-US"/>
        </w:rPr>
        <w:t>ffective</w:t>
      </w:r>
      <w:r w:rsidR="00862E7B">
        <w:rPr>
          <w:rFonts w:asciiTheme="majorHAnsi" w:eastAsia="SimSun" w:hAnsiTheme="majorHAnsi" w:cs="Times New Roman"/>
          <w:sz w:val="20"/>
          <w:szCs w:val="20"/>
          <w:lang w:eastAsia="en-US"/>
        </w:rPr>
        <w:t>,</w:t>
      </w:r>
      <w:r w:rsidR="00B87774" w:rsidRPr="005722A6">
        <w:rPr>
          <w:rFonts w:asciiTheme="majorHAnsi" w:eastAsia="SimSun" w:hAnsiTheme="majorHAnsi" w:cs="Times New Roman"/>
          <w:sz w:val="20"/>
          <w:szCs w:val="20"/>
          <w:lang w:eastAsia="en-US"/>
        </w:rPr>
        <w:t xml:space="preserve"> comprehensive awareness strateg</w:t>
      </w:r>
      <w:r w:rsidR="00862E7B">
        <w:rPr>
          <w:rFonts w:asciiTheme="majorHAnsi" w:eastAsia="SimSun" w:hAnsiTheme="majorHAnsi" w:cs="Times New Roman"/>
          <w:sz w:val="20"/>
          <w:szCs w:val="20"/>
          <w:lang w:eastAsia="en-US"/>
        </w:rPr>
        <w:t>ies</w:t>
      </w:r>
      <w:r w:rsidR="00B87774" w:rsidRPr="005722A6">
        <w:rPr>
          <w:rFonts w:asciiTheme="majorHAnsi" w:eastAsia="SimSun" w:hAnsiTheme="majorHAnsi" w:cs="Times New Roman"/>
          <w:sz w:val="20"/>
          <w:szCs w:val="20"/>
          <w:lang w:eastAsia="en-US"/>
        </w:rPr>
        <w:t xml:space="preserve"> on IAS, biosecurity and </w:t>
      </w:r>
      <w:r w:rsidR="00862E7B">
        <w:rPr>
          <w:rFonts w:asciiTheme="majorHAnsi" w:eastAsia="SimSun" w:hAnsiTheme="majorHAnsi" w:cs="Times New Roman"/>
          <w:sz w:val="20"/>
          <w:szCs w:val="20"/>
          <w:lang w:eastAsia="en-US"/>
        </w:rPr>
        <w:t>sustainable</w:t>
      </w:r>
      <w:r w:rsidR="00B87774" w:rsidRPr="005722A6">
        <w:rPr>
          <w:rFonts w:asciiTheme="majorHAnsi" w:eastAsia="SimSun" w:hAnsiTheme="majorHAnsi" w:cs="Times New Roman"/>
          <w:sz w:val="20"/>
          <w:szCs w:val="20"/>
          <w:lang w:eastAsia="en-US"/>
        </w:rPr>
        <w:t xml:space="preserve"> tourism </w:t>
      </w:r>
      <w:r w:rsidR="00862E7B">
        <w:rPr>
          <w:rFonts w:asciiTheme="majorHAnsi" w:eastAsia="SimSun" w:hAnsiTheme="majorHAnsi" w:cs="Times New Roman"/>
          <w:sz w:val="20"/>
          <w:szCs w:val="20"/>
          <w:lang w:eastAsia="en-US"/>
        </w:rPr>
        <w:t>are</w:t>
      </w:r>
      <w:r w:rsidR="00B87774" w:rsidRPr="005722A6">
        <w:rPr>
          <w:rFonts w:asciiTheme="majorHAnsi" w:eastAsia="SimSun" w:hAnsiTheme="majorHAnsi" w:cs="Times New Roman"/>
          <w:sz w:val="20"/>
          <w:szCs w:val="20"/>
          <w:lang w:eastAsia="en-US"/>
        </w:rPr>
        <w:t xml:space="preserve"> lacking</w:t>
      </w:r>
      <w:r w:rsidR="009638EF">
        <w:rPr>
          <w:rFonts w:asciiTheme="majorHAnsi" w:eastAsia="SimSun" w:hAnsiTheme="majorHAnsi" w:cs="Times New Roman"/>
          <w:sz w:val="20"/>
          <w:szCs w:val="20"/>
          <w:lang w:eastAsia="en-US"/>
        </w:rPr>
        <w:t>.</w:t>
      </w:r>
    </w:p>
    <w:p w14:paraId="05DDA48D" w14:textId="123BD9F3" w:rsidR="00B87774" w:rsidRPr="005722A6" w:rsidRDefault="00B87774" w:rsidP="00C71EB0">
      <w:pPr>
        <w:pStyle w:val="Default"/>
        <w:numPr>
          <w:ilvl w:val="0"/>
          <w:numId w:val="104"/>
        </w:numPr>
        <w:jc w:val="both"/>
        <w:rPr>
          <w:rFonts w:asciiTheme="majorHAnsi" w:eastAsia="SimSun" w:hAnsiTheme="majorHAnsi" w:cs="Times New Roman"/>
          <w:sz w:val="20"/>
          <w:szCs w:val="20"/>
          <w:lang w:eastAsia="en-US"/>
        </w:rPr>
      </w:pPr>
      <w:r w:rsidRPr="005722A6">
        <w:rPr>
          <w:rFonts w:asciiTheme="majorHAnsi" w:eastAsia="SimSun" w:hAnsiTheme="majorHAnsi" w:cs="Times New Roman"/>
          <w:sz w:val="20"/>
          <w:szCs w:val="20"/>
          <w:lang w:eastAsia="en-US"/>
        </w:rPr>
        <w:t>Finally, an important barrier to more effective planning and decision</w:t>
      </w:r>
      <w:r w:rsidR="00491C9E">
        <w:rPr>
          <w:rFonts w:asciiTheme="majorHAnsi" w:eastAsia="SimSun" w:hAnsiTheme="majorHAnsi" w:cs="Times New Roman"/>
          <w:sz w:val="20"/>
          <w:szCs w:val="20"/>
          <w:lang w:eastAsia="en-US"/>
        </w:rPr>
        <w:t>-</w:t>
      </w:r>
      <w:r w:rsidRPr="005722A6">
        <w:rPr>
          <w:rFonts w:asciiTheme="majorHAnsi" w:eastAsia="SimSun" w:hAnsiTheme="majorHAnsi" w:cs="Times New Roman"/>
          <w:sz w:val="20"/>
          <w:szCs w:val="20"/>
          <w:lang w:eastAsia="en-US"/>
        </w:rPr>
        <w:t>making on integrated land</w:t>
      </w:r>
      <w:r w:rsidR="00A35929">
        <w:rPr>
          <w:rFonts w:asciiTheme="majorHAnsi" w:eastAsia="SimSun" w:hAnsiTheme="majorHAnsi" w:cs="Times New Roman"/>
          <w:sz w:val="20"/>
          <w:szCs w:val="20"/>
          <w:lang w:eastAsia="en-US"/>
        </w:rPr>
        <w:t>/sea</w:t>
      </w:r>
      <w:r w:rsidRPr="005722A6">
        <w:rPr>
          <w:rFonts w:asciiTheme="majorHAnsi" w:eastAsia="SimSun" w:hAnsiTheme="majorHAnsi" w:cs="Times New Roman"/>
          <w:sz w:val="20"/>
          <w:szCs w:val="20"/>
          <w:lang w:eastAsia="en-US"/>
        </w:rPr>
        <w:t xml:space="preserve">scape planning is weak coordination </w:t>
      </w:r>
      <w:r w:rsidR="00862E7B" w:rsidRPr="005722A6">
        <w:rPr>
          <w:rFonts w:asciiTheme="majorHAnsi" w:eastAsia="SimSun" w:hAnsiTheme="majorHAnsi" w:cs="Times New Roman"/>
          <w:sz w:val="20"/>
          <w:szCs w:val="20"/>
          <w:lang w:eastAsia="en-US"/>
        </w:rPr>
        <w:t xml:space="preserve">inter-sectorally </w:t>
      </w:r>
      <w:r w:rsidR="00862E7B">
        <w:rPr>
          <w:rFonts w:asciiTheme="majorHAnsi" w:eastAsia="SimSun" w:hAnsiTheme="majorHAnsi" w:cs="Times New Roman"/>
          <w:sz w:val="20"/>
          <w:szCs w:val="20"/>
          <w:lang w:eastAsia="en-US"/>
        </w:rPr>
        <w:t xml:space="preserve">and </w:t>
      </w:r>
      <w:r w:rsidRPr="005722A6">
        <w:rPr>
          <w:rFonts w:asciiTheme="majorHAnsi" w:eastAsia="SimSun" w:hAnsiTheme="majorHAnsi" w:cs="Times New Roman"/>
          <w:sz w:val="20"/>
          <w:szCs w:val="20"/>
          <w:lang w:eastAsia="en-US"/>
        </w:rPr>
        <w:t xml:space="preserve">between national and state levels to achieve buy-in and ensure effective implementation. Although Palau has developed regulations on resource extraction and on protected species (e.g. </w:t>
      </w:r>
      <w:r w:rsidR="0096363F" w:rsidRPr="005722A6">
        <w:rPr>
          <w:rFonts w:asciiTheme="majorHAnsi" w:eastAsia="SimSun" w:hAnsiTheme="majorHAnsi" w:cs="Times New Roman"/>
          <w:sz w:val="20"/>
          <w:szCs w:val="20"/>
          <w:lang w:eastAsia="en-US"/>
        </w:rPr>
        <w:t>H</w:t>
      </w:r>
      <w:r w:rsidRPr="005722A6">
        <w:rPr>
          <w:rFonts w:asciiTheme="majorHAnsi" w:eastAsia="SimSun" w:hAnsiTheme="majorHAnsi" w:cs="Times New Roman"/>
          <w:sz w:val="20"/>
          <w:szCs w:val="20"/>
          <w:lang w:eastAsia="en-US"/>
        </w:rPr>
        <w:t>umphead wrasse</w:t>
      </w:r>
      <w:r w:rsidR="0096363F" w:rsidRPr="005722A6">
        <w:rPr>
          <w:rFonts w:asciiTheme="majorHAnsi" w:eastAsia="SimSun" w:hAnsiTheme="majorHAnsi" w:cs="Times New Roman"/>
          <w:sz w:val="20"/>
          <w:szCs w:val="20"/>
          <w:lang w:eastAsia="en-US"/>
        </w:rPr>
        <w:t xml:space="preserve"> </w:t>
      </w:r>
      <w:r w:rsidR="0096363F" w:rsidRPr="00A04578">
        <w:rPr>
          <w:rFonts w:asciiTheme="majorHAnsi" w:hAnsiTheme="majorHAnsi"/>
          <w:i/>
          <w:color w:val="424242"/>
          <w:sz w:val="20"/>
          <w:szCs w:val="20"/>
        </w:rPr>
        <w:t>Cheilinus undulatus</w:t>
      </w:r>
      <w:r w:rsidRPr="005722A6">
        <w:rPr>
          <w:rFonts w:asciiTheme="majorHAnsi" w:eastAsia="SimSun" w:hAnsiTheme="majorHAnsi" w:cs="Times New Roman"/>
          <w:sz w:val="20"/>
          <w:szCs w:val="20"/>
          <w:lang w:eastAsia="en-US"/>
        </w:rPr>
        <w:t xml:space="preserve">), monitoring and enforcement capabilities </w:t>
      </w:r>
      <w:r w:rsidR="005600A5" w:rsidRPr="005722A6">
        <w:rPr>
          <w:rFonts w:asciiTheme="majorHAnsi" w:eastAsia="SimSun" w:hAnsiTheme="majorHAnsi" w:cs="Times New Roman"/>
          <w:sz w:val="20"/>
          <w:szCs w:val="20"/>
          <w:lang w:eastAsia="en-US"/>
        </w:rPr>
        <w:t>are weak</w:t>
      </w:r>
      <w:r w:rsidRPr="005722A6">
        <w:rPr>
          <w:rFonts w:asciiTheme="majorHAnsi" w:eastAsia="SimSun" w:hAnsiTheme="majorHAnsi" w:cs="Times New Roman"/>
          <w:sz w:val="20"/>
          <w:szCs w:val="20"/>
          <w:lang w:eastAsia="en-US"/>
        </w:rPr>
        <w:t xml:space="preserve"> and </w:t>
      </w:r>
      <w:r w:rsidR="002E0400">
        <w:rPr>
          <w:rFonts w:asciiTheme="majorHAnsi" w:eastAsia="SimSun" w:hAnsiTheme="majorHAnsi" w:cs="Times New Roman"/>
          <w:sz w:val="20"/>
          <w:szCs w:val="20"/>
          <w:lang w:eastAsia="en-US"/>
        </w:rPr>
        <w:t xml:space="preserve">ineffective in </w:t>
      </w:r>
      <w:r w:rsidRPr="005722A6">
        <w:rPr>
          <w:rFonts w:asciiTheme="majorHAnsi" w:eastAsia="SimSun" w:hAnsiTheme="majorHAnsi" w:cs="Times New Roman"/>
          <w:sz w:val="20"/>
          <w:szCs w:val="20"/>
          <w:lang w:eastAsia="en-US"/>
        </w:rPr>
        <w:t>enforc</w:t>
      </w:r>
      <w:r w:rsidR="002E0400">
        <w:rPr>
          <w:rFonts w:asciiTheme="majorHAnsi" w:eastAsia="SimSun" w:hAnsiTheme="majorHAnsi" w:cs="Times New Roman"/>
          <w:sz w:val="20"/>
          <w:szCs w:val="20"/>
          <w:lang w:eastAsia="en-US"/>
        </w:rPr>
        <w:t>ing</w:t>
      </w:r>
      <w:r w:rsidRPr="005722A6">
        <w:rPr>
          <w:rFonts w:asciiTheme="majorHAnsi" w:eastAsia="SimSun" w:hAnsiTheme="majorHAnsi" w:cs="Times New Roman"/>
          <w:sz w:val="20"/>
          <w:szCs w:val="20"/>
          <w:lang w:eastAsia="en-US"/>
        </w:rPr>
        <w:t xml:space="preserve"> these regulations and prosecut</w:t>
      </w:r>
      <w:r w:rsidR="002E0400">
        <w:rPr>
          <w:rFonts w:asciiTheme="majorHAnsi" w:eastAsia="SimSun" w:hAnsiTheme="majorHAnsi" w:cs="Times New Roman"/>
          <w:sz w:val="20"/>
          <w:szCs w:val="20"/>
          <w:lang w:eastAsia="en-US"/>
        </w:rPr>
        <w:t>ing</w:t>
      </w:r>
      <w:r w:rsidRPr="005722A6">
        <w:rPr>
          <w:rFonts w:asciiTheme="majorHAnsi" w:eastAsia="SimSun" w:hAnsiTheme="majorHAnsi" w:cs="Times New Roman"/>
          <w:sz w:val="20"/>
          <w:szCs w:val="20"/>
          <w:lang w:eastAsia="en-US"/>
        </w:rPr>
        <w:t xml:space="preserve"> violations. </w:t>
      </w:r>
    </w:p>
    <w:p w14:paraId="22FE6FE5" w14:textId="77777777" w:rsidR="00311A25" w:rsidRPr="005722A6" w:rsidRDefault="00311A25" w:rsidP="00B87774">
      <w:pPr>
        <w:pStyle w:val="Default"/>
        <w:jc w:val="both"/>
        <w:rPr>
          <w:rFonts w:asciiTheme="majorHAnsi" w:eastAsia="SimSun" w:hAnsiTheme="majorHAnsi" w:cs="Times New Roman"/>
          <w:sz w:val="20"/>
          <w:szCs w:val="20"/>
          <w:lang w:eastAsia="en-US"/>
        </w:rPr>
      </w:pPr>
    </w:p>
    <w:p w14:paraId="16176049" w14:textId="3916D338" w:rsidR="00311A25" w:rsidRPr="005722A6" w:rsidRDefault="005600A5" w:rsidP="00311A25">
      <w:pPr>
        <w:pStyle w:val="Default"/>
        <w:jc w:val="both"/>
        <w:rPr>
          <w:rFonts w:asciiTheme="majorHAnsi" w:eastAsia="SimSun" w:hAnsiTheme="majorHAnsi" w:cs="Times New Roman"/>
          <w:sz w:val="20"/>
          <w:szCs w:val="20"/>
          <w:lang w:eastAsia="en-US"/>
        </w:rPr>
      </w:pPr>
      <w:r w:rsidRPr="005722A6">
        <w:rPr>
          <w:rFonts w:asciiTheme="majorHAnsi" w:eastAsia="SimSun" w:hAnsiTheme="majorHAnsi" w:cs="Times New Roman"/>
          <w:sz w:val="20"/>
          <w:szCs w:val="20"/>
          <w:lang w:eastAsia="en-US"/>
        </w:rPr>
        <w:t xml:space="preserve">There are also “differences in protocols and even goals” between </w:t>
      </w:r>
      <w:r w:rsidR="00311A25" w:rsidRPr="005722A6">
        <w:rPr>
          <w:rFonts w:asciiTheme="majorHAnsi" w:eastAsia="SimSun" w:hAnsiTheme="majorHAnsi" w:cs="Times New Roman"/>
          <w:sz w:val="20"/>
          <w:szCs w:val="20"/>
          <w:lang w:eastAsia="en-US"/>
        </w:rPr>
        <w:t xml:space="preserve">national and state </w:t>
      </w:r>
      <w:r w:rsidR="007150F6" w:rsidRPr="005722A6">
        <w:rPr>
          <w:rFonts w:asciiTheme="majorHAnsi" w:eastAsia="SimSun" w:hAnsiTheme="majorHAnsi" w:cs="Times New Roman"/>
          <w:sz w:val="20"/>
          <w:szCs w:val="20"/>
          <w:lang w:eastAsia="en-US"/>
        </w:rPr>
        <w:t xml:space="preserve">sectors of </w:t>
      </w:r>
      <w:r w:rsidR="00311A25" w:rsidRPr="005722A6">
        <w:rPr>
          <w:rFonts w:asciiTheme="majorHAnsi" w:eastAsia="SimSun" w:hAnsiTheme="majorHAnsi" w:cs="Times New Roman"/>
          <w:sz w:val="20"/>
          <w:szCs w:val="20"/>
          <w:lang w:eastAsia="en-US"/>
        </w:rPr>
        <w:t>governments</w:t>
      </w:r>
      <w:r w:rsidRPr="005722A6">
        <w:rPr>
          <w:rFonts w:asciiTheme="majorHAnsi" w:eastAsia="SimSun" w:hAnsiTheme="majorHAnsi" w:cs="Times New Roman"/>
          <w:sz w:val="20"/>
          <w:szCs w:val="20"/>
          <w:lang w:eastAsia="en-US"/>
        </w:rPr>
        <w:t>,</w:t>
      </w:r>
      <w:r w:rsidR="00FD24D3" w:rsidRPr="005722A6">
        <w:rPr>
          <w:rStyle w:val="FootnoteReference"/>
          <w:rFonts w:asciiTheme="majorHAnsi" w:eastAsia="SimSun" w:hAnsiTheme="majorHAnsi"/>
          <w:sz w:val="20"/>
          <w:szCs w:val="20"/>
          <w:lang w:eastAsia="en-US"/>
        </w:rPr>
        <w:footnoteReference w:id="4"/>
      </w:r>
      <w:r w:rsidR="00311A25" w:rsidRPr="005722A6">
        <w:rPr>
          <w:rFonts w:asciiTheme="majorHAnsi" w:eastAsia="SimSun" w:hAnsiTheme="majorHAnsi" w:cs="Times New Roman"/>
          <w:sz w:val="20"/>
          <w:szCs w:val="20"/>
          <w:lang w:eastAsia="en-US"/>
        </w:rPr>
        <w:t xml:space="preserve"> </w:t>
      </w:r>
      <w:r w:rsidRPr="005722A6">
        <w:rPr>
          <w:rFonts w:asciiTheme="majorHAnsi" w:eastAsia="SimSun" w:hAnsiTheme="majorHAnsi" w:cs="Times New Roman"/>
          <w:sz w:val="20"/>
          <w:szCs w:val="20"/>
          <w:lang w:eastAsia="en-US"/>
        </w:rPr>
        <w:t>with</w:t>
      </w:r>
      <w:r w:rsidR="00311A25" w:rsidRPr="005722A6">
        <w:rPr>
          <w:rFonts w:asciiTheme="majorHAnsi" w:eastAsia="SimSun" w:hAnsiTheme="majorHAnsi" w:cs="Times New Roman"/>
          <w:sz w:val="20"/>
          <w:szCs w:val="20"/>
          <w:lang w:eastAsia="en-US"/>
        </w:rPr>
        <w:t xml:space="preserve"> little </w:t>
      </w:r>
      <w:r w:rsidRPr="005722A6">
        <w:rPr>
          <w:rFonts w:asciiTheme="majorHAnsi" w:eastAsia="SimSun" w:hAnsiTheme="majorHAnsi" w:cs="Times New Roman"/>
          <w:sz w:val="20"/>
          <w:szCs w:val="20"/>
          <w:lang w:eastAsia="en-US"/>
        </w:rPr>
        <w:t xml:space="preserve">or </w:t>
      </w:r>
      <w:r w:rsidR="00311A25" w:rsidRPr="005722A6">
        <w:rPr>
          <w:rFonts w:asciiTheme="majorHAnsi" w:eastAsia="SimSun" w:hAnsiTheme="majorHAnsi" w:cs="Times New Roman"/>
          <w:sz w:val="20"/>
          <w:szCs w:val="20"/>
          <w:lang w:eastAsia="en-US"/>
        </w:rPr>
        <w:t xml:space="preserve">no coordination on land use policies. </w:t>
      </w:r>
      <w:r w:rsidRPr="005722A6">
        <w:rPr>
          <w:rFonts w:asciiTheme="majorHAnsi" w:eastAsia="SimSun" w:hAnsiTheme="majorHAnsi" w:cs="Times New Roman"/>
          <w:sz w:val="20"/>
          <w:szCs w:val="20"/>
          <w:lang w:eastAsia="en-US"/>
        </w:rPr>
        <w:t xml:space="preserve">For example, the </w:t>
      </w:r>
      <w:r w:rsidR="00311A25" w:rsidRPr="005722A6">
        <w:rPr>
          <w:rFonts w:asciiTheme="majorHAnsi" w:eastAsia="SimSun" w:hAnsiTheme="majorHAnsi" w:cs="Times New Roman"/>
          <w:sz w:val="20"/>
          <w:szCs w:val="20"/>
          <w:lang w:eastAsia="en-US"/>
        </w:rPr>
        <w:t xml:space="preserve">National Government had adopted its </w:t>
      </w:r>
      <w:r w:rsidRPr="005722A6">
        <w:rPr>
          <w:rFonts w:asciiTheme="majorHAnsi" w:eastAsia="SimSun" w:hAnsiTheme="majorHAnsi" w:cs="Times New Roman"/>
          <w:sz w:val="20"/>
          <w:szCs w:val="20"/>
          <w:lang w:eastAsia="en-US"/>
        </w:rPr>
        <w:t xml:space="preserve">Responsible </w:t>
      </w:r>
      <w:r w:rsidR="00311A25" w:rsidRPr="005722A6">
        <w:rPr>
          <w:rFonts w:asciiTheme="majorHAnsi" w:eastAsia="SimSun" w:hAnsiTheme="majorHAnsi" w:cs="Times New Roman"/>
          <w:sz w:val="20"/>
          <w:szCs w:val="20"/>
          <w:lang w:eastAsia="en-US"/>
        </w:rPr>
        <w:t xml:space="preserve">Tourism Framework </w:t>
      </w:r>
      <w:r w:rsidRPr="005722A6">
        <w:rPr>
          <w:rFonts w:asciiTheme="majorHAnsi" w:eastAsia="SimSun" w:hAnsiTheme="majorHAnsi" w:cs="Times New Roman"/>
          <w:sz w:val="20"/>
          <w:szCs w:val="20"/>
          <w:lang w:eastAsia="en-US"/>
        </w:rPr>
        <w:t xml:space="preserve">in 2017 </w:t>
      </w:r>
      <w:r w:rsidR="00311A25" w:rsidRPr="005722A6">
        <w:rPr>
          <w:rFonts w:asciiTheme="majorHAnsi" w:eastAsia="SimSun" w:hAnsiTheme="majorHAnsi" w:cs="Times New Roman"/>
          <w:sz w:val="20"/>
          <w:szCs w:val="20"/>
          <w:lang w:eastAsia="en-US"/>
        </w:rPr>
        <w:t>with the goal of becoming a high-end destination; however</w:t>
      </w:r>
      <w:r w:rsidR="007150F6">
        <w:rPr>
          <w:rFonts w:asciiTheme="majorHAnsi" w:eastAsia="SimSun" w:hAnsiTheme="majorHAnsi" w:cs="Times New Roman"/>
          <w:sz w:val="20"/>
          <w:szCs w:val="20"/>
          <w:lang w:eastAsia="en-US"/>
        </w:rPr>
        <w:t>,</w:t>
      </w:r>
      <w:r w:rsidR="00311A25" w:rsidRPr="005722A6">
        <w:rPr>
          <w:rFonts w:asciiTheme="majorHAnsi" w:eastAsia="SimSun" w:hAnsiTheme="majorHAnsi" w:cs="Times New Roman"/>
          <w:sz w:val="20"/>
          <w:szCs w:val="20"/>
          <w:lang w:eastAsia="en-US"/>
        </w:rPr>
        <w:t xml:space="preserve"> these goals have not been adopted throughout the entire</w:t>
      </w:r>
      <w:r w:rsidRPr="005722A6">
        <w:rPr>
          <w:rFonts w:asciiTheme="majorHAnsi" w:eastAsia="SimSun" w:hAnsiTheme="majorHAnsi" w:cs="Times New Roman"/>
          <w:sz w:val="20"/>
          <w:szCs w:val="20"/>
          <w:lang w:eastAsia="en-US"/>
        </w:rPr>
        <w:t>t</w:t>
      </w:r>
      <w:r w:rsidR="00311A25" w:rsidRPr="005722A6">
        <w:rPr>
          <w:rFonts w:asciiTheme="majorHAnsi" w:eastAsia="SimSun" w:hAnsiTheme="majorHAnsi" w:cs="Times New Roman"/>
          <w:sz w:val="20"/>
          <w:szCs w:val="20"/>
          <w:lang w:eastAsia="en-US"/>
        </w:rPr>
        <w:t xml:space="preserve">y of Palau’s State Governments and </w:t>
      </w:r>
      <w:r w:rsidRPr="005722A6">
        <w:rPr>
          <w:rFonts w:asciiTheme="majorHAnsi" w:eastAsia="SimSun" w:hAnsiTheme="majorHAnsi" w:cs="Times New Roman"/>
          <w:sz w:val="20"/>
          <w:szCs w:val="20"/>
          <w:lang w:eastAsia="en-US"/>
        </w:rPr>
        <w:t>b</w:t>
      </w:r>
      <w:r w:rsidR="00311A25" w:rsidRPr="005722A6">
        <w:rPr>
          <w:rFonts w:asciiTheme="majorHAnsi" w:eastAsia="SimSun" w:hAnsiTheme="majorHAnsi" w:cs="Times New Roman"/>
          <w:sz w:val="20"/>
          <w:szCs w:val="20"/>
          <w:lang w:eastAsia="en-US"/>
        </w:rPr>
        <w:t xml:space="preserve">usiness sectors. </w:t>
      </w:r>
      <w:r w:rsidRPr="005722A6">
        <w:rPr>
          <w:rFonts w:asciiTheme="majorHAnsi" w:eastAsia="SimSun" w:hAnsiTheme="majorHAnsi" w:cs="Times New Roman"/>
          <w:sz w:val="20"/>
          <w:szCs w:val="20"/>
          <w:lang w:eastAsia="en-US"/>
        </w:rPr>
        <w:t>Furthermore, clarity on what is meant by</w:t>
      </w:r>
      <w:r w:rsidR="00311A25" w:rsidRPr="005722A6">
        <w:rPr>
          <w:rFonts w:asciiTheme="majorHAnsi" w:eastAsia="SimSun" w:hAnsiTheme="majorHAnsi" w:cs="Times New Roman"/>
          <w:sz w:val="20"/>
          <w:szCs w:val="20"/>
          <w:lang w:eastAsia="en-US"/>
        </w:rPr>
        <w:t xml:space="preserve"> “high end” </w:t>
      </w:r>
      <w:r w:rsidRPr="005722A6">
        <w:rPr>
          <w:rFonts w:asciiTheme="majorHAnsi" w:eastAsia="SimSun" w:hAnsiTheme="majorHAnsi" w:cs="Times New Roman"/>
          <w:sz w:val="20"/>
          <w:szCs w:val="20"/>
          <w:lang w:eastAsia="en-US"/>
        </w:rPr>
        <w:t xml:space="preserve">is lacking. </w:t>
      </w:r>
      <w:r w:rsidR="00311A25" w:rsidRPr="005722A6">
        <w:rPr>
          <w:rFonts w:asciiTheme="majorHAnsi" w:eastAsia="SimSun" w:hAnsiTheme="majorHAnsi" w:cs="Times New Roman"/>
          <w:sz w:val="20"/>
          <w:szCs w:val="20"/>
          <w:lang w:eastAsia="en-US"/>
        </w:rPr>
        <w:t xml:space="preserve">Both the </w:t>
      </w:r>
      <w:r w:rsidR="007F613C" w:rsidRPr="005722A6">
        <w:rPr>
          <w:rFonts w:asciiTheme="majorHAnsi" w:eastAsia="SimSun" w:hAnsiTheme="majorHAnsi" w:cs="Times New Roman"/>
          <w:sz w:val="20"/>
          <w:szCs w:val="20"/>
          <w:lang w:eastAsia="en-US"/>
        </w:rPr>
        <w:t>Asian Development Bank (</w:t>
      </w:r>
      <w:r w:rsidR="00311A25" w:rsidRPr="005722A6">
        <w:rPr>
          <w:rFonts w:asciiTheme="majorHAnsi" w:eastAsia="SimSun" w:hAnsiTheme="majorHAnsi" w:cs="Times New Roman"/>
          <w:sz w:val="20"/>
          <w:szCs w:val="20"/>
          <w:lang w:eastAsia="en-US"/>
        </w:rPr>
        <w:t>ADB</w:t>
      </w:r>
      <w:r w:rsidR="007F613C" w:rsidRPr="005722A6">
        <w:rPr>
          <w:rFonts w:asciiTheme="majorHAnsi" w:eastAsia="SimSun" w:hAnsiTheme="majorHAnsi" w:cs="Times New Roman"/>
          <w:sz w:val="20"/>
          <w:szCs w:val="20"/>
          <w:lang w:eastAsia="en-US"/>
        </w:rPr>
        <w:t>)</w:t>
      </w:r>
      <w:r w:rsidR="00311A25" w:rsidRPr="005722A6">
        <w:rPr>
          <w:rFonts w:asciiTheme="majorHAnsi" w:eastAsia="SimSun" w:hAnsiTheme="majorHAnsi" w:cs="Times New Roman"/>
          <w:sz w:val="20"/>
          <w:szCs w:val="20"/>
          <w:lang w:eastAsia="en-US"/>
        </w:rPr>
        <w:t xml:space="preserve"> and the </w:t>
      </w:r>
      <w:r w:rsidR="007F613C" w:rsidRPr="005722A6">
        <w:rPr>
          <w:rFonts w:asciiTheme="majorHAnsi" w:eastAsia="SimSun" w:hAnsiTheme="majorHAnsi" w:cs="Times New Roman"/>
          <w:sz w:val="20"/>
          <w:szCs w:val="20"/>
          <w:lang w:eastAsia="en-US"/>
        </w:rPr>
        <w:t>International Monetary Fund (</w:t>
      </w:r>
      <w:r w:rsidR="00311A25" w:rsidRPr="005722A6">
        <w:rPr>
          <w:rFonts w:asciiTheme="majorHAnsi" w:eastAsia="SimSun" w:hAnsiTheme="majorHAnsi" w:cs="Times New Roman"/>
          <w:sz w:val="20"/>
          <w:szCs w:val="20"/>
          <w:lang w:eastAsia="en-US"/>
        </w:rPr>
        <w:t>IMF</w:t>
      </w:r>
      <w:r w:rsidR="007F613C" w:rsidRPr="005722A6">
        <w:rPr>
          <w:rFonts w:asciiTheme="majorHAnsi" w:eastAsia="SimSun" w:hAnsiTheme="majorHAnsi" w:cs="Times New Roman"/>
          <w:sz w:val="20"/>
          <w:szCs w:val="20"/>
          <w:lang w:eastAsia="en-US"/>
        </w:rPr>
        <w:t>)</w:t>
      </w:r>
      <w:r w:rsidR="00E52FBF" w:rsidRPr="005722A6">
        <w:rPr>
          <w:rStyle w:val="FootnoteReference"/>
          <w:rFonts w:asciiTheme="majorHAnsi" w:eastAsia="SimSun" w:hAnsiTheme="majorHAnsi"/>
          <w:sz w:val="20"/>
          <w:szCs w:val="20"/>
          <w:lang w:eastAsia="en-US"/>
        </w:rPr>
        <w:footnoteReference w:id="5"/>
      </w:r>
      <w:r w:rsidR="00311A25" w:rsidRPr="005722A6">
        <w:rPr>
          <w:rFonts w:asciiTheme="majorHAnsi" w:eastAsia="SimSun" w:hAnsiTheme="majorHAnsi" w:cs="Times New Roman"/>
          <w:sz w:val="20"/>
          <w:szCs w:val="20"/>
          <w:lang w:eastAsia="en-US"/>
        </w:rPr>
        <w:t xml:space="preserve"> highlight several loopholes in legislative and regulatory frameworks</w:t>
      </w:r>
      <w:r w:rsidR="00367F52" w:rsidRPr="005722A6">
        <w:rPr>
          <w:rFonts w:asciiTheme="majorHAnsi" w:eastAsia="SimSun" w:hAnsiTheme="majorHAnsi" w:cs="Times New Roman"/>
          <w:sz w:val="20"/>
          <w:szCs w:val="20"/>
          <w:lang w:eastAsia="en-US"/>
        </w:rPr>
        <w:t xml:space="preserve">. For example, the </w:t>
      </w:r>
      <w:r w:rsidR="00311A25" w:rsidRPr="005722A6">
        <w:rPr>
          <w:rFonts w:asciiTheme="majorHAnsi" w:eastAsia="SimSun" w:hAnsiTheme="majorHAnsi" w:cs="Times New Roman"/>
          <w:sz w:val="20"/>
          <w:szCs w:val="20"/>
          <w:lang w:eastAsia="en-US"/>
        </w:rPr>
        <w:t xml:space="preserve">Foreign Investment Act allows for </w:t>
      </w:r>
      <w:r w:rsidR="007150F6">
        <w:rPr>
          <w:rFonts w:asciiTheme="majorHAnsi" w:eastAsia="SimSun" w:hAnsiTheme="majorHAnsi" w:cs="Times New Roman"/>
          <w:sz w:val="20"/>
          <w:szCs w:val="20"/>
          <w:lang w:eastAsia="en-US"/>
        </w:rPr>
        <w:t xml:space="preserve">certain </w:t>
      </w:r>
      <w:r w:rsidR="00311A25" w:rsidRPr="005722A6">
        <w:rPr>
          <w:rFonts w:asciiTheme="majorHAnsi" w:eastAsia="SimSun" w:hAnsiTheme="majorHAnsi" w:cs="Times New Roman"/>
          <w:sz w:val="20"/>
          <w:szCs w:val="20"/>
          <w:lang w:eastAsia="en-US"/>
        </w:rPr>
        <w:t>types of development that are not in line with national goals and negatively impact</w:t>
      </w:r>
      <w:r w:rsidR="00367F52" w:rsidRPr="005722A6">
        <w:rPr>
          <w:rFonts w:asciiTheme="majorHAnsi" w:eastAsia="SimSun" w:hAnsiTheme="majorHAnsi" w:cs="Times New Roman"/>
          <w:sz w:val="20"/>
          <w:szCs w:val="20"/>
          <w:lang w:eastAsia="en-US"/>
        </w:rPr>
        <w:t xml:space="preserve"> on</w:t>
      </w:r>
      <w:r w:rsidR="00311A25" w:rsidRPr="005722A6">
        <w:rPr>
          <w:rFonts w:asciiTheme="majorHAnsi" w:eastAsia="SimSun" w:hAnsiTheme="majorHAnsi" w:cs="Times New Roman"/>
          <w:sz w:val="20"/>
          <w:szCs w:val="20"/>
          <w:lang w:eastAsia="en-US"/>
        </w:rPr>
        <w:t xml:space="preserve"> the private sector.</w:t>
      </w:r>
    </w:p>
    <w:p w14:paraId="33183290" w14:textId="77777777" w:rsidR="00B87774" w:rsidRPr="005722A6" w:rsidRDefault="00B87774" w:rsidP="00B87774">
      <w:pPr>
        <w:pStyle w:val="Default"/>
        <w:jc w:val="both"/>
        <w:rPr>
          <w:rFonts w:asciiTheme="majorHAnsi" w:eastAsia="SimSun" w:hAnsiTheme="majorHAnsi" w:cs="Times New Roman"/>
          <w:sz w:val="20"/>
          <w:szCs w:val="20"/>
          <w:lang w:eastAsia="en-US"/>
        </w:rPr>
      </w:pPr>
    </w:p>
    <w:p w14:paraId="42589142" w14:textId="3ED9B168" w:rsidR="00B87774" w:rsidRPr="005722A6" w:rsidRDefault="00B87774" w:rsidP="00FB6518">
      <w:pPr>
        <w:widowControl w:val="0"/>
        <w:autoSpaceDE w:val="0"/>
        <w:autoSpaceDN w:val="0"/>
        <w:adjustRightInd w:val="0"/>
        <w:rPr>
          <w:rFonts w:asciiTheme="majorHAnsi" w:hAnsiTheme="majorHAnsi"/>
          <w:i/>
          <w:iCs/>
          <w:color w:val="000000"/>
          <w:sz w:val="20"/>
          <w:szCs w:val="20"/>
        </w:rPr>
      </w:pPr>
      <w:r w:rsidRPr="005722A6">
        <w:rPr>
          <w:rFonts w:asciiTheme="majorHAnsi" w:hAnsiTheme="majorHAnsi"/>
          <w:i/>
          <w:iCs/>
          <w:color w:val="000000"/>
          <w:sz w:val="20"/>
          <w:szCs w:val="20"/>
        </w:rPr>
        <w:t xml:space="preserve">Barrier 2: Limited capacity and experience in managing </w:t>
      </w:r>
      <w:r w:rsidR="00A72C91" w:rsidRPr="005722A6">
        <w:rPr>
          <w:rFonts w:asciiTheme="majorHAnsi" w:hAnsiTheme="majorHAnsi"/>
          <w:i/>
          <w:iCs/>
          <w:color w:val="000000"/>
          <w:sz w:val="20"/>
          <w:szCs w:val="20"/>
        </w:rPr>
        <w:t xml:space="preserve">terrestrial and marine </w:t>
      </w:r>
      <w:r w:rsidRPr="005722A6">
        <w:rPr>
          <w:rFonts w:asciiTheme="majorHAnsi" w:hAnsiTheme="majorHAnsi"/>
          <w:i/>
          <w:iCs/>
          <w:color w:val="000000"/>
          <w:sz w:val="20"/>
          <w:szCs w:val="20"/>
        </w:rPr>
        <w:t>resources at land</w:t>
      </w:r>
      <w:r w:rsidR="00A72C91" w:rsidRPr="005722A6">
        <w:rPr>
          <w:rFonts w:asciiTheme="majorHAnsi" w:hAnsiTheme="majorHAnsi"/>
          <w:i/>
          <w:iCs/>
          <w:color w:val="000000"/>
          <w:sz w:val="20"/>
          <w:szCs w:val="20"/>
        </w:rPr>
        <w:t xml:space="preserve"> and sea</w:t>
      </w:r>
      <w:r w:rsidRPr="005722A6">
        <w:rPr>
          <w:rFonts w:asciiTheme="majorHAnsi" w:hAnsiTheme="majorHAnsi"/>
          <w:i/>
          <w:iCs/>
          <w:color w:val="000000"/>
          <w:sz w:val="20"/>
          <w:szCs w:val="20"/>
        </w:rPr>
        <w:t>scape level</w:t>
      </w:r>
      <w:r w:rsidR="00A72C91" w:rsidRPr="005722A6">
        <w:rPr>
          <w:rFonts w:asciiTheme="majorHAnsi" w:hAnsiTheme="majorHAnsi"/>
          <w:i/>
          <w:iCs/>
          <w:color w:val="000000"/>
          <w:sz w:val="20"/>
          <w:szCs w:val="20"/>
        </w:rPr>
        <w:t>s within an integrated multi</w:t>
      </w:r>
      <w:r w:rsidR="007150F6">
        <w:rPr>
          <w:rFonts w:asciiTheme="majorHAnsi" w:hAnsiTheme="majorHAnsi"/>
          <w:i/>
          <w:iCs/>
          <w:color w:val="000000"/>
          <w:sz w:val="20"/>
          <w:szCs w:val="20"/>
        </w:rPr>
        <w:t>-</w:t>
      </w:r>
      <w:r w:rsidR="00A72C91" w:rsidRPr="005722A6">
        <w:rPr>
          <w:rFonts w:asciiTheme="majorHAnsi" w:hAnsiTheme="majorHAnsi"/>
          <w:i/>
          <w:iCs/>
          <w:color w:val="000000"/>
          <w:sz w:val="20"/>
          <w:szCs w:val="20"/>
        </w:rPr>
        <w:t>sector approach designed to maintain ecological connectivity from ‘ridge to reef’</w:t>
      </w:r>
      <w:r w:rsidRPr="005722A6">
        <w:rPr>
          <w:rFonts w:asciiTheme="majorHAnsi" w:hAnsiTheme="majorHAnsi"/>
          <w:i/>
          <w:iCs/>
          <w:color w:val="000000"/>
          <w:sz w:val="20"/>
          <w:szCs w:val="20"/>
        </w:rPr>
        <w:t xml:space="preserve"> </w:t>
      </w:r>
    </w:p>
    <w:p w14:paraId="2780EE7A" w14:textId="0F9D4E8C" w:rsidR="00664D99" w:rsidRPr="005722A6" w:rsidRDefault="00664D99" w:rsidP="00664D99">
      <w:pPr>
        <w:rPr>
          <w:rFonts w:asciiTheme="majorHAnsi" w:hAnsiTheme="majorHAnsi" w:cs="Segoe UI"/>
          <w:color w:val="000000"/>
          <w:sz w:val="20"/>
          <w:szCs w:val="20"/>
        </w:rPr>
      </w:pPr>
      <w:r w:rsidRPr="005722A6">
        <w:rPr>
          <w:rFonts w:asciiTheme="majorHAnsi" w:hAnsiTheme="majorHAnsi" w:cs="Segoe UI"/>
          <w:color w:val="000000"/>
          <w:sz w:val="20"/>
          <w:szCs w:val="20"/>
        </w:rPr>
        <w:t>There is no existing system in terms of a policy, legal, regulatory and institutional framework for integrated land and seascape planning and management</w:t>
      </w:r>
      <w:r w:rsidR="007150F6">
        <w:rPr>
          <w:rFonts w:asciiTheme="majorHAnsi" w:hAnsiTheme="majorHAnsi" w:cs="Segoe UI"/>
          <w:color w:val="000000"/>
          <w:sz w:val="20"/>
          <w:szCs w:val="20"/>
        </w:rPr>
        <w:t>;</w:t>
      </w:r>
      <w:r w:rsidRPr="005722A6">
        <w:rPr>
          <w:rFonts w:asciiTheme="majorHAnsi" w:hAnsiTheme="majorHAnsi" w:cs="Segoe UI"/>
          <w:color w:val="000000"/>
          <w:sz w:val="20"/>
          <w:szCs w:val="20"/>
        </w:rPr>
        <w:t xml:space="preserve"> and the current approach to land and seascape planning remains sectoral</w:t>
      </w:r>
      <w:r w:rsidR="007150F6">
        <w:rPr>
          <w:rFonts w:asciiTheme="majorHAnsi" w:hAnsiTheme="majorHAnsi" w:cs="Segoe UI"/>
          <w:color w:val="000000"/>
          <w:sz w:val="20"/>
          <w:szCs w:val="20"/>
        </w:rPr>
        <w:t>,</w:t>
      </w:r>
      <w:r w:rsidRPr="005722A6">
        <w:rPr>
          <w:rFonts w:asciiTheme="majorHAnsi" w:hAnsiTheme="majorHAnsi" w:cs="Segoe UI"/>
          <w:color w:val="000000"/>
          <w:sz w:val="20"/>
          <w:szCs w:val="20"/>
        </w:rPr>
        <w:t xml:space="preserve"> despite the globally significant terrestrial and marine biodiversity and </w:t>
      </w:r>
      <w:r w:rsidR="007150F6">
        <w:rPr>
          <w:rFonts w:asciiTheme="majorHAnsi" w:hAnsiTheme="majorHAnsi" w:cs="Segoe UI"/>
          <w:color w:val="000000"/>
          <w:sz w:val="20"/>
          <w:szCs w:val="20"/>
        </w:rPr>
        <w:t>their</w:t>
      </w:r>
      <w:r w:rsidRPr="005722A6">
        <w:rPr>
          <w:rFonts w:asciiTheme="majorHAnsi" w:hAnsiTheme="majorHAnsi" w:cs="Segoe UI"/>
          <w:color w:val="000000"/>
          <w:sz w:val="20"/>
          <w:szCs w:val="20"/>
        </w:rPr>
        <w:t xml:space="preserve"> immense productivity and economic values. While t</w:t>
      </w:r>
      <w:r w:rsidRPr="005722A6">
        <w:rPr>
          <w:rFonts w:asciiTheme="majorHAnsi" w:hAnsiTheme="majorHAnsi" w:cs="Segoe UI"/>
          <w:color w:val="000000"/>
          <w:sz w:val="20"/>
          <w:szCs w:val="20"/>
          <w:lang w:val="en-GB"/>
        </w:rPr>
        <w:t>here ha</w:t>
      </w:r>
      <w:r w:rsidR="001A4AC1" w:rsidRPr="005722A6">
        <w:rPr>
          <w:rFonts w:asciiTheme="majorHAnsi" w:hAnsiTheme="majorHAnsi" w:cs="Segoe UI"/>
          <w:color w:val="000000"/>
          <w:sz w:val="20"/>
          <w:szCs w:val="20"/>
          <w:lang w:val="en-GB"/>
        </w:rPr>
        <w:t>s</w:t>
      </w:r>
      <w:r w:rsidRPr="005722A6">
        <w:rPr>
          <w:rFonts w:asciiTheme="majorHAnsi" w:hAnsiTheme="majorHAnsi" w:cs="Segoe UI"/>
          <w:color w:val="000000"/>
          <w:sz w:val="20"/>
          <w:szCs w:val="20"/>
          <w:lang w:val="en-GB"/>
        </w:rPr>
        <w:t xml:space="preserve"> been </w:t>
      </w:r>
      <w:r w:rsidR="001A4AC1" w:rsidRPr="005722A6">
        <w:rPr>
          <w:rFonts w:asciiTheme="majorHAnsi" w:hAnsiTheme="majorHAnsi" w:cs="Segoe UI"/>
          <w:color w:val="000000"/>
          <w:sz w:val="20"/>
          <w:szCs w:val="20"/>
          <w:lang w:val="en-GB"/>
        </w:rPr>
        <w:t xml:space="preserve">some </w:t>
      </w:r>
      <w:r w:rsidRPr="005722A6">
        <w:rPr>
          <w:rFonts w:asciiTheme="majorHAnsi" w:hAnsiTheme="majorHAnsi" w:cs="Segoe UI"/>
          <w:color w:val="000000"/>
          <w:sz w:val="20"/>
          <w:szCs w:val="20"/>
          <w:lang w:val="en-GB"/>
        </w:rPr>
        <w:t xml:space="preserve">land use and economic planning efforts at the national and state levels, there has been limited effort to achieve harmony and balance between economic development and environmental conservation across multiple sectors in a truly integrated multi-sectoral </w:t>
      </w:r>
      <w:r w:rsidR="007150F6">
        <w:rPr>
          <w:rFonts w:asciiTheme="majorHAnsi" w:hAnsiTheme="majorHAnsi" w:cs="Segoe UI"/>
          <w:color w:val="000000"/>
          <w:sz w:val="20"/>
          <w:szCs w:val="20"/>
          <w:lang w:val="en-GB"/>
        </w:rPr>
        <w:t>manner</w:t>
      </w:r>
      <w:r w:rsidRPr="005722A6">
        <w:rPr>
          <w:rFonts w:asciiTheme="majorHAnsi" w:hAnsiTheme="majorHAnsi" w:cs="Segoe UI"/>
          <w:color w:val="000000"/>
          <w:sz w:val="20"/>
          <w:szCs w:val="20"/>
          <w:lang w:val="en-GB"/>
        </w:rPr>
        <w:t xml:space="preserve">. There is limited recognition of land-sea connections in existing policies </w:t>
      </w:r>
      <w:r w:rsidR="002A3C21" w:rsidRPr="005722A6">
        <w:rPr>
          <w:rFonts w:asciiTheme="majorHAnsi" w:hAnsiTheme="majorHAnsi" w:cs="Segoe UI"/>
          <w:color w:val="000000"/>
          <w:sz w:val="20"/>
          <w:szCs w:val="20"/>
          <w:lang w:val="en-GB"/>
        </w:rPr>
        <w:t>and plan</w:t>
      </w:r>
      <w:r w:rsidR="007150F6">
        <w:rPr>
          <w:rFonts w:asciiTheme="majorHAnsi" w:hAnsiTheme="majorHAnsi" w:cs="Segoe UI"/>
          <w:color w:val="000000"/>
          <w:sz w:val="20"/>
          <w:szCs w:val="20"/>
          <w:lang w:val="en-GB"/>
        </w:rPr>
        <w:t>s</w:t>
      </w:r>
      <w:r w:rsidR="00194AA1">
        <w:rPr>
          <w:rFonts w:asciiTheme="majorHAnsi" w:hAnsiTheme="majorHAnsi" w:cs="Segoe UI"/>
          <w:color w:val="000000"/>
          <w:sz w:val="20"/>
          <w:szCs w:val="20"/>
          <w:lang w:val="en-GB"/>
        </w:rPr>
        <w:t xml:space="preserve">. </w:t>
      </w:r>
      <w:r w:rsidR="001A4AC1" w:rsidRPr="005722A6">
        <w:rPr>
          <w:rFonts w:asciiTheme="majorHAnsi" w:hAnsiTheme="majorHAnsi" w:cs="Segoe UI"/>
          <w:color w:val="000000"/>
          <w:sz w:val="20"/>
          <w:szCs w:val="20"/>
        </w:rPr>
        <w:t>There is also limited capacity for integrated multi</w:t>
      </w:r>
      <w:r w:rsidR="007150F6">
        <w:rPr>
          <w:rFonts w:asciiTheme="majorHAnsi" w:hAnsiTheme="majorHAnsi" w:cs="Segoe UI"/>
          <w:color w:val="000000"/>
          <w:sz w:val="20"/>
          <w:szCs w:val="20"/>
        </w:rPr>
        <w:t>-</w:t>
      </w:r>
      <w:r w:rsidR="001A4AC1" w:rsidRPr="005722A6">
        <w:rPr>
          <w:rFonts w:asciiTheme="majorHAnsi" w:hAnsiTheme="majorHAnsi" w:cs="Segoe UI"/>
          <w:color w:val="000000"/>
          <w:sz w:val="20"/>
          <w:szCs w:val="20"/>
        </w:rPr>
        <w:t xml:space="preserve">sector planning, as well as for land permitting, assessment of land capability, and zoning and allocation of land to different uses. The government agencies responsible for natural resource management and conservation generally focus on their own sectoral goals and programs with very limited collaboration with other agencies. </w:t>
      </w:r>
      <w:r w:rsidR="002A3C21" w:rsidRPr="005722A6">
        <w:rPr>
          <w:rFonts w:asciiTheme="majorHAnsi" w:hAnsiTheme="majorHAnsi" w:cs="Segoe UI"/>
          <w:color w:val="000000"/>
          <w:sz w:val="20"/>
          <w:szCs w:val="20"/>
          <w:lang w:val="en-GB"/>
        </w:rPr>
        <w:lastRenderedPageBreak/>
        <w:t>Consequently</w:t>
      </w:r>
      <w:r w:rsidR="007150F6">
        <w:rPr>
          <w:rFonts w:asciiTheme="majorHAnsi" w:hAnsiTheme="majorHAnsi" w:cs="Segoe UI"/>
          <w:color w:val="000000"/>
          <w:sz w:val="20"/>
          <w:szCs w:val="20"/>
          <w:lang w:val="en-GB"/>
        </w:rPr>
        <w:t>,</w:t>
      </w:r>
      <w:r w:rsidR="002A3C21" w:rsidRPr="005722A6">
        <w:rPr>
          <w:rFonts w:asciiTheme="majorHAnsi" w:hAnsiTheme="majorHAnsi" w:cs="Segoe UI"/>
          <w:color w:val="000000"/>
          <w:sz w:val="20"/>
          <w:szCs w:val="20"/>
          <w:lang w:val="en-GB"/>
        </w:rPr>
        <w:t xml:space="preserve"> maintaining the ecosystem function</w:t>
      </w:r>
      <w:r w:rsidR="00430EBF">
        <w:rPr>
          <w:rFonts w:asciiTheme="majorHAnsi" w:hAnsiTheme="majorHAnsi" w:cs="Segoe UI"/>
          <w:color w:val="000000"/>
          <w:sz w:val="20"/>
          <w:szCs w:val="20"/>
          <w:lang w:val="en-GB"/>
        </w:rPr>
        <w:t xml:space="preserve">s and biodiversity </w:t>
      </w:r>
      <w:r w:rsidR="00430EBF" w:rsidRPr="005722A6">
        <w:rPr>
          <w:rFonts w:asciiTheme="majorHAnsi" w:hAnsiTheme="majorHAnsi" w:cs="Segoe UI"/>
          <w:color w:val="000000"/>
          <w:sz w:val="20"/>
          <w:szCs w:val="20"/>
          <w:lang w:val="en-GB"/>
        </w:rPr>
        <w:t>of Babeldaob</w:t>
      </w:r>
      <w:r w:rsidR="00430EBF">
        <w:rPr>
          <w:rFonts w:asciiTheme="majorHAnsi" w:hAnsiTheme="majorHAnsi" w:cs="Segoe UI"/>
          <w:color w:val="000000"/>
          <w:sz w:val="20"/>
          <w:szCs w:val="20"/>
          <w:lang w:val="en-GB"/>
        </w:rPr>
        <w:t>’s</w:t>
      </w:r>
      <w:r w:rsidR="002A3C21" w:rsidRPr="005722A6">
        <w:rPr>
          <w:rFonts w:asciiTheme="majorHAnsi" w:hAnsiTheme="majorHAnsi" w:cs="Segoe UI"/>
          <w:color w:val="000000"/>
          <w:sz w:val="20"/>
          <w:szCs w:val="20"/>
          <w:lang w:val="en-GB"/>
        </w:rPr>
        <w:t xml:space="preserve"> rich native forests </w:t>
      </w:r>
      <w:r w:rsidR="00430EBF">
        <w:rPr>
          <w:rFonts w:asciiTheme="majorHAnsi" w:hAnsiTheme="majorHAnsi" w:cs="Segoe UI"/>
          <w:color w:val="000000"/>
          <w:sz w:val="20"/>
          <w:szCs w:val="20"/>
          <w:lang w:val="en-GB"/>
        </w:rPr>
        <w:t xml:space="preserve">is jeopardised by </w:t>
      </w:r>
      <w:r w:rsidR="002A3C21" w:rsidRPr="005722A6">
        <w:rPr>
          <w:rFonts w:asciiTheme="majorHAnsi" w:hAnsiTheme="majorHAnsi" w:cs="Segoe UI"/>
          <w:color w:val="000000"/>
          <w:sz w:val="20"/>
          <w:szCs w:val="20"/>
          <w:lang w:val="en-GB"/>
        </w:rPr>
        <w:t>barriers of diminishing connectivity and sustainable management from ‘ridge to reef’</w:t>
      </w:r>
      <w:r w:rsidR="00430EBF">
        <w:rPr>
          <w:rFonts w:asciiTheme="majorHAnsi" w:hAnsiTheme="majorHAnsi" w:cs="Segoe UI"/>
          <w:color w:val="000000"/>
          <w:sz w:val="20"/>
          <w:szCs w:val="20"/>
          <w:lang w:val="en-GB"/>
        </w:rPr>
        <w:t>. This</w:t>
      </w:r>
      <w:r w:rsidR="002A3C21" w:rsidRPr="005722A6">
        <w:rPr>
          <w:rFonts w:asciiTheme="majorHAnsi" w:hAnsiTheme="majorHAnsi" w:cs="Segoe UI"/>
          <w:color w:val="000000"/>
          <w:sz w:val="20"/>
          <w:szCs w:val="20"/>
          <w:lang w:val="en-GB"/>
        </w:rPr>
        <w:t xml:space="preserve"> also impact</w:t>
      </w:r>
      <w:r w:rsidR="00430EBF">
        <w:rPr>
          <w:rFonts w:asciiTheme="majorHAnsi" w:hAnsiTheme="majorHAnsi" w:cs="Segoe UI"/>
          <w:color w:val="000000"/>
          <w:sz w:val="20"/>
          <w:szCs w:val="20"/>
          <w:lang w:val="en-GB"/>
        </w:rPr>
        <w:t>s</w:t>
      </w:r>
      <w:r w:rsidR="002A3C21" w:rsidRPr="005722A6">
        <w:rPr>
          <w:rFonts w:asciiTheme="majorHAnsi" w:hAnsiTheme="majorHAnsi" w:cs="Segoe UI"/>
          <w:color w:val="000000"/>
          <w:sz w:val="20"/>
          <w:szCs w:val="20"/>
          <w:lang w:val="en-GB"/>
        </w:rPr>
        <w:t xml:space="preserve"> on marine resources from pollutants (chemical fertilizers, pesticides, sediment, sewage and untreated waste) and </w:t>
      </w:r>
      <w:r w:rsidR="00430EBF">
        <w:rPr>
          <w:rFonts w:asciiTheme="majorHAnsi" w:hAnsiTheme="majorHAnsi" w:cs="Segoe UI"/>
          <w:color w:val="000000"/>
          <w:sz w:val="20"/>
          <w:szCs w:val="20"/>
          <w:lang w:val="en-GB"/>
        </w:rPr>
        <w:t xml:space="preserve">contributes to the </w:t>
      </w:r>
      <w:r w:rsidR="002A3C21" w:rsidRPr="005722A6">
        <w:rPr>
          <w:rFonts w:asciiTheme="majorHAnsi" w:hAnsiTheme="majorHAnsi" w:cs="Segoe UI"/>
          <w:color w:val="000000"/>
          <w:sz w:val="20"/>
          <w:szCs w:val="20"/>
          <w:lang w:val="en-GB"/>
        </w:rPr>
        <w:t>loss of habitat</w:t>
      </w:r>
      <w:r w:rsidR="00430EBF">
        <w:rPr>
          <w:rFonts w:asciiTheme="majorHAnsi" w:hAnsiTheme="majorHAnsi" w:cs="Segoe UI"/>
          <w:color w:val="000000"/>
          <w:sz w:val="20"/>
          <w:szCs w:val="20"/>
          <w:lang w:val="en-GB"/>
        </w:rPr>
        <w:t>s</w:t>
      </w:r>
      <w:r w:rsidR="002A3C21" w:rsidRPr="005722A6">
        <w:rPr>
          <w:rFonts w:asciiTheme="majorHAnsi" w:hAnsiTheme="majorHAnsi" w:cs="Segoe UI"/>
          <w:color w:val="000000"/>
          <w:sz w:val="20"/>
          <w:szCs w:val="20"/>
          <w:lang w:val="en-GB"/>
        </w:rPr>
        <w:t xml:space="preserve"> (mangroves, seagrass beds and coral reefs).</w:t>
      </w:r>
    </w:p>
    <w:p w14:paraId="657ED9B5" w14:textId="77777777" w:rsidR="00B87774" w:rsidRPr="005722A6" w:rsidRDefault="00B87774" w:rsidP="00B87774">
      <w:pPr>
        <w:pStyle w:val="Default"/>
        <w:jc w:val="both"/>
        <w:rPr>
          <w:rFonts w:asciiTheme="majorHAnsi" w:hAnsiTheme="majorHAnsi"/>
          <w:sz w:val="20"/>
          <w:szCs w:val="20"/>
        </w:rPr>
      </w:pPr>
    </w:p>
    <w:p w14:paraId="4E72D197" w14:textId="3DF5B1B4" w:rsidR="00B87774" w:rsidRPr="005722A6" w:rsidRDefault="00B87774" w:rsidP="00FB6518">
      <w:pPr>
        <w:widowControl w:val="0"/>
        <w:autoSpaceDE w:val="0"/>
        <w:autoSpaceDN w:val="0"/>
        <w:adjustRightInd w:val="0"/>
        <w:rPr>
          <w:rFonts w:asciiTheme="majorHAnsi" w:hAnsiTheme="majorHAnsi"/>
          <w:i/>
          <w:iCs/>
          <w:color w:val="000000"/>
          <w:sz w:val="20"/>
          <w:szCs w:val="20"/>
        </w:rPr>
      </w:pPr>
      <w:r w:rsidRPr="005722A6">
        <w:rPr>
          <w:rFonts w:asciiTheme="majorHAnsi" w:hAnsiTheme="majorHAnsi"/>
          <w:i/>
          <w:iCs/>
          <w:color w:val="000000"/>
          <w:sz w:val="20"/>
          <w:szCs w:val="20"/>
        </w:rPr>
        <w:t xml:space="preserve">Barrier 3: Limited capacity and demonstration of responsible management of tourism, fisheries, aquaculture and IAS </w:t>
      </w:r>
      <w:r w:rsidR="00A63A45" w:rsidRPr="005722A6">
        <w:rPr>
          <w:rFonts w:asciiTheme="majorHAnsi" w:hAnsiTheme="majorHAnsi"/>
          <w:i/>
          <w:iCs/>
          <w:color w:val="000000"/>
          <w:sz w:val="20"/>
          <w:szCs w:val="20"/>
        </w:rPr>
        <w:t>in</w:t>
      </w:r>
      <w:r w:rsidRPr="005722A6">
        <w:rPr>
          <w:rFonts w:asciiTheme="majorHAnsi" w:hAnsiTheme="majorHAnsi"/>
          <w:i/>
          <w:iCs/>
          <w:color w:val="000000"/>
          <w:sz w:val="20"/>
          <w:szCs w:val="20"/>
        </w:rPr>
        <w:t xml:space="preserve"> coastal and marine </w:t>
      </w:r>
      <w:r w:rsidR="00A63A45" w:rsidRPr="005722A6">
        <w:rPr>
          <w:rFonts w:asciiTheme="majorHAnsi" w:hAnsiTheme="majorHAnsi"/>
          <w:i/>
          <w:iCs/>
          <w:color w:val="000000"/>
          <w:sz w:val="20"/>
          <w:szCs w:val="20"/>
        </w:rPr>
        <w:t>areas in the Southern Lagoon</w:t>
      </w:r>
    </w:p>
    <w:p w14:paraId="06E785D9" w14:textId="4A091900" w:rsidR="00311A25" w:rsidRPr="005722A6" w:rsidRDefault="00B87774" w:rsidP="00FB6518">
      <w:pPr>
        <w:widowControl w:val="0"/>
        <w:autoSpaceDE w:val="0"/>
        <w:autoSpaceDN w:val="0"/>
        <w:adjustRightInd w:val="0"/>
        <w:spacing w:after="0"/>
        <w:rPr>
          <w:rFonts w:asciiTheme="majorHAnsi" w:hAnsiTheme="majorHAnsi"/>
          <w:sz w:val="20"/>
          <w:szCs w:val="20"/>
        </w:rPr>
      </w:pPr>
      <w:r w:rsidRPr="005722A6">
        <w:rPr>
          <w:rFonts w:asciiTheme="majorHAnsi" w:hAnsiTheme="majorHAnsi"/>
          <w:sz w:val="20"/>
          <w:szCs w:val="20"/>
        </w:rPr>
        <w:t xml:space="preserve">Despite their heavy use, there are few regulations to govern tourism </w:t>
      </w:r>
      <w:r w:rsidR="00A63A45" w:rsidRPr="005722A6">
        <w:rPr>
          <w:rFonts w:asciiTheme="majorHAnsi" w:hAnsiTheme="majorHAnsi"/>
          <w:sz w:val="20"/>
          <w:szCs w:val="20"/>
        </w:rPr>
        <w:t>practices</w:t>
      </w:r>
      <w:r w:rsidRPr="005722A6">
        <w:rPr>
          <w:rFonts w:asciiTheme="majorHAnsi" w:hAnsiTheme="majorHAnsi"/>
          <w:sz w:val="20"/>
          <w:szCs w:val="20"/>
        </w:rPr>
        <w:t>, subsistence and commercial fishing and other activities</w:t>
      </w:r>
      <w:r w:rsidR="00E86158" w:rsidRPr="005722A6">
        <w:rPr>
          <w:rFonts w:asciiTheme="majorHAnsi" w:hAnsiTheme="majorHAnsi"/>
          <w:sz w:val="20"/>
          <w:szCs w:val="20"/>
        </w:rPr>
        <w:t xml:space="preserve"> in Koror and Peleliu</w:t>
      </w:r>
      <w:r w:rsidRPr="005722A6">
        <w:rPr>
          <w:rFonts w:asciiTheme="majorHAnsi" w:hAnsiTheme="majorHAnsi"/>
          <w:sz w:val="20"/>
          <w:szCs w:val="20"/>
        </w:rPr>
        <w:t xml:space="preserve">. There </w:t>
      </w:r>
      <w:r w:rsidR="00754E3A">
        <w:rPr>
          <w:rFonts w:asciiTheme="majorHAnsi" w:hAnsiTheme="majorHAnsi"/>
          <w:sz w:val="20"/>
          <w:szCs w:val="20"/>
        </w:rPr>
        <w:t>are</w:t>
      </w:r>
      <w:r w:rsidR="00A63A45" w:rsidRPr="005722A6">
        <w:rPr>
          <w:rFonts w:asciiTheme="majorHAnsi" w:hAnsiTheme="majorHAnsi"/>
          <w:sz w:val="20"/>
          <w:szCs w:val="20"/>
        </w:rPr>
        <w:t xml:space="preserve"> </w:t>
      </w:r>
      <w:r w:rsidRPr="005722A6">
        <w:rPr>
          <w:rFonts w:asciiTheme="majorHAnsi" w:hAnsiTheme="majorHAnsi"/>
          <w:sz w:val="20"/>
          <w:szCs w:val="20"/>
        </w:rPr>
        <w:t xml:space="preserve">currently </w:t>
      </w:r>
      <w:r w:rsidR="00A63A45" w:rsidRPr="005722A6">
        <w:rPr>
          <w:rFonts w:asciiTheme="majorHAnsi" w:hAnsiTheme="majorHAnsi"/>
          <w:sz w:val="20"/>
          <w:szCs w:val="20"/>
        </w:rPr>
        <w:t xml:space="preserve">few </w:t>
      </w:r>
      <w:r w:rsidRPr="005722A6">
        <w:rPr>
          <w:rFonts w:asciiTheme="majorHAnsi" w:hAnsiTheme="majorHAnsi"/>
          <w:sz w:val="20"/>
          <w:szCs w:val="20"/>
        </w:rPr>
        <w:t xml:space="preserve">incentives </w:t>
      </w:r>
      <w:r w:rsidR="00A63A45" w:rsidRPr="005722A6">
        <w:rPr>
          <w:rFonts w:asciiTheme="majorHAnsi" w:hAnsiTheme="majorHAnsi"/>
          <w:sz w:val="20"/>
          <w:szCs w:val="20"/>
        </w:rPr>
        <w:t xml:space="preserve">to promote </w:t>
      </w:r>
      <w:r w:rsidRPr="005722A6">
        <w:rPr>
          <w:rFonts w:asciiTheme="majorHAnsi" w:hAnsiTheme="majorHAnsi"/>
          <w:sz w:val="20"/>
          <w:szCs w:val="20"/>
        </w:rPr>
        <w:t xml:space="preserve">good practices in the tourism sector </w:t>
      </w:r>
      <w:r w:rsidR="00A63A45" w:rsidRPr="005722A6">
        <w:rPr>
          <w:rFonts w:asciiTheme="majorHAnsi" w:hAnsiTheme="majorHAnsi"/>
          <w:sz w:val="20"/>
          <w:szCs w:val="20"/>
        </w:rPr>
        <w:t>and</w:t>
      </w:r>
      <w:r w:rsidRPr="005722A6">
        <w:rPr>
          <w:rFonts w:asciiTheme="majorHAnsi" w:hAnsiTheme="majorHAnsi"/>
          <w:sz w:val="20"/>
          <w:szCs w:val="20"/>
        </w:rPr>
        <w:t xml:space="preserve"> reward well</w:t>
      </w:r>
      <w:r w:rsidR="00754E3A">
        <w:rPr>
          <w:rFonts w:asciiTheme="majorHAnsi" w:hAnsiTheme="majorHAnsi"/>
          <w:sz w:val="20"/>
          <w:szCs w:val="20"/>
        </w:rPr>
        <w:t>-</w:t>
      </w:r>
      <w:r w:rsidRPr="005722A6">
        <w:rPr>
          <w:rFonts w:asciiTheme="majorHAnsi" w:hAnsiTheme="majorHAnsi"/>
          <w:sz w:val="20"/>
          <w:szCs w:val="20"/>
        </w:rPr>
        <w:t>performing companies</w:t>
      </w:r>
      <w:r w:rsidR="00A63A45" w:rsidRPr="005722A6">
        <w:rPr>
          <w:rFonts w:asciiTheme="majorHAnsi" w:hAnsiTheme="majorHAnsi"/>
          <w:sz w:val="20"/>
          <w:szCs w:val="20"/>
        </w:rPr>
        <w:t xml:space="preserve">, </w:t>
      </w:r>
      <w:r w:rsidRPr="005722A6">
        <w:rPr>
          <w:rFonts w:asciiTheme="majorHAnsi" w:hAnsiTheme="majorHAnsi"/>
          <w:sz w:val="20"/>
          <w:szCs w:val="20"/>
        </w:rPr>
        <w:t xml:space="preserve">nor </w:t>
      </w:r>
      <w:r w:rsidR="00A63A45" w:rsidRPr="005722A6">
        <w:rPr>
          <w:rFonts w:asciiTheme="majorHAnsi" w:hAnsiTheme="majorHAnsi"/>
          <w:sz w:val="20"/>
          <w:szCs w:val="20"/>
        </w:rPr>
        <w:t xml:space="preserve">are there </w:t>
      </w:r>
      <w:r w:rsidRPr="005722A6">
        <w:rPr>
          <w:rFonts w:asciiTheme="majorHAnsi" w:hAnsiTheme="majorHAnsi"/>
          <w:sz w:val="20"/>
          <w:szCs w:val="20"/>
        </w:rPr>
        <w:t>effective penalties for companies and individuals to prevent damaging practices. Faced with a large management area, the range of regulations to enforce and the number of conflicting and increasing resource uses, effective management and compliance</w:t>
      </w:r>
      <w:r w:rsidR="00754E3A">
        <w:rPr>
          <w:rFonts w:asciiTheme="majorHAnsi" w:hAnsiTheme="majorHAnsi"/>
          <w:sz w:val="20"/>
          <w:szCs w:val="20"/>
        </w:rPr>
        <w:t xml:space="preserve"> are limited</w:t>
      </w:r>
      <w:r w:rsidRPr="005722A6">
        <w:rPr>
          <w:rFonts w:asciiTheme="majorHAnsi" w:hAnsiTheme="majorHAnsi"/>
          <w:sz w:val="20"/>
          <w:szCs w:val="20"/>
        </w:rPr>
        <w:t xml:space="preserve">. </w:t>
      </w:r>
      <w:r w:rsidR="00E86158" w:rsidRPr="005722A6">
        <w:rPr>
          <w:rFonts w:asciiTheme="majorHAnsi" w:hAnsiTheme="majorHAnsi"/>
          <w:sz w:val="20"/>
          <w:szCs w:val="20"/>
        </w:rPr>
        <w:t xml:space="preserve">The </w:t>
      </w:r>
      <w:r w:rsidRPr="005722A6">
        <w:rPr>
          <w:rFonts w:asciiTheme="majorHAnsi" w:hAnsiTheme="majorHAnsi"/>
          <w:sz w:val="20"/>
          <w:szCs w:val="20"/>
        </w:rPr>
        <w:t xml:space="preserve">Koror State </w:t>
      </w:r>
      <w:r w:rsidR="00686843">
        <w:rPr>
          <w:rFonts w:asciiTheme="majorHAnsi" w:hAnsiTheme="majorHAnsi"/>
          <w:sz w:val="20"/>
          <w:szCs w:val="20"/>
        </w:rPr>
        <w:t>r</w:t>
      </w:r>
      <w:r w:rsidRPr="005722A6">
        <w:rPr>
          <w:rFonts w:asciiTheme="majorHAnsi" w:hAnsiTheme="majorHAnsi"/>
          <w:sz w:val="20"/>
          <w:szCs w:val="20"/>
        </w:rPr>
        <w:t xml:space="preserve">angers program </w:t>
      </w:r>
      <w:r w:rsidR="00F8512C" w:rsidRPr="005722A6">
        <w:rPr>
          <w:rFonts w:asciiTheme="majorHAnsi" w:hAnsiTheme="majorHAnsi"/>
          <w:sz w:val="20"/>
          <w:szCs w:val="20"/>
        </w:rPr>
        <w:t>lacks well</w:t>
      </w:r>
      <w:r w:rsidR="00A35929">
        <w:rPr>
          <w:rFonts w:asciiTheme="majorHAnsi" w:hAnsiTheme="majorHAnsi"/>
          <w:sz w:val="20"/>
          <w:szCs w:val="20"/>
        </w:rPr>
        <w:t>-</w:t>
      </w:r>
      <w:r w:rsidR="00F8512C" w:rsidRPr="005722A6">
        <w:rPr>
          <w:rFonts w:asciiTheme="majorHAnsi" w:hAnsiTheme="majorHAnsi"/>
          <w:sz w:val="20"/>
          <w:szCs w:val="20"/>
        </w:rPr>
        <w:t>trained and resourced</w:t>
      </w:r>
      <w:r w:rsidR="00206A67" w:rsidRPr="005722A6">
        <w:rPr>
          <w:rFonts w:asciiTheme="majorHAnsi" w:hAnsiTheme="majorHAnsi"/>
          <w:sz w:val="20"/>
          <w:szCs w:val="20"/>
        </w:rPr>
        <w:t xml:space="preserve"> </w:t>
      </w:r>
      <w:r w:rsidR="00F8512C" w:rsidRPr="005722A6">
        <w:rPr>
          <w:rFonts w:asciiTheme="majorHAnsi" w:hAnsiTheme="majorHAnsi"/>
          <w:sz w:val="20"/>
          <w:szCs w:val="20"/>
        </w:rPr>
        <w:t>staff</w:t>
      </w:r>
      <w:r w:rsidR="00686843">
        <w:rPr>
          <w:rFonts w:asciiTheme="majorHAnsi" w:hAnsiTheme="majorHAnsi"/>
          <w:sz w:val="20"/>
          <w:szCs w:val="20"/>
        </w:rPr>
        <w:t>;</w:t>
      </w:r>
      <w:r w:rsidR="00F8512C" w:rsidRPr="005722A6">
        <w:rPr>
          <w:rFonts w:asciiTheme="majorHAnsi" w:hAnsiTheme="majorHAnsi"/>
          <w:sz w:val="20"/>
          <w:szCs w:val="20"/>
        </w:rPr>
        <w:t xml:space="preserve"> and Peleliu has a </w:t>
      </w:r>
      <w:r w:rsidR="00E86158" w:rsidRPr="005722A6">
        <w:rPr>
          <w:rFonts w:asciiTheme="majorHAnsi" w:hAnsiTheme="majorHAnsi"/>
          <w:sz w:val="20"/>
          <w:szCs w:val="20"/>
        </w:rPr>
        <w:t xml:space="preserve">fledgling </w:t>
      </w:r>
      <w:r w:rsidRPr="005722A6">
        <w:rPr>
          <w:rFonts w:asciiTheme="majorHAnsi" w:hAnsiTheme="majorHAnsi"/>
          <w:sz w:val="20"/>
          <w:szCs w:val="20"/>
        </w:rPr>
        <w:t xml:space="preserve">system </w:t>
      </w:r>
      <w:r w:rsidR="00F8512C" w:rsidRPr="005722A6">
        <w:rPr>
          <w:rFonts w:asciiTheme="majorHAnsi" w:hAnsiTheme="majorHAnsi"/>
          <w:sz w:val="20"/>
          <w:szCs w:val="20"/>
        </w:rPr>
        <w:t>that is very limited in capacity</w:t>
      </w:r>
      <w:r w:rsidRPr="005722A6">
        <w:rPr>
          <w:rFonts w:asciiTheme="majorHAnsi" w:hAnsiTheme="majorHAnsi"/>
          <w:sz w:val="20"/>
          <w:szCs w:val="20"/>
        </w:rPr>
        <w:t xml:space="preserve">. </w:t>
      </w:r>
      <w:r w:rsidR="00F8512C" w:rsidRPr="005722A6">
        <w:rPr>
          <w:rFonts w:asciiTheme="majorHAnsi" w:hAnsiTheme="majorHAnsi"/>
          <w:sz w:val="20"/>
          <w:szCs w:val="20"/>
        </w:rPr>
        <w:t>Consequently</w:t>
      </w:r>
      <w:r w:rsidR="00686843">
        <w:rPr>
          <w:rFonts w:asciiTheme="majorHAnsi" w:hAnsiTheme="majorHAnsi"/>
          <w:sz w:val="20"/>
          <w:szCs w:val="20"/>
        </w:rPr>
        <w:t>,</w:t>
      </w:r>
      <w:r w:rsidR="00F8512C" w:rsidRPr="005722A6">
        <w:rPr>
          <w:rFonts w:asciiTheme="majorHAnsi" w:hAnsiTheme="majorHAnsi"/>
          <w:sz w:val="20"/>
          <w:szCs w:val="20"/>
        </w:rPr>
        <w:t xml:space="preserve"> the c</w:t>
      </w:r>
      <w:r w:rsidRPr="005722A6">
        <w:rPr>
          <w:rFonts w:asciiTheme="majorHAnsi" w:hAnsiTheme="majorHAnsi"/>
          <w:sz w:val="20"/>
          <w:szCs w:val="20"/>
        </w:rPr>
        <w:t>apacity to</w:t>
      </w:r>
      <w:r w:rsidR="00206A67" w:rsidRPr="005722A6">
        <w:rPr>
          <w:rFonts w:asciiTheme="majorHAnsi" w:hAnsiTheme="majorHAnsi"/>
          <w:sz w:val="20"/>
          <w:szCs w:val="20"/>
        </w:rPr>
        <w:t xml:space="preserve"> develop partnerships and</w:t>
      </w:r>
      <w:r w:rsidRPr="005722A6">
        <w:rPr>
          <w:rFonts w:asciiTheme="majorHAnsi" w:hAnsiTheme="majorHAnsi"/>
          <w:sz w:val="20"/>
          <w:szCs w:val="20"/>
        </w:rPr>
        <w:t xml:space="preserve"> implement activities</w:t>
      </w:r>
      <w:r w:rsidR="00F8512C" w:rsidRPr="005722A6">
        <w:rPr>
          <w:rFonts w:asciiTheme="majorHAnsi" w:hAnsiTheme="majorHAnsi"/>
          <w:sz w:val="20"/>
          <w:szCs w:val="20"/>
        </w:rPr>
        <w:t xml:space="preserve">, </w:t>
      </w:r>
      <w:r w:rsidRPr="005722A6">
        <w:rPr>
          <w:rFonts w:asciiTheme="majorHAnsi" w:hAnsiTheme="majorHAnsi"/>
          <w:sz w:val="20"/>
          <w:szCs w:val="20"/>
        </w:rPr>
        <w:t>the development of regulations and zon</w:t>
      </w:r>
      <w:r w:rsidR="00F8512C" w:rsidRPr="005722A6">
        <w:rPr>
          <w:rFonts w:asciiTheme="majorHAnsi" w:hAnsiTheme="majorHAnsi"/>
          <w:sz w:val="20"/>
          <w:szCs w:val="20"/>
        </w:rPr>
        <w:t>ing</w:t>
      </w:r>
      <w:r w:rsidRPr="005722A6">
        <w:rPr>
          <w:rFonts w:asciiTheme="majorHAnsi" w:hAnsiTheme="majorHAnsi"/>
          <w:sz w:val="20"/>
          <w:szCs w:val="20"/>
        </w:rPr>
        <w:t>, enforcement and the development of specific programs and plans</w:t>
      </w:r>
      <w:r w:rsidR="00F8512C" w:rsidRPr="005722A6">
        <w:rPr>
          <w:rFonts w:asciiTheme="majorHAnsi" w:hAnsiTheme="majorHAnsi"/>
          <w:sz w:val="20"/>
          <w:szCs w:val="20"/>
        </w:rPr>
        <w:t xml:space="preserve"> for improved surveillance and enforcement is very basic</w:t>
      </w:r>
      <w:r w:rsidRPr="005722A6">
        <w:rPr>
          <w:rFonts w:asciiTheme="majorHAnsi" w:hAnsiTheme="majorHAnsi"/>
          <w:sz w:val="20"/>
          <w:szCs w:val="20"/>
        </w:rPr>
        <w:t>. Standards among tour guides and operators responsible for groups of tourists to prevent damage to corals, spread of IAS</w:t>
      </w:r>
      <w:r w:rsidR="00206A67" w:rsidRPr="005722A6">
        <w:rPr>
          <w:rFonts w:asciiTheme="majorHAnsi" w:hAnsiTheme="majorHAnsi"/>
          <w:sz w:val="20"/>
          <w:szCs w:val="20"/>
        </w:rPr>
        <w:t>,</w:t>
      </w:r>
      <w:r w:rsidRPr="005722A6">
        <w:rPr>
          <w:rFonts w:asciiTheme="majorHAnsi" w:hAnsiTheme="majorHAnsi"/>
          <w:sz w:val="20"/>
          <w:szCs w:val="20"/>
        </w:rPr>
        <w:t xml:space="preserve"> and rubbish accumulation</w:t>
      </w:r>
      <w:r w:rsidR="00F8512C" w:rsidRPr="005722A6">
        <w:rPr>
          <w:rFonts w:asciiTheme="majorHAnsi" w:hAnsiTheme="majorHAnsi"/>
          <w:sz w:val="20"/>
          <w:szCs w:val="20"/>
        </w:rPr>
        <w:t xml:space="preserve"> are lacking</w:t>
      </w:r>
      <w:r w:rsidRPr="005722A6">
        <w:rPr>
          <w:rFonts w:asciiTheme="majorHAnsi" w:hAnsiTheme="majorHAnsi"/>
          <w:sz w:val="20"/>
          <w:szCs w:val="20"/>
        </w:rPr>
        <w:t xml:space="preserve">. The private sector – </w:t>
      </w:r>
      <w:r w:rsidR="00206A67" w:rsidRPr="005722A6">
        <w:rPr>
          <w:rFonts w:asciiTheme="majorHAnsi" w:hAnsiTheme="majorHAnsi"/>
          <w:sz w:val="20"/>
          <w:szCs w:val="20"/>
        </w:rPr>
        <w:t xml:space="preserve">some </w:t>
      </w:r>
      <w:r w:rsidRPr="005722A6">
        <w:rPr>
          <w:rFonts w:asciiTheme="majorHAnsi" w:hAnsiTheme="majorHAnsi"/>
          <w:sz w:val="20"/>
          <w:szCs w:val="20"/>
        </w:rPr>
        <w:t xml:space="preserve">hotels and resorts </w:t>
      </w:r>
      <w:r w:rsidR="00206A67" w:rsidRPr="005722A6">
        <w:rPr>
          <w:rFonts w:asciiTheme="majorHAnsi" w:hAnsiTheme="majorHAnsi"/>
          <w:sz w:val="20"/>
          <w:szCs w:val="20"/>
        </w:rPr>
        <w:t>–</w:t>
      </w:r>
      <w:r w:rsidRPr="005722A6">
        <w:rPr>
          <w:rFonts w:asciiTheme="majorHAnsi" w:hAnsiTheme="majorHAnsi"/>
          <w:sz w:val="20"/>
          <w:szCs w:val="20"/>
        </w:rPr>
        <w:t xml:space="preserve"> </w:t>
      </w:r>
      <w:r w:rsidR="00F8512C" w:rsidRPr="005722A6">
        <w:rPr>
          <w:rFonts w:asciiTheme="majorHAnsi" w:hAnsiTheme="majorHAnsi"/>
          <w:sz w:val="20"/>
          <w:szCs w:val="20"/>
        </w:rPr>
        <w:t>are</w:t>
      </w:r>
      <w:r w:rsidRPr="005722A6">
        <w:rPr>
          <w:rFonts w:asciiTheme="majorHAnsi" w:hAnsiTheme="majorHAnsi"/>
          <w:sz w:val="20"/>
          <w:szCs w:val="20"/>
        </w:rPr>
        <w:t xml:space="preserve"> </w:t>
      </w:r>
      <w:r w:rsidR="00206A67" w:rsidRPr="005722A6">
        <w:rPr>
          <w:rFonts w:asciiTheme="majorHAnsi" w:hAnsiTheme="majorHAnsi"/>
          <w:sz w:val="20"/>
          <w:szCs w:val="20"/>
        </w:rPr>
        <w:t>only minimally</w:t>
      </w:r>
      <w:r w:rsidRPr="005722A6">
        <w:rPr>
          <w:rFonts w:asciiTheme="majorHAnsi" w:hAnsiTheme="majorHAnsi"/>
          <w:sz w:val="20"/>
          <w:szCs w:val="20"/>
        </w:rPr>
        <w:t xml:space="preserve"> involved in or investing in conservation or restoration. Despite considerable practical experience in the field</w:t>
      </w:r>
      <w:r w:rsidR="00686843">
        <w:rPr>
          <w:rFonts w:asciiTheme="majorHAnsi" w:hAnsiTheme="majorHAnsi"/>
          <w:sz w:val="20"/>
          <w:szCs w:val="20"/>
        </w:rPr>
        <w:t>,</w:t>
      </w:r>
      <w:r w:rsidRPr="005722A6">
        <w:rPr>
          <w:rFonts w:asciiTheme="majorHAnsi" w:hAnsiTheme="majorHAnsi"/>
          <w:sz w:val="20"/>
          <w:szCs w:val="20"/>
        </w:rPr>
        <w:t xml:space="preserve"> eradicating IAS and restoring small islands, there </w:t>
      </w:r>
      <w:r w:rsidR="00686843">
        <w:rPr>
          <w:rFonts w:asciiTheme="majorHAnsi" w:hAnsiTheme="majorHAnsi"/>
          <w:sz w:val="20"/>
          <w:szCs w:val="20"/>
        </w:rPr>
        <w:t>are</w:t>
      </w:r>
      <w:r w:rsidRPr="005722A6">
        <w:rPr>
          <w:rFonts w:asciiTheme="majorHAnsi" w:hAnsiTheme="majorHAnsi"/>
          <w:sz w:val="20"/>
          <w:szCs w:val="20"/>
        </w:rPr>
        <w:t xml:space="preserve"> no agreed model</w:t>
      </w:r>
      <w:r w:rsidR="00686843">
        <w:rPr>
          <w:rFonts w:asciiTheme="majorHAnsi" w:hAnsiTheme="majorHAnsi"/>
          <w:sz w:val="20"/>
          <w:szCs w:val="20"/>
        </w:rPr>
        <w:t>s</w:t>
      </w:r>
      <w:r w:rsidR="00224D3E">
        <w:rPr>
          <w:rFonts w:asciiTheme="majorHAnsi" w:hAnsiTheme="majorHAnsi"/>
          <w:sz w:val="20"/>
          <w:szCs w:val="20"/>
        </w:rPr>
        <w:t xml:space="preserve"> with</w:t>
      </w:r>
      <w:r w:rsidRPr="005722A6">
        <w:rPr>
          <w:rFonts w:asciiTheme="majorHAnsi" w:hAnsiTheme="majorHAnsi"/>
          <w:sz w:val="20"/>
          <w:szCs w:val="20"/>
        </w:rPr>
        <w:t xml:space="preserve"> clearly articulated </w:t>
      </w:r>
      <w:r w:rsidR="00224D3E">
        <w:rPr>
          <w:rFonts w:asciiTheme="majorHAnsi" w:hAnsiTheme="majorHAnsi"/>
          <w:sz w:val="20"/>
          <w:szCs w:val="20"/>
        </w:rPr>
        <w:t xml:space="preserve">guidance on </w:t>
      </w:r>
      <w:r w:rsidRPr="005722A6">
        <w:rPr>
          <w:rFonts w:asciiTheme="majorHAnsi" w:hAnsiTheme="majorHAnsi"/>
          <w:sz w:val="20"/>
          <w:szCs w:val="20"/>
        </w:rPr>
        <w:t>best practice</w:t>
      </w:r>
      <w:r w:rsidR="00686843">
        <w:rPr>
          <w:rFonts w:asciiTheme="majorHAnsi" w:hAnsiTheme="majorHAnsi"/>
          <w:sz w:val="20"/>
          <w:szCs w:val="20"/>
        </w:rPr>
        <w:t>s</w:t>
      </w:r>
      <w:r w:rsidR="00224D3E">
        <w:rPr>
          <w:rFonts w:asciiTheme="majorHAnsi" w:hAnsiTheme="majorHAnsi"/>
          <w:sz w:val="20"/>
          <w:szCs w:val="20"/>
        </w:rPr>
        <w:t>,</w:t>
      </w:r>
      <w:r w:rsidRPr="005722A6">
        <w:rPr>
          <w:rFonts w:asciiTheme="majorHAnsi" w:hAnsiTheme="majorHAnsi"/>
          <w:sz w:val="20"/>
          <w:szCs w:val="20"/>
        </w:rPr>
        <w:t xml:space="preserve"> when </w:t>
      </w:r>
      <w:r w:rsidR="00686843">
        <w:rPr>
          <w:rFonts w:asciiTheme="majorHAnsi" w:hAnsiTheme="majorHAnsi"/>
          <w:sz w:val="20"/>
          <w:szCs w:val="20"/>
        </w:rPr>
        <w:t xml:space="preserve">and under what conditions </w:t>
      </w:r>
      <w:r w:rsidRPr="005722A6">
        <w:rPr>
          <w:rFonts w:asciiTheme="majorHAnsi" w:hAnsiTheme="majorHAnsi"/>
          <w:sz w:val="20"/>
          <w:szCs w:val="20"/>
        </w:rPr>
        <w:t xml:space="preserve">to undertake eradications, particularly </w:t>
      </w:r>
      <w:r w:rsidR="009638EF">
        <w:rPr>
          <w:rFonts w:asciiTheme="majorHAnsi" w:hAnsiTheme="majorHAnsi"/>
          <w:sz w:val="20"/>
          <w:szCs w:val="20"/>
        </w:rPr>
        <w:t>if</w:t>
      </w:r>
      <w:r w:rsidRPr="005722A6">
        <w:rPr>
          <w:rFonts w:asciiTheme="majorHAnsi" w:hAnsiTheme="majorHAnsi"/>
          <w:sz w:val="20"/>
          <w:szCs w:val="20"/>
        </w:rPr>
        <w:t xml:space="preserve"> is it the most cost-effective method, </w:t>
      </w:r>
      <w:r w:rsidR="00224D3E">
        <w:rPr>
          <w:rFonts w:asciiTheme="majorHAnsi" w:hAnsiTheme="majorHAnsi"/>
          <w:sz w:val="20"/>
          <w:szCs w:val="20"/>
        </w:rPr>
        <w:t xml:space="preserve">and </w:t>
      </w:r>
      <w:r w:rsidRPr="005722A6">
        <w:rPr>
          <w:rFonts w:asciiTheme="majorHAnsi" w:hAnsiTheme="majorHAnsi"/>
          <w:sz w:val="20"/>
          <w:szCs w:val="20"/>
        </w:rPr>
        <w:t xml:space="preserve">what measures are needed to </w:t>
      </w:r>
      <w:r w:rsidR="00686843">
        <w:rPr>
          <w:rFonts w:asciiTheme="majorHAnsi" w:hAnsiTheme="majorHAnsi"/>
          <w:sz w:val="20"/>
          <w:szCs w:val="20"/>
        </w:rPr>
        <w:t>prevent</w:t>
      </w:r>
      <w:r w:rsidRPr="005722A6">
        <w:rPr>
          <w:rFonts w:asciiTheme="majorHAnsi" w:hAnsiTheme="majorHAnsi"/>
          <w:sz w:val="20"/>
          <w:szCs w:val="20"/>
        </w:rPr>
        <w:t xml:space="preserve"> re-invasion. Comprehensive eradication and prevention of re-establishment plans for rats, which pose major threat</w:t>
      </w:r>
      <w:r w:rsidR="00206A67" w:rsidRPr="005722A6">
        <w:rPr>
          <w:rFonts w:asciiTheme="majorHAnsi" w:hAnsiTheme="majorHAnsi"/>
          <w:sz w:val="20"/>
          <w:szCs w:val="20"/>
        </w:rPr>
        <w:t>s</w:t>
      </w:r>
      <w:r w:rsidRPr="005722A6">
        <w:rPr>
          <w:rFonts w:asciiTheme="majorHAnsi" w:hAnsiTheme="majorHAnsi"/>
          <w:sz w:val="20"/>
          <w:szCs w:val="20"/>
        </w:rPr>
        <w:t xml:space="preserve"> are </w:t>
      </w:r>
      <w:r w:rsidR="00F8512C" w:rsidRPr="005722A6">
        <w:rPr>
          <w:rFonts w:asciiTheme="majorHAnsi" w:hAnsiTheme="majorHAnsi"/>
          <w:sz w:val="20"/>
          <w:szCs w:val="20"/>
        </w:rPr>
        <w:t xml:space="preserve">also lacking. </w:t>
      </w:r>
      <w:r w:rsidR="00206A67" w:rsidRPr="005722A6">
        <w:rPr>
          <w:rFonts w:asciiTheme="majorHAnsi" w:hAnsiTheme="majorHAnsi"/>
          <w:sz w:val="20"/>
          <w:szCs w:val="20"/>
        </w:rPr>
        <w:t xml:space="preserve">The </w:t>
      </w:r>
      <w:r w:rsidR="00D934AC">
        <w:rPr>
          <w:rFonts w:asciiTheme="majorHAnsi" w:hAnsiTheme="majorHAnsi"/>
          <w:sz w:val="20"/>
          <w:szCs w:val="20"/>
        </w:rPr>
        <w:t>A</w:t>
      </w:r>
      <w:r w:rsidR="00206A67" w:rsidRPr="005722A6">
        <w:rPr>
          <w:rFonts w:asciiTheme="majorHAnsi" w:hAnsiTheme="majorHAnsi"/>
          <w:sz w:val="20"/>
          <w:szCs w:val="20"/>
        </w:rPr>
        <w:t xml:space="preserve">DB Private Sector Analysis also found that there is little coordination </w:t>
      </w:r>
      <w:r w:rsidR="009638EF">
        <w:rPr>
          <w:rFonts w:asciiTheme="majorHAnsi" w:hAnsiTheme="majorHAnsi"/>
          <w:sz w:val="20"/>
          <w:szCs w:val="20"/>
        </w:rPr>
        <w:t>i</w:t>
      </w:r>
      <w:r w:rsidR="00206A67" w:rsidRPr="005722A6">
        <w:rPr>
          <w:rFonts w:asciiTheme="majorHAnsi" w:hAnsiTheme="majorHAnsi"/>
          <w:sz w:val="20"/>
          <w:szCs w:val="20"/>
        </w:rPr>
        <w:t xml:space="preserve">n the division and distribution of tourism revenues </w:t>
      </w:r>
      <w:r w:rsidR="009638EF">
        <w:rPr>
          <w:rFonts w:asciiTheme="majorHAnsi" w:hAnsiTheme="majorHAnsi"/>
          <w:sz w:val="20"/>
          <w:szCs w:val="20"/>
        </w:rPr>
        <w:t>and</w:t>
      </w:r>
      <w:r w:rsidR="00206A67" w:rsidRPr="005722A6">
        <w:rPr>
          <w:rFonts w:asciiTheme="majorHAnsi" w:hAnsiTheme="majorHAnsi"/>
          <w:sz w:val="20"/>
          <w:szCs w:val="20"/>
        </w:rPr>
        <w:t xml:space="preserve"> responsibilities </w:t>
      </w:r>
      <w:r w:rsidR="009638EF">
        <w:rPr>
          <w:rFonts w:asciiTheme="majorHAnsi" w:hAnsiTheme="majorHAnsi"/>
          <w:sz w:val="20"/>
          <w:szCs w:val="20"/>
        </w:rPr>
        <w:t>between</w:t>
      </w:r>
      <w:r w:rsidR="00206A67" w:rsidRPr="005722A6">
        <w:rPr>
          <w:rFonts w:asciiTheme="majorHAnsi" w:hAnsiTheme="majorHAnsi"/>
          <w:sz w:val="20"/>
          <w:szCs w:val="20"/>
        </w:rPr>
        <w:t xml:space="preserve"> the state</w:t>
      </w:r>
      <w:r w:rsidR="009638EF">
        <w:rPr>
          <w:rFonts w:asciiTheme="majorHAnsi" w:hAnsiTheme="majorHAnsi"/>
          <w:sz w:val="20"/>
          <w:szCs w:val="20"/>
        </w:rPr>
        <w:t>s</w:t>
      </w:r>
      <w:r w:rsidR="00206A67" w:rsidRPr="005722A6">
        <w:rPr>
          <w:rFonts w:asciiTheme="majorHAnsi" w:hAnsiTheme="majorHAnsi"/>
          <w:sz w:val="20"/>
          <w:szCs w:val="20"/>
        </w:rPr>
        <w:t xml:space="preserve"> and national government</w:t>
      </w:r>
      <w:r w:rsidR="00157AD3">
        <w:rPr>
          <w:rFonts w:asciiTheme="majorHAnsi" w:hAnsiTheme="majorHAnsi"/>
          <w:sz w:val="20"/>
          <w:szCs w:val="20"/>
        </w:rPr>
        <w:t>s</w:t>
      </w:r>
      <w:r w:rsidR="00206A67" w:rsidRPr="005722A6">
        <w:rPr>
          <w:rFonts w:asciiTheme="majorHAnsi" w:hAnsiTheme="majorHAnsi"/>
          <w:sz w:val="20"/>
          <w:szCs w:val="20"/>
        </w:rPr>
        <w:t xml:space="preserve">. </w:t>
      </w:r>
    </w:p>
    <w:p w14:paraId="7B068CAD" w14:textId="77777777" w:rsidR="00B87774" w:rsidRPr="005722A6" w:rsidRDefault="00B87774" w:rsidP="00B87774">
      <w:pPr>
        <w:widowControl w:val="0"/>
        <w:autoSpaceDE w:val="0"/>
        <w:autoSpaceDN w:val="0"/>
        <w:adjustRightInd w:val="0"/>
        <w:spacing w:after="0"/>
        <w:rPr>
          <w:rFonts w:asciiTheme="majorHAnsi" w:hAnsiTheme="majorHAnsi"/>
          <w:color w:val="000000"/>
          <w:sz w:val="20"/>
          <w:szCs w:val="20"/>
        </w:rPr>
      </w:pPr>
    </w:p>
    <w:p w14:paraId="368D27D1" w14:textId="4C5A3485" w:rsidR="003D711F" w:rsidRPr="00FB6518" w:rsidRDefault="00B87774" w:rsidP="00FB6518">
      <w:pPr>
        <w:widowControl w:val="0"/>
        <w:autoSpaceDE w:val="0"/>
        <w:autoSpaceDN w:val="0"/>
        <w:adjustRightInd w:val="0"/>
        <w:rPr>
          <w:rFonts w:asciiTheme="majorHAnsi" w:hAnsiTheme="majorHAnsi"/>
          <w:i/>
          <w:iCs/>
          <w:color w:val="000000"/>
          <w:sz w:val="20"/>
          <w:szCs w:val="20"/>
        </w:rPr>
      </w:pPr>
      <w:r w:rsidRPr="00FB6518">
        <w:rPr>
          <w:rFonts w:asciiTheme="majorHAnsi" w:hAnsiTheme="majorHAnsi"/>
          <w:i/>
          <w:iCs/>
          <w:color w:val="000000"/>
          <w:sz w:val="20"/>
          <w:szCs w:val="20"/>
        </w:rPr>
        <w:t>Barrier 4: Lack of awareness among the</w:t>
      </w:r>
      <w:r w:rsidR="00157AD3" w:rsidRPr="00FB6518">
        <w:rPr>
          <w:rFonts w:asciiTheme="majorHAnsi" w:hAnsiTheme="majorHAnsi"/>
          <w:i/>
          <w:iCs/>
          <w:color w:val="000000"/>
          <w:sz w:val="20"/>
          <w:szCs w:val="20"/>
        </w:rPr>
        <w:t xml:space="preserve"> </w:t>
      </w:r>
      <w:r w:rsidRPr="00FB6518">
        <w:rPr>
          <w:rFonts w:asciiTheme="majorHAnsi" w:hAnsiTheme="majorHAnsi"/>
          <w:i/>
          <w:iCs/>
          <w:color w:val="000000"/>
          <w:sz w:val="20"/>
          <w:szCs w:val="20"/>
        </w:rPr>
        <w:t>public</w:t>
      </w:r>
      <w:r w:rsidR="00206A67" w:rsidRPr="00FB6518">
        <w:rPr>
          <w:rFonts w:asciiTheme="majorHAnsi" w:hAnsiTheme="majorHAnsi"/>
          <w:i/>
          <w:iCs/>
          <w:color w:val="000000"/>
          <w:sz w:val="20"/>
          <w:szCs w:val="20"/>
        </w:rPr>
        <w:t>,</w:t>
      </w:r>
      <w:r w:rsidRPr="00FB6518">
        <w:rPr>
          <w:rFonts w:asciiTheme="majorHAnsi" w:hAnsiTheme="majorHAnsi"/>
          <w:i/>
          <w:iCs/>
          <w:color w:val="000000"/>
          <w:sz w:val="20"/>
          <w:szCs w:val="20"/>
        </w:rPr>
        <w:t xml:space="preserve"> industrial </w:t>
      </w:r>
      <w:r w:rsidR="00B1740C" w:rsidRPr="00FB6518">
        <w:rPr>
          <w:rFonts w:asciiTheme="majorHAnsi" w:hAnsiTheme="majorHAnsi"/>
          <w:i/>
          <w:iCs/>
          <w:color w:val="000000"/>
          <w:sz w:val="20"/>
          <w:szCs w:val="20"/>
        </w:rPr>
        <w:t xml:space="preserve">and commercial </w:t>
      </w:r>
      <w:r w:rsidRPr="00FB6518">
        <w:rPr>
          <w:rFonts w:asciiTheme="majorHAnsi" w:hAnsiTheme="majorHAnsi"/>
          <w:i/>
          <w:iCs/>
          <w:color w:val="000000"/>
          <w:sz w:val="20"/>
          <w:szCs w:val="20"/>
        </w:rPr>
        <w:t xml:space="preserve">sectors </w:t>
      </w:r>
      <w:r w:rsidR="00157AD3" w:rsidRPr="00FB6518">
        <w:rPr>
          <w:rFonts w:asciiTheme="majorHAnsi" w:hAnsiTheme="majorHAnsi"/>
          <w:i/>
          <w:iCs/>
          <w:color w:val="000000"/>
          <w:sz w:val="20"/>
          <w:szCs w:val="20"/>
        </w:rPr>
        <w:t xml:space="preserve">at national and state levels about the importance of </w:t>
      </w:r>
      <w:r w:rsidRPr="00FB6518">
        <w:rPr>
          <w:rFonts w:asciiTheme="majorHAnsi" w:hAnsiTheme="majorHAnsi"/>
          <w:i/>
          <w:iCs/>
          <w:color w:val="000000"/>
          <w:sz w:val="20"/>
          <w:szCs w:val="20"/>
        </w:rPr>
        <w:t>integrate</w:t>
      </w:r>
      <w:r w:rsidR="00157AD3" w:rsidRPr="00FB6518">
        <w:rPr>
          <w:rFonts w:asciiTheme="majorHAnsi" w:hAnsiTheme="majorHAnsi"/>
          <w:i/>
          <w:iCs/>
          <w:color w:val="000000"/>
          <w:sz w:val="20"/>
          <w:szCs w:val="20"/>
        </w:rPr>
        <w:t>d</w:t>
      </w:r>
      <w:r w:rsidR="00311A25" w:rsidRPr="00FB6518">
        <w:rPr>
          <w:rFonts w:asciiTheme="majorHAnsi" w:hAnsiTheme="majorHAnsi"/>
          <w:i/>
          <w:iCs/>
          <w:color w:val="000000"/>
          <w:sz w:val="20"/>
          <w:szCs w:val="20"/>
        </w:rPr>
        <w:t xml:space="preserve"> </w:t>
      </w:r>
      <w:r w:rsidRPr="00FB6518">
        <w:rPr>
          <w:rFonts w:asciiTheme="majorHAnsi" w:hAnsiTheme="majorHAnsi"/>
          <w:i/>
          <w:iCs/>
          <w:color w:val="000000"/>
          <w:sz w:val="20"/>
          <w:szCs w:val="20"/>
        </w:rPr>
        <w:t>landscape and seascape planning</w:t>
      </w:r>
      <w:r w:rsidR="00157AD3" w:rsidRPr="00FB6518">
        <w:rPr>
          <w:rFonts w:asciiTheme="majorHAnsi" w:hAnsiTheme="majorHAnsi"/>
          <w:i/>
          <w:iCs/>
          <w:color w:val="000000"/>
          <w:sz w:val="20"/>
          <w:szCs w:val="20"/>
        </w:rPr>
        <w:t xml:space="preserve">, within a framework of safeguards to address </w:t>
      </w:r>
      <w:r w:rsidRPr="00FB6518">
        <w:rPr>
          <w:rFonts w:asciiTheme="majorHAnsi" w:hAnsiTheme="majorHAnsi"/>
          <w:i/>
          <w:iCs/>
          <w:color w:val="000000"/>
          <w:sz w:val="20"/>
          <w:szCs w:val="20"/>
        </w:rPr>
        <w:t>risks posed by IAS and</w:t>
      </w:r>
      <w:r w:rsidR="003F34E0" w:rsidRPr="00FB6518">
        <w:rPr>
          <w:rFonts w:asciiTheme="majorHAnsi" w:hAnsiTheme="majorHAnsi"/>
          <w:i/>
          <w:iCs/>
          <w:color w:val="000000"/>
          <w:sz w:val="20"/>
          <w:szCs w:val="20"/>
        </w:rPr>
        <w:t xml:space="preserve"> unsustainable practices within key sectors, such as agriculture, fisheries and tourism</w:t>
      </w:r>
    </w:p>
    <w:p w14:paraId="703868AB" w14:textId="7DE4B986" w:rsidR="0051544A" w:rsidRPr="00AE7F38" w:rsidRDefault="003D711F" w:rsidP="0051544A">
      <w:pPr>
        <w:widowControl w:val="0"/>
        <w:autoSpaceDE w:val="0"/>
        <w:autoSpaceDN w:val="0"/>
        <w:adjustRightInd w:val="0"/>
        <w:spacing w:after="0"/>
        <w:rPr>
          <w:rFonts w:asciiTheme="majorHAnsi" w:hAnsiTheme="majorHAnsi"/>
          <w:sz w:val="20"/>
          <w:szCs w:val="20"/>
        </w:rPr>
      </w:pPr>
      <w:r w:rsidRPr="005722A6">
        <w:rPr>
          <w:rFonts w:asciiTheme="majorHAnsi" w:hAnsiTheme="majorHAnsi"/>
          <w:sz w:val="20"/>
          <w:szCs w:val="20"/>
        </w:rPr>
        <w:t xml:space="preserve">Despite widespread awareness among sectors of the need for integrated planning, there is no cross-sector vision </w:t>
      </w:r>
      <w:r w:rsidR="003F34E0">
        <w:rPr>
          <w:rFonts w:asciiTheme="majorHAnsi" w:hAnsiTheme="majorHAnsi"/>
          <w:sz w:val="20"/>
          <w:szCs w:val="20"/>
        </w:rPr>
        <w:t xml:space="preserve">at land and seascape scales, let alone </w:t>
      </w:r>
      <w:r w:rsidRPr="005722A6">
        <w:rPr>
          <w:rFonts w:asciiTheme="majorHAnsi" w:hAnsiTheme="majorHAnsi"/>
          <w:sz w:val="20"/>
          <w:szCs w:val="20"/>
        </w:rPr>
        <w:t xml:space="preserve">capacity </w:t>
      </w:r>
      <w:r w:rsidR="003F34E0">
        <w:rPr>
          <w:rFonts w:asciiTheme="majorHAnsi" w:hAnsiTheme="majorHAnsi"/>
          <w:sz w:val="20"/>
          <w:szCs w:val="20"/>
        </w:rPr>
        <w:t>to champion its formulation</w:t>
      </w:r>
      <w:r w:rsidRPr="005722A6">
        <w:rPr>
          <w:rFonts w:asciiTheme="majorHAnsi" w:hAnsiTheme="majorHAnsi"/>
          <w:sz w:val="20"/>
          <w:szCs w:val="20"/>
        </w:rPr>
        <w:t xml:space="preserve">. There is limited awareness among the key sector institutions on how to integrate planning and </w:t>
      </w:r>
      <w:r w:rsidRPr="005722A6">
        <w:rPr>
          <w:rFonts w:asciiTheme="majorHAnsi" w:hAnsiTheme="majorHAnsi"/>
          <w:iCs/>
          <w:sz w:val="20"/>
          <w:szCs w:val="20"/>
        </w:rPr>
        <w:t xml:space="preserve">management of land, coastal and marine areas in </w:t>
      </w:r>
      <w:r w:rsidR="0089565B">
        <w:rPr>
          <w:rFonts w:asciiTheme="majorHAnsi" w:hAnsiTheme="majorHAnsi"/>
          <w:iCs/>
          <w:sz w:val="20"/>
          <w:szCs w:val="20"/>
        </w:rPr>
        <w:t>ways that sustain</w:t>
      </w:r>
      <w:r w:rsidRPr="005722A6">
        <w:rPr>
          <w:rFonts w:asciiTheme="majorHAnsi" w:hAnsiTheme="majorHAnsi"/>
          <w:iCs/>
          <w:sz w:val="20"/>
          <w:szCs w:val="20"/>
        </w:rPr>
        <w:t xml:space="preserve"> the biodiversity</w:t>
      </w:r>
      <w:r w:rsidR="0089565B">
        <w:rPr>
          <w:rFonts w:asciiTheme="majorHAnsi" w:hAnsiTheme="majorHAnsi"/>
          <w:iCs/>
          <w:sz w:val="20"/>
          <w:szCs w:val="20"/>
        </w:rPr>
        <w:t xml:space="preserve"> and functioning of ecosystems upon which food, energy and water security are largely dependent. </w:t>
      </w:r>
      <w:r w:rsidRPr="005722A6">
        <w:rPr>
          <w:rFonts w:asciiTheme="majorHAnsi" w:hAnsiTheme="majorHAnsi"/>
          <w:iCs/>
          <w:sz w:val="20"/>
          <w:szCs w:val="20"/>
        </w:rPr>
        <w:t>Major sector agencies, including forestry, agriculture and tourism</w:t>
      </w:r>
      <w:r w:rsidR="0089565B">
        <w:rPr>
          <w:rFonts w:asciiTheme="majorHAnsi" w:hAnsiTheme="majorHAnsi"/>
          <w:iCs/>
          <w:sz w:val="20"/>
          <w:szCs w:val="20"/>
        </w:rPr>
        <w:t>,</w:t>
      </w:r>
      <w:r w:rsidRPr="005722A6">
        <w:rPr>
          <w:rFonts w:asciiTheme="majorHAnsi" w:hAnsiTheme="majorHAnsi"/>
          <w:iCs/>
          <w:sz w:val="20"/>
          <w:szCs w:val="20"/>
        </w:rPr>
        <w:t xml:space="preserve"> plan and manage the use of resources within their sectoral interests but with little cross-sector integration. </w:t>
      </w:r>
      <w:r w:rsidRPr="005722A6">
        <w:rPr>
          <w:rFonts w:asciiTheme="majorHAnsi" w:hAnsiTheme="majorHAnsi" w:cs="Segoe UI"/>
          <w:color w:val="000000"/>
          <w:sz w:val="20"/>
          <w:szCs w:val="20"/>
        </w:rPr>
        <w:t xml:space="preserve">Although Palau has already conducted a participatory process </w:t>
      </w:r>
      <w:r w:rsidR="0089565B">
        <w:rPr>
          <w:rFonts w:asciiTheme="majorHAnsi" w:hAnsiTheme="majorHAnsi" w:cs="Segoe UI"/>
          <w:color w:val="000000"/>
          <w:sz w:val="20"/>
          <w:szCs w:val="20"/>
        </w:rPr>
        <w:t xml:space="preserve">and </w:t>
      </w:r>
      <w:r w:rsidR="0089565B" w:rsidRPr="005722A6">
        <w:rPr>
          <w:rFonts w:asciiTheme="majorHAnsi" w:hAnsiTheme="majorHAnsi" w:cs="Segoe UI"/>
          <w:color w:val="000000"/>
          <w:sz w:val="20"/>
          <w:szCs w:val="20"/>
        </w:rPr>
        <w:t xml:space="preserve">articulated </w:t>
      </w:r>
      <w:r w:rsidRPr="005722A6">
        <w:rPr>
          <w:rFonts w:asciiTheme="majorHAnsi" w:hAnsiTheme="majorHAnsi" w:cs="Segoe UI"/>
          <w:color w:val="000000"/>
          <w:sz w:val="20"/>
          <w:szCs w:val="20"/>
        </w:rPr>
        <w:t>biodiversity priorities</w:t>
      </w:r>
      <w:r w:rsidR="0089565B">
        <w:rPr>
          <w:rFonts w:asciiTheme="majorHAnsi" w:hAnsiTheme="majorHAnsi" w:cs="Segoe UI"/>
          <w:color w:val="000000"/>
          <w:sz w:val="20"/>
          <w:szCs w:val="20"/>
        </w:rPr>
        <w:t xml:space="preserve"> </w:t>
      </w:r>
      <w:r w:rsidRPr="005722A6">
        <w:rPr>
          <w:rFonts w:asciiTheme="majorHAnsi" w:hAnsiTheme="majorHAnsi" w:cs="Segoe UI"/>
          <w:color w:val="000000"/>
          <w:sz w:val="20"/>
          <w:szCs w:val="20"/>
        </w:rPr>
        <w:t xml:space="preserve">in </w:t>
      </w:r>
      <w:r w:rsidR="0089565B">
        <w:rPr>
          <w:rFonts w:asciiTheme="majorHAnsi" w:hAnsiTheme="majorHAnsi" w:cs="Segoe UI"/>
          <w:color w:val="000000"/>
          <w:sz w:val="20"/>
          <w:szCs w:val="20"/>
        </w:rPr>
        <w:t>a</w:t>
      </w:r>
      <w:r w:rsidRPr="005722A6">
        <w:rPr>
          <w:rFonts w:asciiTheme="majorHAnsi" w:hAnsiTheme="majorHAnsi" w:cs="Segoe UI"/>
          <w:color w:val="000000"/>
          <w:sz w:val="20"/>
          <w:szCs w:val="20"/>
        </w:rPr>
        <w:t xml:space="preserve"> National Biodiversity Strategy and Action Plan (NBSAP), th</w:t>
      </w:r>
      <w:r w:rsidR="002A0299">
        <w:rPr>
          <w:rFonts w:asciiTheme="majorHAnsi" w:hAnsiTheme="majorHAnsi" w:cs="Segoe UI"/>
          <w:color w:val="000000"/>
          <w:sz w:val="20"/>
          <w:szCs w:val="20"/>
        </w:rPr>
        <w:t>is</w:t>
      </w:r>
      <w:r w:rsidRPr="005722A6">
        <w:rPr>
          <w:rFonts w:asciiTheme="majorHAnsi" w:hAnsiTheme="majorHAnsi" w:cs="Segoe UI"/>
          <w:color w:val="000000"/>
          <w:sz w:val="20"/>
          <w:szCs w:val="20"/>
        </w:rPr>
        <w:t xml:space="preserve"> lacks critical baseline data on the extent, location, condition and threats for many important ecosystems and species, including coral reef communities. There is an urgent need </w:t>
      </w:r>
      <w:r w:rsidR="00362F1B">
        <w:rPr>
          <w:rFonts w:asciiTheme="majorHAnsi" w:hAnsiTheme="majorHAnsi" w:cs="Segoe UI"/>
          <w:color w:val="000000"/>
          <w:sz w:val="20"/>
          <w:szCs w:val="20"/>
        </w:rPr>
        <w:t>to</w:t>
      </w:r>
      <w:r w:rsidRPr="005722A6">
        <w:rPr>
          <w:rFonts w:asciiTheme="majorHAnsi" w:hAnsiTheme="majorHAnsi" w:cs="Segoe UI"/>
          <w:color w:val="000000"/>
          <w:sz w:val="20"/>
          <w:szCs w:val="20"/>
        </w:rPr>
        <w:t xml:space="preserve"> acquir</w:t>
      </w:r>
      <w:r w:rsidR="00362F1B">
        <w:rPr>
          <w:rFonts w:asciiTheme="majorHAnsi" w:hAnsiTheme="majorHAnsi" w:cs="Segoe UI"/>
          <w:color w:val="000000"/>
          <w:sz w:val="20"/>
          <w:szCs w:val="20"/>
        </w:rPr>
        <w:t>e and collate geospatial and other</w:t>
      </w:r>
      <w:r w:rsidRPr="005722A6">
        <w:rPr>
          <w:rFonts w:asciiTheme="majorHAnsi" w:hAnsiTheme="majorHAnsi" w:cs="Segoe UI"/>
          <w:color w:val="000000"/>
          <w:sz w:val="20"/>
          <w:szCs w:val="20"/>
        </w:rPr>
        <w:t xml:space="preserve"> data</w:t>
      </w:r>
      <w:r w:rsidR="00362F1B">
        <w:rPr>
          <w:rFonts w:asciiTheme="majorHAnsi" w:hAnsiTheme="majorHAnsi" w:cs="Segoe UI"/>
          <w:color w:val="000000"/>
          <w:sz w:val="20"/>
          <w:szCs w:val="20"/>
        </w:rPr>
        <w:t xml:space="preserve"> on the distribution and status of Palau’s biodiversity at ecosystem and species levels;</w:t>
      </w:r>
      <w:r w:rsidRPr="005722A6">
        <w:rPr>
          <w:rFonts w:asciiTheme="majorHAnsi" w:hAnsiTheme="majorHAnsi" w:cs="Segoe UI"/>
          <w:color w:val="000000"/>
          <w:sz w:val="20"/>
          <w:szCs w:val="20"/>
        </w:rPr>
        <w:t xml:space="preserve"> build the institutional, </w:t>
      </w:r>
      <w:r w:rsidR="00362F1B" w:rsidRPr="005722A6">
        <w:rPr>
          <w:rFonts w:asciiTheme="majorHAnsi" w:hAnsiTheme="majorHAnsi" w:cs="Segoe UI"/>
          <w:color w:val="000000"/>
          <w:sz w:val="20"/>
          <w:szCs w:val="20"/>
        </w:rPr>
        <w:t xml:space="preserve">infrastructural </w:t>
      </w:r>
      <w:r w:rsidR="00362F1B">
        <w:rPr>
          <w:rFonts w:asciiTheme="majorHAnsi" w:hAnsiTheme="majorHAnsi" w:cs="Segoe UI"/>
          <w:color w:val="000000"/>
          <w:sz w:val="20"/>
          <w:szCs w:val="20"/>
        </w:rPr>
        <w:t xml:space="preserve">and </w:t>
      </w:r>
      <w:r w:rsidRPr="005722A6">
        <w:rPr>
          <w:rFonts w:asciiTheme="majorHAnsi" w:hAnsiTheme="majorHAnsi" w:cs="Segoe UI"/>
          <w:color w:val="000000"/>
          <w:sz w:val="20"/>
          <w:szCs w:val="20"/>
        </w:rPr>
        <w:t>technical</w:t>
      </w:r>
      <w:r w:rsidR="00362F1B">
        <w:rPr>
          <w:rFonts w:asciiTheme="majorHAnsi" w:hAnsiTheme="majorHAnsi" w:cs="Segoe UI"/>
          <w:color w:val="000000"/>
          <w:sz w:val="20"/>
          <w:szCs w:val="20"/>
        </w:rPr>
        <w:t xml:space="preserve"> </w:t>
      </w:r>
      <w:r w:rsidRPr="005722A6">
        <w:rPr>
          <w:rFonts w:asciiTheme="majorHAnsi" w:hAnsiTheme="majorHAnsi" w:cs="Segoe UI"/>
          <w:color w:val="000000"/>
          <w:sz w:val="20"/>
          <w:szCs w:val="20"/>
        </w:rPr>
        <w:t xml:space="preserve">capacity </w:t>
      </w:r>
      <w:r w:rsidR="00362F1B">
        <w:rPr>
          <w:rFonts w:asciiTheme="majorHAnsi" w:hAnsiTheme="majorHAnsi" w:cs="Segoe UI"/>
          <w:color w:val="000000"/>
          <w:sz w:val="20"/>
          <w:szCs w:val="20"/>
        </w:rPr>
        <w:t>to store, manage and analy</w:t>
      </w:r>
      <w:r w:rsidR="00C71EB0">
        <w:rPr>
          <w:rFonts w:asciiTheme="majorHAnsi" w:hAnsiTheme="majorHAnsi" w:cs="Segoe UI"/>
          <w:color w:val="000000"/>
          <w:sz w:val="20"/>
          <w:szCs w:val="20"/>
        </w:rPr>
        <w:t>z</w:t>
      </w:r>
      <w:r w:rsidR="00362F1B">
        <w:rPr>
          <w:rFonts w:asciiTheme="majorHAnsi" w:hAnsiTheme="majorHAnsi" w:cs="Segoe UI"/>
          <w:color w:val="000000"/>
          <w:sz w:val="20"/>
          <w:szCs w:val="20"/>
        </w:rPr>
        <w:t>e these data</w:t>
      </w:r>
      <w:r w:rsidR="00CC56CC">
        <w:rPr>
          <w:rFonts w:asciiTheme="majorHAnsi" w:hAnsiTheme="majorHAnsi" w:cs="Segoe UI"/>
          <w:color w:val="000000"/>
          <w:sz w:val="20"/>
          <w:szCs w:val="20"/>
        </w:rPr>
        <w:t>; and generate</w:t>
      </w:r>
      <w:r w:rsidR="00362F1B">
        <w:rPr>
          <w:rFonts w:asciiTheme="majorHAnsi" w:hAnsiTheme="majorHAnsi" w:cs="Segoe UI"/>
          <w:color w:val="000000"/>
          <w:sz w:val="20"/>
          <w:szCs w:val="20"/>
        </w:rPr>
        <w:t xml:space="preserve"> the knowledge that will </w:t>
      </w:r>
      <w:r w:rsidR="004A4A42">
        <w:rPr>
          <w:rFonts w:asciiTheme="majorHAnsi" w:hAnsiTheme="majorHAnsi" w:cs="Segoe UI"/>
          <w:color w:val="000000"/>
          <w:sz w:val="20"/>
          <w:szCs w:val="20"/>
        </w:rPr>
        <w:t>support</w:t>
      </w:r>
      <w:r w:rsidR="00362F1B">
        <w:rPr>
          <w:rFonts w:asciiTheme="majorHAnsi" w:hAnsiTheme="majorHAnsi" w:cs="Segoe UI"/>
          <w:color w:val="000000"/>
          <w:sz w:val="20"/>
          <w:szCs w:val="20"/>
        </w:rPr>
        <w:t xml:space="preserve"> cross-sect</w:t>
      </w:r>
      <w:r w:rsidR="004D73C3">
        <w:rPr>
          <w:rFonts w:asciiTheme="majorHAnsi" w:hAnsiTheme="majorHAnsi" w:cs="Segoe UI"/>
          <w:color w:val="000000"/>
          <w:sz w:val="20"/>
          <w:szCs w:val="20"/>
        </w:rPr>
        <w:t>or</w:t>
      </w:r>
      <w:r w:rsidR="00362F1B">
        <w:rPr>
          <w:rFonts w:asciiTheme="majorHAnsi" w:hAnsiTheme="majorHAnsi" w:cs="Segoe UI"/>
          <w:color w:val="000000"/>
          <w:sz w:val="20"/>
          <w:szCs w:val="20"/>
        </w:rPr>
        <w:t xml:space="preserve"> visioning</w:t>
      </w:r>
      <w:r w:rsidR="004A4A42">
        <w:rPr>
          <w:rFonts w:asciiTheme="majorHAnsi" w:hAnsiTheme="majorHAnsi" w:cs="Segoe UI"/>
          <w:color w:val="000000"/>
          <w:sz w:val="20"/>
          <w:szCs w:val="20"/>
        </w:rPr>
        <w:t>, decision-making</w:t>
      </w:r>
      <w:r w:rsidR="00362F1B">
        <w:rPr>
          <w:rFonts w:asciiTheme="majorHAnsi" w:hAnsiTheme="majorHAnsi" w:cs="Segoe UI"/>
          <w:color w:val="000000"/>
          <w:sz w:val="20"/>
          <w:szCs w:val="20"/>
        </w:rPr>
        <w:t xml:space="preserve"> and planning at land and seascape scales from ridge to reef. </w:t>
      </w:r>
      <w:r w:rsidR="004A4A42">
        <w:rPr>
          <w:rFonts w:asciiTheme="majorHAnsi" w:hAnsiTheme="majorHAnsi" w:cs="Segoe UI"/>
          <w:color w:val="000000"/>
          <w:sz w:val="20"/>
          <w:szCs w:val="20"/>
        </w:rPr>
        <w:t xml:space="preserve">Monitoring biodiversity over the long-term is fundamental to sustaining such institutional capacity. </w:t>
      </w:r>
      <w:r w:rsidRPr="005722A6">
        <w:rPr>
          <w:rFonts w:asciiTheme="majorHAnsi" w:hAnsiTheme="majorHAnsi" w:cs="Segoe UI"/>
          <w:color w:val="000000"/>
          <w:sz w:val="20"/>
          <w:szCs w:val="20"/>
        </w:rPr>
        <w:t xml:space="preserve">With the recent </w:t>
      </w:r>
      <w:r w:rsidR="00E31525">
        <w:rPr>
          <w:rFonts w:asciiTheme="majorHAnsi" w:hAnsiTheme="majorHAnsi" w:cs="Segoe UI"/>
          <w:color w:val="000000"/>
          <w:sz w:val="20"/>
          <w:szCs w:val="20"/>
        </w:rPr>
        <w:t xml:space="preserve">rapid </w:t>
      </w:r>
      <w:r w:rsidRPr="005722A6">
        <w:rPr>
          <w:rFonts w:asciiTheme="majorHAnsi" w:hAnsiTheme="majorHAnsi" w:cs="Segoe UI"/>
          <w:color w:val="000000"/>
          <w:sz w:val="20"/>
          <w:szCs w:val="20"/>
        </w:rPr>
        <w:t>economic progression, pressure on land</w:t>
      </w:r>
      <w:r w:rsidR="00E31525">
        <w:rPr>
          <w:rFonts w:asciiTheme="majorHAnsi" w:hAnsiTheme="majorHAnsi" w:cs="Segoe UI"/>
          <w:color w:val="000000"/>
          <w:sz w:val="20"/>
          <w:szCs w:val="20"/>
        </w:rPr>
        <w:t xml:space="preserve"> and marine</w:t>
      </w:r>
      <w:r w:rsidRPr="005722A6">
        <w:rPr>
          <w:rFonts w:asciiTheme="majorHAnsi" w:hAnsiTheme="majorHAnsi" w:cs="Segoe UI"/>
          <w:color w:val="000000"/>
          <w:sz w:val="20"/>
          <w:szCs w:val="20"/>
        </w:rPr>
        <w:t xml:space="preserve"> resources has increased dramatically. Given this context, it is not surprising that the country’s knowledge base on biodiversity, and capacity for </w:t>
      </w:r>
      <w:r w:rsidR="00E31525">
        <w:rPr>
          <w:rFonts w:asciiTheme="majorHAnsi" w:hAnsiTheme="majorHAnsi" w:cs="Segoe UI"/>
          <w:color w:val="000000"/>
          <w:sz w:val="20"/>
          <w:szCs w:val="20"/>
        </w:rPr>
        <w:t xml:space="preserve">its </w:t>
      </w:r>
      <w:r w:rsidRPr="005722A6">
        <w:rPr>
          <w:rFonts w:asciiTheme="majorHAnsi" w:hAnsiTheme="majorHAnsi" w:cs="Segoe UI"/>
          <w:color w:val="000000"/>
          <w:sz w:val="20"/>
          <w:szCs w:val="20"/>
        </w:rPr>
        <w:t xml:space="preserve">stewardship are weak. </w:t>
      </w:r>
      <w:r w:rsidR="0051544A" w:rsidRPr="00A04578">
        <w:rPr>
          <w:rFonts w:asciiTheme="majorHAnsi" w:hAnsiTheme="majorHAnsi"/>
          <w:iCs/>
          <w:sz w:val="20"/>
          <w:szCs w:val="20"/>
        </w:rPr>
        <w:t xml:space="preserve">Key </w:t>
      </w:r>
      <w:r w:rsidR="0051544A" w:rsidRPr="000D0522">
        <w:rPr>
          <w:rFonts w:asciiTheme="majorHAnsi" w:hAnsiTheme="majorHAnsi"/>
          <w:iCs/>
          <w:sz w:val="20"/>
          <w:szCs w:val="20"/>
        </w:rPr>
        <w:t>indust</w:t>
      </w:r>
      <w:r w:rsidR="0051544A" w:rsidRPr="00F35DC5">
        <w:rPr>
          <w:rFonts w:asciiTheme="majorHAnsi" w:hAnsiTheme="majorHAnsi"/>
          <w:iCs/>
          <w:sz w:val="20"/>
          <w:szCs w:val="20"/>
        </w:rPr>
        <w:t xml:space="preserve">rial sectors, </w:t>
      </w:r>
      <w:r w:rsidR="0051544A" w:rsidRPr="00F35DC5">
        <w:rPr>
          <w:rFonts w:asciiTheme="majorHAnsi" w:hAnsiTheme="majorHAnsi"/>
          <w:sz w:val="20"/>
          <w:szCs w:val="20"/>
        </w:rPr>
        <w:t>importers, tour operators and tourists</w:t>
      </w:r>
      <w:r w:rsidR="00E31525">
        <w:rPr>
          <w:rFonts w:asciiTheme="majorHAnsi" w:hAnsiTheme="majorHAnsi"/>
          <w:sz w:val="20"/>
          <w:szCs w:val="20"/>
        </w:rPr>
        <w:t xml:space="preserve">, for example, </w:t>
      </w:r>
      <w:r w:rsidR="0051544A" w:rsidRPr="00F35DC5">
        <w:rPr>
          <w:rFonts w:asciiTheme="majorHAnsi" w:hAnsiTheme="majorHAnsi"/>
          <w:sz w:val="20"/>
          <w:szCs w:val="20"/>
        </w:rPr>
        <w:t xml:space="preserve"> are unaware of the harmful impacts of IAS, how IAS enter Palau and spread among </w:t>
      </w:r>
      <w:r w:rsidR="00E31525">
        <w:rPr>
          <w:rFonts w:asciiTheme="majorHAnsi" w:hAnsiTheme="majorHAnsi"/>
          <w:sz w:val="20"/>
          <w:szCs w:val="20"/>
        </w:rPr>
        <w:t xml:space="preserve">its </w:t>
      </w:r>
      <w:r w:rsidR="0051544A" w:rsidRPr="00F35DC5">
        <w:rPr>
          <w:rFonts w:asciiTheme="majorHAnsi" w:hAnsiTheme="majorHAnsi"/>
          <w:sz w:val="20"/>
          <w:szCs w:val="20"/>
        </w:rPr>
        <w:t>islands, and of the measures needed to prevent them. An effective and comprehensive national awareness strategy on integrat</w:t>
      </w:r>
      <w:r w:rsidR="0051544A" w:rsidRPr="00AE7F38">
        <w:rPr>
          <w:rFonts w:asciiTheme="majorHAnsi" w:hAnsiTheme="majorHAnsi"/>
          <w:sz w:val="20"/>
          <w:szCs w:val="20"/>
        </w:rPr>
        <w:t xml:space="preserve">ed land and seascape planning </w:t>
      </w:r>
      <w:r w:rsidR="00E31525">
        <w:rPr>
          <w:rFonts w:asciiTheme="majorHAnsi" w:hAnsiTheme="majorHAnsi"/>
          <w:sz w:val="20"/>
          <w:szCs w:val="20"/>
        </w:rPr>
        <w:t xml:space="preserve">with respect to </w:t>
      </w:r>
      <w:r w:rsidR="0051544A" w:rsidRPr="00AE7F38">
        <w:rPr>
          <w:rFonts w:asciiTheme="majorHAnsi" w:hAnsiTheme="majorHAnsi"/>
          <w:sz w:val="20"/>
          <w:szCs w:val="20"/>
        </w:rPr>
        <w:t xml:space="preserve">IAS and biosecurity is </w:t>
      </w:r>
      <w:r w:rsidR="00E31525">
        <w:rPr>
          <w:rFonts w:asciiTheme="majorHAnsi" w:hAnsiTheme="majorHAnsi"/>
          <w:sz w:val="20"/>
          <w:szCs w:val="20"/>
        </w:rPr>
        <w:t>a high priority</w:t>
      </w:r>
      <w:r w:rsidR="0051544A" w:rsidRPr="00AE7F38">
        <w:rPr>
          <w:rFonts w:asciiTheme="majorHAnsi" w:hAnsiTheme="majorHAnsi"/>
          <w:sz w:val="20"/>
          <w:szCs w:val="20"/>
        </w:rPr>
        <w:t xml:space="preserve">, as well as </w:t>
      </w:r>
      <w:r w:rsidR="00E31525">
        <w:rPr>
          <w:rFonts w:asciiTheme="majorHAnsi" w:hAnsiTheme="majorHAnsi"/>
          <w:sz w:val="20"/>
          <w:szCs w:val="20"/>
        </w:rPr>
        <w:t>guidance on</w:t>
      </w:r>
      <w:r w:rsidR="0051544A" w:rsidRPr="00AE7F38">
        <w:rPr>
          <w:rFonts w:asciiTheme="majorHAnsi" w:hAnsiTheme="majorHAnsi"/>
          <w:sz w:val="20"/>
          <w:szCs w:val="20"/>
        </w:rPr>
        <w:t xml:space="preserve"> IAS prevention, detection, control and management. </w:t>
      </w:r>
      <w:r w:rsidR="0045041B">
        <w:rPr>
          <w:rFonts w:asciiTheme="majorHAnsi" w:hAnsiTheme="majorHAnsi"/>
          <w:sz w:val="20"/>
          <w:szCs w:val="20"/>
        </w:rPr>
        <w:t xml:space="preserve">Likewise, guidance and policies </w:t>
      </w:r>
      <w:r w:rsidR="00C71EB0">
        <w:rPr>
          <w:rFonts w:asciiTheme="majorHAnsi" w:hAnsiTheme="majorHAnsi"/>
          <w:sz w:val="20"/>
          <w:szCs w:val="20"/>
        </w:rPr>
        <w:t>for</w:t>
      </w:r>
      <w:r w:rsidR="0045041B">
        <w:rPr>
          <w:rFonts w:asciiTheme="majorHAnsi" w:hAnsiTheme="majorHAnsi"/>
          <w:sz w:val="20"/>
          <w:szCs w:val="20"/>
        </w:rPr>
        <w:t xml:space="preserve"> responsible tourism and sustainable agriculture and fisheries are pre-requisites to safeguard biodiversity from being over-exploited.</w:t>
      </w:r>
    </w:p>
    <w:p w14:paraId="3E807A55" w14:textId="77777777" w:rsidR="00B87774" w:rsidRPr="005722A6" w:rsidRDefault="00B87774" w:rsidP="00B87774">
      <w:pPr>
        <w:widowControl w:val="0"/>
        <w:autoSpaceDE w:val="0"/>
        <w:autoSpaceDN w:val="0"/>
        <w:adjustRightInd w:val="0"/>
        <w:spacing w:after="0"/>
        <w:rPr>
          <w:rFonts w:asciiTheme="majorHAnsi" w:hAnsiTheme="majorHAnsi"/>
          <w:sz w:val="20"/>
          <w:szCs w:val="20"/>
        </w:rPr>
      </w:pPr>
    </w:p>
    <w:p w14:paraId="5BA18A13" w14:textId="70F63ACC" w:rsidR="00C514AC" w:rsidRDefault="00B87774" w:rsidP="00B87774">
      <w:pPr>
        <w:widowControl w:val="0"/>
        <w:autoSpaceDE w:val="0"/>
        <w:autoSpaceDN w:val="0"/>
        <w:adjustRightInd w:val="0"/>
        <w:spacing w:after="0"/>
        <w:rPr>
          <w:rFonts w:asciiTheme="majorHAnsi" w:hAnsiTheme="majorHAnsi"/>
          <w:sz w:val="20"/>
          <w:szCs w:val="20"/>
        </w:rPr>
      </w:pPr>
      <w:r w:rsidRPr="005722A6">
        <w:rPr>
          <w:rFonts w:asciiTheme="majorHAnsi" w:hAnsiTheme="majorHAnsi"/>
          <w:sz w:val="20"/>
          <w:szCs w:val="20"/>
        </w:rPr>
        <w:t>The</w:t>
      </w:r>
      <w:r w:rsidR="002C07FA">
        <w:rPr>
          <w:rFonts w:asciiTheme="majorHAnsi" w:hAnsiTheme="majorHAnsi"/>
          <w:sz w:val="20"/>
          <w:szCs w:val="20"/>
        </w:rPr>
        <w:t xml:space="preserve"> GEF investment will promote </w:t>
      </w:r>
      <w:r w:rsidR="0045041B">
        <w:rPr>
          <w:rFonts w:asciiTheme="majorHAnsi" w:hAnsiTheme="majorHAnsi"/>
          <w:sz w:val="20"/>
          <w:szCs w:val="20"/>
        </w:rPr>
        <w:t xml:space="preserve">multi-sector cooperation among </w:t>
      </w:r>
      <w:r w:rsidR="002C07FA">
        <w:rPr>
          <w:rFonts w:asciiTheme="majorHAnsi" w:hAnsiTheme="majorHAnsi"/>
          <w:sz w:val="20"/>
          <w:szCs w:val="20"/>
        </w:rPr>
        <w:t xml:space="preserve">stakeholders </w:t>
      </w:r>
      <w:r w:rsidR="0045041B">
        <w:rPr>
          <w:rFonts w:asciiTheme="majorHAnsi" w:hAnsiTheme="majorHAnsi"/>
          <w:sz w:val="20"/>
          <w:szCs w:val="20"/>
        </w:rPr>
        <w:t>to</w:t>
      </w:r>
      <w:r w:rsidR="002C07FA">
        <w:rPr>
          <w:rFonts w:asciiTheme="majorHAnsi" w:hAnsiTheme="majorHAnsi"/>
          <w:sz w:val="20"/>
          <w:szCs w:val="20"/>
        </w:rPr>
        <w:t xml:space="preserve"> mainstream biodiversity conservation </w:t>
      </w:r>
      <w:r w:rsidR="00C514AC">
        <w:rPr>
          <w:rFonts w:asciiTheme="majorHAnsi" w:hAnsiTheme="majorHAnsi"/>
          <w:sz w:val="20"/>
          <w:szCs w:val="20"/>
        </w:rPr>
        <w:t>and strengthen biosecurity</w:t>
      </w:r>
      <w:r w:rsidR="00C514AC" w:rsidDel="0045041B">
        <w:rPr>
          <w:rFonts w:asciiTheme="majorHAnsi" w:hAnsiTheme="majorHAnsi"/>
          <w:sz w:val="20"/>
          <w:szCs w:val="20"/>
        </w:rPr>
        <w:t xml:space="preserve"> </w:t>
      </w:r>
      <w:r w:rsidR="0045041B">
        <w:rPr>
          <w:rFonts w:asciiTheme="majorHAnsi" w:hAnsiTheme="majorHAnsi"/>
          <w:sz w:val="20"/>
          <w:szCs w:val="20"/>
        </w:rPr>
        <w:t>across</w:t>
      </w:r>
      <w:r w:rsidR="002C07FA">
        <w:rPr>
          <w:rFonts w:asciiTheme="majorHAnsi" w:hAnsiTheme="majorHAnsi"/>
          <w:sz w:val="20"/>
          <w:szCs w:val="20"/>
        </w:rPr>
        <w:t xml:space="preserve"> development sector policies and plan</w:t>
      </w:r>
      <w:r w:rsidR="0045041B">
        <w:rPr>
          <w:rFonts w:asciiTheme="majorHAnsi" w:hAnsiTheme="majorHAnsi"/>
          <w:sz w:val="20"/>
          <w:szCs w:val="20"/>
        </w:rPr>
        <w:t xml:space="preserve">s. This will be achieved by </w:t>
      </w:r>
      <w:r w:rsidR="002C07FA">
        <w:rPr>
          <w:rFonts w:asciiTheme="majorHAnsi" w:hAnsiTheme="majorHAnsi"/>
          <w:sz w:val="20"/>
          <w:szCs w:val="20"/>
        </w:rPr>
        <w:lastRenderedPageBreak/>
        <w:t>institutional capacity</w:t>
      </w:r>
      <w:r w:rsidR="00566B67">
        <w:rPr>
          <w:rFonts w:asciiTheme="majorHAnsi" w:hAnsiTheme="majorHAnsi"/>
          <w:sz w:val="20"/>
          <w:szCs w:val="20"/>
        </w:rPr>
        <w:t xml:space="preserve"> development;</w:t>
      </w:r>
      <w:r w:rsidR="002C07FA">
        <w:rPr>
          <w:rFonts w:asciiTheme="majorHAnsi" w:hAnsiTheme="majorHAnsi"/>
          <w:sz w:val="20"/>
          <w:szCs w:val="20"/>
        </w:rPr>
        <w:t xml:space="preserve"> inter-sector collaboration in land and seascape planning approaches</w:t>
      </w:r>
      <w:r w:rsidR="00566B67">
        <w:rPr>
          <w:rFonts w:asciiTheme="majorHAnsi" w:hAnsiTheme="majorHAnsi"/>
          <w:sz w:val="20"/>
          <w:szCs w:val="20"/>
        </w:rPr>
        <w:t>;</w:t>
      </w:r>
      <w:r w:rsidR="002C07FA">
        <w:rPr>
          <w:rFonts w:asciiTheme="majorHAnsi" w:hAnsiTheme="majorHAnsi"/>
          <w:sz w:val="20"/>
          <w:szCs w:val="20"/>
        </w:rPr>
        <w:t xml:space="preserve"> and rais</w:t>
      </w:r>
      <w:r w:rsidR="00566B67">
        <w:rPr>
          <w:rFonts w:asciiTheme="majorHAnsi" w:hAnsiTheme="majorHAnsi"/>
          <w:sz w:val="20"/>
          <w:szCs w:val="20"/>
        </w:rPr>
        <w:t>ing</w:t>
      </w:r>
      <w:r w:rsidR="002C07FA">
        <w:rPr>
          <w:rFonts w:asciiTheme="majorHAnsi" w:hAnsiTheme="majorHAnsi"/>
          <w:sz w:val="20"/>
          <w:szCs w:val="20"/>
        </w:rPr>
        <w:t xml:space="preserve"> public awareness of threats to biodiversity. </w:t>
      </w:r>
    </w:p>
    <w:p w14:paraId="76D9163B" w14:textId="77777777" w:rsidR="00C514AC" w:rsidRDefault="00C514AC" w:rsidP="00B87774">
      <w:pPr>
        <w:widowControl w:val="0"/>
        <w:autoSpaceDE w:val="0"/>
        <w:autoSpaceDN w:val="0"/>
        <w:adjustRightInd w:val="0"/>
        <w:spacing w:after="0"/>
        <w:rPr>
          <w:rFonts w:asciiTheme="majorHAnsi" w:hAnsiTheme="majorHAnsi"/>
          <w:sz w:val="20"/>
          <w:szCs w:val="20"/>
        </w:rPr>
      </w:pPr>
    </w:p>
    <w:p w14:paraId="408FF862" w14:textId="5B8909C9" w:rsidR="002C07FA" w:rsidRDefault="00C514AC" w:rsidP="00B87774">
      <w:pPr>
        <w:widowControl w:val="0"/>
        <w:autoSpaceDE w:val="0"/>
        <w:autoSpaceDN w:val="0"/>
        <w:adjustRightInd w:val="0"/>
        <w:spacing w:after="0"/>
        <w:rPr>
          <w:rFonts w:asciiTheme="majorHAnsi" w:hAnsiTheme="majorHAnsi"/>
          <w:sz w:val="20"/>
          <w:szCs w:val="20"/>
        </w:rPr>
      </w:pPr>
      <w:r w:rsidRPr="001C203A">
        <w:rPr>
          <w:rFonts w:asciiTheme="majorHAnsi" w:hAnsiTheme="majorHAnsi"/>
          <w:sz w:val="20"/>
          <w:szCs w:val="20"/>
        </w:rPr>
        <w:t xml:space="preserve">The direct threats impacting on the project target, </w:t>
      </w:r>
      <w:r w:rsidR="00FC4707">
        <w:rPr>
          <w:rFonts w:asciiTheme="majorHAnsi" w:hAnsiTheme="majorHAnsi"/>
          <w:sz w:val="20"/>
          <w:szCs w:val="20"/>
        </w:rPr>
        <w:t xml:space="preserve">safeguarding </w:t>
      </w:r>
      <w:r>
        <w:rPr>
          <w:rFonts w:asciiTheme="majorHAnsi" w:hAnsiTheme="majorHAnsi"/>
          <w:sz w:val="20"/>
          <w:szCs w:val="20"/>
        </w:rPr>
        <w:t>Palau’s biodiversity at land and seascape scales</w:t>
      </w:r>
      <w:r w:rsidRPr="001C203A">
        <w:rPr>
          <w:rFonts w:asciiTheme="majorHAnsi" w:hAnsiTheme="majorHAnsi"/>
          <w:sz w:val="20"/>
          <w:szCs w:val="20"/>
        </w:rPr>
        <w:t xml:space="preserve">, and their relationships with a range of indirect factors (root causes) are illustrated in </w:t>
      </w:r>
      <w:r w:rsidRPr="001C203A">
        <w:rPr>
          <w:rFonts w:asciiTheme="majorHAnsi" w:hAnsiTheme="majorHAnsi"/>
          <w:b/>
          <w:sz w:val="20"/>
          <w:szCs w:val="20"/>
        </w:rPr>
        <w:t>Figure 1</w:t>
      </w:r>
      <w:r w:rsidRPr="001C203A">
        <w:rPr>
          <w:rFonts w:asciiTheme="majorHAnsi" w:hAnsiTheme="majorHAnsi"/>
          <w:sz w:val="20"/>
          <w:szCs w:val="20"/>
        </w:rPr>
        <w:t>, with the entry points for project intervention strategies indicated</w:t>
      </w:r>
      <w:r>
        <w:rPr>
          <w:rFonts w:asciiTheme="majorHAnsi" w:hAnsiTheme="majorHAnsi"/>
          <w:sz w:val="20"/>
          <w:szCs w:val="20"/>
        </w:rPr>
        <w:t xml:space="preserve">. </w:t>
      </w:r>
      <w:r w:rsidR="00AE7F38" w:rsidRPr="00555153">
        <w:rPr>
          <w:rFonts w:asciiTheme="majorHAnsi" w:hAnsiTheme="majorHAnsi"/>
          <w:sz w:val="20"/>
          <w:szCs w:val="20"/>
        </w:rPr>
        <w:t xml:space="preserve">The relationship between the barriers and the project intervention logic is further illustrated in the </w:t>
      </w:r>
      <w:r w:rsidR="004F2F1D" w:rsidRPr="00555153">
        <w:rPr>
          <w:rFonts w:asciiTheme="majorHAnsi" w:hAnsiTheme="majorHAnsi"/>
          <w:sz w:val="20"/>
          <w:szCs w:val="20"/>
        </w:rPr>
        <w:t>T</w:t>
      </w:r>
      <w:r w:rsidR="00AE7F38" w:rsidRPr="00555153">
        <w:rPr>
          <w:rFonts w:asciiTheme="majorHAnsi" w:hAnsiTheme="majorHAnsi"/>
          <w:sz w:val="20"/>
          <w:szCs w:val="20"/>
        </w:rPr>
        <w:t xml:space="preserve">heory of </w:t>
      </w:r>
      <w:r w:rsidR="004F2F1D" w:rsidRPr="00555153">
        <w:rPr>
          <w:rFonts w:asciiTheme="majorHAnsi" w:hAnsiTheme="majorHAnsi"/>
          <w:sz w:val="20"/>
          <w:szCs w:val="20"/>
        </w:rPr>
        <w:t>C</w:t>
      </w:r>
      <w:r w:rsidR="00AE7F38" w:rsidRPr="00555153">
        <w:rPr>
          <w:rFonts w:asciiTheme="majorHAnsi" w:hAnsiTheme="majorHAnsi"/>
          <w:sz w:val="20"/>
          <w:szCs w:val="20"/>
        </w:rPr>
        <w:t xml:space="preserve">hange diagram </w:t>
      </w:r>
      <w:r w:rsidR="00AE7F38" w:rsidRPr="00555153">
        <w:rPr>
          <w:rFonts w:asciiTheme="majorHAnsi" w:hAnsiTheme="majorHAnsi"/>
          <w:b/>
          <w:sz w:val="20"/>
          <w:szCs w:val="20"/>
        </w:rPr>
        <w:t xml:space="preserve">in Figure </w:t>
      </w:r>
      <w:r w:rsidR="00420CFE" w:rsidRPr="00555153">
        <w:rPr>
          <w:rFonts w:asciiTheme="majorHAnsi" w:hAnsiTheme="majorHAnsi"/>
          <w:b/>
          <w:sz w:val="20"/>
          <w:szCs w:val="20"/>
        </w:rPr>
        <w:t>3</w:t>
      </w:r>
      <w:r w:rsidR="00420CFE" w:rsidRPr="00555153">
        <w:rPr>
          <w:rFonts w:asciiTheme="majorHAnsi" w:hAnsiTheme="majorHAnsi"/>
          <w:sz w:val="20"/>
          <w:szCs w:val="20"/>
        </w:rPr>
        <w:t>.</w:t>
      </w:r>
    </w:p>
    <w:p w14:paraId="7E56C24E" w14:textId="77777777" w:rsidR="00AE7F38" w:rsidRDefault="00AE7F38" w:rsidP="00B87774">
      <w:pPr>
        <w:widowControl w:val="0"/>
        <w:autoSpaceDE w:val="0"/>
        <w:autoSpaceDN w:val="0"/>
        <w:adjustRightInd w:val="0"/>
        <w:spacing w:after="0"/>
        <w:rPr>
          <w:rFonts w:asciiTheme="majorHAnsi" w:hAnsiTheme="majorHAnsi"/>
          <w:sz w:val="20"/>
          <w:szCs w:val="20"/>
        </w:rPr>
      </w:pPr>
    </w:p>
    <w:p w14:paraId="3E2EAF0E" w14:textId="777ADEEA" w:rsidR="002E6BBE" w:rsidRPr="001C203A" w:rsidRDefault="002E6BBE" w:rsidP="001C203A">
      <w:pPr>
        <w:rPr>
          <w:rFonts w:asciiTheme="majorHAnsi" w:hAnsiTheme="majorHAnsi" w:cs="Segoe UI"/>
          <w:b/>
          <w:color w:val="000000"/>
          <w:sz w:val="20"/>
          <w:szCs w:val="20"/>
        </w:rPr>
      </w:pPr>
      <w:r w:rsidRPr="001C203A">
        <w:rPr>
          <w:rFonts w:asciiTheme="majorHAnsi" w:hAnsiTheme="majorHAnsi" w:cs="Segoe UI"/>
          <w:b/>
          <w:color w:val="000000"/>
          <w:sz w:val="20"/>
          <w:szCs w:val="20"/>
        </w:rPr>
        <w:t xml:space="preserve">Alignment with national </w:t>
      </w:r>
      <w:r w:rsidR="00C4679A">
        <w:rPr>
          <w:rFonts w:asciiTheme="majorHAnsi" w:hAnsiTheme="majorHAnsi" w:cs="Segoe UI"/>
          <w:b/>
          <w:color w:val="000000"/>
          <w:sz w:val="20"/>
          <w:szCs w:val="20"/>
        </w:rPr>
        <w:t xml:space="preserve">and global </w:t>
      </w:r>
      <w:r w:rsidRPr="001C203A">
        <w:rPr>
          <w:rFonts w:asciiTheme="majorHAnsi" w:hAnsiTheme="majorHAnsi" w:cs="Segoe UI"/>
          <w:b/>
          <w:color w:val="000000"/>
          <w:sz w:val="20"/>
          <w:szCs w:val="20"/>
        </w:rPr>
        <w:t>priorities</w:t>
      </w:r>
    </w:p>
    <w:p w14:paraId="411CB1A8" w14:textId="1B6F790B" w:rsidR="00AE7F38" w:rsidRDefault="0051544A" w:rsidP="00B87774">
      <w:pPr>
        <w:widowControl w:val="0"/>
        <w:autoSpaceDE w:val="0"/>
        <w:autoSpaceDN w:val="0"/>
        <w:adjustRightInd w:val="0"/>
        <w:spacing w:after="0"/>
        <w:rPr>
          <w:rFonts w:asciiTheme="majorHAnsi" w:hAnsiTheme="majorHAnsi"/>
          <w:sz w:val="20"/>
          <w:szCs w:val="20"/>
        </w:rPr>
      </w:pPr>
      <w:r w:rsidRPr="00A04578">
        <w:rPr>
          <w:rFonts w:asciiTheme="majorHAnsi" w:hAnsiTheme="majorHAnsi"/>
          <w:sz w:val="20"/>
          <w:szCs w:val="20"/>
        </w:rPr>
        <w:t>The</w:t>
      </w:r>
      <w:r w:rsidR="00B87774" w:rsidRPr="005722A6">
        <w:rPr>
          <w:rFonts w:asciiTheme="majorHAnsi" w:hAnsiTheme="majorHAnsi"/>
          <w:sz w:val="20"/>
          <w:szCs w:val="20"/>
        </w:rPr>
        <w:t xml:space="preserve"> project </w:t>
      </w:r>
      <w:r w:rsidR="00AE7F38">
        <w:rPr>
          <w:rFonts w:asciiTheme="majorHAnsi" w:hAnsiTheme="majorHAnsi"/>
          <w:sz w:val="20"/>
          <w:szCs w:val="20"/>
        </w:rPr>
        <w:t>is aligned with the strategic priorities of the National Biodiversity Strategy and Action Plan (NBSAP) of 2015-2025, including the following that will be directly supported:</w:t>
      </w:r>
    </w:p>
    <w:p w14:paraId="3B5FC213" w14:textId="7FE24907" w:rsidR="00AE7F38" w:rsidRPr="005722A6" w:rsidRDefault="00B87774" w:rsidP="00EA4043">
      <w:pPr>
        <w:pStyle w:val="ListParagraph"/>
        <w:widowControl w:val="0"/>
        <w:numPr>
          <w:ilvl w:val="0"/>
          <w:numId w:val="105"/>
        </w:numPr>
        <w:autoSpaceDE w:val="0"/>
        <w:autoSpaceDN w:val="0"/>
        <w:adjustRightInd w:val="0"/>
        <w:jc w:val="both"/>
        <w:rPr>
          <w:rFonts w:asciiTheme="majorHAnsi" w:hAnsiTheme="majorHAnsi"/>
          <w:sz w:val="20"/>
          <w:szCs w:val="20"/>
        </w:rPr>
      </w:pPr>
      <w:r w:rsidRPr="005722A6">
        <w:rPr>
          <w:rFonts w:asciiTheme="majorHAnsi" w:hAnsiTheme="majorHAnsi"/>
          <w:sz w:val="20"/>
          <w:szCs w:val="20"/>
        </w:rPr>
        <w:t xml:space="preserve">Goal 3: Protect Palau’s biological diversity from negative impacts of invasive species and Living Modified Organisms (LMOs) through prevention, mitigation, and management; </w:t>
      </w:r>
    </w:p>
    <w:p w14:paraId="0FF4CCD7" w14:textId="413A7E99" w:rsidR="00144CD2" w:rsidRPr="00144CD2" w:rsidRDefault="00144CD2" w:rsidP="00144CD2">
      <w:pPr>
        <w:widowControl w:val="0"/>
        <w:autoSpaceDE w:val="0"/>
        <w:autoSpaceDN w:val="0"/>
        <w:adjustRightInd w:val="0"/>
        <w:ind w:left="360"/>
        <w:rPr>
          <w:rFonts w:asciiTheme="majorHAnsi" w:hAnsiTheme="majorHAnsi"/>
          <w:sz w:val="20"/>
          <w:szCs w:val="20"/>
        </w:rPr>
        <w:sectPr w:rsidR="00144CD2" w:rsidRPr="00144CD2" w:rsidSect="00D210D8">
          <w:headerReference w:type="default" r:id="rId15"/>
          <w:footerReference w:type="default" r:id="rId16"/>
          <w:footerReference w:type="first" r:id="rId17"/>
          <w:pgSz w:w="12240" w:h="15840" w:code="1"/>
          <w:pgMar w:top="1440" w:right="1440" w:bottom="1440" w:left="1440" w:header="720" w:footer="432" w:gutter="0"/>
          <w:cols w:space="708"/>
          <w:titlePg/>
          <w:docGrid w:linePitch="360"/>
        </w:sectPr>
      </w:pPr>
    </w:p>
    <w:p w14:paraId="31FAEA5D" w14:textId="3349473A" w:rsidR="00144CD2" w:rsidRDefault="00144CD2" w:rsidP="00144CD2">
      <w:pPr>
        <w:pStyle w:val="ListParagraph"/>
        <w:widowControl w:val="0"/>
        <w:tabs>
          <w:tab w:val="left" w:pos="851"/>
        </w:tabs>
        <w:autoSpaceDE w:val="0"/>
        <w:autoSpaceDN w:val="0"/>
        <w:adjustRightInd w:val="0"/>
        <w:ind w:left="851" w:hanging="851"/>
        <w:rPr>
          <w:rFonts w:asciiTheme="majorHAnsi" w:hAnsiTheme="majorHAnsi"/>
          <w:color w:val="000000"/>
          <w:sz w:val="20"/>
          <w:szCs w:val="20"/>
        </w:rPr>
      </w:pPr>
      <w:r w:rsidRPr="00FB6518">
        <w:rPr>
          <w:rFonts w:asciiTheme="majorHAnsi" w:hAnsiTheme="majorHAnsi"/>
          <w:b/>
          <w:color w:val="000000"/>
          <w:sz w:val="20"/>
          <w:szCs w:val="20"/>
        </w:rPr>
        <w:lastRenderedPageBreak/>
        <w:t>Figure 1:</w:t>
      </w:r>
      <w:r>
        <w:rPr>
          <w:rFonts w:asciiTheme="majorHAnsi" w:hAnsiTheme="majorHAnsi"/>
          <w:color w:val="000000"/>
          <w:sz w:val="20"/>
          <w:szCs w:val="20"/>
        </w:rPr>
        <w:tab/>
        <w:t>Threats, root causes and barriers to mainstreaming biodiversity conservation across land and seascape planning and management in Palau</w:t>
      </w:r>
    </w:p>
    <w:p w14:paraId="7B158304" w14:textId="77777777" w:rsidR="00144CD2" w:rsidRDefault="00144CD2" w:rsidP="00144CD2">
      <w:pPr>
        <w:pStyle w:val="ListParagraph"/>
        <w:widowControl w:val="0"/>
        <w:autoSpaceDE w:val="0"/>
        <w:autoSpaceDN w:val="0"/>
        <w:adjustRightInd w:val="0"/>
        <w:rPr>
          <w:rFonts w:asciiTheme="majorHAnsi" w:hAnsiTheme="majorHAnsi"/>
          <w:color w:val="000000"/>
          <w:sz w:val="20"/>
          <w:szCs w:val="20"/>
        </w:rPr>
      </w:pPr>
    </w:p>
    <w:p w14:paraId="6C8BF8AA" w14:textId="071B288E" w:rsidR="00144CD2" w:rsidRPr="003600C3" w:rsidRDefault="003600C3" w:rsidP="003600C3">
      <w:pPr>
        <w:widowControl w:val="0"/>
        <w:autoSpaceDE w:val="0"/>
        <w:autoSpaceDN w:val="0"/>
        <w:adjustRightInd w:val="0"/>
        <w:rPr>
          <w:rFonts w:asciiTheme="majorHAnsi" w:hAnsiTheme="majorHAnsi"/>
          <w:color w:val="000000"/>
          <w:sz w:val="20"/>
          <w:szCs w:val="20"/>
        </w:rPr>
        <w:sectPr w:rsidR="00144CD2" w:rsidRPr="003600C3" w:rsidSect="00D3049A">
          <w:pgSz w:w="20560" w:h="15880" w:orient="landscape" w:code="1"/>
          <w:pgMar w:top="1440" w:right="1440" w:bottom="1440" w:left="1440" w:header="720" w:footer="432" w:gutter="0"/>
          <w:cols w:space="708"/>
          <w:titlePg/>
          <w:docGrid w:linePitch="360"/>
        </w:sectPr>
      </w:pPr>
      <w:r>
        <w:rPr>
          <w:rFonts w:asciiTheme="majorHAnsi" w:hAnsiTheme="majorHAnsi"/>
          <w:noProof/>
          <w:color w:val="000000"/>
          <w:sz w:val="20"/>
          <w:szCs w:val="20"/>
        </w:rPr>
        <w:drawing>
          <wp:inline distT="0" distB="0" distL="0" distR="0" wp14:anchorId="35D88EFB" wp14:editId="6333B317">
            <wp:extent cx="11475720" cy="5444769"/>
            <wp:effectExtent l="0" t="0" r="0" b="3810"/>
            <wp:docPr id="3" name="Picture 3"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lau CONcept Model.jpg"/>
                    <pic:cNvPicPr/>
                  </pic:nvPicPr>
                  <pic:blipFill>
                    <a:blip r:embed="rId18" cstate="print">
                      <a:extLst>
                        <a:ext uri="{28A0092B-C50C-407E-A947-70E740481C1C}">
                          <a14:useLocalDpi xmlns:a14="http://schemas.microsoft.com/office/drawing/2010/main"/>
                        </a:ext>
                      </a:extLst>
                    </a:blip>
                    <a:stretch>
                      <a:fillRect/>
                    </a:stretch>
                  </pic:blipFill>
                  <pic:spPr>
                    <a:xfrm>
                      <a:off x="0" y="0"/>
                      <a:ext cx="11481223" cy="5447380"/>
                    </a:xfrm>
                    <a:prstGeom prst="rect">
                      <a:avLst/>
                    </a:prstGeom>
                  </pic:spPr>
                </pic:pic>
              </a:graphicData>
            </a:graphic>
          </wp:inline>
        </w:drawing>
      </w:r>
    </w:p>
    <w:p w14:paraId="2AD335D2" w14:textId="77777777" w:rsidR="003600C3" w:rsidRDefault="00C4679A" w:rsidP="003600C3">
      <w:pPr>
        <w:pStyle w:val="ListParagraph"/>
        <w:widowControl w:val="0"/>
        <w:numPr>
          <w:ilvl w:val="0"/>
          <w:numId w:val="105"/>
        </w:numPr>
        <w:autoSpaceDE w:val="0"/>
        <w:autoSpaceDN w:val="0"/>
        <w:adjustRightInd w:val="0"/>
        <w:rPr>
          <w:rFonts w:asciiTheme="majorHAnsi" w:hAnsiTheme="majorHAnsi"/>
          <w:sz w:val="20"/>
          <w:szCs w:val="20"/>
        </w:rPr>
      </w:pPr>
      <w:r w:rsidRPr="003600C3">
        <w:rPr>
          <w:rFonts w:asciiTheme="majorHAnsi" w:hAnsiTheme="majorHAnsi"/>
          <w:sz w:val="20"/>
          <w:szCs w:val="20"/>
        </w:rPr>
        <w:lastRenderedPageBreak/>
        <w:t xml:space="preserve">Goal 4: Integrate biodiversity conservation and ecosystem services into Palau's sustainable development goals; </w:t>
      </w:r>
    </w:p>
    <w:p w14:paraId="3FBCA8B9" w14:textId="789C9A2A" w:rsidR="00C4679A" w:rsidRPr="003600C3" w:rsidRDefault="00C4679A" w:rsidP="003600C3">
      <w:pPr>
        <w:pStyle w:val="ListParagraph"/>
        <w:widowControl w:val="0"/>
        <w:numPr>
          <w:ilvl w:val="0"/>
          <w:numId w:val="105"/>
        </w:numPr>
        <w:autoSpaceDE w:val="0"/>
        <w:autoSpaceDN w:val="0"/>
        <w:adjustRightInd w:val="0"/>
        <w:rPr>
          <w:rFonts w:asciiTheme="majorHAnsi" w:hAnsiTheme="majorHAnsi"/>
          <w:sz w:val="20"/>
          <w:szCs w:val="20"/>
        </w:rPr>
      </w:pPr>
      <w:r w:rsidRPr="003600C3">
        <w:rPr>
          <w:rFonts w:asciiTheme="majorHAnsi" w:hAnsiTheme="majorHAnsi"/>
          <w:sz w:val="20"/>
          <w:szCs w:val="20"/>
        </w:rPr>
        <w:t xml:space="preserve">Goal 5: Establishing an enabling framework to support sustainable biodiversity use and Biodiversity based livelihoods; and </w:t>
      </w:r>
    </w:p>
    <w:p w14:paraId="43A187CA" w14:textId="77777777" w:rsidR="00C4679A" w:rsidRDefault="00C4679A" w:rsidP="00C71EB0">
      <w:pPr>
        <w:pStyle w:val="ListParagraph"/>
        <w:widowControl w:val="0"/>
        <w:numPr>
          <w:ilvl w:val="0"/>
          <w:numId w:val="105"/>
        </w:numPr>
        <w:autoSpaceDE w:val="0"/>
        <w:autoSpaceDN w:val="0"/>
        <w:adjustRightInd w:val="0"/>
        <w:jc w:val="both"/>
        <w:rPr>
          <w:rFonts w:asciiTheme="majorHAnsi" w:hAnsiTheme="majorHAnsi"/>
          <w:sz w:val="20"/>
          <w:szCs w:val="20"/>
        </w:rPr>
      </w:pPr>
      <w:r w:rsidRPr="005722A6">
        <w:rPr>
          <w:rFonts w:asciiTheme="majorHAnsi" w:hAnsiTheme="majorHAnsi"/>
          <w:sz w:val="20"/>
          <w:szCs w:val="20"/>
        </w:rPr>
        <w:t>Goal 7: Biodiversity conservation and sustainable resource use is integrated into all aspects of Government and community planning, development and operations.</w:t>
      </w:r>
    </w:p>
    <w:p w14:paraId="75AC7B55" w14:textId="77777777" w:rsidR="00144CD2" w:rsidRDefault="00144CD2" w:rsidP="00C4679A">
      <w:pPr>
        <w:pStyle w:val="ListParagraph"/>
        <w:widowControl w:val="0"/>
        <w:autoSpaceDE w:val="0"/>
        <w:autoSpaceDN w:val="0"/>
        <w:adjustRightInd w:val="0"/>
        <w:ind w:left="0"/>
        <w:rPr>
          <w:rFonts w:asciiTheme="majorHAnsi" w:hAnsiTheme="majorHAnsi"/>
          <w:color w:val="000000"/>
          <w:sz w:val="20"/>
          <w:szCs w:val="20"/>
        </w:rPr>
      </w:pPr>
    </w:p>
    <w:p w14:paraId="3DBB6C1A" w14:textId="4C5E2822" w:rsidR="00AE7F38" w:rsidRDefault="00AE7F38" w:rsidP="00B87774">
      <w:pPr>
        <w:widowControl w:val="0"/>
        <w:autoSpaceDE w:val="0"/>
        <w:autoSpaceDN w:val="0"/>
        <w:adjustRightInd w:val="0"/>
        <w:spacing w:after="0"/>
        <w:rPr>
          <w:rFonts w:asciiTheme="majorHAnsi" w:hAnsiTheme="majorHAnsi"/>
          <w:sz w:val="20"/>
          <w:szCs w:val="20"/>
        </w:rPr>
      </w:pPr>
      <w:r>
        <w:rPr>
          <w:rFonts w:asciiTheme="majorHAnsi" w:hAnsiTheme="majorHAnsi"/>
          <w:sz w:val="20"/>
          <w:szCs w:val="20"/>
        </w:rPr>
        <w:t>The GEF project is also aligned with the goals of the National Invasive Species Strategy (NISS) of 2014, including:</w:t>
      </w:r>
    </w:p>
    <w:p w14:paraId="5BA49F72" w14:textId="23BCFA78" w:rsidR="00AE7F38" w:rsidRPr="005722A6" w:rsidRDefault="00AE7F38" w:rsidP="00C71EB0">
      <w:pPr>
        <w:pStyle w:val="ListParagraph"/>
        <w:widowControl w:val="0"/>
        <w:numPr>
          <w:ilvl w:val="0"/>
          <w:numId w:val="106"/>
        </w:numPr>
        <w:autoSpaceDE w:val="0"/>
        <w:autoSpaceDN w:val="0"/>
        <w:adjustRightInd w:val="0"/>
        <w:rPr>
          <w:rFonts w:asciiTheme="majorHAnsi" w:hAnsiTheme="majorHAnsi" w:cs="Times"/>
          <w:sz w:val="20"/>
          <w:szCs w:val="20"/>
        </w:rPr>
      </w:pPr>
      <w:r w:rsidRPr="00AE7F38">
        <w:rPr>
          <w:rFonts w:asciiTheme="majorHAnsi" w:hAnsiTheme="majorHAnsi" w:cs="Times"/>
          <w:sz w:val="20"/>
          <w:szCs w:val="20"/>
        </w:rPr>
        <w:t>Goal</w:t>
      </w:r>
      <w:r w:rsidRPr="005722A6">
        <w:rPr>
          <w:rFonts w:asciiTheme="majorHAnsi" w:hAnsiTheme="majorHAnsi" w:cs="Times"/>
          <w:sz w:val="20"/>
          <w:szCs w:val="20"/>
        </w:rPr>
        <w:t xml:space="preserve"> 1: To provide the framework and the capacity for ongoing management of invasive sp</w:t>
      </w:r>
      <w:r w:rsidRPr="00AE7F38">
        <w:rPr>
          <w:rFonts w:asciiTheme="majorHAnsi" w:hAnsiTheme="majorHAnsi" w:cs="Times"/>
          <w:sz w:val="20"/>
          <w:szCs w:val="20"/>
        </w:rPr>
        <w:t>ecies in the Republic of Palau;</w:t>
      </w:r>
    </w:p>
    <w:p w14:paraId="04F77A95" w14:textId="5718E026" w:rsidR="00AE7F38" w:rsidRPr="005722A6" w:rsidRDefault="00AE7F38" w:rsidP="00C71EB0">
      <w:pPr>
        <w:pStyle w:val="ListParagraph"/>
        <w:widowControl w:val="0"/>
        <w:numPr>
          <w:ilvl w:val="0"/>
          <w:numId w:val="106"/>
        </w:numPr>
        <w:tabs>
          <w:tab w:val="left" w:pos="220"/>
          <w:tab w:val="left" w:pos="720"/>
        </w:tabs>
        <w:autoSpaceDE w:val="0"/>
        <w:autoSpaceDN w:val="0"/>
        <w:adjustRightInd w:val="0"/>
        <w:rPr>
          <w:rFonts w:asciiTheme="majorHAnsi" w:hAnsiTheme="majorHAnsi" w:cs="Times"/>
          <w:sz w:val="20"/>
          <w:szCs w:val="20"/>
        </w:rPr>
      </w:pPr>
      <w:r>
        <w:rPr>
          <w:rFonts w:asciiTheme="majorHAnsi" w:hAnsiTheme="majorHAnsi" w:cs="Times"/>
          <w:sz w:val="20"/>
          <w:szCs w:val="20"/>
        </w:rPr>
        <w:t>Goal</w:t>
      </w:r>
      <w:r w:rsidRPr="005722A6">
        <w:rPr>
          <w:rFonts w:asciiTheme="majorHAnsi" w:hAnsiTheme="majorHAnsi" w:cs="Times"/>
          <w:sz w:val="20"/>
          <w:szCs w:val="20"/>
        </w:rPr>
        <w:t xml:space="preserve"> 2: To prevent the development of new problems with invasive sp</w:t>
      </w:r>
      <w:r w:rsidRPr="00AE7F38">
        <w:rPr>
          <w:rFonts w:asciiTheme="majorHAnsi" w:hAnsiTheme="majorHAnsi" w:cs="Times"/>
          <w:sz w:val="20"/>
          <w:szCs w:val="20"/>
        </w:rPr>
        <w:t>ecies in the Republic of Palau;</w:t>
      </w:r>
    </w:p>
    <w:p w14:paraId="4BA45CD7" w14:textId="4FE5E6D5" w:rsidR="00AE7F38" w:rsidRPr="005722A6" w:rsidRDefault="00AE7F38" w:rsidP="00C71EB0">
      <w:pPr>
        <w:pStyle w:val="ListParagraph"/>
        <w:widowControl w:val="0"/>
        <w:numPr>
          <w:ilvl w:val="0"/>
          <w:numId w:val="106"/>
        </w:numPr>
        <w:autoSpaceDE w:val="0"/>
        <w:autoSpaceDN w:val="0"/>
        <w:adjustRightInd w:val="0"/>
        <w:rPr>
          <w:rFonts w:asciiTheme="majorHAnsi" w:hAnsiTheme="majorHAnsi" w:cs="Times"/>
          <w:sz w:val="20"/>
          <w:szCs w:val="20"/>
        </w:rPr>
      </w:pPr>
      <w:r w:rsidRPr="005722A6">
        <w:rPr>
          <w:rFonts w:asciiTheme="majorHAnsi" w:hAnsiTheme="majorHAnsi" w:cs="Times"/>
          <w:sz w:val="20"/>
          <w:szCs w:val="20"/>
        </w:rPr>
        <w:t>G</w:t>
      </w:r>
      <w:r>
        <w:rPr>
          <w:rFonts w:asciiTheme="majorHAnsi" w:hAnsiTheme="majorHAnsi" w:cs="Times"/>
          <w:sz w:val="20"/>
          <w:szCs w:val="20"/>
        </w:rPr>
        <w:t>oal</w:t>
      </w:r>
      <w:r w:rsidRPr="005722A6">
        <w:rPr>
          <w:rFonts w:asciiTheme="majorHAnsi" w:hAnsiTheme="majorHAnsi" w:cs="Times"/>
          <w:sz w:val="20"/>
          <w:szCs w:val="20"/>
        </w:rPr>
        <w:t xml:space="preserve"> 3: To reduce the impact of existing invasive s</w:t>
      </w:r>
      <w:r w:rsidRPr="00AE7F38">
        <w:rPr>
          <w:rFonts w:asciiTheme="majorHAnsi" w:hAnsiTheme="majorHAnsi" w:cs="Times"/>
          <w:sz w:val="20"/>
          <w:szCs w:val="20"/>
        </w:rPr>
        <w:t xml:space="preserve">pecies in the Republic of Palau; and </w:t>
      </w:r>
      <w:r w:rsidRPr="005722A6">
        <w:rPr>
          <w:rFonts w:asciiTheme="majorHAnsi" w:hAnsiTheme="majorHAnsi" w:cs="Times"/>
          <w:sz w:val="20"/>
          <w:szCs w:val="20"/>
        </w:rPr>
        <w:t xml:space="preserve"> </w:t>
      </w:r>
    </w:p>
    <w:p w14:paraId="1E43A070" w14:textId="2FBB3EF5" w:rsidR="00AE7F38" w:rsidRPr="005722A6" w:rsidRDefault="00AE7F38" w:rsidP="00C71EB0">
      <w:pPr>
        <w:pStyle w:val="ListParagraph"/>
        <w:widowControl w:val="0"/>
        <w:numPr>
          <w:ilvl w:val="0"/>
          <w:numId w:val="106"/>
        </w:numPr>
        <w:autoSpaceDE w:val="0"/>
        <w:autoSpaceDN w:val="0"/>
        <w:adjustRightInd w:val="0"/>
        <w:rPr>
          <w:rFonts w:asciiTheme="majorHAnsi" w:hAnsiTheme="majorHAnsi" w:cs="Times"/>
          <w:sz w:val="20"/>
          <w:szCs w:val="20"/>
        </w:rPr>
      </w:pPr>
      <w:r w:rsidRPr="005722A6">
        <w:rPr>
          <w:rFonts w:asciiTheme="majorHAnsi" w:hAnsiTheme="majorHAnsi" w:cs="Times"/>
          <w:sz w:val="20"/>
          <w:szCs w:val="20"/>
        </w:rPr>
        <w:t>G</w:t>
      </w:r>
      <w:r>
        <w:rPr>
          <w:rFonts w:asciiTheme="majorHAnsi" w:hAnsiTheme="majorHAnsi" w:cs="Times"/>
          <w:sz w:val="20"/>
          <w:szCs w:val="20"/>
        </w:rPr>
        <w:t>oal</w:t>
      </w:r>
      <w:r w:rsidRPr="005722A6">
        <w:rPr>
          <w:rFonts w:asciiTheme="majorHAnsi" w:hAnsiTheme="majorHAnsi" w:cs="Times"/>
          <w:sz w:val="20"/>
          <w:szCs w:val="20"/>
        </w:rPr>
        <w:t xml:space="preserve"> 4: To strengthen cooperation with regional and international efforts and initiatives for invasive species prevention and management. </w:t>
      </w:r>
    </w:p>
    <w:p w14:paraId="53437771" w14:textId="77777777" w:rsidR="00AE7F38" w:rsidRDefault="00AE7F38" w:rsidP="00B87774">
      <w:pPr>
        <w:widowControl w:val="0"/>
        <w:autoSpaceDE w:val="0"/>
        <w:autoSpaceDN w:val="0"/>
        <w:adjustRightInd w:val="0"/>
        <w:spacing w:after="0"/>
        <w:rPr>
          <w:rFonts w:asciiTheme="majorHAnsi" w:hAnsiTheme="majorHAnsi"/>
          <w:sz w:val="20"/>
          <w:szCs w:val="20"/>
        </w:rPr>
      </w:pPr>
    </w:p>
    <w:p w14:paraId="5A2EF5F7" w14:textId="7E22722D" w:rsidR="00AE7F38" w:rsidRDefault="00264332" w:rsidP="00B87774">
      <w:pPr>
        <w:widowControl w:val="0"/>
        <w:autoSpaceDE w:val="0"/>
        <w:autoSpaceDN w:val="0"/>
        <w:adjustRightInd w:val="0"/>
        <w:spacing w:after="0"/>
        <w:rPr>
          <w:rFonts w:asciiTheme="majorHAnsi" w:hAnsiTheme="majorHAnsi"/>
          <w:sz w:val="20"/>
          <w:szCs w:val="20"/>
        </w:rPr>
      </w:pPr>
      <w:r>
        <w:rPr>
          <w:rFonts w:asciiTheme="majorHAnsi" w:hAnsiTheme="majorHAnsi"/>
          <w:sz w:val="20"/>
          <w:szCs w:val="20"/>
        </w:rPr>
        <w:t>The GEF investment will support the implementation of the Responsible Tourism Policy Framework o</w:t>
      </w:r>
      <w:r w:rsidR="004F2F1D">
        <w:rPr>
          <w:rFonts w:asciiTheme="majorHAnsi" w:hAnsiTheme="majorHAnsi"/>
          <w:sz w:val="20"/>
          <w:szCs w:val="20"/>
        </w:rPr>
        <w:t>f</w:t>
      </w:r>
      <w:r>
        <w:rPr>
          <w:rFonts w:asciiTheme="majorHAnsi" w:hAnsiTheme="majorHAnsi"/>
          <w:sz w:val="20"/>
          <w:szCs w:val="20"/>
        </w:rPr>
        <w:t xml:space="preserve"> 2017-2021 in many ways, in particular the following:</w:t>
      </w:r>
    </w:p>
    <w:p w14:paraId="2218D341" w14:textId="6276BD50" w:rsidR="00264332" w:rsidRPr="005722A6" w:rsidRDefault="00264332" w:rsidP="00C71EB0">
      <w:pPr>
        <w:pStyle w:val="ListParagraph"/>
        <w:widowControl w:val="0"/>
        <w:numPr>
          <w:ilvl w:val="0"/>
          <w:numId w:val="107"/>
        </w:numPr>
        <w:autoSpaceDE w:val="0"/>
        <w:autoSpaceDN w:val="0"/>
        <w:adjustRightInd w:val="0"/>
        <w:rPr>
          <w:rFonts w:asciiTheme="majorHAnsi" w:hAnsiTheme="majorHAnsi" w:cs="Times"/>
          <w:sz w:val="20"/>
          <w:szCs w:val="20"/>
        </w:rPr>
      </w:pPr>
      <w:r w:rsidRPr="005722A6">
        <w:rPr>
          <w:rFonts w:asciiTheme="majorHAnsi" w:hAnsiTheme="majorHAnsi"/>
          <w:sz w:val="20"/>
          <w:szCs w:val="20"/>
        </w:rPr>
        <w:t>Objective 1.1 National and state governments are united on the central priority of engaging responsible tourism policy toward the fulfil</w:t>
      </w:r>
      <w:r>
        <w:rPr>
          <w:rFonts w:asciiTheme="majorHAnsi" w:hAnsiTheme="majorHAnsi"/>
          <w:sz w:val="20"/>
          <w:szCs w:val="20"/>
        </w:rPr>
        <w:t>l</w:t>
      </w:r>
      <w:r w:rsidRPr="005722A6">
        <w:rPr>
          <w:rFonts w:asciiTheme="majorHAnsi" w:hAnsiTheme="majorHAnsi"/>
          <w:sz w:val="20"/>
          <w:szCs w:val="20"/>
        </w:rPr>
        <w:t>ment of Palau’</w:t>
      </w:r>
      <w:r w:rsidRPr="00264332">
        <w:rPr>
          <w:rFonts w:asciiTheme="majorHAnsi" w:hAnsiTheme="majorHAnsi"/>
          <w:sz w:val="20"/>
          <w:szCs w:val="20"/>
        </w:rPr>
        <w:t>s social, economic, environment;</w:t>
      </w:r>
      <w:r w:rsidRPr="005722A6">
        <w:rPr>
          <w:rFonts w:asciiTheme="majorHAnsi" w:hAnsiTheme="majorHAnsi"/>
          <w:sz w:val="20"/>
          <w:szCs w:val="20"/>
        </w:rPr>
        <w:t xml:space="preserve"> </w:t>
      </w:r>
    </w:p>
    <w:p w14:paraId="1A26EF83" w14:textId="00499D34" w:rsidR="00264332" w:rsidRPr="005722A6" w:rsidRDefault="00264332" w:rsidP="00C71EB0">
      <w:pPr>
        <w:pStyle w:val="ListParagraph"/>
        <w:widowControl w:val="0"/>
        <w:numPr>
          <w:ilvl w:val="0"/>
          <w:numId w:val="107"/>
        </w:numPr>
        <w:autoSpaceDE w:val="0"/>
        <w:autoSpaceDN w:val="0"/>
        <w:adjustRightInd w:val="0"/>
        <w:rPr>
          <w:rFonts w:asciiTheme="majorHAnsi" w:hAnsiTheme="majorHAnsi"/>
          <w:sz w:val="20"/>
          <w:szCs w:val="20"/>
        </w:rPr>
      </w:pPr>
      <w:r w:rsidRPr="005722A6">
        <w:rPr>
          <w:rFonts w:asciiTheme="majorHAnsi" w:hAnsiTheme="majorHAnsi"/>
          <w:sz w:val="20"/>
          <w:szCs w:val="20"/>
        </w:rPr>
        <w:t>Objective 1.1 National and state governments are united on the central priority of engaging responsible tourism policy toward the fulfil</w:t>
      </w:r>
      <w:r>
        <w:rPr>
          <w:rFonts w:asciiTheme="majorHAnsi" w:hAnsiTheme="majorHAnsi"/>
          <w:sz w:val="20"/>
          <w:szCs w:val="20"/>
        </w:rPr>
        <w:t>l</w:t>
      </w:r>
      <w:r w:rsidRPr="005722A6">
        <w:rPr>
          <w:rFonts w:asciiTheme="majorHAnsi" w:hAnsiTheme="majorHAnsi"/>
          <w:sz w:val="20"/>
          <w:szCs w:val="20"/>
        </w:rPr>
        <w:t xml:space="preserve">ment of Palau’s social, economic, environment, </w:t>
      </w:r>
      <w:r w:rsidRPr="00264332">
        <w:rPr>
          <w:rFonts w:asciiTheme="majorHAnsi" w:hAnsiTheme="majorHAnsi"/>
          <w:sz w:val="20"/>
          <w:szCs w:val="20"/>
        </w:rPr>
        <w:t>and cultural goals;</w:t>
      </w:r>
      <w:r w:rsidRPr="005722A6">
        <w:rPr>
          <w:rFonts w:asciiTheme="majorHAnsi" w:hAnsiTheme="majorHAnsi"/>
          <w:sz w:val="20"/>
          <w:szCs w:val="20"/>
        </w:rPr>
        <w:t xml:space="preserve"> </w:t>
      </w:r>
    </w:p>
    <w:p w14:paraId="40E53DBB" w14:textId="17F9BA8F" w:rsidR="00264332" w:rsidRPr="005722A6" w:rsidRDefault="00264332" w:rsidP="00C71EB0">
      <w:pPr>
        <w:pStyle w:val="ListParagraph"/>
        <w:widowControl w:val="0"/>
        <w:numPr>
          <w:ilvl w:val="0"/>
          <w:numId w:val="107"/>
        </w:numPr>
        <w:autoSpaceDE w:val="0"/>
        <w:autoSpaceDN w:val="0"/>
        <w:adjustRightInd w:val="0"/>
        <w:rPr>
          <w:rFonts w:asciiTheme="majorHAnsi" w:hAnsiTheme="majorHAnsi"/>
          <w:sz w:val="20"/>
          <w:szCs w:val="20"/>
        </w:rPr>
      </w:pPr>
      <w:r w:rsidRPr="005722A6">
        <w:rPr>
          <w:rFonts w:asciiTheme="majorHAnsi" w:hAnsiTheme="majorHAnsi"/>
          <w:sz w:val="20"/>
          <w:szCs w:val="20"/>
        </w:rPr>
        <w:t xml:space="preserve">Objective 1.4 A strategy for tourism asset management is developed and is available for integration into </w:t>
      </w:r>
      <w:r w:rsidRPr="00264332">
        <w:rPr>
          <w:rFonts w:asciiTheme="majorHAnsi" w:hAnsiTheme="majorHAnsi"/>
          <w:sz w:val="20"/>
          <w:szCs w:val="20"/>
        </w:rPr>
        <w:t>state land use and zoning plans;</w:t>
      </w:r>
      <w:r w:rsidRPr="005722A6">
        <w:rPr>
          <w:rFonts w:asciiTheme="majorHAnsi" w:hAnsiTheme="majorHAnsi"/>
          <w:sz w:val="20"/>
          <w:szCs w:val="20"/>
        </w:rPr>
        <w:t xml:space="preserve"> </w:t>
      </w:r>
    </w:p>
    <w:p w14:paraId="36D3976B" w14:textId="30DC3F7F" w:rsidR="00264332" w:rsidRPr="005722A6" w:rsidRDefault="00264332" w:rsidP="00C71EB0">
      <w:pPr>
        <w:pStyle w:val="ListParagraph"/>
        <w:widowControl w:val="0"/>
        <w:numPr>
          <w:ilvl w:val="0"/>
          <w:numId w:val="107"/>
        </w:numPr>
        <w:autoSpaceDE w:val="0"/>
        <w:autoSpaceDN w:val="0"/>
        <w:adjustRightInd w:val="0"/>
        <w:rPr>
          <w:rFonts w:asciiTheme="majorHAnsi" w:hAnsiTheme="majorHAnsi" w:cs="Times"/>
          <w:sz w:val="20"/>
          <w:szCs w:val="20"/>
        </w:rPr>
      </w:pPr>
      <w:r w:rsidRPr="005722A6">
        <w:rPr>
          <w:rFonts w:asciiTheme="majorHAnsi" w:hAnsiTheme="majorHAnsi"/>
          <w:sz w:val="20"/>
          <w:szCs w:val="20"/>
        </w:rPr>
        <w:t xml:space="preserve">Objective 2.1 Sustainable carrying capacity ranges are established, determining acceptable levels of environmental, </w:t>
      </w:r>
      <w:r w:rsidRPr="00264332">
        <w:rPr>
          <w:rFonts w:asciiTheme="majorHAnsi" w:hAnsiTheme="majorHAnsi"/>
          <w:sz w:val="20"/>
          <w:szCs w:val="20"/>
        </w:rPr>
        <w:t>cultural, and community impacts;</w:t>
      </w:r>
      <w:r w:rsidRPr="005722A6">
        <w:rPr>
          <w:rFonts w:asciiTheme="majorHAnsi" w:hAnsiTheme="majorHAnsi"/>
          <w:sz w:val="20"/>
          <w:szCs w:val="20"/>
        </w:rPr>
        <w:t xml:space="preserve"> </w:t>
      </w:r>
    </w:p>
    <w:p w14:paraId="2A615A32" w14:textId="7A569D48" w:rsidR="00264332" w:rsidRPr="005722A6" w:rsidRDefault="00264332" w:rsidP="00C71EB0">
      <w:pPr>
        <w:pStyle w:val="ListParagraph"/>
        <w:widowControl w:val="0"/>
        <w:numPr>
          <w:ilvl w:val="0"/>
          <w:numId w:val="107"/>
        </w:numPr>
        <w:autoSpaceDE w:val="0"/>
        <w:autoSpaceDN w:val="0"/>
        <w:adjustRightInd w:val="0"/>
        <w:rPr>
          <w:rFonts w:asciiTheme="majorHAnsi" w:hAnsiTheme="majorHAnsi" w:cs="Times"/>
          <w:sz w:val="20"/>
          <w:szCs w:val="20"/>
        </w:rPr>
      </w:pPr>
      <w:r w:rsidRPr="005722A6">
        <w:rPr>
          <w:rFonts w:asciiTheme="majorHAnsi" w:hAnsiTheme="majorHAnsi"/>
          <w:sz w:val="20"/>
          <w:szCs w:val="20"/>
        </w:rPr>
        <w:t>Objective 4.4 Green fee revenues and use are transparent and promoted. The fee supports a “Conservation Nation</w:t>
      </w:r>
      <w:r>
        <w:rPr>
          <w:rFonts w:asciiTheme="majorHAnsi" w:hAnsiTheme="majorHAnsi"/>
          <w:sz w:val="20"/>
          <w:szCs w:val="20"/>
        </w:rPr>
        <w:t>;</w:t>
      </w:r>
      <w:r w:rsidRPr="005722A6">
        <w:rPr>
          <w:rFonts w:asciiTheme="majorHAnsi" w:hAnsiTheme="majorHAnsi"/>
          <w:sz w:val="20"/>
          <w:szCs w:val="20"/>
        </w:rPr>
        <w:t xml:space="preserve">” </w:t>
      </w:r>
      <w:r>
        <w:rPr>
          <w:rFonts w:asciiTheme="majorHAnsi" w:hAnsiTheme="majorHAnsi"/>
          <w:sz w:val="20"/>
          <w:szCs w:val="20"/>
        </w:rPr>
        <w:t>and</w:t>
      </w:r>
    </w:p>
    <w:p w14:paraId="357DF4D8" w14:textId="77F5BBA6" w:rsidR="00264332" w:rsidRPr="00867B4C" w:rsidRDefault="00264332" w:rsidP="00C71EB0">
      <w:pPr>
        <w:pStyle w:val="ListParagraph"/>
        <w:widowControl w:val="0"/>
        <w:numPr>
          <w:ilvl w:val="0"/>
          <w:numId w:val="107"/>
        </w:numPr>
        <w:autoSpaceDE w:val="0"/>
        <w:autoSpaceDN w:val="0"/>
        <w:adjustRightInd w:val="0"/>
        <w:rPr>
          <w:rFonts w:asciiTheme="majorHAnsi" w:hAnsiTheme="majorHAnsi" w:cs="Times"/>
          <w:sz w:val="20"/>
          <w:szCs w:val="20"/>
        </w:rPr>
      </w:pPr>
      <w:r w:rsidRPr="005722A6">
        <w:rPr>
          <w:rFonts w:asciiTheme="majorHAnsi" w:hAnsiTheme="majorHAnsi"/>
          <w:sz w:val="20"/>
          <w:szCs w:val="20"/>
        </w:rPr>
        <w:t xml:space="preserve">Objective 6.2 Public-private partnerships to catalyze tourism opportunities outside of Koror focus on cultural and terrestrial nature-based tourism. </w:t>
      </w:r>
    </w:p>
    <w:p w14:paraId="7A8FD4FE" w14:textId="77777777" w:rsidR="00420CFE" w:rsidRDefault="00420CFE" w:rsidP="00420CFE">
      <w:pPr>
        <w:widowControl w:val="0"/>
        <w:autoSpaceDE w:val="0"/>
        <w:autoSpaceDN w:val="0"/>
        <w:adjustRightInd w:val="0"/>
        <w:spacing w:after="0"/>
        <w:rPr>
          <w:rFonts w:asciiTheme="majorHAnsi" w:hAnsiTheme="majorHAnsi" w:cs="Times"/>
          <w:sz w:val="20"/>
          <w:szCs w:val="20"/>
        </w:rPr>
      </w:pPr>
    </w:p>
    <w:p w14:paraId="69D547EE" w14:textId="77777777" w:rsidR="00C4679A" w:rsidRDefault="00867B4C" w:rsidP="00420CFE">
      <w:pPr>
        <w:widowControl w:val="0"/>
        <w:autoSpaceDE w:val="0"/>
        <w:autoSpaceDN w:val="0"/>
        <w:adjustRightInd w:val="0"/>
        <w:spacing w:after="0"/>
        <w:rPr>
          <w:rFonts w:asciiTheme="majorHAnsi" w:hAnsiTheme="majorHAnsi"/>
          <w:sz w:val="20"/>
          <w:szCs w:val="20"/>
        </w:rPr>
      </w:pPr>
      <w:r>
        <w:rPr>
          <w:rFonts w:asciiTheme="majorHAnsi" w:hAnsiTheme="majorHAnsi" w:cs="Times"/>
          <w:sz w:val="20"/>
          <w:szCs w:val="20"/>
        </w:rPr>
        <w:t xml:space="preserve">Within the global context, the </w:t>
      </w:r>
      <w:r w:rsidR="004F2F1D">
        <w:rPr>
          <w:rFonts w:asciiTheme="majorHAnsi" w:hAnsiTheme="majorHAnsi" w:cs="Times"/>
          <w:sz w:val="20"/>
          <w:szCs w:val="20"/>
        </w:rPr>
        <w:t xml:space="preserve">project </w:t>
      </w:r>
      <w:r w:rsidRPr="00F30A52">
        <w:rPr>
          <w:rFonts w:asciiTheme="majorHAnsi" w:hAnsiTheme="majorHAnsi"/>
          <w:sz w:val="20"/>
          <w:szCs w:val="20"/>
        </w:rPr>
        <w:t>will contribute to achieving the Aichi Targets, in particular</w:t>
      </w:r>
      <w:r w:rsidR="00C4679A">
        <w:rPr>
          <w:rFonts w:asciiTheme="majorHAnsi" w:hAnsiTheme="majorHAnsi"/>
          <w:sz w:val="20"/>
          <w:szCs w:val="20"/>
        </w:rPr>
        <w:t>:</w:t>
      </w:r>
    </w:p>
    <w:p w14:paraId="3B9D1A56" w14:textId="77777777" w:rsidR="008E102F" w:rsidRDefault="00867B4C" w:rsidP="00C71EB0">
      <w:pPr>
        <w:pStyle w:val="ListParagraph"/>
        <w:widowControl w:val="0"/>
        <w:numPr>
          <w:ilvl w:val="0"/>
          <w:numId w:val="107"/>
        </w:numPr>
        <w:autoSpaceDE w:val="0"/>
        <w:autoSpaceDN w:val="0"/>
        <w:adjustRightInd w:val="0"/>
        <w:rPr>
          <w:rFonts w:asciiTheme="majorHAnsi" w:hAnsiTheme="majorHAnsi"/>
          <w:sz w:val="20"/>
          <w:szCs w:val="20"/>
        </w:rPr>
      </w:pPr>
      <w:r w:rsidRPr="00F30A52">
        <w:rPr>
          <w:rFonts w:asciiTheme="majorHAnsi" w:hAnsiTheme="majorHAnsi"/>
          <w:sz w:val="20"/>
          <w:szCs w:val="20"/>
        </w:rPr>
        <w:t>Strategic Goal B (Reduce the direct pressures on biodiversity and promote sustainable use)</w:t>
      </w:r>
      <w:r w:rsidR="008E102F">
        <w:rPr>
          <w:rFonts w:asciiTheme="majorHAnsi" w:hAnsiTheme="majorHAnsi"/>
          <w:sz w:val="20"/>
          <w:szCs w:val="20"/>
        </w:rPr>
        <w:t xml:space="preserve">, </w:t>
      </w:r>
      <w:r w:rsidRPr="008E102F">
        <w:rPr>
          <w:rFonts w:asciiTheme="majorHAnsi" w:hAnsiTheme="majorHAnsi"/>
          <w:sz w:val="20"/>
          <w:szCs w:val="20"/>
        </w:rPr>
        <w:t>Target 9 (By 2020, invasive alien species and pathways are identified and prioritized, priority species are controlled or eradicated, and measures are in place to manage pathways to prevent i</w:t>
      </w:r>
      <w:r w:rsidR="008E102F">
        <w:rPr>
          <w:rFonts w:asciiTheme="majorHAnsi" w:hAnsiTheme="majorHAnsi"/>
          <w:sz w:val="20"/>
          <w:szCs w:val="20"/>
        </w:rPr>
        <w:t>ntroduction and establishment).</w:t>
      </w:r>
    </w:p>
    <w:p w14:paraId="14B80693" w14:textId="77777777" w:rsidR="008E102F" w:rsidRDefault="00867B4C" w:rsidP="00C71EB0">
      <w:pPr>
        <w:pStyle w:val="ListParagraph"/>
        <w:widowControl w:val="0"/>
        <w:numPr>
          <w:ilvl w:val="0"/>
          <w:numId w:val="107"/>
        </w:numPr>
        <w:autoSpaceDE w:val="0"/>
        <w:autoSpaceDN w:val="0"/>
        <w:adjustRightInd w:val="0"/>
        <w:rPr>
          <w:rFonts w:asciiTheme="majorHAnsi" w:hAnsiTheme="majorHAnsi"/>
          <w:sz w:val="20"/>
          <w:szCs w:val="20"/>
        </w:rPr>
      </w:pPr>
      <w:r w:rsidRPr="008E102F">
        <w:rPr>
          <w:rFonts w:asciiTheme="majorHAnsi" w:hAnsiTheme="majorHAnsi"/>
          <w:sz w:val="20"/>
          <w:szCs w:val="20"/>
        </w:rPr>
        <w:t xml:space="preserve">Strategic Goal C (To improve the status of biodiversity by safeguarding ecosystems, species and genetic diversity), Target 12 (By 2020, the extinction of known threatened species has been prevented and their conservation status, particularly of those most in decline, has improved and sustained). </w:t>
      </w:r>
    </w:p>
    <w:p w14:paraId="022C91DF" w14:textId="77777777" w:rsidR="008E102F" w:rsidRDefault="008E102F" w:rsidP="008E102F">
      <w:pPr>
        <w:widowControl w:val="0"/>
        <w:autoSpaceDE w:val="0"/>
        <w:autoSpaceDN w:val="0"/>
        <w:adjustRightInd w:val="0"/>
        <w:rPr>
          <w:rFonts w:asciiTheme="majorHAnsi" w:hAnsiTheme="majorHAnsi"/>
          <w:sz w:val="20"/>
          <w:szCs w:val="20"/>
        </w:rPr>
      </w:pPr>
    </w:p>
    <w:p w14:paraId="29B8778E" w14:textId="21F3C3C7" w:rsidR="00867B4C" w:rsidRPr="008E102F" w:rsidRDefault="00867B4C" w:rsidP="008E102F">
      <w:pPr>
        <w:widowControl w:val="0"/>
        <w:autoSpaceDE w:val="0"/>
        <w:autoSpaceDN w:val="0"/>
        <w:adjustRightInd w:val="0"/>
        <w:rPr>
          <w:rFonts w:asciiTheme="majorHAnsi" w:hAnsiTheme="majorHAnsi"/>
          <w:sz w:val="20"/>
          <w:szCs w:val="20"/>
        </w:rPr>
      </w:pPr>
      <w:r w:rsidRPr="008E102F">
        <w:rPr>
          <w:rFonts w:asciiTheme="majorHAnsi" w:hAnsiTheme="majorHAnsi"/>
          <w:sz w:val="20"/>
          <w:szCs w:val="20"/>
        </w:rPr>
        <w:t>The project also contributes to the post-2015 development agenda and the Sustainable Development Goals (SDG)</w:t>
      </w:r>
      <w:r w:rsidR="008E102F">
        <w:rPr>
          <w:rFonts w:asciiTheme="majorHAnsi" w:hAnsiTheme="majorHAnsi"/>
          <w:sz w:val="20"/>
          <w:szCs w:val="20"/>
        </w:rPr>
        <w:t>,</w:t>
      </w:r>
      <w:r w:rsidRPr="008E102F">
        <w:rPr>
          <w:rFonts w:asciiTheme="majorHAnsi" w:hAnsiTheme="majorHAnsi"/>
          <w:sz w:val="20"/>
          <w:szCs w:val="20"/>
        </w:rPr>
        <w:t xml:space="preserve"> particularly SDG 15 to halt biodiversity loss. It will also support SDG2 to end hunger and achieve food security.</w:t>
      </w:r>
    </w:p>
    <w:p w14:paraId="3333A64F" w14:textId="77777777" w:rsidR="00B87774" w:rsidRPr="005722A6" w:rsidRDefault="00B87774" w:rsidP="00B87774">
      <w:pPr>
        <w:widowControl w:val="0"/>
        <w:autoSpaceDE w:val="0"/>
        <w:autoSpaceDN w:val="0"/>
        <w:adjustRightInd w:val="0"/>
        <w:spacing w:after="0"/>
        <w:rPr>
          <w:rFonts w:asciiTheme="majorHAnsi" w:hAnsiTheme="majorHAnsi"/>
          <w:color w:val="000000"/>
          <w:sz w:val="20"/>
          <w:szCs w:val="20"/>
        </w:rPr>
      </w:pPr>
    </w:p>
    <w:p w14:paraId="5F7FF818" w14:textId="4279D6F4" w:rsidR="00B87774" w:rsidRPr="008E102F" w:rsidRDefault="00B87774" w:rsidP="008E102F">
      <w:pPr>
        <w:rPr>
          <w:rFonts w:asciiTheme="majorHAnsi" w:hAnsiTheme="majorHAnsi" w:cs="Segoe UI"/>
          <w:b/>
          <w:color w:val="000000"/>
          <w:sz w:val="20"/>
          <w:szCs w:val="20"/>
        </w:rPr>
      </w:pPr>
      <w:r w:rsidRPr="008E102F">
        <w:rPr>
          <w:rFonts w:asciiTheme="majorHAnsi" w:hAnsiTheme="majorHAnsi" w:cs="Segoe UI"/>
          <w:b/>
          <w:color w:val="000000"/>
          <w:sz w:val="20"/>
          <w:szCs w:val="20"/>
        </w:rPr>
        <w:t>Ba</w:t>
      </w:r>
      <w:r w:rsidR="008E102F">
        <w:rPr>
          <w:rFonts w:asciiTheme="majorHAnsi" w:hAnsiTheme="majorHAnsi" w:cs="Segoe UI"/>
          <w:b/>
          <w:color w:val="000000"/>
          <w:sz w:val="20"/>
          <w:szCs w:val="20"/>
        </w:rPr>
        <w:t>seline scenario and associated baseline p</w:t>
      </w:r>
      <w:r w:rsidRPr="008E102F">
        <w:rPr>
          <w:rFonts w:asciiTheme="majorHAnsi" w:hAnsiTheme="majorHAnsi" w:cs="Segoe UI"/>
          <w:b/>
          <w:color w:val="000000"/>
          <w:sz w:val="20"/>
          <w:szCs w:val="20"/>
        </w:rPr>
        <w:t xml:space="preserve">rojects </w:t>
      </w:r>
    </w:p>
    <w:p w14:paraId="4B5D90ED" w14:textId="4AAE5845" w:rsidR="005E0269" w:rsidRPr="005722A6" w:rsidRDefault="005E0269" w:rsidP="005E0269">
      <w:pPr>
        <w:pStyle w:val="Default"/>
        <w:jc w:val="both"/>
        <w:rPr>
          <w:rFonts w:asciiTheme="majorHAnsi" w:eastAsia="SimSun" w:hAnsiTheme="majorHAnsi" w:cs="Times New Roman"/>
          <w:sz w:val="20"/>
          <w:szCs w:val="20"/>
          <w:lang w:eastAsia="en-US"/>
        </w:rPr>
      </w:pPr>
      <w:r w:rsidRPr="005722A6">
        <w:rPr>
          <w:rFonts w:asciiTheme="majorHAnsi" w:eastAsia="SimSun" w:hAnsiTheme="majorHAnsi" w:cs="Times New Roman"/>
          <w:sz w:val="20"/>
          <w:szCs w:val="20"/>
          <w:lang w:eastAsia="en-US"/>
        </w:rPr>
        <w:t xml:space="preserve">Underlying decision-making in Palau is the deep cultural importance of consensus. </w:t>
      </w:r>
      <w:r w:rsidR="00867B4C">
        <w:rPr>
          <w:rFonts w:asciiTheme="majorHAnsi" w:eastAsia="SimSun" w:hAnsiTheme="majorHAnsi" w:cs="Times New Roman"/>
          <w:sz w:val="20"/>
          <w:szCs w:val="20"/>
          <w:lang w:eastAsia="en-US"/>
        </w:rPr>
        <w:t>T</w:t>
      </w:r>
      <w:r w:rsidRPr="005722A6">
        <w:rPr>
          <w:rFonts w:asciiTheme="majorHAnsi" w:eastAsia="SimSun" w:hAnsiTheme="majorHAnsi" w:cs="Times New Roman"/>
          <w:sz w:val="20"/>
          <w:szCs w:val="20"/>
          <w:lang w:eastAsia="en-US"/>
        </w:rPr>
        <w:t>here is a “notable resistance to e</w:t>
      </w:r>
      <w:r w:rsidR="008E102F">
        <w:rPr>
          <w:rFonts w:asciiTheme="majorHAnsi" w:eastAsia="SimSun" w:hAnsiTheme="majorHAnsi" w:cs="Times New Roman"/>
          <w:sz w:val="20"/>
          <w:szCs w:val="20"/>
          <w:lang w:eastAsia="en-US"/>
        </w:rPr>
        <w:t>xclusive exercises of authority</w:t>
      </w:r>
      <w:r w:rsidRPr="005722A6">
        <w:rPr>
          <w:rFonts w:asciiTheme="majorHAnsi" w:eastAsia="SimSun" w:hAnsiTheme="majorHAnsi" w:cs="Times New Roman"/>
          <w:sz w:val="20"/>
          <w:szCs w:val="20"/>
          <w:lang w:eastAsia="en-US"/>
        </w:rPr>
        <w:t>”</w:t>
      </w:r>
      <w:r w:rsidR="008E102F">
        <w:rPr>
          <w:rFonts w:asciiTheme="majorHAnsi" w:eastAsia="SimSun" w:hAnsiTheme="majorHAnsi" w:cs="Times New Roman"/>
          <w:sz w:val="20"/>
          <w:szCs w:val="20"/>
          <w:lang w:eastAsia="en-US"/>
        </w:rPr>
        <w:t>; thus</w:t>
      </w:r>
      <w:r w:rsidRPr="005722A6">
        <w:rPr>
          <w:rFonts w:asciiTheme="majorHAnsi" w:eastAsia="SimSun" w:hAnsiTheme="majorHAnsi" w:cs="Times New Roman"/>
          <w:sz w:val="20"/>
          <w:szCs w:val="20"/>
          <w:lang w:eastAsia="en-US"/>
        </w:rPr>
        <w:t xml:space="preserve"> </w:t>
      </w:r>
      <w:r w:rsidR="008E102F">
        <w:rPr>
          <w:rFonts w:asciiTheme="majorHAnsi" w:eastAsia="SimSun" w:hAnsiTheme="majorHAnsi" w:cs="Times New Roman"/>
          <w:sz w:val="20"/>
          <w:szCs w:val="20"/>
          <w:lang w:eastAsia="en-US"/>
        </w:rPr>
        <w:t xml:space="preserve">achieving </w:t>
      </w:r>
      <w:r w:rsidRPr="005722A6">
        <w:rPr>
          <w:rFonts w:asciiTheme="majorHAnsi" w:eastAsia="SimSun" w:hAnsiTheme="majorHAnsi" w:cs="Times New Roman"/>
          <w:sz w:val="20"/>
          <w:szCs w:val="20"/>
          <w:lang w:eastAsia="en-US"/>
        </w:rPr>
        <w:t>change is about “getting enough people to believe in your decision”</w:t>
      </w:r>
      <w:r w:rsidR="00C159B7" w:rsidRPr="005722A6">
        <w:rPr>
          <w:rStyle w:val="FootnoteReference"/>
          <w:rFonts w:asciiTheme="majorHAnsi" w:eastAsia="SimSun" w:hAnsiTheme="majorHAnsi"/>
          <w:sz w:val="20"/>
          <w:szCs w:val="20"/>
          <w:lang w:eastAsia="en-US"/>
        </w:rPr>
        <w:footnoteReference w:id="6"/>
      </w:r>
      <w:r w:rsidR="006B0551" w:rsidRPr="005722A6">
        <w:rPr>
          <w:rFonts w:asciiTheme="majorHAnsi" w:eastAsia="SimSun" w:hAnsiTheme="majorHAnsi" w:cs="Times New Roman"/>
          <w:sz w:val="20"/>
          <w:szCs w:val="20"/>
          <w:lang w:eastAsia="en-US"/>
        </w:rPr>
        <w:t xml:space="preserve">. </w:t>
      </w:r>
      <w:r w:rsidRPr="005722A6">
        <w:rPr>
          <w:rFonts w:asciiTheme="majorHAnsi" w:eastAsia="SimSun" w:hAnsiTheme="majorHAnsi" w:cs="Times New Roman"/>
          <w:sz w:val="20"/>
          <w:szCs w:val="20"/>
          <w:lang w:eastAsia="en-US"/>
        </w:rPr>
        <w:t xml:space="preserve">While there are conflicts as Palau modernizes, especially when it comes to private ownership, there is still strong traditional and group influence </w:t>
      </w:r>
      <w:r w:rsidR="008E102F" w:rsidRPr="005722A6">
        <w:rPr>
          <w:rFonts w:asciiTheme="majorHAnsi" w:eastAsia="SimSun" w:hAnsiTheme="majorHAnsi" w:cs="Times New Roman"/>
          <w:sz w:val="20"/>
          <w:szCs w:val="20"/>
          <w:lang w:eastAsia="en-US"/>
        </w:rPr>
        <w:t xml:space="preserve">on final decisions </w:t>
      </w:r>
      <w:r w:rsidRPr="005722A6">
        <w:rPr>
          <w:rFonts w:asciiTheme="majorHAnsi" w:eastAsia="SimSun" w:hAnsiTheme="majorHAnsi" w:cs="Times New Roman"/>
          <w:sz w:val="20"/>
          <w:szCs w:val="20"/>
          <w:lang w:eastAsia="en-US"/>
        </w:rPr>
        <w:t xml:space="preserve">throughout society. Establishing </w:t>
      </w:r>
      <w:r w:rsidR="00867B4C">
        <w:rPr>
          <w:rFonts w:asciiTheme="majorHAnsi" w:eastAsia="SimSun" w:hAnsiTheme="majorHAnsi" w:cs="Times New Roman"/>
          <w:sz w:val="20"/>
          <w:szCs w:val="20"/>
          <w:lang w:eastAsia="en-US"/>
        </w:rPr>
        <w:t>m</w:t>
      </w:r>
      <w:r w:rsidRPr="005722A6">
        <w:rPr>
          <w:rFonts w:asciiTheme="majorHAnsi" w:eastAsia="SimSun" w:hAnsiTheme="majorHAnsi" w:cs="Times New Roman"/>
          <w:sz w:val="20"/>
          <w:szCs w:val="20"/>
          <w:lang w:eastAsia="en-US"/>
        </w:rPr>
        <w:t xml:space="preserve">ulti-stakeholder committees is the norm for any cross-sector planning activity. These </w:t>
      </w:r>
      <w:r w:rsidR="00867B4C">
        <w:rPr>
          <w:rFonts w:asciiTheme="majorHAnsi" w:eastAsia="SimSun" w:hAnsiTheme="majorHAnsi" w:cs="Times New Roman"/>
          <w:sz w:val="20"/>
          <w:szCs w:val="20"/>
          <w:lang w:eastAsia="en-US"/>
        </w:rPr>
        <w:t>m</w:t>
      </w:r>
      <w:r w:rsidRPr="005722A6">
        <w:rPr>
          <w:rFonts w:asciiTheme="majorHAnsi" w:eastAsia="SimSun" w:hAnsiTheme="majorHAnsi" w:cs="Times New Roman"/>
          <w:sz w:val="20"/>
          <w:szCs w:val="20"/>
          <w:lang w:eastAsia="en-US"/>
        </w:rPr>
        <w:t>ulti-stakeholder groups generally are large and include repr</w:t>
      </w:r>
      <w:r w:rsidR="008E102F">
        <w:rPr>
          <w:rFonts w:asciiTheme="majorHAnsi" w:eastAsia="SimSun" w:hAnsiTheme="majorHAnsi" w:cs="Times New Roman"/>
          <w:sz w:val="20"/>
          <w:szCs w:val="20"/>
          <w:lang w:eastAsia="en-US"/>
        </w:rPr>
        <w:t>esentatives from men’s, women’s</w:t>
      </w:r>
      <w:r w:rsidRPr="005722A6">
        <w:rPr>
          <w:rFonts w:asciiTheme="majorHAnsi" w:eastAsia="SimSun" w:hAnsiTheme="majorHAnsi" w:cs="Times New Roman"/>
          <w:sz w:val="20"/>
          <w:szCs w:val="20"/>
          <w:lang w:eastAsia="en-US"/>
        </w:rPr>
        <w:t xml:space="preserve"> and youth groups, traditional and elec</w:t>
      </w:r>
      <w:r w:rsidR="008E102F">
        <w:rPr>
          <w:rFonts w:asciiTheme="majorHAnsi" w:eastAsia="SimSun" w:hAnsiTheme="majorHAnsi" w:cs="Times New Roman"/>
          <w:sz w:val="20"/>
          <w:szCs w:val="20"/>
          <w:lang w:eastAsia="en-US"/>
        </w:rPr>
        <w:t xml:space="preserve">ted leadership, and </w:t>
      </w:r>
      <w:r w:rsidR="008E102F">
        <w:rPr>
          <w:rFonts w:asciiTheme="majorHAnsi" w:eastAsia="SimSun" w:hAnsiTheme="majorHAnsi" w:cs="Times New Roman"/>
          <w:sz w:val="20"/>
          <w:szCs w:val="20"/>
          <w:lang w:eastAsia="en-US"/>
        </w:rPr>
        <w:lastRenderedPageBreak/>
        <w:t>‘community’.</w:t>
      </w:r>
      <w:r w:rsidRPr="005722A6">
        <w:rPr>
          <w:rFonts w:asciiTheme="majorHAnsi" w:eastAsia="SimSun" w:hAnsiTheme="majorHAnsi" w:cs="Times New Roman"/>
          <w:sz w:val="20"/>
          <w:szCs w:val="20"/>
          <w:lang w:eastAsia="en-US"/>
        </w:rPr>
        <w:t xml:space="preserve"> In recent years many planning processes have invested in semi-independent facilitators (often coming from the non</w:t>
      </w:r>
      <w:r w:rsidR="008E102F">
        <w:rPr>
          <w:rFonts w:asciiTheme="majorHAnsi" w:eastAsia="SimSun" w:hAnsiTheme="majorHAnsi" w:cs="Times New Roman"/>
          <w:sz w:val="20"/>
          <w:szCs w:val="20"/>
          <w:lang w:eastAsia="en-US"/>
        </w:rPr>
        <w:t>-</w:t>
      </w:r>
      <w:r w:rsidRPr="005722A6">
        <w:rPr>
          <w:rFonts w:asciiTheme="majorHAnsi" w:eastAsia="SimSun" w:hAnsiTheme="majorHAnsi" w:cs="Times New Roman"/>
          <w:sz w:val="20"/>
          <w:szCs w:val="20"/>
          <w:lang w:eastAsia="en-US"/>
        </w:rPr>
        <w:t xml:space="preserve">government sector). Also underlying decisions is a </w:t>
      </w:r>
      <w:r w:rsidR="008E102F">
        <w:rPr>
          <w:rFonts w:asciiTheme="majorHAnsi" w:eastAsia="SimSun" w:hAnsiTheme="majorHAnsi" w:cs="Times New Roman"/>
          <w:sz w:val="20"/>
          <w:szCs w:val="20"/>
          <w:lang w:eastAsia="en-US"/>
        </w:rPr>
        <w:t>mixture</w:t>
      </w:r>
      <w:r w:rsidRPr="005722A6">
        <w:rPr>
          <w:rFonts w:asciiTheme="majorHAnsi" w:eastAsia="SimSun" w:hAnsiTheme="majorHAnsi" w:cs="Times New Roman"/>
          <w:sz w:val="20"/>
          <w:szCs w:val="20"/>
          <w:lang w:eastAsia="en-US"/>
        </w:rPr>
        <w:t xml:space="preserve"> of respect and skepticism for external authorities. Many of Palau’s existing development plans (2020 Master Plan and 2009-2014 Mid-Term Development Strategy) were developed with external technical assistance. Deep respect for science and international scientists creates plans that are appropriate </w:t>
      </w:r>
      <w:r w:rsidR="00CE4222" w:rsidRPr="005722A6">
        <w:rPr>
          <w:rFonts w:asciiTheme="majorHAnsi" w:eastAsia="SimSun" w:hAnsiTheme="majorHAnsi" w:cs="Times New Roman"/>
          <w:sz w:val="20"/>
          <w:szCs w:val="20"/>
          <w:lang w:eastAsia="en-US"/>
        </w:rPr>
        <w:t xml:space="preserve">and widely supported </w:t>
      </w:r>
      <w:r w:rsidRPr="005722A6">
        <w:rPr>
          <w:rFonts w:asciiTheme="majorHAnsi" w:eastAsia="SimSun" w:hAnsiTheme="majorHAnsi" w:cs="Times New Roman"/>
          <w:sz w:val="20"/>
          <w:szCs w:val="20"/>
          <w:lang w:eastAsia="en-US"/>
        </w:rPr>
        <w:t>at the time. However, lack of local investment often means that plans become less relevant</w:t>
      </w:r>
      <w:r w:rsidR="008E102F" w:rsidRPr="008E102F">
        <w:rPr>
          <w:rFonts w:asciiTheme="majorHAnsi" w:eastAsia="SimSun" w:hAnsiTheme="majorHAnsi" w:cs="Times New Roman"/>
          <w:sz w:val="20"/>
          <w:szCs w:val="20"/>
          <w:lang w:eastAsia="en-US"/>
        </w:rPr>
        <w:t xml:space="preserve"> </w:t>
      </w:r>
      <w:r w:rsidR="008E102F" w:rsidRPr="005722A6">
        <w:rPr>
          <w:rFonts w:asciiTheme="majorHAnsi" w:eastAsia="SimSun" w:hAnsiTheme="majorHAnsi" w:cs="Times New Roman"/>
          <w:sz w:val="20"/>
          <w:szCs w:val="20"/>
          <w:lang w:eastAsia="en-US"/>
        </w:rPr>
        <w:t>as time passes</w:t>
      </w:r>
      <w:r w:rsidRPr="005722A6">
        <w:rPr>
          <w:rFonts w:asciiTheme="majorHAnsi" w:eastAsia="SimSun" w:hAnsiTheme="majorHAnsi" w:cs="Times New Roman"/>
          <w:sz w:val="20"/>
          <w:szCs w:val="20"/>
          <w:lang w:eastAsia="en-US"/>
        </w:rPr>
        <w:t xml:space="preserve">, while also lacking inherent evaluation and feedback mechanisms, thus </w:t>
      </w:r>
      <w:r w:rsidR="008E102F">
        <w:rPr>
          <w:rFonts w:asciiTheme="majorHAnsi" w:eastAsia="SimSun" w:hAnsiTheme="majorHAnsi" w:cs="Times New Roman"/>
          <w:sz w:val="20"/>
          <w:szCs w:val="20"/>
          <w:lang w:eastAsia="en-US"/>
        </w:rPr>
        <w:t>feedig</w:t>
      </w:r>
      <w:r w:rsidRPr="005722A6">
        <w:rPr>
          <w:rFonts w:asciiTheme="majorHAnsi" w:eastAsia="SimSun" w:hAnsiTheme="majorHAnsi" w:cs="Times New Roman"/>
          <w:sz w:val="20"/>
          <w:szCs w:val="20"/>
          <w:lang w:eastAsia="en-US"/>
        </w:rPr>
        <w:t xml:space="preserve"> skepticism. Thus, as time passes decisions often are made without consulting Master Plans. Traditional ownership and decision making also plays a key role in how states approach their natural resources. </w:t>
      </w:r>
      <w:r w:rsidR="002C54EE" w:rsidRPr="005722A6">
        <w:rPr>
          <w:rFonts w:asciiTheme="majorHAnsi" w:eastAsia="SimSun" w:hAnsiTheme="majorHAnsi" w:cs="Times New Roman"/>
          <w:sz w:val="20"/>
          <w:szCs w:val="20"/>
          <w:lang w:eastAsia="en-US"/>
        </w:rPr>
        <w:t>E</w:t>
      </w:r>
      <w:r w:rsidRPr="005722A6">
        <w:rPr>
          <w:rFonts w:asciiTheme="majorHAnsi" w:eastAsia="SimSun" w:hAnsiTheme="majorHAnsi" w:cs="Times New Roman"/>
          <w:sz w:val="20"/>
          <w:szCs w:val="20"/>
          <w:lang w:eastAsia="en-US"/>
        </w:rPr>
        <w:t xml:space="preserve">ach of Palau’s 16 states </w:t>
      </w:r>
      <w:r w:rsidR="00D934AC" w:rsidRPr="005722A6">
        <w:rPr>
          <w:rFonts w:asciiTheme="majorHAnsi" w:eastAsia="SimSun" w:hAnsiTheme="majorHAnsi" w:cs="Times New Roman"/>
          <w:sz w:val="20"/>
          <w:szCs w:val="20"/>
          <w:lang w:eastAsia="en-US"/>
        </w:rPr>
        <w:t>ha</w:t>
      </w:r>
      <w:r w:rsidR="00D934AC">
        <w:rPr>
          <w:rFonts w:asciiTheme="majorHAnsi" w:eastAsia="SimSun" w:hAnsiTheme="majorHAnsi" w:cs="Times New Roman"/>
          <w:sz w:val="20"/>
          <w:szCs w:val="20"/>
          <w:lang w:eastAsia="en-US"/>
        </w:rPr>
        <w:t>s</w:t>
      </w:r>
      <w:r w:rsidR="00D934AC" w:rsidRPr="005722A6">
        <w:rPr>
          <w:rFonts w:asciiTheme="majorHAnsi" w:eastAsia="SimSun" w:hAnsiTheme="majorHAnsi" w:cs="Times New Roman"/>
          <w:sz w:val="20"/>
          <w:szCs w:val="20"/>
          <w:lang w:eastAsia="en-US"/>
        </w:rPr>
        <w:t xml:space="preserve"> </w:t>
      </w:r>
      <w:r w:rsidRPr="005722A6">
        <w:rPr>
          <w:rFonts w:asciiTheme="majorHAnsi" w:eastAsia="SimSun" w:hAnsiTheme="majorHAnsi" w:cs="Times New Roman"/>
          <w:sz w:val="20"/>
          <w:szCs w:val="20"/>
          <w:lang w:eastAsia="en-US"/>
        </w:rPr>
        <w:t xml:space="preserve">different approaches for managing </w:t>
      </w:r>
      <w:r w:rsidR="002C54EE" w:rsidRPr="005722A6">
        <w:rPr>
          <w:rFonts w:asciiTheme="majorHAnsi" w:eastAsia="SimSun" w:hAnsiTheme="majorHAnsi" w:cs="Times New Roman"/>
          <w:sz w:val="20"/>
          <w:szCs w:val="20"/>
          <w:lang w:eastAsia="en-US"/>
        </w:rPr>
        <w:t xml:space="preserve">terrestrial and marine </w:t>
      </w:r>
      <w:r w:rsidRPr="005722A6">
        <w:rPr>
          <w:rFonts w:asciiTheme="majorHAnsi" w:eastAsia="SimSun" w:hAnsiTheme="majorHAnsi" w:cs="Times New Roman"/>
          <w:sz w:val="20"/>
          <w:szCs w:val="20"/>
          <w:lang w:eastAsia="en-US"/>
        </w:rPr>
        <w:t xml:space="preserve">resources. </w:t>
      </w:r>
    </w:p>
    <w:p w14:paraId="5F8DB6A0" w14:textId="77777777" w:rsidR="005E0269" w:rsidRPr="005722A6" w:rsidRDefault="005E0269" w:rsidP="00B87774">
      <w:pPr>
        <w:pStyle w:val="Default"/>
        <w:jc w:val="both"/>
        <w:rPr>
          <w:rFonts w:asciiTheme="majorHAnsi" w:eastAsia="SimSun" w:hAnsiTheme="majorHAnsi" w:cs="Times New Roman"/>
          <w:sz w:val="20"/>
          <w:szCs w:val="20"/>
          <w:lang w:eastAsia="en-US"/>
        </w:rPr>
      </w:pPr>
    </w:p>
    <w:p w14:paraId="5AA412DB" w14:textId="5FD7BA59" w:rsidR="00B87774" w:rsidRPr="005722A6" w:rsidRDefault="00B87774" w:rsidP="00B87774">
      <w:pPr>
        <w:pStyle w:val="Default"/>
        <w:jc w:val="both"/>
        <w:rPr>
          <w:rFonts w:asciiTheme="majorHAnsi" w:eastAsia="SimSun" w:hAnsiTheme="majorHAnsi" w:cs="Times New Roman"/>
          <w:sz w:val="20"/>
          <w:szCs w:val="20"/>
          <w:lang w:eastAsia="en-US"/>
        </w:rPr>
      </w:pPr>
      <w:r w:rsidRPr="005722A6">
        <w:rPr>
          <w:rFonts w:asciiTheme="majorHAnsi" w:eastAsia="SimSun" w:hAnsiTheme="majorHAnsi" w:cs="Times New Roman"/>
          <w:sz w:val="20"/>
          <w:szCs w:val="20"/>
          <w:lang w:eastAsia="en-US"/>
        </w:rPr>
        <w:t>Palau’s Ministry of Natural Resources, Environment and Tourism</w:t>
      </w:r>
      <w:r w:rsidR="00041F19" w:rsidRPr="005722A6">
        <w:rPr>
          <w:rFonts w:asciiTheme="majorHAnsi" w:eastAsia="SimSun" w:hAnsiTheme="majorHAnsi" w:cs="Times New Roman"/>
          <w:sz w:val="20"/>
          <w:szCs w:val="20"/>
          <w:lang w:eastAsia="en-US"/>
        </w:rPr>
        <w:t xml:space="preserve"> (MNRET)</w:t>
      </w:r>
      <w:r w:rsidRPr="005722A6">
        <w:rPr>
          <w:rFonts w:asciiTheme="majorHAnsi" w:eastAsia="SimSun" w:hAnsiTheme="majorHAnsi" w:cs="Times New Roman"/>
          <w:sz w:val="20"/>
          <w:szCs w:val="20"/>
          <w:lang w:eastAsia="en-US"/>
        </w:rPr>
        <w:t xml:space="preserve"> houses several bureaus and offices </w:t>
      </w:r>
      <w:r w:rsidR="00017AE6">
        <w:rPr>
          <w:rFonts w:asciiTheme="majorHAnsi" w:eastAsia="SimSun" w:hAnsiTheme="majorHAnsi" w:cs="Times New Roman"/>
          <w:sz w:val="20"/>
          <w:szCs w:val="20"/>
          <w:lang w:eastAsia="en-US"/>
        </w:rPr>
        <w:t>that</w:t>
      </w:r>
      <w:r w:rsidRPr="005722A6">
        <w:rPr>
          <w:rFonts w:asciiTheme="majorHAnsi" w:eastAsia="SimSun" w:hAnsiTheme="majorHAnsi" w:cs="Times New Roman"/>
          <w:sz w:val="20"/>
          <w:szCs w:val="20"/>
          <w:lang w:eastAsia="en-US"/>
        </w:rPr>
        <w:t xml:space="preserve"> manage terrestrial and marine natural resources and national biosecurity, including the Bureau of Agriculture </w:t>
      </w:r>
      <w:r w:rsidR="007F613C" w:rsidRPr="005722A6">
        <w:rPr>
          <w:rFonts w:asciiTheme="majorHAnsi" w:eastAsia="SimSun" w:hAnsiTheme="majorHAnsi" w:cs="Times New Roman"/>
          <w:sz w:val="20"/>
          <w:szCs w:val="20"/>
          <w:lang w:eastAsia="en-US"/>
        </w:rPr>
        <w:t xml:space="preserve">(BOA), </w:t>
      </w:r>
      <w:r w:rsidRPr="005722A6">
        <w:rPr>
          <w:rFonts w:asciiTheme="majorHAnsi" w:eastAsia="SimSun" w:hAnsiTheme="majorHAnsi" w:cs="Times New Roman"/>
          <w:sz w:val="20"/>
          <w:szCs w:val="20"/>
          <w:lang w:eastAsia="en-US"/>
        </w:rPr>
        <w:t>which houses the Division of Biosecurity and Forestry, Bureau of Marine Resources</w:t>
      </w:r>
      <w:r w:rsidR="007F613C" w:rsidRPr="005722A6">
        <w:rPr>
          <w:rFonts w:asciiTheme="majorHAnsi" w:eastAsia="SimSun" w:hAnsiTheme="majorHAnsi" w:cs="Times New Roman"/>
          <w:sz w:val="20"/>
          <w:szCs w:val="20"/>
          <w:lang w:eastAsia="en-US"/>
        </w:rPr>
        <w:t xml:space="preserve"> (BMR)</w:t>
      </w:r>
      <w:r w:rsidRPr="005722A6">
        <w:rPr>
          <w:rFonts w:asciiTheme="majorHAnsi" w:eastAsia="SimSun" w:hAnsiTheme="majorHAnsi" w:cs="Times New Roman"/>
          <w:sz w:val="20"/>
          <w:szCs w:val="20"/>
          <w:lang w:eastAsia="en-US"/>
        </w:rPr>
        <w:t xml:space="preserve">, Bureau of Tourism </w:t>
      </w:r>
      <w:r w:rsidR="007F613C" w:rsidRPr="005722A6">
        <w:rPr>
          <w:rFonts w:asciiTheme="majorHAnsi" w:eastAsia="SimSun" w:hAnsiTheme="majorHAnsi" w:cs="Times New Roman"/>
          <w:sz w:val="20"/>
          <w:szCs w:val="20"/>
          <w:lang w:eastAsia="en-US"/>
        </w:rPr>
        <w:t xml:space="preserve">(BOT) </w:t>
      </w:r>
      <w:r w:rsidRPr="005722A6">
        <w:rPr>
          <w:rFonts w:asciiTheme="majorHAnsi" w:eastAsia="SimSun" w:hAnsiTheme="majorHAnsi" w:cs="Times New Roman"/>
          <w:sz w:val="20"/>
          <w:szCs w:val="20"/>
          <w:lang w:eastAsia="en-US"/>
        </w:rPr>
        <w:t>and the Protected Areas Network Office. The Forestry Division, with USDA Forest Service</w:t>
      </w:r>
      <w:r w:rsidR="00A63AF1">
        <w:rPr>
          <w:rFonts w:asciiTheme="majorHAnsi" w:eastAsia="SimSun" w:hAnsiTheme="majorHAnsi" w:cs="Times New Roman"/>
          <w:sz w:val="20"/>
          <w:szCs w:val="20"/>
          <w:lang w:eastAsia="en-US"/>
        </w:rPr>
        <w:t xml:space="preserve"> support</w:t>
      </w:r>
      <w:r w:rsidRPr="005722A6">
        <w:rPr>
          <w:rFonts w:asciiTheme="majorHAnsi" w:eastAsia="SimSun" w:hAnsiTheme="majorHAnsi" w:cs="Times New Roman"/>
          <w:sz w:val="20"/>
          <w:szCs w:val="20"/>
          <w:lang w:eastAsia="en-US"/>
        </w:rPr>
        <w:t>, conducts forest inventories to measure the status of forest resources in Palau to determine the extent, growth, composition, mortality, and health of forests as well as land use changes and potential for wildfire. The inventory co</w:t>
      </w:r>
      <w:r w:rsidR="00A63AF1">
        <w:rPr>
          <w:rFonts w:asciiTheme="majorHAnsi" w:eastAsia="SimSun" w:hAnsiTheme="majorHAnsi" w:cs="Times New Roman"/>
          <w:sz w:val="20"/>
          <w:szCs w:val="20"/>
          <w:lang w:eastAsia="en-US"/>
        </w:rPr>
        <w:t>mprises</w:t>
      </w:r>
      <w:r w:rsidRPr="005722A6">
        <w:rPr>
          <w:rFonts w:asciiTheme="majorHAnsi" w:eastAsia="SimSun" w:hAnsiTheme="majorHAnsi" w:cs="Times New Roman"/>
          <w:sz w:val="20"/>
          <w:szCs w:val="20"/>
          <w:lang w:eastAsia="en-US"/>
        </w:rPr>
        <w:t xml:space="preserve"> several permanent plots surveyed every 10 years, provid</w:t>
      </w:r>
      <w:r w:rsidR="00A63AF1">
        <w:rPr>
          <w:rFonts w:asciiTheme="majorHAnsi" w:eastAsia="SimSun" w:hAnsiTheme="majorHAnsi" w:cs="Times New Roman"/>
          <w:sz w:val="20"/>
          <w:szCs w:val="20"/>
          <w:lang w:eastAsia="en-US"/>
        </w:rPr>
        <w:t>ing</w:t>
      </w:r>
      <w:r w:rsidRPr="005722A6">
        <w:rPr>
          <w:rFonts w:asciiTheme="majorHAnsi" w:eastAsia="SimSun" w:hAnsiTheme="majorHAnsi" w:cs="Times New Roman"/>
          <w:sz w:val="20"/>
          <w:szCs w:val="20"/>
          <w:lang w:eastAsia="en-US"/>
        </w:rPr>
        <w:t xml:space="preserve"> limited data resolution at state level. </w:t>
      </w:r>
    </w:p>
    <w:p w14:paraId="637449A0" w14:textId="77777777" w:rsidR="00B87774" w:rsidRPr="005722A6" w:rsidRDefault="00B87774" w:rsidP="00B87774">
      <w:pPr>
        <w:pStyle w:val="Default"/>
        <w:jc w:val="both"/>
        <w:rPr>
          <w:rFonts w:asciiTheme="majorHAnsi" w:eastAsia="SimSun" w:hAnsiTheme="majorHAnsi" w:cs="Times New Roman"/>
          <w:sz w:val="20"/>
          <w:szCs w:val="20"/>
          <w:lang w:eastAsia="en-US"/>
        </w:rPr>
      </w:pPr>
    </w:p>
    <w:p w14:paraId="7F3978CE" w14:textId="4612D260" w:rsidR="00B87774" w:rsidRPr="005722A6" w:rsidRDefault="00C42E4D" w:rsidP="00B87774">
      <w:pPr>
        <w:widowControl w:val="0"/>
        <w:autoSpaceDE w:val="0"/>
        <w:autoSpaceDN w:val="0"/>
        <w:adjustRightInd w:val="0"/>
        <w:spacing w:after="0"/>
        <w:rPr>
          <w:rFonts w:asciiTheme="majorHAnsi" w:hAnsiTheme="majorHAnsi"/>
          <w:color w:val="000000"/>
          <w:sz w:val="20"/>
          <w:szCs w:val="20"/>
        </w:rPr>
      </w:pPr>
      <w:r w:rsidRPr="005722A6">
        <w:rPr>
          <w:rFonts w:asciiTheme="majorHAnsi" w:hAnsiTheme="majorHAnsi"/>
          <w:color w:val="000000"/>
          <w:sz w:val="20"/>
          <w:szCs w:val="20"/>
        </w:rPr>
        <w:t xml:space="preserve">The </w:t>
      </w:r>
      <w:r w:rsidR="007F613C" w:rsidRPr="005722A6">
        <w:rPr>
          <w:rFonts w:asciiTheme="majorHAnsi" w:hAnsiTheme="majorHAnsi"/>
          <w:color w:val="000000"/>
          <w:sz w:val="20"/>
          <w:szCs w:val="20"/>
        </w:rPr>
        <w:t>BOA</w:t>
      </w:r>
      <w:r w:rsidR="00CE4222">
        <w:rPr>
          <w:rFonts w:asciiTheme="majorHAnsi" w:hAnsiTheme="majorHAnsi"/>
          <w:color w:val="000000"/>
          <w:sz w:val="20"/>
          <w:szCs w:val="20"/>
        </w:rPr>
        <w:t>, under</w:t>
      </w:r>
      <w:r w:rsidR="00B87774" w:rsidRPr="005722A6">
        <w:rPr>
          <w:rFonts w:asciiTheme="majorHAnsi" w:hAnsiTheme="majorHAnsi"/>
          <w:color w:val="000000"/>
          <w:sz w:val="20"/>
          <w:szCs w:val="20"/>
        </w:rPr>
        <w:t xml:space="preserve"> its Plant and Animal Quarantine regulations </w:t>
      </w:r>
      <w:r w:rsidR="00CE4222">
        <w:rPr>
          <w:rFonts w:asciiTheme="majorHAnsi" w:hAnsiTheme="majorHAnsi"/>
          <w:color w:val="000000"/>
          <w:sz w:val="20"/>
          <w:szCs w:val="20"/>
        </w:rPr>
        <w:t>(</w:t>
      </w:r>
      <w:r w:rsidR="00B87774" w:rsidRPr="005722A6">
        <w:rPr>
          <w:rFonts w:asciiTheme="majorHAnsi" w:hAnsiTheme="majorHAnsi"/>
          <w:color w:val="000000"/>
          <w:sz w:val="20"/>
          <w:szCs w:val="20"/>
        </w:rPr>
        <w:t>1999</w:t>
      </w:r>
      <w:r w:rsidR="00867B4C">
        <w:rPr>
          <w:rFonts w:asciiTheme="majorHAnsi" w:hAnsiTheme="majorHAnsi"/>
          <w:color w:val="000000"/>
          <w:sz w:val="20"/>
          <w:szCs w:val="20"/>
        </w:rPr>
        <w:t xml:space="preserve">, </w:t>
      </w:r>
      <w:r w:rsidR="00B87774" w:rsidRPr="005722A6">
        <w:rPr>
          <w:rFonts w:asciiTheme="majorHAnsi" w:hAnsiTheme="majorHAnsi"/>
          <w:color w:val="000000"/>
          <w:sz w:val="20"/>
          <w:szCs w:val="20"/>
        </w:rPr>
        <w:t>revised in 2008</w:t>
      </w:r>
      <w:r w:rsidR="00CE4222">
        <w:rPr>
          <w:rFonts w:asciiTheme="majorHAnsi" w:hAnsiTheme="majorHAnsi"/>
          <w:color w:val="000000"/>
          <w:sz w:val="20"/>
          <w:szCs w:val="20"/>
        </w:rPr>
        <w:t>)</w:t>
      </w:r>
      <w:r w:rsidR="00B87774" w:rsidRPr="005722A6">
        <w:rPr>
          <w:rFonts w:asciiTheme="majorHAnsi" w:hAnsiTheme="majorHAnsi"/>
          <w:color w:val="000000"/>
          <w:sz w:val="20"/>
          <w:szCs w:val="20"/>
        </w:rPr>
        <w:t xml:space="preserve"> is responsible for inspecti</w:t>
      </w:r>
      <w:r w:rsidR="00C11AFC">
        <w:rPr>
          <w:rFonts w:asciiTheme="majorHAnsi" w:hAnsiTheme="majorHAnsi"/>
          <w:color w:val="000000"/>
          <w:sz w:val="20"/>
          <w:szCs w:val="20"/>
        </w:rPr>
        <w:t>ng</w:t>
      </w:r>
      <w:r w:rsidR="00B87774" w:rsidRPr="005722A6">
        <w:rPr>
          <w:rFonts w:asciiTheme="majorHAnsi" w:hAnsiTheme="majorHAnsi"/>
          <w:color w:val="000000"/>
          <w:sz w:val="20"/>
          <w:szCs w:val="20"/>
        </w:rPr>
        <w:t xml:space="preserve"> consignments of plants and plant products moving </w:t>
      </w:r>
      <w:r w:rsidR="00867B4C">
        <w:rPr>
          <w:rFonts w:asciiTheme="majorHAnsi" w:hAnsiTheme="majorHAnsi"/>
          <w:color w:val="000000"/>
          <w:sz w:val="20"/>
          <w:szCs w:val="20"/>
        </w:rPr>
        <w:t>between nations</w:t>
      </w:r>
      <w:r w:rsidR="00B87774" w:rsidRPr="005722A6">
        <w:rPr>
          <w:rFonts w:asciiTheme="majorHAnsi" w:hAnsiTheme="majorHAnsi"/>
          <w:color w:val="000000"/>
          <w:sz w:val="20"/>
          <w:szCs w:val="20"/>
        </w:rPr>
        <w:t xml:space="preserve"> and, where appropriate, the inspection of other regulated articles, particularly with the object</w:t>
      </w:r>
      <w:r w:rsidR="00867B4C">
        <w:rPr>
          <w:rFonts w:asciiTheme="majorHAnsi" w:hAnsiTheme="majorHAnsi"/>
          <w:color w:val="000000"/>
          <w:sz w:val="20"/>
          <w:szCs w:val="20"/>
        </w:rPr>
        <w:t>ive</w:t>
      </w:r>
      <w:r w:rsidR="00B87774" w:rsidRPr="005722A6">
        <w:rPr>
          <w:rFonts w:asciiTheme="majorHAnsi" w:hAnsiTheme="majorHAnsi"/>
          <w:color w:val="000000"/>
          <w:sz w:val="20"/>
          <w:szCs w:val="20"/>
        </w:rPr>
        <w:t xml:space="preserve"> of preventing the introduction and/or spread o</w:t>
      </w:r>
      <w:r w:rsidR="00867B4C">
        <w:rPr>
          <w:rFonts w:asciiTheme="majorHAnsi" w:hAnsiTheme="majorHAnsi"/>
          <w:color w:val="000000"/>
          <w:sz w:val="20"/>
          <w:szCs w:val="20"/>
        </w:rPr>
        <w:t>f</w:t>
      </w:r>
      <w:r w:rsidR="00B87774" w:rsidRPr="005722A6">
        <w:rPr>
          <w:rFonts w:asciiTheme="majorHAnsi" w:hAnsiTheme="majorHAnsi"/>
          <w:color w:val="000000"/>
          <w:sz w:val="20"/>
          <w:szCs w:val="20"/>
        </w:rPr>
        <w:t xml:space="preserve"> pests. Palau’s Plant and Animal Quarantines and Regulations contain schedules of prohibited plants and animals. These schedules were updated in 2002 to include any species or hybrid of tilapia (</w:t>
      </w:r>
      <w:r w:rsidR="00B87774" w:rsidRPr="005722A6">
        <w:rPr>
          <w:rFonts w:asciiTheme="majorHAnsi" w:hAnsiTheme="majorHAnsi"/>
          <w:i/>
          <w:iCs/>
          <w:color w:val="000000"/>
          <w:sz w:val="20"/>
          <w:szCs w:val="20"/>
        </w:rPr>
        <w:t xml:space="preserve">Oreochromis </w:t>
      </w:r>
      <w:r w:rsidR="00B87774" w:rsidRPr="005722A6">
        <w:rPr>
          <w:rFonts w:asciiTheme="majorHAnsi" w:hAnsiTheme="majorHAnsi"/>
          <w:color w:val="000000"/>
          <w:sz w:val="20"/>
          <w:szCs w:val="20"/>
        </w:rPr>
        <w:t xml:space="preserve">spp.), which is currently the only listed marine or </w:t>
      </w:r>
      <w:r w:rsidR="00867B4C">
        <w:rPr>
          <w:rFonts w:asciiTheme="majorHAnsi" w:hAnsiTheme="majorHAnsi"/>
          <w:color w:val="000000"/>
          <w:sz w:val="20"/>
          <w:szCs w:val="20"/>
        </w:rPr>
        <w:t xml:space="preserve">freshwater </w:t>
      </w:r>
      <w:r w:rsidR="00B87774" w:rsidRPr="005722A6">
        <w:rPr>
          <w:rFonts w:asciiTheme="majorHAnsi" w:hAnsiTheme="majorHAnsi"/>
          <w:color w:val="000000"/>
          <w:sz w:val="20"/>
          <w:szCs w:val="20"/>
        </w:rPr>
        <w:t xml:space="preserve">species. </w:t>
      </w:r>
      <w:r w:rsidR="00F85968" w:rsidRPr="005722A6">
        <w:rPr>
          <w:rFonts w:asciiTheme="majorHAnsi" w:hAnsiTheme="majorHAnsi"/>
          <w:color w:val="000000"/>
          <w:sz w:val="20"/>
          <w:szCs w:val="20"/>
        </w:rPr>
        <w:t>Th</w:t>
      </w:r>
      <w:r w:rsidR="003E57C2" w:rsidRPr="005722A6">
        <w:rPr>
          <w:rFonts w:asciiTheme="majorHAnsi" w:hAnsiTheme="majorHAnsi"/>
          <w:color w:val="000000"/>
          <w:sz w:val="20"/>
          <w:szCs w:val="20"/>
        </w:rPr>
        <w:t>e revised regulation</w:t>
      </w:r>
      <w:r w:rsidR="00F85968" w:rsidRPr="005722A6">
        <w:rPr>
          <w:rFonts w:asciiTheme="majorHAnsi" w:hAnsiTheme="majorHAnsi"/>
          <w:color w:val="000000"/>
          <w:sz w:val="20"/>
          <w:szCs w:val="20"/>
        </w:rPr>
        <w:t xml:space="preserve"> </w:t>
      </w:r>
      <w:r w:rsidR="00B87774" w:rsidRPr="005722A6">
        <w:rPr>
          <w:rFonts w:asciiTheme="majorHAnsi" w:hAnsiTheme="majorHAnsi"/>
          <w:color w:val="000000"/>
          <w:sz w:val="20"/>
          <w:szCs w:val="20"/>
        </w:rPr>
        <w:t xml:space="preserve">also gives the </w:t>
      </w:r>
      <w:r w:rsidR="00D934AC">
        <w:rPr>
          <w:rFonts w:asciiTheme="majorHAnsi" w:hAnsiTheme="majorHAnsi"/>
          <w:color w:val="000000"/>
          <w:sz w:val="20"/>
          <w:szCs w:val="20"/>
        </w:rPr>
        <w:t xml:space="preserve">National Invasive Species </w:t>
      </w:r>
      <w:r w:rsidR="00375AE8">
        <w:rPr>
          <w:rFonts w:asciiTheme="majorHAnsi" w:hAnsiTheme="majorHAnsi"/>
          <w:color w:val="000000"/>
          <w:sz w:val="20"/>
          <w:szCs w:val="20"/>
        </w:rPr>
        <w:t xml:space="preserve">Committee </w:t>
      </w:r>
      <w:r w:rsidR="00D934AC">
        <w:rPr>
          <w:rFonts w:asciiTheme="majorHAnsi" w:hAnsiTheme="majorHAnsi"/>
          <w:color w:val="000000"/>
          <w:sz w:val="20"/>
          <w:szCs w:val="20"/>
        </w:rPr>
        <w:t>(</w:t>
      </w:r>
      <w:r w:rsidR="00B87774" w:rsidRPr="005722A6">
        <w:rPr>
          <w:rFonts w:asciiTheme="majorHAnsi" w:hAnsiTheme="majorHAnsi"/>
          <w:color w:val="000000"/>
          <w:sz w:val="20"/>
          <w:szCs w:val="20"/>
        </w:rPr>
        <w:t>NISC</w:t>
      </w:r>
      <w:r w:rsidR="00D934AC">
        <w:rPr>
          <w:rFonts w:asciiTheme="majorHAnsi" w:hAnsiTheme="majorHAnsi"/>
          <w:color w:val="000000"/>
          <w:sz w:val="20"/>
          <w:szCs w:val="20"/>
        </w:rPr>
        <w:t>)</w:t>
      </w:r>
      <w:r w:rsidR="00B87774" w:rsidRPr="005722A6">
        <w:rPr>
          <w:rFonts w:asciiTheme="majorHAnsi" w:hAnsiTheme="majorHAnsi"/>
          <w:color w:val="000000"/>
          <w:sz w:val="20"/>
          <w:szCs w:val="20"/>
        </w:rPr>
        <w:t xml:space="preserve"> the responsibility of advising the Department of Agriculture on species that should be added or removed from the prohibited schedule. All live imports must have a permit issued by the </w:t>
      </w:r>
      <w:r w:rsidR="007F613C" w:rsidRPr="005722A6">
        <w:rPr>
          <w:rFonts w:asciiTheme="majorHAnsi" w:hAnsiTheme="majorHAnsi"/>
          <w:color w:val="000000"/>
          <w:sz w:val="20"/>
          <w:szCs w:val="20"/>
        </w:rPr>
        <w:t>BOA</w:t>
      </w:r>
      <w:r w:rsidR="00B87774" w:rsidRPr="005722A6">
        <w:rPr>
          <w:rFonts w:asciiTheme="majorHAnsi" w:hAnsiTheme="majorHAnsi"/>
          <w:color w:val="000000"/>
          <w:sz w:val="20"/>
          <w:szCs w:val="20"/>
        </w:rPr>
        <w:t xml:space="preserve"> and live organisms must have received a certificate of health from their country of origin. </w:t>
      </w:r>
      <w:r w:rsidR="002C54EE" w:rsidRPr="005722A6">
        <w:rPr>
          <w:rFonts w:asciiTheme="majorHAnsi" w:hAnsiTheme="majorHAnsi"/>
          <w:color w:val="000000"/>
          <w:sz w:val="20"/>
          <w:szCs w:val="20"/>
        </w:rPr>
        <w:t>O</w:t>
      </w:r>
      <w:r w:rsidR="00B87774" w:rsidRPr="005722A6">
        <w:rPr>
          <w:rFonts w:asciiTheme="majorHAnsi" w:hAnsiTheme="majorHAnsi"/>
          <w:color w:val="000000"/>
          <w:sz w:val="20"/>
          <w:szCs w:val="20"/>
        </w:rPr>
        <w:t xml:space="preserve">rganisms can be placed in quarantine for further observation and treatment at the importer’s cost. </w:t>
      </w:r>
      <w:r w:rsidR="002C54EE" w:rsidRPr="005722A6">
        <w:rPr>
          <w:rFonts w:asciiTheme="majorHAnsi" w:hAnsiTheme="majorHAnsi"/>
          <w:color w:val="000000"/>
          <w:sz w:val="20"/>
          <w:szCs w:val="20"/>
        </w:rPr>
        <w:t>S</w:t>
      </w:r>
      <w:r w:rsidR="00B87774" w:rsidRPr="005722A6">
        <w:rPr>
          <w:rFonts w:asciiTheme="majorHAnsi" w:hAnsiTheme="majorHAnsi"/>
          <w:color w:val="000000"/>
          <w:sz w:val="20"/>
          <w:szCs w:val="20"/>
        </w:rPr>
        <w:t>pecies intended for aquaculture must be approved by the B</w:t>
      </w:r>
      <w:r w:rsidR="007F613C" w:rsidRPr="005722A6">
        <w:rPr>
          <w:rFonts w:asciiTheme="majorHAnsi" w:hAnsiTheme="majorHAnsi"/>
          <w:color w:val="000000"/>
          <w:sz w:val="20"/>
          <w:szCs w:val="20"/>
        </w:rPr>
        <w:t>OA</w:t>
      </w:r>
      <w:r w:rsidR="00B87774" w:rsidRPr="005722A6">
        <w:rPr>
          <w:rFonts w:asciiTheme="majorHAnsi" w:hAnsiTheme="majorHAnsi"/>
          <w:color w:val="000000"/>
          <w:sz w:val="20"/>
          <w:szCs w:val="20"/>
        </w:rPr>
        <w:t>, and are to be held in quarantine for seven days for observation by the B</w:t>
      </w:r>
      <w:r w:rsidR="007F613C" w:rsidRPr="005722A6">
        <w:rPr>
          <w:rFonts w:asciiTheme="majorHAnsi" w:hAnsiTheme="majorHAnsi"/>
          <w:color w:val="000000"/>
          <w:sz w:val="20"/>
          <w:szCs w:val="20"/>
        </w:rPr>
        <w:t>MR</w:t>
      </w:r>
      <w:r w:rsidR="00B87774" w:rsidRPr="005722A6">
        <w:rPr>
          <w:rFonts w:asciiTheme="majorHAnsi" w:hAnsiTheme="majorHAnsi"/>
          <w:color w:val="000000"/>
          <w:sz w:val="20"/>
          <w:szCs w:val="20"/>
        </w:rPr>
        <w:t xml:space="preserve">. During the project period, estimated investment by the BOA, including work of the Forestry Division and Biosecurity is US$2,946,000. </w:t>
      </w:r>
    </w:p>
    <w:p w14:paraId="5ADC7670" w14:textId="77777777" w:rsidR="00B87774" w:rsidRPr="005722A6" w:rsidRDefault="00B87774" w:rsidP="00B87774">
      <w:pPr>
        <w:widowControl w:val="0"/>
        <w:autoSpaceDE w:val="0"/>
        <w:autoSpaceDN w:val="0"/>
        <w:adjustRightInd w:val="0"/>
        <w:spacing w:after="0"/>
        <w:rPr>
          <w:rFonts w:asciiTheme="majorHAnsi" w:hAnsiTheme="majorHAnsi"/>
          <w:color w:val="000000"/>
          <w:sz w:val="20"/>
          <w:szCs w:val="20"/>
        </w:rPr>
      </w:pPr>
    </w:p>
    <w:p w14:paraId="0115F67A" w14:textId="42D83BC2" w:rsidR="00B87774" w:rsidRPr="005722A6" w:rsidRDefault="00527411" w:rsidP="00B87774">
      <w:pPr>
        <w:widowControl w:val="0"/>
        <w:autoSpaceDE w:val="0"/>
        <w:autoSpaceDN w:val="0"/>
        <w:adjustRightInd w:val="0"/>
        <w:spacing w:after="0"/>
        <w:rPr>
          <w:rFonts w:asciiTheme="majorHAnsi" w:hAnsiTheme="majorHAnsi"/>
          <w:color w:val="000000"/>
          <w:sz w:val="20"/>
          <w:szCs w:val="20"/>
        </w:rPr>
      </w:pPr>
      <w:r w:rsidRPr="005722A6">
        <w:rPr>
          <w:rFonts w:asciiTheme="majorHAnsi" w:hAnsiTheme="majorHAnsi"/>
          <w:color w:val="000000"/>
          <w:sz w:val="20"/>
          <w:szCs w:val="20"/>
        </w:rPr>
        <w:t>The Environmental Quality Protection Board (</w:t>
      </w:r>
      <w:r w:rsidR="00B87774" w:rsidRPr="005722A6">
        <w:rPr>
          <w:rFonts w:asciiTheme="majorHAnsi" w:hAnsiTheme="majorHAnsi"/>
          <w:color w:val="000000"/>
          <w:sz w:val="20"/>
          <w:szCs w:val="20"/>
        </w:rPr>
        <w:t>EQPB</w:t>
      </w:r>
      <w:r w:rsidRPr="005722A6">
        <w:rPr>
          <w:rFonts w:asciiTheme="majorHAnsi" w:hAnsiTheme="majorHAnsi"/>
          <w:color w:val="000000"/>
          <w:sz w:val="20"/>
          <w:szCs w:val="20"/>
        </w:rPr>
        <w:t>)</w:t>
      </w:r>
      <w:r w:rsidR="00B87774" w:rsidRPr="005722A6">
        <w:rPr>
          <w:rFonts w:asciiTheme="majorHAnsi" w:hAnsiTheme="majorHAnsi"/>
          <w:color w:val="000000"/>
          <w:sz w:val="20"/>
          <w:szCs w:val="20"/>
        </w:rPr>
        <w:t xml:space="preserve"> regulates development activities involving earthmoving and structural development, with an estimated investment of US$2,400,000 over the project period. The Office of the Palau Automated Land and Resource Information System (PALARIS) provides mapping and geographic information systems and services, which support land use planning with an estimated investment of US$744,000 over the project period. The Fire and Rescue Division of the Bureau of Public Safety is mandated to suppress both urban and rural fires but is understaffed and has limited equipment, particularly on Babeldaob. During the project period, an investment of US$1,200,000 is estimated from the Division of Fire and Rescue. The </w:t>
      </w:r>
      <w:r w:rsidR="00867B4C">
        <w:rPr>
          <w:rFonts w:asciiTheme="majorHAnsi" w:hAnsiTheme="majorHAnsi"/>
          <w:color w:val="000000"/>
          <w:sz w:val="20"/>
          <w:szCs w:val="20"/>
        </w:rPr>
        <w:t xml:space="preserve">Bureau of Tourism, recently </w:t>
      </w:r>
      <w:r w:rsidR="00B87774" w:rsidRPr="005722A6">
        <w:rPr>
          <w:rFonts w:asciiTheme="majorHAnsi" w:hAnsiTheme="majorHAnsi"/>
          <w:color w:val="000000"/>
          <w:sz w:val="20"/>
          <w:szCs w:val="20"/>
        </w:rPr>
        <w:t xml:space="preserve">established in February 2014 </w:t>
      </w:r>
      <w:r w:rsidR="00867B4C">
        <w:rPr>
          <w:rFonts w:asciiTheme="majorHAnsi" w:hAnsiTheme="majorHAnsi"/>
          <w:color w:val="000000"/>
          <w:sz w:val="20"/>
          <w:szCs w:val="20"/>
        </w:rPr>
        <w:t>will</w:t>
      </w:r>
      <w:r w:rsidR="00B87774" w:rsidRPr="005722A6">
        <w:rPr>
          <w:rFonts w:asciiTheme="majorHAnsi" w:hAnsiTheme="majorHAnsi"/>
          <w:color w:val="000000"/>
          <w:sz w:val="20"/>
          <w:szCs w:val="20"/>
        </w:rPr>
        <w:t xml:space="preserve"> establish Palau’s National Tourism Master Plan with an estimated investment of US$415,000 over the project period. The </w:t>
      </w:r>
      <w:r w:rsidR="00B87774" w:rsidRPr="00B92273">
        <w:rPr>
          <w:rFonts w:asciiTheme="majorHAnsi" w:hAnsiTheme="majorHAnsi"/>
          <w:color w:val="000000"/>
          <w:sz w:val="20"/>
          <w:szCs w:val="20"/>
        </w:rPr>
        <w:t>P</w:t>
      </w:r>
      <w:r w:rsidR="00B92273" w:rsidRPr="00B92273">
        <w:rPr>
          <w:rFonts w:asciiTheme="majorHAnsi" w:hAnsiTheme="majorHAnsi"/>
          <w:color w:val="000000"/>
          <w:sz w:val="20"/>
          <w:szCs w:val="20"/>
        </w:rPr>
        <w:t>alau Visitors Authority (P</w:t>
      </w:r>
      <w:r w:rsidR="00B87774" w:rsidRPr="00B92273">
        <w:rPr>
          <w:rFonts w:asciiTheme="majorHAnsi" w:hAnsiTheme="majorHAnsi"/>
          <w:color w:val="000000"/>
          <w:sz w:val="20"/>
          <w:szCs w:val="20"/>
        </w:rPr>
        <w:t>VA</w:t>
      </w:r>
      <w:r w:rsidR="00B92273" w:rsidRPr="00B92273">
        <w:rPr>
          <w:rFonts w:asciiTheme="majorHAnsi" w:hAnsiTheme="majorHAnsi"/>
          <w:color w:val="000000"/>
          <w:sz w:val="20"/>
          <w:szCs w:val="20"/>
        </w:rPr>
        <w:t>)</w:t>
      </w:r>
      <w:r w:rsidR="00B87774" w:rsidRPr="005722A6">
        <w:rPr>
          <w:rFonts w:asciiTheme="majorHAnsi" w:hAnsiTheme="majorHAnsi"/>
          <w:color w:val="000000"/>
          <w:sz w:val="20"/>
          <w:szCs w:val="20"/>
        </w:rPr>
        <w:t xml:space="preserve"> promotes and encourages the development and marketing of tourism. Its primary responsibility is to develop policies and guidelines to guide its marketing direction, and it acts as a liaison between the tourism industry and the community, particularly the states, in accessing and encouraging establishment of potential tourist sites and activities for spreading tourist traffic throughout Palau. It will invest</w:t>
      </w:r>
      <w:r w:rsidR="00867B4C">
        <w:rPr>
          <w:rFonts w:asciiTheme="majorHAnsi" w:hAnsiTheme="majorHAnsi"/>
          <w:color w:val="000000"/>
          <w:sz w:val="20"/>
          <w:szCs w:val="20"/>
        </w:rPr>
        <w:t xml:space="preserve"> an estimated </w:t>
      </w:r>
      <w:r w:rsidR="00B87774" w:rsidRPr="005722A6">
        <w:rPr>
          <w:rFonts w:asciiTheme="majorHAnsi" w:hAnsiTheme="majorHAnsi"/>
          <w:color w:val="000000"/>
          <w:sz w:val="20"/>
          <w:szCs w:val="20"/>
        </w:rPr>
        <w:t xml:space="preserve">US$4,800,000 </w:t>
      </w:r>
      <w:r w:rsidR="00867B4C">
        <w:rPr>
          <w:rFonts w:asciiTheme="majorHAnsi" w:hAnsiTheme="majorHAnsi"/>
          <w:color w:val="000000"/>
          <w:sz w:val="20"/>
          <w:szCs w:val="20"/>
        </w:rPr>
        <w:t>during</w:t>
      </w:r>
      <w:r w:rsidR="00867B4C" w:rsidRPr="005722A6">
        <w:rPr>
          <w:rFonts w:asciiTheme="majorHAnsi" w:hAnsiTheme="majorHAnsi"/>
          <w:color w:val="000000"/>
          <w:sz w:val="20"/>
          <w:szCs w:val="20"/>
        </w:rPr>
        <w:t xml:space="preserve"> </w:t>
      </w:r>
      <w:r w:rsidR="00B87774" w:rsidRPr="005722A6">
        <w:rPr>
          <w:rFonts w:asciiTheme="majorHAnsi" w:hAnsiTheme="majorHAnsi"/>
          <w:color w:val="000000"/>
          <w:sz w:val="20"/>
          <w:szCs w:val="20"/>
        </w:rPr>
        <w:t xml:space="preserve">the project. </w:t>
      </w:r>
    </w:p>
    <w:p w14:paraId="429D4710" w14:textId="6D931733" w:rsidR="00B87774" w:rsidRPr="005722A6" w:rsidRDefault="00B87774" w:rsidP="0096363F">
      <w:pPr>
        <w:widowControl w:val="0"/>
        <w:autoSpaceDE w:val="0"/>
        <w:autoSpaceDN w:val="0"/>
        <w:adjustRightInd w:val="0"/>
        <w:spacing w:before="240" w:after="0"/>
        <w:rPr>
          <w:rFonts w:asciiTheme="majorHAnsi" w:hAnsiTheme="majorHAnsi"/>
          <w:color w:val="000000"/>
          <w:sz w:val="20"/>
          <w:szCs w:val="20"/>
        </w:rPr>
      </w:pPr>
      <w:r w:rsidRPr="005722A6">
        <w:rPr>
          <w:rFonts w:asciiTheme="majorHAnsi" w:hAnsiTheme="majorHAnsi"/>
          <w:color w:val="000000"/>
          <w:sz w:val="20"/>
          <w:szCs w:val="20"/>
        </w:rPr>
        <w:t>The Division of Fish and Wildlife Protection</w:t>
      </w:r>
      <w:r w:rsidR="00527411" w:rsidRPr="005722A6">
        <w:rPr>
          <w:rFonts w:asciiTheme="majorHAnsi" w:hAnsiTheme="majorHAnsi"/>
          <w:color w:val="000000"/>
          <w:sz w:val="20"/>
          <w:szCs w:val="20"/>
        </w:rPr>
        <w:t xml:space="preserve"> (DFWP)</w:t>
      </w:r>
      <w:r w:rsidRPr="005722A6">
        <w:rPr>
          <w:rFonts w:asciiTheme="majorHAnsi" w:hAnsiTheme="majorHAnsi"/>
          <w:color w:val="000000"/>
          <w:sz w:val="20"/>
          <w:szCs w:val="20"/>
        </w:rPr>
        <w:t>, Ministry of Justice, is tasked with enforc</w:t>
      </w:r>
      <w:r w:rsidR="00867B4C">
        <w:rPr>
          <w:rFonts w:asciiTheme="majorHAnsi" w:hAnsiTheme="majorHAnsi"/>
          <w:color w:val="000000"/>
          <w:sz w:val="20"/>
          <w:szCs w:val="20"/>
        </w:rPr>
        <w:t>ing</w:t>
      </w:r>
      <w:r w:rsidRPr="005722A6">
        <w:rPr>
          <w:rFonts w:asciiTheme="majorHAnsi" w:hAnsiTheme="majorHAnsi"/>
          <w:color w:val="000000"/>
          <w:sz w:val="20"/>
          <w:szCs w:val="20"/>
        </w:rPr>
        <w:t xml:space="preserve"> laws relating to plants and animals </w:t>
      </w:r>
      <w:r w:rsidR="00867B4C">
        <w:rPr>
          <w:rFonts w:asciiTheme="majorHAnsi" w:hAnsiTheme="majorHAnsi"/>
          <w:color w:val="000000"/>
          <w:sz w:val="20"/>
          <w:szCs w:val="20"/>
        </w:rPr>
        <w:t xml:space="preserve">scheduled for protection, </w:t>
      </w:r>
      <w:r w:rsidRPr="005722A6">
        <w:rPr>
          <w:rFonts w:asciiTheme="majorHAnsi" w:hAnsiTheme="majorHAnsi"/>
          <w:color w:val="000000"/>
          <w:sz w:val="20"/>
          <w:szCs w:val="20"/>
        </w:rPr>
        <w:t xml:space="preserve">including those listed in the Endangered Species Act. It is the primary authority to enforce criminal laws protecting the environment inside the reef and associated with domestic fishing. The Division is responsible </w:t>
      </w:r>
      <w:r w:rsidR="00867B4C">
        <w:rPr>
          <w:rFonts w:asciiTheme="majorHAnsi" w:hAnsiTheme="majorHAnsi"/>
          <w:color w:val="000000"/>
          <w:sz w:val="20"/>
          <w:szCs w:val="20"/>
        </w:rPr>
        <w:t>for</w:t>
      </w:r>
      <w:r w:rsidR="00867B4C" w:rsidRPr="005722A6">
        <w:rPr>
          <w:rFonts w:asciiTheme="majorHAnsi" w:hAnsiTheme="majorHAnsi"/>
          <w:color w:val="000000"/>
          <w:sz w:val="20"/>
          <w:szCs w:val="20"/>
        </w:rPr>
        <w:t xml:space="preserve"> enforc</w:t>
      </w:r>
      <w:r w:rsidR="00867B4C">
        <w:rPr>
          <w:rFonts w:asciiTheme="majorHAnsi" w:hAnsiTheme="majorHAnsi"/>
          <w:color w:val="000000"/>
          <w:sz w:val="20"/>
          <w:szCs w:val="20"/>
        </w:rPr>
        <w:t>ing</w:t>
      </w:r>
      <w:r w:rsidR="00867B4C" w:rsidRPr="005722A6">
        <w:rPr>
          <w:rFonts w:asciiTheme="majorHAnsi" w:hAnsiTheme="majorHAnsi"/>
          <w:color w:val="000000"/>
          <w:sz w:val="20"/>
          <w:szCs w:val="20"/>
        </w:rPr>
        <w:t xml:space="preserve"> </w:t>
      </w:r>
      <w:r w:rsidRPr="005722A6">
        <w:rPr>
          <w:rFonts w:asciiTheme="majorHAnsi" w:hAnsiTheme="majorHAnsi"/>
          <w:color w:val="000000"/>
          <w:sz w:val="20"/>
          <w:szCs w:val="20"/>
        </w:rPr>
        <w:t>the provisions of the Palau National Code related to protected sea and land life, illegal methods of capture</w:t>
      </w:r>
      <w:r w:rsidR="002C54EE" w:rsidRPr="005722A6">
        <w:rPr>
          <w:rFonts w:asciiTheme="majorHAnsi" w:hAnsiTheme="majorHAnsi"/>
          <w:color w:val="000000"/>
          <w:sz w:val="20"/>
          <w:szCs w:val="20"/>
        </w:rPr>
        <w:t>,</w:t>
      </w:r>
      <w:r w:rsidRPr="005722A6">
        <w:rPr>
          <w:rFonts w:asciiTheme="majorHAnsi" w:hAnsiTheme="majorHAnsi"/>
          <w:color w:val="000000"/>
          <w:sz w:val="20"/>
          <w:szCs w:val="20"/>
        </w:rPr>
        <w:t xml:space="preserve"> and </w:t>
      </w:r>
      <w:r w:rsidR="00867B4C">
        <w:rPr>
          <w:rFonts w:asciiTheme="majorHAnsi" w:hAnsiTheme="majorHAnsi"/>
          <w:color w:val="000000"/>
          <w:sz w:val="20"/>
          <w:szCs w:val="20"/>
        </w:rPr>
        <w:t>other</w:t>
      </w:r>
      <w:r w:rsidRPr="005722A6">
        <w:rPr>
          <w:rFonts w:asciiTheme="majorHAnsi" w:hAnsiTheme="majorHAnsi"/>
          <w:color w:val="000000"/>
          <w:sz w:val="20"/>
          <w:szCs w:val="20"/>
        </w:rPr>
        <w:t xml:space="preserve"> laws related to PAs. The B</w:t>
      </w:r>
      <w:r w:rsidR="00867B4C">
        <w:rPr>
          <w:rFonts w:asciiTheme="majorHAnsi" w:hAnsiTheme="majorHAnsi"/>
          <w:color w:val="000000"/>
          <w:sz w:val="20"/>
          <w:szCs w:val="20"/>
        </w:rPr>
        <w:t>ureau of Marine Resources (B</w:t>
      </w:r>
      <w:r w:rsidRPr="005722A6">
        <w:rPr>
          <w:rFonts w:asciiTheme="majorHAnsi" w:hAnsiTheme="majorHAnsi"/>
          <w:color w:val="000000"/>
          <w:sz w:val="20"/>
          <w:szCs w:val="20"/>
        </w:rPr>
        <w:t>MR</w:t>
      </w:r>
      <w:r w:rsidR="00867B4C">
        <w:rPr>
          <w:rFonts w:asciiTheme="majorHAnsi" w:hAnsiTheme="majorHAnsi"/>
          <w:color w:val="000000"/>
          <w:sz w:val="20"/>
          <w:szCs w:val="20"/>
        </w:rPr>
        <w:t>)</w:t>
      </w:r>
      <w:r w:rsidR="00041F19" w:rsidRPr="005722A6">
        <w:rPr>
          <w:rFonts w:asciiTheme="majorHAnsi" w:hAnsiTheme="majorHAnsi"/>
          <w:color w:val="000000"/>
          <w:sz w:val="20"/>
          <w:szCs w:val="20"/>
        </w:rPr>
        <w:t xml:space="preserve"> under MNRET</w:t>
      </w:r>
      <w:r w:rsidRPr="005722A6">
        <w:rPr>
          <w:rFonts w:asciiTheme="majorHAnsi" w:hAnsiTheme="majorHAnsi"/>
          <w:color w:val="000000"/>
          <w:sz w:val="20"/>
          <w:szCs w:val="20"/>
        </w:rPr>
        <w:t xml:space="preserve"> implements marine management measures with state governments. </w:t>
      </w:r>
      <w:r w:rsidR="00867B4C">
        <w:rPr>
          <w:rFonts w:asciiTheme="majorHAnsi" w:hAnsiTheme="majorHAnsi"/>
          <w:color w:val="000000"/>
          <w:sz w:val="20"/>
          <w:szCs w:val="20"/>
        </w:rPr>
        <w:t xml:space="preserve">It </w:t>
      </w:r>
      <w:r w:rsidRPr="005722A6">
        <w:rPr>
          <w:rFonts w:asciiTheme="majorHAnsi" w:hAnsiTheme="majorHAnsi"/>
          <w:color w:val="000000"/>
          <w:sz w:val="20"/>
          <w:szCs w:val="20"/>
        </w:rPr>
        <w:t xml:space="preserve">has deployed fish aggregating devices in territorial waters around Palau </w:t>
      </w:r>
      <w:r w:rsidR="00867B4C">
        <w:rPr>
          <w:rFonts w:asciiTheme="majorHAnsi" w:hAnsiTheme="majorHAnsi"/>
          <w:color w:val="000000"/>
          <w:sz w:val="20"/>
          <w:szCs w:val="20"/>
        </w:rPr>
        <w:t xml:space="preserve">to reduce </w:t>
      </w:r>
      <w:r w:rsidRPr="005722A6">
        <w:rPr>
          <w:rFonts w:asciiTheme="majorHAnsi" w:hAnsiTheme="majorHAnsi"/>
          <w:color w:val="000000"/>
          <w:sz w:val="20"/>
          <w:szCs w:val="20"/>
        </w:rPr>
        <w:t xml:space="preserve">fishing pressure </w:t>
      </w:r>
      <w:r w:rsidR="00867B4C">
        <w:rPr>
          <w:rFonts w:asciiTheme="majorHAnsi" w:hAnsiTheme="majorHAnsi"/>
          <w:color w:val="000000"/>
          <w:sz w:val="20"/>
          <w:szCs w:val="20"/>
        </w:rPr>
        <w:t xml:space="preserve">inside </w:t>
      </w:r>
      <w:r w:rsidRPr="005722A6">
        <w:rPr>
          <w:rFonts w:asciiTheme="majorHAnsi" w:hAnsiTheme="majorHAnsi"/>
          <w:color w:val="000000"/>
          <w:sz w:val="20"/>
          <w:szCs w:val="20"/>
        </w:rPr>
        <w:t xml:space="preserve">reefs </w:t>
      </w:r>
      <w:r w:rsidR="00867B4C">
        <w:rPr>
          <w:rFonts w:asciiTheme="majorHAnsi" w:hAnsiTheme="majorHAnsi"/>
          <w:color w:val="000000"/>
          <w:sz w:val="20"/>
          <w:szCs w:val="20"/>
        </w:rPr>
        <w:t>by</w:t>
      </w:r>
      <w:r w:rsidR="00867B4C" w:rsidRPr="005722A6">
        <w:rPr>
          <w:rFonts w:asciiTheme="majorHAnsi" w:hAnsiTheme="majorHAnsi"/>
          <w:color w:val="000000"/>
          <w:sz w:val="20"/>
          <w:szCs w:val="20"/>
        </w:rPr>
        <w:t xml:space="preserve"> </w:t>
      </w:r>
      <w:r w:rsidRPr="005722A6">
        <w:rPr>
          <w:rFonts w:asciiTheme="majorHAnsi" w:hAnsiTheme="majorHAnsi"/>
          <w:color w:val="000000"/>
          <w:sz w:val="20"/>
          <w:szCs w:val="20"/>
        </w:rPr>
        <w:t>promot</w:t>
      </w:r>
      <w:r w:rsidR="00867B4C">
        <w:rPr>
          <w:rFonts w:asciiTheme="majorHAnsi" w:hAnsiTheme="majorHAnsi"/>
          <w:color w:val="000000"/>
          <w:sz w:val="20"/>
          <w:szCs w:val="20"/>
        </w:rPr>
        <w:t>ing</w:t>
      </w:r>
      <w:r w:rsidRPr="005722A6">
        <w:rPr>
          <w:rFonts w:asciiTheme="majorHAnsi" w:hAnsiTheme="majorHAnsi"/>
          <w:color w:val="000000"/>
          <w:sz w:val="20"/>
          <w:szCs w:val="20"/>
        </w:rPr>
        <w:t xml:space="preserve"> a shift to </w:t>
      </w:r>
      <w:r w:rsidR="00041F19" w:rsidRPr="005722A6">
        <w:rPr>
          <w:rFonts w:asciiTheme="majorHAnsi" w:hAnsiTheme="majorHAnsi"/>
          <w:color w:val="000000"/>
          <w:sz w:val="20"/>
          <w:szCs w:val="20"/>
        </w:rPr>
        <w:t>offshore</w:t>
      </w:r>
      <w:r w:rsidRPr="005722A6">
        <w:rPr>
          <w:rFonts w:asciiTheme="majorHAnsi" w:hAnsiTheme="majorHAnsi"/>
          <w:color w:val="000000"/>
          <w:sz w:val="20"/>
          <w:szCs w:val="20"/>
        </w:rPr>
        <w:t xml:space="preserve">. Mooring buoys have been installed throughout the state of Koror as a management tool to decrease recreational </w:t>
      </w:r>
      <w:r w:rsidRPr="005722A6">
        <w:rPr>
          <w:rFonts w:asciiTheme="majorHAnsi" w:hAnsiTheme="majorHAnsi"/>
          <w:color w:val="000000"/>
          <w:sz w:val="20"/>
          <w:szCs w:val="20"/>
        </w:rPr>
        <w:lastRenderedPageBreak/>
        <w:t xml:space="preserve">impacts on coral reefs. Outside MPAs and other managed areas with very specific regulations, fishing is </w:t>
      </w:r>
      <w:r w:rsidR="00041F19" w:rsidRPr="005722A6">
        <w:rPr>
          <w:rFonts w:asciiTheme="majorHAnsi" w:hAnsiTheme="majorHAnsi"/>
          <w:color w:val="000000"/>
          <w:sz w:val="20"/>
          <w:szCs w:val="20"/>
        </w:rPr>
        <w:t>regulated at the national level</w:t>
      </w:r>
      <w:r w:rsidRPr="005722A6">
        <w:rPr>
          <w:rFonts w:asciiTheme="majorHAnsi" w:hAnsiTheme="majorHAnsi"/>
          <w:color w:val="000000"/>
          <w:sz w:val="20"/>
          <w:szCs w:val="20"/>
        </w:rPr>
        <w:t>. Size restrictions exist for mangrove crab and lobster, and there is a</w:t>
      </w:r>
      <w:r w:rsidR="00041F19" w:rsidRPr="005722A6">
        <w:rPr>
          <w:rFonts w:asciiTheme="majorHAnsi" w:hAnsiTheme="majorHAnsi"/>
          <w:color w:val="000000"/>
          <w:sz w:val="20"/>
          <w:szCs w:val="20"/>
        </w:rPr>
        <w:t xml:space="preserve"> current</w:t>
      </w:r>
      <w:r w:rsidRPr="005722A6">
        <w:rPr>
          <w:rFonts w:asciiTheme="majorHAnsi" w:hAnsiTheme="majorHAnsi"/>
          <w:color w:val="000000"/>
          <w:sz w:val="20"/>
          <w:szCs w:val="20"/>
        </w:rPr>
        <w:t xml:space="preserve"> </w:t>
      </w:r>
      <w:r w:rsidR="00041F19" w:rsidRPr="005722A6">
        <w:rPr>
          <w:rFonts w:asciiTheme="majorHAnsi" w:hAnsiTheme="majorHAnsi"/>
          <w:color w:val="000000"/>
          <w:sz w:val="20"/>
          <w:szCs w:val="20"/>
        </w:rPr>
        <w:t>moratorium</w:t>
      </w:r>
      <w:r w:rsidRPr="005722A6">
        <w:rPr>
          <w:rFonts w:asciiTheme="majorHAnsi" w:hAnsiTheme="majorHAnsi"/>
          <w:color w:val="000000"/>
          <w:sz w:val="20"/>
          <w:szCs w:val="20"/>
        </w:rPr>
        <w:t xml:space="preserve"> on harvest of </w:t>
      </w:r>
      <w:r w:rsidR="0096363F" w:rsidRPr="005722A6">
        <w:rPr>
          <w:rFonts w:asciiTheme="majorHAnsi" w:hAnsiTheme="majorHAnsi"/>
          <w:color w:val="000000"/>
          <w:sz w:val="20"/>
          <w:szCs w:val="20"/>
        </w:rPr>
        <w:t>H</w:t>
      </w:r>
      <w:r w:rsidRPr="005722A6">
        <w:rPr>
          <w:rFonts w:asciiTheme="majorHAnsi" w:hAnsiTheme="majorHAnsi"/>
          <w:color w:val="000000"/>
          <w:sz w:val="20"/>
          <w:szCs w:val="20"/>
        </w:rPr>
        <w:t xml:space="preserve">umphead wrasse </w:t>
      </w:r>
      <w:r w:rsidR="0096363F" w:rsidRPr="005722A6">
        <w:rPr>
          <w:rFonts w:asciiTheme="majorHAnsi" w:hAnsiTheme="majorHAnsi"/>
          <w:color w:val="000000"/>
          <w:sz w:val="20"/>
          <w:szCs w:val="20"/>
        </w:rPr>
        <w:t>(</w:t>
      </w:r>
      <w:r w:rsidR="0096363F" w:rsidRPr="005722A6">
        <w:rPr>
          <w:rFonts w:asciiTheme="majorHAnsi" w:hAnsiTheme="majorHAnsi" w:cs="Arial"/>
          <w:i/>
          <w:color w:val="424242"/>
          <w:sz w:val="20"/>
          <w:szCs w:val="20"/>
        </w:rPr>
        <w:t>Cheilinus undulates)</w:t>
      </w:r>
      <w:r w:rsidR="0096363F" w:rsidRPr="005722A6">
        <w:rPr>
          <w:rFonts w:asciiTheme="majorHAnsi" w:hAnsiTheme="majorHAnsi"/>
          <w:color w:val="000000"/>
          <w:sz w:val="20"/>
          <w:szCs w:val="20"/>
        </w:rPr>
        <w:t xml:space="preserve"> </w:t>
      </w:r>
      <w:r w:rsidRPr="005722A6">
        <w:rPr>
          <w:rFonts w:asciiTheme="majorHAnsi" w:hAnsiTheme="majorHAnsi"/>
          <w:color w:val="000000"/>
          <w:sz w:val="20"/>
          <w:szCs w:val="20"/>
        </w:rPr>
        <w:t xml:space="preserve">and </w:t>
      </w:r>
      <w:r w:rsidR="0096363F" w:rsidRPr="005722A6">
        <w:rPr>
          <w:rFonts w:asciiTheme="majorHAnsi" w:hAnsiTheme="majorHAnsi"/>
          <w:color w:val="000000"/>
          <w:sz w:val="20"/>
          <w:szCs w:val="20"/>
        </w:rPr>
        <w:t>B</w:t>
      </w:r>
      <w:r w:rsidRPr="005722A6">
        <w:rPr>
          <w:rFonts w:asciiTheme="majorHAnsi" w:hAnsiTheme="majorHAnsi"/>
          <w:color w:val="000000"/>
          <w:sz w:val="20"/>
          <w:szCs w:val="20"/>
        </w:rPr>
        <w:t>umphead parrotfish</w:t>
      </w:r>
      <w:r w:rsidR="0096363F" w:rsidRPr="005722A6">
        <w:rPr>
          <w:rFonts w:asciiTheme="majorHAnsi" w:hAnsiTheme="majorHAnsi"/>
          <w:color w:val="000000"/>
          <w:sz w:val="20"/>
          <w:szCs w:val="20"/>
        </w:rPr>
        <w:t xml:space="preserve"> </w:t>
      </w:r>
      <w:r w:rsidR="0096363F" w:rsidRPr="005722A6">
        <w:rPr>
          <w:rFonts w:asciiTheme="majorHAnsi" w:hAnsiTheme="majorHAnsi"/>
          <w:i/>
          <w:color w:val="000000"/>
          <w:sz w:val="20"/>
          <w:szCs w:val="20"/>
        </w:rPr>
        <w:t>(</w:t>
      </w:r>
      <w:r w:rsidR="0096363F" w:rsidRPr="005722A6">
        <w:rPr>
          <w:rFonts w:asciiTheme="majorHAnsi" w:hAnsiTheme="majorHAnsi" w:cs="Arial"/>
          <w:i/>
          <w:color w:val="1A1A1A"/>
          <w:sz w:val="20"/>
          <w:szCs w:val="20"/>
        </w:rPr>
        <w:t>Bolbometopon muricatum)</w:t>
      </w:r>
      <w:r w:rsidRPr="005722A6">
        <w:rPr>
          <w:rFonts w:asciiTheme="majorHAnsi" w:hAnsiTheme="majorHAnsi"/>
          <w:color w:val="000000"/>
          <w:sz w:val="20"/>
          <w:szCs w:val="20"/>
        </w:rPr>
        <w:t xml:space="preserve">. The harvest of grouper is restricted to non-peak spawning months. Additionally, the export of lobster and mangrove crab is prohibited. Other restrictions are in place such as a closed season on harvesting green turtles and full protection for hawksbill turtles and dugongs. During the project period, an investment of US$3,300,000 is estimated by BMR. The Division of Marine Law Enforcement in the Ministry of Justice is responsible for patrol and surveillance and response, seizure, arrest and investigation for prosecution of illegal fishing and activities within Palau’s territorial waters, with an estimated investment of US$3,972,000 over the project period. </w:t>
      </w:r>
    </w:p>
    <w:p w14:paraId="26BC191E" w14:textId="77777777" w:rsidR="00B87774" w:rsidRPr="005722A6" w:rsidRDefault="00B87774" w:rsidP="00B87774">
      <w:pPr>
        <w:widowControl w:val="0"/>
        <w:autoSpaceDE w:val="0"/>
        <w:autoSpaceDN w:val="0"/>
        <w:adjustRightInd w:val="0"/>
        <w:spacing w:after="0"/>
        <w:rPr>
          <w:rFonts w:asciiTheme="majorHAnsi" w:hAnsiTheme="majorHAnsi"/>
          <w:color w:val="000000"/>
          <w:sz w:val="20"/>
          <w:szCs w:val="20"/>
        </w:rPr>
      </w:pPr>
    </w:p>
    <w:p w14:paraId="191C4CD9" w14:textId="0F1BF920" w:rsidR="00B87774" w:rsidRPr="005722A6" w:rsidRDefault="00B87774" w:rsidP="00B87774">
      <w:pPr>
        <w:widowControl w:val="0"/>
        <w:autoSpaceDE w:val="0"/>
        <w:autoSpaceDN w:val="0"/>
        <w:adjustRightInd w:val="0"/>
        <w:spacing w:after="0"/>
        <w:rPr>
          <w:rFonts w:asciiTheme="majorHAnsi" w:hAnsiTheme="majorHAnsi"/>
          <w:color w:val="000000"/>
          <w:sz w:val="20"/>
          <w:szCs w:val="20"/>
        </w:rPr>
      </w:pPr>
      <w:r w:rsidRPr="005722A6">
        <w:rPr>
          <w:rFonts w:asciiTheme="majorHAnsi" w:hAnsiTheme="majorHAnsi"/>
          <w:color w:val="000000"/>
          <w:sz w:val="20"/>
          <w:szCs w:val="20"/>
        </w:rPr>
        <w:t>Koror State government’s Department of Conservation and Law Enforcement</w:t>
      </w:r>
      <w:r w:rsidR="00041F19" w:rsidRPr="005722A6">
        <w:rPr>
          <w:rFonts w:asciiTheme="majorHAnsi" w:hAnsiTheme="majorHAnsi"/>
          <w:color w:val="000000"/>
          <w:sz w:val="20"/>
          <w:szCs w:val="20"/>
        </w:rPr>
        <w:t xml:space="preserve"> Department </w:t>
      </w:r>
      <w:r w:rsidRPr="005722A6">
        <w:rPr>
          <w:rFonts w:asciiTheme="majorHAnsi" w:hAnsiTheme="majorHAnsi"/>
          <w:color w:val="000000"/>
          <w:sz w:val="20"/>
          <w:szCs w:val="20"/>
        </w:rPr>
        <w:t>is the state government agency primarily responsible for management of the Rock Islands management area. The current department budget is allocated to management costs that include personnel</w:t>
      </w:r>
      <w:r w:rsidR="00041F19" w:rsidRPr="005722A6">
        <w:rPr>
          <w:rFonts w:asciiTheme="majorHAnsi" w:hAnsiTheme="majorHAnsi"/>
          <w:color w:val="000000"/>
          <w:sz w:val="20"/>
          <w:szCs w:val="20"/>
        </w:rPr>
        <w:t xml:space="preserve"> (Koror Rangers)</w:t>
      </w:r>
      <w:r w:rsidRPr="005722A6">
        <w:rPr>
          <w:rFonts w:asciiTheme="majorHAnsi" w:hAnsiTheme="majorHAnsi"/>
          <w:color w:val="000000"/>
          <w:sz w:val="20"/>
          <w:szCs w:val="20"/>
        </w:rPr>
        <w:t xml:space="preserve">, fuel, boat and vehicle maintenance, supplies, marine buoys and channel markers, </w:t>
      </w:r>
      <w:r w:rsidR="00041F19" w:rsidRPr="005722A6">
        <w:rPr>
          <w:rFonts w:asciiTheme="majorHAnsi" w:hAnsiTheme="majorHAnsi"/>
          <w:color w:val="000000"/>
          <w:sz w:val="20"/>
          <w:szCs w:val="20"/>
        </w:rPr>
        <w:t>infrastructure</w:t>
      </w:r>
      <w:r w:rsidRPr="005722A6">
        <w:rPr>
          <w:rFonts w:asciiTheme="majorHAnsi" w:hAnsiTheme="majorHAnsi"/>
          <w:color w:val="000000"/>
          <w:sz w:val="20"/>
          <w:szCs w:val="20"/>
        </w:rPr>
        <w:t xml:space="preserve"> improvements, </w:t>
      </w:r>
      <w:r w:rsidR="00041F19" w:rsidRPr="005722A6">
        <w:rPr>
          <w:rFonts w:asciiTheme="majorHAnsi" w:hAnsiTheme="majorHAnsi"/>
          <w:color w:val="000000"/>
          <w:sz w:val="20"/>
          <w:szCs w:val="20"/>
        </w:rPr>
        <w:t xml:space="preserve">maintenance, planning, </w:t>
      </w:r>
      <w:r w:rsidRPr="005722A6">
        <w:rPr>
          <w:rFonts w:asciiTheme="majorHAnsi" w:hAnsiTheme="majorHAnsi"/>
          <w:color w:val="000000"/>
          <w:sz w:val="20"/>
          <w:szCs w:val="20"/>
        </w:rPr>
        <w:t xml:space="preserve">and communication. Total estimated investment over the project is US$ 10,872,000. </w:t>
      </w:r>
    </w:p>
    <w:p w14:paraId="6DBCD61B" w14:textId="77777777" w:rsidR="00B87774" w:rsidRPr="005722A6" w:rsidRDefault="00B87774" w:rsidP="00B87774">
      <w:pPr>
        <w:widowControl w:val="0"/>
        <w:autoSpaceDE w:val="0"/>
        <w:autoSpaceDN w:val="0"/>
        <w:adjustRightInd w:val="0"/>
        <w:spacing w:after="0"/>
        <w:rPr>
          <w:rFonts w:asciiTheme="majorHAnsi" w:hAnsiTheme="majorHAnsi"/>
          <w:color w:val="000000"/>
          <w:sz w:val="20"/>
          <w:szCs w:val="20"/>
        </w:rPr>
      </w:pPr>
    </w:p>
    <w:p w14:paraId="0E71D143" w14:textId="718BEDAF" w:rsidR="006C63BC" w:rsidRDefault="00FC4707" w:rsidP="00FA002D">
      <w:pPr>
        <w:widowControl w:val="0"/>
        <w:autoSpaceDE w:val="0"/>
        <w:autoSpaceDN w:val="0"/>
        <w:adjustRightInd w:val="0"/>
        <w:rPr>
          <w:rFonts w:asciiTheme="majorHAnsi" w:hAnsiTheme="majorHAnsi"/>
          <w:i/>
          <w:color w:val="000000"/>
          <w:sz w:val="20"/>
          <w:szCs w:val="20"/>
        </w:rPr>
      </w:pPr>
      <w:r>
        <w:rPr>
          <w:rFonts w:asciiTheme="majorHAnsi" w:hAnsiTheme="majorHAnsi"/>
          <w:i/>
          <w:color w:val="000000"/>
          <w:sz w:val="20"/>
          <w:szCs w:val="20"/>
        </w:rPr>
        <w:t>Associated p</w:t>
      </w:r>
      <w:r w:rsidR="00041F19" w:rsidRPr="005722A6">
        <w:rPr>
          <w:rFonts w:asciiTheme="majorHAnsi" w:hAnsiTheme="majorHAnsi"/>
          <w:i/>
          <w:color w:val="000000"/>
          <w:sz w:val="20"/>
          <w:szCs w:val="20"/>
        </w:rPr>
        <w:t>rojects:</w:t>
      </w:r>
    </w:p>
    <w:p w14:paraId="08B3C296" w14:textId="4C6B399A" w:rsidR="00867B4C" w:rsidRDefault="00FA002D" w:rsidP="005722A6">
      <w:pPr>
        <w:widowControl w:val="0"/>
        <w:autoSpaceDE w:val="0"/>
        <w:autoSpaceDN w:val="0"/>
        <w:adjustRightInd w:val="0"/>
        <w:spacing w:after="0"/>
        <w:rPr>
          <w:sz w:val="20"/>
          <w:szCs w:val="20"/>
        </w:rPr>
      </w:pPr>
      <w:r>
        <w:rPr>
          <w:rFonts w:asciiTheme="majorHAnsi" w:hAnsiTheme="majorHAnsi"/>
          <w:i/>
          <w:color w:val="000000"/>
          <w:sz w:val="20"/>
          <w:szCs w:val="20"/>
        </w:rPr>
        <w:t>A</w:t>
      </w:r>
      <w:r w:rsidR="00867B4C" w:rsidRPr="005722A6">
        <w:rPr>
          <w:sz w:val="20"/>
          <w:szCs w:val="20"/>
        </w:rPr>
        <w:t xml:space="preserve"> number o</w:t>
      </w:r>
      <w:r>
        <w:rPr>
          <w:sz w:val="20"/>
          <w:szCs w:val="20"/>
        </w:rPr>
        <w:t>f</w:t>
      </w:r>
      <w:r w:rsidR="00867B4C" w:rsidRPr="005722A6">
        <w:rPr>
          <w:sz w:val="20"/>
          <w:szCs w:val="20"/>
        </w:rPr>
        <w:t xml:space="preserve"> ongoing projects complement the GEF investment, namely the following:</w:t>
      </w:r>
    </w:p>
    <w:p w14:paraId="30607F6E" w14:textId="5B1D78ED" w:rsidR="008F36E4" w:rsidRPr="005722A6" w:rsidRDefault="00B87774" w:rsidP="00C71EB0">
      <w:pPr>
        <w:pStyle w:val="Default"/>
        <w:numPr>
          <w:ilvl w:val="0"/>
          <w:numId w:val="108"/>
        </w:numPr>
        <w:jc w:val="both"/>
        <w:rPr>
          <w:rFonts w:asciiTheme="majorHAnsi" w:eastAsia="SimSun" w:hAnsiTheme="majorHAnsi" w:cs="Times New Roman"/>
          <w:sz w:val="20"/>
          <w:szCs w:val="20"/>
          <w:lang w:eastAsia="en-US"/>
        </w:rPr>
      </w:pPr>
      <w:r w:rsidRPr="005722A6">
        <w:rPr>
          <w:rFonts w:asciiTheme="majorHAnsi" w:hAnsiTheme="majorHAnsi"/>
          <w:sz w:val="20"/>
          <w:szCs w:val="20"/>
        </w:rPr>
        <w:t>The regional Pacific Adaptation to Climate Change (PACC) project (2009-2014), supported by UNDP and SPREP and financed by GEF-Special Climate Change Fund and AusAid (investment of US$800,000 for Palau), focused on enhancing food security</w:t>
      </w:r>
      <w:r w:rsidR="00867B4C">
        <w:rPr>
          <w:rFonts w:asciiTheme="majorHAnsi" w:eastAsia="SimSun" w:hAnsiTheme="majorHAnsi" w:cs="Times New Roman"/>
          <w:sz w:val="20"/>
          <w:szCs w:val="20"/>
          <w:lang w:eastAsia="en-US"/>
        </w:rPr>
        <w:t xml:space="preserve">. </w:t>
      </w:r>
      <w:r w:rsidR="00041F19" w:rsidRPr="005722A6">
        <w:rPr>
          <w:rFonts w:asciiTheme="majorHAnsi" w:hAnsiTheme="majorHAnsi"/>
          <w:sz w:val="20"/>
          <w:szCs w:val="20"/>
        </w:rPr>
        <w:t xml:space="preserve">The project produced Best Practices for </w:t>
      </w:r>
      <w:r w:rsidRPr="005722A6">
        <w:rPr>
          <w:rFonts w:asciiTheme="majorHAnsi" w:hAnsiTheme="majorHAnsi"/>
          <w:sz w:val="20"/>
          <w:szCs w:val="20"/>
        </w:rPr>
        <w:t>lowland taro production (including salt-tolerant varieties), aquaculture</w:t>
      </w:r>
      <w:r w:rsidR="00041F19" w:rsidRPr="005722A6">
        <w:rPr>
          <w:rFonts w:asciiTheme="majorHAnsi" w:hAnsiTheme="majorHAnsi"/>
          <w:sz w:val="20"/>
          <w:szCs w:val="20"/>
        </w:rPr>
        <w:t>,</w:t>
      </w:r>
      <w:r w:rsidRPr="005722A6">
        <w:rPr>
          <w:rFonts w:asciiTheme="majorHAnsi" w:hAnsiTheme="majorHAnsi"/>
          <w:sz w:val="20"/>
          <w:szCs w:val="20"/>
        </w:rPr>
        <w:t xml:space="preserve"> food processing</w:t>
      </w:r>
      <w:r w:rsidR="00041F19" w:rsidRPr="005722A6">
        <w:rPr>
          <w:rFonts w:asciiTheme="majorHAnsi" w:hAnsiTheme="majorHAnsi"/>
          <w:sz w:val="20"/>
          <w:szCs w:val="20"/>
        </w:rPr>
        <w:t xml:space="preserve">, and </w:t>
      </w:r>
      <w:r w:rsidRPr="005722A6">
        <w:rPr>
          <w:rFonts w:asciiTheme="majorHAnsi" w:hAnsiTheme="majorHAnsi"/>
          <w:sz w:val="20"/>
          <w:szCs w:val="20"/>
        </w:rPr>
        <w:t xml:space="preserve">new upland agroforestry systems combining fruit trees and crops with techniques to maintain and improve </w:t>
      </w:r>
      <w:r w:rsidR="00041F19" w:rsidRPr="005722A6">
        <w:rPr>
          <w:rFonts w:asciiTheme="majorHAnsi" w:hAnsiTheme="majorHAnsi"/>
          <w:sz w:val="20"/>
          <w:szCs w:val="20"/>
        </w:rPr>
        <w:t xml:space="preserve">and protect </w:t>
      </w:r>
      <w:r w:rsidRPr="005722A6">
        <w:rPr>
          <w:rFonts w:asciiTheme="majorHAnsi" w:hAnsiTheme="majorHAnsi"/>
          <w:sz w:val="20"/>
          <w:szCs w:val="20"/>
        </w:rPr>
        <w:t>soils</w:t>
      </w:r>
      <w:r w:rsidR="006C63BC">
        <w:rPr>
          <w:rFonts w:asciiTheme="majorHAnsi" w:eastAsia="SimSun" w:hAnsiTheme="majorHAnsi" w:cs="Times New Roman"/>
          <w:sz w:val="20"/>
          <w:szCs w:val="20"/>
          <w:lang w:eastAsia="en-US"/>
        </w:rPr>
        <w:t>;</w:t>
      </w:r>
      <w:r w:rsidR="00FA002D">
        <w:rPr>
          <w:rFonts w:asciiTheme="majorHAnsi" w:hAnsiTheme="majorHAnsi"/>
          <w:sz w:val="20"/>
          <w:szCs w:val="20"/>
        </w:rPr>
        <w:t>.</w:t>
      </w:r>
    </w:p>
    <w:p w14:paraId="45EA7C55" w14:textId="7F6551AC" w:rsidR="008F36E4" w:rsidRPr="005722A6" w:rsidRDefault="00867B4C" w:rsidP="00C71EB0">
      <w:pPr>
        <w:pStyle w:val="Default"/>
        <w:numPr>
          <w:ilvl w:val="0"/>
          <w:numId w:val="108"/>
        </w:numPr>
        <w:jc w:val="both"/>
        <w:rPr>
          <w:rFonts w:asciiTheme="majorHAnsi" w:eastAsia="SimSun" w:hAnsiTheme="majorHAnsi" w:cs="Times New Roman"/>
          <w:sz w:val="20"/>
          <w:szCs w:val="20"/>
          <w:lang w:eastAsia="en-US"/>
        </w:rPr>
      </w:pPr>
      <w:r>
        <w:rPr>
          <w:rFonts w:asciiTheme="majorHAnsi" w:eastAsia="SimSun" w:hAnsiTheme="majorHAnsi" w:cs="Times New Roman"/>
          <w:sz w:val="20"/>
          <w:szCs w:val="20"/>
          <w:lang w:eastAsia="en-US"/>
        </w:rPr>
        <w:t>The</w:t>
      </w:r>
      <w:r w:rsidR="008F36E4" w:rsidRPr="005722A6">
        <w:rPr>
          <w:rFonts w:asciiTheme="majorHAnsi" w:hAnsiTheme="majorHAnsi"/>
          <w:sz w:val="20"/>
          <w:szCs w:val="20"/>
        </w:rPr>
        <w:t xml:space="preserve"> GEF5 full-sized Ridge to Reef</w:t>
      </w:r>
      <w:r>
        <w:rPr>
          <w:rFonts w:asciiTheme="majorHAnsi" w:eastAsia="SimSun" w:hAnsiTheme="majorHAnsi" w:cs="Times New Roman"/>
          <w:sz w:val="20"/>
          <w:szCs w:val="20"/>
          <w:lang w:eastAsia="en-US"/>
        </w:rPr>
        <w:t xml:space="preserve"> project is a</w:t>
      </w:r>
      <w:r w:rsidR="008F36E4" w:rsidRPr="005722A6">
        <w:rPr>
          <w:rFonts w:asciiTheme="majorHAnsi" w:hAnsiTheme="majorHAnsi"/>
          <w:sz w:val="20"/>
          <w:szCs w:val="20"/>
        </w:rPr>
        <w:t xml:space="preserve">dvancing Sustainable Resources Management to Improve Livelihoods and Protect Biodiversity (2016-2020), for a total of $3.5 million. Over $2.1 million of the project is geared towards improving the Palau PAN, including nationwide design, evaluation, and implementation improvements, and local-level improvements to stakeholder engagement, training, and financing. A smaller portion is designed to revitalize Palau’s Sustainable Land Management (SLM) procedures, a pre-cursor to wider landscape/seascape and land use planning. </w:t>
      </w:r>
      <w:r w:rsidR="002E00FC" w:rsidRPr="005722A6">
        <w:rPr>
          <w:rFonts w:asciiTheme="majorHAnsi" w:hAnsiTheme="majorHAnsi"/>
          <w:sz w:val="20"/>
          <w:szCs w:val="20"/>
        </w:rPr>
        <w:t xml:space="preserve">The project is also helping 3 states in Babeldaob through sustainable land use planning and development of best practice guidelines. This proposed </w:t>
      </w:r>
      <w:r>
        <w:rPr>
          <w:rFonts w:asciiTheme="majorHAnsi" w:eastAsia="SimSun" w:hAnsiTheme="majorHAnsi" w:cs="Times New Roman"/>
          <w:sz w:val="20"/>
          <w:szCs w:val="20"/>
          <w:lang w:eastAsia="en-US"/>
        </w:rPr>
        <w:t xml:space="preserve">GEF </w:t>
      </w:r>
      <w:r w:rsidR="002E00FC" w:rsidRPr="005722A6">
        <w:rPr>
          <w:rFonts w:asciiTheme="majorHAnsi" w:hAnsiTheme="majorHAnsi"/>
          <w:sz w:val="20"/>
          <w:szCs w:val="20"/>
        </w:rPr>
        <w:t>project will work together with the GEF5 project to ensure a whole-island approach integrating biodiversity concerns and integrated forest management principles (e.g. emphasizing connectivity, corridors and resilience to climate change) into state land use plans</w:t>
      </w:r>
      <w:r w:rsidR="00FA002D">
        <w:rPr>
          <w:rFonts w:asciiTheme="majorHAnsi" w:hAnsiTheme="majorHAnsi"/>
          <w:sz w:val="20"/>
          <w:szCs w:val="20"/>
        </w:rPr>
        <w:t>.</w:t>
      </w:r>
    </w:p>
    <w:p w14:paraId="473B3020" w14:textId="7B681F34" w:rsidR="008F36E4" w:rsidRPr="005722A6" w:rsidRDefault="00867B4C" w:rsidP="00C71EB0">
      <w:pPr>
        <w:pStyle w:val="Default"/>
        <w:numPr>
          <w:ilvl w:val="0"/>
          <w:numId w:val="108"/>
        </w:numPr>
        <w:jc w:val="both"/>
        <w:rPr>
          <w:rFonts w:asciiTheme="majorHAnsi" w:eastAsia="SimSun" w:hAnsiTheme="majorHAnsi" w:cs="Times New Roman"/>
          <w:sz w:val="20"/>
          <w:szCs w:val="20"/>
          <w:lang w:eastAsia="en-US"/>
        </w:rPr>
      </w:pPr>
      <w:r>
        <w:rPr>
          <w:rFonts w:asciiTheme="majorHAnsi" w:eastAsia="SimSun" w:hAnsiTheme="majorHAnsi" w:cs="Times New Roman"/>
          <w:sz w:val="20"/>
          <w:szCs w:val="20"/>
          <w:lang w:eastAsia="en-US"/>
        </w:rPr>
        <w:t>The GEF</w:t>
      </w:r>
      <w:r w:rsidR="008F36E4" w:rsidRPr="005722A6">
        <w:rPr>
          <w:rFonts w:asciiTheme="majorHAnsi" w:hAnsiTheme="majorHAnsi"/>
          <w:sz w:val="20"/>
          <w:szCs w:val="20"/>
        </w:rPr>
        <w:t xml:space="preserve"> Cross-Cutting Capacity Development Project (called CB2; 2015-2018) for a total of $1.1 million</w:t>
      </w:r>
      <w:r w:rsidR="006C63BC">
        <w:rPr>
          <w:rFonts w:asciiTheme="majorHAnsi" w:eastAsia="SimSun" w:hAnsiTheme="majorHAnsi" w:cs="Times New Roman"/>
          <w:sz w:val="20"/>
          <w:szCs w:val="20"/>
          <w:lang w:eastAsia="en-US"/>
        </w:rPr>
        <w:t xml:space="preserve"> is aimed at </w:t>
      </w:r>
      <w:r w:rsidR="008F36E4" w:rsidRPr="005722A6">
        <w:rPr>
          <w:rFonts w:asciiTheme="majorHAnsi" w:hAnsiTheme="majorHAnsi"/>
          <w:sz w:val="20"/>
          <w:szCs w:val="20"/>
        </w:rPr>
        <w:t>improving methods to monitor, collect, share, access, store, and use environmental information and data</w:t>
      </w:r>
      <w:r w:rsidR="006C63BC">
        <w:rPr>
          <w:rFonts w:asciiTheme="majorHAnsi" w:eastAsia="SimSun" w:hAnsiTheme="majorHAnsi" w:cs="Times New Roman"/>
          <w:sz w:val="20"/>
          <w:szCs w:val="20"/>
          <w:lang w:eastAsia="en-US"/>
        </w:rPr>
        <w:t xml:space="preserve"> and </w:t>
      </w:r>
      <w:r w:rsidR="008F36E4" w:rsidRPr="005722A6">
        <w:rPr>
          <w:rFonts w:asciiTheme="majorHAnsi" w:hAnsiTheme="majorHAnsi"/>
          <w:sz w:val="20"/>
          <w:szCs w:val="20"/>
        </w:rPr>
        <w:t xml:space="preserve">strengthen the </w:t>
      </w:r>
      <w:r w:rsidR="006C63BC">
        <w:rPr>
          <w:rFonts w:asciiTheme="majorHAnsi" w:eastAsia="SimSun" w:hAnsiTheme="majorHAnsi" w:cs="Times New Roman"/>
          <w:sz w:val="20"/>
          <w:szCs w:val="20"/>
          <w:lang w:eastAsia="en-US"/>
        </w:rPr>
        <w:t>National Environment Protection Council (</w:t>
      </w:r>
      <w:r w:rsidR="00041F19" w:rsidRPr="005722A6">
        <w:rPr>
          <w:rFonts w:asciiTheme="majorHAnsi" w:hAnsiTheme="majorHAnsi"/>
          <w:sz w:val="20"/>
          <w:szCs w:val="20"/>
        </w:rPr>
        <w:t>NEPC</w:t>
      </w:r>
      <w:r w:rsidR="006C63BC">
        <w:rPr>
          <w:rFonts w:asciiTheme="majorHAnsi" w:eastAsia="SimSun" w:hAnsiTheme="majorHAnsi" w:cs="Times New Roman"/>
          <w:sz w:val="20"/>
          <w:szCs w:val="20"/>
          <w:lang w:eastAsia="en-US"/>
        </w:rPr>
        <w:t>)</w:t>
      </w:r>
      <w:r w:rsidR="00527411" w:rsidRPr="005722A6">
        <w:rPr>
          <w:rFonts w:asciiTheme="majorHAnsi" w:hAnsiTheme="majorHAnsi"/>
          <w:sz w:val="20"/>
          <w:szCs w:val="20"/>
        </w:rPr>
        <w:t xml:space="preserve"> </w:t>
      </w:r>
      <w:r w:rsidR="008F36E4" w:rsidRPr="005722A6">
        <w:rPr>
          <w:rFonts w:asciiTheme="majorHAnsi" w:hAnsiTheme="majorHAnsi"/>
          <w:sz w:val="20"/>
          <w:szCs w:val="20"/>
        </w:rPr>
        <w:t>better function as a governmental cross-sector coordination body</w:t>
      </w:r>
      <w:r w:rsidR="00FA002D">
        <w:rPr>
          <w:rFonts w:asciiTheme="majorHAnsi" w:hAnsiTheme="majorHAnsi"/>
          <w:sz w:val="20"/>
          <w:szCs w:val="20"/>
        </w:rPr>
        <w:t>.</w:t>
      </w:r>
    </w:p>
    <w:p w14:paraId="1D311D68" w14:textId="1CCC017C" w:rsidR="00FA002D" w:rsidRPr="005722A6" w:rsidRDefault="008F36E4" w:rsidP="00C71EB0">
      <w:pPr>
        <w:pStyle w:val="Default"/>
        <w:numPr>
          <w:ilvl w:val="0"/>
          <w:numId w:val="108"/>
        </w:numPr>
        <w:ind w:left="714" w:hanging="357"/>
        <w:jc w:val="both"/>
        <w:rPr>
          <w:rFonts w:asciiTheme="majorHAnsi" w:eastAsia="SimSun" w:hAnsiTheme="majorHAnsi" w:cs="Times New Roman"/>
          <w:sz w:val="20"/>
          <w:szCs w:val="20"/>
          <w:lang w:eastAsia="en-US"/>
        </w:rPr>
      </w:pPr>
      <w:r w:rsidRPr="005722A6">
        <w:rPr>
          <w:rFonts w:asciiTheme="majorHAnsi" w:hAnsiTheme="majorHAnsi"/>
          <w:sz w:val="20"/>
          <w:szCs w:val="20"/>
        </w:rPr>
        <w:t xml:space="preserve">MWM </w:t>
      </w:r>
      <w:r w:rsidR="00527411" w:rsidRPr="005722A6">
        <w:rPr>
          <w:rFonts w:asciiTheme="majorHAnsi" w:hAnsiTheme="majorHAnsi"/>
          <w:sz w:val="20"/>
          <w:szCs w:val="20"/>
        </w:rPr>
        <w:t xml:space="preserve">Architects </w:t>
      </w:r>
      <w:r w:rsidRPr="005722A6">
        <w:rPr>
          <w:rFonts w:asciiTheme="majorHAnsi" w:hAnsiTheme="majorHAnsi"/>
          <w:sz w:val="20"/>
          <w:szCs w:val="20"/>
        </w:rPr>
        <w:t>Constraint Maps</w:t>
      </w:r>
      <w:r w:rsidR="00FA002D">
        <w:rPr>
          <w:rFonts w:asciiTheme="majorHAnsi" w:hAnsiTheme="majorHAnsi"/>
          <w:sz w:val="20"/>
          <w:szCs w:val="20"/>
        </w:rPr>
        <w:t xml:space="preserve">, a </w:t>
      </w:r>
      <w:r w:rsidRPr="005722A6">
        <w:rPr>
          <w:rFonts w:asciiTheme="majorHAnsi" w:hAnsiTheme="majorHAnsi"/>
          <w:sz w:val="20"/>
          <w:szCs w:val="20"/>
        </w:rPr>
        <w:t xml:space="preserve">project </w:t>
      </w:r>
      <w:r w:rsidR="00FA002D">
        <w:rPr>
          <w:rFonts w:asciiTheme="majorHAnsi" w:hAnsiTheme="majorHAnsi"/>
          <w:sz w:val="20"/>
          <w:szCs w:val="20"/>
        </w:rPr>
        <w:t xml:space="preserve">undertaken in 2003, </w:t>
      </w:r>
      <w:r w:rsidR="006C63BC">
        <w:rPr>
          <w:rFonts w:asciiTheme="majorHAnsi" w:eastAsia="SimSun" w:hAnsiTheme="majorHAnsi" w:cs="Times New Roman"/>
          <w:sz w:val="20"/>
          <w:szCs w:val="20"/>
          <w:lang w:eastAsia="en-US"/>
        </w:rPr>
        <w:t>produc</w:t>
      </w:r>
      <w:r w:rsidR="00FA002D">
        <w:rPr>
          <w:rFonts w:asciiTheme="majorHAnsi" w:eastAsia="SimSun" w:hAnsiTheme="majorHAnsi" w:cs="Times New Roman"/>
          <w:sz w:val="20"/>
          <w:szCs w:val="20"/>
          <w:lang w:eastAsia="en-US"/>
        </w:rPr>
        <w:t>ed</w:t>
      </w:r>
      <w:r w:rsidR="006C63BC">
        <w:rPr>
          <w:rFonts w:asciiTheme="majorHAnsi" w:eastAsia="SimSun" w:hAnsiTheme="majorHAnsi" w:cs="Times New Roman"/>
          <w:sz w:val="20"/>
          <w:szCs w:val="20"/>
          <w:lang w:eastAsia="en-US"/>
        </w:rPr>
        <w:t xml:space="preserve"> </w:t>
      </w:r>
      <w:r w:rsidRPr="005722A6">
        <w:rPr>
          <w:rFonts w:asciiTheme="majorHAnsi" w:hAnsiTheme="majorHAnsi"/>
          <w:sz w:val="20"/>
          <w:szCs w:val="20"/>
        </w:rPr>
        <w:t xml:space="preserve">land cover </w:t>
      </w:r>
      <w:r w:rsidR="006C63BC">
        <w:rPr>
          <w:rFonts w:asciiTheme="majorHAnsi" w:eastAsia="SimSun" w:hAnsiTheme="majorHAnsi" w:cs="Times New Roman"/>
          <w:sz w:val="20"/>
          <w:szCs w:val="20"/>
          <w:lang w:eastAsia="en-US"/>
        </w:rPr>
        <w:t xml:space="preserve">maps </w:t>
      </w:r>
      <w:r w:rsidR="00FA002D">
        <w:rPr>
          <w:rFonts w:asciiTheme="majorHAnsi" w:eastAsia="SimSun" w:hAnsiTheme="majorHAnsi" w:cs="Times New Roman"/>
          <w:sz w:val="20"/>
          <w:szCs w:val="20"/>
          <w:lang w:eastAsia="en-US"/>
        </w:rPr>
        <w:t xml:space="preserve">that </w:t>
      </w:r>
      <w:r w:rsidR="006C63BC">
        <w:rPr>
          <w:rFonts w:asciiTheme="majorHAnsi" w:eastAsia="SimSun" w:hAnsiTheme="majorHAnsi" w:cs="Times New Roman"/>
          <w:sz w:val="20"/>
          <w:szCs w:val="20"/>
          <w:lang w:eastAsia="en-US"/>
        </w:rPr>
        <w:t xml:space="preserve">are </w:t>
      </w:r>
      <w:r w:rsidR="00FA002D">
        <w:rPr>
          <w:rFonts w:asciiTheme="majorHAnsi" w:eastAsia="SimSun" w:hAnsiTheme="majorHAnsi" w:cs="Times New Roman"/>
          <w:sz w:val="20"/>
          <w:szCs w:val="20"/>
          <w:lang w:eastAsia="en-US"/>
        </w:rPr>
        <w:t xml:space="preserve">a </w:t>
      </w:r>
      <w:r w:rsidR="006C63BC">
        <w:rPr>
          <w:rFonts w:asciiTheme="majorHAnsi" w:eastAsia="SimSun" w:hAnsiTheme="majorHAnsi" w:cs="Times New Roman"/>
          <w:sz w:val="20"/>
          <w:szCs w:val="20"/>
          <w:lang w:eastAsia="en-US"/>
        </w:rPr>
        <w:t>useful resource for th</w:t>
      </w:r>
      <w:r w:rsidR="00FA002D">
        <w:rPr>
          <w:rFonts w:asciiTheme="majorHAnsi" w:eastAsia="SimSun" w:hAnsiTheme="majorHAnsi" w:cs="Times New Roman"/>
          <w:sz w:val="20"/>
          <w:szCs w:val="20"/>
          <w:lang w:eastAsia="en-US"/>
        </w:rPr>
        <w:t>is</w:t>
      </w:r>
      <w:r w:rsidR="006C63BC">
        <w:rPr>
          <w:rFonts w:asciiTheme="majorHAnsi" w:eastAsia="SimSun" w:hAnsiTheme="majorHAnsi" w:cs="Times New Roman"/>
          <w:sz w:val="20"/>
          <w:szCs w:val="20"/>
          <w:lang w:eastAsia="en-US"/>
        </w:rPr>
        <w:t xml:space="preserve"> GEF project</w:t>
      </w:r>
      <w:r w:rsidR="00FA002D">
        <w:rPr>
          <w:rFonts w:asciiTheme="majorHAnsi" w:eastAsia="SimSun" w:hAnsiTheme="majorHAnsi" w:cs="Times New Roman"/>
          <w:sz w:val="20"/>
          <w:szCs w:val="20"/>
          <w:lang w:eastAsia="en-US"/>
        </w:rPr>
        <w:t>.</w:t>
      </w:r>
    </w:p>
    <w:p w14:paraId="230B1CB8" w14:textId="58F4157A" w:rsidR="00B87774" w:rsidRPr="005722A6" w:rsidRDefault="00B87774" w:rsidP="00C71EB0">
      <w:pPr>
        <w:pStyle w:val="Default"/>
        <w:numPr>
          <w:ilvl w:val="0"/>
          <w:numId w:val="108"/>
        </w:numPr>
        <w:ind w:left="714" w:hanging="357"/>
        <w:jc w:val="both"/>
      </w:pPr>
      <w:r w:rsidRPr="001C203A">
        <w:rPr>
          <w:rFonts w:asciiTheme="majorHAnsi" w:hAnsiTheme="majorHAnsi"/>
          <w:sz w:val="20"/>
          <w:szCs w:val="20"/>
        </w:rPr>
        <w:t>Palau Conservation Society</w:t>
      </w:r>
      <w:r w:rsidR="00527411" w:rsidRPr="001C203A">
        <w:rPr>
          <w:rFonts w:asciiTheme="majorHAnsi" w:hAnsiTheme="majorHAnsi"/>
          <w:sz w:val="20"/>
          <w:szCs w:val="20"/>
        </w:rPr>
        <w:t xml:space="preserve"> (PCS)</w:t>
      </w:r>
      <w:r w:rsidRPr="001C203A">
        <w:rPr>
          <w:rFonts w:asciiTheme="majorHAnsi" w:hAnsiTheme="majorHAnsi"/>
          <w:sz w:val="20"/>
          <w:szCs w:val="20"/>
        </w:rPr>
        <w:t xml:space="preserve">, Palau International Coral Reef Centre (PICRC), the Coral Reef Research Foundation (CRRF), The Nature Conservancy, Palau Community College, the Institute of Pacific Islands Forestry, Belau National Museum, Island Conservation and other organizations all conduct baseline work </w:t>
      </w:r>
      <w:r w:rsidR="00FA002D" w:rsidRPr="00B103D7">
        <w:rPr>
          <w:rFonts w:asciiTheme="majorHAnsi" w:hAnsiTheme="majorHAnsi"/>
          <w:sz w:val="20"/>
          <w:szCs w:val="20"/>
        </w:rPr>
        <w:t xml:space="preserve">relevant </w:t>
      </w:r>
      <w:r w:rsidR="00FA002D">
        <w:rPr>
          <w:rFonts w:asciiTheme="majorHAnsi" w:hAnsiTheme="majorHAnsi"/>
          <w:sz w:val="20"/>
          <w:szCs w:val="20"/>
        </w:rPr>
        <w:t>to</w:t>
      </w:r>
      <w:r w:rsidRPr="00A63AF1">
        <w:rPr>
          <w:rFonts w:asciiTheme="majorHAnsi" w:hAnsiTheme="majorHAnsi"/>
          <w:sz w:val="20"/>
          <w:szCs w:val="20"/>
        </w:rPr>
        <w:t xml:space="preserve"> the goals of this </w:t>
      </w:r>
      <w:r w:rsidR="006C63BC" w:rsidRPr="00A63AF1">
        <w:rPr>
          <w:rFonts w:asciiTheme="majorHAnsi" w:hAnsiTheme="majorHAnsi"/>
          <w:sz w:val="20"/>
          <w:szCs w:val="20"/>
        </w:rPr>
        <w:t xml:space="preserve">GEF </w:t>
      </w:r>
      <w:r w:rsidRPr="00A63AF1">
        <w:rPr>
          <w:rFonts w:asciiTheme="majorHAnsi" w:hAnsiTheme="majorHAnsi"/>
          <w:sz w:val="20"/>
          <w:szCs w:val="20"/>
        </w:rPr>
        <w:t>investment</w:t>
      </w:r>
      <w:r w:rsidR="00FA002D">
        <w:rPr>
          <w:rFonts w:asciiTheme="majorHAnsi" w:hAnsiTheme="majorHAnsi"/>
          <w:sz w:val="20"/>
          <w:szCs w:val="20"/>
        </w:rPr>
        <w:t xml:space="preserve"> and</w:t>
      </w:r>
      <w:r w:rsidRPr="00A63AF1">
        <w:rPr>
          <w:rFonts w:asciiTheme="majorHAnsi" w:hAnsiTheme="majorHAnsi"/>
          <w:sz w:val="20"/>
          <w:szCs w:val="20"/>
        </w:rPr>
        <w:t xml:space="preserve"> estimated </w:t>
      </w:r>
      <w:r w:rsidR="00FA002D">
        <w:rPr>
          <w:rFonts w:asciiTheme="majorHAnsi" w:hAnsiTheme="majorHAnsi"/>
          <w:sz w:val="20"/>
          <w:szCs w:val="20"/>
        </w:rPr>
        <w:t xml:space="preserve">at </w:t>
      </w:r>
      <w:r w:rsidR="00FA002D" w:rsidRPr="006A1F21">
        <w:rPr>
          <w:rFonts w:asciiTheme="majorHAnsi" w:hAnsiTheme="majorHAnsi"/>
          <w:sz w:val="20"/>
          <w:szCs w:val="20"/>
        </w:rPr>
        <w:t>US$27,030,000</w:t>
      </w:r>
      <w:r w:rsidRPr="00A63AF1">
        <w:rPr>
          <w:rFonts w:asciiTheme="majorHAnsi" w:hAnsiTheme="majorHAnsi"/>
          <w:sz w:val="20"/>
          <w:szCs w:val="20"/>
        </w:rPr>
        <w:t xml:space="preserve"> over the project period</w:t>
      </w:r>
      <w:r w:rsidR="00FA002D">
        <w:rPr>
          <w:rFonts w:asciiTheme="majorHAnsi" w:hAnsiTheme="majorHAnsi"/>
          <w:sz w:val="20"/>
          <w:szCs w:val="20"/>
        </w:rPr>
        <w:t>.</w:t>
      </w:r>
    </w:p>
    <w:p w14:paraId="1166443A" w14:textId="4AEF7211" w:rsidR="00B87774" w:rsidRPr="005722A6" w:rsidRDefault="00B87774" w:rsidP="00C71EB0">
      <w:pPr>
        <w:pStyle w:val="ListParagraph"/>
        <w:widowControl w:val="0"/>
        <w:numPr>
          <w:ilvl w:val="0"/>
          <w:numId w:val="109"/>
        </w:numPr>
        <w:autoSpaceDE w:val="0"/>
        <w:autoSpaceDN w:val="0"/>
        <w:adjustRightInd w:val="0"/>
        <w:jc w:val="both"/>
        <w:rPr>
          <w:rFonts w:asciiTheme="majorHAnsi" w:hAnsiTheme="majorHAnsi"/>
          <w:color w:val="000000"/>
          <w:sz w:val="20"/>
          <w:szCs w:val="20"/>
        </w:rPr>
      </w:pPr>
      <w:r w:rsidRPr="005722A6">
        <w:rPr>
          <w:rFonts w:asciiTheme="majorHAnsi" w:hAnsiTheme="majorHAnsi"/>
          <w:color w:val="000000"/>
          <w:sz w:val="20"/>
          <w:szCs w:val="20"/>
        </w:rPr>
        <w:t>‘Promoting climate change resiliency through eradication and early response to IAS in Micronesia (2015-2018)</w:t>
      </w:r>
      <w:r w:rsidR="00CE4222">
        <w:rPr>
          <w:rFonts w:asciiTheme="majorHAnsi" w:hAnsiTheme="majorHAnsi"/>
          <w:color w:val="000000"/>
          <w:sz w:val="20"/>
          <w:szCs w:val="20"/>
        </w:rPr>
        <w:t>’</w:t>
      </w:r>
      <w:r w:rsidRPr="005722A6">
        <w:rPr>
          <w:rFonts w:asciiTheme="majorHAnsi" w:hAnsiTheme="majorHAnsi"/>
          <w:color w:val="000000"/>
          <w:sz w:val="20"/>
          <w:szCs w:val="20"/>
        </w:rPr>
        <w:t xml:space="preserve"> is a multi-national regional project involving Federated States of Micronesia</w:t>
      </w:r>
      <w:r w:rsidR="00527411" w:rsidRPr="005722A6">
        <w:rPr>
          <w:rFonts w:asciiTheme="majorHAnsi" w:hAnsiTheme="majorHAnsi"/>
          <w:color w:val="000000"/>
          <w:sz w:val="20"/>
          <w:szCs w:val="20"/>
        </w:rPr>
        <w:t xml:space="preserve"> (FSM)</w:t>
      </w:r>
      <w:r w:rsidRPr="005722A6">
        <w:rPr>
          <w:rFonts w:asciiTheme="majorHAnsi" w:hAnsiTheme="majorHAnsi"/>
          <w:color w:val="000000"/>
          <w:sz w:val="20"/>
          <w:szCs w:val="20"/>
        </w:rPr>
        <w:t xml:space="preserve">, Palau and the </w:t>
      </w:r>
      <w:r w:rsidR="00527411" w:rsidRPr="005722A6">
        <w:rPr>
          <w:rFonts w:asciiTheme="majorHAnsi" w:hAnsiTheme="majorHAnsi"/>
          <w:color w:val="000000"/>
          <w:sz w:val="20"/>
          <w:szCs w:val="20"/>
        </w:rPr>
        <w:t xml:space="preserve">Republic of </w:t>
      </w:r>
      <w:r w:rsidRPr="005722A6">
        <w:rPr>
          <w:rFonts w:asciiTheme="majorHAnsi" w:hAnsiTheme="majorHAnsi"/>
          <w:color w:val="000000"/>
          <w:sz w:val="20"/>
          <w:szCs w:val="20"/>
        </w:rPr>
        <w:t>Marshall Islands</w:t>
      </w:r>
      <w:r w:rsidR="00527411" w:rsidRPr="005722A6">
        <w:rPr>
          <w:rFonts w:asciiTheme="majorHAnsi" w:hAnsiTheme="majorHAnsi"/>
          <w:color w:val="000000"/>
          <w:sz w:val="20"/>
          <w:szCs w:val="20"/>
        </w:rPr>
        <w:t xml:space="preserve"> (RMI)</w:t>
      </w:r>
      <w:r w:rsidRPr="005722A6">
        <w:rPr>
          <w:rFonts w:asciiTheme="majorHAnsi" w:hAnsiTheme="majorHAnsi"/>
          <w:color w:val="000000"/>
          <w:sz w:val="20"/>
          <w:szCs w:val="20"/>
        </w:rPr>
        <w:t xml:space="preserve">, with an investment of US$985,000. Its goals are to support the Micronesia Conservation Trust and their partners manage and eradicate terrestrial invasive plants, train relevant personnel in the three countries on IAS </w:t>
      </w:r>
      <w:r w:rsidR="00CE4222">
        <w:rPr>
          <w:rFonts w:asciiTheme="majorHAnsi" w:hAnsiTheme="majorHAnsi"/>
          <w:color w:val="000000"/>
          <w:sz w:val="20"/>
          <w:szCs w:val="20"/>
        </w:rPr>
        <w:t xml:space="preserve">management </w:t>
      </w:r>
      <w:r w:rsidRPr="005722A6">
        <w:rPr>
          <w:rFonts w:asciiTheme="majorHAnsi" w:hAnsiTheme="majorHAnsi"/>
          <w:color w:val="000000"/>
          <w:sz w:val="20"/>
          <w:szCs w:val="20"/>
        </w:rPr>
        <w:t xml:space="preserve">in other parts of the region, and support the Micronesia Regional Invasive Species Council to implement </w:t>
      </w:r>
      <w:r w:rsidR="00CE4222">
        <w:rPr>
          <w:rFonts w:asciiTheme="majorHAnsi" w:hAnsiTheme="majorHAnsi"/>
          <w:color w:val="000000"/>
          <w:sz w:val="20"/>
          <w:szCs w:val="20"/>
        </w:rPr>
        <w:t xml:space="preserve">its </w:t>
      </w:r>
      <w:r w:rsidRPr="005722A6">
        <w:rPr>
          <w:rFonts w:asciiTheme="majorHAnsi" w:hAnsiTheme="majorHAnsi"/>
          <w:color w:val="000000"/>
          <w:sz w:val="20"/>
          <w:szCs w:val="20"/>
        </w:rPr>
        <w:t>Regional Biosecurity Plan</w:t>
      </w:r>
      <w:r w:rsidR="00CE4222">
        <w:rPr>
          <w:rFonts w:asciiTheme="majorHAnsi" w:hAnsiTheme="majorHAnsi"/>
          <w:color w:val="000000"/>
          <w:sz w:val="20"/>
          <w:szCs w:val="20"/>
        </w:rPr>
        <w:t>.</w:t>
      </w:r>
    </w:p>
    <w:p w14:paraId="25F39996" w14:textId="44BB5C9B" w:rsidR="002C7DE0" w:rsidRPr="00CE4222" w:rsidRDefault="00CE4222" w:rsidP="00C71EB0">
      <w:pPr>
        <w:pStyle w:val="ListParagraph"/>
        <w:widowControl w:val="0"/>
        <w:numPr>
          <w:ilvl w:val="0"/>
          <w:numId w:val="109"/>
        </w:numPr>
        <w:autoSpaceDE w:val="0"/>
        <w:autoSpaceDN w:val="0"/>
        <w:adjustRightInd w:val="0"/>
        <w:jc w:val="both"/>
        <w:rPr>
          <w:rFonts w:asciiTheme="majorHAnsi" w:hAnsiTheme="majorHAnsi"/>
          <w:color w:val="000000"/>
          <w:sz w:val="20"/>
          <w:szCs w:val="20"/>
        </w:rPr>
      </w:pPr>
      <w:r w:rsidRPr="00CE4222">
        <w:rPr>
          <w:rFonts w:asciiTheme="majorHAnsi" w:hAnsiTheme="majorHAnsi"/>
          <w:color w:val="000000"/>
          <w:sz w:val="20"/>
          <w:szCs w:val="20"/>
        </w:rPr>
        <w:t>T</w:t>
      </w:r>
      <w:r w:rsidR="00B87774" w:rsidRPr="00CE4222">
        <w:rPr>
          <w:rFonts w:asciiTheme="majorHAnsi" w:hAnsiTheme="majorHAnsi"/>
          <w:color w:val="000000"/>
          <w:sz w:val="20"/>
          <w:szCs w:val="20"/>
        </w:rPr>
        <w:t xml:space="preserve">he Regional Biosecurity Plan for Micronesia and Hawaii </w:t>
      </w:r>
      <w:r w:rsidRPr="00CE4222">
        <w:rPr>
          <w:rFonts w:asciiTheme="majorHAnsi" w:hAnsiTheme="majorHAnsi"/>
          <w:color w:val="000000"/>
          <w:sz w:val="20"/>
          <w:szCs w:val="20"/>
        </w:rPr>
        <w:t>(</w:t>
      </w:r>
      <w:r w:rsidR="00B87774" w:rsidRPr="00CE4222">
        <w:rPr>
          <w:rFonts w:asciiTheme="majorHAnsi" w:hAnsiTheme="majorHAnsi"/>
          <w:color w:val="000000"/>
          <w:sz w:val="20"/>
          <w:szCs w:val="20"/>
        </w:rPr>
        <w:t xml:space="preserve">or RBP) has been developed through a US Department of Defense funded, multi-disciplinary effort of federal and regional scientists and experts. RBP </w:t>
      </w:r>
      <w:r w:rsidRPr="00CE4222">
        <w:rPr>
          <w:rFonts w:asciiTheme="majorHAnsi" w:hAnsiTheme="majorHAnsi"/>
          <w:color w:val="000000"/>
          <w:sz w:val="20"/>
          <w:szCs w:val="20"/>
        </w:rPr>
        <w:t xml:space="preserve">has been </w:t>
      </w:r>
      <w:r w:rsidR="00B87774" w:rsidRPr="00CE4222">
        <w:rPr>
          <w:rFonts w:asciiTheme="majorHAnsi" w:hAnsiTheme="majorHAnsi"/>
          <w:color w:val="000000"/>
          <w:sz w:val="20"/>
          <w:szCs w:val="20"/>
        </w:rPr>
        <w:t xml:space="preserve">is </w:t>
      </w:r>
      <w:r w:rsidRPr="00CE4222">
        <w:rPr>
          <w:rFonts w:asciiTheme="majorHAnsi" w:hAnsiTheme="majorHAnsi"/>
          <w:color w:val="000000"/>
          <w:sz w:val="20"/>
          <w:szCs w:val="20"/>
        </w:rPr>
        <w:t xml:space="preserve">regionally vetted and is intended </w:t>
      </w:r>
      <w:r w:rsidR="00B87774" w:rsidRPr="00CE4222">
        <w:rPr>
          <w:rFonts w:asciiTheme="majorHAnsi" w:hAnsiTheme="majorHAnsi"/>
          <w:color w:val="000000"/>
          <w:sz w:val="20"/>
          <w:szCs w:val="20"/>
        </w:rPr>
        <w:t xml:space="preserve">to address terrestrial, marine and freshwater IAS risks to </w:t>
      </w:r>
      <w:r w:rsidR="00B87774" w:rsidRPr="00CE4222">
        <w:rPr>
          <w:rFonts w:asciiTheme="majorHAnsi" w:hAnsiTheme="majorHAnsi"/>
          <w:color w:val="000000"/>
          <w:sz w:val="20"/>
          <w:szCs w:val="20"/>
        </w:rPr>
        <w:lastRenderedPageBreak/>
        <w:t xml:space="preserve">the RMI, Palau, FSM, Guam, </w:t>
      </w:r>
      <w:r w:rsidR="00527411" w:rsidRPr="00CE4222">
        <w:rPr>
          <w:rFonts w:asciiTheme="majorHAnsi" w:hAnsiTheme="majorHAnsi"/>
          <w:color w:val="000000"/>
          <w:sz w:val="20"/>
          <w:szCs w:val="20"/>
        </w:rPr>
        <w:t>Commonwealth of Northern Marina Islands (</w:t>
      </w:r>
      <w:r w:rsidR="00B87774" w:rsidRPr="00CE4222">
        <w:rPr>
          <w:rFonts w:asciiTheme="majorHAnsi" w:hAnsiTheme="majorHAnsi"/>
          <w:color w:val="000000"/>
          <w:sz w:val="20"/>
          <w:szCs w:val="20"/>
        </w:rPr>
        <w:t>CNMI</w:t>
      </w:r>
      <w:r w:rsidR="00527411" w:rsidRPr="00CE4222">
        <w:rPr>
          <w:rFonts w:asciiTheme="majorHAnsi" w:hAnsiTheme="majorHAnsi"/>
          <w:color w:val="000000"/>
          <w:sz w:val="20"/>
          <w:szCs w:val="20"/>
        </w:rPr>
        <w:t>)</w:t>
      </w:r>
      <w:r w:rsidR="00B87774" w:rsidRPr="00CE4222">
        <w:rPr>
          <w:rFonts w:asciiTheme="majorHAnsi" w:hAnsiTheme="majorHAnsi"/>
          <w:color w:val="000000"/>
          <w:sz w:val="20"/>
          <w:szCs w:val="20"/>
        </w:rPr>
        <w:t xml:space="preserve"> and Hawaii.</w:t>
      </w:r>
    </w:p>
    <w:p w14:paraId="7D26FB82" w14:textId="02459104" w:rsidR="002C7DE0" w:rsidRPr="00A63AF1" w:rsidRDefault="002C7DE0" w:rsidP="00A63AF1">
      <w:pPr>
        <w:widowControl w:val="0"/>
        <w:autoSpaceDE w:val="0"/>
        <w:autoSpaceDN w:val="0"/>
        <w:adjustRightInd w:val="0"/>
        <w:rPr>
          <w:rFonts w:asciiTheme="majorHAnsi" w:hAnsiTheme="majorHAnsi"/>
          <w:color w:val="000000"/>
          <w:sz w:val="20"/>
          <w:szCs w:val="20"/>
        </w:rPr>
        <w:sectPr w:rsidR="002C7DE0" w:rsidRPr="00A63AF1" w:rsidSect="00D210D8">
          <w:pgSz w:w="12240" w:h="15840" w:code="1"/>
          <w:pgMar w:top="1440" w:right="1440" w:bottom="1440" w:left="1440" w:header="720" w:footer="432" w:gutter="0"/>
          <w:cols w:space="708"/>
          <w:titlePg/>
          <w:docGrid w:linePitch="360"/>
        </w:sectPr>
      </w:pPr>
    </w:p>
    <w:p w14:paraId="0671EB30" w14:textId="77777777" w:rsidR="00B87774" w:rsidRPr="005C3E66" w:rsidRDefault="00B87774" w:rsidP="00B87774">
      <w:pPr>
        <w:widowControl w:val="0"/>
        <w:autoSpaceDE w:val="0"/>
        <w:autoSpaceDN w:val="0"/>
        <w:adjustRightInd w:val="0"/>
        <w:spacing w:after="0"/>
        <w:rPr>
          <w:color w:val="000000"/>
          <w:szCs w:val="20"/>
        </w:rPr>
      </w:pPr>
    </w:p>
    <w:p w14:paraId="63D07E13" w14:textId="77777777" w:rsidR="003B2A79" w:rsidRPr="0003763F" w:rsidRDefault="003B2A79" w:rsidP="003B2A79">
      <w:pPr>
        <w:jc w:val="left"/>
        <w:rPr>
          <w:rFonts w:cs="Segoe UI"/>
          <w:color w:val="000000"/>
          <w:szCs w:val="20"/>
        </w:rPr>
      </w:pPr>
    </w:p>
    <w:p w14:paraId="50819151" w14:textId="77777777" w:rsidR="00D218B7" w:rsidRPr="00D218B7" w:rsidRDefault="004C3717" w:rsidP="00D218B7">
      <w:pPr>
        <w:pStyle w:val="Heading1"/>
        <w:spacing w:before="0" w:after="0"/>
        <w:jc w:val="left"/>
        <w:rPr>
          <w:rFonts w:ascii="Calibri" w:hAnsi="Calibri"/>
          <w:szCs w:val="28"/>
        </w:rPr>
      </w:pPr>
      <w:bookmarkStart w:id="5" w:name="_Toc443050755"/>
      <w:bookmarkStart w:id="6" w:name="_Toc207800911"/>
      <w:r w:rsidRPr="00D218B7">
        <w:rPr>
          <w:rFonts w:ascii="Calibri" w:hAnsi="Calibri"/>
          <w:szCs w:val="28"/>
        </w:rPr>
        <w:t>Strategy</w:t>
      </w:r>
      <w:bookmarkEnd w:id="5"/>
      <w:r w:rsidR="00A25CCB" w:rsidRPr="00D218B7">
        <w:rPr>
          <w:rFonts w:ascii="Calibri" w:hAnsi="Calibri"/>
          <w:szCs w:val="28"/>
        </w:rPr>
        <w:t xml:space="preserve"> </w:t>
      </w:r>
      <w:bookmarkEnd w:id="6"/>
    </w:p>
    <w:p w14:paraId="15B0B848" w14:textId="77777777" w:rsidR="002B221B" w:rsidRDefault="002B221B" w:rsidP="00D218B7">
      <w:pPr>
        <w:spacing w:after="0"/>
        <w:jc w:val="left"/>
        <w:rPr>
          <w:b/>
          <w:i/>
          <w:szCs w:val="20"/>
          <w:highlight w:val="yellow"/>
        </w:rPr>
      </w:pPr>
    </w:p>
    <w:p w14:paraId="4D93615B" w14:textId="162AF9C9" w:rsidR="00725F1D" w:rsidRDefault="00B87774" w:rsidP="00B87774">
      <w:pPr>
        <w:widowControl w:val="0"/>
        <w:autoSpaceDE w:val="0"/>
        <w:autoSpaceDN w:val="0"/>
        <w:adjustRightInd w:val="0"/>
        <w:spacing w:after="0"/>
        <w:rPr>
          <w:color w:val="000000"/>
          <w:sz w:val="20"/>
          <w:szCs w:val="20"/>
        </w:rPr>
      </w:pPr>
      <w:r w:rsidRPr="005722A6">
        <w:rPr>
          <w:rFonts w:eastAsia="Calibri"/>
          <w:noProof/>
          <w:color w:val="000000"/>
          <w:sz w:val="20"/>
          <w:szCs w:val="20"/>
        </w:rPr>
        <w:t xml:space="preserve">The project objective is </w:t>
      </w:r>
      <w:r w:rsidRPr="00B643D4">
        <w:rPr>
          <w:rFonts w:eastAsia="Calibri"/>
          <w:b/>
          <w:noProof/>
          <w:color w:val="000000"/>
          <w:sz w:val="20"/>
          <w:szCs w:val="20"/>
        </w:rPr>
        <w:t xml:space="preserve">to </w:t>
      </w:r>
      <w:r w:rsidRPr="00B643D4">
        <w:rPr>
          <w:b/>
          <w:sz w:val="20"/>
          <w:szCs w:val="20"/>
        </w:rPr>
        <w:t>mainstream biodiversity conservation into integrated land and seascape governance, planning and management in Palau</w:t>
      </w:r>
      <w:r w:rsidRPr="005722A6">
        <w:rPr>
          <w:sz w:val="20"/>
          <w:szCs w:val="20"/>
        </w:rPr>
        <w:t xml:space="preserve">. To achieve this objective, the </w:t>
      </w:r>
      <w:r w:rsidRPr="005722A6">
        <w:rPr>
          <w:sz w:val="20"/>
          <w:szCs w:val="20"/>
          <w:lang w:val="en-GB"/>
        </w:rPr>
        <w:t xml:space="preserve">GEF alternative aims to remove the barriers to the long-term solution through integrated planning, management and protection involving a wide range of stakeholders. </w:t>
      </w:r>
      <w:r w:rsidR="00C71EB0">
        <w:rPr>
          <w:sz w:val="20"/>
          <w:szCs w:val="20"/>
        </w:rPr>
        <w:t xml:space="preserve">The </w:t>
      </w:r>
      <w:r w:rsidRPr="005722A6">
        <w:rPr>
          <w:sz w:val="20"/>
          <w:szCs w:val="20"/>
        </w:rPr>
        <w:t>project recognizes that these land</w:t>
      </w:r>
      <w:r w:rsidR="00134E81">
        <w:rPr>
          <w:sz w:val="20"/>
          <w:szCs w:val="20"/>
        </w:rPr>
        <w:t>/</w:t>
      </w:r>
      <w:r w:rsidRPr="005722A6">
        <w:rPr>
          <w:sz w:val="20"/>
          <w:szCs w:val="20"/>
        </w:rPr>
        <w:t xml:space="preserve">seascapes underpin the lives and livelihoods of a large number of local communities and that implementation of </w:t>
      </w:r>
      <w:r w:rsidR="00134E81">
        <w:rPr>
          <w:sz w:val="20"/>
          <w:szCs w:val="20"/>
        </w:rPr>
        <w:t xml:space="preserve">a </w:t>
      </w:r>
      <w:r w:rsidRPr="005722A6">
        <w:rPr>
          <w:sz w:val="20"/>
          <w:szCs w:val="20"/>
        </w:rPr>
        <w:t>coherent strategy to promote sustainable</w:t>
      </w:r>
      <w:r w:rsidR="00134E81">
        <w:rPr>
          <w:sz w:val="20"/>
          <w:szCs w:val="20"/>
        </w:rPr>
        <w:t>, biodiversity-friendly</w:t>
      </w:r>
      <w:r w:rsidRPr="005722A6">
        <w:rPr>
          <w:sz w:val="20"/>
          <w:szCs w:val="20"/>
        </w:rPr>
        <w:t xml:space="preserve"> livelihood options is an integral part of the solution.</w:t>
      </w:r>
      <w:r w:rsidR="005E5188" w:rsidRPr="005722A6">
        <w:rPr>
          <w:color w:val="000000"/>
          <w:sz w:val="20"/>
          <w:szCs w:val="20"/>
        </w:rPr>
        <w:t xml:space="preserve"> </w:t>
      </w:r>
    </w:p>
    <w:p w14:paraId="77232E64" w14:textId="77777777" w:rsidR="00725F1D" w:rsidRDefault="00725F1D" w:rsidP="00B87774">
      <w:pPr>
        <w:widowControl w:val="0"/>
        <w:autoSpaceDE w:val="0"/>
        <w:autoSpaceDN w:val="0"/>
        <w:adjustRightInd w:val="0"/>
        <w:spacing w:after="0"/>
        <w:rPr>
          <w:color w:val="000000"/>
          <w:sz w:val="20"/>
          <w:szCs w:val="20"/>
        </w:rPr>
      </w:pPr>
    </w:p>
    <w:p w14:paraId="379A4C31" w14:textId="2A0AB089" w:rsidR="00B87774" w:rsidRPr="005722A6" w:rsidRDefault="00B87774" w:rsidP="00B87774">
      <w:pPr>
        <w:widowControl w:val="0"/>
        <w:autoSpaceDE w:val="0"/>
        <w:autoSpaceDN w:val="0"/>
        <w:adjustRightInd w:val="0"/>
        <w:spacing w:after="0"/>
        <w:rPr>
          <w:color w:val="000000"/>
          <w:sz w:val="20"/>
          <w:szCs w:val="20"/>
        </w:rPr>
      </w:pPr>
      <w:r w:rsidRPr="005722A6">
        <w:rPr>
          <w:sz w:val="20"/>
          <w:szCs w:val="20"/>
        </w:rPr>
        <w:t xml:space="preserve">The project will be implemented over a 6-year period based on the following principles: </w:t>
      </w:r>
    </w:p>
    <w:p w14:paraId="3569C9D2" w14:textId="41039A9E" w:rsidR="00B87774" w:rsidRPr="002F6486" w:rsidRDefault="005E0269" w:rsidP="00725F1D">
      <w:pPr>
        <w:pStyle w:val="ListParagraph"/>
        <w:widowControl w:val="0"/>
        <w:numPr>
          <w:ilvl w:val="0"/>
          <w:numId w:val="14"/>
        </w:numPr>
        <w:tabs>
          <w:tab w:val="left" w:pos="0"/>
          <w:tab w:val="left" w:pos="220"/>
        </w:tabs>
        <w:autoSpaceDE w:val="0"/>
        <w:autoSpaceDN w:val="0"/>
        <w:adjustRightInd w:val="0"/>
        <w:ind w:left="714" w:hanging="357"/>
        <w:jc w:val="both"/>
        <w:rPr>
          <w:rFonts w:ascii="Calibri" w:hAnsi="Calibri" w:cs="Times"/>
          <w:sz w:val="20"/>
          <w:szCs w:val="20"/>
        </w:rPr>
      </w:pPr>
      <w:r w:rsidRPr="00134E81">
        <w:rPr>
          <w:rFonts w:ascii="Calibri" w:hAnsi="Calibri"/>
          <w:sz w:val="20"/>
          <w:szCs w:val="20"/>
        </w:rPr>
        <w:t xml:space="preserve">Furthering </w:t>
      </w:r>
      <w:r w:rsidR="00B87774" w:rsidRPr="00134E81">
        <w:rPr>
          <w:rFonts w:ascii="Calibri" w:hAnsi="Calibri"/>
          <w:sz w:val="20"/>
          <w:szCs w:val="20"/>
        </w:rPr>
        <w:t xml:space="preserve">a </w:t>
      </w:r>
      <w:r w:rsidR="00585796" w:rsidRPr="00134E81">
        <w:rPr>
          <w:rFonts w:ascii="Calibri" w:hAnsi="Calibri"/>
          <w:i/>
          <w:sz w:val="20"/>
          <w:szCs w:val="20"/>
        </w:rPr>
        <w:t>holistic and integrated Ridge-to-Reef land</w:t>
      </w:r>
      <w:r w:rsidR="00B87774" w:rsidRPr="00134E81">
        <w:rPr>
          <w:rFonts w:ascii="Calibri" w:hAnsi="Calibri"/>
          <w:i/>
          <w:sz w:val="20"/>
          <w:szCs w:val="20"/>
        </w:rPr>
        <w:t xml:space="preserve"> and seascape approach</w:t>
      </w:r>
      <w:r w:rsidR="00B87774" w:rsidRPr="00134E81">
        <w:rPr>
          <w:rFonts w:ascii="Calibri" w:hAnsi="Calibri"/>
          <w:sz w:val="20"/>
          <w:szCs w:val="20"/>
        </w:rPr>
        <w:t xml:space="preserve"> </w:t>
      </w:r>
      <w:r w:rsidR="001E152F" w:rsidRPr="00134E81">
        <w:rPr>
          <w:rFonts w:ascii="Calibri" w:hAnsi="Calibri"/>
          <w:sz w:val="20"/>
          <w:szCs w:val="20"/>
        </w:rPr>
        <w:t xml:space="preserve">rather than </w:t>
      </w:r>
      <w:r w:rsidR="006D72CF" w:rsidRPr="00134E81">
        <w:rPr>
          <w:rFonts w:ascii="Calibri" w:hAnsi="Calibri"/>
          <w:sz w:val="20"/>
          <w:szCs w:val="20"/>
        </w:rPr>
        <w:t xml:space="preserve">a </w:t>
      </w:r>
      <w:r w:rsidR="00B87774" w:rsidRPr="00134E81">
        <w:rPr>
          <w:rFonts w:ascii="Calibri" w:hAnsi="Calibri"/>
          <w:sz w:val="20"/>
          <w:szCs w:val="20"/>
        </w:rPr>
        <w:t>exclusive protected area centric approach</w:t>
      </w:r>
      <w:r w:rsidRPr="00CF7192">
        <w:rPr>
          <w:rFonts w:ascii="Calibri" w:hAnsi="Calibri"/>
          <w:sz w:val="20"/>
          <w:szCs w:val="20"/>
        </w:rPr>
        <w:t>;</w:t>
      </w:r>
      <w:r w:rsidR="00B87774" w:rsidRPr="00FB46EB">
        <w:rPr>
          <w:rFonts w:ascii="Calibri" w:hAnsi="Calibri"/>
          <w:sz w:val="20"/>
          <w:szCs w:val="20"/>
        </w:rPr>
        <w:t xml:space="preserve"> </w:t>
      </w:r>
    </w:p>
    <w:p w14:paraId="367044D9" w14:textId="424F79FD" w:rsidR="00B87774" w:rsidRPr="005722A6" w:rsidRDefault="00B87774" w:rsidP="00B02352">
      <w:pPr>
        <w:widowControl w:val="0"/>
        <w:numPr>
          <w:ilvl w:val="0"/>
          <w:numId w:val="14"/>
        </w:numPr>
        <w:tabs>
          <w:tab w:val="left" w:pos="0"/>
          <w:tab w:val="left" w:pos="220"/>
        </w:tabs>
        <w:autoSpaceDE w:val="0"/>
        <w:autoSpaceDN w:val="0"/>
        <w:adjustRightInd w:val="0"/>
        <w:spacing w:after="0"/>
        <w:rPr>
          <w:rFonts w:cs="Times"/>
          <w:sz w:val="20"/>
          <w:szCs w:val="20"/>
        </w:rPr>
      </w:pPr>
      <w:r w:rsidRPr="005722A6">
        <w:rPr>
          <w:sz w:val="20"/>
          <w:szCs w:val="20"/>
        </w:rPr>
        <w:t xml:space="preserve">Supporting and implementing a </w:t>
      </w:r>
      <w:r w:rsidRPr="005722A6">
        <w:rPr>
          <w:i/>
          <w:sz w:val="20"/>
          <w:szCs w:val="20"/>
        </w:rPr>
        <w:t>participatory/consultative bottom-up project planning and implementation approach</w:t>
      </w:r>
      <w:r w:rsidRPr="005722A6">
        <w:rPr>
          <w:sz w:val="20"/>
          <w:szCs w:val="20"/>
        </w:rPr>
        <w:t xml:space="preserve"> that focuses on state and community priorities; </w:t>
      </w:r>
      <w:r w:rsidRPr="005722A6">
        <w:rPr>
          <w:rFonts w:cs="Times"/>
          <w:sz w:val="20"/>
          <w:szCs w:val="20"/>
        </w:rPr>
        <w:t> </w:t>
      </w:r>
    </w:p>
    <w:p w14:paraId="0C0DFE38" w14:textId="2480483C" w:rsidR="00B87774" w:rsidRPr="005722A6" w:rsidRDefault="00B87774" w:rsidP="00B02352">
      <w:pPr>
        <w:widowControl w:val="0"/>
        <w:numPr>
          <w:ilvl w:val="0"/>
          <w:numId w:val="14"/>
        </w:numPr>
        <w:tabs>
          <w:tab w:val="left" w:pos="0"/>
          <w:tab w:val="left" w:pos="220"/>
        </w:tabs>
        <w:autoSpaceDE w:val="0"/>
        <w:autoSpaceDN w:val="0"/>
        <w:adjustRightInd w:val="0"/>
        <w:spacing w:after="0"/>
        <w:rPr>
          <w:rFonts w:cs="Times"/>
          <w:sz w:val="20"/>
          <w:szCs w:val="20"/>
        </w:rPr>
      </w:pPr>
      <w:r w:rsidRPr="005722A6">
        <w:rPr>
          <w:sz w:val="20"/>
          <w:szCs w:val="20"/>
        </w:rPr>
        <w:t xml:space="preserve">Supporting </w:t>
      </w:r>
      <w:r w:rsidRPr="005722A6">
        <w:rPr>
          <w:i/>
          <w:sz w:val="20"/>
          <w:szCs w:val="20"/>
        </w:rPr>
        <w:t xml:space="preserve">decentralized planning and management </w:t>
      </w:r>
      <w:r w:rsidR="006D72CF" w:rsidRPr="005722A6">
        <w:rPr>
          <w:i/>
          <w:sz w:val="20"/>
          <w:szCs w:val="20"/>
        </w:rPr>
        <w:t>by</w:t>
      </w:r>
      <w:r w:rsidRPr="005722A6">
        <w:rPr>
          <w:i/>
          <w:sz w:val="20"/>
          <w:szCs w:val="20"/>
        </w:rPr>
        <w:t xml:space="preserve"> communities, local state government institu</w:t>
      </w:r>
      <w:r w:rsidR="0088082B">
        <w:rPr>
          <w:i/>
          <w:sz w:val="20"/>
          <w:szCs w:val="20"/>
        </w:rPr>
        <w:t>tions, and community-</w:t>
      </w:r>
      <w:r w:rsidRPr="005722A6">
        <w:rPr>
          <w:i/>
          <w:sz w:val="20"/>
          <w:szCs w:val="20"/>
        </w:rPr>
        <w:t>based organizations</w:t>
      </w:r>
      <w:r w:rsidRPr="005722A6">
        <w:rPr>
          <w:sz w:val="20"/>
          <w:szCs w:val="20"/>
        </w:rPr>
        <w:t xml:space="preserve">, increasing their potential for becoming agents of change; </w:t>
      </w:r>
      <w:r w:rsidRPr="005722A6">
        <w:rPr>
          <w:rFonts w:cs="Times"/>
          <w:sz w:val="20"/>
          <w:szCs w:val="20"/>
        </w:rPr>
        <w:t> </w:t>
      </w:r>
    </w:p>
    <w:p w14:paraId="0FDE6577" w14:textId="2F060F38" w:rsidR="00B87774" w:rsidRPr="005722A6" w:rsidRDefault="00B87774" w:rsidP="00B02352">
      <w:pPr>
        <w:widowControl w:val="0"/>
        <w:numPr>
          <w:ilvl w:val="0"/>
          <w:numId w:val="14"/>
        </w:numPr>
        <w:tabs>
          <w:tab w:val="left" w:pos="0"/>
          <w:tab w:val="left" w:pos="220"/>
        </w:tabs>
        <w:autoSpaceDE w:val="0"/>
        <w:autoSpaceDN w:val="0"/>
        <w:adjustRightInd w:val="0"/>
        <w:spacing w:after="0"/>
        <w:rPr>
          <w:rFonts w:cs="Times"/>
          <w:sz w:val="20"/>
          <w:szCs w:val="20"/>
        </w:rPr>
      </w:pPr>
      <w:r w:rsidRPr="005722A6">
        <w:rPr>
          <w:i/>
          <w:sz w:val="20"/>
          <w:szCs w:val="20"/>
        </w:rPr>
        <w:t>Strengthening capacities</w:t>
      </w:r>
      <w:r w:rsidRPr="005722A6">
        <w:rPr>
          <w:sz w:val="20"/>
          <w:szCs w:val="20"/>
        </w:rPr>
        <w:t xml:space="preserve"> of all stakeholders </w:t>
      </w:r>
      <w:r w:rsidR="00134E81">
        <w:rPr>
          <w:sz w:val="20"/>
          <w:szCs w:val="20"/>
        </w:rPr>
        <w:t>in</w:t>
      </w:r>
      <w:r w:rsidRPr="005722A6">
        <w:rPr>
          <w:sz w:val="20"/>
          <w:szCs w:val="20"/>
        </w:rPr>
        <w:t xml:space="preserve"> effective enhancement of conservation and sustainable use</w:t>
      </w:r>
      <w:r w:rsidR="00134E81">
        <w:rPr>
          <w:sz w:val="20"/>
          <w:szCs w:val="20"/>
        </w:rPr>
        <w:t xml:space="preserve"> of biodiversity, </w:t>
      </w:r>
      <w:r w:rsidR="0088082B">
        <w:rPr>
          <w:sz w:val="20"/>
          <w:szCs w:val="20"/>
        </w:rPr>
        <w:t xml:space="preserve">and </w:t>
      </w:r>
      <w:r w:rsidR="00134E81">
        <w:rPr>
          <w:sz w:val="20"/>
          <w:szCs w:val="20"/>
        </w:rPr>
        <w:t xml:space="preserve">improved biosecurity to </w:t>
      </w:r>
      <w:r w:rsidRPr="005722A6">
        <w:rPr>
          <w:sz w:val="20"/>
          <w:szCs w:val="20"/>
        </w:rPr>
        <w:t>preven</w:t>
      </w:r>
      <w:r w:rsidR="00134E81">
        <w:rPr>
          <w:sz w:val="20"/>
          <w:szCs w:val="20"/>
        </w:rPr>
        <w:t>t the introduction and spread</w:t>
      </w:r>
      <w:r w:rsidR="006D72CF" w:rsidRPr="005722A6">
        <w:rPr>
          <w:sz w:val="20"/>
          <w:szCs w:val="20"/>
        </w:rPr>
        <w:t xml:space="preserve"> </w:t>
      </w:r>
      <w:r w:rsidRPr="005722A6">
        <w:rPr>
          <w:sz w:val="20"/>
          <w:szCs w:val="20"/>
        </w:rPr>
        <w:t xml:space="preserve">of IAS; </w:t>
      </w:r>
      <w:r w:rsidRPr="005722A6">
        <w:rPr>
          <w:rFonts w:cs="Times"/>
          <w:sz w:val="20"/>
          <w:szCs w:val="20"/>
        </w:rPr>
        <w:t> </w:t>
      </w:r>
    </w:p>
    <w:p w14:paraId="61E745C5" w14:textId="1E9F8D3F" w:rsidR="00585796" w:rsidRPr="005722A6" w:rsidRDefault="00585796" w:rsidP="00B02352">
      <w:pPr>
        <w:widowControl w:val="0"/>
        <w:numPr>
          <w:ilvl w:val="0"/>
          <w:numId w:val="14"/>
        </w:numPr>
        <w:tabs>
          <w:tab w:val="left" w:pos="0"/>
          <w:tab w:val="left" w:pos="220"/>
        </w:tabs>
        <w:autoSpaceDE w:val="0"/>
        <w:autoSpaceDN w:val="0"/>
        <w:adjustRightInd w:val="0"/>
        <w:spacing w:after="0"/>
        <w:rPr>
          <w:rFonts w:cs="Times"/>
          <w:sz w:val="20"/>
          <w:szCs w:val="20"/>
        </w:rPr>
      </w:pPr>
      <w:r w:rsidRPr="005722A6">
        <w:rPr>
          <w:rFonts w:cs="Times"/>
          <w:sz w:val="20"/>
          <w:szCs w:val="20"/>
        </w:rPr>
        <w:t xml:space="preserve">Improving </w:t>
      </w:r>
      <w:r w:rsidRPr="005722A6">
        <w:rPr>
          <w:rFonts w:cs="Times"/>
          <w:i/>
          <w:sz w:val="20"/>
          <w:szCs w:val="20"/>
        </w:rPr>
        <w:t>coordination and collaboration</w:t>
      </w:r>
      <w:r w:rsidRPr="005722A6">
        <w:rPr>
          <w:rFonts w:cs="Times"/>
          <w:sz w:val="20"/>
          <w:szCs w:val="20"/>
        </w:rPr>
        <w:t xml:space="preserve"> between state and national governments;</w:t>
      </w:r>
    </w:p>
    <w:p w14:paraId="006C719C" w14:textId="7F8B5096" w:rsidR="00B87774" w:rsidRPr="005722A6" w:rsidRDefault="00B87774" w:rsidP="00B02352">
      <w:pPr>
        <w:widowControl w:val="0"/>
        <w:numPr>
          <w:ilvl w:val="0"/>
          <w:numId w:val="14"/>
        </w:numPr>
        <w:tabs>
          <w:tab w:val="left" w:pos="0"/>
          <w:tab w:val="left" w:pos="220"/>
        </w:tabs>
        <w:autoSpaceDE w:val="0"/>
        <w:autoSpaceDN w:val="0"/>
        <w:adjustRightInd w:val="0"/>
        <w:spacing w:after="0"/>
        <w:rPr>
          <w:rFonts w:cs="Times"/>
          <w:sz w:val="20"/>
          <w:szCs w:val="20"/>
        </w:rPr>
      </w:pPr>
      <w:r w:rsidRPr="005722A6">
        <w:rPr>
          <w:sz w:val="20"/>
          <w:szCs w:val="20"/>
        </w:rPr>
        <w:t xml:space="preserve">Adopting an </w:t>
      </w:r>
      <w:r w:rsidRPr="005722A6">
        <w:rPr>
          <w:i/>
          <w:sz w:val="20"/>
          <w:szCs w:val="20"/>
        </w:rPr>
        <w:t>integrated multi-sectoral approach</w:t>
      </w:r>
      <w:r w:rsidRPr="005722A6">
        <w:rPr>
          <w:sz w:val="20"/>
          <w:szCs w:val="20"/>
        </w:rPr>
        <w:t xml:space="preserve"> as a strategy for improving the </w:t>
      </w:r>
      <w:r w:rsidR="0057218D" w:rsidRPr="005722A6">
        <w:rPr>
          <w:sz w:val="20"/>
          <w:szCs w:val="20"/>
        </w:rPr>
        <w:t xml:space="preserve">planning and </w:t>
      </w:r>
      <w:r w:rsidRPr="005722A6">
        <w:rPr>
          <w:sz w:val="20"/>
          <w:szCs w:val="20"/>
        </w:rPr>
        <w:t>management of landscape</w:t>
      </w:r>
      <w:r w:rsidR="006D72CF" w:rsidRPr="005722A6">
        <w:rPr>
          <w:sz w:val="20"/>
          <w:szCs w:val="20"/>
        </w:rPr>
        <w:t>s</w:t>
      </w:r>
      <w:r w:rsidRPr="005722A6">
        <w:rPr>
          <w:sz w:val="20"/>
          <w:szCs w:val="20"/>
        </w:rPr>
        <w:t xml:space="preserve"> and seasca</w:t>
      </w:r>
      <w:r w:rsidR="005E0269" w:rsidRPr="005722A6">
        <w:rPr>
          <w:sz w:val="20"/>
          <w:szCs w:val="20"/>
        </w:rPr>
        <w:t>pe</w:t>
      </w:r>
      <w:r w:rsidR="006D72CF" w:rsidRPr="005722A6">
        <w:rPr>
          <w:sz w:val="20"/>
          <w:szCs w:val="20"/>
        </w:rPr>
        <w:t>s</w:t>
      </w:r>
      <w:r w:rsidR="005E0269" w:rsidRPr="005722A6">
        <w:rPr>
          <w:sz w:val="20"/>
          <w:szCs w:val="20"/>
        </w:rPr>
        <w:t xml:space="preserve">; </w:t>
      </w:r>
      <w:r w:rsidRPr="005722A6">
        <w:rPr>
          <w:rFonts w:cs="Times"/>
          <w:sz w:val="20"/>
          <w:szCs w:val="20"/>
        </w:rPr>
        <w:t> </w:t>
      </w:r>
    </w:p>
    <w:p w14:paraId="5B4F1562" w14:textId="49A505BD" w:rsidR="00B87774" w:rsidRPr="005722A6" w:rsidRDefault="0088082B" w:rsidP="00B02352">
      <w:pPr>
        <w:widowControl w:val="0"/>
        <w:numPr>
          <w:ilvl w:val="0"/>
          <w:numId w:val="14"/>
        </w:numPr>
        <w:tabs>
          <w:tab w:val="left" w:pos="0"/>
          <w:tab w:val="left" w:pos="220"/>
        </w:tabs>
        <w:autoSpaceDE w:val="0"/>
        <w:autoSpaceDN w:val="0"/>
        <w:adjustRightInd w:val="0"/>
        <w:spacing w:after="0"/>
        <w:rPr>
          <w:rFonts w:cs="Times"/>
          <w:sz w:val="20"/>
          <w:szCs w:val="20"/>
        </w:rPr>
      </w:pPr>
      <w:r>
        <w:rPr>
          <w:sz w:val="20"/>
          <w:szCs w:val="20"/>
        </w:rPr>
        <w:t>Creating</w:t>
      </w:r>
      <w:r w:rsidR="00B87774" w:rsidRPr="005722A6">
        <w:rPr>
          <w:sz w:val="20"/>
          <w:szCs w:val="20"/>
        </w:rPr>
        <w:t xml:space="preserve"> </w:t>
      </w:r>
      <w:r w:rsidR="00B87774" w:rsidRPr="005722A6">
        <w:rPr>
          <w:i/>
          <w:sz w:val="20"/>
          <w:szCs w:val="20"/>
        </w:rPr>
        <w:t>an effective knowledge base</w:t>
      </w:r>
      <w:r w:rsidR="00B87774" w:rsidRPr="005722A6">
        <w:rPr>
          <w:sz w:val="20"/>
          <w:szCs w:val="20"/>
        </w:rPr>
        <w:t xml:space="preserve"> that builds on successful lessons and experiences from previous and on-going programs</w:t>
      </w:r>
      <w:r w:rsidR="00134E81">
        <w:rPr>
          <w:sz w:val="20"/>
          <w:szCs w:val="20"/>
        </w:rPr>
        <w:t xml:space="preserve"> and projects</w:t>
      </w:r>
      <w:r w:rsidR="005E0269" w:rsidRPr="005722A6">
        <w:rPr>
          <w:sz w:val="20"/>
          <w:szCs w:val="20"/>
        </w:rPr>
        <w:t>;</w:t>
      </w:r>
      <w:r w:rsidR="00B87774" w:rsidRPr="005722A6">
        <w:rPr>
          <w:sz w:val="20"/>
          <w:szCs w:val="20"/>
        </w:rPr>
        <w:t xml:space="preserve"> </w:t>
      </w:r>
      <w:r w:rsidR="00B87774" w:rsidRPr="005722A6">
        <w:rPr>
          <w:rFonts w:cs="Times"/>
          <w:sz w:val="20"/>
          <w:szCs w:val="20"/>
        </w:rPr>
        <w:t> </w:t>
      </w:r>
    </w:p>
    <w:p w14:paraId="03F434C9" w14:textId="3A2D2E76" w:rsidR="00B87774" w:rsidRPr="00134E81" w:rsidRDefault="00B87774" w:rsidP="00B02352">
      <w:pPr>
        <w:pStyle w:val="ListParagraph"/>
        <w:numPr>
          <w:ilvl w:val="0"/>
          <w:numId w:val="14"/>
        </w:numPr>
        <w:spacing w:before="100" w:beforeAutospacing="1" w:after="100" w:afterAutospacing="1"/>
        <w:jc w:val="both"/>
        <w:rPr>
          <w:rFonts w:ascii="Calibri" w:hAnsi="Calibri"/>
          <w:sz w:val="20"/>
          <w:szCs w:val="20"/>
        </w:rPr>
      </w:pPr>
      <w:r w:rsidRPr="00134E81">
        <w:rPr>
          <w:rFonts w:ascii="Calibri" w:hAnsi="Calibri"/>
          <w:sz w:val="20"/>
          <w:szCs w:val="20"/>
        </w:rPr>
        <w:t xml:space="preserve">Ensuring an </w:t>
      </w:r>
      <w:r w:rsidRPr="00134E81">
        <w:rPr>
          <w:rFonts w:ascii="Calibri" w:hAnsi="Calibri"/>
          <w:i/>
          <w:sz w:val="20"/>
          <w:szCs w:val="20"/>
        </w:rPr>
        <w:t>adaptive management approach</w:t>
      </w:r>
      <w:r w:rsidRPr="00134E81">
        <w:rPr>
          <w:rFonts w:ascii="Calibri" w:hAnsi="Calibri"/>
          <w:sz w:val="20"/>
          <w:szCs w:val="20"/>
        </w:rPr>
        <w:t xml:space="preserve"> </w:t>
      </w:r>
      <w:r w:rsidR="006D72CF" w:rsidRPr="00134E81">
        <w:rPr>
          <w:rFonts w:ascii="Calibri" w:hAnsi="Calibri"/>
          <w:sz w:val="20"/>
          <w:szCs w:val="20"/>
        </w:rPr>
        <w:t>that considers</w:t>
      </w:r>
      <w:r w:rsidRPr="00134E81">
        <w:rPr>
          <w:rFonts w:ascii="Calibri" w:hAnsi="Calibri"/>
          <w:sz w:val="20"/>
          <w:szCs w:val="20"/>
        </w:rPr>
        <w:t xml:space="preserve"> ecological, demographic, market, technological and economic factors </w:t>
      </w:r>
      <w:r w:rsidR="00134E81">
        <w:rPr>
          <w:rFonts w:ascii="Calibri" w:hAnsi="Calibri"/>
          <w:sz w:val="20"/>
          <w:szCs w:val="20"/>
        </w:rPr>
        <w:t xml:space="preserve">at </w:t>
      </w:r>
      <w:r w:rsidRPr="00134E81">
        <w:rPr>
          <w:rFonts w:ascii="Calibri" w:hAnsi="Calibri"/>
          <w:sz w:val="20"/>
          <w:szCs w:val="20"/>
        </w:rPr>
        <w:t>land</w:t>
      </w:r>
      <w:r w:rsidR="00134E81">
        <w:rPr>
          <w:rFonts w:ascii="Calibri" w:hAnsi="Calibri"/>
          <w:sz w:val="20"/>
          <w:szCs w:val="20"/>
        </w:rPr>
        <w:t>/</w:t>
      </w:r>
      <w:r w:rsidRPr="00134E81">
        <w:rPr>
          <w:rFonts w:ascii="Calibri" w:hAnsi="Calibri"/>
          <w:sz w:val="20"/>
          <w:szCs w:val="20"/>
        </w:rPr>
        <w:t>seascape</w:t>
      </w:r>
      <w:r w:rsidR="0088082B">
        <w:rPr>
          <w:rFonts w:ascii="Calibri" w:hAnsi="Calibri"/>
          <w:sz w:val="20"/>
          <w:szCs w:val="20"/>
        </w:rPr>
        <w:t xml:space="preserve"> scales</w:t>
      </w:r>
      <w:r w:rsidR="005E0269" w:rsidRPr="00134E81">
        <w:rPr>
          <w:rFonts w:ascii="Calibri" w:hAnsi="Calibri"/>
          <w:sz w:val="20"/>
          <w:szCs w:val="20"/>
        </w:rPr>
        <w:t>; and</w:t>
      </w:r>
      <w:r w:rsidRPr="00134E81">
        <w:rPr>
          <w:rFonts w:ascii="Calibri" w:hAnsi="Calibri"/>
          <w:sz w:val="20"/>
          <w:szCs w:val="20"/>
        </w:rPr>
        <w:t xml:space="preserve"> </w:t>
      </w:r>
    </w:p>
    <w:p w14:paraId="4A99BC57" w14:textId="02482CE4" w:rsidR="00B87774" w:rsidRPr="005722A6" w:rsidRDefault="00B87774" w:rsidP="00B02352">
      <w:pPr>
        <w:numPr>
          <w:ilvl w:val="0"/>
          <w:numId w:val="14"/>
        </w:numPr>
        <w:spacing w:after="0"/>
        <w:rPr>
          <w:sz w:val="20"/>
          <w:szCs w:val="20"/>
        </w:rPr>
      </w:pPr>
      <w:r w:rsidRPr="005722A6">
        <w:rPr>
          <w:i/>
          <w:sz w:val="20"/>
          <w:szCs w:val="20"/>
        </w:rPr>
        <w:t>Selectivity</w:t>
      </w:r>
      <w:r w:rsidRPr="005722A6">
        <w:rPr>
          <w:sz w:val="20"/>
          <w:szCs w:val="20"/>
        </w:rPr>
        <w:t xml:space="preserve"> </w:t>
      </w:r>
      <w:r w:rsidR="0088082B">
        <w:rPr>
          <w:sz w:val="20"/>
          <w:szCs w:val="20"/>
        </w:rPr>
        <w:t>with respect to</w:t>
      </w:r>
      <w:r w:rsidRPr="005722A6">
        <w:rPr>
          <w:sz w:val="20"/>
          <w:szCs w:val="20"/>
        </w:rPr>
        <w:t xml:space="preserve"> interventions and locations to demonstr</w:t>
      </w:r>
      <w:r w:rsidR="00134E81">
        <w:rPr>
          <w:sz w:val="20"/>
          <w:szCs w:val="20"/>
        </w:rPr>
        <w:t>ate</w:t>
      </w:r>
      <w:r w:rsidRPr="005722A6">
        <w:rPr>
          <w:sz w:val="20"/>
          <w:szCs w:val="20"/>
        </w:rPr>
        <w:t xml:space="preserve"> </w:t>
      </w:r>
      <w:r w:rsidR="00134E81">
        <w:rPr>
          <w:sz w:val="20"/>
          <w:szCs w:val="20"/>
        </w:rPr>
        <w:t xml:space="preserve">the </w:t>
      </w:r>
      <w:r w:rsidRPr="005722A6">
        <w:rPr>
          <w:sz w:val="20"/>
          <w:szCs w:val="20"/>
        </w:rPr>
        <w:t>land/seascape</w:t>
      </w:r>
      <w:r w:rsidR="006D72CF" w:rsidRPr="005722A6">
        <w:rPr>
          <w:sz w:val="20"/>
          <w:szCs w:val="20"/>
        </w:rPr>
        <w:t xml:space="preserve"> approach</w:t>
      </w:r>
      <w:r w:rsidRPr="005722A6">
        <w:rPr>
          <w:sz w:val="20"/>
          <w:szCs w:val="20"/>
        </w:rPr>
        <w:t xml:space="preserve">. </w:t>
      </w:r>
    </w:p>
    <w:p w14:paraId="4538CB53" w14:textId="77777777" w:rsidR="0088082B" w:rsidRPr="005722A6" w:rsidRDefault="0088082B" w:rsidP="00B87774">
      <w:pPr>
        <w:spacing w:after="0"/>
        <w:jc w:val="left"/>
        <w:rPr>
          <w:b/>
          <w:i/>
          <w:sz w:val="20"/>
          <w:szCs w:val="20"/>
          <w:highlight w:val="yellow"/>
        </w:rPr>
      </w:pPr>
    </w:p>
    <w:p w14:paraId="2175DD10" w14:textId="5A7ECABA" w:rsidR="00B87774" w:rsidRPr="005722A6" w:rsidRDefault="005E5188" w:rsidP="00C51BE8">
      <w:pPr>
        <w:rPr>
          <w:rFonts w:eastAsia="Calibri" w:cs="Calibri"/>
          <w:noProof/>
          <w:color w:val="000000"/>
          <w:sz w:val="20"/>
          <w:szCs w:val="20"/>
        </w:rPr>
      </w:pPr>
      <w:r w:rsidRPr="005722A6">
        <w:rPr>
          <w:rFonts w:eastAsia="Calibri" w:cs="Calibri"/>
          <w:noProof/>
          <w:color w:val="000000"/>
          <w:sz w:val="20"/>
          <w:szCs w:val="20"/>
        </w:rPr>
        <w:t>The</w:t>
      </w:r>
      <w:r w:rsidR="00B87774" w:rsidRPr="005722A6">
        <w:rPr>
          <w:rFonts w:eastAsia="Calibri" w:cs="Calibri"/>
          <w:noProof/>
          <w:color w:val="000000"/>
          <w:sz w:val="20"/>
          <w:szCs w:val="20"/>
        </w:rPr>
        <w:t xml:space="preserve"> project </w:t>
      </w:r>
      <w:r w:rsidRPr="005722A6">
        <w:rPr>
          <w:rFonts w:eastAsia="Calibri" w:cs="Calibri"/>
          <w:noProof/>
          <w:color w:val="000000"/>
          <w:sz w:val="20"/>
          <w:szCs w:val="20"/>
        </w:rPr>
        <w:t xml:space="preserve">objective </w:t>
      </w:r>
      <w:r w:rsidR="0088082B">
        <w:rPr>
          <w:rFonts w:eastAsia="Calibri" w:cs="Calibri"/>
          <w:noProof/>
          <w:color w:val="000000"/>
          <w:sz w:val="20"/>
          <w:szCs w:val="20"/>
        </w:rPr>
        <w:t>will</w:t>
      </w:r>
      <w:r w:rsidRPr="005722A6">
        <w:rPr>
          <w:rFonts w:eastAsia="Calibri" w:cs="Calibri"/>
          <w:noProof/>
          <w:color w:val="000000"/>
          <w:sz w:val="20"/>
          <w:szCs w:val="20"/>
        </w:rPr>
        <w:t xml:space="preserve"> be achieved </w:t>
      </w:r>
      <w:r w:rsidR="00C51BE8">
        <w:rPr>
          <w:rFonts w:eastAsia="Calibri" w:cs="Calibri"/>
          <w:noProof/>
          <w:color w:val="000000"/>
          <w:sz w:val="20"/>
          <w:szCs w:val="20"/>
        </w:rPr>
        <w:t>via</w:t>
      </w:r>
      <w:r w:rsidRPr="005722A6">
        <w:rPr>
          <w:rFonts w:eastAsia="Calibri" w:cs="Calibri"/>
          <w:noProof/>
          <w:color w:val="000000"/>
          <w:sz w:val="20"/>
          <w:szCs w:val="20"/>
        </w:rPr>
        <w:t xml:space="preserve"> </w:t>
      </w:r>
      <w:r w:rsidR="00B87774" w:rsidRPr="005722A6">
        <w:rPr>
          <w:rFonts w:eastAsia="Calibri" w:cs="Calibri"/>
          <w:noProof/>
          <w:color w:val="000000"/>
          <w:sz w:val="20"/>
          <w:szCs w:val="20"/>
        </w:rPr>
        <w:t xml:space="preserve">four inter-related and complementary </w:t>
      </w:r>
      <w:r w:rsidR="0088082B">
        <w:rPr>
          <w:rFonts w:eastAsia="Calibri" w:cs="Calibri"/>
          <w:noProof/>
          <w:color w:val="000000"/>
          <w:sz w:val="20"/>
          <w:szCs w:val="20"/>
        </w:rPr>
        <w:t xml:space="preserve">strategies (Project </w:t>
      </w:r>
      <w:r w:rsidR="00B87774" w:rsidRPr="005722A6">
        <w:rPr>
          <w:rFonts w:eastAsia="Calibri" w:cs="Calibri"/>
          <w:noProof/>
          <w:color w:val="000000"/>
          <w:sz w:val="20"/>
          <w:szCs w:val="20"/>
        </w:rPr>
        <w:t xml:space="preserve">Components </w:t>
      </w:r>
      <w:r w:rsidR="00F900FA">
        <w:rPr>
          <w:rFonts w:eastAsia="Calibri" w:cs="Calibri"/>
          <w:noProof/>
          <w:color w:val="000000"/>
          <w:sz w:val="20"/>
          <w:szCs w:val="20"/>
        </w:rPr>
        <w:t xml:space="preserve">comprising </w:t>
      </w:r>
      <w:r w:rsidRPr="005722A6">
        <w:rPr>
          <w:rFonts w:eastAsia="Calibri" w:cs="Calibri"/>
          <w:noProof/>
          <w:color w:val="000000"/>
          <w:sz w:val="20"/>
          <w:szCs w:val="20"/>
        </w:rPr>
        <w:t>Outcomes</w:t>
      </w:r>
      <w:r w:rsidR="00F900FA">
        <w:rPr>
          <w:rFonts w:eastAsia="Calibri" w:cs="Calibri"/>
          <w:noProof/>
          <w:color w:val="000000"/>
          <w:sz w:val="20"/>
          <w:szCs w:val="20"/>
        </w:rPr>
        <w:t xml:space="preserve"> and Outputs</w:t>
      </w:r>
      <w:r w:rsidR="00B87774" w:rsidRPr="005722A6">
        <w:rPr>
          <w:rFonts w:eastAsia="Calibri" w:cs="Calibri"/>
          <w:noProof/>
          <w:color w:val="000000"/>
          <w:sz w:val="20"/>
          <w:szCs w:val="20"/>
        </w:rPr>
        <w:t xml:space="preserve">) that focus </w:t>
      </w:r>
      <w:r w:rsidR="00F900FA">
        <w:rPr>
          <w:rFonts w:eastAsia="Calibri" w:cs="Calibri"/>
          <w:noProof/>
          <w:color w:val="000000"/>
          <w:sz w:val="20"/>
          <w:szCs w:val="20"/>
        </w:rPr>
        <w:t>on</w:t>
      </w:r>
      <w:r w:rsidR="00B87774" w:rsidRPr="005722A6">
        <w:rPr>
          <w:rFonts w:eastAsia="Calibri" w:cs="Calibri"/>
          <w:noProof/>
          <w:color w:val="000000"/>
          <w:sz w:val="20"/>
          <w:szCs w:val="20"/>
        </w:rPr>
        <w:t xml:space="preserve"> </w:t>
      </w:r>
      <w:r w:rsidR="00F900FA">
        <w:rPr>
          <w:rFonts w:eastAsia="Calibri" w:cs="Calibri"/>
          <w:noProof/>
          <w:color w:val="000000"/>
          <w:sz w:val="20"/>
          <w:szCs w:val="20"/>
        </w:rPr>
        <w:t>removing</w:t>
      </w:r>
      <w:r w:rsidR="00B87774" w:rsidRPr="005722A6">
        <w:rPr>
          <w:rFonts w:eastAsia="Calibri" w:cs="Calibri"/>
          <w:noProof/>
          <w:color w:val="000000"/>
          <w:sz w:val="20"/>
          <w:szCs w:val="20"/>
        </w:rPr>
        <w:t xml:space="preserve"> the</w:t>
      </w:r>
      <w:r w:rsidR="006D72CF" w:rsidRPr="005722A6">
        <w:rPr>
          <w:rFonts w:eastAsia="Calibri" w:cs="Calibri"/>
          <w:noProof/>
          <w:color w:val="000000"/>
          <w:sz w:val="20"/>
          <w:szCs w:val="20"/>
        </w:rPr>
        <w:t xml:space="preserve"> four</w:t>
      </w:r>
      <w:r w:rsidR="00B87774" w:rsidRPr="005722A6">
        <w:rPr>
          <w:rFonts w:eastAsia="Calibri" w:cs="Calibri"/>
          <w:noProof/>
          <w:color w:val="000000"/>
          <w:sz w:val="20"/>
          <w:szCs w:val="20"/>
        </w:rPr>
        <w:t xml:space="preserve"> </w:t>
      </w:r>
      <w:r w:rsidR="00F900FA">
        <w:rPr>
          <w:rFonts w:eastAsia="Calibri" w:cs="Calibri"/>
          <w:noProof/>
          <w:color w:val="000000"/>
          <w:sz w:val="20"/>
          <w:szCs w:val="20"/>
        </w:rPr>
        <w:t xml:space="preserve">key </w:t>
      </w:r>
      <w:r w:rsidR="00B87774" w:rsidRPr="005722A6">
        <w:rPr>
          <w:rFonts w:eastAsia="Calibri" w:cs="Calibri"/>
          <w:noProof/>
          <w:color w:val="000000"/>
          <w:sz w:val="20"/>
          <w:szCs w:val="20"/>
        </w:rPr>
        <w:t xml:space="preserve">barriers </w:t>
      </w:r>
      <w:r w:rsidR="00F900FA">
        <w:rPr>
          <w:rFonts w:eastAsia="Calibri" w:cs="Calibri"/>
          <w:noProof/>
          <w:color w:val="000000"/>
          <w:sz w:val="20"/>
          <w:szCs w:val="20"/>
        </w:rPr>
        <w:t xml:space="preserve">to accomplish the long-term solution </w:t>
      </w:r>
      <w:r w:rsidR="00093723">
        <w:rPr>
          <w:rFonts w:eastAsia="Calibri" w:cs="Calibri"/>
          <w:noProof/>
          <w:color w:val="000000"/>
          <w:sz w:val="20"/>
          <w:szCs w:val="20"/>
        </w:rPr>
        <w:t>(</w:t>
      </w:r>
      <w:r w:rsidR="00093723" w:rsidRPr="00093723">
        <w:rPr>
          <w:rFonts w:eastAsia="Calibri" w:cs="Calibri"/>
          <w:b/>
          <w:noProof/>
          <w:color w:val="000000"/>
          <w:sz w:val="20"/>
          <w:szCs w:val="20"/>
        </w:rPr>
        <w:t>Figure 1</w:t>
      </w:r>
      <w:r w:rsidR="00093723">
        <w:rPr>
          <w:rFonts w:eastAsia="Calibri" w:cs="Calibri"/>
          <w:noProof/>
          <w:color w:val="000000"/>
          <w:sz w:val="20"/>
          <w:szCs w:val="20"/>
        </w:rPr>
        <w:t xml:space="preserve">) </w:t>
      </w:r>
      <w:r w:rsidR="00F900FA">
        <w:rPr>
          <w:rFonts w:eastAsia="Calibri" w:cs="Calibri"/>
          <w:noProof/>
          <w:color w:val="000000"/>
          <w:sz w:val="20"/>
          <w:szCs w:val="20"/>
        </w:rPr>
        <w:t xml:space="preserve">by means of intervention pathways shown in the theory of change diagram </w:t>
      </w:r>
      <w:r w:rsidR="00C51BE8">
        <w:rPr>
          <w:rFonts w:eastAsia="Calibri" w:cs="Calibri"/>
          <w:noProof/>
          <w:color w:val="000000"/>
          <w:sz w:val="20"/>
          <w:szCs w:val="20"/>
        </w:rPr>
        <w:t>(</w:t>
      </w:r>
      <w:r w:rsidR="00F900FA" w:rsidRPr="00F900FA">
        <w:rPr>
          <w:rFonts w:eastAsia="Calibri" w:cs="Calibri"/>
          <w:b/>
          <w:noProof/>
          <w:color w:val="000000"/>
          <w:sz w:val="20"/>
          <w:szCs w:val="20"/>
        </w:rPr>
        <w:t>Figure 2</w:t>
      </w:r>
      <w:r w:rsidR="00C51BE8">
        <w:rPr>
          <w:rFonts w:eastAsia="Calibri" w:cs="Calibri"/>
          <w:b/>
          <w:noProof/>
          <w:color w:val="000000"/>
          <w:sz w:val="20"/>
          <w:szCs w:val="20"/>
        </w:rPr>
        <w:t>)</w:t>
      </w:r>
      <w:r w:rsidR="00F900FA">
        <w:rPr>
          <w:rFonts w:eastAsia="Calibri" w:cs="Calibri"/>
          <w:noProof/>
          <w:color w:val="000000"/>
          <w:sz w:val="20"/>
          <w:szCs w:val="20"/>
        </w:rPr>
        <w:t xml:space="preserve">. </w:t>
      </w:r>
      <w:r w:rsidR="00093723" w:rsidRPr="004962A7">
        <w:rPr>
          <w:rFonts w:eastAsia="Calibri" w:cs="Calibri"/>
          <w:noProof/>
          <w:color w:val="000000"/>
          <w:sz w:val="20"/>
          <w:szCs w:val="20"/>
        </w:rPr>
        <w:t xml:space="preserve">Indicators and assumptions for the accomplishment of expected Outcomes under </w:t>
      </w:r>
      <w:r w:rsidR="004962A7">
        <w:rPr>
          <w:rFonts w:eastAsia="Calibri" w:cs="Calibri"/>
          <w:noProof/>
          <w:color w:val="000000"/>
          <w:sz w:val="20"/>
          <w:szCs w:val="20"/>
        </w:rPr>
        <w:t>the respective</w:t>
      </w:r>
      <w:r w:rsidR="00093723" w:rsidRPr="004962A7">
        <w:rPr>
          <w:rFonts w:eastAsia="Calibri" w:cs="Calibri"/>
          <w:noProof/>
          <w:color w:val="000000"/>
          <w:sz w:val="20"/>
          <w:szCs w:val="20"/>
        </w:rPr>
        <w:t xml:space="preserve"> Components are given in the Project Results Framework, and the assumptions </w:t>
      </w:r>
      <w:r w:rsidR="00C51BE8">
        <w:rPr>
          <w:rFonts w:eastAsia="Calibri" w:cs="Calibri"/>
          <w:noProof/>
          <w:color w:val="000000"/>
          <w:sz w:val="20"/>
          <w:szCs w:val="20"/>
        </w:rPr>
        <w:t>depicted</w:t>
      </w:r>
      <w:r w:rsidR="00093723" w:rsidRPr="004962A7">
        <w:rPr>
          <w:rFonts w:eastAsia="Calibri" w:cs="Calibri"/>
          <w:noProof/>
          <w:color w:val="000000"/>
          <w:sz w:val="20"/>
          <w:szCs w:val="20"/>
        </w:rPr>
        <w:t xml:space="preserve"> in </w:t>
      </w:r>
      <w:r w:rsidR="00093723" w:rsidRPr="004962A7">
        <w:rPr>
          <w:rFonts w:eastAsia="Calibri" w:cs="Calibri"/>
          <w:b/>
          <w:noProof/>
          <w:color w:val="000000"/>
          <w:sz w:val="20"/>
          <w:szCs w:val="20"/>
        </w:rPr>
        <w:t>Figure 2</w:t>
      </w:r>
      <w:r w:rsidR="00093723" w:rsidRPr="004962A7">
        <w:rPr>
          <w:rFonts w:eastAsia="Calibri" w:cs="Calibri"/>
          <w:noProof/>
          <w:color w:val="000000"/>
          <w:sz w:val="20"/>
          <w:szCs w:val="20"/>
        </w:rPr>
        <w:t xml:space="preserve"> are </w:t>
      </w:r>
      <w:r w:rsidR="00C51BE8">
        <w:rPr>
          <w:rFonts w:eastAsia="Calibri" w:cs="Calibri"/>
          <w:noProof/>
          <w:color w:val="000000"/>
          <w:sz w:val="20"/>
          <w:szCs w:val="20"/>
        </w:rPr>
        <w:t>fully described in Annex 17</w:t>
      </w:r>
      <w:r w:rsidR="00093723" w:rsidRPr="004962A7">
        <w:rPr>
          <w:rFonts w:eastAsia="Calibri" w:cs="Calibri"/>
          <w:noProof/>
          <w:color w:val="000000"/>
          <w:sz w:val="20"/>
          <w:szCs w:val="20"/>
        </w:rPr>
        <w:t xml:space="preserve">. </w:t>
      </w:r>
      <w:r w:rsidRPr="005722A6">
        <w:rPr>
          <w:rFonts w:eastAsia="Calibri" w:cs="Calibri"/>
          <w:noProof/>
          <w:color w:val="000000"/>
          <w:sz w:val="20"/>
          <w:szCs w:val="20"/>
        </w:rPr>
        <w:t xml:space="preserve">The four </w:t>
      </w:r>
      <w:r w:rsidR="00093723">
        <w:rPr>
          <w:rFonts w:eastAsia="Calibri" w:cs="Calibri"/>
          <w:noProof/>
          <w:color w:val="000000"/>
          <w:sz w:val="20"/>
          <w:szCs w:val="20"/>
        </w:rPr>
        <w:t xml:space="preserve">planned </w:t>
      </w:r>
      <w:r w:rsidRPr="005722A6">
        <w:rPr>
          <w:rFonts w:eastAsia="Calibri" w:cs="Calibri"/>
          <w:noProof/>
          <w:color w:val="000000"/>
          <w:sz w:val="20"/>
          <w:szCs w:val="20"/>
        </w:rPr>
        <w:t>Outcomes of the project are:</w:t>
      </w:r>
    </w:p>
    <w:p w14:paraId="41AE73E6" w14:textId="5F41ABA9" w:rsidR="00B87774" w:rsidRPr="00093723" w:rsidRDefault="00B87774" w:rsidP="00093723">
      <w:pPr>
        <w:numPr>
          <w:ilvl w:val="0"/>
          <w:numId w:val="14"/>
        </w:numPr>
        <w:spacing w:after="0"/>
        <w:rPr>
          <w:sz w:val="20"/>
          <w:szCs w:val="20"/>
        </w:rPr>
      </w:pPr>
      <w:r w:rsidRPr="00093723">
        <w:rPr>
          <w:b/>
          <w:sz w:val="20"/>
          <w:szCs w:val="20"/>
        </w:rPr>
        <w:t>Outcome 1</w:t>
      </w:r>
      <w:r w:rsidRPr="00093723">
        <w:rPr>
          <w:sz w:val="20"/>
          <w:szCs w:val="20"/>
        </w:rPr>
        <w:t xml:space="preserve">: </w:t>
      </w:r>
      <w:r w:rsidR="002F6486" w:rsidRPr="00093723">
        <w:rPr>
          <w:sz w:val="20"/>
          <w:szCs w:val="20"/>
        </w:rPr>
        <w:t xml:space="preserve">Enhanced National institutional </w:t>
      </w:r>
      <w:r w:rsidR="00CC4CB1">
        <w:rPr>
          <w:sz w:val="20"/>
          <w:szCs w:val="20"/>
        </w:rPr>
        <w:t>capacities</w:t>
      </w:r>
      <w:r w:rsidR="002F6486" w:rsidRPr="00093723">
        <w:rPr>
          <w:sz w:val="20"/>
          <w:szCs w:val="20"/>
        </w:rPr>
        <w:t xml:space="preserve"> for integrated planning and management of land and seascapes.</w:t>
      </w:r>
    </w:p>
    <w:p w14:paraId="5CA10429" w14:textId="2BBA4E47" w:rsidR="008616F7" w:rsidRDefault="00B87774" w:rsidP="00093723">
      <w:pPr>
        <w:numPr>
          <w:ilvl w:val="0"/>
          <w:numId w:val="14"/>
        </w:numPr>
        <w:spacing w:after="0"/>
        <w:rPr>
          <w:sz w:val="20"/>
          <w:szCs w:val="20"/>
        </w:rPr>
      </w:pPr>
      <w:r w:rsidRPr="00093723">
        <w:rPr>
          <w:b/>
          <w:sz w:val="20"/>
          <w:szCs w:val="20"/>
        </w:rPr>
        <w:t>Outcome 2</w:t>
      </w:r>
      <w:r w:rsidRPr="00093723">
        <w:rPr>
          <w:sz w:val="20"/>
          <w:szCs w:val="20"/>
        </w:rPr>
        <w:t xml:space="preserve">: </w:t>
      </w:r>
      <w:r w:rsidR="002F6486" w:rsidRPr="00093723">
        <w:rPr>
          <w:sz w:val="20"/>
          <w:szCs w:val="20"/>
        </w:rPr>
        <w:t xml:space="preserve">Integrated </w:t>
      </w:r>
      <w:r w:rsidR="0021132C" w:rsidRPr="00093723">
        <w:rPr>
          <w:sz w:val="20"/>
          <w:szCs w:val="20"/>
        </w:rPr>
        <w:t>multi-sector</w:t>
      </w:r>
      <w:r w:rsidR="002F6486" w:rsidRPr="00093723">
        <w:rPr>
          <w:sz w:val="20"/>
          <w:szCs w:val="20"/>
        </w:rPr>
        <w:t xml:space="preserve"> land and seascape planning and management operational in Babeldaob states to reduce threats to biodiversity and improve ecosystem services to benefit communities and state economies.</w:t>
      </w:r>
    </w:p>
    <w:p w14:paraId="4A739CBF" w14:textId="77777777" w:rsidR="00D3049A" w:rsidRPr="00093723" w:rsidRDefault="00D3049A" w:rsidP="00D3049A">
      <w:pPr>
        <w:numPr>
          <w:ilvl w:val="0"/>
          <w:numId w:val="14"/>
        </w:numPr>
        <w:spacing w:after="0"/>
        <w:rPr>
          <w:sz w:val="20"/>
          <w:szCs w:val="20"/>
        </w:rPr>
      </w:pPr>
      <w:r w:rsidRPr="00093723">
        <w:rPr>
          <w:b/>
          <w:sz w:val="20"/>
          <w:szCs w:val="20"/>
        </w:rPr>
        <w:t>Outcome 3</w:t>
      </w:r>
      <w:r w:rsidRPr="00093723">
        <w:rPr>
          <w:sz w:val="20"/>
          <w:szCs w:val="20"/>
        </w:rPr>
        <w:t xml:space="preserve">: Integrated multi-sector planning and management operational in 264,686 ha of seascapes and coastal areas in the Southern Lagoon to reduce threats to biodiversity and improve ecosystem services to benefit communities and state economies. </w:t>
      </w:r>
    </w:p>
    <w:p w14:paraId="50512094" w14:textId="77777777" w:rsidR="00D3049A" w:rsidRDefault="00D3049A" w:rsidP="00D3049A">
      <w:pPr>
        <w:numPr>
          <w:ilvl w:val="0"/>
          <w:numId w:val="14"/>
        </w:numPr>
        <w:spacing w:after="0"/>
        <w:rPr>
          <w:sz w:val="20"/>
          <w:szCs w:val="20"/>
        </w:rPr>
      </w:pPr>
      <w:r w:rsidRPr="00093723">
        <w:rPr>
          <w:b/>
          <w:sz w:val="20"/>
          <w:szCs w:val="20"/>
        </w:rPr>
        <w:t>Outcome 4</w:t>
      </w:r>
      <w:r w:rsidRPr="00093723">
        <w:rPr>
          <w:sz w:val="20"/>
          <w:szCs w:val="20"/>
        </w:rPr>
        <w:t>: Knowledge management, monitoring and evaluation support, equitable gender benefits and biodiversity conservation in Palau</w:t>
      </w:r>
    </w:p>
    <w:p w14:paraId="609C6880" w14:textId="77777777" w:rsidR="00D3049A" w:rsidRDefault="00D3049A" w:rsidP="00D3049A">
      <w:pPr>
        <w:spacing w:after="0"/>
        <w:ind w:left="720"/>
        <w:rPr>
          <w:sz w:val="20"/>
          <w:szCs w:val="20"/>
        </w:rPr>
      </w:pPr>
    </w:p>
    <w:p w14:paraId="6008CF59" w14:textId="77777777" w:rsidR="00D3049A" w:rsidRPr="00D3049A" w:rsidRDefault="00D3049A" w:rsidP="00D3049A">
      <w:pPr>
        <w:widowControl w:val="0"/>
        <w:autoSpaceDE w:val="0"/>
        <w:autoSpaceDN w:val="0"/>
        <w:adjustRightInd w:val="0"/>
        <w:rPr>
          <w:sz w:val="20"/>
          <w:szCs w:val="20"/>
        </w:rPr>
      </w:pPr>
      <w:r w:rsidRPr="00D3049A">
        <w:rPr>
          <w:sz w:val="20"/>
          <w:szCs w:val="20"/>
        </w:rPr>
        <w:t xml:space="preserve">The proposed project strategy was approved by a number of key national and state-level stakeholders at a well-attended validation workshop held in Koror on 22 June 2017, followed by an internal Palau government review workshop on 6 July 2017. </w:t>
      </w:r>
    </w:p>
    <w:p w14:paraId="1C616913" w14:textId="77777777" w:rsidR="00D3049A" w:rsidRPr="00093723" w:rsidRDefault="00D3049A" w:rsidP="00D3049A">
      <w:pPr>
        <w:spacing w:after="0"/>
        <w:rPr>
          <w:sz w:val="20"/>
          <w:szCs w:val="20"/>
        </w:rPr>
      </w:pPr>
    </w:p>
    <w:p w14:paraId="0C7D5E4C" w14:textId="77777777" w:rsidR="00427A86" w:rsidRDefault="00427A86" w:rsidP="00427A86">
      <w:pPr>
        <w:spacing w:after="0"/>
        <w:ind w:left="720"/>
        <w:rPr>
          <w:sz w:val="20"/>
          <w:szCs w:val="20"/>
        </w:rPr>
        <w:sectPr w:rsidR="00427A86" w:rsidSect="00D210D8">
          <w:pgSz w:w="12240" w:h="15840" w:code="1"/>
          <w:pgMar w:top="1440" w:right="1440" w:bottom="1440" w:left="1440" w:header="720" w:footer="432" w:gutter="0"/>
          <w:cols w:space="708"/>
          <w:titlePg/>
          <w:docGrid w:linePitch="360"/>
        </w:sectPr>
      </w:pPr>
    </w:p>
    <w:p w14:paraId="125EEC15" w14:textId="4AA6A50B" w:rsidR="008616F7" w:rsidRDefault="008616F7" w:rsidP="00427A86">
      <w:pPr>
        <w:spacing w:after="0"/>
        <w:ind w:left="-450" w:firstLine="540"/>
        <w:jc w:val="left"/>
        <w:rPr>
          <w:szCs w:val="20"/>
        </w:rPr>
      </w:pPr>
      <w:r w:rsidRPr="00B15A7E">
        <w:rPr>
          <w:b/>
          <w:sz w:val="20"/>
          <w:szCs w:val="20"/>
        </w:rPr>
        <w:lastRenderedPageBreak/>
        <w:t>Figure 2:</w:t>
      </w:r>
      <w:r w:rsidRPr="00B15A7E">
        <w:rPr>
          <w:sz w:val="20"/>
          <w:szCs w:val="20"/>
        </w:rPr>
        <w:t xml:space="preserve">  Theory of Change</w:t>
      </w:r>
      <w:r w:rsidR="00B15A7E">
        <w:rPr>
          <w:szCs w:val="20"/>
        </w:rPr>
        <w:t xml:space="preserve"> </w:t>
      </w:r>
      <w:r w:rsidR="00B15A7E">
        <w:rPr>
          <w:noProof/>
          <w:szCs w:val="20"/>
        </w:rPr>
        <w:t>(</w:t>
      </w:r>
      <w:r w:rsidR="00B15A7E" w:rsidRPr="00B15A7E">
        <w:rPr>
          <w:noProof/>
          <w:sz w:val="20"/>
          <w:szCs w:val="20"/>
        </w:rPr>
        <w:t>assumptions in next page</w:t>
      </w:r>
      <w:r w:rsidR="00B15A7E">
        <w:rPr>
          <w:noProof/>
          <w:sz w:val="20"/>
          <w:szCs w:val="20"/>
        </w:rPr>
        <w:t>)</w:t>
      </w:r>
      <w:r w:rsidR="00B15A7E">
        <w:rPr>
          <w:noProof/>
          <w:szCs w:val="20"/>
        </w:rPr>
        <w:t xml:space="preserve"> </w:t>
      </w:r>
      <w:r w:rsidR="00427A86">
        <w:rPr>
          <w:noProof/>
          <w:szCs w:val="20"/>
        </w:rPr>
        <w:drawing>
          <wp:inline distT="0" distB="0" distL="0" distR="0" wp14:anchorId="240F884D" wp14:editId="513164B5">
            <wp:extent cx="7269117" cy="8503298"/>
            <wp:effectExtent l="0" t="0" r="0" b="5715"/>
            <wp:docPr id="7" name="Picture 7" descr="A picture containing screensho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lau TOC.jpg"/>
                    <pic:cNvPicPr/>
                  </pic:nvPicPr>
                  <pic:blipFill>
                    <a:blip r:embed="rId19" cstate="print">
                      <a:extLst>
                        <a:ext uri="{28A0092B-C50C-407E-A947-70E740481C1C}">
                          <a14:useLocalDpi xmlns:a14="http://schemas.microsoft.com/office/drawing/2010/main"/>
                        </a:ext>
                      </a:extLst>
                    </a:blip>
                    <a:stretch>
                      <a:fillRect/>
                    </a:stretch>
                  </pic:blipFill>
                  <pic:spPr>
                    <a:xfrm>
                      <a:off x="0" y="0"/>
                      <a:ext cx="7272826" cy="8507636"/>
                    </a:xfrm>
                    <a:prstGeom prst="rect">
                      <a:avLst/>
                    </a:prstGeom>
                  </pic:spPr>
                </pic:pic>
              </a:graphicData>
            </a:graphic>
          </wp:inline>
        </w:drawing>
      </w:r>
    </w:p>
    <w:p w14:paraId="5CF5969B" w14:textId="77777777" w:rsidR="00427A86" w:rsidRDefault="00427A86" w:rsidP="008616F7">
      <w:pPr>
        <w:spacing w:after="0"/>
        <w:jc w:val="left"/>
        <w:rPr>
          <w:szCs w:val="20"/>
        </w:rPr>
        <w:sectPr w:rsidR="00427A86" w:rsidSect="00427A86">
          <w:pgSz w:w="12240" w:h="15840" w:code="1"/>
          <w:pgMar w:top="720" w:right="720" w:bottom="720" w:left="720" w:header="720" w:footer="432" w:gutter="0"/>
          <w:cols w:space="708"/>
          <w:titlePg/>
          <w:docGrid w:linePitch="360"/>
        </w:sectPr>
      </w:pPr>
    </w:p>
    <w:p w14:paraId="320B0529" w14:textId="78D33717" w:rsidR="008616F7" w:rsidRDefault="008616F7">
      <w:pPr>
        <w:spacing w:after="0"/>
        <w:jc w:val="left"/>
        <w:rPr>
          <w:sz w:val="20"/>
          <w:szCs w:val="20"/>
        </w:rPr>
      </w:pPr>
      <w:r>
        <w:rPr>
          <w:noProof/>
          <w:szCs w:val="20"/>
        </w:rPr>
        <w:lastRenderedPageBreak/>
        <w:drawing>
          <wp:inline distT="0" distB="0" distL="0" distR="0" wp14:anchorId="59F56B62" wp14:editId="1534D214">
            <wp:extent cx="5044023" cy="114298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8-03 at 14.38.52.png"/>
                    <pic:cNvPicPr/>
                  </pic:nvPicPr>
                  <pic:blipFill>
                    <a:blip r:embed="rId20">
                      <a:extLst>
                        <a:ext uri="{28A0092B-C50C-407E-A947-70E740481C1C}">
                          <a14:useLocalDpi xmlns:a14="http://schemas.microsoft.com/office/drawing/2010/main"/>
                        </a:ext>
                      </a:extLst>
                    </a:blip>
                    <a:stretch>
                      <a:fillRect/>
                    </a:stretch>
                  </pic:blipFill>
                  <pic:spPr>
                    <a:xfrm>
                      <a:off x="0" y="0"/>
                      <a:ext cx="5044729" cy="1143148"/>
                    </a:xfrm>
                    <a:prstGeom prst="rect">
                      <a:avLst/>
                    </a:prstGeom>
                  </pic:spPr>
                </pic:pic>
              </a:graphicData>
            </a:graphic>
          </wp:inline>
        </w:drawing>
      </w:r>
    </w:p>
    <w:p w14:paraId="40FD0F66" w14:textId="1F88605E" w:rsidR="008616F7" w:rsidRDefault="008616F7">
      <w:pPr>
        <w:spacing w:after="0"/>
        <w:jc w:val="left"/>
        <w:rPr>
          <w:sz w:val="20"/>
          <w:szCs w:val="20"/>
        </w:rPr>
      </w:pPr>
    </w:p>
    <w:p w14:paraId="5D2406D3" w14:textId="77777777" w:rsidR="00B87774" w:rsidRPr="005722A6" w:rsidRDefault="00B87774" w:rsidP="00B87774">
      <w:pPr>
        <w:widowControl w:val="0"/>
        <w:autoSpaceDE w:val="0"/>
        <w:autoSpaceDN w:val="0"/>
        <w:adjustRightInd w:val="0"/>
        <w:spacing w:after="0"/>
        <w:rPr>
          <w:sz w:val="20"/>
          <w:szCs w:val="20"/>
        </w:rPr>
      </w:pPr>
    </w:p>
    <w:p w14:paraId="44177617" w14:textId="77777777" w:rsidR="008C571D" w:rsidRDefault="008C571D" w:rsidP="00B87774">
      <w:pPr>
        <w:spacing w:after="0"/>
        <w:jc w:val="left"/>
        <w:rPr>
          <w:rFonts w:eastAsia="Times New Roman" w:cs="Calibri"/>
          <w:b/>
          <w:sz w:val="20"/>
          <w:szCs w:val="20"/>
        </w:rPr>
      </w:pPr>
    </w:p>
    <w:p w14:paraId="73F6D067" w14:textId="034A9639" w:rsidR="00B87774" w:rsidRPr="005722A6" w:rsidRDefault="00B87774" w:rsidP="00C51BE8">
      <w:pPr>
        <w:jc w:val="left"/>
        <w:rPr>
          <w:rFonts w:eastAsia="Times New Roman" w:cs="Calibri"/>
          <w:b/>
          <w:sz w:val="20"/>
          <w:szCs w:val="20"/>
        </w:rPr>
      </w:pPr>
      <w:r w:rsidRPr="005722A6">
        <w:rPr>
          <w:rFonts w:eastAsia="Times New Roman" w:cs="Calibri"/>
          <w:b/>
          <w:sz w:val="20"/>
          <w:szCs w:val="20"/>
        </w:rPr>
        <w:t xml:space="preserve">Project </w:t>
      </w:r>
      <w:r w:rsidR="008C571D">
        <w:rPr>
          <w:rFonts w:eastAsia="Times New Roman" w:cs="Calibri"/>
          <w:b/>
          <w:sz w:val="20"/>
          <w:szCs w:val="20"/>
        </w:rPr>
        <w:t>Land/Sea</w:t>
      </w:r>
      <w:r w:rsidR="00AC630C">
        <w:rPr>
          <w:rFonts w:eastAsia="Times New Roman" w:cs="Calibri"/>
          <w:b/>
          <w:sz w:val="20"/>
          <w:szCs w:val="20"/>
        </w:rPr>
        <w:t>s</w:t>
      </w:r>
      <w:r w:rsidR="008C571D">
        <w:rPr>
          <w:rFonts w:eastAsia="Times New Roman" w:cs="Calibri"/>
          <w:b/>
          <w:sz w:val="20"/>
          <w:szCs w:val="20"/>
        </w:rPr>
        <w:t>capes</w:t>
      </w:r>
    </w:p>
    <w:tbl>
      <w:tblPr>
        <w:tblStyle w:val="TableGrid"/>
        <w:tblW w:w="945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5"/>
        <w:gridCol w:w="5144"/>
      </w:tblGrid>
      <w:tr w:rsidR="008616F7" w14:paraId="6FE6283A" w14:textId="77777777" w:rsidTr="005233C0">
        <w:tc>
          <w:tcPr>
            <w:tcW w:w="4315" w:type="dxa"/>
            <w:tcMar>
              <w:left w:w="0" w:type="dxa"/>
              <w:right w:w="0" w:type="dxa"/>
            </w:tcMar>
          </w:tcPr>
          <w:p w14:paraId="2901A495" w14:textId="1E18B9C4" w:rsidR="008616F7" w:rsidRDefault="008616F7" w:rsidP="00B87774">
            <w:pPr>
              <w:widowControl w:val="0"/>
              <w:autoSpaceDE w:val="0"/>
              <w:autoSpaceDN w:val="0"/>
              <w:adjustRightInd w:val="0"/>
              <w:spacing w:after="0"/>
              <w:rPr>
                <w:szCs w:val="20"/>
              </w:rPr>
            </w:pPr>
            <w:r w:rsidRPr="005722A6">
              <w:rPr>
                <w:sz w:val="20"/>
                <w:szCs w:val="20"/>
              </w:rPr>
              <w:t xml:space="preserve">The project will cover all 16 states of Palau, although Outcomes 2 and 3 will focus on 7 specific states in Babeldaob Island and the two states in the Southern Lagoon </w:t>
            </w:r>
            <w:r w:rsidRPr="00420CFE">
              <w:rPr>
                <w:sz w:val="20"/>
                <w:szCs w:val="20"/>
              </w:rPr>
              <w:t>(</w:t>
            </w:r>
            <w:r w:rsidRPr="003524D8">
              <w:rPr>
                <w:b/>
                <w:sz w:val="20"/>
                <w:szCs w:val="20"/>
              </w:rPr>
              <w:t>Figure 2</w:t>
            </w:r>
            <w:r w:rsidRPr="00420CFE">
              <w:rPr>
                <w:sz w:val="20"/>
                <w:szCs w:val="20"/>
              </w:rPr>
              <w:t>).</w:t>
            </w:r>
            <w:r w:rsidRPr="005722A6">
              <w:rPr>
                <w:sz w:val="20"/>
                <w:szCs w:val="20"/>
              </w:rPr>
              <w:t xml:space="preserve"> Capacity development, IAS and biosecurity and awareness and outreach efforts will be implemented nationwide</w:t>
            </w:r>
            <w:r>
              <w:rPr>
                <w:sz w:val="20"/>
                <w:szCs w:val="20"/>
              </w:rPr>
              <w:t xml:space="preserve"> across all 16 states</w:t>
            </w:r>
            <w:r w:rsidRPr="005722A6">
              <w:rPr>
                <w:sz w:val="20"/>
                <w:szCs w:val="20"/>
              </w:rPr>
              <w:t>.</w:t>
            </w:r>
            <w:r w:rsidR="003524D8">
              <w:rPr>
                <w:sz w:val="20"/>
                <w:szCs w:val="20"/>
              </w:rPr>
              <w:t xml:space="preserve"> A summary of the key features of Babeldaub Island and Southern Lagoon is given in the </w:t>
            </w:r>
            <w:r w:rsidR="003524D8" w:rsidRPr="003524D8">
              <w:rPr>
                <w:b/>
                <w:sz w:val="20"/>
                <w:szCs w:val="20"/>
              </w:rPr>
              <w:t>Table 1</w:t>
            </w:r>
            <w:r w:rsidR="003524D8">
              <w:rPr>
                <w:sz w:val="20"/>
                <w:szCs w:val="20"/>
              </w:rPr>
              <w:t>.</w:t>
            </w:r>
          </w:p>
        </w:tc>
        <w:tc>
          <w:tcPr>
            <w:tcW w:w="5144" w:type="dxa"/>
            <w:tcMar>
              <w:left w:w="0" w:type="dxa"/>
              <w:right w:w="0" w:type="dxa"/>
            </w:tcMar>
          </w:tcPr>
          <w:p w14:paraId="3F13A678" w14:textId="3D343FFD" w:rsidR="008616F7" w:rsidRDefault="008616F7" w:rsidP="00B87774">
            <w:pPr>
              <w:widowControl w:val="0"/>
              <w:autoSpaceDE w:val="0"/>
              <w:autoSpaceDN w:val="0"/>
              <w:adjustRightInd w:val="0"/>
              <w:spacing w:after="0"/>
              <w:rPr>
                <w:szCs w:val="20"/>
              </w:rPr>
            </w:pPr>
            <w:r>
              <w:rPr>
                <w:noProof/>
                <w:szCs w:val="20"/>
              </w:rPr>
              <w:drawing>
                <wp:inline distT="0" distB="0" distL="0" distR="0" wp14:anchorId="18879E96" wp14:editId="6767F290">
                  <wp:extent cx="3231699" cy="42525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df"/>
                          <pic:cNvPicPr/>
                        </pic:nvPicPr>
                        <pic:blipFill>
                          <a:blip r:embed="rId21" cstate="print">
                            <a:extLst>
                              <a:ext uri="{28A0092B-C50C-407E-A947-70E740481C1C}">
                                <a14:useLocalDpi xmlns:a14="http://schemas.microsoft.com/office/drawing/2010/main"/>
                              </a:ext>
                            </a:extLst>
                          </a:blip>
                          <a:stretch>
                            <a:fillRect/>
                          </a:stretch>
                        </pic:blipFill>
                        <pic:spPr>
                          <a:xfrm>
                            <a:off x="0" y="0"/>
                            <a:ext cx="3231699" cy="4252595"/>
                          </a:xfrm>
                          <a:prstGeom prst="rect">
                            <a:avLst/>
                          </a:prstGeom>
                        </pic:spPr>
                      </pic:pic>
                    </a:graphicData>
                  </a:graphic>
                </wp:inline>
              </w:drawing>
            </w:r>
          </w:p>
        </w:tc>
      </w:tr>
      <w:tr w:rsidR="003524D8" w14:paraId="6B0043DE" w14:textId="77777777" w:rsidTr="005233C0">
        <w:trPr>
          <w:trHeight w:val="180"/>
        </w:trPr>
        <w:tc>
          <w:tcPr>
            <w:tcW w:w="4315" w:type="dxa"/>
            <w:tcMar>
              <w:left w:w="0" w:type="dxa"/>
              <w:right w:w="0" w:type="dxa"/>
            </w:tcMar>
          </w:tcPr>
          <w:p w14:paraId="477BA0AA" w14:textId="77777777" w:rsidR="003524D8" w:rsidRPr="005722A6" w:rsidRDefault="003524D8" w:rsidP="00B87774">
            <w:pPr>
              <w:widowControl w:val="0"/>
              <w:autoSpaceDE w:val="0"/>
              <w:autoSpaceDN w:val="0"/>
              <w:adjustRightInd w:val="0"/>
              <w:spacing w:after="0"/>
              <w:rPr>
                <w:sz w:val="20"/>
                <w:szCs w:val="20"/>
              </w:rPr>
            </w:pPr>
          </w:p>
        </w:tc>
        <w:tc>
          <w:tcPr>
            <w:tcW w:w="5144" w:type="dxa"/>
            <w:tcMar>
              <w:left w:w="0" w:type="dxa"/>
              <w:right w:w="0" w:type="dxa"/>
            </w:tcMar>
          </w:tcPr>
          <w:p w14:paraId="6CCF6270" w14:textId="3BC6A102" w:rsidR="003524D8" w:rsidRPr="003524D8" w:rsidRDefault="003524D8" w:rsidP="003524D8">
            <w:pPr>
              <w:widowControl w:val="0"/>
              <w:tabs>
                <w:tab w:val="left" w:pos="884"/>
              </w:tabs>
              <w:autoSpaceDE w:val="0"/>
              <w:autoSpaceDN w:val="0"/>
              <w:adjustRightInd w:val="0"/>
              <w:spacing w:after="0"/>
              <w:ind w:left="884" w:hanging="884"/>
              <w:jc w:val="left"/>
              <w:rPr>
                <w:sz w:val="20"/>
                <w:szCs w:val="20"/>
              </w:rPr>
            </w:pPr>
            <w:r w:rsidRPr="008616F7">
              <w:rPr>
                <w:b/>
                <w:sz w:val="20"/>
                <w:szCs w:val="20"/>
              </w:rPr>
              <w:t>Figure 3</w:t>
            </w:r>
            <w:r>
              <w:rPr>
                <w:b/>
                <w:sz w:val="20"/>
                <w:szCs w:val="20"/>
              </w:rPr>
              <w:t>:</w:t>
            </w:r>
            <w:r>
              <w:rPr>
                <w:b/>
                <w:sz w:val="20"/>
                <w:szCs w:val="20"/>
              </w:rPr>
              <w:tab/>
            </w:r>
            <w:r w:rsidRPr="003C7237">
              <w:rPr>
                <w:sz w:val="20"/>
                <w:szCs w:val="20"/>
              </w:rPr>
              <w:t xml:space="preserve">Map of </w:t>
            </w:r>
            <w:r>
              <w:rPr>
                <w:sz w:val="20"/>
                <w:szCs w:val="20"/>
              </w:rPr>
              <w:t>p</w:t>
            </w:r>
            <w:r w:rsidRPr="003C7237">
              <w:rPr>
                <w:sz w:val="20"/>
                <w:szCs w:val="20"/>
              </w:rPr>
              <w:t xml:space="preserve">roject </w:t>
            </w:r>
            <w:r>
              <w:rPr>
                <w:sz w:val="20"/>
                <w:szCs w:val="20"/>
              </w:rPr>
              <w:t>a</w:t>
            </w:r>
            <w:r w:rsidRPr="003C7237">
              <w:rPr>
                <w:sz w:val="20"/>
                <w:szCs w:val="20"/>
              </w:rPr>
              <w:t>reas</w:t>
            </w:r>
            <w:r>
              <w:rPr>
                <w:sz w:val="20"/>
                <w:szCs w:val="20"/>
              </w:rPr>
              <w:t xml:space="preserve"> and states</w:t>
            </w:r>
            <w:r w:rsidRPr="003C7237">
              <w:rPr>
                <w:sz w:val="20"/>
                <w:szCs w:val="20"/>
              </w:rPr>
              <w:t xml:space="preserve"> </w:t>
            </w:r>
            <w:r>
              <w:rPr>
                <w:sz w:val="20"/>
                <w:szCs w:val="20"/>
              </w:rPr>
              <w:t>in relation to Outcomes 2 and 3</w:t>
            </w:r>
          </w:p>
        </w:tc>
      </w:tr>
    </w:tbl>
    <w:p w14:paraId="2627EE05" w14:textId="77777777" w:rsidR="009E5590" w:rsidRDefault="009E5590" w:rsidP="00B87774">
      <w:pPr>
        <w:widowControl w:val="0"/>
        <w:autoSpaceDE w:val="0"/>
        <w:autoSpaceDN w:val="0"/>
        <w:adjustRightInd w:val="0"/>
        <w:spacing w:after="0"/>
        <w:rPr>
          <w:szCs w:val="20"/>
        </w:rPr>
      </w:pPr>
    </w:p>
    <w:p w14:paraId="64E2F115" w14:textId="4C49905E" w:rsidR="009E5590" w:rsidRDefault="009E5590" w:rsidP="00B87774">
      <w:pPr>
        <w:widowControl w:val="0"/>
        <w:autoSpaceDE w:val="0"/>
        <w:autoSpaceDN w:val="0"/>
        <w:adjustRightInd w:val="0"/>
        <w:spacing w:after="0"/>
        <w:rPr>
          <w:szCs w:val="20"/>
        </w:rPr>
      </w:pPr>
    </w:p>
    <w:p w14:paraId="33E6F3D1" w14:textId="77777777" w:rsidR="00B87774" w:rsidRDefault="00B87774" w:rsidP="00B87774">
      <w:pPr>
        <w:pStyle w:val="NoSpacing"/>
        <w:spacing w:line="276" w:lineRule="auto"/>
        <w:jc w:val="both"/>
        <w:rPr>
          <w:rFonts w:ascii="Calibri" w:hAnsi="Calibri"/>
          <w:sz w:val="22"/>
          <w:szCs w:val="22"/>
        </w:rPr>
      </w:pPr>
    </w:p>
    <w:p w14:paraId="4F08973D" w14:textId="77777777" w:rsidR="00D3049A" w:rsidRDefault="00D3049A" w:rsidP="00B87774">
      <w:pPr>
        <w:pStyle w:val="NoSpacing"/>
        <w:spacing w:line="276" w:lineRule="auto"/>
        <w:jc w:val="both"/>
        <w:rPr>
          <w:rFonts w:ascii="Calibri" w:hAnsi="Calibri"/>
          <w:sz w:val="22"/>
          <w:szCs w:val="22"/>
        </w:rPr>
      </w:pPr>
    </w:p>
    <w:p w14:paraId="179ED81A" w14:textId="77777777" w:rsidR="00D3049A" w:rsidRDefault="00D3049A" w:rsidP="00B87774">
      <w:pPr>
        <w:pStyle w:val="NoSpacing"/>
        <w:spacing w:line="276" w:lineRule="auto"/>
        <w:jc w:val="both"/>
        <w:rPr>
          <w:rFonts w:ascii="Calibri" w:hAnsi="Calibri"/>
          <w:sz w:val="22"/>
          <w:szCs w:val="22"/>
        </w:rPr>
      </w:pPr>
    </w:p>
    <w:p w14:paraId="43D52839" w14:textId="77777777" w:rsidR="00D3049A" w:rsidRDefault="00D3049A" w:rsidP="00B87774">
      <w:pPr>
        <w:pStyle w:val="NoSpacing"/>
        <w:spacing w:line="276" w:lineRule="auto"/>
        <w:jc w:val="both"/>
        <w:rPr>
          <w:rFonts w:ascii="Calibri" w:hAnsi="Calibri"/>
          <w:sz w:val="22"/>
          <w:szCs w:val="22"/>
        </w:rPr>
      </w:pPr>
    </w:p>
    <w:p w14:paraId="6374F72F" w14:textId="77777777" w:rsidR="00D3049A" w:rsidRDefault="00D3049A" w:rsidP="00B87774">
      <w:pPr>
        <w:pStyle w:val="NoSpacing"/>
        <w:spacing w:line="276" w:lineRule="auto"/>
        <w:jc w:val="both"/>
        <w:rPr>
          <w:rFonts w:ascii="Calibri" w:hAnsi="Calibri"/>
          <w:sz w:val="22"/>
          <w:szCs w:val="22"/>
        </w:rPr>
      </w:pPr>
    </w:p>
    <w:p w14:paraId="193BB62B" w14:textId="77777777" w:rsidR="00D3049A" w:rsidRDefault="00D3049A" w:rsidP="00B87774">
      <w:pPr>
        <w:pStyle w:val="NoSpacing"/>
        <w:spacing w:line="276" w:lineRule="auto"/>
        <w:jc w:val="both"/>
        <w:rPr>
          <w:rFonts w:ascii="Calibri" w:hAnsi="Calibri"/>
          <w:sz w:val="22"/>
          <w:szCs w:val="22"/>
        </w:rPr>
      </w:pPr>
    </w:p>
    <w:p w14:paraId="22C85F46" w14:textId="77777777" w:rsidR="00D3049A" w:rsidRDefault="00D3049A" w:rsidP="00B87774">
      <w:pPr>
        <w:pStyle w:val="NoSpacing"/>
        <w:spacing w:line="276" w:lineRule="auto"/>
        <w:jc w:val="both"/>
        <w:rPr>
          <w:rFonts w:ascii="Calibri" w:hAnsi="Calibri"/>
          <w:sz w:val="22"/>
          <w:szCs w:val="22"/>
        </w:rPr>
      </w:pPr>
    </w:p>
    <w:p w14:paraId="7BFBB720" w14:textId="77777777" w:rsidR="00D3049A" w:rsidRDefault="00D3049A" w:rsidP="00B87774">
      <w:pPr>
        <w:pStyle w:val="NoSpacing"/>
        <w:spacing w:line="276" w:lineRule="auto"/>
        <w:jc w:val="both"/>
        <w:rPr>
          <w:rFonts w:ascii="Calibri" w:hAnsi="Calibri"/>
          <w:sz w:val="22"/>
          <w:szCs w:val="22"/>
        </w:rPr>
      </w:pPr>
    </w:p>
    <w:p w14:paraId="3E246401" w14:textId="4E1B9136" w:rsidR="00B87774" w:rsidRPr="00D3049A" w:rsidRDefault="00B87774" w:rsidP="00B87774">
      <w:pPr>
        <w:pStyle w:val="NoSpacing"/>
        <w:spacing w:line="276" w:lineRule="auto"/>
        <w:jc w:val="both"/>
        <w:rPr>
          <w:rFonts w:ascii="Calibri" w:hAnsi="Calibri"/>
          <w:sz w:val="20"/>
          <w:szCs w:val="20"/>
        </w:rPr>
      </w:pPr>
      <w:r w:rsidRPr="00D3049A">
        <w:rPr>
          <w:rFonts w:ascii="Calibri" w:hAnsi="Calibri"/>
          <w:b/>
          <w:sz w:val="20"/>
          <w:szCs w:val="20"/>
        </w:rPr>
        <w:t xml:space="preserve">Table 1:  Geographical, Biological and Socio-economic Features of </w:t>
      </w:r>
      <w:r w:rsidR="008051C6" w:rsidRPr="00D3049A">
        <w:rPr>
          <w:rFonts w:ascii="Calibri" w:hAnsi="Calibri"/>
          <w:b/>
          <w:sz w:val="20"/>
          <w:szCs w:val="20"/>
        </w:rPr>
        <w:t>Pilot</w:t>
      </w:r>
      <w:r w:rsidRPr="00D3049A">
        <w:rPr>
          <w:rFonts w:ascii="Calibri" w:hAnsi="Calibri"/>
          <w:b/>
          <w:sz w:val="20"/>
          <w:szCs w:val="20"/>
        </w:rPr>
        <w:t xml:space="preserve"> Land and Seascapes</w:t>
      </w:r>
    </w:p>
    <w:tbl>
      <w:tblPr>
        <w:tblW w:w="96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4"/>
        <w:gridCol w:w="4111"/>
        <w:gridCol w:w="3845"/>
      </w:tblGrid>
      <w:tr w:rsidR="00420CFE" w14:paraId="06FD2106" w14:textId="77777777" w:rsidTr="00172AC6">
        <w:tc>
          <w:tcPr>
            <w:tcW w:w="1674" w:type="dxa"/>
            <w:shd w:val="clear" w:color="auto" w:fill="C2D69B"/>
          </w:tcPr>
          <w:p w14:paraId="151D545B" w14:textId="129E9A0A" w:rsidR="00B87774" w:rsidRPr="006722B1" w:rsidRDefault="00B87774" w:rsidP="00172AC6">
            <w:pPr>
              <w:pStyle w:val="NoSpacing"/>
              <w:spacing w:before="40" w:after="40" w:line="276" w:lineRule="auto"/>
              <w:jc w:val="center"/>
              <w:rPr>
                <w:rFonts w:ascii="Calibri" w:hAnsi="Calibri"/>
                <w:b/>
                <w:sz w:val="18"/>
                <w:szCs w:val="18"/>
              </w:rPr>
            </w:pPr>
            <w:r w:rsidRPr="006722B1">
              <w:rPr>
                <w:rFonts w:ascii="Calibri" w:hAnsi="Calibri"/>
                <w:b/>
                <w:sz w:val="18"/>
                <w:szCs w:val="18"/>
              </w:rPr>
              <w:t>Land</w:t>
            </w:r>
            <w:r>
              <w:rPr>
                <w:rFonts w:ascii="Calibri" w:hAnsi="Calibri"/>
                <w:b/>
                <w:sz w:val="18"/>
                <w:szCs w:val="18"/>
              </w:rPr>
              <w:t>/Seascape</w:t>
            </w:r>
          </w:p>
        </w:tc>
        <w:tc>
          <w:tcPr>
            <w:tcW w:w="4111" w:type="dxa"/>
            <w:shd w:val="clear" w:color="auto" w:fill="C2D69B"/>
          </w:tcPr>
          <w:p w14:paraId="2139E04E" w14:textId="72EA3FEB" w:rsidR="00B87774" w:rsidRPr="006722B1" w:rsidRDefault="00B87774" w:rsidP="00172AC6">
            <w:pPr>
              <w:pStyle w:val="NoSpacing"/>
              <w:spacing w:before="40" w:after="40"/>
              <w:jc w:val="center"/>
              <w:rPr>
                <w:rFonts w:ascii="Calibri" w:hAnsi="Calibri"/>
                <w:b/>
                <w:sz w:val="18"/>
                <w:szCs w:val="18"/>
              </w:rPr>
            </w:pPr>
            <w:r w:rsidRPr="006722B1">
              <w:rPr>
                <w:rFonts w:ascii="Calibri" w:hAnsi="Calibri"/>
                <w:b/>
                <w:sz w:val="18"/>
                <w:szCs w:val="18"/>
              </w:rPr>
              <w:t xml:space="preserve">Geographic and Biological Features </w:t>
            </w:r>
          </w:p>
        </w:tc>
        <w:tc>
          <w:tcPr>
            <w:tcW w:w="3845" w:type="dxa"/>
            <w:shd w:val="clear" w:color="auto" w:fill="C2D69B"/>
          </w:tcPr>
          <w:p w14:paraId="445EE17C" w14:textId="7EBC6D89" w:rsidR="00B87774" w:rsidRPr="006722B1" w:rsidRDefault="00B87774" w:rsidP="00172AC6">
            <w:pPr>
              <w:pStyle w:val="NoSpacing"/>
              <w:spacing w:before="40" w:after="40"/>
              <w:jc w:val="center"/>
              <w:rPr>
                <w:rFonts w:ascii="Calibri" w:hAnsi="Calibri"/>
                <w:b/>
                <w:sz w:val="18"/>
                <w:szCs w:val="18"/>
              </w:rPr>
            </w:pPr>
            <w:r w:rsidRPr="006722B1">
              <w:rPr>
                <w:rFonts w:ascii="Calibri" w:hAnsi="Calibri"/>
                <w:b/>
                <w:sz w:val="18"/>
                <w:szCs w:val="18"/>
              </w:rPr>
              <w:t>Socio-Economic Features</w:t>
            </w:r>
          </w:p>
        </w:tc>
      </w:tr>
      <w:tr w:rsidR="00420CFE" w14:paraId="06A628E3" w14:textId="77777777" w:rsidTr="00172AC6">
        <w:tc>
          <w:tcPr>
            <w:tcW w:w="1674" w:type="dxa"/>
            <w:shd w:val="clear" w:color="auto" w:fill="auto"/>
          </w:tcPr>
          <w:p w14:paraId="37E8A7E4" w14:textId="638B1419" w:rsidR="00B87774" w:rsidRPr="00E95480" w:rsidRDefault="0057218D" w:rsidP="004F7010">
            <w:pPr>
              <w:pStyle w:val="NoSpacing"/>
              <w:rPr>
                <w:rFonts w:ascii="Calibri" w:hAnsi="Calibri"/>
                <w:sz w:val="18"/>
                <w:szCs w:val="18"/>
              </w:rPr>
            </w:pPr>
            <w:r w:rsidRPr="00E95480">
              <w:rPr>
                <w:rFonts w:ascii="Calibri" w:hAnsi="Calibri"/>
                <w:sz w:val="18"/>
                <w:szCs w:val="18"/>
              </w:rPr>
              <w:t xml:space="preserve">Babeldaob Island (land: </w:t>
            </w:r>
            <w:r w:rsidR="009E5590">
              <w:rPr>
                <w:rFonts w:ascii="Calibri" w:hAnsi="Calibri"/>
                <w:sz w:val="18"/>
                <w:szCs w:val="18"/>
              </w:rPr>
              <w:t>409</w:t>
            </w:r>
            <w:r w:rsidR="009E5590" w:rsidRPr="00E95480">
              <w:rPr>
                <w:rFonts w:ascii="Calibri" w:hAnsi="Calibri"/>
                <w:sz w:val="18"/>
                <w:szCs w:val="18"/>
              </w:rPr>
              <w:t> </w:t>
            </w:r>
            <w:r w:rsidRPr="00E95480">
              <w:rPr>
                <w:rFonts w:ascii="Calibri" w:hAnsi="Calibri"/>
                <w:sz w:val="18"/>
                <w:szCs w:val="18"/>
              </w:rPr>
              <w:t>km</w:t>
            </w:r>
            <w:r w:rsidRPr="00E95480">
              <w:rPr>
                <w:rFonts w:ascii="Calibri" w:hAnsi="Calibri"/>
                <w:sz w:val="18"/>
                <w:szCs w:val="18"/>
                <w:vertAlign w:val="superscript"/>
              </w:rPr>
              <w:t>2</w:t>
            </w:r>
            <w:r w:rsidRPr="00E95480">
              <w:rPr>
                <w:rFonts w:ascii="Calibri" w:hAnsi="Calibri"/>
                <w:sz w:val="18"/>
                <w:szCs w:val="18"/>
              </w:rPr>
              <w:t xml:space="preserve">; surrounding </w:t>
            </w:r>
            <w:r w:rsidR="009E5590">
              <w:rPr>
                <w:rFonts w:ascii="Calibri" w:hAnsi="Calibri"/>
                <w:sz w:val="18"/>
                <w:szCs w:val="18"/>
              </w:rPr>
              <w:t>lagoon</w:t>
            </w:r>
            <w:r w:rsidRPr="00E95480">
              <w:rPr>
                <w:rFonts w:ascii="Calibri" w:hAnsi="Calibri"/>
                <w:sz w:val="18"/>
                <w:szCs w:val="18"/>
                <w:vertAlign w:val="superscript"/>
              </w:rPr>
              <w:footnoteReference w:id="7"/>
            </w:r>
            <w:r w:rsidRPr="00E95480">
              <w:rPr>
                <w:rFonts w:ascii="Calibri" w:hAnsi="Calibri"/>
                <w:sz w:val="18"/>
                <w:szCs w:val="18"/>
              </w:rPr>
              <w:t xml:space="preserve"> </w:t>
            </w:r>
            <w:r w:rsidR="008C571D">
              <w:rPr>
                <w:rFonts w:ascii="Calibri" w:hAnsi="Calibri"/>
                <w:sz w:val="18"/>
                <w:szCs w:val="18"/>
              </w:rPr>
              <w:t>and</w:t>
            </w:r>
            <w:r w:rsidR="008C571D" w:rsidRPr="00E95480">
              <w:rPr>
                <w:rFonts w:ascii="Calibri" w:hAnsi="Calibri"/>
                <w:sz w:val="18"/>
                <w:szCs w:val="18"/>
              </w:rPr>
              <w:t xml:space="preserve"> </w:t>
            </w:r>
            <w:r w:rsidRPr="00E95480">
              <w:rPr>
                <w:rFonts w:ascii="Calibri" w:hAnsi="Calibri"/>
                <w:sz w:val="18"/>
                <w:szCs w:val="18"/>
              </w:rPr>
              <w:t>reef: 1,000 km</w:t>
            </w:r>
            <w:r w:rsidRPr="00E95480">
              <w:rPr>
                <w:rFonts w:ascii="Calibri" w:hAnsi="Calibri"/>
                <w:sz w:val="18"/>
                <w:szCs w:val="18"/>
                <w:vertAlign w:val="superscript"/>
              </w:rPr>
              <w:t>2</w:t>
            </w:r>
            <w:r w:rsidRPr="00E95480">
              <w:rPr>
                <w:rFonts w:ascii="Calibri" w:hAnsi="Calibri"/>
                <w:sz w:val="18"/>
                <w:szCs w:val="18"/>
              </w:rPr>
              <w:t>)</w:t>
            </w:r>
            <w:r w:rsidR="009E5590">
              <w:rPr>
                <w:rFonts w:ascii="Calibri" w:hAnsi="Calibri"/>
                <w:sz w:val="18"/>
                <w:szCs w:val="18"/>
              </w:rPr>
              <w:t xml:space="preserve">; </w:t>
            </w:r>
          </w:p>
        </w:tc>
        <w:tc>
          <w:tcPr>
            <w:tcW w:w="4111" w:type="dxa"/>
            <w:shd w:val="clear" w:color="auto" w:fill="auto"/>
          </w:tcPr>
          <w:p w14:paraId="7715AF7F" w14:textId="56C2187F" w:rsidR="009E5590" w:rsidRDefault="0057218D" w:rsidP="0057218D">
            <w:pPr>
              <w:spacing w:after="0"/>
              <w:jc w:val="left"/>
              <w:rPr>
                <w:rFonts w:eastAsia="Times"/>
                <w:sz w:val="18"/>
                <w:szCs w:val="18"/>
              </w:rPr>
            </w:pPr>
            <w:r w:rsidRPr="00E95480">
              <w:rPr>
                <w:rFonts w:eastAsia="Times"/>
                <w:sz w:val="18"/>
                <w:szCs w:val="18"/>
              </w:rPr>
              <w:t>Babeldaob is the largest island of the Archipelago</w:t>
            </w:r>
            <w:r w:rsidR="00285E4C">
              <w:rPr>
                <w:rFonts w:eastAsia="Times"/>
                <w:sz w:val="18"/>
                <w:szCs w:val="18"/>
              </w:rPr>
              <w:t xml:space="preserve"> and encompasses more than 70% of Palau’s total land</w:t>
            </w:r>
            <w:r w:rsidRPr="00E95480">
              <w:rPr>
                <w:rFonts w:eastAsia="Times"/>
                <w:sz w:val="18"/>
                <w:szCs w:val="18"/>
              </w:rPr>
              <w:t>. The Island, formed approximately 70 million years ago as a result of volcanic activity, is characterized by a rolling landscape</w:t>
            </w:r>
            <w:r w:rsidR="009E5590">
              <w:rPr>
                <w:rFonts w:eastAsia="Times"/>
                <w:sz w:val="18"/>
                <w:szCs w:val="18"/>
              </w:rPr>
              <w:t xml:space="preserve"> with steep valleys</w:t>
            </w:r>
            <w:r w:rsidRPr="00E95480">
              <w:rPr>
                <w:rFonts w:eastAsia="Times"/>
                <w:sz w:val="18"/>
                <w:szCs w:val="18"/>
              </w:rPr>
              <w:t>. The highest point is located at 242 m above sea level.</w:t>
            </w:r>
            <w:r w:rsidR="00420CFE">
              <w:rPr>
                <w:rFonts w:eastAsia="Times"/>
                <w:sz w:val="18"/>
                <w:szCs w:val="18"/>
              </w:rPr>
              <w:t xml:space="preserve"> </w:t>
            </w:r>
            <w:r w:rsidR="00285E4C">
              <w:rPr>
                <w:rFonts w:eastAsia="Times"/>
                <w:sz w:val="18"/>
                <w:szCs w:val="18"/>
              </w:rPr>
              <w:t xml:space="preserve">75% of the landscape is covered with </w:t>
            </w:r>
            <w:r w:rsidRPr="00E95480">
              <w:rPr>
                <w:rFonts w:eastAsia="Times"/>
                <w:sz w:val="18"/>
                <w:szCs w:val="18"/>
              </w:rPr>
              <w:t xml:space="preserve">dense tropical </w:t>
            </w:r>
            <w:r w:rsidR="00285E4C">
              <w:rPr>
                <w:rFonts w:eastAsia="Times"/>
                <w:sz w:val="18"/>
                <w:szCs w:val="18"/>
              </w:rPr>
              <w:t xml:space="preserve">primary </w:t>
            </w:r>
            <w:r w:rsidRPr="00E95480">
              <w:rPr>
                <w:rFonts w:eastAsia="Times"/>
                <w:sz w:val="18"/>
                <w:szCs w:val="18"/>
              </w:rPr>
              <w:t>forest</w:t>
            </w:r>
            <w:r w:rsidR="009E5590">
              <w:rPr>
                <w:rFonts w:eastAsia="Times"/>
                <w:sz w:val="18"/>
                <w:szCs w:val="18"/>
              </w:rPr>
              <w:t xml:space="preserve"> </w:t>
            </w:r>
            <w:r w:rsidR="00285E4C">
              <w:rPr>
                <w:rFonts w:eastAsia="Times"/>
                <w:sz w:val="18"/>
                <w:szCs w:val="18"/>
              </w:rPr>
              <w:t xml:space="preserve">and another 5% covered with secondary forest. There are small </w:t>
            </w:r>
            <w:r w:rsidRPr="00E95480">
              <w:rPr>
                <w:rFonts w:eastAsia="Times"/>
                <w:sz w:val="18"/>
                <w:szCs w:val="18"/>
              </w:rPr>
              <w:t>patches of savanna and agriculture</w:t>
            </w:r>
            <w:r w:rsidR="00285E4C">
              <w:rPr>
                <w:rFonts w:eastAsia="Times"/>
                <w:sz w:val="18"/>
                <w:szCs w:val="18"/>
              </w:rPr>
              <w:t>/agroforestry</w:t>
            </w:r>
            <w:r w:rsidRPr="00E95480">
              <w:rPr>
                <w:rFonts w:eastAsia="Times"/>
                <w:sz w:val="18"/>
                <w:szCs w:val="18"/>
              </w:rPr>
              <w:t>. Babeldaob's east coast has many sandy beaches, in particular north from Melekeok to Ngaraard, and the island's western coast has a shoreline with many </w:t>
            </w:r>
            <w:hyperlink r:id="rId22" w:tooltip="Mangrove" w:history="1">
              <w:r w:rsidRPr="00E95480">
                <w:rPr>
                  <w:rFonts w:eastAsia="Times"/>
                  <w:sz w:val="18"/>
                  <w:szCs w:val="18"/>
                </w:rPr>
                <w:t>mangrove</w:t>
              </w:r>
            </w:hyperlink>
            <w:r w:rsidRPr="00E95480">
              <w:rPr>
                <w:rFonts w:eastAsia="Times"/>
                <w:sz w:val="18"/>
                <w:szCs w:val="18"/>
              </w:rPr>
              <w:t> forests</w:t>
            </w:r>
            <w:r w:rsidR="00194AA1">
              <w:rPr>
                <w:rFonts w:eastAsia="Times"/>
                <w:sz w:val="18"/>
                <w:szCs w:val="18"/>
              </w:rPr>
              <w:t xml:space="preserve">. </w:t>
            </w:r>
            <w:r w:rsidR="009E5590">
              <w:rPr>
                <w:rFonts w:eastAsia="Times"/>
                <w:sz w:val="18"/>
                <w:szCs w:val="18"/>
              </w:rPr>
              <w:t>Maximum arable land is around 1000 hectares (2% of total land).</w:t>
            </w:r>
          </w:p>
          <w:p w14:paraId="3AB3FC7D" w14:textId="4F868FC7" w:rsidR="00B87774" w:rsidRPr="008D7FFC" w:rsidRDefault="009E5590" w:rsidP="00C37A47">
            <w:pPr>
              <w:spacing w:after="0"/>
              <w:jc w:val="left"/>
            </w:pPr>
            <w:r>
              <w:rPr>
                <w:rFonts w:eastAsia="Times"/>
                <w:sz w:val="18"/>
                <w:szCs w:val="18"/>
              </w:rPr>
              <w:t>There are 32 major soil types.</w:t>
            </w:r>
            <w:r w:rsidR="00420CFE">
              <w:rPr>
                <w:rFonts w:eastAsia="Times"/>
                <w:sz w:val="18"/>
                <w:szCs w:val="18"/>
              </w:rPr>
              <w:t xml:space="preserve"> </w:t>
            </w:r>
            <w:r w:rsidR="0057218D" w:rsidRPr="00E95480">
              <w:rPr>
                <w:rFonts w:eastAsia="Times"/>
                <w:sz w:val="18"/>
                <w:szCs w:val="18"/>
              </w:rPr>
              <w:t>The lagoon seascape is developed in width up to 30 km from the shoreline to the reef, north of the Island, while in the east area this distance is reduced up to 400-500 m. Seabed includes, prevalently, reef flats next to the shorelines, lagoons off the coast and back reefs next to the reef limits.</w:t>
            </w:r>
          </w:p>
        </w:tc>
        <w:tc>
          <w:tcPr>
            <w:tcW w:w="3845" w:type="dxa"/>
            <w:shd w:val="clear" w:color="auto" w:fill="auto"/>
          </w:tcPr>
          <w:p w14:paraId="25EA1A35" w14:textId="0870BAAB" w:rsidR="0057218D" w:rsidRPr="00E95480" w:rsidRDefault="0057218D" w:rsidP="0057218D">
            <w:pPr>
              <w:spacing w:after="0"/>
              <w:jc w:val="left"/>
              <w:rPr>
                <w:rFonts w:eastAsia="Times"/>
                <w:sz w:val="18"/>
                <w:szCs w:val="18"/>
              </w:rPr>
            </w:pPr>
            <w:r w:rsidRPr="00E95480">
              <w:rPr>
                <w:rFonts w:eastAsia="Times"/>
                <w:sz w:val="18"/>
                <w:szCs w:val="18"/>
              </w:rPr>
              <w:t xml:space="preserve">Babeldaob encompasses 10 </w:t>
            </w:r>
            <w:r w:rsidR="009E5590">
              <w:rPr>
                <w:rFonts w:eastAsia="Times"/>
                <w:sz w:val="18"/>
                <w:szCs w:val="18"/>
              </w:rPr>
              <w:t>S</w:t>
            </w:r>
            <w:r w:rsidR="009E5590" w:rsidRPr="00E95480">
              <w:rPr>
                <w:rFonts w:eastAsia="Times"/>
                <w:sz w:val="18"/>
                <w:szCs w:val="18"/>
              </w:rPr>
              <w:t xml:space="preserve">tates </w:t>
            </w:r>
            <w:r w:rsidRPr="00E95480">
              <w:rPr>
                <w:rFonts w:eastAsia="Times"/>
                <w:sz w:val="18"/>
                <w:szCs w:val="18"/>
              </w:rPr>
              <w:t xml:space="preserve">of the Republic, </w:t>
            </w:r>
            <w:r w:rsidR="009E5590">
              <w:rPr>
                <w:rFonts w:eastAsia="Times"/>
                <w:sz w:val="18"/>
                <w:szCs w:val="18"/>
              </w:rPr>
              <w:t>and is home to</w:t>
            </w:r>
            <w:r w:rsidRPr="00E95480">
              <w:rPr>
                <w:rFonts w:eastAsia="Times"/>
                <w:sz w:val="18"/>
                <w:szCs w:val="18"/>
              </w:rPr>
              <w:t xml:space="preserve"> 6,000 inhabitants (</w:t>
            </w:r>
            <w:r w:rsidR="009E5590" w:rsidRPr="00E95480">
              <w:rPr>
                <w:rFonts w:eastAsia="Times"/>
                <w:sz w:val="18"/>
                <w:szCs w:val="18"/>
              </w:rPr>
              <w:t>3</w:t>
            </w:r>
            <w:r w:rsidR="009E5590">
              <w:rPr>
                <w:rFonts w:eastAsia="Times"/>
                <w:sz w:val="18"/>
                <w:szCs w:val="18"/>
              </w:rPr>
              <w:t>5</w:t>
            </w:r>
            <w:r w:rsidRPr="00E95480">
              <w:rPr>
                <w:rFonts w:eastAsia="Times"/>
                <w:sz w:val="18"/>
                <w:szCs w:val="18"/>
              </w:rPr>
              <w:t>% of the country’s total population</w:t>
            </w:r>
            <w:r w:rsidR="009E5590">
              <w:rPr>
                <w:rFonts w:eastAsia="Times"/>
                <w:sz w:val="18"/>
                <w:szCs w:val="18"/>
              </w:rPr>
              <w:t>; half are in the urbanized southern state of Airai</w:t>
            </w:r>
            <w:r w:rsidRPr="00E95480">
              <w:rPr>
                <w:rFonts w:eastAsia="Times"/>
                <w:sz w:val="18"/>
                <w:szCs w:val="18"/>
              </w:rPr>
              <w:t>).</w:t>
            </w:r>
          </w:p>
          <w:p w14:paraId="20FC3215" w14:textId="75F68100" w:rsidR="0057218D" w:rsidRPr="00E95480" w:rsidRDefault="009E5590" w:rsidP="0057218D">
            <w:pPr>
              <w:spacing w:after="0"/>
              <w:jc w:val="left"/>
              <w:rPr>
                <w:rFonts w:eastAsia="Times"/>
                <w:sz w:val="18"/>
                <w:szCs w:val="18"/>
              </w:rPr>
            </w:pPr>
            <w:r>
              <w:rPr>
                <w:rFonts w:eastAsia="Times"/>
                <w:sz w:val="18"/>
                <w:szCs w:val="18"/>
              </w:rPr>
              <w:t>I</w:t>
            </w:r>
            <w:r w:rsidR="0057218D" w:rsidRPr="00E95480">
              <w:rPr>
                <w:rFonts w:eastAsia="Times"/>
                <w:sz w:val="18"/>
                <w:szCs w:val="18"/>
              </w:rPr>
              <w:t>t has experienced major landscape modifications over time, including extensive terracing and population growth, resulting in the development and overharvesting of resources</w:t>
            </w:r>
            <w:r w:rsidR="00150652">
              <w:rPr>
                <w:rFonts w:eastAsia="Times"/>
                <w:sz w:val="18"/>
                <w:szCs w:val="18"/>
              </w:rPr>
              <w:t xml:space="preserve"> and land degradation through loss of topsoil.</w:t>
            </w:r>
          </w:p>
          <w:p w14:paraId="061A0668" w14:textId="64EE3CD5" w:rsidR="0057218D" w:rsidRPr="00E95480" w:rsidRDefault="0057218D" w:rsidP="0057218D">
            <w:pPr>
              <w:spacing w:after="0"/>
              <w:jc w:val="left"/>
              <w:rPr>
                <w:rFonts w:eastAsia="Times"/>
                <w:sz w:val="18"/>
                <w:szCs w:val="18"/>
              </w:rPr>
            </w:pPr>
            <w:r w:rsidRPr="00E95480">
              <w:rPr>
                <w:rFonts w:eastAsia="Times"/>
                <w:sz w:val="18"/>
                <w:szCs w:val="18"/>
              </w:rPr>
              <w:t>Currently the main human activities are substance agriculture and fisher</w:t>
            </w:r>
            <w:r w:rsidR="00285E4C">
              <w:rPr>
                <w:rFonts w:eastAsia="Times"/>
                <w:sz w:val="18"/>
                <w:szCs w:val="18"/>
              </w:rPr>
              <w:t>ies</w:t>
            </w:r>
            <w:r w:rsidR="00150652">
              <w:rPr>
                <w:rFonts w:eastAsia="Times"/>
                <w:sz w:val="18"/>
                <w:szCs w:val="18"/>
              </w:rPr>
              <w:t xml:space="preserve">, and </w:t>
            </w:r>
            <w:r w:rsidR="00285E4C">
              <w:rPr>
                <w:rFonts w:eastAsia="Times"/>
                <w:sz w:val="18"/>
                <w:szCs w:val="18"/>
              </w:rPr>
              <w:t xml:space="preserve">since 2008 </w:t>
            </w:r>
            <w:r w:rsidR="00150652">
              <w:rPr>
                <w:rFonts w:eastAsia="Times"/>
                <w:sz w:val="18"/>
                <w:szCs w:val="18"/>
              </w:rPr>
              <w:t>residential development.</w:t>
            </w:r>
            <w:r w:rsidRPr="00E95480">
              <w:rPr>
                <w:rFonts w:eastAsia="Times"/>
                <w:sz w:val="18"/>
                <w:szCs w:val="18"/>
              </w:rPr>
              <w:t xml:space="preserve"> Tourism is not </w:t>
            </w:r>
            <w:r w:rsidR="00150652">
              <w:rPr>
                <w:rFonts w:eastAsia="Times"/>
                <w:sz w:val="18"/>
                <w:szCs w:val="18"/>
              </w:rPr>
              <w:t>well</w:t>
            </w:r>
            <w:r w:rsidR="00150652" w:rsidRPr="00E95480">
              <w:rPr>
                <w:rFonts w:eastAsia="Times"/>
                <w:sz w:val="18"/>
                <w:szCs w:val="18"/>
              </w:rPr>
              <w:t xml:space="preserve"> </w:t>
            </w:r>
            <w:r w:rsidRPr="00E95480">
              <w:rPr>
                <w:rFonts w:eastAsia="Times"/>
                <w:sz w:val="18"/>
                <w:szCs w:val="18"/>
              </w:rPr>
              <w:t xml:space="preserve">developed, with a </w:t>
            </w:r>
            <w:r w:rsidR="00285E4C">
              <w:rPr>
                <w:rFonts w:eastAsia="Times"/>
                <w:sz w:val="18"/>
                <w:szCs w:val="18"/>
              </w:rPr>
              <w:t>low</w:t>
            </w:r>
            <w:r w:rsidR="00285E4C" w:rsidRPr="00E95480">
              <w:rPr>
                <w:rFonts w:eastAsia="Times"/>
                <w:sz w:val="18"/>
                <w:szCs w:val="18"/>
              </w:rPr>
              <w:t xml:space="preserve"> </w:t>
            </w:r>
            <w:r w:rsidRPr="00E95480">
              <w:rPr>
                <w:rFonts w:eastAsia="Times"/>
                <w:sz w:val="18"/>
                <w:szCs w:val="18"/>
              </w:rPr>
              <w:t>number of accommodations and services, despite the presence of historical sites, protected areas and other tourist attractions.</w:t>
            </w:r>
          </w:p>
          <w:p w14:paraId="2F746ECB" w14:textId="6B2A7604" w:rsidR="0057218D" w:rsidRPr="00E95480" w:rsidRDefault="0057218D" w:rsidP="0057218D">
            <w:pPr>
              <w:spacing w:after="0"/>
              <w:jc w:val="left"/>
              <w:rPr>
                <w:rFonts w:eastAsia="Times"/>
                <w:sz w:val="18"/>
                <w:szCs w:val="18"/>
              </w:rPr>
            </w:pPr>
            <w:r w:rsidRPr="00E95480">
              <w:rPr>
                <w:rFonts w:eastAsia="Times"/>
                <w:sz w:val="18"/>
                <w:szCs w:val="18"/>
              </w:rPr>
              <w:t xml:space="preserve">There are also some mining sites on the </w:t>
            </w:r>
            <w:r w:rsidR="00285E4C">
              <w:rPr>
                <w:rFonts w:eastAsia="Times"/>
                <w:sz w:val="18"/>
                <w:szCs w:val="18"/>
              </w:rPr>
              <w:t>i</w:t>
            </w:r>
            <w:r w:rsidRPr="00E95480">
              <w:rPr>
                <w:rFonts w:eastAsia="Times"/>
                <w:sz w:val="18"/>
                <w:szCs w:val="18"/>
              </w:rPr>
              <w:t>sland</w:t>
            </w:r>
            <w:r w:rsidR="00285E4C">
              <w:rPr>
                <w:rFonts w:eastAsia="Times"/>
                <w:sz w:val="18"/>
                <w:szCs w:val="18"/>
              </w:rPr>
              <w:t xml:space="preserve"> and lagoon</w:t>
            </w:r>
            <w:r w:rsidRPr="00E95480">
              <w:rPr>
                <w:rFonts w:eastAsia="Times"/>
                <w:sz w:val="18"/>
                <w:szCs w:val="18"/>
              </w:rPr>
              <w:t>.</w:t>
            </w:r>
          </w:p>
          <w:p w14:paraId="2F55B8FA" w14:textId="2D9A464C" w:rsidR="00B87774" w:rsidRPr="008D7FFC" w:rsidRDefault="0037719F" w:rsidP="002F624E">
            <w:pPr>
              <w:pStyle w:val="NoSpacing"/>
              <w:rPr>
                <w:rFonts w:ascii="Calibri" w:hAnsi="Calibri"/>
                <w:sz w:val="18"/>
                <w:szCs w:val="18"/>
              </w:rPr>
            </w:pPr>
            <w:r>
              <w:rPr>
                <w:rFonts w:ascii="Calibri" w:hAnsi="Calibri"/>
                <w:sz w:val="18"/>
                <w:szCs w:val="18"/>
              </w:rPr>
              <w:t>S</w:t>
            </w:r>
            <w:r w:rsidR="00285E4C">
              <w:rPr>
                <w:rFonts w:ascii="Calibri" w:hAnsi="Calibri"/>
                <w:sz w:val="18"/>
                <w:szCs w:val="18"/>
              </w:rPr>
              <w:t>mall villages</w:t>
            </w:r>
            <w:r>
              <w:rPr>
                <w:rFonts w:ascii="Calibri" w:hAnsi="Calibri"/>
                <w:sz w:val="18"/>
                <w:szCs w:val="18"/>
              </w:rPr>
              <w:t xml:space="preserve"> </w:t>
            </w:r>
            <w:r w:rsidR="0057218D" w:rsidRPr="00E95480">
              <w:rPr>
                <w:rFonts w:ascii="Calibri" w:hAnsi="Calibri"/>
                <w:sz w:val="18"/>
                <w:szCs w:val="18"/>
              </w:rPr>
              <w:t xml:space="preserve">are sprawled </w:t>
            </w:r>
            <w:r w:rsidR="00285E4C">
              <w:rPr>
                <w:rFonts w:ascii="Calibri" w:hAnsi="Calibri"/>
                <w:sz w:val="18"/>
                <w:szCs w:val="18"/>
              </w:rPr>
              <w:t>throughout</w:t>
            </w:r>
            <w:r w:rsidR="0057218D" w:rsidRPr="00E95480">
              <w:rPr>
                <w:rFonts w:ascii="Calibri" w:hAnsi="Calibri"/>
                <w:sz w:val="18"/>
                <w:szCs w:val="18"/>
              </w:rPr>
              <w:t xml:space="preserve">. Ngerulmund, Palau’s </w:t>
            </w:r>
            <w:r w:rsidR="002F624E">
              <w:rPr>
                <w:rFonts w:ascii="Calibri" w:hAnsi="Calibri"/>
                <w:sz w:val="18"/>
                <w:szCs w:val="18"/>
              </w:rPr>
              <w:t>national capital</w:t>
            </w:r>
            <w:r w:rsidR="0057218D" w:rsidRPr="00E95480">
              <w:rPr>
                <w:rFonts w:ascii="Calibri" w:hAnsi="Calibri"/>
                <w:sz w:val="18"/>
                <w:szCs w:val="18"/>
              </w:rPr>
              <w:t xml:space="preserve"> is located </w:t>
            </w:r>
            <w:r w:rsidR="00150652">
              <w:rPr>
                <w:rFonts w:ascii="Calibri" w:hAnsi="Calibri"/>
                <w:sz w:val="18"/>
                <w:szCs w:val="18"/>
              </w:rPr>
              <w:t>in Melekeok.</w:t>
            </w:r>
            <w:r w:rsidR="0028325D">
              <w:rPr>
                <w:rFonts w:ascii="Calibri" w:hAnsi="Calibri"/>
                <w:sz w:val="18"/>
                <w:szCs w:val="18"/>
              </w:rPr>
              <w:t xml:space="preserve"> Airai is home to </w:t>
            </w:r>
            <w:r w:rsidR="002F624E">
              <w:rPr>
                <w:rFonts w:ascii="Calibri" w:hAnsi="Calibri"/>
                <w:sz w:val="18"/>
                <w:szCs w:val="18"/>
              </w:rPr>
              <w:t xml:space="preserve">Palau’s International </w:t>
            </w:r>
            <w:r w:rsidR="0028325D">
              <w:rPr>
                <w:rFonts w:ascii="Calibri" w:hAnsi="Calibri"/>
                <w:sz w:val="18"/>
                <w:szCs w:val="18"/>
              </w:rPr>
              <w:t>airport.</w:t>
            </w:r>
          </w:p>
        </w:tc>
      </w:tr>
      <w:tr w:rsidR="00420CFE" w14:paraId="18452220" w14:textId="77777777" w:rsidTr="00172AC6">
        <w:tc>
          <w:tcPr>
            <w:tcW w:w="1674" w:type="dxa"/>
            <w:shd w:val="clear" w:color="auto" w:fill="auto"/>
          </w:tcPr>
          <w:p w14:paraId="2F7B4CAE" w14:textId="376DA1BE" w:rsidR="00B87774" w:rsidRPr="008D7FFC" w:rsidRDefault="00F37AEF" w:rsidP="004F7010">
            <w:pPr>
              <w:pStyle w:val="NoSpacing"/>
              <w:rPr>
                <w:rFonts w:ascii="Calibri" w:hAnsi="Calibri"/>
                <w:sz w:val="18"/>
                <w:szCs w:val="18"/>
              </w:rPr>
            </w:pPr>
            <w:r w:rsidRPr="002767B8">
              <w:rPr>
                <w:rFonts w:ascii="Calibri" w:hAnsi="Calibri"/>
                <w:sz w:val="18"/>
                <w:szCs w:val="18"/>
              </w:rPr>
              <w:t xml:space="preserve">Southern Lagoon, </w:t>
            </w:r>
            <w:r w:rsidR="003641C8">
              <w:rPr>
                <w:rFonts w:ascii="Calibri" w:hAnsi="Calibri"/>
                <w:sz w:val="18"/>
                <w:szCs w:val="18"/>
              </w:rPr>
              <w:t>2,646</w:t>
            </w:r>
            <w:r w:rsidRPr="002767B8">
              <w:rPr>
                <w:rFonts w:ascii="Calibri" w:hAnsi="Calibri"/>
                <w:sz w:val="18"/>
                <w:szCs w:val="18"/>
              </w:rPr>
              <w:t xml:space="preserve"> km</w:t>
            </w:r>
            <w:r w:rsidRPr="002767B8">
              <w:rPr>
                <w:rFonts w:ascii="Calibri" w:hAnsi="Calibri"/>
                <w:sz w:val="18"/>
                <w:szCs w:val="18"/>
                <w:vertAlign w:val="superscript"/>
              </w:rPr>
              <w:t>2</w:t>
            </w:r>
            <w:r w:rsidRPr="002767B8">
              <w:rPr>
                <w:rFonts w:ascii="Calibri" w:hAnsi="Calibri"/>
                <w:sz w:val="18"/>
                <w:szCs w:val="18"/>
              </w:rPr>
              <w:t xml:space="preserve"> to the </w:t>
            </w:r>
            <w:r w:rsidR="003641C8">
              <w:rPr>
                <w:rFonts w:ascii="Calibri" w:hAnsi="Calibri"/>
                <w:sz w:val="18"/>
                <w:szCs w:val="18"/>
              </w:rPr>
              <w:t>12 nautical mile</w:t>
            </w:r>
            <w:r w:rsidR="00137F8B">
              <w:rPr>
                <w:rFonts w:ascii="Calibri" w:hAnsi="Calibri"/>
                <w:sz w:val="18"/>
                <w:szCs w:val="18"/>
              </w:rPr>
              <w:t xml:space="preserve"> </w:t>
            </w:r>
            <w:r w:rsidRPr="002767B8">
              <w:rPr>
                <w:rFonts w:ascii="Calibri" w:hAnsi="Calibri"/>
                <w:sz w:val="18"/>
                <w:szCs w:val="18"/>
              </w:rPr>
              <w:t>limit (</w:t>
            </w:r>
            <w:r w:rsidR="003641C8">
              <w:rPr>
                <w:rFonts w:ascii="Calibri" w:hAnsi="Calibri"/>
                <w:sz w:val="18"/>
                <w:szCs w:val="18"/>
              </w:rPr>
              <w:t xml:space="preserve">includes </w:t>
            </w:r>
            <w:r w:rsidRPr="002767B8">
              <w:rPr>
                <w:rFonts w:ascii="Calibri" w:hAnsi="Calibri"/>
                <w:sz w:val="18"/>
                <w:szCs w:val="18"/>
              </w:rPr>
              <w:t>land</w:t>
            </w:r>
            <w:r w:rsidR="003641C8">
              <w:rPr>
                <w:rFonts w:ascii="Calibri" w:hAnsi="Calibri"/>
                <w:sz w:val="18"/>
                <w:szCs w:val="18"/>
              </w:rPr>
              <w:t xml:space="preserve"> area of </w:t>
            </w:r>
            <w:r w:rsidRPr="002767B8">
              <w:rPr>
                <w:rFonts w:ascii="Calibri" w:hAnsi="Calibri"/>
                <w:sz w:val="18"/>
                <w:szCs w:val="18"/>
              </w:rPr>
              <w:t>31 km</w:t>
            </w:r>
            <w:r w:rsidRPr="002767B8">
              <w:rPr>
                <w:rFonts w:ascii="Calibri" w:hAnsi="Calibri"/>
                <w:sz w:val="18"/>
                <w:szCs w:val="18"/>
                <w:vertAlign w:val="superscript"/>
              </w:rPr>
              <w:t>2</w:t>
            </w:r>
            <w:r w:rsidRPr="002767B8">
              <w:rPr>
                <w:rFonts w:ascii="Calibri" w:hAnsi="Calibri"/>
                <w:sz w:val="18"/>
                <w:szCs w:val="18"/>
              </w:rPr>
              <w:t xml:space="preserve">; surrounding sea to the </w:t>
            </w:r>
            <w:r w:rsidR="004F7010" w:rsidRPr="002767B8">
              <w:rPr>
                <w:rFonts w:ascii="Calibri" w:hAnsi="Calibri"/>
                <w:sz w:val="18"/>
                <w:szCs w:val="18"/>
              </w:rPr>
              <w:t>1,000 km</w:t>
            </w:r>
            <w:r w:rsidR="004F7010" w:rsidRPr="002767B8">
              <w:rPr>
                <w:rFonts w:ascii="Calibri" w:hAnsi="Calibri"/>
                <w:sz w:val="18"/>
                <w:szCs w:val="18"/>
                <w:vertAlign w:val="superscript"/>
              </w:rPr>
              <w:t>2</w:t>
            </w:r>
            <w:r w:rsidR="004F7010">
              <w:rPr>
                <w:rFonts w:ascii="Calibri" w:hAnsi="Calibri"/>
                <w:sz w:val="18"/>
                <w:szCs w:val="18"/>
                <w:vertAlign w:val="superscript"/>
              </w:rPr>
              <w:t xml:space="preserve"> </w:t>
            </w:r>
            <w:r w:rsidR="003641C8">
              <w:rPr>
                <w:rFonts w:ascii="Calibri" w:hAnsi="Calibri"/>
                <w:sz w:val="18"/>
                <w:szCs w:val="18"/>
              </w:rPr>
              <w:t xml:space="preserve">coral </w:t>
            </w:r>
            <w:r w:rsidRPr="002767B8">
              <w:rPr>
                <w:rFonts w:ascii="Calibri" w:hAnsi="Calibri"/>
                <w:sz w:val="18"/>
                <w:szCs w:val="18"/>
              </w:rPr>
              <w:t>reef</w:t>
            </w:r>
            <w:r w:rsidR="003641C8">
              <w:rPr>
                <w:rFonts w:ascii="Calibri" w:hAnsi="Calibri"/>
                <w:sz w:val="18"/>
                <w:szCs w:val="18"/>
              </w:rPr>
              <w:t xml:space="preserve"> </w:t>
            </w:r>
            <w:r w:rsidR="003641C8" w:rsidRPr="00235153">
              <w:rPr>
                <w:rFonts w:ascii="Calibri" w:hAnsi="Calibri"/>
                <w:sz w:val="18"/>
                <w:szCs w:val="18"/>
              </w:rPr>
              <w:t>and appr</w:t>
            </w:r>
            <w:r w:rsidR="003641C8">
              <w:rPr>
                <w:rFonts w:ascii="Calibri" w:hAnsi="Calibri"/>
                <w:sz w:val="18"/>
                <w:szCs w:val="18"/>
              </w:rPr>
              <w:t xml:space="preserve">oximately 1,615 </w:t>
            </w:r>
            <w:r w:rsidR="003641C8" w:rsidRPr="002767B8">
              <w:rPr>
                <w:rFonts w:ascii="Calibri" w:hAnsi="Calibri"/>
                <w:sz w:val="18"/>
                <w:szCs w:val="18"/>
              </w:rPr>
              <w:t>km</w:t>
            </w:r>
            <w:r w:rsidR="003641C8" w:rsidRPr="002767B8">
              <w:rPr>
                <w:rFonts w:ascii="Calibri" w:hAnsi="Calibri"/>
                <w:sz w:val="18"/>
                <w:szCs w:val="18"/>
                <w:vertAlign w:val="superscript"/>
              </w:rPr>
              <w:t>2</w:t>
            </w:r>
            <w:r w:rsidR="003641C8">
              <w:rPr>
                <w:rFonts w:ascii="Calibri" w:hAnsi="Calibri"/>
                <w:sz w:val="18"/>
                <w:szCs w:val="18"/>
              </w:rPr>
              <w:t xml:space="preserve"> beyond the reef</w:t>
            </w:r>
            <w:r w:rsidRPr="002767B8">
              <w:rPr>
                <w:rFonts w:ascii="Calibri" w:hAnsi="Calibri"/>
                <w:sz w:val="18"/>
                <w:szCs w:val="18"/>
              </w:rPr>
              <w:t>)</w:t>
            </w:r>
          </w:p>
        </w:tc>
        <w:tc>
          <w:tcPr>
            <w:tcW w:w="4111" w:type="dxa"/>
            <w:shd w:val="clear" w:color="auto" w:fill="auto"/>
          </w:tcPr>
          <w:p w14:paraId="701C7E2E" w14:textId="3CF18F5A" w:rsidR="00F37AEF" w:rsidRDefault="00150652" w:rsidP="00F37AEF">
            <w:pPr>
              <w:spacing w:after="0"/>
              <w:jc w:val="left"/>
              <w:rPr>
                <w:rFonts w:eastAsia="Times"/>
                <w:sz w:val="18"/>
                <w:szCs w:val="18"/>
              </w:rPr>
            </w:pPr>
            <w:r>
              <w:rPr>
                <w:rFonts w:eastAsia="Times"/>
                <w:sz w:val="18"/>
                <w:szCs w:val="18"/>
              </w:rPr>
              <w:t xml:space="preserve">The </w:t>
            </w:r>
            <w:r w:rsidR="00F37AEF" w:rsidRPr="008F0778">
              <w:rPr>
                <w:rFonts w:eastAsia="Times"/>
                <w:sz w:val="18"/>
                <w:szCs w:val="18"/>
              </w:rPr>
              <w:t>Southern Lagoon</w:t>
            </w:r>
            <w:r w:rsidR="00285E4C">
              <w:rPr>
                <w:rFonts w:eastAsia="Times"/>
                <w:sz w:val="18"/>
                <w:szCs w:val="18"/>
              </w:rPr>
              <w:t xml:space="preserve"> is </w:t>
            </w:r>
            <w:r w:rsidR="00F37AEF" w:rsidRPr="008F0778">
              <w:rPr>
                <w:rFonts w:eastAsia="Times"/>
                <w:sz w:val="18"/>
                <w:szCs w:val="18"/>
              </w:rPr>
              <w:t>comprise</w:t>
            </w:r>
            <w:r w:rsidR="00285E4C">
              <w:rPr>
                <w:rFonts w:eastAsia="Times"/>
                <w:sz w:val="18"/>
                <w:szCs w:val="18"/>
              </w:rPr>
              <w:t>d of</w:t>
            </w:r>
            <w:r w:rsidR="00F37AEF" w:rsidRPr="008F0778">
              <w:rPr>
                <w:rFonts w:eastAsia="Times"/>
                <w:sz w:val="18"/>
                <w:szCs w:val="18"/>
              </w:rPr>
              <w:t xml:space="preserve"> lands and sea of Koror and Pel</w:t>
            </w:r>
            <w:r w:rsidR="006B0551">
              <w:rPr>
                <w:rFonts w:eastAsia="Times"/>
                <w:sz w:val="18"/>
                <w:szCs w:val="18"/>
              </w:rPr>
              <w:t>e</w:t>
            </w:r>
            <w:r w:rsidR="00F37AEF" w:rsidRPr="008F0778">
              <w:rPr>
                <w:rFonts w:eastAsia="Times"/>
                <w:sz w:val="18"/>
                <w:szCs w:val="18"/>
              </w:rPr>
              <w:t>l</w:t>
            </w:r>
            <w:r w:rsidR="006B0551">
              <w:rPr>
                <w:rFonts w:eastAsia="Times"/>
                <w:sz w:val="18"/>
                <w:szCs w:val="18"/>
              </w:rPr>
              <w:t>i</w:t>
            </w:r>
            <w:r w:rsidR="00F37AEF" w:rsidRPr="008F0778">
              <w:rPr>
                <w:rFonts w:eastAsia="Times"/>
                <w:sz w:val="18"/>
                <w:szCs w:val="18"/>
              </w:rPr>
              <w:t>u.</w:t>
            </w:r>
            <w:r w:rsidR="00420CFE">
              <w:rPr>
                <w:rFonts w:eastAsia="Times"/>
                <w:sz w:val="18"/>
                <w:szCs w:val="18"/>
              </w:rPr>
              <w:t xml:space="preserve"> </w:t>
            </w:r>
            <w:r w:rsidR="00285E4C">
              <w:rPr>
                <w:rFonts w:eastAsia="Times"/>
                <w:sz w:val="18"/>
                <w:szCs w:val="18"/>
              </w:rPr>
              <w:t xml:space="preserve">Enclosed by </w:t>
            </w:r>
            <w:r w:rsidR="00F37AEF" w:rsidRPr="008F0778">
              <w:rPr>
                <w:rFonts w:eastAsia="Times"/>
                <w:sz w:val="18"/>
                <w:szCs w:val="18"/>
              </w:rPr>
              <w:t xml:space="preserve">a </w:t>
            </w:r>
            <w:r w:rsidR="00F37AEF">
              <w:rPr>
                <w:rFonts w:eastAsia="Times"/>
                <w:sz w:val="18"/>
                <w:szCs w:val="18"/>
              </w:rPr>
              <w:t>broad</w:t>
            </w:r>
            <w:r w:rsidR="00F37AEF" w:rsidRPr="008F0778">
              <w:rPr>
                <w:rFonts w:eastAsia="Times"/>
                <w:sz w:val="18"/>
                <w:szCs w:val="18"/>
              </w:rPr>
              <w:t xml:space="preserve"> lagoon scattered with 445 uninhabited limestone </w:t>
            </w:r>
            <w:r w:rsidR="00F37AEF">
              <w:rPr>
                <w:rFonts w:eastAsia="Times"/>
                <w:sz w:val="18"/>
                <w:szCs w:val="18"/>
              </w:rPr>
              <w:t xml:space="preserve">rock </w:t>
            </w:r>
            <w:r w:rsidR="00F37AEF" w:rsidRPr="008F0778">
              <w:rPr>
                <w:rFonts w:eastAsia="Times"/>
                <w:sz w:val="18"/>
                <w:szCs w:val="18"/>
              </w:rPr>
              <w:t>islands of volcanic origin</w:t>
            </w:r>
            <w:r w:rsidR="00285E4C">
              <w:rPr>
                <w:rFonts w:eastAsia="Times"/>
                <w:sz w:val="18"/>
                <w:szCs w:val="18"/>
              </w:rPr>
              <w:t xml:space="preserve">, most are </w:t>
            </w:r>
            <w:r w:rsidR="00F37AEF" w:rsidRPr="008F0778">
              <w:rPr>
                <w:rFonts w:eastAsia="Times"/>
                <w:sz w:val="18"/>
                <w:szCs w:val="18"/>
              </w:rPr>
              <w:t>covered by dense forests.</w:t>
            </w:r>
            <w:r w:rsidR="00420CFE">
              <w:rPr>
                <w:rFonts w:eastAsia="Times"/>
                <w:sz w:val="18"/>
                <w:szCs w:val="18"/>
              </w:rPr>
              <w:t xml:space="preserve"> </w:t>
            </w:r>
            <w:r w:rsidR="00F37AEF" w:rsidRPr="008F0778">
              <w:rPr>
                <w:rFonts w:eastAsia="Times"/>
                <w:sz w:val="18"/>
                <w:szCs w:val="18"/>
              </w:rPr>
              <w:t xml:space="preserve">The Rock Islands </w:t>
            </w:r>
            <w:r w:rsidR="00285E4C">
              <w:rPr>
                <w:rFonts w:eastAsia="Times"/>
                <w:sz w:val="18"/>
                <w:szCs w:val="18"/>
              </w:rPr>
              <w:t xml:space="preserve">(Koror portion) </w:t>
            </w:r>
            <w:r w:rsidR="00F37AEF" w:rsidRPr="008F0778">
              <w:rPr>
                <w:rFonts w:eastAsia="Times"/>
                <w:sz w:val="18"/>
                <w:szCs w:val="18"/>
              </w:rPr>
              <w:t>contains 52 marine lakes</w:t>
            </w:r>
            <w:r w:rsidR="00285E4C">
              <w:rPr>
                <w:rFonts w:eastAsia="Times"/>
                <w:sz w:val="18"/>
                <w:szCs w:val="18"/>
              </w:rPr>
              <w:t>, each</w:t>
            </w:r>
            <w:r w:rsidR="00F37AEF" w:rsidRPr="008F0778">
              <w:rPr>
                <w:rFonts w:eastAsia="Times"/>
                <w:sz w:val="18"/>
                <w:szCs w:val="18"/>
              </w:rPr>
              <w:t xml:space="preserve"> at different stages of geological and ecological development.</w:t>
            </w:r>
            <w:r w:rsidR="00420CFE">
              <w:rPr>
                <w:rFonts w:eastAsia="Times"/>
                <w:sz w:val="18"/>
                <w:szCs w:val="18"/>
              </w:rPr>
              <w:t xml:space="preserve"> </w:t>
            </w:r>
            <w:r w:rsidR="00F37AEF" w:rsidRPr="008F0778">
              <w:rPr>
                <w:rFonts w:eastAsia="Times"/>
                <w:sz w:val="18"/>
                <w:szCs w:val="18"/>
              </w:rPr>
              <w:t xml:space="preserve">With a very high level of biodiversity (in both macro-ecosystems: marine and insular), </w:t>
            </w:r>
            <w:r w:rsidR="00285E4C">
              <w:rPr>
                <w:rFonts w:eastAsia="Times"/>
                <w:sz w:val="18"/>
                <w:szCs w:val="18"/>
              </w:rPr>
              <w:t xml:space="preserve">the </w:t>
            </w:r>
            <w:r w:rsidR="00F37AEF" w:rsidRPr="008F0778">
              <w:rPr>
                <w:rFonts w:eastAsia="Times"/>
                <w:sz w:val="18"/>
                <w:szCs w:val="18"/>
              </w:rPr>
              <w:t xml:space="preserve">Southern Lagoon </w:t>
            </w:r>
            <w:r w:rsidR="00285E4C">
              <w:rPr>
                <w:rFonts w:eastAsia="Times"/>
                <w:sz w:val="18"/>
                <w:szCs w:val="18"/>
              </w:rPr>
              <w:t>is</w:t>
            </w:r>
            <w:r w:rsidR="00F37AEF">
              <w:rPr>
                <w:rFonts w:eastAsia="Times"/>
                <w:sz w:val="18"/>
                <w:szCs w:val="18"/>
              </w:rPr>
              <w:t xml:space="preserve"> a unique land/seascape system, with special </w:t>
            </w:r>
            <w:r w:rsidR="00F37AEF" w:rsidRPr="008F0778">
              <w:rPr>
                <w:rFonts w:eastAsia="Times"/>
                <w:sz w:val="18"/>
                <w:szCs w:val="18"/>
              </w:rPr>
              <w:t>cultural, ecological and aesthetical values</w:t>
            </w:r>
            <w:r w:rsidR="00285E4C">
              <w:rPr>
                <w:rFonts w:eastAsia="Times"/>
                <w:sz w:val="18"/>
                <w:szCs w:val="18"/>
              </w:rPr>
              <w:t xml:space="preserve"> and is a</w:t>
            </w:r>
            <w:r w:rsidR="00527411">
              <w:rPr>
                <w:rFonts w:eastAsia="Times"/>
                <w:sz w:val="18"/>
                <w:szCs w:val="18"/>
              </w:rPr>
              <w:t>n</w:t>
            </w:r>
            <w:r w:rsidR="00285E4C" w:rsidRPr="008A03A2">
              <w:rPr>
                <w:rFonts w:eastAsia="Times"/>
                <w:sz w:val="18"/>
                <w:szCs w:val="18"/>
              </w:rPr>
              <w:t xml:space="preserve"> UNESCO World Heritage Site</w:t>
            </w:r>
            <w:r w:rsidR="00285E4C">
              <w:rPr>
                <w:rFonts w:eastAsia="Times"/>
                <w:sz w:val="18"/>
                <w:szCs w:val="18"/>
              </w:rPr>
              <w:t>.</w:t>
            </w:r>
          </w:p>
          <w:p w14:paraId="72CCB109" w14:textId="7D5FEC65" w:rsidR="00F37AEF" w:rsidRPr="008E049B" w:rsidRDefault="00F37AEF" w:rsidP="00F37AEF">
            <w:pPr>
              <w:spacing w:after="0"/>
              <w:jc w:val="left"/>
              <w:rPr>
                <w:rFonts w:eastAsia="Times"/>
                <w:sz w:val="18"/>
                <w:szCs w:val="18"/>
              </w:rPr>
            </w:pPr>
            <w:r w:rsidRPr="008F0778">
              <w:rPr>
                <w:rFonts w:eastAsia="Times"/>
                <w:sz w:val="18"/>
                <w:szCs w:val="18"/>
              </w:rPr>
              <w:t xml:space="preserve">All the endangered megafauna of Palau, 746 species of fish, over 385 species of corals, at least 13 species of sharks and manta rays, 7 species of giant clams, and the endemic nautilus are found in the property, and the forests of the islands </w:t>
            </w:r>
            <w:r>
              <w:rPr>
                <w:rFonts w:eastAsia="Times"/>
                <w:sz w:val="18"/>
                <w:szCs w:val="18"/>
              </w:rPr>
              <w:t>are home to</w:t>
            </w:r>
            <w:r w:rsidRPr="008F0778">
              <w:rPr>
                <w:rFonts w:eastAsia="Times"/>
                <w:sz w:val="18"/>
                <w:szCs w:val="18"/>
              </w:rPr>
              <w:t xml:space="preserve"> all of Palau’s endemic birds, mammals, herpetofauna and nearly half of Palau’s endemic plants. This makes the area of exceptional conservation value</w:t>
            </w:r>
            <w:r>
              <w:rPr>
                <w:rFonts w:eastAsia="Times"/>
                <w:sz w:val="18"/>
                <w:szCs w:val="18"/>
              </w:rPr>
              <w:t>.</w:t>
            </w:r>
          </w:p>
          <w:p w14:paraId="385A2DEA" w14:textId="63C60BC1" w:rsidR="00B87774" w:rsidRPr="008D7FFC" w:rsidRDefault="00F37AEF" w:rsidP="004F7010">
            <w:pPr>
              <w:spacing w:after="0"/>
              <w:jc w:val="left"/>
              <w:rPr>
                <w:sz w:val="18"/>
                <w:szCs w:val="18"/>
              </w:rPr>
            </w:pPr>
            <w:r w:rsidRPr="008A03A2">
              <w:rPr>
                <w:rFonts w:eastAsia="Times"/>
                <w:sz w:val="18"/>
                <w:szCs w:val="18"/>
              </w:rPr>
              <w:t>This sea/landscape is well protected by specific protected areas and a manage</w:t>
            </w:r>
            <w:r>
              <w:rPr>
                <w:rFonts w:eastAsia="Times"/>
                <w:sz w:val="18"/>
                <w:szCs w:val="18"/>
              </w:rPr>
              <w:t>d</w:t>
            </w:r>
            <w:r w:rsidRPr="008A03A2">
              <w:rPr>
                <w:rFonts w:eastAsia="Times"/>
                <w:sz w:val="18"/>
                <w:szCs w:val="18"/>
              </w:rPr>
              <w:t xml:space="preserve"> area covering </w:t>
            </w:r>
            <w:r w:rsidR="00285E4C">
              <w:rPr>
                <w:rFonts w:eastAsia="Times"/>
                <w:sz w:val="18"/>
                <w:szCs w:val="18"/>
              </w:rPr>
              <w:t>the entire</w:t>
            </w:r>
            <w:r w:rsidRPr="008A03A2">
              <w:rPr>
                <w:rFonts w:eastAsia="Times"/>
                <w:sz w:val="18"/>
                <w:szCs w:val="18"/>
              </w:rPr>
              <w:t xml:space="preserve"> Lagoon. </w:t>
            </w:r>
            <w:r w:rsidR="0028325D">
              <w:rPr>
                <w:rFonts w:eastAsia="Times"/>
                <w:sz w:val="18"/>
                <w:szCs w:val="18"/>
              </w:rPr>
              <w:t>Peleliu’s north shore is flanked by the lagoon</w:t>
            </w:r>
            <w:r w:rsidR="004F7010">
              <w:rPr>
                <w:rFonts w:eastAsia="Times"/>
                <w:sz w:val="18"/>
                <w:szCs w:val="18"/>
              </w:rPr>
              <w:t xml:space="preserve"> and</w:t>
            </w:r>
            <w:r w:rsidR="0028325D">
              <w:rPr>
                <w:rFonts w:eastAsia="Times"/>
                <w:sz w:val="18"/>
                <w:szCs w:val="18"/>
              </w:rPr>
              <w:t xml:space="preserve"> its south shore by open ocean.</w:t>
            </w:r>
          </w:p>
        </w:tc>
        <w:tc>
          <w:tcPr>
            <w:tcW w:w="3845" w:type="dxa"/>
            <w:shd w:val="clear" w:color="auto" w:fill="auto"/>
          </w:tcPr>
          <w:p w14:paraId="76A03682" w14:textId="747A3BAA" w:rsidR="00F37AEF" w:rsidRPr="008A03A2" w:rsidRDefault="00F37AEF" w:rsidP="00F37AEF">
            <w:pPr>
              <w:spacing w:after="0"/>
              <w:jc w:val="left"/>
              <w:rPr>
                <w:rFonts w:eastAsia="Times"/>
                <w:sz w:val="18"/>
                <w:szCs w:val="18"/>
              </w:rPr>
            </w:pPr>
            <w:r>
              <w:rPr>
                <w:rFonts w:eastAsia="Times"/>
                <w:sz w:val="18"/>
                <w:szCs w:val="18"/>
              </w:rPr>
              <w:t xml:space="preserve">The </w:t>
            </w:r>
            <w:r w:rsidR="00285E4C">
              <w:rPr>
                <w:rFonts w:eastAsia="Times"/>
                <w:sz w:val="18"/>
                <w:szCs w:val="18"/>
              </w:rPr>
              <w:t xml:space="preserve">Rock </w:t>
            </w:r>
            <w:r w:rsidRPr="008A03A2">
              <w:rPr>
                <w:rFonts w:eastAsia="Times"/>
                <w:sz w:val="18"/>
                <w:szCs w:val="18"/>
              </w:rPr>
              <w:t>Islands were occupied for several centuries before being abandoned in the 17</w:t>
            </w:r>
            <w:r w:rsidRPr="006911FF">
              <w:rPr>
                <w:rFonts w:eastAsia="Times"/>
                <w:sz w:val="18"/>
                <w:szCs w:val="18"/>
                <w:vertAlign w:val="superscript"/>
              </w:rPr>
              <w:t>th</w:t>
            </w:r>
            <w:r w:rsidRPr="008A03A2">
              <w:rPr>
                <w:rFonts w:eastAsia="Times"/>
                <w:sz w:val="18"/>
                <w:szCs w:val="18"/>
              </w:rPr>
              <w:t>-18</w:t>
            </w:r>
            <w:r w:rsidRPr="006911FF">
              <w:rPr>
                <w:rFonts w:eastAsia="Times"/>
                <w:sz w:val="18"/>
                <w:szCs w:val="18"/>
                <w:vertAlign w:val="superscript"/>
              </w:rPr>
              <w:t>th</w:t>
            </w:r>
            <w:r w:rsidRPr="008A03A2">
              <w:rPr>
                <w:rFonts w:eastAsia="Times"/>
                <w:sz w:val="18"/>
                <w:szCs w:val="18"/>
              </w:rPr>
              <w:t xml:space="preserve"> centuries, when the population moved to larger islands. These facts represent the consequences of climate change, population </w:t>
            </w:r>
            <w:r>
              <w:rPr>
                <w:rFonts w:eastAsia="Times"/>
                <w:sz w:val="18"/>
                <w:szCs w:val="18"/>
              </w:rPr>
              <w:t>growth, and subsistence behavio</w:t>
            </w:r>
            <w:r w:rsidRPr="008A03A2">
              <w:rPr>
                <w:rFonts w:eastAsia="Times"/>
                <w:sz w:val="18"/>
                <w:szCs w:val="18"/>
              </w:rPr>
              <w:t xml:space="preserve">r </w:t>
            </w:r>
            <w:r>
              <w:rPr>
                <w:rFonts w:eastAsia="Times"/>
                <w:sz w:val="18"/>
                <w:szCs w:val="18"/>
              </w:rPr>
              <w:t>in</w:t>
            </w:r>
            <w:r w:rsidRPr="008A03A2">
              <w:rPr>
                <w:rFonts w:eastAsia="Times"/>
                <w:sz w:val="18"/>
                <w:szCs w:val="18"/>
              </w:rPr>
              <w:t xml:space="preserve"> a society living in a marginal marine environment</w:t>
            </w:r>
            <w:r>
              <w:rPr>
                <w:rFonts w:eastAsia="Times"/>
                <w:sz w:val="18"/>
                <w:szCs w:val="18"/>
              </w:rPr>
              <w:t>.</w:t>
            </w:r>
            <w:r w:rsidRPr="008A03A2">
              <w:rPr>
                <w:rFonts w:eastAsia="Times"/>
                <w:sz w:val="18"/>
                <w:szCs w:val="18"/>
              </w:rPr>
              <w:t xml:space="preserve"> </w:t>
            </w:r>
          </w:p>
          <w:p w14:paraId="7B580485" w14:textId="7F417D85" w:rsidR="00F37AEF" w:rsidRPr="008A03A2" w:rsidRDefault="00F37AEF" w:rsidP="00F37AEF">
            <w:pPr>
              <w:spacing w:after="0"/>
              <w:jc w:val="left"/>
              <w:rPr>
                <w:rFonts w:eastAsia="Times"/>
                <w:sz w:val="18"/>
                <w:szCs w:val="18"/>
              </w:rPr>
            </w:pPr>
            <w:r w:rsidRPr="008A03A2">
              <w:rPr>
                <w:rFonts w:eastAsia="Times"/>
                <w:sz w:val="18"/>
                <w:szCs w:val="18"/>
              </w:rPr>
              <w:t xml:space="preserve">Koror </w:t>
            </w:r>
            <w:r w:rsidR="00285E4C">
              <w:rPr>
                <w:rFonts w:eastAsia="Times"/>
                <w:sz w:val="18"/>
                <w:szCs w:val="18"/>
              </w:rPr>
              <w:t xml:space="preserve">State </w:t>
            </w:r>
            <w:r w:rsidRPr="008A03A2">
              <w:rPr>
                <w:rFonts w:eastAsia="Times"/>
                <w:sz w:val="18"/>
                <w:szCs w:val="18"/>
              </w:rPr>
              <w:t xml:space="preserve">is the most populated (about 12,000 inhabitants representing more than 70% of </w:t>
            </w:r>
            <w:r>
              <w:rPr>
                <w:rFonts w:eastAsia="Times"/>
                <w:sz w:val="18"/>
                <w:szCs w:val="18"/>
              </w:rPr>
              <w:t xml:space="preserve">the </w:t>
            </w:r>
            <w:r w:rsidRPr="008A03A2">
              <w:rPr>
                <w:rFonts w:eastAsia="Times"/>
                <w:sz w:val="18"/>
                <w:szCs w:val="18"/>
              </w:rPr>
              <w:t>total population) and developed in Palau</w:t>
            </w:r>
            <w:r>
              <w:rPr>
                <w:rFonts w:eastAsia="Times"/>
                <w:sz w:val="18"/>
                <w:szCs w:val="18"/>
              </w:rPr>
              <w:t>.</w:t>
            </w:r>
            <w:r w:rsidRPr="008A03A2">
              <w:rPr>
                <w:rFonts w:eastAsia="Times"/>
                <w:sz w:val="18"/>
                <w:szCs w:val="18"/>
              </w:rPr>
              <w:t xml:space="preserve"> </w:t>
            </w:r>
            <w:r>
              <w:rPr>
                <w:rFonts w:eastAsia="Times"/>
                <w:sz w:val="18"/>
                <w:szCs w:val="18"/>
              </w:rPr>
              <w:t xml:space="preserve">It </w:t>
            </w:r>
            <w:r w:rsidRPr="008A03A2">
              <w:rPr>
                <w:rFonts w:eastAsia="Times"/>
                <w:sz w:val="18"/>
                <w:szCs w:val="18"/>
              </w:rPr>
              <w:t xml:space="preserve">consists of </w:t>
            </w:r>
            <w:r w:rsidR="00285E4C">
              <w:rPr>
                <w:rFonts w:eastAsia="Times"/>
                <w:sz w:val="18"/>
                <w:szCs w:val="18"/>
              </w:rPr>
              <w:t>3 inhabited islands connected by causeways (in addition to the Rock Islands)</w:t>
            </w:r>
            <w:r w:rsidRPr="008A03A2">
              <w:rPr>
                <w:rFonts w:eastAsia="Times"/>
                <w:sz w:val="18"/>
                <w:szCs w:val="18"/>
              </w:rPr>
              <w:t>.</w:t>
            </w:r>
          </w:p>
          <w:p w14:paraId="7AB266B6" w14:textId="269C2BC6" w:rsidR="00F37AEF" w:rsidRPr="008A03A2" w:rsidRDefault="00F37AEF" w:rsidP="00F37AEF">
            <w:pPr>
              <w:spacing w:after="0"/>
              <w:jc w:val="left"/>
              <w:rPr>
                <w:rFonts w:eastAsia="Times"/>
                <w:sz w:val="18"/>
                <w:szCs w:val="18"/>
              </w:rPr>
            </w:pPr>
            <w:r w:rsidRPr="008A03A2">
              <w:rPr>
                <w:rFonts w:eastAsia="Times"/>
                <w:sz w:val="18"/>
                <w:szCs w:val="18"/>
              </w:rPr>
              <w:t>Koror</w:t>
            </w:r>
            <w:r w:rsidR="00285E4C">
              <w:rPr>
                <w:rFonts w:eastAsia="Times"/>
                <w:sz w:val="18"/>
                <w:szCs w:val="18"/>
              </w:rPr>
              <w:t xml:space="preserve"> </w:t>
            </w:r>
            <w:r w:rsidRPr="008A03A2">
              <w:rPr>
                <w:rFonts w:eastAsia="Times"/>
                <w:sz w:val="18"/>
                <w:szCs w:val="18"/>
              </w:rPr>
              <w:t xml:space="preserve">is the economic center of the Republic with the </w:t>
            </w:r>
            <w:r w:rsidR="00285E4C" w:rsidRPr="008A03A2">
              <w:rPr>
                <w:rFonts w:eastAsia="Times"/>
                <w:sz w:val="18"/>
                <w:szCs w:val="18"/>
              </w:rPr>
              <w:t>greate</w:t>
            </w:r>
            <w:r w:rsidR="00285E4C">
              <w:rPr>
                <w:rFonts w:eastAsia="Times"/>
                <w:sz w:val="18"/>
                <w:szCs w:val="18"/>
              </w:rPr>
              <w:t>st</w:t>
            </w:r>
            <w:r w:rsidR="00285E4C" w:rsidRPr="008A03A2">
              <w:rPr>
                <w:rFonts w:eastAsia="Times"/>
                <w:sz w:val="18"/>
                <w:szCs w:val="18"/>
              </w:rPr>
              <w:t xml:space="preserve"> </w:t>
            </w:r>
            <w:r w:rsidRPr="008A03A2">
              <w:rPr>
                <w:rFonts w:eastAsia="Times"/>
                <w:sz w:val="18"/>
                <w:szCs w:val="18"/>
              </w:rPr>
              <w:t>concentration of accommodations, catering and tourist services</w:t>
            </w:r>
            <w:r w:rsidR="0028325D">
              <w:rPr>
                <w:rFonts w:eastAsia="Times"/>
                <w:sz w:val="18"/>
                <w:szCs w:val="18"/>
              </w:rPr>
              <w:t>, and is the main base</w:t>
            </w:r>
            <w:r w:rsidRPr="008A03A2">
              <w:rPr>
                <w:rFonts w:eastAsia="Times"/>
                <w:sz w:val="18"/>
                <w:szCs w:val="18"/>
              </w:rPr>
              <w:t xml:space="preserve"> for recreation</w:t>
            </w:r>
            <w:r>
              <w:rPr>
                <w:rFonts w:eastAsia="Times"/>
                <w:sz w:val="18"/>
                <w:szCs w:val="18"/>
              </w:rPr>
              <w:t>al</w:t>
            </w:r>
            <w:r w:rsidRPr="008A03A2">
              <w:rPr>
                <w:rFonts w:eastAsia="Times"/>
                <w:sz w:val="18"/>
                <w:szCs w:val="18"/>
              </w:rPr>
              <w:t xml:space="preserve"> activities in the Lagoon. </w:t>
            </w:r>
            <w:r w:rsidR="0028325D">
              <w:rPr>
                <w:rFonts w:eastAsia="Times"/>
                <w:sz w:val="18"/>
                <w:szCs w:val="18"/>
              </w:rPr>
              <w:t>Koror is home to the main shipping port and also where yachts and sea vessels must report.</w:t>
            </w:r>
          </w:p>
          <w:p w14:paraId="356C95F4" w14:textId="495B6D4A" w:rsidR="00B87774" w:rsidRDefault="00F37AEF" w:rsidP="00D66997">
            <w:pPr>
              <w:spacing w:after="0"/>
              <w:jc w:val="left"/>
              <w:rPr>
                <w:sz w:val="18"/>
                <w:szCs w:val="18"/>
              </w:rPr>
            </w:pPr>
            <w:r w:rsidRPr="008A03A2">
              <w:rPr>
                <w:rFonts w:eastAsia="Times"/>
                <w:sz w:val="18"/>
                <w:szCs w:val="18"/>
              </w:rPr>
              <w:t>Pel</w:t>
            </w:r>
            <w:r w:rsidR="006B0551">
              <w:rPr>
                <w:rFonts w:eastAsia="Times"/>
                <w:sz w:val="18"/>
                <w:szCs w:val="18"/>
              </w:rPr>
              <w:t>e</w:t>
            </w:r>
            <w:r w:rsidRPr="008A03A2">
              <w:rPr>
                <w:rFonts w:eastAsia="Times"/>
                <w:sz w:val="18"/>
                <w:szCs w:val="18"/>
              </w:rPr>
              <w:t>l</w:t>
            </w:r>
            <w:r w:rsidR="006B0551">
              <w:rPr>
                <w:rFonts w:eastAsia="Times"/>
                <w:sz w:val="18"/>
                <w:szCs w:val="18"/>
              </w:rPr>
              <w:t>i</w:t>
            </w:r>
            <w:r w:rsidRPr="008A03A2">
              <w:rPr>
                <w:rFonts w:eastAsia="Times"/>
                <w:sz w:val="18"/>
                <w:szCs w:val="18"/>
              </w:rPr>
              <w:t xml:space="preserve">u, with less than 500 inhabitants, is one of the </w:t>
            </w:r>
            <w:r w:rsidR="0028325D" w:rsidRPr="008A03A2">
              <w:rPr>
                <w:rFonts w:eastAsia="Times"/>
                <w:sz w:val="18"/>
                <w:szCs w:val="18"/>
              </w:rPr>
              <w:t>le</w:t>
            </w:r>
            <w:r w:rsidR="0028325D">
              <w:rPr>
                <w:rFonts w:eastAsia="Times"/>
                <w:sz w:val="18"/>
                <w:szCs w:val="18"/>
              </w:rPr>
              <w:t>ast</w:t>
            </w:r>
            <w:r w:rsidR="0028325D" w:rsidRPr="008A03A2">
              <w:rPr>
                <w:rFonts w:eastAsia="Times"/>
                <w:sz w:val="18"/>
                <w:szCs w:val="18"/>
              </w:rPr>
              <w:t xml:space="preserve"> </w:t>
            </w:r>
            <w:r w:rsidRPr="008A03A2">
              <w:rPr>
                <w:rFonts w:eastAsia="Times"/>
                <w:sz w:val="18"/>
                <w:szCs w:val="18"/>
              </w:rPr>
              <w:t xml:space="preserve">populated states in Palau. </w:t>
            </w:r>
            <w:r w:rsidR="0028325D">
              <w:rPr>
                <w:rFonts w:eastAsia="Times"/>
                <w:sz w:val="18"/>
                <w:szCs w:val="18"/>
              </w:rPr>
              <w:t>M</w:t>
            </w:r>
            <w:r w:rsidRPr="008A03A2">
              <w:rPr>
                <w:rFonts w:eastAsia="Times"/>
                <w:sz w:val="18"/>
                <w:szCs w:val="18"/>
              </w:rPr>
              <w:t xml:space="preserve">ain activities are </w:t>
            </w:r>
            <w:r w:rsidR="0028325D" w:rsidRPr="008A03A2">
              <w:rPr>
                <w:rFonts w:eastAsia="Times"/>
                <w:sz w:val="18"/>
                <w:szCs w:val="18"/>
              </w:rPr>
              <w:t>fisher</w:t>
            </w:r>
            <w:r w:rsidR="0028325D">
              <w:rPr>
                <w:rFonts w:eastAsia="Times"/>
                <w:sz w:val="18"/>
                <w:szCs w:val="18"/>
              </w:rPr>
              <w:t>ies</w:t>
            </w:r>
            <w:r w:rsidRPr="008A03A2">
              <w:rPr>
                <w:rFonts w:eastAsia="Times"/>
                <w:sz w:val="18"/>
                <w:szCs w:val="18"/>
              </w:rPr>
              <w:t>, aquaculture</w:t>
            </w:r>
            <w:r w:rsidR="0028325D">
              <w:rPr>
                <w:rFonts w:eastAsia="Times"/>
                <w:sz w:val="18"/>
                <w:szCs w:val="18"/>
              </w:rPr>
              <w:t>,</w:t>
            </w:r>
            <w:r w:rsidRPr="008A03A2">
              <w:rPr>
                <w:rFonts w:eastAsia="Times"/>
                <w:sz w:val="18"/>
                <w:szCs w:val="18"/>
              </w:rPr>
              <w:t xml:space="preserve"> and </w:t>
            </w:r>
            <w:r w:rsidR="0028325D">
              <w:rPr>
                <w:rFonts w:eastAsia="Times"/>
                <w:sz w:val="18"/>
                <w:szCs w:val="18"/>
              </w:rPr>
              <w:t xml:space="preserve">limited </w:t>
            </w:r>
            <w:r w:rsidRPr="008A03A2">
              <w:rPr>
                <w:rFonts w:eastAsia="Times"/>
                <w:sz w:val="18"/>
                <w:szCs w:val="18"/>
              </w:rPr>
              <w:t>tourism.</w:t>
            </w:r>
            <w:r>
              <w:rPr>
                <w:sz w:val="18"/>
                <w:szCs w:val="18"/>
              </w:rPr>
              <w:t xml:space="preserve"> </w:t>
            </w:r>
            <w:r w:rsidRPr="00664932">
              <w:rPr>
                <w:sz w:val="18"/>
                <w:szCs w:val="18"/>
              </w:rPr>
              <w:t>The north-east coast is covered by mangrove</w:t>
            </w:r>
            <w:r w:rsidR="0028325D" w:rsidRPr="00664932">
              <w:rPr>
                <w:sz w:val="18"/>
                <w:szCs w:val="18"/>
              </w:rPr>
              <w:t>.</w:t>
            </w:r>
          </w:p>
          <w:p w14:paraId="291B52D3" w14:textId="28BE0524" w:rsidR="0028325D" w:rsidRPr="008D7FFC" w:rsidRDefault="0028325D" w:rsidP="00D66997">
            <w:pPr>
              <w:spacing w:after="0"/>
              <w:jc w:val="left"/>
              <w:rPr>
                <w:sz w:val="18"/>
                <w:szCs w:val="18"/>
              </w:rPr>
            </w:pPr>
            <w:r>
              <w:rPr>
                <w:sz w:val="18"/>
                <w:szCs w:val="18"/>
              </w:rPr>
              <w:t>Peleliu has a small port on the ocean side as well as a port on the lagoon sid</w:t>
            </w:r>
            <w:r w:rsidR="00420CFE">
              <w:rPr>
                <w:sz w:val="18"/>
                <w:szCs w:val="18"/>
              </w:rPr>
              <w:t>e.</w:t>
            </w:r>
          </w:p>
        </w:tc>
      </w:tr>
    </w:tbl>
    <w:p w14:paraId="5EC381AE" w14:textId="77777777" w:rsidR="00557CF8" w:rsidRDefault="00557CF8" w:rsidP="00841551">
      <w:pPr>
        <w:spacing w:after="0"/>
        <w:jc w:val="left"/>
        <w:rPr>
          <w:i/>
          <w:szCs w:val="20"/>
        </w:rPr>
        <w:sectPr w:rsidR="00557CF8" w:rsidSect="00D210D8">
          <w:pgSz w:w="12240" w:h="15840" w:code="1"/>
          <w:pgMar w:top="1440" w:right="1440" w:bottom="1440" w:left="1440" w:header="720" w:footer="432" w:gutter="0"/>
          <w:cols w:space="708"/>
          <w:titlePg/>
          <w:docGrid w:linePitch="360"/>
        </w:sectPr>
      </w:pPr>
    </w:p>
    <w:p w14:paraId="701335E0" w14:textId="77777777" w:rsidR="003347CD" w:rsidRDefault="003347CD" w:rsidP="00841551">
      <w:pPr>
        <w:spacing w:after="0"/>
        <w:jc w:val="left"/>
        <w:rPr>
          <w:i/>
          <w:szCs w:val="20"/>
        </w:rPr>
      </w:pPr>
    </w:p>
    <w:p w14:paraId="2C06CADC" w14:textId="77777777" w:rsidR="003347CD" w:rsidRPr="0003763F" w:rsidRDefault="003347CD" w:rsidP="00841551">
      <w:pPr>
        <w:spacing w:after="0"/>
        <w:jc w:val="left"/>
        <w:rPr>
          <w:i/>
          <w:szCs w:val="20"/>
        </w:rPr>
      </w:pPr>
    </w:p>
    <w:p w14:paraId="35622F93" w14:textId="77777777" w:rsidR="00F00E11" w:rsidRPr="0094042F" w:rsidRDefault="0032007D" w:rsidP="00841551">
      <w:pPr>
        <w:pStyle w:val="Heading1"/>
        <w:spacing w:before="0" w:after="0"/>
        <w:rPr>
          <w:rFonts w:ascii="Calibri" w:hAnsi="Calibri"/>
          <w:szCs w:val="28"/>
        </w:rPr>
      </w:pPr>
      <w:bookmarkStart w:id="7" w:name="_Toc443050756"/>
      <w:r w:rsidRPr="0094042F">
        <w:rPr>
          <w:rFonts w:ascii="Calibri" w:hAnsi="Calibri"/>
          <w:szCs w:val="28"/>
        </w:rPr>
        <w:t>Results and P</w:t>
      </w:r>
      <w:r w:rsidR="00DA3833" w:rsidRPr="0094042F">
        <w:rPr>
          <w:rFonts w:ascii="Calibri" w:hAnsi="Calibri"/>
          <w:szCs w:val="28"/>
        </w:rPr>
        <w:t>artnerships</w:t>
      </w:r>
      <w:bookmarkEnd w:id="7"/>
      <w:r w:rsidR="0094042F" w:rsidRPr="0094042F">
        <w:rPr>
          <w:rFonts w:ascii="Calibri" w:hAnsi="Calibri"/>
          <w:szCs w:val="28"/>
        </w:rPr>
        <w:t xml:space="preserve"> </w:t>
      </w:r>
    </w:p>
    <w:p w14:paraId="18E9A31E" w14:textId="77777777" w:rsidR="00B608A1" w:rsidRDefault="00B608A1" w:rsidP="00D218B7">
      <w:pPr>
        <w:spacing w:after="0"/>
        <w:jc w:val="left"/>
        <w:rPr>
          <w:b/>
          <w:i/>
          <w:szCs w:val="20"/>
          <w:highlight w:val="yellow"/>
        </w:rPr>
      </w:pPr>
    </w:p>
    <w:p w14:paraId="56236913" w14:textId="77777777" w:rsidR="00985B18" w:rsidRPr="0061283E" w:rsidRDefault="00B608A1" w:rsidP="00B02352">
      <w:pPr>
        <w:pStyle w:val="ListParagraph"/>
        <w:numPr>
          <w:ilvl w:val="0"/>
          <w:numId w:val="7"/>
        </w:numPr>
        <w:rPr>
          <w:rFonts w:ascii="Calibri" w:hAnsi="Calibri"/>
          <w:b/>
          <w:i/>
          <w:sz w:val="20"/>
          <w:szCs w:val="20"/>
        </w:rPr>
      </w:pPr>
      <w:r w:rsidRPr="0061283E">
        <w:rPr>
          <w:rFonts w:ascii="Calibri" w:hAnsi="Calibri"/>
          <w:b/>
          <w:sz w:val="20"/>
          <w:szCs w:val="20"/>
          <w:u w:val="single"/>
        </w:rPr>
        <w:t>Expected Results</w:t>
      </w:r>
      <w:r w:rsidR="004D73DB" w:rsidRPr="0061283E">
        <w:rPr>
          <w:rFonts w:ascii="Calibri" w:hAnsi="Calibri"/>
          <w:b/>
          <w:i/>
          <w:sz w:val="20"/>
          <w:szCs w:val="20"/>
        </w:rPr>
        <w:t>:</w:t>
      </w:r>
      <w:r w:rsidRPr="0061283E">
        <w:rPr>
          <w:rFonts w:ascii="Calibri" w:hAnsi="Calibri"/>
          <w:b/>
          <w:i/>
          <w:sz w:val="20"/>
          <w:szCs w:val="20"/>
        </w:rPr>
        <w:t xml:space="preserve"> </w:t>
      </w:r>
    </w:p>
    <w:p w14:paraId="2782DA11" w14:textId="77777777" w:rsidR="00985B18" w:rsidRDefault="00985B18" w:rsidP="00985B18">
      <w:pPr>
        <w:pStyle w:val="ListParagraph"/>
        <w:ind w:left="360"/>
        <w:rPr>
          <w:rFonts w:ascii="Calibri" w:hAnsi="Calibri"/>
          <w:i/>
          <w:sz w:val="20"/>
          <w:szCs w:val="20"/>
        </w:rPr>
      </w:pPr>
    </w:p>
    <w:p w14:paraId="61F481AF" w14:textId="6DF33A48" w:rsidR="00E010D9" w:rsidRPr="005722A6" w:rsidRDefault="00B87774" w:rsidP="00E010D9">
      <w:pPr>
        <w:pStyle w:val="CommentText"/>
        <w:rPr>
          <w:rFonts w:asciiTheme="majorHAnsi" w:hAnsiTheme="majorHAnsi"/>
          <w:sz w:val="20"/>
        </w:rPr>
      </w:pPr>
      <w:r w:rsidRPr="005722A6">
        <w:rPr>
          <w:rFonts w:asciiTheme="majorHAnsi" w:eastAsia="Calibri" w:hAnsiTheme="majorHAnsi"/>
          <w:noProof/>
          <w:color w:val="000000"/>
          <w:sz w:val="20"/>
        </w:rPr>
        <w:t xml:space="preserve">The project is designed to achieve </w:t>
      </w:r>
      <w:r w:rsidR="00E010D9" w:rsidRPr="005722A6">
        <w:rPr>
          <w:rFonts w:asciiTheme="majorHAnsi" w:eastAsia="Calibri" w:hAnsiTheme="majorHAnsi"/>
          <w:noProof/>
          <w:color w:val="000000"/>
          <w:sz w:val="20"/>
        </w:rPr>
        <w:t xml:space="preserve">a variety </w:t>
      </w:r>
      <w:r w:rsidR="005E5188" w:rsidRPr="005722A6">
        <w:rPr>
          <w:rFonts w:asciiTheme="majorHAnsi" w:eastAsia="Calibri" w:hAnsiTheme="majorHAnsi"/>
          <w:noProof/>
          <w:color w:val="000000"/>
          <w:sz w:val="20"/>
        </w:rPr>
        <w:t>of</w:t>
      </w:r>
      <w:r w:rsidRPr="005722A6">
        <w:rPr>
          <w:rFonts w:asciiTheme="majorHAnsi" w:eastAsia="Calibri" w:hAnsiTheme="majorHAnsi"/>
          <w:noProof/>
          <w:color w:val="000000"/>
          <w:sz w:val="20"/>
        </w:rPr>
        <w:t xml:space="preserve"> long-term </w:t>
      </w:r>
      <w:r w:rsidR="008E3D4B" w:rsidRPr="005722A6">
        <w:rPr>
          <w:rFonts w:asciiTheme="majorHAnsi" w:eastAsia="Calibri" w:hAnsiTheme="majorHAnsi"/>
          <w:noProof/>
          <w:color w:val="000000"/>
          <w:sz w:val="20"/>
        </w:rPr>
        <w:t xml:space="preserve">environmental </w:t>
      </w:r>
      <w:r w:rsidRPr="005722A6">
        <w:rPr>
          <w:rFonts w:asciiTheme="majorHAnsi" w:eastAsia="Calibri" w:hAnsiTheme="majorHAnsi"/>
          <w:noProof/>
          <w:color w:val="000000"/>
          <w:sz w:val="20"/>
        </w:rPr>
        <w:t xml:space="preserve">impacts </w:t>
      </w:r>
      <w:r w:rsidR="00E010D9" w:rsidRPr="005722A6">
        <w:rPr>
          <w:rFonts w:asciiTheme="majorHAnsi" w:eastAsia="Calibri" w:hAnsiTheme="majorHAnsi"/>
          <w:noProof/>
          <w:color w:val="000000"/>
          <w:sz w:val="20"/>
        </w:rPr>
        <w:t>including</w:t>
      </w:r>
      <w:r w:rsidR="008E3D4B" w:rsidRPr="005722A6">
        <w:rPr>
          <w:rFonts w:asciiTheme="majorHAnsi" w:eastAsia="Calibri" w:hAnsiTheme="majorHAnsi"/>
          <w:noProof/>
          <w:color w:val="000000"/>
          <w:sz w:val="20"/>
        </w:rPr>
        <w:t xml:space="preserve"> establishing the following institutional and regulatory measures for integrating biodiversity </w:t>
      </w:r>
      <w:r w:rsidR="006A685F" w:rsidRPr="005722A6">
        <w:rPr>
          <w:rFonts w:asciiTheme="majorHAnsi" w:eastAsia="Calibri" w:hAnsiTheme="majorHAnsi"/>
          <w:noProof/>
          <w:color w:val="000000"/>
          <w:sz w:val="20"/>
        </w:rPr>
        <w:t xml:space="preserve">(including IAS </w:t>
      </w:r>
      <w:r w:rsidR="007A6EFB" w:rsidRPr="005722A6">
        <w:rPr>
          <w:rFonts w:asciiTheme="majorHAnsi" w:eastAsia="Calibri" w:hAnsiTheme="majorHAnsi"/>
          <w:noProof/>
          <w:color w:val="000000"/>
          <w:sz w:val="20"/>
        </w:rPr>
        <w:t>c</w:t>
      </w:r>
      <w:r w:rsidR="006A685F" w:rsidRPr="005722A6">
        <w:rPr>
          <w:rFonts w:asciiTheme="majorHAnsi" w:eastAsia="Calibri" w:hAnsiTheme="majorHAnsi"/>
          <w:noProof/>
          <w:color w:val="000000"/>
          <w:sz w:val="20"/>
        </w:rPr>
        <w:t>ontrol and management and bi</w:t>
      </w:r>
      <w:r w:rsidR="007A6EFB" w:rsidRPr="005722A6">
        <w:rPr>
          <w:rFonts w:asciiTheme="majorHAnsi" w:eastAsia="Calibri" w:hAnsiTheme="majorHAnsi"/>
          <w:noProof/>
          <w:color w:val="000000"/>
          <w:sz w:val="20"/>
        </w:rPr>
        <w:t>o</w:t>
      </w:r>
      <w:r w:rsidR="006A685F" w:rsidRPr="005722A6">
        <w:rPr>
          <w:rFonts w:asciiTheme="majorHAnsi" w:eastAsia="Calibri" w:hAnsiTheme="majorHAnsi"/>
          <w:noProof/>
          <w:color w:val="000000"/>
          <w:sz w:val="20"/>
        </w:rPr>
        <w:t xml:space="preserve">security) </w:t>
      </w:r>
      <w:r w:rsidR="008E3D4B" w:rsidRPr="005722A6">
        <w:rPr>
          <w:rFonts w:asciiTheme="majorHAnsi" w:eastAsia="Calibri" w:hAnsiTheme="majorHAnsi"/>
          <w:noProof/>
          <w:color w:val="000000"/>
          <w:sz w:val="20"/>
        </w:rPr>
        <w:t xml:space="preserve">into </w:t>
      </w:r>
      <w:r w:rsidR="00203F78">
        <w:rPr>
          <w:rFonts w:asciiTheme="majorHAnsi" w:eastAsia="Calibri" w:hAnsiTheme="majorHAnsi"/>
          <w:noProof/>
          <w:color w:val="000000"/>
          <w:sz w:val="20"/>
        </w:rPr>
        <w:t xml:space="preserve">land/seascape </w:t>
      </w:r>
      <w:r w:rsidR="008E3D4B" w:rsidRPr="005722A6">
        <w:rPr>
          <w:rFonts w:asciiTheme="majorHAnsi" w:eastAsia="Calibri" w:hAnsiTheme="majorHAnsi"/>
          <w:noProof/>
          <w:color w:val="000000"/>
          <w:sz w:val="20"/>
        </w:rPr>
        <w:t>planning and practice</w:t>
      </w:r>
      <w:r w:rsidR="00E010D9" w:rsidRPr="005722A6">
        <w:rPr>
          <w:rFonts w:asciiTheme="majorHAnsi" w:eastAsia="Calibri" w:hAnsiTheme="majorHAnsi"/>
          <w:noProof/>
          <w:color w:val="000000"/>
          <w:sz w:val="20"/>
        </w:rPr>
        <w:t>:</w:t>
      </w:r>
    </w:p>
    <w:p w14:paraId="7C2009A9" w14:textId="3FBDD476" w:rsidR="00E010D9" w:rsidRPr="005722A6" w:rsidRDefault="00E010D9" w:rsidP="00C71EB0">
      <w:pPr>
        <w:pStyle w:val="CommentText"/>
        <w:numPr>
          <w:ilvl w:val="0"/>
          <w:numId w:val="21"/>
        </w:numPr>
        <w:rPr>
          <w:rFonts w:asciiTheme="majorHAnsi" w:hAnsiTheme="majorHAnsi"/>
          <w:i/>
          <w:sz w:val="20"/>
        </w:rPr>
      </w:pPr>
      <w:r w:rsidRPr="005722A6">
        <w:rPr>
          <w:rFonts w:asciiTheme="majorHAnsi" w:hAnsiTheme="majorHAnsi"/>
          <w:i/>
          <w:sz w:val="20"/>
        </w:rPr>
        <w:t xml:space="preserve">A national </w:t>
      </w:r>
      <w:r w:rsidR="001B0689" w:rsidRPr="005722A6">
        <w:rPr>
          <w:rFonts w:asciiTheme="majorHAnsi" w:hAnsiTheme="majorHAnsi"/>
          <w:i/>
          <w:sz w:val="20"/>
        </w:rPr>
        <w:t>land</w:t>
      </w:r>
      <w:r w:rsidR="008C571D">
        <w:rPr>
          <w:rFonts w:asciiTheme="majorHAnsi" w:hAnsiTheme="majorHAnsi"/>
          <w:i/>
          <w:sz w:val="20"/>
        </w:rPr>
        <w:t>/</w:t>
      </w:r>
      <w:r w:rsidR="001B0689" w:rsidRPr="005722A6">
        <w:rPr>
          <w:rFonts w:asciiTheme="majorHAnsi" w:hAnsiTheme="majorHAnsi"/>
          <w:i/>
          <w:sz w:val="20"/>
        </w:rPr>
        <w:t xml:space="preserve">seascape </w:t>
      </w:r>
      <w:r w:rsidRPr="005722A6">
        <w:rPr>
          <w:rFonts w:asciiTheme="majorHAnsi" w:hAnsiTheme="majorHAnsi"/>
          <w:i/>
          <w:sz w:val="20"/>
        </w:rPr>
        <w:t xml:space="preserve">development planning process </w:t>
      </w:r>
      <w:r w:rsidR="008C571D">
        <w:rPr>
          <w:rFonts w:asciiTheme="majorHAnsi" w:hAnsiTheme="majorHAnsi"/>
          <w:i/>
          <w:sz w:val="20"/>
        </w:rPr>
        <w:t>designed, applied and operational</w:t>
      </w:r>
      <w:r w:rsidR="001B0689" w:rsidRPr="005722A6">
        <w:rPr>
          <w:rFonts w:asciiTheme="majorHAnsi" w:hAnsiTheme="majorHAnsi"/>
          <w:i/>
          <w:sz w:val="20"/>
        </w:rPr>
        <w:t>;</w:t>
      </w:r>
      <w:r w:rsidR="008E3D4B" w:rsidRPr="005722A6">
        <w:rPr>
          <w:rFonts w:asciiTheme="majorHAnsi" w:hAnsiTheme="majorHAnsi"/>
          <w:i/>
          <w:sz w:val="20"/>
        </w:rPr>
        <w:t xml:space="preserve"> </w:t>
      </w:r>
    </w:p>
    <w:p w14:paraId="741F9898" w14:textId="708C9B8A" w:rsidR="00E010D9" w:rsidRPr="005722A6" w:rsidRDefault="00E010D9" w:rsidP="00C71EB0">
      <w:pPr>
        <w:pStyle w:val="CommentText"/>
        <w:numPr>
          <w:ilvl w:val="0"/>
          <w:numId w:val="21"/>
        </w:numPr>
        <w:rPr>
          <w:rFonts w:asciiTheme="majorHAnsi" w:hAnsiTheme="majorHAnsi"/>
          <w:i/>
          <w:sz w:val="20"/>
        </w:rPr>
      </w:pPr>
      <w:r w:rsidRPr="005722A6">
        <w:rPr>
          <w:rFonts w:asciiTheme="majorHAnsi" w:hAnsiTheme="majorHAnsi"/>
          <w:i/>
          <w:sz w:val="20"/>
        </w:rPr>
        <w:t xml:space="preserve">Improved regulatory, monitoring and enforcement framework </w:t>
      </w:r>
      <w:r w:rsidR="001B0689" w:rsidRPr="005722A6">
        <w:rPr>
          <w:rFonts w:asciiTheme="majorHAnsi" w:hAnsiTheme="majorHAnsi"/>
          <w:i/>
          <w:sz w:val="20"/>
        </w:rPr>
        <w:t xml:space="preserve">for </w:t>
      </w:r>
      <w:r w:rsidR="00203F78">
        <w:rPr>
          <w:rFonts w:asciiTheme="majorHAnsi" w:hAnsiTheme="majorHAnsi"/>
          <w:i/>
          <w:sz w:val="20"/>
        </w:rPr>
        <w:t>conservation of biodiversity and sustainable use at land/seascape levels developed, applied and operational</w:t>
      </w:r>
      <w:r w:rsidR="001B0689" w:rsidRPr="005722A6">
        <w:rPr>
          <w:rFonts w:asciiTheme="majorHAnsi" w:hAnsiTheme="majorHAnsi"/>
          <w:i/>
          <w:sz w:val="20"/>
        </w:rPr>
        <w:t>; and</w:t>
      </w:r>
    </w:p>
    <w:p w14:paraId="7B2DF753" w14:textId="7947DFBE" w:rsidR="00E010D9" w:rsidRPr="005722A6" w:rsidRDefault="00E010D9" w:rsidP="00C71EB0">
      <w:pPr>
        <w:pStyle w:val="CommentText"/>
        <w:numPr>
          <w:ilvl w:val="0"/>
          <w:numId w:val="21"/>
        </w:numPr>
        <w:rPr>
          <w:rFonts w:asciiTheme="majorHAnsi" w:hAnsiTheme="majorHAnsi"/>
          <w:i/>
          <w:sz w:val="20"/>
        </w:rPr>
      </w:pPr>
      <w:r w:rsidRPr="005722A6">
        <w:rPr>
          <w:rFonts w:asciiTheme="majorHAnsi" w:hAnsiTheme="majorHAnsi"/>
          <w:i/>
          <w:sz w:val="20"/>
        </w:rPr>
        <w:t>Improved national-state linkages, capacities</w:t>
      </w:r>
      <w:r w:rsidR="007A6EFB" w:rsidRPr="005722A6">
        <w:rPr>
          <w:rFonts w:asciiTheme="majorHAnsi" w:hAnsiTheme="majorHAnsi"/>
          <w:i/>
          <w:sz w:val="20"/>
        </w:rPr>
        <w:t>,</w:t>
      </w:r>
      <w:r w:rsidRPr="005722A6">
        <w:rPr>
          <w:rFonts w:asciiTheme="majorHAnsi" w:hAnsiTheme="majorHAnsi"/>
          <w:i/>
          <w:sz w:val="20"/>
        </w:rPr>
        <w:t xml:space="preserve"> and coordination</w:t>
      </w:r>
      <w:r w:rsidR="008E3D4B" w:rsidRPr="005722A6">
        <w:rPr>
          <w:rFonts w:asciiTheme="majorHAnsi" w:hAnsiTheme="majorHAnsi"/>
          <w:i/>
          <w:sz w:val="20"/>
        </w:rPr>
        <w:t xml:space="preserve"> for</w:t>
      </w:r>
      <w:r w:rsidR="00203F78">
        <w:rPr>
          <w:rFonts w:asciiTheme="majorHAnsi" w:hAnsiTheme="majorHAnsi"/>
          <w:i/>
          <w:sz w:val="20"/>
        </w:rPr>
        <w:t xml:space="preserve"> land/seascape planning and management.</w:t>
      </w:r>
      <w:r w:rsidR="008E3D4B" w:rsidRPr="005722A6">
        <w:rPr>
          <w:rFonts w:asciiTheme="majorHAnsi" w:hAnsiTheme="majorHAnsi"/>
          <w:i/>
          <w:sz w:val="20"/>
        </w:rPr>
        <w:t xml:space="preserve"> </w:t>
      </w:r>
    </w:p>
    <w:p w14:paraId="2D7631F3" w14:textId="5DECE40B" w:rsidR="00E010D9" w:rsidRPr="005722A6" w:rsidRDefault="00D849A6" w:rsidP="00E010D9">
      <w:pPr>
        <w:pStyle w:val="CommentText"/>
        <w:rPr>
          <w:rFonts w:asciiTheme="majorHAnsi" w:hAnsiTheme="majorHAnsi"/>
          <w:sz w:val="20"/>
        </w:rPr>
      </w:pPr>
      <w:r>
        <w:rPr>
          <w:rFonts w:asciiTheme="majorHAnsi" w:hAnsiTheme="majorHAnsi"/>
          <w:sz w:val="20"/>
        </w:rPr>
        <w:t>E</w:t>
      </w:r>
      <w:r w:rsidR="00FE210D" w:rsidRPr="005722A6">
        <w:rPr>
          <w:rFonts w:asciiTheme="majorHAnsi" w:hAnsiTheme="majorHAnsi"/>
          <w:sz w:val="20"/>
        </w:rPr>
        <w:t xml:space="preserve">nvironmental benefits </w:t>
      </w:r>
      <w:r w:rsidR="00203F78">
        <w:rPr>
          <w:rFonts w:asciiTheme="majorHAnsi" w:hAnsiTheme="majorHAnsi"/>
          <w:sz w:val="20"/>
        </w:rPr>
        <w:t xml:space="preserve">expected to accrue </w:t>
      </w:r>
      <w:r>
        <w:rPr>
          <w:rFonts w:asciiTheme="majorHAnsi" w:hAnsiTheme="majorHAnsi"/>
          <w:sz w:val="20"/>
        </w:rPr>
        <w:t>are</w:t>
      </w:r>
      <w:r w:rsidR="00203F78">
        <w:rPr>
          <w:rFonts w:asciiTheme="majorHAnsi" w:hAnsiTheme="majorHAnsi"/>
          <w:sz w:val="20"/>
        </w:rPr>
        <w:t xml:space="preserve"> the </w:t>
      </w:r>
      <w:r w:rsidR="00E010D9" w:rsidRPr="005722A6">
        <w:rPr>
          <w:rFonts w:asciiTheme="majorHAnsi" w:hAnsiTheme="majorHAnsi"/>
          <w:sz w:val="20"/>
        </w:rPr>
        <w:t>avoidance, reduction, mitigation and offsetting of adverse impacts on Palau’s native biodiversity from various sectors including: agriculture, forestry, aquaculture</w:t>
      </w:r>
      <w:r w:rsidR="007A6EFB" w:rsidRPr="005722A6">
        <w:rPr>
          <w:rFonts w:asciiTheme="majorHAnsi" w:hAnsiTheme="majorHAnsi"/>
          <w:sz w:val="20"/>
        </w:rPr>
        <w:t>, fisheries,</w:t>
      </w:r>
      <w:r w:rsidR="00E010D9" w:rsidRPr="005722A6">
        <w:rPr>
          <w:rFonts w:asciiTheme="majorHAnsi" w:hAnsiTheme="majorHAnsi"/>
          <w:sz w:val="20"/>
        </w:rPr>
        <w:t xml:space="preserve"> and tourism</w:t>
      </w:r>
      <w:r w:rsidR="005E5188" w:rsidRPr="005722A6">
        <w:rPr>
          <w:rFonts w:asciiTheme="majorHAnsi" w:hAnsiTheme="majorHAnsi"/>
          <w:sz w:val="20"/>
        </w:rPr>
        <w:t xml:space="preserve">, leading to: </w:t>
      </w:r>
    </w:p>
    <w:p w14:paraId="2A67086D" w14:textId="6BEC0C63" w:rsidR="00E010D9" w:rsidRPr="005722A6" w:rsidRDefault="00E010D9" w:rsidP="00C71EB0">
      <w:pPr>
        <w:pStyle w:val="CommentText"/>
        <w:numPr>
          <w:ilvl w:val="0"/>
          <w:numId w:val="22"/>
        </w:numPr>
        <w:rPr>
          <w:rFonts w:asciiTheme="majorHAnsi" w:hAnsiTheme="majorHAnsi"/>
          <w:i/>
          <w:sz w:val="20"/>
        </w:rPr>
      </w:pPr>
      <w:r w:rsidRPr="005722A6">
        <w:rPr>
          <w:rFonts w:asciiTheme="majorHAnsi" w:hAnsiTheme="majorHAnsi"/>
          <w:i/>
          <w:sz w:val="20"/>
        </w:rPr>
        <w:t xml:space="preserve">Improved </w:t>
      </w:r>
      <w:r w:rsidR="00203F78">
        <w:rPr>
          <w:rFonts w:asciiTheme="majorHAnsi" w:hAnsiTheme="majorHAnsi"/>
          <w:i/>
          <w:sz w:val="20"/>
        </w:rPr>
        <w:t xml:space="preserve">and sustainable biodiversity-friendly </w:t>
      </w:r>
      <w:r w:rsidRPr="005722A6">
        <w:rPr>
          <w:rFonts w:asciiTheme="majorHAnsi" w:hAnsiTheme="majorHAnsi"/>
          <w:i/>
          <w:sz w:val="20"/>
        </w:rPr>
        <w:t>production practices</w:t>
      </w:r>
      <w:r w:rsidR="008E3D4B" w:rsidRPr="005722A6">
        <w:rPr>
          <w:rFonts w:asciiTheme="majorHAnsi" w:hAnsiTheme="majorHAnsi"/>
          <w:i/>
          <w:sz w:val="20"/>
        </w:rPr>
        <w:t>; and</w:t>
      </w:r>
    </w:p>
    <w:p w14:paraId="4DBB0C92" w14:textId="5A835207" w:rsidR="00E010D9" w:rsidRPr="005722A6" w:rsidRDefault="00203F78" w:rsidP="00C71EB0">
      <w:pPr>
        <w:numPr>
          <w:ilvl w:val="0"/>
          <w:numId w:val="22"/>
        </w:numPr>
        <w:rPr>
          <w:rFonts w:asciiTheme="majorHAnsi" w:eastAsia="Calibri" w:hAnsiTheme="majorHAnsi"/>
          <w:i/>
          <w:noProof/>
          <w:color w:val="000000"/>
          <w:sz w:val="20"/>
          <w:szCs w:val="20"/>
        </w:rPr>
      </w:pPr>
      <w:r w:rsidRPr="005722A6">
        <w:rPr>
          <w:rFonts w:asciiTheme="majorHAnsi" w:hAnsiTheme="majorHAnsi"/>
          <w:i/>
          <w:sz w:val="20"/>
          <w:szCs w:val="20"/>
        </w:rPr>
        <w:t>Reduc</w:t>
      </w:r>
      <w:r>
        <w:rPr>
          <w:rFonts w:asciiTheme="majorHAnsi" w:hAnsiTheme="majorHAnsi"/>
          <w:i/>
          <w:sz w:val="20"/>
          <w:szCs w:val="20"/>
        </w:rPr>
        <w:t>ed</w:t>
      </w:r>
      <w:r w:rsidRPr="005722A6">
        <w:rPr>
          <w:rFonts w:asciiTheme="majorHAnsi" w:hAnsiTheme="majorHAnsi"/>
          <w:i/>
          <w:sz w:val="20"/>
          <w:szCs w:val="20"/>
        </w:rPr>
        <w:t xml:space="preserve"> </w:t>
      </w:r>
      <w:r w:rsidR="00E010D9" w:rsidRPr="005722A6">
        <w:rPr>
          <w:rFonts w:asciiTheme="majorHAnsi" w:hAnsiTheme="majorHAnsi"/>
          <w:i/>
          <w:sz w:val="20"/>
          <w:szCs w:val="20"/>
        </w:rPr>
        <w:t xml:space="preserve">risks and impacts of </w:t>
      </w:r>
      <w:r w:rsidR="006A685F" w:rsidRPr="005722A6">
        <w:rPr>
          <w:rFonts w:asciiTheme="majorHAnsi" w:hAnsiTheme="majorHAnsi"/>
          <w:i/>
          <w:sz w:val="20"/>
          <w:szCs w:val="20"/>
        </w:rPr>
        <w:t>invasive alien species (</w:t>
      </w:r>
      <w:r w:rsidR="00E010D9" w:rsidRPr="005722A6">
        <w:rPr>
          <w:rFonts w:asciiTheme="majorHAnsi" w:hAnsiTheme="majorHAnsi"/>
          <w:i/>
          <w:sz w:val="20"/>
          <w:szCs w:val="20"/>
        </w:rPr>
        <w:t>IA</w:t>
      </w:r>
      <w:r w:rsidR="00527411" w:rsidRPr="005722A6">
        <w:rPr>
          <w:rFonts w:asciiTheme="majorHAnsi" w:hAnsiTheme="majorHAnsi"/>
          <w:i/>
          <w:sz w:val="20"/>
          <w:szCs w:val="20"/>
        </w:rPr>
        <w:t>S</w:t>
      </w:r>
      <w:r w:rsidR="006A685F" w:rsidRPr="005722A6">
        <w:rPr>
          <w:rFonts w:asciiTheme="majorHAnsi" w:hAnsiTheme="majorHAnsi"/>
          <w:i/>
          <w:sz w:val="20"/>
          <w:szCs w:val="20"/>
        </w:rPr>
        <w:t>)</w:t>
      </w:r>
      <w:r w:rsidR="00E010D9" w:rsidRPr="005722A6">
        <w:rPr>
          <w:rFonts w:asciiTheme="majorHAnsi" w:hAnsiTheme="majorHAnsi"/>
          <w:i/>
          <w:sz w:val="20"/>
          <w:szCs w:val="20"/>
        </w:rPr>
        <w:t xml:space="preserve"> to all sectors including biodiversity, food security, economics, health</w:t>
      </w:r>
      <w:r w:rsidR="007A6EFB" w:rsidRPr="005722A6">
        <w:rPr>
          <w:rFonts w:asciiTheme="majorHAnsi" w:hAnsiTheme="majorHAnsi"/>
          <w:i/>
          <w:sz w:val="20"/>
          <w:szCs w:val="20"/>
        </w:rPr>
        <w:t>,</w:t>
      </w:r>
      <w:r w:rsidR="00E010D9" w:rsidRPr="005722A6">
        <w:rPr>
          <w:rFonts w:asciiTheme="majorHAnsi" w:hAnsiTheme="majorHAnsi"/>
          <w:i/>
          <w:sz w:val="20"/>
          <w:szCs w:val="20"/>
        </w:rPr>
        <w:t xml:space="preserve"> and culture through reduced entry and </w:t>
      </w:r>
      <w:r w:rsidR="00D849A6">
        <w:rPr>
          <w:rFonts w:asciiTheme="majorHAnsi" w:hAnsiTheme="majorHAnsi"/>
          <w:i/>
          <w:sz w:val="20"/>
          <w:szCs w:val="20"/>
        </w:rPr>
        <w:t>spread of IAS</w:t>
      </w:r>
      <w:r w:rsidR="00E010D9" w:rsidRPr="005722A6">
        <w:rPr>
          <w:rFonts w:asciiTheme="majorHAnsi" w:hAnsiTheme="majorHAnsi"/>
          <w:i/>
          <w:sz w:val="20"/>
          <w:szCs w:val="20"/>
        </w:rPr>
        <w:t xml:space="preserve">, improved capacity to detect and respond to novel </w:t>
      </w:r>
      <w:r w:rsidR="00D849A6">
        <w:rPr>
          <w:rFonts w:asciiTheme="majorHAnsi" w:hAnsiTheme="majorHAnsi"/>
          <w:i/>
          <w:sz w:val="20"/>
          <w:szCs w:val="20"/>
        </w:rPr>
        <w:t>IAS</w:t>
      </w:r>
      <w:r w:rsidR="007A6EFB" w:rsidRPr="005722A6">
        <w:rPr>
          <w:rFonts w:asciiTheme="majorHAnsi" w:hAnsiTheme="majorHAnsi"/>
          <w:i/>
          <w:sz w:val="20"/>
          <w:szCs w:val="20"/>
        </w:rPr>
        <w:t>,</w:t>
      </w:r>
      <w:r w:rsidR="00E010D9" w:rsidRPr="005722A6">
        <w:rPr>
          <w:rFonts w:asciiTheme="majorHAnsi" w:hAnsiTheme="majorHAnsi"/>
          <w:i/>
          <w:sz w:val="20"/>
          <w:szCs w:val="20"/>
        </w:rPr>
        <w:t xml:space="preserve"> and improved management of established IAS.</w:t>
      </w:r>
    </w:p>
    <w:p w14:paraId="1BDE281D" w14:textId="77777777" w:rsidR="00E010D9" w:rsidRPr="005722A6" w:rsidRDefault="00E010D9" w:rsidP="00585796">
      <w:pPr>
        <w:rPr>
          <w:rFonts w:asciiTheme="majorHAnsi" w:eastAsia="Calibri" w:hAnsiTheme="majorHAnsi"/>
          <w:noProof/>
          <w:color w:val="000000"/>
          <w:sz w:val="20"/>
          <w:szCs w:val="20"/>
        </w:rPr>
      </w:pPr>
    </w:p>
    <w:p w14:paraId="34B5A9AB" w14:textId="351108B4" w:rsidR="00B87774" w:rsidRPr="005722A6" w:rsidRDefault="00E010D9" w:rsidP="00585796">
      <w:pPr>
        <w:rPr>
          <w:rFonts w:asciiTheme="majorHAnsi" w:hAnsiTheme="majorHAnsi"/>
          <w:bCs/>
          <w:sz w:val="20"/>
          <w:szCs w:val="20"/>
        </w:rPr>
      </w:pPr>
      <w:r w:rsidRPr="005722A6">
        <w:rPr>
          <w:rFonts w:asciiTheme="majorHAnsi" w:eastAsia="Calibri" w:hAnsiTheme="majorHAnsi"/>
          <w:noProof/>
          <w:color w:val="000000"/>
          <w:sz w:val="20"/>
          <w:szCs w:val="20"/>
        </w:rPr>
        <w:t xml:space="preserve">The </w:t>
      </w:r>
      <w:r w:rsidRPr="008C35E2">
        <w:rPr>
          <w:rFonts w:asciiTheme="majorHAnsi" w:eastAsia="Calibri" w:hAnsiTheme="majorHAnsi"/>
          <w:b/>
          <w:noProof/>
          <w:color w:val="000000"/>
          <w:sz w:val="20"/>
          <w:szCs w:val="20"/>
        </w:rPr>
        <w:t>L</w:t>
      </w:r>
      <w:r w:rsidR="00B87774" w:rsidRPr="008C35E2">
        <w:rPr>
          <w:rFonts w:asciiTheme="majorHAnsi" w:eastAsia="Calibri" w:hAnsiTheme="majorHAnsi"/>
          <w:b/>
          <w:noProof/>
          <w:color w:val="000000"/>
          <w:sz w:val="20"/>
          <w:szCs w:val="20"/>
        </w:rPr>
        <w:t>o</w:t>
      </w:r>
      <w:r w:rsidRPr="008C35E2">
        <w:rPr>
          <w:rFonts w:asciiTheme="majorHAnsi" w:eastAsia="Calibri" w:hAnsiTheme="majorHAnsi"/>
          <w:b/>
          <w:noProof/>
          <w:color w:val="000000"/>
          <w:sz w:val="20"/>
          <w:szCs w:val="20"/>
        </w:rPr>
        <w:t>ng-Term I</w:t>
      </w:r>
      <w:r w:rsidR="00B87774" w:rsidRPr="008C35E2">
        <w:rPr>
          <w:rFonts w:asciiTheme="majorHAnsi" w:eastAsia="Calibri" w:hAnsiTheme="majorHAnsi"/>
          <w:b/>
          <w:noProof/>
          <w:color w:val="000000"/>
          <w:sz w:val="20"/>
          <w:szCs w:val="20"/>
        </w:rPr>
        <w:t>mpact</w:t>
      </w:r>
      <w:r w:rsidR="00B87774" w:rsidRPr="005722A6">
        <w:rPr>
          <w:rFonts w:asciiTheme="majorHAnsi" w:eastAsia="Calibri" w:hAnsiTheme="majorHAnsi"/>
          <w:noProof/>
          <w:color w:val="000000"/>
          <w:sz w:val="20"/>
          <w:szCs w:val="20"/>
        </w:rPr>
        <w:t xml:space="preserve"> </w:t>
      </w:r>
      <w:r w:rsidR="008C35E2">
        <w:rPr>
          <w:rFonts w:asciiTheme="majorHAnsi" w:eastAsia="Calibri" w:hAnsiTheme="majorHAnsi"/>
          <w:noProof/>
          <w:color w:val="000000"/>
          <w:sz w:val="20"/>
          <w:szCs w:val="20"/>
        </w:rPr>
        <w:t xml:space="preserve">(or Global Environmental Benefit) </w:t>
      </w:r>
      <w:r w:rsidRPr="005722A6">
        <w:rPr>
          <w:rFonts w:asciiTheme="majorHAnsi" w:eastAsia="Calibri" w:hAnsiTheme="majorHAnsi"/>
          <w:noProof/>
          <w:color w:val="000000"/>
          <w:sz w:val="20"/>
          <w:szCs w:val="20"/>
        </w:rPr>
        <w:t xml:space="preserve">of the project </w:t>
      </w:r>
      <w:r w:rsidR="004D73DB" w:rsidRPr="005722A6">
        <w:rPr>
          <w:rFonts w:asciiTheme="majorHAnsi" w:eastAsia="Calibri" w:hAnsiTheme="majorHAnsi"/>
          <w:noProof/>
          <w:color w:val="000000"/>
          <w:sz w:val="20"/>
          <w:szCs w:val="20"/>
        </w:rPr>
        <w:t xml:space="preserve">is </w:t>
      </w:r>
      <w:r w:rsidR="00DE6595">
        <w:rPr>
          <w:rFonts w:asciiTheme="majorHAnsi" w:eastAsia="Calibri" w:hAnsiTheme="majorHAnsi"/>
          <w:noProof/>
          <w:color w:val="000000"/>
          <w:sz w:val="20"/>
          <w:szCs w:val="20"/>
        </w:rPr>
        <w:t>conservation of</w:t>
      </w:r>
      <w:r w:rsidR="00BD402F">
        <w:rPr>
          <w:rFonts w:asciiTheme="majorHAnsi" w:eastAsia="Calibri" w:hAnsiTheme="majorHAnsi"/>
          <w:noProof/>
          <w:color w:val="000000"/>
          <w:sz w:val="20"/>
          <w:szCs w:val="20"/>
        </w:rPr>
        <w:t xml:space="preserve"> terrestrial and marine </w:t>
      </w:r>
      <w:r w:rsidR="00DE6595">
        <w:rPr>
          <w:rFonts w:asciiTheme="majorHAnsi" w:eastAsia="Calibri" w:hAnsiTheme="majorHAnsi"/>
          <w:noProof/>
          <w:color w:val="000000"/>
          <w:sz w:val="20"/>
          <w:szCs w:val="20"/>
        </w:rPr>
        <w:t xml:space="preserve">ecosystems, protection of endemic and threatened species and improved and sustainable livelihoods for local communities. </w:t>
      </w:r>
      <w:r w:rsidR="00BD402F">
        <w:rPr>
          <w:rFonts w:asciiTheme="majorHAnsi" w:eastAsia="Calibri" w:hAnsiTheme="majorHAnsi"/>
          <w:noProof/>
          <w:color w:val="000000"/>
          <w:sz w:val="20"/>
          <w:szCs w:val="20"/>
        </w:rPr>
        <w:t xml:space="preserve">This will be achieved by reduction of direct threats </w:t>
      </w:r>
      <w:r w:rsidR="00DE6595">
        <w:rPr>
          <w:rFonts w:asciiTheme="majorHAnsi" w:eastAsia="Calibri" w:hAnsiTheme="majorHAnsi"/>
          <w:noProof/>
          <w:color w:val="000000"/>
          <w:sz w:val="20"/>
          <w:szCs w:val="20"/>
        </w:rPr>
        <w:t xml:space="preserve">from IAS, conversion of forests and mangroves, land erosion and fire, </w:t>
      </w:r>
      <w:r w:rsidR="00493639">
        <w:rPr>
          <w:rFonts w:asciiTheme="majorHAnsi" w:eastAsia="Calibri" w:hAnsiTheme="majorHAnsi"/>
          <w:noProof/>
          <w:color w:val="000000"/>
          <w:sz w:val="20"/>
          <w:szCs w:val="20"/>
        </w:rPr>
        <w:t>un</w:t>
      </w:r>
      <w:r w:rsidR="00DE6595">
        <w:rPr>
          <w:rFonts w:asciiTheme="majorHAnsi" w:eastAsia="Calibri" w:hAnsiTheme="majorHAnsi"/>
          <w:noProof/>
          <w:color w:val="000000"/>
          <w:sz w:val="20"/>
          <w:szCs w:val="20"/>
        </w:rPr>
        <w:t>sustainabl</w:t>
      </w:r>
      <w:r w:rsidR="00493639">
        <w:rPr>
          <w:rFonts w:asciiTheme="majorHAnsi" w:eastAsia="Calibri" w:hAnsiTheme="majorHAnsi"/>
          <w:noProof/>
          <w:color w:val="000000"/>
          <w:sz w:val="20"/>
          <w:szCs w:val="20"/>
        </w:rPr>
        <w:t>e tourism, fisheries and agriculture. The project will help to</w:t>
      </w:r>
      <w:r w:rsidR="00BD402F">
        <w:rPr>
          <w:rFonts w:asciiTheme="majorHAnsi" w:eastAsia="Calibri" w:hAnsiTheme="majorHAnsi"/>
          <w:noProof/>
          <w:color w:val="000000"/>
          <w:sz w:val="20"/>
          <w:szCs w:val="20"/>
        </w:rPr>
        <w:t xml:space="preserve"> </w:t>
      </w:r>
      <w:r w:rsidR="009C4467" w:rsidRPr="005722A6">
        <w:rPr>
          <w:rFonts w:asciiTheme="majorHAnsi" w:hAnsiTheme="majorHAnsi"/>
          <w:bCs/>
          <w:i/>
          <w:sz w:val="20"/>
          <w:szCs w:val="20"/>
        </w:rPr>
        <w:t>m</w:t>
      </w:r>
      <w:r w:rsidR="009C4467" w:rsidRPr="005722A6">
        <w:rPr>
          <w:rFonts w:asciiTheme="majorHAnsi" w:hAnsiTheme="majorHAnsi"/>
          <w:i/>
          <w:sz w:val="20"/>
          <w:szCs w:val="20"/>
        </w:rPr>
        <w:t>ainstream</w:t>
      </w:r>
      <w:r w:rsidR="00493639">
        <w:rPr>
          <w:rFonts w:asciiTheme="majorHAnsi" w:hAnsiTheme="majorHAnsi"/>
          <w:i/>
          <w:sz w:val="20"/>
          <w:szCs w:val="20"/>
        </w:rPr>
        <w:t xml:space="preserve"> </w:t>
      </w:r>
      <w:r w:rsidR="009C4467" w:rsidRPr="005722A6">
        <w:rPr>
          <w:rFonts w:asciiTheme="majorHAnsi" w:hAnsiTheme="majorHAnsi"/>
          <w:i/>
          <w:sz w:val="20"/>
          <w:szCs w:val="20"/>
        </w:rPr>
        <w:t>biodiversity conservation into integrated land and seascape governance, planning and management in Palau</w:t>
      </w:r>
      <w:r w:rsidR="00517D19" w:rsidRPr="005722A6">
        <w:rPr>
          <w:rFonts w:asciiTheme="majorHAnsi" w:hAnsiTheme="majorHAnsi"/>
          <w:i/>
          <w:sz w:val="20"/>
          <w:szCs w:val="20"/>
        </w:rPr>
        <w:t xml:space="preserve">, </w:t>
      </w:r>
      <w:r w:rsidR="00BD402F">
        <w:rPr>
          <w:rFonts w:asciiTheme="majorHAnsi" w:hAnsiTheme="majorHAnsi"/>
          <w:i/>
          <w:sz w:val="20"/>
          <w:szCs w:val="20"/>
        </w:rPr>
        <w:t xml:space="preserve">as well as </w:t>
      </w:r>
      <w:r w:rsidR="00493639">
        <w:rPr>
          <w:rFonts w:asciiTheme="majorHAnsi" w:hAnsiTheme="majorHAnsi"/>
          <w:i/>
          <w:sz w:val="20"/>
          <w:szCs w:val="20"/>
        </w:rPr>
        <w:t xml:space="preserve">enhance </w:t>
      </w:r>
      <w:r w:rsidR="00BD402F">
        <w:rPr>
          <w:rFonts w:asciiTheme="majorHAnsi" w:hAnsiTheme="majorHAnsi"/>
          <w:i/>
          <w:sz w:val="20"/>
          <w:szCs w:val="20"/>
        </w:rPr>
        <w:t xml:space="preserve">safeguards across the key sectors. </w:t>
      </w:r>
      <w:r w:rsidR="00BD402F">
        <w:rPr>
          <w:rFonts w:asciiTheme="majorHAnsi" w:hAnsiTheme="majorHAnsi"/>
          <w:sz w:val="20"/>
          <w:szCs w:val="20"/>
        </w:rPr>
        <w:t xml:space="preserve">Reduction of direct threats will be achieved under a set of outcomes, which are elaborated below along with their respective outputs. </w:t>
      </w:r>
    </w:p>
    <w:p w14:paraId="23959FB1" w14:textId="77777777" w:rsidR="00256B06" w:rsidRPr="005722A6" w:rsidRDefault="00256B06" w:rsidP="00B87774">
      <w:pPr>
        <w:pStyle w:val="NoSpacing"/>
        <w:jc w:val="both"/>
        <w:rPr>
          <w:rFonts w:asciiTheme="majorHAnsi" w:hAnsiTheme="majorHAnsi"/>
          <w:sz w:val="20"/>
          <w:szCs w:val="20"/>
          <w:lang w:val="en-GB"/>
        </w:rPr>
      </w:pPr>
    </w:p>
    <w:p w14:paraId="46CBEBBC" w14:textId="0E45EBED" w:rsidR="00256B06" w:rsidRPr="003068DE" w:rsidRDefault="00256B06" w:rsidP="00442CCE">
      <w:pPr>
        <w:rPr>
          <w:rFonts w:asciiTheme="majorHAnsi" w:hAnsiTheme="majorHAnsi"/>
          <w:b/>
          <w:sz w:val="20"/>
          <w:szCs w:val="20"/>
        </w:rPr>
      </w:pPr>
      <w:r w:rsidRPr="00256B06">
        <w:rPr>
          <w:rFonts w:asciiTheme="majorHAnsi" w:hAnsiTheme="majorHAnsi"/>
          <w:b/>
          <w:sz w:val="20"/>
          <w:szCs w:val="20"/>
        </w:rPr>
        <w:t>Component 1</w:t>
      </w:r>
      <w:r w:rsidRPr="00442CCE">
        <w:rPr>
          <w:rFonts w:asciiTheme="majorHAnsi" w:hAnsiTheme="majorHAnsi"/>
          <w:b/>
          <w:sz w:val="20"/>
          <w:szCs w:val="20"/>
        </w:rPr>
        <w:t xml:space="preserve">: </w:t>
      </w:r>
      <w:r w:rsidR="003068DE" w:rsidRPr="00442CCE">
        <w:rPr>
          <w:b/>
          <w:sz w:val="20"/>
          <w:szCs w:val="20"/>
        </w:rPr>
        <w:t>National institutional framework for integrated land and seascape planning and management to mainstream biodiversity across sectors</w:t>
      </w:r>
    </w:p>
    <w:p w14:paraId="181F6CEE" w14:textId="79C9FDC3" w:rsidR="00256B06" w:rsidRPr="00256B06" w:rsidRDefault="00256B06" w:rsidP="00256B06">
      <w:pPr>
        <w:spacing w:after="240"/>
        <w:rPr>
          <w:rFonts w:cs="Segoe UI"/>
          <w:color w:val="000000"/>
          <w:sz w:val="20"/>
          <w:szCs w:val="20"/>
        </w:rPr>
      </w:pPr>
      <w:r w:rsidRPr="00256B06">
        <w:rPr>
          <w:rFonts w:cstheme="minorBidi"/>
          <w:color w:val="000000" w:themeColor="text1"/>
          <w:sz w:val="20"/>
          <w:szCs w:val="20"/>
        </w:rPr>
        <w:t>Total Cost: US$</w:t>
      </w:r>
      <w:r w:rsidR="00F01DC8">
        <w:rPr>
          <w:rFonts w:cstheme="minorBidi"/>
          <w:color w:val="000000" w:themeColor="text1"/>
          <w:sz w:val="20"/>
          <w:szCs w:val="20"/>
        </w:rPr>
        <w:t>8,007,000</w:t>
      </w:r>
      <w:r w:rsidRPr="00256B06">
        <w:rPr>
          <w:rFonts w:cstheme="minorBidi"/>
          <w:color w:val="000000" w:themeColor="text1"/>
          <w:sz w:val="20"/>
          <w:szCs w:val="20"/>
        </w:rPr>
        <w:t>; GEF project grant requested: US$</w:t>
      </w:r>
      <w:r w:rsidR="009551C1">
        <w:rPr>
          <w:rFonts w:cstheme="minorBidi"/>
          <w:color w:val="000000" w:themeColor="text1"/>
          <w:sz w:val="20"/>
          <w:szCs w:val="20"/>
        </w:rPr>
        <w:t>1,442,000</w:t>
      </w:r>
      <w:r w:rsidRPr="00256B06">
        <w:rPr>
          <w:rFonts w:cstheme="minorBidi"/>
          <w:color w:val="000000" w:themeColor="text1"/>
          <w:sz w:val="20"/>
          <w:szCs w:val="20"/>
        </w:rPr>
        <w:t>; Co-financing: US</w:t>
      </w:r>
      <w:r w:rsidRPr="00F01DC8">
        <w:rPr>
          <w:rFonts w:asciiTheme="majorHAnsi" w:hAnsiTheme="majorHAnsi" w:cstheme="minorBidi"/>
          <w:color w:val="000000" w:themeColor="text1"/>
          <w:sz w:val="20"/>
          <w:szCs w:val="20"/>
        </w:rPr>
        <w:t>$</w:t>
      </w:r>
      <w:bookmarkStart w:id="8" w:name="B_CO_01"/>
      <w:r w:rsidR="009551C1" w:rsidRPr="00F01DC8">
        <w:rPr>
          <w:rFonts w:asciiTheme="majorHAnsi" w:eastAsia="Times New Roman" w:hAnsiTheme="majorHAnsi"/>
          <w:color w:val="000000"/>
          <w:sz w:val="20"/>
          <w:szCs w:val="20"/>
        </w:rPr>
        <w:t>6,565,000</w:t>
      </w:r>
      <w:bookmarkEnd w:id="8"/>
    </w:p>
    <w:p w14:paraId="14FB0243" w14:textId="306B4157" w:rsidR="00B87774" w:rsidRPr="005722A6" w:rsidRDefault="00B87774" w:rsidP="00B87774">
      <w:pPr>
        <w:rPr>
          <w:rFonts w:asciiTheme="majorHAnsi" w:hAnsiTheme="majorHAnsi"/>
          <w:sz w:val="20"/>
          <w:szCs w:val="20"/>
        </w:rPr>
      </w:pPr>
      <w:r w:rsidRPr="005722A6">
        <w:rPr>
          <w:rFonts w:asciiTheme="majorHAnsi" w:hAnsiTheme="majorHAnsi"/>
          <w:b/>
          <w:sz w:val="20"/>
          <w:szCs w:val="20"/>
        </w:rPr>
        <w:t xml:space="preserve">Outcome 1: </w:t>
      </w:r>
      <w:r w:rsidR="006C3327" w:rsidRPr="005722A6">
        <w:rPr>
          <w:rFonts w:asciiTheme="majorHAnsi" w:hAnsiTheme="majorHAnsi"/>
          <w:b/>
          <w:sz w:val="20"/>
          <w:szCs w:val="20"/>
        </w:rPr>
        <w:t xml:space="preserve">Enhanced </w:t>
      </w:r>
      <w:r w:rsidR="008C35E2">
        <w:rPr>
          <w:rFonts w:asciiTheme="majorHAnsi" w:hAnsiTheme="majorHAnsi"/>
          <w:b/>
          <w:sz w:val="20"/>
          <w:szCs w:val="20"/>
        </w:rPr>
        <w:t>n</w:t>
      </w:r>
      <w:r w:rsidRPr="005722A6">
        <w:rPr>
          <w:rFonts w:asciiTheme="majorHAnsi" w:hAnsiTheme="majorHAnsi"/>
          <w:b/>
          <w:sz w:val="20"/>
          <w:szCs w:val="20"/>
        </w:rPr>
        <w:t xml:space="preserve">ational institutional </w:t>
      </w:r>
      <w:r w:rsidR="00CC4CB1">
        <w:rPr>
          <w:rFonts w:asciiTheme="majorHAnsi" w:hAnsiTheme="majorHAnsi"/>
          <w:b/>
          <w:sz w:val="20"/>
          <w:szCs w:val="20"/>
        </w:rPr>
        <w:t>capacities</w:t>
      </w:r>
      <w:r w:rsidRPr="005722A6">
        <w:rPr>
          <w:rFonts w:asciiTheme="majorHAnsi" w:hAnsiTheme="majorHAnsi"/>
          <w:b/>
          <w:sz w:val="20"/>
          <w:szCs w:val="20"/>
        </w:rPr>
        <w:t xml:space="preserve"> for integrated planning and management of land and seascapes.</w:t>
      </w:r>
    </w:p>
    <w:p w14:paraId="7C927BC9" w14:textId="77777777" w:rsidR="00B87774" w:rsidRPr="005722A6" w:rsidRDefault="00B87774" w:rsidP="00B87774">
      <w:pPr>
        <w:spacing w:after="0"/>
        <w:jc w:val="left"/>
        <w:rPr>
          <w:rFonts w:asciiTheme="majorHAnsi" w:hAnsiTheme="majorHAnsi"/>
          <w:b/>
          <w:sz w:val="20"/>
          <w:szCs w:val="20"/>
        </w:rPr>
      </w:pPr>
    </w:p>
    <w:p w14:paraId="1AA3B7BF" w14:textId="002F1EFE" w:rsidR="00B87774" w:rsidRPr="005722A6" w:rsidRDefault="00B87774" w:rsidP="00B87774">
      <w:pPr>
        <w:spacing w:after="120" w:line="276" w:lineRule="auto"/>
        <w:rPr>
          <w:rFonts w:asciiTheme="majorHAnsi" w:hAnsiTheme="majorHAnsi"/>
          <w:i/>
          <w:sz w:val="20"/>
          <w:szCs w:val="20"/>
        </w:rPr>
      </w:pPr>
      <w:r w:rsidRPr="005722A6">
        <w:rPr>
          <w:rFonts w:asciiTheme="majorHAnsi" w:hAnsiTheme="majorHAnsi"/>
          <w:i/>
          <w:sz w:val="20"/>
          <w:szCs w:val="20"/>
        </w:rPr>
        <w:t>Baseline conditions (without GEF project):</w:t>
      </w:r>
    </w:p>
    <w:p w14:paraId="427887D0" w14:textId="767D3E1B" w:rsidR="0078618C" w:rsidRPr="005722A6" w:rsidRDefault="004D73DB" w:rsidP="0057218D">
      <w:pPr>
        <w:spacing w:after="180"/>
        <w:rPr>
          <w:rFonts w:asciiTheme="majorHAnsi" w:hAnsiTheme="majorHAnsi"/>
          <w:sz w:val="20"/>
          <w:szCs w:val="20"/>
        </w:rPr>
      </w:pPr>
      <w:r w:rsidRPr="005722A6">
        <w:rPr>
          <w:rFonts w:asciiTheme="majorHAnsi" w:hAnsiTheme="majorHAnsi"/>
          <w:sz w:val="20"/>
          <w:szCs w:val="20"/>
        </w:rPr>
        <w:t>The</w:t>
      </w:r>
      <w:r w:rsidR="0057218D" w:rsidRPr="005722A6">
        <w:rPr>
          <w:rFonts w:asciiTheme="majorHAnsi" w:hAnsiTheme="majorHAnsi"/>
          <w:sz w:val="20"/>
          <w:szCs w:val="20"/>
        </w:rPr>
        <w:t xml:space="preserve"> </w:t>
      </w:r>
      <w:r w:rsidR="00721529" w:rsidRPr="00721529">
        <w:rPr>
          <w:rFonts w:asciiTheme="majorHAnsi" w:hAnsiTheme="majorHAnsi"/>
          <w:sz w:val="20"/>
          <w:szCs w:val="20"/>
        </w:rPr>
        <w:t>National Environment Protection Council</w:t>
      </w:r>
      <w:r w:rsidR="00721529" w:rsidRPr="005722A6">
        <w:rPr>
          <w:rFonts w:asciiTheme="majorHAnsi" w:hAnsiTheme="majorHAnsi"/>
          <w:sz w:val="20"/>
          <w:szCs w:val="20"/>
        </w:rPr>
        <w:t xml:space="preserve"> </w:t>
      </w:r>
      <w:r w:rsidR="00721529">
        <w:rPr>
          <w:rFonts w:asciiTheme="majorHAnsi" w:hAnsiTheme="majorHAnsi"/>
          <w:sz w:val="20"/>
          <w:szCs w:val="20"/>
        </w:rPr>
        <w:t>(</w:t>
      </w:r>
      <w:r w:rsidR="0057218D" w:rsidRPr="005722A6">
        <w:rPr>
          <w:rFonts w:asciiTheme="majorHAnsi" w:hAnsiTheme="majorHAnsi"/>
          <w:sz w:val="20"/>
          <w:szCs w:val="20"/>
        </w:rPr>
        <w:t>NEPC</w:t>
      </w:r>
      <w:r w:rsidR="00721529">
        <w:rPr>
          <w:rFonts w:asciiTheme="majorHAnsi" w:hAnsiTheme="majorHAnsi"/>
          <w:sz w:val="20"/>
          <w:szCs w:val="20"/>
        </w:rPr>
        <w:t>)</w:t>
      </w:r>
      <w:r w:rsidRPr="005722A6">
        <w:rPr>
          <w:rFonts w:asciiTheme="majorHAnsi" w:hAnsiTheme="majorHAnsi"/>
          <w:sz w:val="20"/>
          <w:szCs w:val="20"/>
        </w:rPr>
        <w:t xml:space="preserve">, </w:t>
      </w:r>
      <w:r w:rsidR="0057218D" w:rsidRPr="005722A6">
        <w:rPr>
          <w:rFonts w:asciiTheme="majorHAnsi" w:hAnsiTheme="majorHAnsi"/>
          <w:sz w:val="20"/>
          <w:szCs w:val="20"/>
        </w:rPr>
        <w:t>a</w:t>
      </w:r>
      <w:r w:rsidR="008F69A1" w:rsidRPr="005722A6">
        <w:rPr>
          <w:rFonts w:asciiTheme="majorHAnsi" w:hAnsiTheme="majorHAnsi"/>
          <w:sz w:val="20"/>
          <w:szCs w:val="20"/>
        </w:rPr>
        <w:t>n</w:t>
      </w:r>
      <w:r w:rsidR="0057218D" w:rsidRPr="005722A6">
        <w:rPr>
          <w:rFonts w:asciiTheme="majorHAnsi" w:hAnsiTheme="majorHAnsi"/>
          <w:sz w:val="20"/>
          <w:szCs w:val="20"/>
        </w:rPr>
        <w:t xml:space="preserve"> </w:t>
      </w:r>
      <w:r w:rsidR="008F69A1" w:rsidRPr="005722A6">
        <w:rPr>
          <w:rFonts w:asciiTheme="majorHAnsi" w:hAnsiTheme="majorHAnsi"/>
          <w:sz w:val="20"/>
          <w:szCs w:val="20"/>
        </w:rPr>
        <w:t xml:space="preserve">existing </w:t>
      </w:r>
      <w:r w:rsidR="0057218D" w:rsidRPr="005722A6">
        <w:rPr>
          <w:rFonts w:asciiTheme="majorHAnsi" w:hAnsiTheme="majorHAnsi"/>
          <w:sz w:val="20"/>
          <w:szCs w:val="20"/>
        </w:rPr>
        <w:t xml:space="preserve">multi-agency </w:t>
      </w:r>
      <w:r w:rsidR="00721529">
        <w:rPr>
          <w:rFonts w:asciiTheme="majorHAnsi" w:hAnsiTheme="majorHAnsi"/>
          <w:sz w:val="20"/>
          <w:szCs w:val="20"/>
        </w:rPr>
        <w:t>n</w:t>
      </w:r>
      <w:r w:rsidR="007A6EFB" w:rsidRPr="005722A6">
        <w:rPr>
          <w:rFonts w:asciiTheme="majorHAnsi" w:hAnsiTheme="majorHAnsi"/>
          <w:sz w:val="20"/>
          <w:szCs w:val="20"/>
        </w:rPr>
        <w:t xml:space="preserve">ational government </w:t>
      </w:r>
      <w:r w:rsidR="0057218D" w:rsidRPr="005722A6">
        <w:rPr>
          <w:rFonts w:asciiTheme="majorHAnsi" w:hAnsiTheme="majorHAnsi"/>
          <w:sz w:val="20"/>
          <w:szCs w:val="20"/>
        </w:rPr>
        <w:t xml:space="preserve">body with coordination responsibilities </w:t>
      </w:r>
      <w:r w:rsidR="008F69A1" w:rsidRPr="005722A6">
        <w:rPr>
          <w:rFonts w:asciiTheme="majorHAnsi" w:hAnsiTheme="majorHAnsi"/>
          <w:sz w:val="20"/>
          <w:szCs w:val="20"/>
        </w:rPr>
        <w:t>(</w:t>
      </w:r>
      <w:r w:rsidR="0057218D" w:rsidRPr="005722A6">
        <w:rPr>
          <w:rFonts w:asciiTheme="majorHAnsi" w:hAnsiTheme="majorHAnsi"/>
          <w:sz w:val="20"/>
          <w:szCs w:val="20"/>
        </w:rPr>
        <w:t xml:space="preserve">including the integration of </w:t>
      </w:r>
      <w:r w:rsidR="00A861D3" w:rsidRPr="005722A6">
        <w:rPr>
          <w:rFonts w:asciiTheme="majorHAnsi" w:hAnsiTheme="majorHAnsi"/>
          <w:sz w:val="20"/>
          <w:szCs w:val="20"/>
        </w:rPr>
        <w:t xml:space="preserve">environmental </w:t>
      </w:r>
      <w:r w:rsidR="0057218D" w:rsidRPr="005722A6">
        <w:rPr>
          <w:rFonts w:asciiTheme="majorHAnsi" w:hAnsiTheme="majorHAnsi"/>
          <w:sz w:val="20"/>
          <w:szCs w:val="20"/>
        </w:rPr>
        <w:t>priorities into national planning processes</w:t>
      </w:r>
      <w:r w:rsidRPr="005722A6">
        <w:rPr>
          <w:rFonts w:asciiTheme="majorHAnsi" w:hAnsiTheme="majorHAnsi"/>
          <w:sz w:val="20"/>
          <w:szCs w:val="20"/>
        </w:rPr>
        <w:t xml:space="preserve"> as well as serving as </w:t>
      </w:r>
      <w:r w:rsidR="0057218D" w:rsidRPr="005722A6">
        <w:rPr>
          <w:rFonts w:asciiTheme="majorHAnsi" w:hAnsiTheme="majorHAnsi"/>
          <w:sz w:val="20"/>
          <w:szCs w:val="20"/>
        </w:rPr>
        <w:t xml:space="preserve">the national steering committee for </w:t>
      </w:r>
      <w:r w:rsidR="00A861D3" w:rsidRPr="005722A6">
        <w:rPr>
          <w:rFonts w:asciiTheme="majorHAnsi" w:hAnsiTheme="majorHAnsi"/>
          <w:sz w:val="20"/>
          <w:szCs w:val="20"/>
        </w:rPr>
        <w:t>international</w:t>
      </w:r>
      <w:r w:rsidR="0057218D" w:rsidRPr="005722A6">
        <w:rPr>
          <w:rFonts w:asciiTheme="majorHAnsi" w:hAnsiTheme="majorHAnsi"/>
          <w:sz w:val="20"/>
          <w:szCs w:val="20"/>
        </w:rPr>
        <w:t xml:space="preserve"> environment and sustainable development initiatives</w:t>
      </w:r>
      <w:r w:rsidR="007A6EFB" w:rsidRPr="005722A6">
        <w:rPr>
          <w:rFonts w:asciiTheme="majorHAnsi" w:hAnsiTheme="majorHAnsi"/>
          <w:sz w:val="20"/>
          <w:szCs w:val="20"/>
        </w:rPr>
        <w:t>)</w:t>
      </w:r>
      <w:r w:rsidR="00721529">
        <w:rPr>
          <w:rFonts w:asciiTheme="majorHAnsi" w:hAnsiTheme="majorHAnsi"/>
          <w:sz w:val="20"/>
          <w:szCs w:val="20"/>
        </w:rPr>
        <w:t>,</w:t>
      </w:r>
      <w:r w:rsidR="0057218D" w:rsidRPr="005722A6">
        <w:rPr>
          <w:rFonts w:asciiTheme="majorHAnsi" w:hAnsiTheme="majorHAnsi"/>
          <w:sz w:val="20"/>
          <w:szCs w:val="20"/>
        </w:rPr>
        <w:t xml:space="preserve"> </w:t>
      </w:r>
      <w:r w:rsidRPr="005722A6">
        <w:rPr>
          <w:rFonts w:asciiTheme="majorHAnsi" w:hAnsiTheme="majorHAnsi"/>
          <w:sz w:val="20"/>
          <w:szCs w:val="20"/>
        </w:rPr>
        <w:t>function</w:t>
      </w:r>
      <w:r w:rsidR="007A6EFB" w:rsidRPr="005722A6">
        <w:rPr>
          <w:rFonts w:asciiTheme="majorHAnsi" w:hAnsiTheme="majorHAnsi"/>
          <w:sz w:val="20"/>
          <w:szCs w:val="20"/>
        </w:rPr>
        <w:t>s</w:t>
      </w:r>
      <w:r w:rsidRPr="005722A6">
        <w:rPr>
          <w:rFonts w:asciiTheme="majorHAnsi" w:hAnsiTheme="majorHAnsi"/>
          <w:sz w:val="20"/>
          <w:szCs w:val="20"/>
        </w:rPr>
        <w:t xml:space="preserve"> at a basic level. </w:t>
      </w:r>
      <w:r w:rsidR="007A6EFB" w:rsidRPr="005722A6">
        <w:rPr>
          <w:rFonts w:asciiTheme="majorHAnsi" w:hAnsiTheme="majorHAnsi"/>
          <w:sz w:val="20"/>
          <w:szCs w:val="20"/>
        </w:rPr>
        <w:t xml:space="preserve">Without the GEF, the NEPC will not be </w:t>
      </w:r>
      <w:r w:rsidR="00515AAA" w:rsidRPr="005722A6">
        <w:rPr>
          <w:rFonts w:asciiTheme="majorHAnsi" w:hAnsiTheme="majorHAnsi"/>
          <w:sz w:val="20"/>
          <w:szCs w:val="20"/>
        </w:rPr>
        <w:t xml:space="preserve">able to </w:t>
      </w:r>
      <w:r w:rsidR="0057218D" w:rsidRPr="005722A6">
        <w:rPr>
          <w:rFonts w:asciiTheme="majorHAnsi" w:hAnsiTheme="majorHAnsi"/>
          <w:sz w:val="20"/>
          <w:szCs w:val="20"/>
        </w:rPr>
        <w:t>guarantee</w:t>
      </w:r>
      <w:r w:rsidR="00515AAA" w:rsidRPr="005722A6">
        <w:rPr>
          <w:rFonts w:asciiTheme="majorHAnsi" w:hAnsiTheme="majorHAnsi"/>
          <w:sz w:val="20"/>
          <w:szCs w:val="20"/>
        </w:rPr>
        <w:t>:</w:t>
      </w:r>
      <w:r w:rsidR="0057218D" w:rsidRPr="005722A6">
        <w:rPr>
          <w:rFonts w:asciiTheme="majorHAnsi" w:hAnsiTheme="majorHAnsi"/>
          <w:sz w:val="20"/>
          <w:szCs w:val="20"/>
        </w:rPr>
        <w:t xml:space="preserve"> (i) effective multi-level integration between states and the national government</w:t>
      </w:r>
      <w:r w:rsidR="007A6EFB" w:rsidRPr="005722A6">
        <w:rPr>
          <w:rFonts w:asciiTheme="majorHAnsi" w:hAnsiTheme="majorHAnsi"/>
          <w:sz w:val="20"/>
          <w:szCs w:val="20"/>
        </w:rPr>
        <w:t xml:space="preserve">, </w:t>
      </w:r>
      <w:r w:rsidR="0057218D" w:rsidRPr="005722A6">
        <w:rPr>
          <w:rFonts w:asciiTheme="majorHAnsi" w:hAnsiTheme="majorHAnsi"/>
          <w:sz w:val="20"/>
          <w:szCs w:val="20"/>
        </w:rPr>
        <w:t>(ii) effective consultation between different institutional levels</w:t>
      </w:r>
      <w:r w:rsidR="007A6EFB" w:rsidRPr="005722A6">
        <w:rPr>
          <w:rFonts w:asciiTheme="majorHAnsi" w:hAnsiTheme="majorHAnsi"/>
          <w:sz w:val="20"/>
          <w:szCs w:val="20"/>
        </w:rPr>
        <w:t xml:space="preserve"> and sectors, </w:t>
      </w:r>
      <w:r w:rsidR="00D91039" w:rsidRPr="005722A6">
        <w:rPr>
          <w:rFonts w:asciiTheme="majorHAnsi" w:hAnsiTheme="majorHAnsi"/>
          <w:sz w:val="20"/>
          <w:szCs w:val="20"/>
        </w:rPr>
        <w:t>n</w:t>
      </w:r>
      <w:r w:rsidR="007A6EFB" w:rsidRPr="005722A6">
        <w:rPr>
          <w:rFonts w:asciiTheme="majorHAnsi" w:hAnsiTheme="majorHAnsi"/>
          <w:sz w:val="20"/>
          <w:szCs w:val="20"/>
        </w:rPr>
        <w:t xml:space="preserve">or (iii) </w:t>
      </w:r>
      <w:r w:rsidR="008042FE" w:rsidRPr="005722A6">
        <w:rPr>
          <w:rFonts w:asciiTheme="majorHAnsi" w:hAnsiTheme="majorHAnsi"/>
          <w:sz w:val="20"/>
          <w:szCs w:val="20"/>
        </w:rPr>
        <w:t xml:space="preserve">an </w:t>
      </w:r>
      <w:r w:rsidR="007A6EFB" w:rsidRPr="005722A6">
        <w:rPr>
          <w:rFonts w:asciiTheme="majorHAnsi" w:hAnsiTheme="majorHAnsi"/>
          <w:sz w:val="20"/>
          <w:szCs w:val="20"/>
        </w:rPr>
        <w:t>expand</w:t>
      </w:r>
      <w:r w:rsidR="008042FE" w:rsidRPr="005722A6">
        <w:rPr>
          <w:rFonts w:asciiTheme="majorHAnsi" w:hAnsiTheme="majorHAnsi"/>
          <w:sz w:val="20"/>
          <w:szCs w:val="20"/>
        </w:rPr>
        <w:t>ed</w:t>
      </w:r>
      <w:r w:rsidR="007A6EFB" w:rsidRPr="005722A6">
        <w:rPr>
          <w:rFonts w:asciiTheme="majorHAnsi" w:hAnsiTheme="majorHAnsi"/>
          <w:sz w:val="20"/>
          <w:szCs w:val="20"/>
        </w:rPr>
        <w:t xml:space="preserve"> committee membership and procedures </w:t>
      </w:r>
      <w:r w:rsidR="000272A9" w:rsidRPr="005722A6">
        <w:rPr>
          <w:rFonts w:asciiTheme="majorHAnsi" w:hAnsiTheme="majorHAnsi"/>
          <w:sz w:val="20"/>
          <w:szCs w:val="20"/>
        </w:rPr>
        <w:t xml:space="preserve">to include state representation and </w:t>
      </w:r>
      <w:r w:rsidR="00ED2B2B">
        <w:rPr>
          <w:rFonts w:asciiTheme="majorHAnsi" w:hAnsiTheme="majorHAnsi"/>
          <w:sz w:val="20"/>
          <w:szCs w:val="20"/>
        </w:rPr>
        <w:t>availability of</w:t>
      </w:r>
      <w:r w:rsidR="000272A9" w:rsidRPr="005722A6">
        <w:rPr>
          <w:rFonts w:asciiTheme="majorHAnsi" w:hAnsiTheme="majorHAnsi"/>
          <w:sz w:val="20"/>
          <w:szCs w:val="20"/>
        </w:rPr>
        <w:t xml:space="preserve"> technical expertise to implement national policies. Without the GEF Project, Palau’s </w:t>
      </w:r>
      <w:r w:rsidR="0057218D" w:rsidRPr="005722A6">
        <w:rPr>
          <w:rFonts w:asciiTheme="majorHAnsi" w:hAnsiTheme="majorHAnsi"/>
          <w:sz w:val="20"/>
          <w:szCs w:val="20"/>
        </w:rPr>
        <w:t xml:space="preserve">institutional framework </w:t>
      </w:r>
      <w:r w:rsidR="008E3D4B" w:rsidRPr="005722A6">
        <w:rPr>
          <w:rFonts w:asciiTheme="majorHAnsi" w:hAnsiTheme="majorHAnsi"/>
          <w:sz w:val="20"/>
          <w:szCs w:val="20"/>
        </w:rPr>
        <w:t xml:space="preserve">will continue to have </w:t>
      </w:r>
      <w:r w:rsidR="00515AAA" w:rsidRPr="005722A6">
        <w:rPr>
          <w:rFonts w:asciiTheme="majorHAnsi" w:hAnsiTheme="majorHAnsi"/>
          <w:sz w:val="20"/>
          <w:szCs w:val="20"/>
        </w:rPr>
        <w:t>a</w:t>
      </w:r>
      <w:r w:rsidR="0057218D" w:rsidRPr="005722A6">
        <w:rPr>
          <w:rFonts w:asciiTheme="majorHAnsi" w:hAnsiTheme="majorHAnsi"/>
          <w:sz w:val="20"/>
          <w:szCs w:val="20"/>
        </w:rPr>
        <w:t xml:space="preserve"> significant divi</w:t>
      </w:r>
      <w:r w:rsidR="00ED2B2B">
        <w:rPr>
          <w:rFonts w:asciiTheme="majorHAnsi" w:hAnsiTheme="majorHAnsi"/>
          <w:sz w:val="20"/>
          <w:szCs w:val="20"/>
        </w:rPr>
        <w:t>de</w:t>
      </w:r>
      <w:r w:rsidR="0057218D" w:rsidRPr="005722A6">
        <w:rPr>
          <w:rFonts w:asciiTheme="majorHAnsi" w:hAnsiTheme="majorHAnsi"/>
          <w:sz w:val="20"/>
          <w:szCs w:val="20"/>
        </w:rPr>
        <w:t xml:space="preserve"> between states</w:t>
      </w:r>
      <w:r w:rsidR="0078618C" w:rsidRPr="005722A6">
        <w:rPr>
          <w:rFonts w:asciiTheme="majorHAnsi" w:hAnsiTheme="majorHAnsi"/>
          <w:sz w:val="20"/>
          <w:szCs w:val="20"/>
        </w:rPr>
        <w:t xml:space="preserve"> (resource owners)</w:t>
      </w:r>
      <w:r w:rsidR="0057218D" w:rsidRPr="005722A6">
        <w:rPr>
          <w:rFonts w:asciiTheme="majorHAnsi" w:hAnsiTheme="majorHAnsi"/>
          <w:sz w:val="20"/>
          <w:szCs w:val="20"/>
        </w:rPr>
        <w:t xml:space="preserve"> and national institutions</w:t>
      </w:r>
      <w:r w:rsidR="0078618C" w:rsidRPr="005722A6">
        <w:rPr>
          <w:rFonts w:asciiTheme="majorHAnsi" w:hAnsiTheme="majorHAnsi"/>
          <w:sz w:val="20"/>
          <w:szCs w:val="20"/>
        </w:rPr>
        <w:t xml:space="preserve"> (including the national government, non-profit organizations and the private sector, the latter comprising the resource developers)</w:t>
      </w:r>
      <w:r w:rsidR="0057218D" w:rsidRPr="005722A6">
        <w:rPr>
          <w:rFonts w:asciiTheme="majorHAnsi" w:hAnsiTheme="majorHAnsi"/>
          <w:sz w:val="20"/>
          <w:szCs w:val="20"/>
        </w:rPr>
        <w:t xml:space="preserve">, </w:t>
      </w:r>
      <w:r w:rsidR="008E3D4B" w:rsidRPr="005722A6">
        <w:rPr>
          <w:rFonts w:asciiTheme="majorHAnsi" w:hAnsiTheme="majorHAnsi"/>
          <w:sz w:val="20"/>
          <w:szCs w:val="20"/>
        </w:rPr>
        <w:t xml:space="preserve">resulting in a </w:t>
      </w:r>
      <w:r w:rsidR="0057218D" w:rsidRPr="005722A6">
        <w:rPr>
          <w:rFonts w:asciiTheme="majorHAnsi" w:hAnsiTheme="majorHAnsi"/>
          <w:sz w:val="20"/>
          <w:szCs w:val="20"/>
        </w:rPr>
        <w:t xml:space="preserve">significant lack </w:t>
      </w:r>
      <w:r w:rsidR="00ED2B2B">
        <w:rPr>
          <w:rFonts w:asciiTheme="majorHAnsi" w:hAnsiTheme="majorHAnsi"/>
          <w:sz w:val="20"/>
          <w:szCs w:val="20"/>
        </w:rPr>
        <w:t>of</w:t>
      </w:r>
      <w:r w:rsidR="0057218D" w:rsidRPr="005722A6">
        <w:rPr>
          <w:rFonts w:asciiTheme="majorHAnsi" w:hAnsiTheme="majorHAnsi"/>
          <w:sz w:val="20"/>
          <w:szCs w:val="20"/>
        </w:rPr>
        <w:t xml:space="preserve"> co-planning and co-management of natural </w:t>
      </w:r>
      <w:r w:rsidR="0057218D" w:rsidRPr="005722A6">
        <w:rPr>
          <w:rFonts w:asciiTheme="majorHAnsi" w:hAnsiTheme="majorHAnsi"/>
          <w:sz w:val="20"/>
          <w:szCs w:val="20"/>
        </w:rPr>
        <w:lastRenderedPageBreak/>
        <w:t>resources</w:t>
      </w:r>
      <w:r w:rsidR="00194AA1">
        <w:rPr>
          <w:rFonts w:asciiTheme="majorHAnsi" w:hAnsiTheme="majorHAnsi"/>
          <w:sz w:val="20"/>
          <w:szCs w:val="20"/>
        </w:rPr>
        <w:t xml:space="preserve">. </w:t>
      </w:r>
      <w:r w:rsidR="000272A9" w:rsidRPr="005722A6">
        <w:rPr>
          <w:rFonts w:asciiTheme="majorHAnsi" w:hAnsiTheme="majorHAnsi"/>
          <w:sz w:val="20"/>
          <w:szCs w:val="20"/>
        </w:rPr>
        <w:t>Currently</w:t>
      </w:r>
      <w:r w:rsidR="00ED2B2B">
        <w:rPr>
          <w:rFonts w:asciiTheme="majorHAnsi" w:hAnsiTheme="majorHAnsi"/>
          <w:sz w:val="20"/>
          <w:szCs w:val="20"/>
        </w:rPr>
        <w:t>,</w:t>
      </w:r>
      <w:r w:rsidR="000272A9" w:rsidRPr="005722A6">
        <w:rPr>
          <w:rFonts w:asciiTheme="majorHAnsi" w:hAnsiTheme="majorHAnsi"/>
          <w:sz w:val="20"/>
          <w:szCs w:val="20"/>
        </w:rPr>
        <w:t xml:space="preserve"> most</w:t>
      </w:r>
      <w:r w:rsidR="0078618C" w:rsidRPr="005722A6">
        <w:rPr>
          <w:rFonts w:asciiTheme="majorHAnsi" w:hAnsiTheme="majorHAnsi"/>
          <w:sz w:val="20"/>
          <w:szCs w:val="20"/>
        </w:rPr>
        <w:t xml:space="preserve"> relationships between resource owners and resource developers are weak, informal or temporary, despite the fact that there are numerous groups and processes in place to facilitate joint planning and implementation to achieve biodiversity goals.</w:t>
      </w:r>
      <w:r w:rsidR="008042FE" w:rsidRPr="005722A6">
        <w:rPr>
          <w:rFonts w:asciiTheme="majorHAnsi" w:hAnsiTheme="majorHAnsi"/>
          <w:sz w:val="20"/>
          <w:szCs w:val="20"/>
        </w:rPr>
        <w:t xml:space="preserve"> </w:t>
      </w:r>
      <w:r w:rsidR="000272A9" w:rsidRPr="005722A6">
        <w:rPr>
          <w:rFonts w:asciiTheme="majorHAnsi" w:hAnsiTheme="majorHAnsi"/>
          <w:sz w:val="20"/>
          <w:szCs w:val="20"/>
        </w:rPr>
        <w:t xml:space="preserve">Those </w:t>
      </w:r>
      <w:r w:rsidR="0078618C" w:rsidRPr="005722A6">
        <w:rPr>
          <w:rFonts w:asciiTheme="majorHAnsi" w:hAnsiTheme="majorHAnsi"/>
          <w:sz w:val="20"/>
          <w:szCs w:val="20"/>
        </w:rPr>
        <w:t xml:space="preserve">states that have planning committees will continue to act independently and with </w:t>
      </w:r>
      <w:r w:rsidR="00ED2B2B">
        <w:rPr>
          <w:rFonts w:asciiTheme="majorHAnsi" w:hAnsiTheme="majorHAnsi"/>
          <w:sz w:val="20"/>
          <w:szCs w:val="20"/>
        </w:rPr>
        <w:t xml:space="preserve">varying </w:t>
      </w:r>
      <w:r w:rsidR="000272A9" w:rsidRPr="005722A6">
        <w:rPr>
          <w:rFonts w:asciiTheme="majorHAnsi" w:hAnsiTheme="majorHAnsi"/>
          <w:sz w:val="20"/>
          <w:szCs w:val="20"/>
        </w:rPr>
        <w:t>consideration of national biodiversity policies</w:t>
      </w:r>
      <w:r w:rsidR="0078618C" w:rsidRPr="005722A6">
        <w:rPr>
          <w:rFonts w:asciiTheme="majorHAnsi" w:hAnsiTheme="majorHAnsi"/>
          <w:sz w:val="20"/>
          <w:szCs w:val="20"/>
        </w:rPr>
        <w:t>. The implementation of laws and regulations will remain uncoordinated in terms of the individual state</w:t>
      </w:r>
      <w:r w:rsidR="000272A9" w:rsidRPr="005722A6">
        <w:rPr>
          <w:rFonts w:asciiTheme="majorHAnsi" w:hAnsiTheme="majorHAnsi"/>
          <w:sz w:val="20"/>
          <w:szCs w:val="20"/>
        </w:rPr>
        <w:t>’</w:t>
      </w:r>
      <w:r w:rsidR="0078618C" w:rsidRPr="005722A6">
        <w:rPr>
          <w:rFonts w:asciiTheme="majorHAnsi" w:hAnsiTheme="majorHAnsi"/>
          <w:sz w:val="20"/>
          <w:szCs w:val="20"/>
        </w:rPr>
        <w:t xml:space="preserve">s interpretations. States’ planning policies </w:t>
      </w:r>
      <w:r w:rsidR="000272A9" w:rsidRPr="005722A6">
        <w:rPr>
          <w:rFonts w:asciiTheme="majorHAnsi" w:hAnsiTheme="majorHAnsi"/>
          <w:sz w:val="20"/>
          <w:szCs w:val="20"/>
        </w:rPr>
        <w:t xml:space="preserve">may </w:t>
      </w:r>
      <w:r w:rsidR="0078618C" w:rsidRPr="005722A6">
        <w:rPr>
          <w:rFonts w:asciiTheme="majorHAnsi" w:hAnsiTheme="majorHAnsi"/>
          <w:sz w:val="20"/>
          <w:szCs w:val="20"/>
        </w:rPr>
        <w:t xml:space="preserve">not address issues at land/seascape level </w:t>
      </w:r>
      <w:r w:rsidR="00D91039" w:rsidRPr="005722A6">
        <w:rPr>
          <w:rFonts w:asciiTheme="majorHAnsi" w:hAnsiTheme="majorHAnsi"/>
          <w:sz w:val="20"/>
          <w:szCs w:val="20"/>
        </w:rPr>
        <w:t>n</w:t>
      </w:r>
      <w:r w:rsidR="000272A9" w:rsidRPr="005722A6">
        <w:rPr>
          <w:rFonts w:asciiTheme="majorHAnsi" w:hAnsiTheme="majorHAnsi"/>
          <w:sz w:val="20"/>
          <w:szCs w:val="20"/>
        </w:rPr>
        <w:t>or</w:t>
      </w:r>
      <w:r w:rsidR="0078618C" w:rsidRPr="005722A6">
        <w:rPr>
          <w:rFonts w:asciiTheme="majorHAnsi" w:hAnsiTheme="majorHAnsi"/>
          <w:sz w:val="20"/>
          <w:szCs w:val="20"/>
        </w:rPr>
        <w:t xml:space="preserve"> </w:t>
      </w:r>
      <w:r w:rsidR="000272A9" w:rsidRPr="005722A6">
        <w:rPr>
          <w:rFonts w:asciiTheme="majorHAnsi" w:hAnsiTheme="majorHAnsi"/>
          <w:sz w:val="20"/>
          <w:szCs w:val="20"/>
        </w:rPr>
        <w:t xml:space="preserve">fully </w:t>
      </w:r>
      <w:r w:rsidR="0078618C" w:rsidRPr="005722A6">
        <w:rPr>
          <w:rFonts w:asciiTheme="majorHAnsi" w:hAnsiTheme="majorHAnsi"/>
          <w:sz w:val="20"/>
          <w:szCs w:val="20"/>
        </w:rPr>
        <w:t xml:space="preserve">integrate biodiversity into development. </w:t>
      </w:r>
      <w:r w:rsidR="000272A9" w:rsidRPr="005722A6">
        <w:rPr>
          <w:rFonts w:asciiTheme="majorHAnsi" w:hAnsiTheme="majorHAnsi"/>
          <w:sz w:val="20"/>
          <w:szCs w:val="20"/>
        </w:rPr>
        <w:t xml:space="preserve">Development in States will </w:t>
      </w:r>
      <w:r w:rsidR="001B0689" w:rsidRPr="005722A6">
        <w:rPr>
          <w:rFonts w:asciiTheme="majorHAnsi" w:hAnsiTheme="majorHAnsi"/>
          <w:sz w:val="20"/>
          <w:szCs w:val="20"/>
        </w:rPr>
        <w:t xml:space="preserve">largely </w:t>
      </w:r>
      <w:r w:rsidR="000272A9" w:rsidRPr="005722A6">
        <w:rPr>
          <w:rFonts w:asciiTheme="majorHAnsi" w:hAnsiTheme="majorHAnsi"/>
          <w:sz w:val="20"/>
          <w:szCs w:val="20"/>
        </w:rPr>
        <w:t xml:space="preserve">be dominated by </w:t>
      </w:r>
      <w:r w:rsidR="0078618C" w:rsidRPr="005722A6">
        <w:rPr>
          <w:rFonts w:asciiTheme="majorHAnsi" w:hAnsiTheme="majorHAnsi"/>
          <w:sz w:val="20"/>
          <w:szCs w:val="20"/>
        </w:rPr>
        <w:t>single interventions</w:t>
      </w:r>
      <w:r w:rsidR="000272A9" w:rsidRPr="005722A6">
        <w:rPr>
          <w:rFonts w:asciiTheme="majorHAnsi" w:hAnsiTheme="majorHAnsi"/>
          <w:sz w:val="20"/>
          <w:szCs w:val="20"/>
        </w:rPr>
        <w:t xml:space="preserve"> </w:t>
      </w:r>
      <w:r w:rsidR="00ED2B2B">
        <w:rPr>
          <w:rFonts w:asciiTheme="majorHAnsi" w:hAnsiTheme="majorHAnsi"/>
          <w:sz w:val="20"/>
          <w:szCs w:val="20"/>
        </w:rPr>
        <w:t xml:space="preserve">isolated from any </w:t>
      </w:r>
      <w:r w:rsidR="0078618C" w:rsidRPr="005722A6">
        <w:rPr>
          <w:rFonts w:asciiTheme="majorHAnsi" w:hAnsiTheme="majorHAnsi"/>
          <w:sz w:val="20"/>
          <w:szCs w:val="20"/>
        </w:rPr>
        <w:t xml:space="preserve">holistic vision and </w:t>
      </w:r>
      <w:r w:rsidR="00ED2B2B">
        <w:rPr>
          <w:rFonts w:asciiTheme="majorHAnsi" w:hAnsiTheme="majorHAnsi"/>
          <w:sz w:val="20"/>
          <w:szCs w:val="20"/>
        </w:rPr>
        <w:t xml:space="preserve">synergistic </w:t>
      </w:r>
      <w:r w:rsidR="0078618C" w:rsidRPr="005722A6">
        <w:rPr>
          <w:rFonts w:asciiTheme="majorHAnsi" w:hAnsiTheme="majorHAnsi"/>
          <w:sz w:val="20"/>
          <w:szCs w:val="20"/>
        </w:rPr>
        <w:t xml:space="preserve">approach. </w:t>
      </w:r>
    </w:p>
    <w:p w14:paraId="05EE6898" w14:textId="0058FEC6" w:rsidR="00591574" w:rsidRPr="005722A6" w:rsidRDefault="000272A9" w:rsidP="0044110C">
      <w:pPr>
        <w:spacing w:after="180"/>
        <w:rPr>
          <w:rFonts w:asciiTheme="majorHAnsi" w:hAnsiTheme="majorHAnsi"/>
          <w:sz w:val="20"/>
          <w:szCs w:val="20"/>
        </w:rPr>
      </w:pPr>
      <w:r w:rsidRPr="005722A6">
        <w:rPr>
          <w:rFonts w:asciiTheme="majorHAnsi" w:hAnsiTheme="majorHAnsi"/>
          <w:sz w:val="20"/>
          <w:szCs w:val="20"/>
        </w:rPr>
        <w:t>B</w:t>
      </w:r>
      <w:r w:rsidR="00591574" w:rsidRPr="005722A6">
        <w:rPr>
          <w:rFonts w:asciiTheme="majorHAnsi" w:hAnsiTheme="majorHAnsi"/>
          <w:sz w:val="20"/>
          <w:szCs w:val="20"/>
        </w:rPr>
        <w:t xml:space="preserve">iosecurity and IAS </w:t>
      </w:r>
      <w:r w:rsidRPr="005722A6">
        <w:rPr>
          <w:rFonts w:asciiTheme="majorHAnsi" w:hAnsiTheme="majorHAnsi"/>
          <w:sz w:val="20"/>
          <w:szCs w:val="20"/>
        </w:rPr>
        <w:t>coordination will</w:t>
      </w:r>
      <w:r w:rsidR="00591574" w:rsidRPr="005722A6">
        <w:rPr>
          <w:rFonts w:asciiTheme="majorHAnsi" w:hAnsiTheme="majorHAnsi"/>
          <w:sz w:val="20"/>
          <w:szCs w:val="20"/>
        </w:rPr>
        <w:t xml:space="preserve"> progress minimally towards achieving desired goals. </w:t>
      </w:r>
      <w:r w:rsidRPr="005722A6">
        <w:rPr>
          <w:rFonts w:asciiTheme="majorHAnsi" w:hAnsiTheme="majorHAnsi"/>
          <w:sz w:val="20"/>
          <w:szCs w:val="20"/>
        </w:rPr>
        <w:t>A</w:t>
      </w:r>
      <w:r w:rsidR="00591574" w:rsidRPr="005722A6">
        <w:rPr>
          <w:rFonts w:asciiTheme="majorHAnsi" w:hAnsiTheme="majorHAnsi"/>
          <w:sz w:val="20"/>
          <w:szCs w:val="20"/>
        </w:rPr>
        <w:t xml:space="preserve"> functional system </w:t>
      </w:r>
      <w:r w:rsidR="00866185" w:rsidRPr="005722A6">
        <w:rPr>
          <w:rFonts w:asciiTheme="majorHAnsi" w:hAnsiTheme="majorHAnsi"/>
          <w:sz w:val="20"/>
          <w:szCs w:val="20"/>
        </w:rPr>
        <w:t xml:space="preserve">will </w:t>
      </w:r>
      <w:r w:rsidR="00591574" w:rsidRPr="005722A6">
        <w:rPr>
          <w:rFonts w:asciiTheme="majorHAnsi" w:hAnsiTheme="majorHAnsi"/>
          <w:sz w:val="20"/>
          <w:szCs w:val="20"/>
        </w:rPr>
        <w:t xml:space="preserve">exist that </w:t>
      </w:r>
      <w:r w:rsidR="00331E19" w:rsidRPr="005722A6">
        <w:rPr>
          <w:rFonts w:asciiTheme="majorHAnsi" w:hAnsiTheme="majorHAnsi"/>
          <w:sz w:val="20"/>
          <w:szCs w:val="20"/>
        </w:rPr>
        <w:t>will</w:t>
      </w:r>
      <w:r w:rsidR="00591574" w:rsidRPr="005722A6">
        <w:rPr>
          <w:rFonts w:asciiTheme="majorHAnsi" w:hAnsiTheme="majorHAnsi"/>
          <w:sz w:val="20"/>
          <w:szCs w:val="20"/>
        </w:rPr>
        <w:t xml:space="preserve"> focus in large part on preventing import of known pests and stopping terrestrial organisms from infiltrating borders at the international sea and air ports</w:t>
      </w:r>
      <w:r w:rsidR="00194AA1">
        <w:rPr>
          <w:rFonts w:asciiTheme="majorHAnsi" w:hAnsiTheme="majorHAnsi"/>
          <w:sz w:val="20"/>
          <w:szCs w:val="20"/>
        </w:rPr>
        <w:t xml:space="preserve">. </w:t>
      </w:r>
      <w:r w:rsidR="00591574" w:rsidRPr="005722A6">
        <w:rPr>
          <w:rFonts w:asciiTheme="majorHAnsi" w:hAnsiTheme="majorHAnsi"/>
          <w:sz w:val="20"/>
          <w:szCs w:val="20"/>
        </w:rPr>
        <w:t xml:space="preserve">The system is currently resourced to address basic needs in regards to terrestrial concerns coming from within Micronesia </w:t>
      </w:r>
      <w:r w:rsidR="00ED2B2B">
        <w:rPr>
          <w:rFonts w:asciiTheme="majorHAnsi" w:hAnsiTheme="majorHAnsi"/>
          <w:sz w:val="20"/>
          <w:szCs w:val="20"/>
        </w:rPr>
        <w:t>that</w:t>
      </w:r>
      <w:r w:rsidR="00591574" w:rsidRPr="005722A6">
        <w:rPr>
          <w:rFonts w:asciiTheme="majorHAnsi" w:hAnsiTheme="majorHAnsi"/>
          <w:sz w:val="20"/>
          <w:szCs w:val="20"/>
        </w:rPr>
        <w:t xml:space="preserve"> in part </w:t>
      </w:r>
      <w:r w:rsidR="00ED2B2B">
        <w:rPr>
          <w:rFonts w:asciiTheme="majorHAnsi" w:hAnsiTheme="majorHAnsi"/>
          <w:sz w:val="20"/>
          <w:szCs w:val="20"/>
        </w:rPr>
        <w:t>are</w:t>
      </w:r>
      <w:r w:rsidR="00591574" w:rsidRPr="005722A6">
        <w:rPr>
          <w:rFonts w:asciiTheme="majorHAnsi" w:hAnsiTheme="majorHAnsi"/>
          <w:sz w:val="20"/>
          <w:szCs w:val="20"/>
        </w:rPr>
        <w:t xml:space="preserve"> reliant on pre-departure biosecurity elements in place on the island of Guam</w:t>
      </w:r>
      <w:r w:rsidR="00194AA1">
        <w:rPr>
          <w:rFonts w:asciiTheme="majorHAnsi" w:hAnsiTheme="majorHAnsi"/>
          <w:sz w:val="20"/>
          <w:szCs w:val="20"/>
        </w:rPr>
        <w:t xml:space="preserve">. </w:t>
      </w:r>
      <w:r w:rsidR="00591574" w:rsidRPr="005722A6">
        <w:rPr>
          <w:rFonts w:asciiTheme="majorHAnsi" w:hAnsiTheme="majorHAnsi"/>
          <w:sz w:val="20"/>
          <w:szCs w:val="20"/>
        </w:rPr>
        <w:t>The current syst</w:t>
      </w:r>
      <w:r w:rsidR="0044110C" w:rsidRPr="005722A6">
        <w:rPr>
          <w:rFonts w:asciiTheme="majorHAnsi" w:hAnsiTheme="majorHAnsi"/>
          <w:sz w:val="20"/>
          <w:szCs w:val="20"/>
        </w:rPr>
        <w:t>em is inadequate given the ever-</w:t>
      </w:r>
      <w:r w:rsidR="00591574" w:rsidRPr="005722A6">
        <w:rPr>
          <w:rFonts w:asciiTheme="majorHAnsi" w:hAnsiTheme="majorHAnsi"/>
          <w:sz w:val="20"/>
          <w:szCs w:val="20"/>
        </w:rPr>
        <w:t>expanding direct linkages with nations beyond Micronesia.</w:t>
      </w:r>
      <w:r w:rsidR="00866185" w:rsidRPr="005722A6">
        <w:rPr>
          <w:rFonts w:asciiTheme="majorHAnsi" w:hAnsiTheme="majorHAnsi"/>
          <w:sz w:val="20"/>
          <w:szCs w:val="20"/>
        </w:rPr>
        <w:t xml:space="preserve"> Without the GEF project’s focus on </w:t>
      </w:r>
      <w:r w:rsidR="00591574" w:rsidRPr="005722A6">
        <w:rPr>
          <w:rFonts w:asciiTheme="majorHAnsi" w:hAnsiTheme="majorHAnsi"/>
          <w:sz w:val="20"/>
          <w:szCs w:val="20"/>
        </w:rPr>
        <w:t>marine biosecurity</w:t>
      </w:r>
      <w:r w:rsidR="00866185" w:rsidRPr="005722A6">
        <w:rPr>
          <w:rFonts w:asciiTheme="majorHAnsi" w:hAnsiTheme="majorHAnsi"/>
          <w:sz w:val="20"/>
          <w:szCs w:val="20"/>
        </w:rPr>
        <w:t xml:space="preserve">, there will be little development of </w:t>
      </w:r>
      <w:r w:rsidR="00591574" w:rsidRPr="005722A6">
        <w:rPr>
          <w:rFonts w:asciiTheme="majorHAnsi" w:hAnsiTheme="majorHAnsi"/>
          <w:sz w:val="20"/>
          <w:szCs w:val="20"/>
        </w:rPr>
        <w:t xml:space="preserve">interstate or inter-island </w:t>
      </w:r>
      <w:r w:rsidR="00A31823" w:rsidRPr="005722A6">
        <w:rPr>
          <w:rFonts w:asciiTheme="majorHAnsi" w:hAnsiTheme="majorHAnsi"/>
          <w:sz w:val="20"/>
          <w:szCs w:val="20"/>
        </w:rPr>
        <w:t xml:space="preserve">(domestic) </w:t>
      </w:r>
      <w:r w:rsidR="00591574" w:rsidRPr="005722A6">
        <w:rPr>
          <w:rFonts w:asciiTheme="majorHAnsi" w:hAnsiTheme="majorHAnsi"/>
          <w:sz w:val="20"/>
          <w:szCs w:val="20"/>
        </w:rPr>
        <w:t xml:space="preserve">biosecurity. There </w:t>
      </w:r>
      <w:r w:rsidR="00BB0552" w:rsidRPr="005722A6">
        <w:rPr>
          <w:rFonts w:asciiTheme="majorHAnsi" w:hAnsiTheme="majorHAnsi"/>
          <w:sz w:val="20"/>
          <w:szCs w:val="20"/>
        </w:rPr>
        <w:t>will likely be</w:t>
      </w:r>
      <w:r w:rsidR="00591574" w:rsidRPr="005722A6">
        <w:rPr>
          <w:rFonts w:asciiTheme="majorHAnsi" w:hAnsiTheme="majorHAnsi"/>
          <w:sz w:val="20"/>
          <w:szCs w:val="20"/>
        </w:rPr>
        <w:t xml:space="preserve"> no system for early detection and rapid response (EDRR) within the country although some components of such a system are in place</w:t>
      </w:r>
      <w:r w:rsidR="00ED2B2B">
        <w:rPr>
          <w:rFonts w:asciiTheme="majorHAnsi" w:hAnsiTheme="majorHAnsi"/>
          <w:sz w:val="20"/>
          <w:szCs w:val="20"/>
        </w:rPr>
        <w:t>,</w:t>
      </w:r>
      <w:r w:rsidR="00591574" w:rsidRPr="005722A6">
        <w:rPr>
          <w:rFonts w:asciiTheme="majorHAnsi" w:hAnsiTheme="majorHAnsi"/>
          <w:sz w:val="20"/>
          <w:szCs w:val="20"/>
        </w:rPr>
        <w:t xml:space="preserve"> </w:t>
      </w:r>
      <w:r w:rsidR="00A31823" w:rsidRPr="005722A6">
        <w:rPr>
          <w:rFonts w:asciiTheme="majorHAnsi" w:hAnsiTheme="majorHAnsi"/>
          <w:sz w:val="20"/>
          <w:szCs w:val="20"/>
        </w:rPr>
        <w:t>including</w:t>
      </w:r>
      <w:r w:rsidR="00591574" w:rsidRPr="005722A6">
        <w:rPr>
          <w:rFonts w:asciiTheme="majorHAnsi" w:hAnsiTheme="majorHAnsi"/>
          <w:sz w:val="20"/>
          <w:szCs w:val="20"/>
        </w:rPr>
        <w:t xml:space="preserve"> a few trained individuals, a national invasive species coordination officer and several emergency r</w:t>
      </w:r>
      <w:r w:rsidR="0044110C" w:rsidRPr="005722A6">
        <w:rPr>
          <w:rFonts w:asciiTheme="majorHAnsi" w:hAnsiTheme="majorHAnsi"/>
          <w:sz w:val="20"/>
          <w:szCs w:val="20"/>
        </w:rPr>
        <w:t>esponse plans for specific high-</w:t>
      </w:r>
      <w:r w:rsidR="00591574" w:rsidRPr="005722A6">
        <w:rPr>
          <w:rFonts w:asciiTheme="majorHAnsi" w:hAnsiTheme="majorHAnsi"/>
          <w:sz w:val="20"/>
          <w:szCs w:val="20"/>
        </w:rPr>
        <w:t xml:space="preserve">risk invasive species. Management of established invasive species within the country </w:t>
      </w:r>
      <w:r w:rsidR="00BB0552" w:rsidRPr="005722A6">
        <w:rPr>
          <w:rFonts w:asciiTheme="majorHAnsi" w:hAnsiTheme="majorHAnsi"/>
          <w:sz w:val="20"/>
          <w:szCs w:val="20"/>
        </w:rPr>
        <w:t>will continue to be</w:t>
      </w:r>
      <w:r w:rsidR="00591574" w:rsidRPr="005722A6">
        <w:rPr>
          <w:rFonts w:asciiTheme="majorHAnsi" w:hAnsiTheme="majorHAnsi"/>
          <w:sz w:val="20"/>
          <w:szCs w:val="20"/>
        </w:rPr>
        <w:t xml:space="preserve"> lack</w:t>
      </w:r>
      <w:r w:rsidR="00BB0552" w:rsidRPr="005722A6">
        <w:rPr>
          <w:rFonts w:asciiTheme="majorHAnsi" w:hAnsiTheme="majorHAnsi"/>
          <w:sz w:val="20"/>
          <w:szCs w:val="20"/>
        </w:rPr>
        <w:t>ing</w:t>
      </w:r>
      <w:r w:rsidR="00591574" w:rsidRPr="005722A6">
        <w:rPr>
          <w:rFonts w:asciiTheme="majorHAnsi" w:hAnsiTheme="majorHAnsi"/>
          <w:sz w:val="20"/>
          <w:szCs w:val="20"/>
        </w:rPr>
        <w:t xml:space="preserve"> in guidance, resources, capacity, harmonization across states</w:t>
      </w:r>
      <w:r w:rsidR="00866185" w:rsidRPr="005722A6">
        <w:rPr>
          <w:rFonts w:asciiTheme="majorHAnsi" w:hAnsiTheme="majorHAnsi"/>
          <w:sz w:val="20"/>
          <w:szCs w:val="20"/>
        </w:rPr>
        <w:t>,</w:t>
      </w:r>
      <w:r w:rsidR="00591574" w:rsidRPr="005722A6">
        <w:rPr>
          <w:rFonts w:asciiTheme="majorHAnsi" w:hAnsiTheme="majorHAnsi"/>
          <w:sz w:val="20"/>
          <w:szCs w:val="20"/>
        </w:rPr>
        <w:t xml:space="preserve"> and networking. Palau is developing capacities for both biosecurity and IAS management but at a rate that is </w:t>
      </w:r>
      <w:r w:rsidR="00ED2B2B">
        <w:rPr>
          <w:rFonts w:asciiTheme="majorHAnsi" w:hAnsiTheme="majorHAnsi"/>
          <w:sz w:val="20"/>
          <w:szCs w:val="20"/>
        </w:rPr>
        <w:t xml:space="preserve">falling </w:t>
      </w:r>
      <w:r w:rsidR="00591574" w:rsidRPr="005722A6">
        <w:rPr>
          <w:rFonts w:asciiTheme="majorHAnsi" w:hAnsiTheme="majorHAnsi"/>
          <w:sz w:val="20"/>
          <w:szCs w:val="20"/>
        </w:rPr>
        <w:t xml:space="preserve">well behind </w:t>
      </w:r>
      <w:r w:rsidR="00224168">
        <w:rPr>
          <w:rFonts w:asciiTheme="majorHAnsi" w:hAnsiTheme="majorHAnsi"/>
          <w:sz w:val="20"/>
          <w:szCs w:val="20"/>
        </w:rPr>
        <w:t>its</w:t>
      </w:r>
      <w:r w:rsidR="00224168" w:rsidRPr="005722A6">
        <w:rPr>
          <w:rFonts w:asciiTheme="majorHAnsi" w:hAnsiTheme="majorHAnsi"/>
          <w:sz w:val="20"/>
          <w:szCs w:val="20"/>
        </w:rPr>
        <w:t xml:space="preserve"> </w:t>
      </w:r>
      <w:r w:rsidR="0044110C" w:rsidRPr="005722A6">
        <w:rPr>
          <w:rFonts w:asciiTheme="majorHAnsi" w:hAnsiTheme="majorHAnsi"/>
          <w:sz w:val="20"/>
          <w:szCs w:val="20"/>
        </w:rPr>
        <w:t>ever</w:t>
      </w:r>
      <w:r w:rsidR="008F5751" w:rsidRPr="005722A6">
        <w:rPr>
          <w:rFonts w:asciiTheme="majorHAnsi" w:hAnsiTheme="majorHAnsi"/>
          <w:sz w:val="20"/>
          <w:szCs w:val="20"/>
        </w:rPr>
        <w:t xml:space="preserve"> </w:t>
      </w:r>
      <w:r w:rsidR="00591574" w:rsidRPr="005722A6">
        <w:rPr>
          <w:rFonts w:asciiTheme="majorHAnsi" w:hAnsiTheme="majorHAnsi"/>
          <w:sz w:val="20"/>
          <w:szCs w:val="20"/>
        </w:rPr>
        <w:t xml:space="preserve">expanding needs. It is clear that while these efforts would continue with or without GEF support, the </w:t>
      </w:r>
      <w:r w:rsidR="00B60DDB">
        <w:rPr>
          <w:rFonts w:asciiTheme="majorHAnsi" w:hAnsiTheme="majorHAnsi"/>
          <w:sz w:val="20"/>
          <w:szCs w:val="20"/>
        </w:rPr>
        <w:t>tide of IAS introductions and spread will not be reversed</w:t>
      </w:r>
      <w:r w:rsidR="00591574" w:rsidRPr="005722A6">
        <w:rPr>
          <w:rFonts w:asciiTheme="majorHAnsi" w:hAnsiTheme="majorHAnsi"/>
          <w:sz w:val="20"/>
          <w:szCs w:val="20"/>
        </w:rPr>
        <w:t>. In addition, overall mul</w:t>
      </w:r>
      <w:r w:rsidR="00A31823" w:rsidRPr="005722A6">
        <w:rPr>
          <w:rFonts w:asciiTheme="majorHAnsi" w:hAnsiTheme="majorHAnsi"/>
          <w:sz w:val="20"/>
          <w:szCs w:val="20"/>
        </w:rPr>
        <w:t>ti</w:t>
      </w:r>
      <w:r w:rsidR="00591574" w:rsidRPr="005722A6">
        <w:rPr>
          <w:rFonts w:asciiTheme="majorHAnsi" w:hAnsiTheme="majorHAnsi"/>
          <w:sz w:val="20"/>
          <w:szCs w:val="20"/>
        </w:rPr>
        <w:t>-sectorial planning</w:t>
      </w:r>
      <w:r w:rsidR="00866185" w:rsidRPr="005722A6">
        <w:rPr>
          <w:rFonts w:asciiTheme="majorHAnsi" w:hAnsiTheme="majorHAnsi"/>
          <w:sz w:val="20"/>
          <w:szCs w:val="20"/>
        </w:rPr>
        <w:t xml:space="preserve"> and incorporation of biosecurity</w:t>
      </w:r>
      <w:r w:rsidR="00591574" w:rsidRPr="005722A6">
        <w:rPr>
          <w:rFonts w:asciiTheme="majorHAnsi" w:hAnsiTheme="majorHAnsi"/>
          <w:sz w:val="20"/>
          <w:szCs w:val="20"/>
        </w:rPr>
        <w:t xml:space="preserve"> would be </w:t>
      </w:r>
      <w:r w:rsidR="00866185" w:rsidRPr="005722A6">
        <w:rPr>
          <w:rFonts w:asciiTheme="majorHAnsi" w:hAnsiTheme="majorHAnsi"/>
          <w:sz w:val="20"/>
          <w:szCs w:val="20"/>
        </w:rPr>
        <w:t xml:space="preserve">minimal </w:t>
      </w:r>
      <w:r w:rsidR="00591574" w:rsidRPr="005722A6">
        <w:rPr>
          <w:rFonts w:asciiTheme="majorHAnsi" w:hAnsiTheme="majorHAnsi"/>
          <w:sz w:val="20"/>
          <w:szCs w:val="20"/>
        </w:rPr>
        <w:t>without the GEF</w:t>
      </w:r>
      <w:r w:rsidR="00E360DA" w:rsidRPr="005722A6">
        <w:rPr>
          <w:rFonts w:asciiTheme="majorHAnsi" w:hAnsiTheme="majorHAnsi"/>
          <w:sz w:val="20"/>
          <w:szCs w:val="20"/>
        </w:rPr>
        <w:t xml:space="preserve"> </w:t>
      </w:r>
      <w:r w:rsidR="00BB0552" w:rsidRPr="005722A6">
        <w:rPr>
          <w:rFonts w:asciiTheme="majorHAnsi" w:hAnsiTheme="majorHAnsi"/>
          <w:sz w:val="20"/>
          <w:szCs w:val="20"/>
        </w:rPr>
        <w:t>project</w:t>
      </w:r>
      <w:r w:rsidR="00194AA1">
        <w:rPr>
          <w:rFonts w:asciiTheme="majorHAnsi" w:hAnsiTheme="majorHAnsi"/>
          <w:sz w:val="20"/>
          <w:szCs w:val="20"/>
        </w:rPr>
        <w:t xml:space="preserve">. </w:t>
      </w:r>
    </w:p>
    <w:p w14:paraId="7CD10756" w14:textId="25E29B0D" w:rsidR="00B87774" w:rsidRPr="005722A6" w:rsidRDefault="00B87774" w:rsidP="00B87774">
      <w:pPr>
        <w:spacing w:after="120" w:line="276" w:lineRule="auto"/>
        <w:rPr>
          <w:rFonts w:asciiTheme="majorHAnsi" w:hAnsiTheme="majorHAnsi"/>
          <w:i/>
          <w:sz w:val="20"/>
          <w:szCs w:val="20"/>
        </w:rPr>
      </w:pPr>
      <w:r w:rsidRPr="005722A6">
        <w:rPr>
          <w:rFonts w:asciiTheme="majorHAnsi" w:hAnsiTheme="majorHAnsi"/>
          <w:i/>
          <w:sz w:val="20"/>
          <w:szCs w:val="20"/>
        </w:rPr>
        <w:t>Alternative (with GEF project):</w:t>
      </w:r>
    </w:p>
    <w:p w14:paraId="6BD9B151" w14:textId="2CCF361D" w:rsidR="00B87774" w:rsidRPr="005722A6" w:rsidRDefault="00BD402F" w:rsidP="001B0689">
      <w:pPr>
        <w:spacing w:after="180"/>
        <w:rPr>
          <w:rFonts w:asciiTheme="majorHAnsi" w:hAnsiTheme="majorHAnsi"/>
          <w:sz w:val="20"/>
          <w:szCs w:val="20"/>
        </w:rPr>
      </w:pPr>
      <w:r>
        <w:rPr>
          <w:rFonts w:asciiTheme="majorHAnsi" w:hAnsiTheme="majorHAnsi"/>
          <w:sz w:val="20"/>
          <w:szCs w:val="20"/>
        </w:rPr>
        <w:t xml:space="preserve">The </w:t>
      </w:r>
      <w:r w:rsidR="00B87774" w:rsidRPr="005722A6">
        <w:rPr>
          <w:rFonts w:asciiTheme="majorHAnsi" w:hAnsiTheme="majorHAnsi"/>
          <w:sz w:val="20"/>
          <w:szCs w:val="20"/>
        </w:rPr>
        <w:t xml:space="preserve">GEF increment will </w:t>
      </w:r>
      <w:r w:rsidR="00B87774" w:rsidRPr="005722A6">
        <w:rPr>
          <w:rFonts w:asciiTheme="majorHAnsi" w:hAnsiTheme="majorHAnsi"/>
          <w:color w:val="000000"/>
          <w:sz w:val="20"/>
          <w:szCs w:val="20"/>
        </w:rPr>
        <w:t>establish a solid framework for integrated land</w:t>
      </w:r>
      <w:r w:rsidR="00E10F48">
        <w:rPr>
          <w:rFonts w:asciiTheme="majorHAnsi" w:hAnsiTheme="majorHAnsi"/>
          <w:color w:val="000000"/>
          <w:sz w:val="20"/>
          <w:szCs w:val="20"/>
        </w:rPr>
        <w:t>/</w:t>
      </w:r>
      <w:r w:rsidR="00B87774" w:rsidRPr="005722A6">
        <w:rPr>
          <w:rFonts w:asciiTheme="majorHAnsi" w:hAnsiTheme="majorHAnsi"/>
          <w:color w:val="000000"/>
          <w:sz w:val="20"/>
          <w:szCs w:val="20"/>
        </w:rPr>
        <w:t xml:space="preserve">seascape level planning and management </w:t>
      </w:r>
      <w:r w:rsidR="00866185" w:rsidRPr="005722A6">
        <w:rPr>
          <w:rFonts w:asciiTheme="majorHAnsi" w:hAnsiTheme="majorHAnsi"/>
          <w:color w:val="000000"/>
          <w:sz w:val="20"/>
          <w:szCs w:val="20"/>
        </w:rPr>
        <w:t>that is built on strong coordination between sectors</w:t>
      </w:r>
      <w:r w:rsidR="00E87A4D" w:rsidRPr="005722A6">
        <w:rPr>
          <w:rFonts w:asciiTheme="majorHAnsi" w:hAnsiTheme="majorHAnsi"/>
          <w:color w:val="000000"/>
          <w:sz w:val="20"/>
          <w:szCs w:val="20"/>
        </w:rPr>
        <w:t>.</w:t>
      </w:r>
      <w:r w:rsidR="00E10F48">
        <w:rPr>
          <w:rFonts w:asciiTheme="majorHAnsi" w:hAnsiTheme="majorHAnsi"/>
          <w:color w:val="000000"/>
          <w:sz w:val="20"/>
          <w:szCs w:val="20"/>
        </w:rPr>
        <w:t xml:space="preserve"> </w:t>
      </w:r>
      <w:r w:rsidR="007D4B60" w:rsidRPr="005722A6">
        <w:rPr>
          <w:rFonts w:asciiTheme="majorHAnsi" w:hAnsiTheme="majorHAnsi"/>
          <w:color w:val="000000"/>
          <w:sz w:val="20"/>
          <w:szCs w:val="20"/>
        </w:rPr>
        <w:t>M</w:t>
      </w:r>
      <w:r w:rsidR="00514300" w:rsidRPr="005722A6">
        <w:rPr>
          <w:rFonts w:asciiTheme="majorHAnsi" w:hAnsiTheme="majorHAnsi"/>
          <w:color w:val="000000"/>
          <w:sz w:val="20"/>
          <w:szCs w:val="20"/>
        </w:rPr>
        <w:t>echanisms to streamline biodiversity priorities into sector plans</w:t>
      </w:r>
      <w:r w:rsidR="007D4B60" w:rsidRPr="005722A6">
        <w:rPr>
          <w:rFonts w:asciiTheme="majorHAnsi" w:hAnsiTheme="majorHAnsi"/>
          <w:color w:val="000000"/>
          <w:sz w:val="20"/>
          <w:szCs w:val="20"/>
        </w:rPr>
        <w:t xml:space="preserve"> </w:t>
      </w:r>
      <w:r w:rsidR="00E10F48" w:rsidRPr="005722A6">
        <w:rPr>
          <w:rFonts w:asciiTheme="majorHAnsi" w:hAnsiTheme="majorHAnsi"/>
          <w:color w:val="000000"/>
          <w:sz w:val="20"/>
          <w:szCs w:val="20"/>
        </w:rPr>
        <w:t>w</w:t>
      </w:r>
      <w:r w:rsidR="00E10F48">
        <w:rPr>
          <w:rFonts w:asciiTheme="majorHAnsi" w:hAnsiTheme="majorHAnsi"/>
          <w:color w:val="000000"/>
          <w:sz w:val="20"/>
          <w:szCs w:val="20"/>
        </w:rPr>
        <w:t>ill</w:t>
      </w:r>
      <w:r w:rsidR="00E10F48" w:rsidRPr="005722A6">
        <w:rPr>
          <w:rFonts w:asciiTheme="majorHAnsi" w:hAnsiTheme="majorHAnsi"/>
          <w:color w:val="000000"/>
          <w:sz w:val="20"/>
          <w:szCs w:val="20"/>
        </w:rPr>
        <w:t xml:space="preserve"> </w:t>
      </w:r>
      <w:r w:rsidR="007D4B60" w:rsidRPr="005722A6">
        <w:rPr>
          <w:rFonts w:asciiTheme="majorHAnsi" w:hAnsiTheme="majorHAnsi"/>
          <w:color w:val="000000"/>
          <w:sz w:val="20"/>
          <w:szCs w:val="20"/>
        </w:rPr>
        <w:t>also be in place</w:t>
      </w:r>
      <w:r w:rsidR="00514300" w:rsidRPr="005722A6">
        <w:rPr>
          <w:rFonts w:asciiTheme="majorHAnsi" w:hAnsiTheme="majorHAnsi"/>
          <w:color w:val="000000"/>
          <w:sz w:val="20"/>
          <w:szCs w:val="20"/>
        </w:rPr>
        <w:t>. The result w</w:t>
      </w:r>
      <w:r w:rsidR="00C43EE2">
        <w:rPr>
          <w:rFonts w:asciiTheme="majorHAnsi" w:hAnsiTheme="majorHAnsi"/>
          <w:color w:val="000000"/>
          <w:sz w:val="20"/>
          <w:szCs w:val="20"/>
        </w:rPr>
        <w:t>ill</w:t>
      </w:r>
      <w:r w:rsidR="00514300" w:rsidRPr="005722A6">
        <w:rPr>
          <w:rFonts w:asciiTheme="majorHAnsi" w:hAnsiTheme="majorHAnsi"/>
          <w:color w:val="000000"/>
          <w:sz w:val="20"/>
          <w:szCs w:val="20"/>
        </w:rPr>
        <w:t xml:space="preserve"> transform the existing process into one</w:t>
      </w:r>
      <w:r w:rsidR="00C43EE2">
        <w:rPr>
          <w:rFonts w:asciiTheme="majorHAnsi" w:hAnsiTheme="majorHAnsi"/>
          <w:color w:val="000000"/>
          <w:sz w:val="20"/>
          <w:szCs w:val="20"/>
        </w:rPr>
        <w:t>,</w:t>
      </w:r>
      <w:r w:rsidR="00514300" w:rsidRPr="005722A6">
        <w:rPr>
          <w:rFonts w:asciiTheme="majorHAnsi" w:hAnsiTheme="majorHAnsi"/>
          <w:color w:val="000000"/>
          <w:sz w:val="20"/>
          <w:szCs w:val="20"/>
        </w:rPr>
        <w:t xml:space="preserve"> with more equitable input and implementation</w:t>
      </w:r>
      <w:r w:rsidR="00E87A4D" w:rsidRPr="005722A6">
        <w:rPr>
          <w:rFonts w:asciiTheme="majorHAnsi" w:hAnsiTheme="majorHAnsi"/>
          <w:color w:val="000000"/>
          <w:sz w:val="20"/>
          <w:szCs w:val="20"/>
        </w:rPr>
        <w:t>.</w:t>
      </w:r>
      <w:r w:rsidR="00E87A4D" w:rsidRPr="005722A6" w:rsidDel="00E87A4D">
        <w:rPr>
          <w:rFonts w:asciiTheme="majorHAnsi" w:hAnsiTheme="majorHAnsi"/>
          <w:color w:val="000000"/>
          <w:sz w:val="20"/>
          <w:szCs w:val="20"/>
        </w:rPr>
        <w:t xml:space="preserve"> </w:t>
      </w:r>
      <w:r w:rsidR="00B87774" w:rsidRPr="005722A6">
        <w:rPr>
          <w:rFonts w:asciiTheme="majorHAnsi" w:hAnsiTheme="majorHAnsi"/>
          <w:color w:val="000000"/>
          <w:sz w:val="20"/>
          <w:szCs w:val="20"/>
        </w:rPr>
        <w:t xml:space="preserve">A </w:t>
      </w:r>
      <w:r w:rsidR="00C43EE2">
        <w:rPr>
          <w:rFonts w:asciiTheme="majorHAnsi" w:hAnsiTheme="majorHAnsi"/>
          <w:color w:val="000000"/>
          <w:sz w:val="20"/>
          <w:szCs w:val="20"/>
        </w:rPr>
        <w:t>n</w:t>
      </w:r>
      <w:r w:rsidR="00B87774" w:rsidRPr="005722A6">
        <w:rPr>
          <w:rFonts w:asciiTheme="majorHAnsi" w:hAnsiTheme="majorHAnsi"/>
          <w:color w:val="000000"/>
          <w:sz w:val="20"/>
          <w:szCs w:val="20"/>
        </w:rPr>
        <w:t>ational-</w:t>
      </w:r>
      <w:r w:rsidR="00C43EE2">
        <w:rPr>
          <w:rFonts w:asciiTheme="majorHAnsi" w:hAnsiTheme="majorHAnsi"/>
          <w:color w:val="000000"/>
          <w:sz w:val="20"/>
          <w:szCs w:val="20"/>
        </w:rPr>
        <w:t>s</w:t>
      </w:r>
      <w:r w:rsidR="00B87774" w:rsidRPr="005722A6">
        <w:rPr>
          <w:rFonts w:asciiTheme="majorHAnsi" w:hAnsiTheme="majorHAnsi"/>
          <w:color w:val="000000"/>
          <w:sz w:val="20"/>
          <w:szCs w:val="20"/>
        </w:rPr>
        <w:t>tate coordination and joint land</w:t>
      </w:r>
      <w:r w:rsidR="0057218D" w:rsidRPr="005722A6">
        <w:rPr>
          <w:rFonts w:asciiTheme="majorHAnsi" w:hAnsiTheme="majorHAnsi"/>
          <w:color w:val="000000"/>
          <w:sz w:val="20"/>
          <w:szCs w:val="20"/>
        </w:rPr>
        <w:t>/seascape</w:t>
      </w:r>
      <w:r w:rsidR="00B87774" w:rsidRPr="005722A6">
        <w:rPr>
          <w:rFonts w:asciiTheme="majorHAnsi" w:hAnsiTheme="majorHAnsi"/>
          <w:color w:val="000000"/>
          <w:sz w:val="20"/>
          <w:szCs w:val="20"/>
        </w:rPr>
        <w:t xml:space="preserve"> planning platform</w:t>
      </w:r>
      <w:r w:rsidR="00D66997" w:rsidRPr="005722A6">
        <w:rPr>
          <w:rFonts w:asciiTheme="majorHAnsi" w:hAnsiTheme="majorHAnsi"/>
          <w:color w:val="000000"/>
          <w:sz w:val="20"/>
          <w:szCs w:val="20"/>
        </w:rPr>
        <w:t xml:space="preserve"> (including a Joint Coordinating Body and appropriate operating procedures)</w:t>
      </w:r>
      <w:r w:rsidR="00B87774" w:rsidRPr="005722A6">
        <w:rPr>
          <w:rFonts w:asciiTheme="majorHAnsi" w:hAnsiTheme="majorHAnsi"/>
          <w:color w:val="000000"/>
          <w:sz w:val="20"/>
          <w:szCs w:val="20"/>
        </w:rPr>
        <w:t xml:space="preserve">, including relevant national inter-sectoral and state representation, will be established within existing governance structures to facilitate engagement, transparency and coordination among key decision-makers, sectors and stakeholders </w:t>
      </w:r>
      <w:r w:rsidR="00423396" w:rsidRPr="005722A6">
        <w:rPr>
          <w:rFonts w:asciiTheme="majorHAnsi" w:hAnsiTheme="majorHAnsi"/>
          <w:color w:val="000000"/>
          <w:sz w:val="20"/>
          <w:szCs w:val="20"/>
        </w:rPr>
        <w:t>from state</w:t>
      </w:r>
      <w:r w:rsidR="00C43EE2">
        <w:rPr>
          <w:rFonts w:asciiTheme="majorHAnsi" w:hAnsiTheme="majorHAnsi"/>
          <w:color w:val="000000"/>
          <w:sz w:val="20"/>
          <w:szCs w:val="20"/>
        </w:rPr>
        <w:t>s</w:t>
      </w:r>
      <w:r w:rsidR="00423396" w:rsidRPr="005722A6">
        <w:rPr>
          <w:rFonts w:asciiTheme="majorHAnsi" w:hAnsiTheme="majorHAnsi"/>
          <w:color w:val="000000"/>
          <w:sz w:val="20"/>
          <w:szCs w:val="20"/>
        </w:rPr>
        <w:t>, business, nonprofit, and national government</w:t>
      </w:r>
      <w:r w:rsidR="00B87774" w:rsidRPr="005722A6">
        <w:rPr>
          <w:rFonts w:asciiTheme="majorHAnsi" w:hAnsiTheme="majorHAnsi"/>
          <w:color w:val="000000"/>
          <w:sz w:val="20"/>
          <w:szCs w:val="20"/>
        </w:rPr>
        <w:t>.</w:t>
      </w:r>
      <w:r w:rsidR="00423396" w:rsidRPr="005722A6">
        <w:rPr>
          <w:rFonts w:asciiTheme="majorHAnsi" w:hAnsiTheme="majorHAnsi"/>
          <w:color w:val="000000"/>
          <w:sz w:val="20"/>
          <w:szCs w:val="20"/>
        </w:rPr>
        <w:t xml:space="preserve"> </w:t>
      </w:r>
      <w:r w:rsidR="00B87774" w:rsidRPr="005722A6">
        <w:rPr>
          <w:rFonts w:asciiTheme="majorHAnsi" w:hAnsiTheme="majorHAnsi"/>
          <w:sz w:val="20"/>
          <w:szCs w:val="20"/>
        </w:rPr>
        <w:t>Th</w:t>
      </w:r>
      <w:r w:rsidR="001407B0" w:rsidRPr="005722A6">
        <w:rPr>
          <w:rFonts w:asciiTheme="majorHAnsi" w:hAnsiTheme="majorHAnsi"/>
          <w:sz w:val="20"/>
          <w:szCs w:val="20"/>
        </w:rPr>
        <w:t xml:space="preserve">e National-State </w:t>
      </w:r>
      <w:r w:rsidR="001717B5">
        <w:rPr>
          <w:rFonts w:asciiTheme="majorHAnsi" w:hAnsiTheme="majorHAnsi"/>
          <w:sz w:val="20"/>
          <w:szCs w:val="20"/>
        </w:rPr>
        <w:t>C</w:t>
      </w:r>
      <w:r w:rsidR="00D66997" w:rsidRPr="005722A6">
        <w:rPr>
          <w:rFonts w:asciiTheme="majorHAnsi" w:hAnsiTheme="majorHAnsi"/>
          <w:sz w:val="20"/>
          <w:szCs w:val="20"/>
        </w:rPr>
        <w:t>oordination</w:t>
      </w:r>
      <w:r w:rsidR="001407B0" w:rsidRPr="005722A6">
        <w:rPr>
          <w:rFonts w:asciiTheme="majorHAnsi" w:hAnsiTheme="majorHAnsi"/>
          <w:sz w:val="20"/>
          <w:szCs w:val="20"/>
        </w:rPr>
        <w:t xml:space="preserve"> </w:t>
      </w:r>
      <w:r w:rsidR="001717B5">
        <w:rPr>
          <w:rFonts w:asciiTheme="majorHAnsi" w:hAnsiTheme="majorHAnsi"/>
          <w:sz w:val="20"/>
          <w:szCs w:val="20"/>
        </w:rPr>
        <w:t>P</w:t>
      </w:r>
      <w:r w:rsidR="001407B0" w:rsidRPr="005722A6">
        <w:rPr>
          <w:rFonts w:asciiTheme="majorHAnsi" w:hAnsiTheme="majorHAnsi"/>
          <w:sz w:val="20"/>
          <w:szCs w:val="20"/>
        </w:rPr>
        <w:t xml:space="preserve">latform </w:t>
      </w:r>
      <w:r w:rsidR="00B87774" w:rsidRPr="005722A6">
        <w:rPr>
          <w:rFonts w:asciiTheme="majorHAnsi" w:hAnsiTheme="majorHAnsi"/>
          <w:sz w:val="20"/>
          <w:szCs w:val="20"/>
        </w:rPr>
        <w:t>will serve as a key forum for information sharing, engagement, planning and mobilization on the strategies and decision</w:t>
      </w:r>
      <w:r w:rsidR="00E87A4D" w:rsidRPr="005722A6">
        <w:rPr>
          <w:rFonts w:asciiTheme="majorHAnsi" w:hAnsiTheme="majorHAnsi"/>
          <w:sz w:val="20"/>
          <w:szCs w:val="20"/>
        </w:rPr>
        <w:t>-</w:t>
      </w:r>
      <w:r w:rsidR="00B87774" w:rsidRPr="005722A6">
        <w:rPr>
          <w:rFonts w:asciiTheme="majorHAnsi" w:hAnsiTheme="majorHAnsi"/>
          <w:sz w:val="20"/>
          <w:szCs w:val="20"/>
        </w:rPr>
        <w:t xml:space="preserve">making tools developed through the project to enhance support to </w:t>
      </w:r>
      <w:r w:rsidR="000C619B">
        <w:rPr>
          <w:rFonts w:asciiTheme="majorHAnsi" w:hAnsiTheme="majorHAnsi"/>
          <w:sz w:val="20"/>
          <w:szCs w:val="20"/>
        </w:rPr>
        <w:t>s</w:t>
      </w:r>
      <w:r w:rsidR="00B87774" w:rsidRPr="005722A6">
        <w:rPr>
          <w:rFonts w:asciiTheme="majorHAnsi" w:hAnsiTheme="majorHAnsi"/>
          <w:sz w:val="20"/>
          <w:szCs w:val="20"/>
        </w:rPr>
        <w:t xml:space="preserve">tates and </w:t>
      </w:r>
      <w:r w:rsidR="001407B0" w:rsidRPr="005722A6">
        <w:rPr>
          <w:rFonts w:asciiTheme="majorHAnsi" w:hAnsiTheme="majorHAnsi"/>
          <w:sz w:val="20"/>
          <w:szCs w:val="20"/>
        </w:rPr>
        <w:t xml:space="preserve">facilitate </w:t>
      </w:r>
      <w:r w:rsidR="00B87774" w:rsidRPr="005722A6">
        <w:rPr>
          <w:rFonts w:asciiTheme="majorHAnsi" w:hAnsiTheme="majorHAnsi"/>
          <w:sz w:val="20"/>
          <w:szCs w:val="20"/>
        </w:rPr>
        <w:t>national coordination</w:t>
      </w:r>
      <w:r w:rsidR="0044110C" w:rsidRPr="005722A6">
        <w:rPr>
          <w:rFonts w:asciiTheme="majorHAnsi" w:hAnsiTheme="majorHAnsi"/>
          <w:sz w:val="20"/>
          <w:szCs w:val="20"/>
        </w:rPr>
        <w:t xml:space="preserve"> and leadership</w:t>
      </w:r>
      <w:r w:rsidR="00B87774" w:rsidRPr="005722A6">
        <w:rPr>
          <w:rFonts w:asciiTheme="majorHAnsi" w:hAnsiTheme="majorHAnsi"/>
          <w:sz w:val="20"/>
          <w:szCs w:val="20"/>
        </w:rPr>
        <w:t xml:space="preserve">. </w:t>
      </w:r>
      <w:r w:rsidR="00BB0552" w:rsidRPr="005722A6">
        <w:rPr>
          <w:rFonts w:asciiTheme="majorHAnsi" w:hAnsiTheme="majorHAnsi"/>
          <w:sz w:val="20"/>
          <w:szCs w:val="20"/>
        </w:rPr>
        <w:t>It</w:t>
      </w:r>
      <w:r w:rsidR="001407B0" w:rsidRPr="005722A6">
        <w:rPr>
          <w:rFonts w:asciiTheme="majorHAnsi" w:hAnsiTheme="majorHAnsi"/>
          <w:sz w:val="20"/>
          <w:szCs w:val="20"/>
        </w:rPr>
        <w:t xml:space="preserve"> will facilitate </w:t>
      </w:r>
      <w:r w:rsidR="007619B9" w:rsidRPr="005722A6">
        <w:rPr>
          <w:rFonts w:asciiTheme="majorHAnsi" w:hAnsiTheme="majorHAnsi"/>
          <w:sz w:val="20"/>
          <w:szCs w:val="20"/>
        </w:rPr>
        <w:t>national and s</w:t>
      </w:r>
      <w:r w:rsidR="001407B0" w:rsidRPr="005722A6">
        <w:rPr>
          <w:rFonts w:asciiTheme="majorHAnsi" w:hAnsiTheme="majorHAnsi"/>
          <w:sz w:val="20"/>
          <w:szCs w:val="20"/>
        </w:rPr>
        <w:t xml:space="preserve">tate </w:t>
      </w:r>
      <w:r w:rsidR="00423396" w:rsidRPr="005722A6">
        <w:rPr>
          <w:rFonts w:asciiTheme="majorHAnsi" w:hAnsiTheme="majorHAnsi"/>
          <w:sz w:val="20"/>
          <w:szCs w:val="20"/>
        </w:rPr>
        <w:t>biodiversity/biosecurity goals</w:t>
      </w:r>
      <w:r w:rsidR="00B87774" w:rsidRPr="005722A6">
        <w:rPr>
          <w:rFonts w:asciiTheme="majorHAnsi" w:hAnsiTheme="majorHAnsi"/>
          <w:sz w:val="20"/>
          <w:szCs w:val="20"/>
        </w:rPr>
        <w:t xml:space="preserve"> </w:t>
      </w:r>
      <w:r w:rsidR="007619B9" w:rsidRPr="005722A6">
        <w:rPr>
          <w:rFonts w:asciiTheme="majorHAnsi" w:hAnsiTheme="majorHAnsi"/>
          <w:sz w:val="20"/>
          <w:szCs w:val="20"/>
        </w:rPr>
        <w:t xml:space="preserve">into </w:t>
      </w:r>
      <w:r w:rsidR="00423396" w:rsidRPr="005722A6">
        <w:rPr>
          <w:rFonts w:asciiTheme="majorHAnsi" w:hAnsiTheme="majorHAnsi"/>
          <w:sz w:val="20"/>
          <w:szCs w:val="20"/>
        </w:rPr>
        <w:t>sustainable development plans at state level</w:t>
      </w:r>
      <w:r w:rsidR="00C43EE2">
        <w:rPr>
          <w:rFonts w:asciiTheme="majorHAnsi" w:hAnsiTheme="majorHAnsi"/>
          <w:sz w:val="20"/>
          <w:szCs w:val="20"/>
        </w:rPr>
        <w:t>s</w:t>
      </w:r>
      <w:r w:rsidR="00B87774" w:rsidRPr="005722A6">
        <w:rPr>
          <w:rFonts w:asciiTheme="majorHAnsi" w:hAnsiTheme="majorHAnsi"/>
          <w:sz w:val="20"/>
          <w:szCs w:val="20"/>
        </w:rPr>
        <w:t xml:space="preserve">. </w:t>
      </w:r>
      <w:r w:rsidR="00423396" w:rsidRPr="005722A6">
        <w:rPr>
          <w:rFonts w:asciiTheme="majorHAnsi" w:hAnsiTheme="majorHAnsi"/>
          <w:sz w:val="20"/>
          <w:szCs w:val="20"/>
        </w:rPr>
        <w:t>Through the process</w:t>
      </w:r>
      <w:r w:rsidR="001B0689" w:rsidRPr="005722A6">
        <w:rPr>
          <w:rFonts w:asciiTheme="majorHAnsi" w:hAnsiTheme="majorHAnsi"/>
          <w:sz w:val="20"/>
          <w:szCs w:val="20"/>
        </w:rPr>
        <w:t>,</w:t>
      </w:r>
      <w:r w:rsidR="00423396" w:rsidRPr="005722A6">
        <w:rPr>
          <w:rFonts w:asciiTheme="majorHAnsi" w:hAnsiTheme="majorHAnsi"/>
          <w:sz w:val="20"/>
          <w:szCs w:val="20"/>
        </w:rPr>
        <w:t xml:space="preserve"> </w:t>
      </w:r>
      <w:r w:rsidR="001B0689" w:rsidRPr="005722A6">
        <w:rPr>
          <w:rFonts w:asciiTheme="majorHAnsi" w:hAnsiTheme="majorHAnsi"/>
          <w:sz w:val="20"/>
          <w:szCs w:val="20"/>
        </w:rPr>
        <w:t xml:space="preserve">specific </w:t>
      </w:r>
      <w:r w:rsidR="00423396" w:rsidRPr="005722A6">
        <w:rPr>
          <w:rFonts w:asciiTheme="majorHAnsi" w:hAnsiTheme="majorHAnsi"/>
          <w:sz w:val="20"/>
          <w:szCs w:val="20"/>
        </w:rPr>
        <w:t xml:space="preserve">needs </w:t>
      </w:r>
      <w:r w:rsidR="00B87774" w:rsidRPr="005722A6">
        <w:rPr>
          <w:rFonts w:asciiTheme="majorHAnsi" w:hAnsiTheme="majorHAnsi"/>
          <w:sz w:val="20"/>
          <w:szCs w:val="20"/>
        </w:rPr>
        <w:t xml:space="preserve">for </w:t>
      </w:r>
      <w:r w:rsidR="00423396" w:rsidRPr="005722A6">
        <w:rPr>
          <w:rFonts w:asciiTheme="majorHAnsi" w:hAnsiTheme="majorHAnsi"/>
          <w:sz w:val="20"/>
          <w:szCs w:val="20"/>
        </w:rPr>
        <w:t xml:space="preserve">enhancing </w:t>
      </w:r>
      <w:r w:rsidR="00B87774" w:rsidRPr="005722A6">
        <w:rPr>
          <w:rFonts w:asciiTheme="majorHAnsi" w:hAnsiTheme="majorHAnsi"/>
          <w:sz w:val="20"/>
          <w:szCs w:val="20"/>
        </w:rPr>
        <w:t>permitting systems to avoid, mitigate and manage impacts on ecosystems and biodiversity</w:t>
      </w:r>
      <w:r w:rsidR="00423396" w:rsidRPr="005722A6">
        <w:rPr>
          <w:rFonts w:asciiTheme="majorHAnsi" w:hAnsiTheme="majorHAnsi"/>
          <w:sz w:val="20"/>
          <w:szCs w:val="20"/>
        </w:rPr>
        <w:t xml:space="preserve"> will be identified</w:t>
      </w:r>
      <w:r w:rsidR="00B87774" w:rsidRPr="005722A6">
        <w:rPr>
          <w:rFonts w:asciiTheme="majorHAnsi" w:hAnsiTheme="majorHAnsi"/>
          <w:sz w:val="20"/>
          <w:szCs w:val="20"/>
        </w:rPr>
        <w:t xml:space="preserve"> and the project will work with </w:t>
      </w:r>
      <w:r w:rsidR="0044110C" w:rsidRPr="005722A6">
        <w:rPr>
          <w:rFonts w:asciiTheme="majorHAnsi" w:hAnsiTheme="majorHAnsi"/>
          <w:sz w:val="20"/>
          <w:szCs w:val="20"/>
        </w:rPr>
        <w:t xml:space="preserve">individual </w:t>
      </w:r>
      <w:r w:rsidR="00B87774" w:rsidRPr="005722A6">
        <w:rPr>
          <w:rFonts w:asciiTheme="majorHAnsi" w:hAnsiTheme="majorHAnsi"/>
          <w:sz w:val="20"/>
          <w:szCs w:val="20"/>
        </w:rPr>
        <w:t xml:space="preserve">states and EQPB </w:t>
      </w:r>
      <w:r w:rsidR="00423396" w:rsidRPr="005722A6">
        <w:rPr>
          <w:rFonts w:asciiTheme="majorHAnsi" w:hAnsiTheme="majorHAnsi"/>
          <w:sz w:val="20"/>
          <w:szCs w:val="20"/>
        </w:rPr>
        <w:t>to</w:t>
      </w:r>
      <w:r w:rsidR="007619B9" w:rsidRPr="005722A6">
        <w:rPr>
          <w:rFonts w:asciiTheme="majorHAnsi" w:hAnsiTheme="majorHAnsi"/>
          <w:sz w:val="20"/>
          <w:szCs w:val="20"/>
        </w:rPr>
        <w:t xml:space="preserve"> ensure that these would be </w:t>
      </w:r>
      <w:r w:rsidR="00423396" w:rsidRPr="005722A6">
        <w:rPr>
          <w:rFonts w:asciiTheme="majorHAnsi" w:hAnsiTheme="majorHAnsi"/>
          <w:sz w:val="20"/>
          <w:szCs w:val="20"/>
        </w:rPr>
        <w:t>regulated</w:t>
      </w:r>
      <w:r w:rsidR="00B87774" w:rsidRPr="005722A6">
        <w:rPr>
          <w:rFonts w:asciiTheme="majorHAnsi" w:hAnsiTheme="majorHAnsi"/>
          <w:sz w:val="20"/>
          <w:szCs w:val="20"/>
        </w:rPr>
        <w:t xml:space="preserve">. At the same time the project will strengthen the capacity of environmental </w:t>
      </w:r>
      <w:r w:rsidR="0044110C" w:rsidRPr="005722A6">
        <w:rPr>
          <w:rFonts w:asciiTheme="majorHAnsi" w:hAnsiTheme="majorHAnsi"/>
          <w:sz w:val="20"/>
          <w:szCs w:val="20"/>
        </w:rPr>
        <w:t>authorities</w:t>
      </w:r>
      <w:r w:rsidR="00B87774" w:rsidRPr="005722A6">
        <w:rPr>
          <w:rFonts w:asciiTheme="majorHAnsi" w:hAnsiTheme="majorHAnsi"/>
          <w:sz w:val="20"/>
          <w:szCs w:val="20"/>
        </w:rPr>
        <w:t xml:space="preserve"> to develop</w:t>
      </w:r>
      <w:r w:rsidR="00423396" w:rsidRPr="005722A6">
        <w:rPr>
          <w:rFonts w:asciiTheme="majorHAnsi" w:hAnsiTheme="majorHAnsi"/>
          <w:sz w:val="20"/>
          <w:szCs w:val="20"/>
        </w:rPr>
        <w:t xml:space="preserve"> and implement</w:t>
      </w:r>
      <w:r w:rsidR="00B87774" w:rsidRPr="005722A6">
        <w:rPr>
          <w:rFonts w:asciiTheme="majorHAnsi" w:hAnsiTheme="majorHAnsi"/>
          <w:sz w:val="20"/>
          <w:szCs w:val="20"/>
        </w:rPr>
        <w:t xml:space="preserve"> </w:t>
      </w:r>
      <w:r w:rsidR="0044110C" w:rsidRPr="005722A6">
        <w:rPr>
          <w:rFonts w:asciiTheme="majorHAnsi" w:hAnsiTheme="majorHAnsi"/>
          <w:sz w:val="20"/>
          <w:szCs w:val="20"/>
        </w:rPr>
        <w:t>new</w:t>
      </w:r>
      <w:r w:rsidR="00423396" w:rsidRPr="005722A6">
        <w:rPr>
          <w:rFonts w:asciiTheme="majorHAnsi" w:hAnsiTheme="majorHAnsi"/>
          <w:sz w:val="20"/>
          <w:szCs w:val="20"/>
        </w:rPr>
        <w:t xml:space="preserve"> or</w:t>
      </w:r>
      <w:r w:rsidR="0044110C" w:rsidRPr="005722A6">
        <w:rPr>
          <w:rFonts w:asciiTheme="majorHAnsi" w:hAnsiTheme="majorHAnsi"/>
          <w:sz w:val="20"/>
          <w:szCs w:val="20"/>
        </w:rPr>
        <w:t xml:space="preserve"> improve</w:t>
      </w:r>
      <w:r w:rsidR="00423396" w:rsidRPr="005722A6">
        <w:rPr>
          <w:rFonts w:asciiTheme="majorHAnsi" w:hAnsiTheme="majorHAnsi"/>
          <w:sz w:val="20"/>
          <w:szCs w:val="20"/>
        </w:rPr>
        <w:t>d</w:t>
      </w:r>
      <w:r w:rsidR="0044110C" w:rsidRPr="005722A6">
        <w:rPr>
          <w:rFonts w:asciiTheme="majorHAnsi" w:hAnsiTheme="majorHAnsi"/>
          <w:sz w:val="20"/>
          <w:szCs w:val="20"/>
        </w:rPr>
        <w:t xml:space="preserve"> </w:t>
      </w:r>
      <w:r w:rsidR="00B87774" w:rsidRPr="005722A6">
        <w:rPr>
          <w:rFonts w:asciiTheme="majorHAnsi" w:hAnsiTheme="majorHAnsi"/>
          <w:sz w:val="20"/>
          <w:szCs w:val="20"/>
        </w:rPr>
        <w:t xml:space="preserve">regulations and practices. </w:t>
      </w:r>
    </w:p>
    <w:p w14:paraId="2643D5ED" w14:textId="3BE9B35D" w:rsidR="005722A6" w:rsidRPr="002B5BDE" w:rsidRDefault="007052E5" w:rsidP="00C37A47">
      <w:pPr>
        <w:spacing w:after="180"/>
        <w:rPr>
          <w:rFonts w:asciiTheme="majorHAnsi" w:hAnsiTheme="majorHAnsi"/>
          <w:sz w:val="20"/>
          <w:szCs w:val="20"/>
        </w:rPr>
      </w:pPr>
      <w:r w:rsidRPr="005722A6">
        <w:rPr>
          <w:rFonts w:asciiTheme="majorHAnsi" w:hAnsiTheme="majorHAnsi"/>
          <w:color w:val="000000"/>
          <w:sz w:val="20"/>
          <w:szCs w:val="20"/>
        </w:rPr>
        <w:t xml:space="preserve">The Biosecurity aspect of the project offers a good demonstration of the benefits of a joint national-state planning and implementation process based on equitable relationships. </w:t>
      </w:r>
      <w:r w:rsidR="00B87774" w:rsidRPr="005722A6">
        <w:rPr>
          <w:rFonts w:asciiTheme="majorHAnsi" w:hAnsiTheme="majorHAnsi"/>
          <w:color w:val="000000"/>
          <w:sz w:val="20"/>
          <w:szCs w:val="20"/>
        </w:rPr>
        <w:t>Th</w:t>
      </w:r>
      <w:r w:rsidR="007619B9" w:rsidRPr="005722A6">
        <w:rPr>
          <w:rFonts w:asciiTheme="majorHAnsi" w:hAnsiTheme="majorHAnsi"/>
          <w:color w:val="000000"/>
          <w:sz w:val="20"/>
          <w:szCs w:val="20"/>
        </w:rPr>
        <w:t xml:space="preserve">e National-State </w:t>
      </w:r>
      <w:r w:rsidR="001717B5">
        <w:rPr>
          <w:rFonts w:asciiTheme="majorHAnsi" w:hAnsiTheme="majorHAnsi"/>
          <w:color w:val="000000"/>
          <w:sz w:val="20"/>
          <w:szCs w:val="20"/>
        </w:rPr>
        <w:t>C</w:t>
      </w:r>
      <w:r w:rsidR="007619B9" w:rsidRPr="005722A6">
        <w:rPr>
          <w:rFonts w:asciiTheme="majorHAnsi" w:hAnsiTheme="majorHAnsi"/>
          <w:color w:val="000000"/>
          <w:sz w:val="20"/>
          <w:szCs w:val="20"/>
        </w:rPr>
        <w:t xml:space="preserve">oordination </w:t>
      </w:r>
      <w:r w:rsidR="001717B5">
        <w:rPr>
          <w:rFonts w:asciiTheme="majorHAnsi" w:hAnsiTheme="majorHAnsi"/>
          <w:color w:val="000000"/>
          <w:sz w:val="20"/>
          <w:szCs w:val="20"/>
        </w:rPr>
        <w:t>P</w:t>
      </w:r>
      <w:r w:rsidR="007619B9" w:rsidRPr="005722A6">
        <w:rPr>
          <w:rFonts w:asciiTheme="majorHAnsi" w:hAnsiTheme="majorHAnsi"/>
          <w:color w:val="000000"/>
          <w:sz w:val="20"/>
          <w:szCs w:val="20"/>
        </w:rPr>
        <w:t>latform</w:t>
      </w:r>
      <w:r w:rsidR="00B87774" w:rsidRPr="005722A6">
        <w:rPr>
          <w:rFonts w:asciiTheme="majorHAnsi" w:hAnsiTheme="majorHAnsi"/>
          <w:color w:val="000000"/>
          <w:sz w:val="20"/>
          <w:szCs w:val="20"/>
        </w:rPr>
        <w:t xml:space="preserve"> will advance a consistent and comprehensive prevention</w:t>
      </w:r>
      <w:r w:rsidR="00784769" w:rsidRPr="005722A6">
        <w:rPr>
          <w:rFonts w:asciiTheme="majorHAnsi" w:hAnsiTheme="majorHAnsi"/>
          <w:color w:val="000000"/>
          <w:sz w:val="20"/>
          <w:szCs w:val="20"/>
        </w:rPr>
        <w:t xml:space="preserve"> and management framework for IAS</w:t>
      </w:r>
      <w:r w:rsidRPr="005722A6">
        <w:rPr>
          <w:rFonts w:asciiTheme="majorHAnsi" w:hAnsiTheme="majorHAnsi"/>
          <w:color w:val="000000"/>
          <w:sz w:val="20"/>
          <w:szCs w:val="20"/>
        </w:rPr>
        <w:t xml:space="preserve">, </w:t>
      </w:r>
      <w:r w:rsidR="00784769" w:rsidRPr="005722A6">
        <w:rPr>
          <w:rFonts w:asciiTheme="majorHAnsi" w:hAnsiTheme="majorHAnsi"/>
          <w:color w:val="000000"/>
          <w:sz w:val="20"/>
          <w:szCs w:val="20"/>
        </w:rPr>
        <w:t>including</w:t>
      </w:r>
      <w:r w:rsidR="001717B5">
        <w:rPr>
          <w:rFonts w:asciiTheme="majorHAnsi" w:hAnsiTheme="majorHAnsi"/>
          <w:color w:val="000000"/>
          <w:sz w:val="20"/>
          <w:szCs w:val="20"/>
        </w:rPr>
        <w:t>:</w:t>
      </w:r>
      <w:r w:rsidR="00784769" w:rsidRPr="005722A6">
        <w:rPr>
          <w:rFonts w:asciiTheme="majorHAnsi" w:hAnsiTheme="majorHAnsi"/>
          <w:color w:val="000000"/>
          <w:sz w:val="20"/>
          <w:szCs w:val="20"/>
        </w:rPr>
        <w:t xml:space="preserve"> a pathway analysis at both the national and state/island levels</w:t>
      </w:r>
      <w:r w:rsidRPr="005722A6">
        <w:rPr>
          <w:rFonts w:asciiTheme="majorHAnsi" w:hAnsiTheme="majorHAnsi"/>
          <w:color w:val="000000"/>
          <w:sz w:val="20"/>
          <w:szCs w:val="20"/>
        </w:rPr>
        <w:t xml:space="preserve"> and cross-state i</w:t>
      </w:r>
      <w:r w:rsidR="00784769" w:rsidRPr="005722A6">
        <w:rPr>
          <w:rFonts w:asciiTheme="majorHAnsi" w:hAnsiTheme="majorHAnsi"/>
          <w:color w:val="000000"/>
          <w:sz w:val="20"/>
          <w:szCs w:val="20"/>
        </w:rPr>
        <w:t>mprovements to pre-bo</w:t>
      </w:r>
      <w:r w:rsidR="00651A4B" w:rsidRPr="005722A6">
        <w:rPr>
          <w:rFonts w:asciiTheme="majorHAnsi" w:hAnsiTheme="majorHAnsi"/>
          <w:color w:val="000000"/>
          <w:sz w:val="20"/>
          <w:szCs w:val="20"/>
        </w:rPr>
        <w:t>rder</w:t>
      </w:r>
      <w:r w:rsidR="00784769" w:rsidRPr="005722A6">
        <w:rPr>
          <w:rFonts w:asciiTheme="majorHAnsi" w:hAnsiTheme="majorHAnsi"/>
          <w:color w:val="000000"/>
          <w:sz w:val="20"/>
          <w:szCs w:val="20"/>
        </w:rPr>
        <w:t xml:space="preserve"> and bo</w:t>
      </w:r>
      <w:r w:rsidR="00651A4B" w:rsidRPr="005722A6">
        <w:rPr>
          <w:rFonts w:asciiTheme="majorHAnsi" w:hAnsiTheme="majorHAnsi"/>
          <w:color w:val="000000"/>
          <w:sz w:val="20"/>
          <w:szCs w:val="20"/>
        </w:rPr>
        <w:t xml:space="preserve">rder </w:t>
      </w:r>
      <w:r w:rsidR="00784769" w:rsidRPr="005722A6">
        <w:rPr>
          <w:rFonts w:asciiTheme="majorHAnsi" w:hAnsiTheme="majorHAnsi"/>
          <w:color w:val="000000"/>
          <w:sz w:val="20"/>
          <w:szCs w:val="20"/>
        </w:rPr>
        <w:t>biosecurity</w:t>
      </w:r>
      <w:r w:rsidRPr="005722A6">
        <w:rPr>
          <w:rFonts w:asciiTheme="majorHAnsi" w:hAnsiTheme="majorHAnsi"/>
          <w:color w:val="000000"/>
          <w:sz w:val="20"/>
          <w:szCs w:val="20"/>
        </w:rPr>
        <w:t>; d</w:t>
      </w:r>
      <w:r w:rsidR="00784769" w:rsidRPr="005722A6">
        <w:rPr>
          <w:rFonts w:asciiTheme="majorHAnsi" w:hAnsiTheme="majorHAnsi"/>
          <w:color w:val="000000"/>
          <w:sz w:val="20"/>
          <w:szCs w:val="20"/>
        </w:rPr>
        <w:t>evelop</w:t>
      </w:r>
      <w:r w:rsidR="001717B5">
        <w:rPr>
          <w:rFonts w:asciiTheme="majorHAnsi" w:hAnsiTheme="majorHAnsi"/>
          <w:color w:val="000000"/>
          <w:sz w:val="20"/>
          <w:szCs w:val="20"/>
        </w:rPr>
        <w:t>ment of</w:t>
      </w:r>
      <w:r w:rsidR="00784769" w:rsidRPr="005722A6">
        <w:rPr>
          <w:rFonts w:asciiTheme="majorHAnsi" w:hAnsiTheme="majorHAnsi"/>
          <w:color w:val="000000"/>
          <w:sz w:val="20"/>
          <w:szCs w:val="20"/>
        </w:rPr>
        <w:t xml:space="preserve"> nationwide EDRR capacity that links both national and state elements</w:t>
      </w:r>
      <w:r w:rsidRPr="005722A6">
        <w:rPr>
          <w:rFonts w:asciiTheme="majorHAnsi" w:hAnsiTheme="majorHAnsi"/>
          <w:color w:val="000000"/>
          <w:sz w:val="20"/>
          <w:szCs w:val="20"/>
        </w:rPr>
        <w:t>; joint</w:t>
      </w:r>
      <w:r w:rsidR="00784769" w:rsidRPr="005722A6">
        <w:rPr>
          <w:rFonts w:asciiTheme="majorHAnsi" w:hAnsiTheme="majorHAnsi"/>
          <w:color w:val="000000"/>
          <w:sz w:val="20"/>
          <w:szCs w:val="20"/>
        </w:rPr>
        <w:t xml:space="preserve"> management </w:t>
      </w:r>
      <w:r w:rsidRPr="005722A6">
        <w:rPr>
          <w:rFonts w:asciiTheme="majorHAnsi" w:hAnsiTheme="majorHAnsi"/>
          <w:color w:val="000000"/>
          <w:sz w:val="20"/>
          <w:szCs w:val="20"/>
        </w:rPr>
        <w:t>and mapping of existing IAS</w:t>
      </w:r>
      <w:r w:rsidR="001717B5">
        <w:rPr>
          <w:rFonts w:asciiTheme="majorHAnsi" w:hAnsiTheme="majorHAnsi"/>
          <w:color w:val="000000"/>
          <w:sz w:val="20"/>
          <w:szCs w:val="20"/>
        </w:rPr>
        <w:t>;</w:t>
      </w:r>
      <w:r w:rsidRPr="005722A6">
        <w:rPr>
          <w:rFonts w:asciiTheme="majorHAnsi" w:hAnsiTheme="majorHAnsi"/>
          <w:color w:val="000000"/>
          <w:sz w:val="20"/>
          <w:szCs w:val="20"/>
        </w:rPr>
        <w:t xml:space="preserve"> and joint updating and implementation of a national strategic action plan for IAS that incorporates the states</w:t>
      </w:r>
      <w:r w:rsidR="00194AA1">
        <w:rPr>
          <w:rFonts w:asciiTheme="majorHAnsi" w:hAnsiTheme="majorHAnsi"/>
          <w:color w:val="000000"/>
          <w:sz w:val="20"/>
          <w:szCs w:val="20"/>
        </w:rPr>
        <w:t xml:space="preserve">. </w:t>
      </w:r>
      <w:r w:rsidRPr="005722A6">
        <w:rPr>
          <w:rFonts w:asciiTheme="majorHAnsi" w:hAnsiTheme="majorHAnsi"/>
          <w:color w:val="000000"/>
          <w:sz w:val="20"/>
          <w:szCs w:val="20"/>
        </w:rPr>
        <w:t>The project will invest in</w:t>
      </w:r>
      <w:r w:rsidR="00784769" w:rsidRPr="005722A6">
        <w:rPr>
          <w:rFonts w:asciiTheme="majorHAnsi" w:hAnsiTheme="majorHAnsi"/>
          <w:color w:val="000000"/>
          <w:sz w:val="20"/>
          <w:szCs w:val="20"/>
        </w:rPr>
        <w:t xml:space="preserve"> regulation development, improve</w:t>
      </w:r>
      <w:r w:rsidRPr="005722A6">
        <w:rPr>
          <w:rFonts w:asciiTheme="majorHAnsi" w:hAnsiTheme="majorHAnsi"/>
          <w:color w:val="000000"/>
          <w:sz w:val="20"/>
          <w:szCs w:val="20"/>
        </w:rPr>
        <w:t>d</w:t>
      </w:r>
      <w:r w:rsidR="00784769" w:rsidRPr="005722A6">
        <w:rPr>
          <w:rFonts w:asciiTheme="majorHAnsi" w:hAnsiTheme="majorHAnsi"/>
          <w:color w:val="000000"/>
          <w:sz w:val="20"/>
          <w:szCs w:val="20"/>
        </w:rPr>
        <w:t xml:space="preserve"> cost-recovery mechanisms</w:t>
      </w:r>
      <w:r w:rsidRPr="005722A6">
        <w:rPr>
          <w:rFonts w:asciiTheme="majorHAnsi" w:hAnsiTheme="majorHAnsi"/>
          <w:color w:val="000000"/>
          <w:sz w:val="20"/>
          <w:szCs w:val="20"/>
        </w:rPr>
        <w:t xml:space="preserve">, expansion of </w:t>
      </w:r>
      <w:r w:rsidR="00784769" w:rsidRPr="005722A6">
        <w:rPr>
          <w:rFonts w:asciiTheme="majorHAnsi" w:hAnsiTheme="majorHAnsi"/>
          <w:color w:val="000000"/>
          <w:sz w:val="20"/>
          <w:szCs w:val="20"/>
        </w:rPr>
        <w:t>a national database and training elements</w:t>
      </w:r>
      <w:r w:rsidRPr="005722A6">
        <w:rPr>
          <w:rFonts w:asciiTheme="majorHAnsi" w:hAnsiTheme="majorHAnsi"/>
          <w:color w:val="000000"/>
          <w:sz w:val="20"/>
          <w:szCs w:val="20"/>
        </w:rPr>
        <w:t xml:space="preserve">, and </w:t>
      </w:r>
      <w:r w:rsidR="00784769" w:rsidRPr="005722A6">
        <w:rPr>
          <w:rFonts w:asciiTheme="majorHAnsi" w:hAnsiTheme="majorHAnsi"/>
          <w:color w:val="000000"/>
          <w:sz w:val="20"/>
          <w:szCs w:val="20"/>
        </w:rPr>
        <w:t xml:space="preserve">develop capacity at the inter-state/island level. </w:t>
      </w:r>
      <w:r w:rsidRPr="005722A6">
        <w:rPr>
          <w:rFonts w:asciiTheme="majorHAnsi" w:hAnsiTheme="majorHAnsi"/>
          <w:color w:val="000000"/>
          <w:sz w:val="20"/>
          <w:szCs w:val="20"/>
        </w:rPr>
        <w:t xml:space="preserve">Together, </w:t>
      </w:r>
      <w:r w:rsidR="001717B5">
        <w:rPr>
          <w:rFonts w:asciiTheme="majorHAnsi" w:hAnsiTheme="majorHAnsi"/>
          <w:color w:val="000000"/>
          <w:sz w:val="20"/>
          <w:szCs w:val="20"/>
        </w:rPr>
        <w:t>s</w:t>
      </w:r>
      <w:r w:rsidRPr="005722A6">
        <w:rPr>
          <w:rFonts w:asciiTheme="majorHAnsi" w:hAnsiTheme="majorHAnsi"/>
          <w:color w:val="000000"/>
          <w:sz w:val="20"/>
          <w:szCs w:val="20"/>
        </w:rPr>
        <w:t xml:space="preserve">tate and </w:t>
      </w:r>
      <w:r w:rsidR="001717B5">
        <w:rPr>
          <w:rFonts w:asciiTheme="majorHAnsi" w:hAnsiTheme="majorHAnsi"/>
          <w:color w:val="000000"/>
          <w:sz w:val="20"/>
          <w:szCs w:val="20"/>
        </w:rPr>
        <w:t>n</w:t>
      </w:r>
      <w:r w:rsidRPr="005722A6">
        <w:rPr>
          <w:rFonts w:asciiTheme="majorHAnsi" w:hAnsiTheme="majorHAnsi"/>
          <w:color w:val="000000"/>
          <w:sz w:val="20"/>
          <w:szCs w:val="20"/>
        </w:rPr>
        <w:t xml:space="preserve">ational partners will improve </w:t>
      </w:r>
      <w:r w:rsidR="00B33DDA" w:rsidRPr="005722A6">
        <w:rPr>
          <w:rFonts w:asciiTheme="majorHAnsi" w:hAnsiTheme="majorHAnsi"/>
          <w:color w:val="000000"/>
          <w:sz w:val="20"/>
          <w:szCs w:val="20"/>
        </w:rPr>
        <w:t xml:space="preserve">national </w:t>
      </w:r>
      <w:r w:rsidR="001717B5">
        <w:rPr>
          <w:rFonts w:asciiTheme="majorHAnsi" w:hAnsiTheme="majorHAnsi"/>
          <w:color w:val="000000"/>
          <w:sz w:val="20"/>
          <w:szCs w:val="20"/>
        </w:rPr>
        <w:t>IAS</w:t>
      </w:r>
      <w:r w:rsidR="00B33DDA" w:rsidRPr="005722A6">
        <w:rPr>
          <w:rFonts w:asciiTheme="majorHAnsi" w:hAnsiTheme="majorHAnsi"/>
          <w:color w:val="000000"/>
          <w:sz w:val="20"/>
          <w:szCs w:val="20"/>
        </w:rPr>
        <w:t xml:space="preserve"> coordination and establish an office within MNRET </w:t>
      </w:r>
      <w:r w:rsidRPr="005722A6">
        <w:rPr>
          <w:rFonts w:asciiTheme="majorHAnsi" w:hAnsiTheme="majorHAnsi"/>
          <w:color w:val="000000"/>
          <w:sz w:val="20"/>
          <w:szCs w:val="20"/>
        </w:rPr>
        <w:t>to better s</w:t>
      </w:r>
      <w:r w:rsidR="00784769" w:rsidRPr="005722A6">
        <w:rPr>
          <w:rFonts w:asciiTheme="majorHAnsi" w:hAnsiTheme="majorHAnsi"/>
          <w:color w:val="000000"/>
          <w:sz w:val="20"/>
          <w:szCs w:val="20"/>
        </w:rPr>
        <w:t>erve as the focal point, coordination body, communication and training center for IAS related activities</w:t>
      </w:r>
      <w:r w:rsidR="00194AA1">
        <w:rPr>
          <w:rFonts w:asciiTheme="majorHAnsi" w:hAnsiTheme="majorHAnsi"/>
          <w:color w:val="000000"/>
          <w:sz w:val="20"/>
          <w:szCs w:val="20"/>
        </w:rPr>
        <w:t xml:space="preserve">. </w:t>
      </w:r>
      <w:r w:rsidR="00784769" w:rsidRPr="005722A6">
        <w:rPr>
          <w:rFonts w:asciiTheme="majorHAnsi" w:hAnsiTheme="majorHAnsi"/>
          <w:color w:val="000000"/>
          <w:sz w:val="20"/>
          <w:szCs w:val="20"/>
        </w:rPr>
        <w:t xml:space="preserve">The </w:t>
      </w:r>
      <w:r w:rsidR="00784769" w:rsidRPr="005722A6">
        <w:rPr>
          <w:rFonts w:asciiTheme="majorHAnsi" w:hAnsiTheme="majorHAnsi"/>
          <w:sz w:val="20"/>
          <w:szCs w:val="20"/>
        </w:rPr>
        <w:t xml:space="preserve">national strategy will </w:t>
      </w:r>
      <w:r w:rsidR="00D66997" w:rsidRPr="005722A6">
        <w:rPr>
          <w:rFonts w:asciiTheme="majorHAnsi" w:hAnsiTheme="majorHAnsi"/>
          <w:sz w:val="20"/>
          <w:szCs w:val="20"/>
        </w:rPr>
        <w:t xml:space="preserve">also </w:t>
      </w:r>
      <w:r w:rsidR="00784769" w:rsidRPr="005722A6">
        <w:rPr>
          <w:rFonts w:asciiTheme="majorHAnsi" w:hAnsiTheme="majorHAnsi"/>
          <w:sz w:val="20"/>
          <w:szCs w:val="20"/>
        </w:rPr>
        <w:t>support integration of IAS prevention and management into land and seascape plans. A cost recovery system</w:t>
      </w:r>
      <w:r w:rsidR="001717B5">
        <w:rPr>
          <w:rFonts w:asciiTheme="majorHAnsi" w:hAnsiTheme="majorHAnsi"/>
          <w:sz w:val="20"/>
          <w:szCs w:val="20"/>
        </w:rPr>
        <w:t>,</w:t>
      </w:r>
      <w:r w:rsidR="00784769" w:rsidRPr="005722A6">
        <w:rPr>
          <w:rFonts w:asciiTheme="majorHAnsi" w:hAnsiTheme="majorHAnsi"/>
          <w:sz w:val="20"/>
          <w:szCs w:val="20"/>
        </w:rPr>
        <w:t xml:space="preserve"> where biosecurity fees and penalties are appropriately assessed, </w:t>
      </w:r>
      <w:r w:rsidR="00784769" w:rsidRPr="005722A6">
        <w:rPr>
          <w:rFonts w:asciiTheme="majorHAnsi" w:hAnsiTheme="majorHAnsi"/>
          <w:sz w:val="20"/>
          <w:szCs w:val="20"/>
        </w:rPr>
        <w:lastRenderedPageBreak/>
        <w:t>instituted, and enforced across the board</w:t>
      </w:r>
      <w:r w:rsidR="001717B5">
        <w:rPr>
          <w:rFonts w:asciiTheme="majorHAnsi" w:hAnsiTheme="majorHAnsi"/>
          <w:sz w:val="20"/>
          <w:szCs w:val="20"/>
        </w:rPr>
        <w:t>,</w:t>
      </w:r>
      <w:r w:rsidR="00784769" w:rsidRPr="005722A6">
        <w:rPr>
          <w:rFonts w:asciiTheme="majorHAnsi" w:hAnsiTheme="majorHAnsi"/>
          <w:sz w:val="20"/>
          <w:szCs w:val="20"/>
        </w:rPr>
        <w:t xml:space="preserve"> will be </w:t>
      </w:r>
      <w:r w:rsidR="001717B5">
        <w:rPr>
          <w:rFonts w:asciiTheme="majorHAnsi" w:hAnsiTheme="majorHAnsi"/>
          <w:sz w:val="20"/>
          <w:szCs w:val="20"/>
        </w:rPr>
        <w:t>set up</w:t>
      </w:r>
      <w:r w:rsidR="00784769" w:rsidRPr="005722A6">
        <w:rPr>
          <w:rFonts w:asciiTheme="majorHAnsi" w:hAnsiTheme="majorHAnsi"/>
          <w:sz w:val="20"/>
          <w:szCs w:val="20"/>
        </w:rPr>
        <w:t xml:space="preserve"> with a mechanism </w:t>
      </w:r>
      <w:r w:rsidR="001717B5">
        <w:rPr>
          <w:rFonts w:asciiTheme="majorHAnsi" w:hAnsiTheme="majorHAnsi"/>
          <w:sz w:val="20"/>
          <w:szCs w:val="20"/>
        </w:rPr>
        <w:t>to</w:t>
      </w:r>
      <w:r w:rsidR="00784769" w:rsidRPr="005722A6">
        <w:rPr>
          <w:rFonts w:asciiTheme="majorHAnsi" w:hAnsiTheme="majorHAnsi"/>
          <w:sz w:val="20"/>
          <w:szCs w:val="20"/>
        </w:rPr>
        <w:t xml:space="preserve"> invest these funds in supporting biosecurity and IAS management</w:t>
      </w:r>
      <w:r w:rsidR="00194AA1">
        <w:rPr>
          <w:rFonts w:asciiTheme="majorHAnsi" w:hAnsiTheme="majorHAnsi"/>
          <w:sz w:val="20"/>
          <w:szCs w:val="20"/>
        </w:rPr>
        <w:t xml:space="preserve">. </w:t>
      </w:r>
      <w:r w:rsidR="00784769" w:rsidRPr="005722A6">
        <w:rPr>
          <w:rFonts w:asciiTheme="majorHAnsi" w:hAnsiTheme="majorHAnsi"/>
          <w:sz w:val="20"/>
          <w:szCs w:val="20"/>
        </w:rPr>
        <w:t>Finally, the project will work to strengthen national capacity for effective monitoring, surveillance and increasing compliance with existing laws by the D</w:t>
      </w:r>
      <w:r w:rsidR="00E360DA" w:rsidRPr="005722A6">
        <w:rPr>
          <w:rFonts w:asciiTheme="majorHAnsi" w:hAnsiTheme="majorHAnsi"/>
          <w:sz w:val="20"/>
          <w:szCs w:val="20"/>
        </w:rPr>
        <w:t>FWP</w:t>
      </w:r>
      <w:r w:rsidR="00784769" w:rsidRPr="005722A6">
        <w:rPr>
          <w:rFonts w:asciiTheme="majorHAnsi" w:hAnsiTheme="majorHAnsi"/>
          <w:sz w:val="20"/>
          <w:szCs w:val="20"/>
        </w:rPr>
        <w:t xml:space="preserve"> and other relevant regulatory agencies (incl</w:t>
      </w:r>
      <w:r w:rsidR="00882D5D" w:rsidRPr="005722A6">
        <w:rPr>
          <w:rFonts w:asciiTheme="majorHAnsi" w:hAnsiTheme="majorHAnsi"/>
          <w:sz w:val="20"/>
          <w:szCs w:val="20"/>
        </w:rPr>
        <w:t xml:space="preserve">uding </w:t>
      </w:r>
      <w:r w:rsidR="00784769" w:rsidRPr="005722A6">
        <w:rPr>
          <w:rFonts w:asciiTheme="majorHAnsi" w:hAnsiTheme="majorHAnsi"/>
          <w:sz w:val="20"/>
          <w:szCs w:val="20"/>
        </w:rPr>
        <w:t>BMR) to prevent, respond effectively to and prosecute violations.</w:t>
      </w:r>
    </w:p>
    <w:p w14:paraId="08D062CE" w14:textId="77777777" w:rsidR="00B87774" w:rsidRPr="005722A6" w:rsidRDefault="00B87774" w:rsidP="00B87774">
      <w:pPr>
        <w:spacing w:after="0"/>
        <w:rPr>
          <w:rFonts w:asciiTheme="majorHAnsi" w:hAnsiTheme="majorHAnsi"/>
          <w:b/>
          <w:i/>
          <w:sz w:val="20"/>
          <w:szCs w:val="20"/>
        </w:rPr>
      </w:pPr>
      <w:r w:rsidRPr="005722A6">
        <w:rPr>
          <w:rFonts w:asciiTheme="majorHAnsi" w:hAnsiTheme="majorHAnsi"/>
          <w:b/>
          <w:i/>
          <w:sz w:val="20"/>
          <w:szCs w:val="20"/>
        </w:rPr>
        <w:t>Output 1.1: Functional govern</w:t>
      </w:r>
      <w:r w:rsidR="0057218D" w:rsidRPr="005722A6">
        <w:rPr>
          <w:rFonts w:asciiTheme="majorHAnsi" w:hAnsiTheme="majorHAnsi"/>
          <w:b/>
          <w:i/>
          <w:sz w:val="20"/>
          <w:szCs w:val="20"/>
        </w:rPr>
        <w:t>ance and coordination mechanism</w:t>
      </w:r>
      <w:r w:rsidRPr="005722A6">
        <w:rPr>
          <w:rFonts w:asciiTheme="majorHAnsi" w:hAnsiTheme="majorHAnsi"/>
          <w:b/>
          <w:i/>
          <w:sz w:val="20"/>
          <w:szCs w:val="20"/>
        </w:rPr>
        <w:t xml:space="preserve"> established to support dialogue, information flow and decision–making between state and national levels for facilitating integrated landscape and seascape planning and management</w:t>
      </w:r>
    </w:p>
    <w:p w14:paraId="3D6B3B5F" w14:textId="77777777" w:rsidR="00B87774" w:rsidRPr="005722A6" w:rsidRDefault="00B87774" w:rsidP="00B87774">
      <w:pPr>
        <w:spacing w:after="0"/>
        <w:rPr>
          <w:rFonts w:asciiTheme="majorHAnsi" w:hAnsiTheme="majorHAnsi"/>
          <w:b/>
          <w:sz w:val="20"/>
          <w:szCs w:val="20"/>
        </w:rPr>
      </w:pPr>
    </w:p>
    <w:p w14:paraId="7D0E9D13" w14:textId="4496D39F" w:rsidR="00367E48" w:rsidRPr="005722A6" w:rsidRDefault="0057218D" w:rsidP="00C37A47">
      <w:pPr>
        <w:spacing w:after="180"/>
        <w:rPr>
          <w:rFonts w:asciiTheme="majorHAnsi" w:hAnsiTheme="majorHAnsi"/>
          <w:sz w:val="20"/>
          <w:szCs w:val="20"/>
        </w:rPr>
      </w:pPr>
      <w:r w:rsidRPr="005722A6">
        <w:rPr>
          <w:rFonts w:asciiTheme="majorHAnsi" w:hAnsiTheme="majorHAnsi"/>
          <w:sz w:val="20"/>
          <w:szCs w:val="20"/>
        </w:rPr>
        <w:t>Under this output, the Project will</w:t>
      </w:r>
      <w:r w:rsidR="00514300" w:rsidRPr="005722A6">
        <w:rPr>
          <w:rFonts w:asciiTheme="majorHAnsi" w:hAnsiTheme="majorHAnsi"/>
          <w:sz w:val="20"/>
          <w:szCs w:val="20"/>
        </w:rPr>
        <w:t xml:space="preserve"> </w:t>
      </w:r>
      <w:r w:rsidR="001B0689" w:rsidRPr="005722A6">
        <w:rPr>
          <w:rFonts w:asciiTheme="majorHAnsi" w:hAnsiTheme="majorHAnsi"/>
          <w:sz w:val="20"/>
          <w:szCs w:val="20"/>
        </w:rPr>
        <w:t xml:space="preserve">support the </w:t>
      </w:r>
      <w:r w:rsidR="00514300" w:rsidRPr="005722A6">
        <w:rPr>
          <w:rFonts w:asciiTheme="majorHAnsi" w:hAnsiTheme="majorHAnsi"/>
          <w:sz w:val="20"/>
          <w:szCs w:val="20"/>
        </w:rPr>
        <w:t>establish</w:t>
      </w:r>
      <w:r w:rsidR="001B0689" w:rsidRPr="005722A6">
        <w:rPr>
          <w:rFonts w:asciiTheme="majorHAnsi" w:hAnsiTheme="majorHAnsi"/>
          <w:sz w:val="20"/>
          <w:szCs w:val="20"/>
        </w:rPr>
        <w:t>ment of</w:t>
      </w:r>
      <w:r w:rsidR="00514300" w:rsidRPr="005722A6">
        <w:rPr>
          <w:rFonts w:asciiTheme="majorHAnsi" w:hAnsiTheme="majorHAnsi"/>
          <w:sz w:val="20"/>
          <w:szCs w:val="20"/>
        </w:rPr>
        <w:t xml:space="preserve"> a </w:t>
      </w:r>
      <w:r w:rsidR="00514300" w:rsidRPr="005722A6">
        <w:rPr>
          <w:rFonts w:asciiTheme="majorHAnsi" w:hAnsiTheme="majorHAnsi"/>
          <w:color w:val="000000"/>
          <w:sz w:val="20"/>
          <w:szCs w:val="20"/>
        </w:rPr>
        <w:t xml:space="preserve">Joint Coordination Body </w:t>
      </w:r>
      <w:r w:rsidR="004B60FB" w:rsidRPr="005722A6">
        <w:rPr>
          <w:rFonts w:asciiTheme="majorHAnsi" w:hAnsiTheme="majorHAnsi"/>
          <w:color w:val="000000"/>
          <w:sz w:val="20"/>
          <w:szCs w:val="20"/>
        </w:rPr>
        <w:t>(JCB)</w:t>
      </w:r>
      <w:r w:rsidR="001F4492" w:rsidRPr="005722A6">
        <w:rPr>
          <w:rFonts w:asciiTheme="majorHAnsi" w:hAnsiTheme="majorHAnsi"/>
          <w:color w:val="000000"/>
          <w:sz w:val="20"/>
          <w:szCs w:val="20"/>
        </w:rPr>
        <w:t xml:space="preserve"> with strong representation from states and the private sector (in addition to national government and nonprofits)</w:t>
      </w:r>
      <w:r w:rsidR="004B60FB" w:rsidRPr="005722A6">
        <w:rPr>
          <w:rFonts w:asciiTheme="majorHAnsi" w:hAnsiTheme="majorHAnsi"/>
          <w:color w:val="000000"/>
          <w:sz w:val="20"/>
          <w:szCs w:val="20"/>
        </w:rPr>
        <w:t xml:space="preserve"> </w:t>
      </w:r>
      <w:r w:rsidR="00514300" w:rsidRPr="005722A6">
        <w:rPr>
          <w:rFonts w:asciiTheme="majorHAnsi" w:hAnsiTheme="majorHAnsi"/>
          <w:color w:val="000000"/>
          <w:sz w:val="20"/>
          <w:szCs w:val="20"/>
        </w:rPr>
        <w:t>to implement joint sea</w:t>
      </w:r>
      <w:r w:rsidR="00E96B53">
        <w:rPr>
          <w:rFonts w:asciiTheme="majorHAnsi" w:hAnsiTheme="majorHAnsi"/>
          <w:color w:val="000000"/>
          <w:sz w:val="20"/>
          <w:szCs w:val="20"/>
        </w:rPr>
        <w:t>/</w:t>
      </w:r>
      <w:r w:rsidR="00514300" w:rsidRPr="005722A6">
        <w:rPr>
          <w:rFonts w:asciiTheme="majorHAnsi" w:hAnsiTheme="majorHAnsi"/>
          <w:color w:val="000000"/>
          <w:sz w:val="20"/>
          <w:szCs w:val="20"/>
        </w:rPr>
        <w:t>landscape planning</w:t>
      </w:r>
      <w:r w:rsidR="001F4492" w:rsidRPr="005722A6">
        <w:rPr>
          <w:rFonts w:asciiTheme="majorHAnsi" w:hAnsiTheme="majorHAnsi"/>
          <w:color w:val="000000"/>
          <w:sz w:val="20"/>
          <w:szCs w:val="20"/>
        </w:rPr>
        <w:t xml:space="preserve"> and to ensure that development plans mainstream biodiversity and biosecurity policies</w:t>
      </w:r>
      <w:r w:rsidR="00514300" w:rsidRPr="005722A6">
        <w:rPr>
          <w:rFonts w:asciiTheme="majorHAnsi" w:hAnsiTheme="majorHAnsi"/>
          <w:color w:val="000000"/>
          <w:sz w:val="20"/>
          <w:szCs w:val="20"/>
        </w:rPr>
        <w:t>. In addition to t</w:t>
      </w:r>
      <w:r w:rsidR="004B60FB" w:rsidRPr="005722A6">
        <w:rPr>
          <w:rFonts w:asciiTheme="majorHAnsi" w:hAnsiTheme="majorHAnsi"/>
          <w:color w:val="000000"/>
          <w:sz w:val="20"/>
          <w:szCs w:val="20"/>
        </w:rPr>
        <w:t>he tasks of coordination, this b</w:t>
      </w:r>
      <w:r w:rsidR="00514300" w:rsidRPr="005722A6">
        <w:rPr>
          <w:rFonts w:asciiTheme="majorHAnsi" w:hAnsiTheme="majorHAnsi"/>
          <w:color w:val="000000"/>
          <w:sz w:val="20"/>
          <w:szCs w:val="20"/>
        </w:rPr>
        <w:t xml:space="preserve">ody </w:t>
      </w:r>
      <w:r w:rsidR="001F4492" w:rsidRPr="005722A6">
        <w:rPr>
          <w:rFonts w:asciiTheme="majorHAnsi" w:hAnsiTheme="majorHAnsi"/>
          <w:color w:val="000000"/>
          <w:sz w:val="20"/>
          <w:szCs w:val="20"/>
        </w:rPr>
        <w:t>will contribute to</w:t>
      </w:r>
      <w:r w:rsidR="00514300" w:rsidRPr="005722A6">
        <w:rPr>
          <w:rFonts w:asciiTheme="majorHAnsi" w:hAnsiTheme="majorHAnsi"/>
          <w:color w:val="000000"/>
          <w:sz w:val="20"/>
          <w:szCs w:val="20"/>
        </w:rPr>
        <w:t xml:space="preserve"> the formalization of the Bureau of the Environment</w:t>
      </w:r>
      <w:r w:rsidR="00D66997" w:rsidRPr="005722A6">
        <w:rPr>
          <w:rFonts w:asciiTheme="majorHAnsi" w:hAnsiTheme="majorHAnsi"/>
          <w:color w:val="000000"/>
          <w:sz w:val="20"/>
          <w:szCs w:val="20"/>
        </w:rPr>
        <w:t xml:space="preserve"> (BOE)</w:t>
      </w:r>
      <w:r w:rsidR="00514300" w:rsidRPr="005722A6">
        <w:rPr>
          <w:rFonts w:asciiTheme="majorHAnsi" w:hAnsiTheme="majorHAnsi"/>
          <w:color w:val="000000"/>
          <w:sz w:val="20"/>
          <w:szCs w:val="20"/>
        </w:rPr>
        <w:t xml:space="preserve"> within MNRET</w:t>
      </w:r>
      <w:r w:rsidR="007F7FB9" w:rsidRPr="005722A6">
        <w:rPr>
          <w:rFonts w:asciiTheme="majorHAnsi" w:hAnsiTheme="majorHAnsi"/>
          <w:color w:val="000000"/>
          <w:sz w:val="20"/>
          <w:szCs w:val="20"/>
        </w:rPr>
        <w:t xml:space="preserve"> as </w:t>
      </w:r>
      <w:r w:rsidR="004B60FB" w:rsidRPr="005722A6">
        <w:rPr>
          <w:rFonts w:asciiTheme="majorHAnsi" w:hAnsiTheme="majorHAnsi"/>
          <w:color w:val="000000"/>
          <w:sz w:val="20"/>
          <w:szCs w:val="20"/>
        </w:rPr>
        <w:t xml:space="preserve">a </w:t>
      </w:r>
      <w:r w:rsidR="007F7FB9" w:rsidRPr="005722A6">
        <w:rPr>
          <w:rFonts w:asciiTheme="majorHAnsi" w:hAnsiTheme="majorHAnsi"/>
          <w:color w:val="000000"/>
          <w:sz w:val="20"/>
          <w:szCs w:val="20"/>
        </w:rPr>
        <w:t>long-term goal</w:t>
      </w:r>
      <w:r w:rsidR="00514300" w:rsidRPr="005722A6">
        <w:rPr>
          <w:rFonts w:asciiTheme="majorHAnsi" w:hAnsiTheme="majorHAnsi"/>
          <w:color w:val="000000"/>
          <w:sz w:val="20"/>
          <w:szCs w:val="20"/>
        </w:rPr>
        <w:t xml:space="preserve">. Initially this </w:t>
      </w:r>
      <w:r w:rsidR="004B60FB" w:rsidRPr="005722A6">
        <w:rPr>
          <w:rFonts w:asciiTheme="majorHAnsi" w:hAnsiTheme="majorHAnsi"/>
          <w:color w:val="000000"/>
          <w:sz w:val="20"/>
          <w:szCs w:val="20"/>
        </w:rPr>
        <w:t>JCB</w:t>
      </w:r>
      <w:r w:rsidR="00514300" w:rsidRPr="005722A6">
        <w:rPr>
          <w:rFonts w:asciiTheme="majorHAnsi" w:hAnsiTheme="majorHAnsi"/>
          <w:color w:val="000000"/>
          <w:sz w:val="20"/>
          <w:szCs w:val="20"/>
        </w:rPr>
        <w:t xml:space="preserve"> will be established as an Ad Hoc Committee under the NEPC, which has the authority to create such bodies</w:t>
      </w:r>
      <w:r w:rsidR="001F4492" w:rsidRPr="005722A6">
        <w:rPr>
          <w:rFonts w:asciiTheme="majorHAnsi" w:hAnsiTheme="majorHAnsi"/>
          <w:color w:val="000000"/>
          <w:sz w:val="20"/>
          <w:szCs w:val="20"/>
        </w:rPr>
        <w:t xml:space="preserve">, until it can be adequately established as a Land Use Planning unit and then a </w:t>
      </w:r>
      <w:r w:rsidR="00E360DA" w:rsidRPr="005722A6">
        <w:rPr>
          <w:rFonts w:asciiTheme="majorHAnsi" w:hAnsiTheme="majorHAnsi"/>
          <w:color w:val="000000"/>
          <w:sz w:val="20"/>
          <w:szCs w:val="20"/>
        </w:rPr>
        <w:t>BOE</w:t>
      </w:r>
      <w:r w:rsidR="00514300" w:rsidRPr="005722A6">
        <w:rPr>
          <w:rFonts w:asciiTheme="majorHAnsi" w:hAnsiTheme="majorHAnsi"/>
          <w:color w:val="000000"/>
          <w:sz w:val="20"/>
          <w:szCs w:val="20"/>
        </w:rPr>
        <w:t xml:space="preserve">. </w:t>
      </w:r>
      <w:r w:rsidR="00057AA9" w:rsidRPr="005722A6">
        <w:rPr>
          <w:rFonts w:asciiTheme="majorHAnsi" w:hAnsiTheme="majorHAnsi"/>
          <w:color w:val="000000"/>
          <w:sz w:val="20"/>
          <w:szCs w:val="20"/>
        </w:rPr>
        <w:t xml:space="preserve">During the first year of the project the JCB will </w:t>
      </w:r>
      <w:r w:rsidR="00284B9E" w:rsidRPr="005722A6">
        <w:rPr>
          <w:rFonts w:asciiTheme="majorHAnsi" w:hAnsiTheme="majorHAnsi"/>
          <w:color w:val="000000"/>
          <w:sz w:val="20"/>
          <w:szCs w:val="20"/>
        </w:rPr>
        <w:t xml:space="preserve">advise and support the </w:t>
      </w:r>
      <w:r w:rsidR="00057AA9" w:rsidRPr="005722A6">
        <w:rPr>
          <w:rFonts w:asciiTheme="majorHAnsi" w:hAnsiTheme="majorHAnsi"/>
          <w:color w:val="000000"/>
          <w:sz w:val="20"/>
          <w:szCs w:val="20"/>
        </w:rPr>
        <w:t>draft</w:t>
      </w:r>
      <w:r w:rsidR="00284B9E" w:rsidRPr="005722A6">
        <w:rPr>
          <w:rFonts w:asciiTheme="majorHAnsi" w:hAnsiTheme="majorHAnsi"/>
          <w:color w:val="000000"/>
          <w:sz w:val="20"/>
          <w:szCs w:val="20"/>
        </w:rPr>
        <w:t>ing</w:t>
      </w:r>
      <w:r w:rsidR="00057AA9" w:rsidRPr="005722A6">
        <w:rPr>
          <w:rFonts w:asciiTheme="majorHAnsi" w:hAnsiTheme="majorHAnsi"/>
          <w:color w:val="000000"/>
          <w:sz w:val="20"/>
          <w:szCs w:val="20"/>
        </w:rPr>
        <w:t xml:space="preserve"> and adopt</w:t>
      </w:r>
      <w:r w:rsidR="00284B9E" w:rsidRPr="005722A6">
        <w:rPr>
          <w:rFonts w:asciiTheme="majorHAnsi" w:hAnsiTheme="majorHAnsi"/>
          <w:color w:val="000000"/>
          <w:sz w:val="20"/>
          <w:szCs w:val="20"/>
        </w:rPr>
        <w:t>ion of</w:t>
      </w:r>
      <w:r w:rsidR="00057AA9" w:rsidRPr="005722A6">
        <w:rPr>
          <w:rFonts w:asciiTheme="majorHAnsi" w:hAnsiTheme="majorHAnsi"/>
          <w:color w:val="000000"/>
          <w:sz w:val="20"/>
          <w:szCs w:val="20"/>
        </w:rPr>
        <w:t xml:space="preserve"> </w:t>
      </w:r>
      <w:r w:rsidR="000C619B">
        <w:rPr>
          <w:rFonts w:asciiTheme="majorHAnsi" w:hAnsiTheme="majorHAnsi"/>
          <w:color w:val="000000"/>
          <w:sz w:val="20"/>
          <w:szCs w:val="20"/>
        </w:rPr>
        <w:t>s</w:t>
      </w:r>
      <w:r w:rsidR="00057AA9" w:rsidRPr="005722A6">
        <w:rPr>
          <w:rFonts w:asciiTheme="majorHAnsi" w:hAnsiTheme="majorHAnsi"/>
          <w:color w:val="000000"/>
          <w:sz w:val="20"/>
          <w:szCs w:val="20"/>
        </w:rPr>
        <w:t xml:space="preserve">tandard </w:t>
      </w:r>
      <w:r w:rsidR="000C619B">
        <w:rPr>
          <w:rFonts w:asciiTheme="majorHAnsi" w:hAnsiTheme="majorHAnsi"/>
          <w:color w:val="000000"/>
          <w:sz w:val="20"/>
          <w:szCs w:val="20"/>
        </w:rPr>
        <w:t>o</w:t>
      </w:r>
      <w:r w:rsidR="00057AA9" w:rsidRPr="005722A6">
        <w:rPr>
          <w:rFonts w:asciiTheme="majorHAnsi" w:hAnsiTheme="majorHAnsi"/>
          <w:color w:val="000000"/>
          <w:sz w:val="20"/>
          <w:szCs w:val="20"/>
        </w:rPr>
        <w:t xml:space="preserve">perating </w:t>
      </w:r>
      <w:r w:rsidR="000C619B">
        <w:rPr>
          <w:rFonts w:asciiTheme="majorHAnsi" w:hAnsiTheme="majorHAnsi"/>
          <w:color w:val="000000"/>
          <w:sz w:val="20"/>
          <w:szCs w:val="20"/>
        </w:rPr>
        <w:t>p</w:t>
      </w:r>
      <w:r w:rsidR="00057AA9" w:rsidRPr="005722A6">
        <w:rPr>
          <w:rFonts w:asciiTheme="majorHAnsi" w:hAnsiTheme="majorHAnsi"/>
          <w:color w:val="000000"/>
          <w:sz w:val="20"/>
          <w:szCs w:val="20"/>
        </w:rPr>
        <w:t>rotocols</w:t>
      </w:r>
      <w:r w:rsidR="00284B9E" w:rsidRPr="005722A6">
        <w:rPr>
          <w:rFonts w:asciiTheme="majorHAnsi" w:hAnsiTheme="majorHAnsi"/>
          <w:color w:val="000000"/>
          <w:sz w:val="20"/>
          <w:szCs w:val="20"/>
        </w:rPr>
        <w:t>, b</w:t>
      </w:r>
      <w:r w:rsidR="00057AA9" w:rsidRPr="005722A6">
        <w:rPr>
          <w:rFonts w:asciiTheme="majorHAnsi" w:hAnsiTheme="majorHAnsi"/>
          <w:color w:val="000000"/>
          <w:sz w:val="20"/>
          <w:szCs w:val="20"/>
        </w:rPr>
        <w:t>ylaws</w:t>
      </w:r>
      <w:r w:rsidR="00284B9E" w:rsidRPr="005722A6">
        <w:rPr>
          <w:rFonts w:asciiTheme="majorHAnsi" w:hAnsiTheme="majorHAnsi"/>
          <w:color w:val="000000"/>
          <w:sz w:val="20"/>
          <w:szCs w:val="20"/>
        </w:rPr>
        <w:t xml:space="preserve"> regulation and guidelines to facilitate the mainstream</w:t>
      </w:r>
      <w:r w:rsidR="001B0689" w:rsidRPr="005722A6">
        <w:rPr>
          <w:rFonts w:asciiTheme="majorHAnsi" w:hAnsiTheme="majorHAnsi"/>
          <w:color w:val="000000"/>
          <w:sz w:val="20"/>
          <w:szCs w:val="20"/>
        </w:rPr>
        <w:t>ing</w:t>
      </w:r>
      <w:r w:rsidR="00284B9E" w:rsidRPr="005722A6">
        <w:rPr>
          <w:rFonts w:asciiTheme="majorHAnsi" w:hAnsiTheme="majorHAnsi"/>
          <w:color w:val="000000"/>
          <w:sz w:val="20"/>
          <w:szCs w:val="20"/>
        </w:rPr>
        <w:t xml:space="preserve"> of biodiversity into sectoral policy and plans</w:t>
      </w:r>
      <w:r w:rsidR="001B0689" w:rsidRPr="005722A6">
        <w:rPr>
          <w:rFonts w:asciiTheme="majorHAnsi" w:hAnsiTheme="majorHAnsi"/>
          <w:color w:val="000000"/>
          <w:sz w:val="20"/>
          <w:szCs w:val="20"/>
        </w:rPr>
        <w:t>.</w:t>
      </w:r>
      <w:r w:rsidR="00BB0552" w:rsidRPr="005722A6">
        <w:rPr>
          <w:rFonts w:asciiTheme="majorHAnsi" w:hAnsiTheme="majorHAnsi"/>
          <w:sz w:val="20"/>
          <w:szCs w:val="20"/>
        </w:rPr>
        <w:t xml:space="preserve"> </w:t>
      </w:r>
      <w:r w:rsidRPr="005722A6">
        <w:rPr>
          <w:rFonts w:asciiTheme="majorHAnsi" w:hAnsiTheme="majorHAnsi"/>
          <w:sz w:val="20"/>
          <w:szCs w:val="20"/>
        </w:rPr>
        <w:t xml:space="preserve">The </w:t>
      </w:r>
      <w:r w:rsidR="00060F04" w:rsidRPr="005722A6">
        <w:rPr>
          <w:rFonts w:asciiTheme="majorHAnsi" w:hAnsiTheme="majorHAnsi"/>
          <w:sz w:val="20"/>
          <w:szCs w:val="20"/>
        </w:rPr>
        <w:t>JCB’s</w:t>
      </w:r>
      <w:r w:rsidRPr="005722A6">
        <w:rPr>
          <w:rFonts w:asciiTheme="majorHAnsi" w:hAnsiTheme="majorHAnsi"/>
          <w:sz w:val="20"/>
          <w:szCs w:val="20"/>
        </w:rPr>
        <w:t xml:space="preserve"> functioning will be guaranteed by a </w:t>
      </w:r>
      <w:r w:rsidR="000C619B">
        <w:rPr>
          <w:rFonts w:asciiTheme="majorHAnsi" w:hAnsiTheme="majorHAnsi"/>
          <w:sz w:val="20"/>
          <w:szCs w:val="20"/>
        </w:rPr>
        <w:t>S</w:t>
      </w:r>
      <w:r w:rsidRPr="005722A6">
        <w:rPr>
          <w:rFonts w:asciiTheme="majorHAnsi" w:hAnsiTheme="majorHAnsi"/>
          <w:sz w:val="20"/>
          <w:szCs w:val="20"/>
        </w:rPr>
        <w:t xml:space="preserve">ecretariat, with permanent staff, appointed among public officers. </w:t>
      </w:r>
    </w:p>
    <w:p w14:paraId="5A280110" w14:textId="07D6AE80" w:rsidR="001E6E0F" w:rsidRPr="005722A6" w:rsidRDefault="001E6E0F" w:rsidP="001E6E0F">
      <w:pPr>
        <w:spacing w:after="0"/>
        <w:rPr>
          <w:rFonts w:asciiTheme="majorHAnsi" w:hAnsiTheme="majorHAnsi"/>
          <w:color w:val="000000"/>
          <w:sz w:val="20"/>
          <w:szCs w:val="20"/>
        </w:rPr>
      </w:pPr>
      <w:r w:rsidRPr="005722A6">
        <w:rPr>
          <w:rFonts w:asciiTheme="majorHAnsi" w:hAnsiTheme="majorHAnsi"/>
          <w:color w:val="000000"/>
          <w:sz w:val="20"/>
          <w:szCs w:val="20"/>
        </w:rPr>
        <w:t xml:space="preserve">The tasks of the </w:t>
      </w:r>
      <w:r w:rsidR="00A16CB9" w:rsidRPr="005722A6">
        <w:rPr>
          <w:rFonts w:asciiTheme="majorHAnsi" w:hAnsiTheme="majorHAnsi"/>
          <w:color w:val="000000"/>
          <w:sz w:val="20"/>
          <w:szCs w:val="20"/>
        </w:rPr>
        <w:t>J</w:t>
      </w:r>
      <w:r w:rsidR="00E360DA" w:rsidRPr="005722A6">
        <w:rPr>
          <w:rFonts w:asciiTheme="majorHAnsi" w:hAnsiTheme="majorHAnsi"/>
          <w:color w:val="000000"/>
          <w:sz w:val="20"/>
          <w:szCs w:val="20"/>
        </w:rPr>
        <w:t>CB</w:t>
      </w:r>
      <w:r w:rsidRPr="005722A6">
        <w:rPr>
          <w:rFonts w:asciiTheme="majorHAnsi" w:hAnsiTheme="majorHAnsi"/>
          <w:color w:val="000000"/>
          <w:sz w:val="20"/>
          <w:szCs w:val="20"/>
        </w:rPr>
        <w:t xml:space="preserve"> would include the following:</w:t>
      </w:r>
    </w:p>
    <w:p w14:paraId="6FAFECBA" w14:textId="77777777" w:rsidR="001E6E0F" w:rsidRPr="005722A6" w:rsidRDefault="001E6E0F" w:rsidP="001E6E0F">
      <w:pPr>
        <w:spacing w:after="0"/>
        <w:rPr>
          <w:rFonts w:asciiTheme="majorHAnsi" w:hAnsiTheme="majorHAnsi"/>
          <w:sz w:val="20"/>
          <w:szCs w:val="20"/>
        </w:rPr>
      </w:pPr>
    </w:p>
    <w:p w14:paraId="4BBDB275" w14:textId="77777777" w:rsidR="001E6E0F" w:rsidRPr="005722A6" w:rsidRDefault="001E6E0F" w:rsidP="00B02352">
      <w:pPr>
        <w:numPr>
          <w:ilvl w:val="0"/>
          <w:numId w:val="19"/>
        </w:numPr>
        <w:spacing w:after="0"/>
        <w:rPr>
          <w:rFonts w:asciiTheme="majorHAnsi" w:hAnsiTheme="majorHAnsi"/>
          <w:sz w:val="20"/>
          <w:szCs w:val="20"/>
        </w:rPr>
      </w:pPr>
      <w:r w:rsidRPr="005722A6">
        <w:rPr>
          <w:rFonts w:asciiTheme="majorHAnsi" w:hAnsiTheme="majorHAnsi"/>
          <w:i/>
          <w:sz w:val="20"/>
          <w:szCs w:val="20"/>
        </w:rPr>
        <w:t>Addressing directives, guidelines, manuals, and standards for land and seascape governance</w:t>
      </w:r>
      <w:r w:rsidRPr="005722A6">
        <w:rPr>
          <w:rFonts w:asciiTheme="majorHAnsi" w:hAnsiTheme="majorHAnsi"/>
          <w:sz w:val="20"/>
          <w:szCs w:val="20"/>
        </w:rPr>
        <w:t>: the Project will support the development of guidelines and standards for landscape and seascape plan elaboration, which will be mainstreamed by the JCB;</w:t>
      </w:r>
    </w:p>
    <w:p w14:paraId="4773FEB5" w14:textId="77777777" w:rsidR="001E6E0F" w:rsidRPr="005722A6" w:rsidRDefault="001E6E0F" w:rsidP="00B02352">
      <w:pPr>
        <w:numPr>
          <w:ilvl w:val="0"/>
          <w:numId w:val="19"/>
        </w:numPr>
        <w:spacing w:after="0"/>
        <w:rPr>
          <w:rFonts w:asciiTheme="majorHAnsi" w:hAnsiTheme="majorHAnsi"/>
          <w:sz w:val="20"/>
          <w:szCs w:val="20"/>
        </w:rPr>
      </w:pPr>
      <w:r w:rsidRPr="005722A6">
        <w:rPr>
          <w:rFonts w:asciiTheme="majorHAnsi" w:hAnsiTheme="majorHAnsi"/>
          <w:i/>
          <w:sz w:val="20"/>
          <w:szCs w:val="20"/>
        </w:rPr>
        <w:t>Coordinating development of legislation, regulations and protocols to strengthen national-state land and sea scape planning</w:t>
      </w:r>
      <w:r w:rsidRPr="005722A6">
        <w:rPr>
          <w:rFonts w:asciiTheme="majorHAnsi" w:hAnsiTheme="majorHAnsi"/>
          <w:sz w:val="20"/>
          <w:szCs w:val="20"/>
        </w:rPr>
        <w:t xml:space="preserve">, including: proposing standards, drafting directives, supporting legislative, regulation and protocol development and developing plan review and feedback mechanisms  </w:t>
      </w:r>
    </w:p>
    <w:p w14:paraId="47FF352E" w14:textId="77777777" w:rsidR="001E6E0F" w:rsidRPr="005722A6" w:rsidRDefault="001E6E0F" w:rsidP="00B02352">
      <w:pPr>
        <w:numPr>
          <w:ilvl w:val="0"/>
          <w:numId w:val="19"/>
        </w:numPr>
        <w:spacing w:after="0"/>
        <w:rPr>
          <w:rFonts w:asciiTheme="majorHAnsi" w:hAnsiTheme="majorHAnsi"/>
          <w:sz w:val="20"/>
          <w:szCs w:val="20"/>
        </w:rPr>
      </w:pPr>
      <w:r w:rsidRPr="005722A6">
        <w:rPr>
          <w:rFonts w:asciiTheme="majorHAnsi" w:hAnsiTheme="majorHAnsi"/>
          <w:i/>
          <w:sz w:val="20"/>
          <w:szCs w:val="20"/>
        </w:rPr>
        <w:t>Proposing specific framework policies to mainstream biodiversity conservation</w:t>
      </w:r>
      <w:r w:rsidRPr="005722A6">
        <w:rPr>
          <w:rFonts w:asciiTheme="majorHAnsi" w:hAnsiTheme="majorHAnsi"/>
          <w:sz w:val="20"/>
          <w:szCs w:val="20"/>
        </w:rPr>
        <w:t xml:space="preserve"> into key sectors at the macro level-scale;</w:t>
      </w:r>
    </w:p>
    <w:p w14:paraId="24A7EDDE" w14:textId="77777777" w:rsidR="001E6E0F" w:rsidRPr="005722A6" w:rsidRDefault="001E6E0F" w:rsidP="00B02352">
      <w:pPr>
        <w:numPr>
          <w:ilvl w:val="0"/>
          <w:numId w:val="19"/>
        </w:numPr>
        <w:spacing w:after="0"/>
        <w:rPr>
          <w:rFonts w:asciiTheme="majorHAnsi" w:hAnsiTheme="majorHAnsi"/>
          <w:sz w:val="20"/>
          <w:szCs w:val="20"/>
        </w:rPr>
      </w:pPr>
      <w:r w:rsidRPr="005722A6">
        <w:rPr>
          <w:rFonts w:asciiTheme="majorHAnsi" w:hAnsiTheme="majorHAnsi"/>
          <w:i/>
          <w:sz w:val="20"/>
          <w:szCs w:val="20"/>
        </w:rPr>
        <w:t>Overviewing the baseline information repository</w:t>
      </w:r>
      <w:r w:rsidRPr="005722A6">
        <w:rPr>
          <w:rFonts w:asciiTheme="majorHAnsi" w:hAnsiTheme="majorHAnsi"/>
          <w:sz w:val="20"/>
          <w:szCs w:val="20"/>
        </w:rPr>
        <w:t xml:space="preserve"> and facilitating information flows between entities;</w:t>
      </w:r>
    </w:p>
    <w:p w14:paraId="67B0AD62" w14:textId="638B0ACE" w:rsidR="001E6E0F" w:rsidRPr="005722A6" w:rsidRDefault="001E6E0F" w:rsidP="00B02352">
      <w:pPr>
        <w:numPr>
          <w:ilvl w:val="0"/>
          <w:numId w:val="19"/>
        </w:numPr>
        <w:spacing w:after="0"/>
        <w:rPr>
          <w:rFonts w:asciiTheme="majorHAnsi" w:hAnsiTheme="majorHAnsi"/>
          <w:sz w:val="20"/>
          <w:szCs w:val="20"/>
        </w:rPr>
      </w:pPr>
      <w:r w:rsidRPr="005722A6">
        <w:rPr>
          <w:rFonts w:asciiTheme="majorHAnsi" w:hAnsiTheme="majorHAnsi"/>
          <w:i/>
          <w:sz w:val="20"/>
          <w:szCs w:val="20"/>
        </w:rPr>
        <w:t>Encouraging national government and states to adopt management practices</w:t>
      </w:r>
      <w:r w:rsidRPr="005722A6">
        <w:rPr>
          <w:rFonts w:asciiTheme="majorHAnsi" w:hAnsiTheme="majorHAnsi"/>
          <w:sz w:val="20"/>
          <w:szCs w:val="20"/>
        </w:rPr>
        <w:t xml:space="preserve"> to mainstream biodiversity conservation into key sectors, through an holistic approach at the land and seascape level, that also includes IAS prevention and management; </w:t>
      </w:r>
    </w:p>
    <w:p w14:paraId="7FF8717F" w14:textId="6A68D3AF" w:rsidR="001E6E0F" w:rsidRPr="005722A6" w:rsidRDefault="001E6E0F" w:rsidP="00B02352">
      <w:pPr>
        <w:numPr>
          <w:ilvl w:val="0"/>
          <w:numId w:val="19"/>
        </w:numPr>
        <w:spacing w:after="0"/>
        <w:rPr>
          <w:rFonts w:asciiTheme="majorHAnsi" w:hAnsiTheme="majorHAnsi"/>
          <w:sz w:val="20"/>
          <w:szCs w:val="20"/>
        </w:rPr>
      </w:pPr>
      <w:r w:rsidRPr="005722A6">
        <w:rPr>
          <w:rFonts w:asciiTheme="majorHAnsi" w:hAnsiTheme="majorHAnsi"/>
          <w:i/>
          <w:sz w:val="20"/>
          <w:szCs w:val="20"/>
        </w:rPr>
        <w:t xml:space="preserve">Supporting and facilitating the participatory activities </w:t>
      </w:r>
      <w:r w:rsidRPr="005722A6">
        <w:rPr>
          <w:rFonts w:asciiTheme="majorHAnsi" w:hAnsiTheme="majorHAnsi"/>
          <w:sz w:val="20"/>
          <w:szCs w:val="20"/>
        </w:rPr>
        <w:t xml:space="preserve">during the elaboration of the land and seascape plans, including the </w:t>
      </w:r>
      <w:r w:rsidR="00E360DA" w:rsidRPr="005722A6">
        <w:rPr>
          <w:rFonts w:asciiTheme="majorHAnsi" w:hAnsiTheme="majorHAnsi"/>
          <w:sz w:val="20"/>
          <w:szCs w:val="20"/>
        </w:rPr>
        <w:t>Sectoral Environment Assessment (</w:t>
      </w:r>
      <w:r w:rsidRPr="005722A6">
        <w:rPr>
          <w:rFonts w:asciiTheme="majorHAnsi" w:hAnsiTheme="majorHAnsi"/>
          <w:sz w:val="20"/>
          <w:szCs w:val="20"/>
        </w:rPr>
        <w:t>SEA</w:t>
      </w:r>
      <w:r w:rsidR="00E360DA" w:rsidRPr="005722A6">
        <w:rPr>
          <w:rFonts w:asciiTheme="majorHAnsi" w:hAnsiTheme="majorHAnsi"/>
          <w:sz w:val="20"/>
          <w:szCs w:val="20"/>
        </w:rPr>
        <w:t>)</w:t>
      </w:r>
      <w:r w:rsidRPr="005722A6">
        <w:rPr>
          <w:rFonts w:asciiTheme="majorHAnsi" w:hAnsiTheme="majorHAnsi"/>
          <w:sz w:val="20"/>
          <w:szCs w:val="20"/>
        </w:rPr>
        <w:t xml:space="preserve"> processes, providing technical and operational support in organizing and facilitating meetings;</w:t>
      </w:r>
    </w:p>
    <w:p w14:paraId="792720BA" w14:textId="768ECE67" w:rsidR="001E6E0F" w:rsidRPr="005722A6" w:rsidRDefault="005B3A19" w:rsidP="00B02352">
      <w:pPr>
        <w:numPr>
          <w:ilvl w:val="0"/>
          <w:numId w:val="19"/>
        </w:numPr>
        <w:spacing w:after="0"/>
        <w:rPr>
          <w:rFonts w:asciiTheme="majorHAnsi" w:hAnsiTheme="majorHAnsi"/>
          <w:sz w:val="20"/>
          <w:szCs w:val="20"/>
        </w:rPr>
      </w:pPr>
      <w:r w:rsidRPr="005722A6">
        <w:rPr>
          <w:rFonts w:asciiTheme="majorHAnsi" w:hAnsiTheme="majorHAnsi"/>
          <w:i/>
          <w:sz w:val="20"/>
          <w:szCs w:val="20"/>
        </w:rPr>
        <w:t xml:space="preserve">Informing and guiding the Endorsement process for </w:t>
      </w:r>
      <w:r w:rsidR="001E6E0F" w:rsidRPr="005722A6">
        <w:rPr>
          <w:rFonts w:asciiTheme="majorHAnsi" w:hAnsiTheme="majorHAnsi"/>
          <w:i/>
          <w:sz w:val="20"/>
          <w:szCs w:val="20"/>
        </w:rPr>
        <w:t>the land and seascape plans</w:t>
      </w:r>
      <w:r w:rsidR="001E6E0F" w:rsidRPr="005722A6">
        <w:rPr>
          <w:rFonts w:asciiTheme="majorHAnsi" w:hAnsiTheme="majorHAnsi"/>
          <w:sz w:val="20"/>
          <w:szCs w:val="20"/>
        </w:rPr>
        <w:t>, after a technical review of their contents to verify the compliance with operational and legal frameworks;</w:t>
      </w:r>
    </w:p>
    <w:p w14:paraId="6D1F68B1" w14:textId="77777777" w:rsidR="001E6E0F" w:rsidRPr="005722A6" w:rsidRDefault="001E6E0F" w:rsidP="00B02352">
      <w:pPr>
        <w:numPr>
          <w:ilvl w:val="0"/>
          <w:numId w:val="19"/>
        </w:numPr>
        <w:spacing w:after="0"/>
        <w:rPr>
          <w:rFonts w:asciiTheme="majorHAnsi" w:hAnsiTheme="majorHAnsi"/>
          <w:sz w:val="20"/>
          <w:szCs w:val="20"/>
        </w:rPr>
      </w:pPr>
      <w:r w:rsidRPr="005722A6">
        <w:rPr>
          <w:rFonts w:asciiTheme="majorHAnsi" w:hAnsiTheme="majorHAnsi"/>
          <w:i/>
          <w:sz w:val="20"/>
          <w:szCs w:val="20"/>
        </w:rPr>
        <w:t>Supporting coordination between land and seascape governance and planning</w:t>
      </w:r>
      <w:r w:rsidRPr="005722A6">
        <w:rPr>
          <w:rFonts w:asciiTheme="majorHAnsi" w:hAnsiTheme="majorHAnsi"/>
          <w:sz w:val="20"/>
          <w:szCs w:val="20"/>
        </w:rPr>
        <w:t xml:space="preserve"> and other potentially related policies, initiatives, and projects </w:t>
      </w:r>
    </w:p>
    <w:p w14:paraId="69004882" w14:textId="77777777" w:rsidR="001E6E0F" w:rsidRPr="005722A6" w:rsidRDefault="001E6E0F" w:rsidP="00B02352">
      <w:pPr>
        <w:numPr>
          <w:ilvl w:val="0"/>
          <w:numId w:val="19"/>
        </w:numPr>
        <w:spacing w:after="0"/>
        <w:rPr>
          <w:rFonts w:asciiTheme="majorHAnsi" w:hAnsiTheme="majorHAnsi"/>
          <w:sz w:val="20"/>
          <w:szCs w:val="20"/>
        </w:rPr>
      </w:pPr>
      <w:r w:rsidRPr="005722A6">
        <w:rPr>
          <w:rFonts w:asciiTheme="majorHAnsi" w:hAnsiTheme="majorHAnsi"/>
          <w:i/>
          <w:sz w:val="20"/>
          <w:szCs w:val="20"/>
        </w:rPr>
        <w:t>Supporting fund raising to implement policies and plans</w:t>
      </w:r>
      <w:r w:rsidRPr="005722A6">
        <w:rPr>
          <w:rFonts w:asciiTheme="majorHAnsi" w:hAnsiTheme="majorHAnsi"/>
          <w:sz w:val="20"/>
          <w:szCs w:val="20"/>
        </w:rPr>
        <w:t xml:space="preserve"> to mainstream biodiversity conservation into key sectors at a large scale level;</w:t>
      </w:r>
    </w:p>
    <w:p w14:paraId="20A993E8" w14:textId="3552A756" w:rsidR="00A16CB9" w:rsidRPr="005722A6" w:rsidRDefault="00A16CB9" w:rsidP="00B02352">
      <w:pPr>
        <w:numPr>
          <w:ilvl w:val="0"/>
          <w:numId w:val="19"/>
        </w:numPr>
        <w:spacing w:after="0"/>
        <w:rPr>
          <w:rFonts w:asciiTheme="majorHAnsi" w:hAnsiTheme="majorHAnsi"/>
          <w:i/>
          <w:sz w:val="20"/>
          <w:szCs w:val="20"/>
        </w:rPr>
      </w:pPr>
      <w:r w:rsidRPr="005722A6">
        <w:rPr>
          <w:rFonts w:asciiTheme="majorHAnsi" w:hAnsiTheme="majorHAnsi"/>
          <w:i/>
          <w:sz w:val="20"/>
          <w:szCs w:val="20"/>
        </w:rPr>
        <w:t xml:space="preserve">Coordinating and supporting the development and implementation of a national capacity building program </w:t>
      </w:r>
      <w:r w:rsidRPr="005722A6">
        <w:rPr>
          <w:rFonts w:asciiTheme="majorHAnsi" w:hAnsiTheme="majorHAnsi"/>
          <w:sz w:val="20"/>
          <w:szCs w:val="20"/>
        </w:rPr>
        <w:t>for all stakeholders involved in the landscape and seascape planning and management process</w:t>
      </w:r>
      <w:r w:rsidRPr="005722A6">
        <w:rPr>
          <w:rFonts w:asciiTheme="majorHAnsi" w:hAnsiTheme="majorHAnsi"/>
          <w:i/>
          <w:sz w:val="20"/>
          <w:szCs w:val="20"/>
        </w:rPr>
        <w:t>;</w:t>
      </w:r>
    </w:p>
    <w:p w14:paraId="6EBF209A" w14:textId="3C27258B" w:rsidR="00A16CB9" w:rsidRPr="005722A6" w:rsidRDefault="00A16CB9" w:rsidP="00B02352">
      <w:pPr>
        <w:numPr>
          <w:ilvl w:val="0"/>
          <w:numId w:val="19"/>
        </w:numPr>
        <w:spacing w:after="0"/>
        <w:rPr>
          <w:rFonts w:asciiTheme="majorHAnsi" w:hAnsiTheme="majorHAnsi"/>
          <w:i/>
          <w:sz w:val="20"/>
          <w:szCs w:val="20"/>
        </w:rPr>
      </w:pPr>
      <w:r w:rsidRPr="005722A6">
        <w:rPr>
          <w:rFonts w:asciiTheme="majorHAnsi" w:hAnsiTheme="majorHAnsi"/>
          <w:i/>
          <w:sz w:val="20"/>
          <w:szCs w:val="20"/>
        </w:rPr>
        <w:t>Advocacy of landscape/seascape approaches, landscape/seascape integration with socio-economic development priorities and financial planning;</w:t>
      </w:r>
    </w:p>
    <w:p w14:paraId="4AEA86F5" w14:textId="5B800AE5" w:rsidR="001E6E0F" w:rsidRPr="005722A6" w:rsidRDefault="005B3A19" w:rsidP="00B02352">
      <w:pPr>
        <w:numPr>
          <w:ilvl w:val="0"/>
          <w:numId w:val="19"/>
        </w:numPr>
        <w:spacing w:after="0"/>
        <w:rPr>
          <w:rFonts w:asciiTheme="majorHAnsi" w:hAnsiTheme="majorHAnsi"/>
          <w:sz w:val="20"/>
          <w:szCs w:val="20"/>
        </w:rPr>
      </w:pPr>
      <w:r w:rsidRPr="005722A6">
        <w:rPr>
          <w:rFonts w:asciiTheme="majorHAnsi" w:hAnsiTheme="majorHAnsi"/>
          <w:i/>
          <w:sz w:val="20"/>
          <w:szCs w:val="20"/>
        </w:rPr>
        <w:t xml:space="preserve">Supporting development of </w:t>
      </w:r>
      <w:r w:rsidR="001E6E0F" w:rsidRPr="005722A6">
        <w:rPr>
          <w:rFonts w:asciiTheme="majorHAnsi" w:hAnsiTheme="majorHAnsi"/>
          <w:i/>
          <w:sz w:val="20"/>
          <w:szCs w:val="20"/>
        </w:rPr>
        <w:t>compensation mechanisms and incentive/disincentive mechanisms</w:t>
      </w:r>
      <w:r w:rsidR="001E6E0F" w:rsidRPr="005722A6">
        <w:rPr>
          <w:rFonts w:asciiTheme="majorHAnsi" w:hAnsiTheme="majorHAnsi"/>
          <w:sz w:val="20"/>
          <w:szCs w:val="20"/>
        </w:rPr>
        <w:t xml:space="preserve"> (including fiscal measures) to facilitate the mainstreaming of biodiversity conservation into key sectors; and</w:t>
      </w:r>
    </w:p>
    <w:p w14:paraId="54B0C125" w14:textId="77777777" w:rsidR="0057218D" w:rsidRPr="005722A6" w:rsidRDefault="0057218D" w:rsidP="00B87774">
      <w:pPr>
        <w:spacing w:after="0"/>
        <w:rPr>
          <w:rFonts w:asciiTheme="majorHAnsi" w:hAnsiTheme="majorHAnsi"/>
          <w:b/>
          <w:sz w:val="20"/>
          <w:szCs w:val="20"/>
        </w:rPr>
      </w:pPr>
    </w:p>
    <w:p w14:paraId="1BEE8A00" w14:textId="056382AC" w:rsidR="00B87774" w:rsidRPr="005722A6" w:rsidRDefault="00B87774" w:rsidP="00B87774">
      <w:pPr>
        <w:spacing w:after="0"/>
        <w:rPr>
          <w:rFonts w:asciiTheme="majorHAnsi" w:hAnsiTheme="majorHAnsi"/>
          <w:b/>
          <w:i/>
          <w:sz w:val="20"/>
          <w:szCs w:val="20"/>
        </w:rPr>
      </w:pPr>
      <w:r w:rsidRPr="005722A6">
        <w:rPr>
          <w:rFonts w:asciiTheme="majorHAnsi" w:hAnsiTheme="majorHAnsi"/>
          <w:b/>
          <w:i/>
          <w:sz w:val="20"/>
          <w:szCs w:val="20"/>
        </w:rPr>
        <w:t>Output 1.2: Biodiversity mainstreamed into</w:t>
      </w:r>
      <w:r w:rsidR="00EC6DF7" w:rsidRPr="005722A6">
        <w:rPr>
          <w:rFonts w:asciiTheme="majorHAnsi" w:hAnsiTheme="majorHAnsi"/>
          <w:b/>
          <w:i/>
          <w:sz w:val="20"/>
          <w:szCs w:val="20"/>
        </w:rPr>
        <w:t xml:space="preserve"> land/seascape</w:t>
      </w:r>
      <w:r w:rsidR="00D163C7">
        <w:rPr>
          <w:rFonts w:asciiTheme="majorHAnsi" w:hAnsiTheme="majorHAnsi"/>
          <w:b/>
          <w:i/>
          <w:sz w:val="20"/>
          <w:szCs w:val="20"/>
        </w:rPr>
        <w:t>s</w:t>
      </w:r>
      <w:r w:rsidR="00EC6DF7" w:rsidRPr="005722A6">
        <w:rPr>
          <w:rFonts w:asciiTheme="majorHAnsi" w:hAnsiTheme="majorHAnsi"/>
          <w:b/>
          <w:i/>
          <w:sz w:val="20"/>
          <w:szCs w:val="20"/>
        </w:rPr>
        <w:t xml:space="preserve"> and</w:t>
      </w:r>
      <w:r w:rsidRPr="005722A6">
        <w:rPr>
          <w:rFonts w:asciiTheme="majorHAnsi" w:hAnsiTheme="majorHAnsi"/>
          <w:b/>
          <w:i/>
          <w:sz w:val="20"/>
          <w:szCs w:val="20"/>
        </w:rPr>
        <w:t xml:space="preserve"> key sector planning systems </w:t>
      </w:r>
    </w:p>
    <w:p w14:paraId="2930E882" w14:textId="77777777" w:rsidR="00B87774" w:rsidRPr="005722A6" w:rsidRDefault="00B87774" w:rsidP="00B87774">
      <w:pPr>
        <w:spacing w:after="0"/>
        <w:rPr>
          <w:rFonts w:asciiTheme="majorHAnsi" w:hAnsiTheme="majorHAnsi"/>
          <w:b/>
          <w:i/>
          <w:sz w:val="20"/>
          <w:szCs w:val="20"/>
        </w:rPr>
      </w:pPr>
    </w:p>
    <w:p w14:paraId="1E03A865" w14:textId="7DC02740" w:rsidR="00CD2AAF" w:rsidRPr="005722A6" w:rsidRDefault="001717B5" w:rsidP="00037275">
      <w:pPr>
        <w:spacing w:after="180"/>
        <w:rPr>
          <w:rFonts w:asciiTheme="majorHAnsi" w:hAnsiTheme="majorHAnsi"/>
          <w:sz w:val="20"/>
          <w:szCs w:val="20"/>
        </w:rPr>
      </w:pPr>
      <w:r>
        <w:rPr>
          <w:rFonts w:asciiTheme="majorHAnsi" w:hAnsiTheme="majorHAnsi"/>
          <w:sz w:val="20"/>
          <w:szCs w:val="20"/>
        </w:rPr>
        <w:lastRenderedPageBreak/>
        <w:t>T</w:t>
      </w:r>
      <w:r w:rsidR="000730CE" w:rsidRPr="005722A6">
        <w:rPr>
          <w:rFonts w:asciiTheme="majorHAnsi" w:hAnsiTheme="majorHAnsi"/>
          <w:sz w:val="20"/>
          <w:szCs w:val="20"/>
        </w:rPr>
        <w:t>his O</w:t>
      </w:r>
      <w:r w:rsidR="0057218D" w:rsidRPr="005722A6">
        <w:rPr>
          <w:rFonts w:asciiTheme="majorHAnsi" w:hAnsiTheme="majorHAnsi"/>
          <w:sz w:val="20"/>
          <w:szCs w:val="20"/>
        </w:rPr>
        <w:t>utput</w:t>
      </w:r>
      <w:r>
        <w:rPr>
          <w:rFonts w:asciiTheme="majorHAnsi" w:hAnsiTheme="majorHAnsi"/>
          <w:sz w:val="20"/>
          <w:szCs w:val="20"/>
        </w:rPr>
        <w:t xml:space="preserve"> concerns</w:t>
      </w:r>
      <w:r w:rsidR="0057218D" w:rsidRPr="005722A6">
        <w:rPr>
          <w:rFonts w:asciiTheme="majorHAnsi" w:hAnsiTheme="majorHAnsi"/>
          <w:sz w:val="20"/>
          <w:szCs w:val="20"/>
        </w:rPr>
        <w:t xml:space="preserve"> the preparation </w:t>
      </w:r>
      <w:r w:rsidR="001B0689" w:rsidRPr="005722A6">
        <w:rPr>
          <w:rFonts w:asciiTheme="majorHAnsi" w:hAnsiTheme="majorHAnsi"/>
          <w:sz w:val="20"/>
          <w:szCs w:val="20"/>
        </w:rPr>
        <w:t xml:space="preserve">and/or update </w:t>
      </w:r>
      <w:r w:rsidR="0057218D" w:rsidRPr="005722A6">
        <w:rPr>
          <w:rFonts w:asciiTheme="majorHAnsi" w:hAnsiTheme="majorHAnsi"/>
          <w:sz w:val="20"/>
          <w:szCs w:val="20"/>
        </w:rPr>
        <w:t xml:space="preserve">of </w:t>
      </w:r>
      <w:r w:rsidR="001B0689" w:rsidRPr="005722A6">
        <w:rPr>
          <w:rFonts w:asciiTheme="majorHAnsi" w:hAnsiTheme="majorHAnsi"/>
          <w:sz w:val="20"/>
          <w:szCs w:val="20"/>
        </w:rPr>
        <w:t xml:space="preserve">policies, </w:t>
      </w:r>
      <w:r w:rsidR="00BB0552" w:rsidRPr="005722A6">
        <w:rPr>
          <w:rFonts w:asciiTheme="majorHAnsi" w:hAnsiTheme="majorHAnsi"/>
          <w:sz w:val="20"/>
          <w:szCs w:val="20"/>
        </w:rPr>
        <w:t xml:space="preserve">laws, regulations, </w:t>
      </w:r>
      <w:r w:rsidR="0057218D" w:rsidRPr="005722A6">
        <w:rPr>
          <w:rFonts w:asciiTheme="majorHAnsi" w:hAnsiTheme="majorHAnsi"/>
          <w:sz w:val="20"/>
          <w:szCs w:val="20"/>
        </w:rPr>
        <w:t>tools, procedures and standards to enable and create the conditions needed to</w:t>
      </w:r>
      <w:r w:rsidR="00037275" w:rsidRPr="005722A6">
        <w:rPr>
          <w:rFonts w:asciiTheme="majorHAnsi" w:hAnsiTheme="majorHAnsi"/>
          <w:sz w:val="20"/>
          <w:szCs w:val="20"/>
        </w:rPr>
        <w:t xml:space="preserve"> </w:t>
      </w:r>
      <w:r w:rsidR="0057218D" w:rsidRPr="005722A6">
        <w:rPr>
          <w:rFonts w:asciiTheme="majorHAnsi" w:hAnsiTheme="majorHAnsi"/>
          <w:sz w:val="20"/>
          <w:szCs w:val="20"/>
        </w:rPr>
        <w:t xml:space="preserve">mainstream biodiversity </w:t>
      </w:r>
      <w:r w:rsidR="005A0A2D" w:rsidRPr="005722A6">
        <w:rPr>
          <w:rFonts w:asciiTheme="majorHAnsi" w:hAnsiTheme="majorHAnsi"/>
          <w:sz w:val="20"/>
          <w:szCs w:val="20"/>
        </w:rPr>
        <w:t xml:space="preserve">(including IAS prevention and management) </w:t>
      </w:r>
      <w:r w:rsidR="0057218D" w:rsidRPr="005722A6">
        <w:rPr>
          <w:rFonts w:asciiTheme="majorHAnsi" w:hAnsiTheme="majorHAnsi"/>
          <w:sz w:val="20"/>
          <w:szCs w:val="20"/>
        </w:rPr>
        <w:t>into key sectors</w:t>
      </w:r>
      <w:r w:rsidR="00037275" w:rsidRPr="005722A6">
        <w:rPr>
          <w:rFonts w:asciiTheme="majorHAnsi" w:hAnsiTheme="majorHAnsi"/>
          <w:sz w:val="20"/>
          <w:szCs w:val="20"/>
        </w:rPr>
        <w:t xml:space="preserve"> and draft and approve the land/seascape plans</w:t>
      </w:r>
      <w:r w:rsidR="0057218D" w:rsidRPr="005722A6">
        <w:rPr>
          <w:rFonts w:asciiTheme="majorHAnsi" w:hAnsiTheme="majorHAnsi"/>
          <w:sz w:val="20"/>
          <w:szCs w:val="20"/>
        </w:rPr>
        <w:t>.</w:t>
      </w:r>
      <w:r w:rsidR="004905B1" w:rsidRPr="005722A6">
        <w:rPr>
          <w:rFonts w:asciiTheme="majorHAnsi" w:hAnsiTheme="majorHAnsi"/>
          <w:sz w:val="20"/>
          <w:szCs w:val="20"/>
        </w:rPr>
        <w:t xml:space="preserve"> </w:t>
      </w:r>
      <w:r w:rsidR="00C5414B" w:rsidRPr="001717B5">
        <w:rPr>
          <w:rFonts w:asciiTheme="majorHAnsi" w:hAnsiTheme="majorHAnsi"/>
          <w:b/>
          <w:sz w:val="20"/>
          <w:szCs w:val="20"/>
        </w:rPr>
        <w:t xml:space="preserve">Annex </w:t>
      </w:r>
      <w:r w:rsidR="00D4414E" w:rsidRPr="001717B5">
        <w:rPr>
          <w:rFonts w:asciiTheme="majorHAnsi" w:hAnsiTheme="majorHAnsi"/>
          <w:b/>
          <w:sz w:val="20"/>
          <w:szCs w:val="20"/>
        </w:rPr>
        <w:t>1</w:t>
      </w:r>
      <w:r w:rsidR="00D4414E" w:rsidRPr="005722A6">
        <w:rPr>
          <w:rFonts w:asciiTheme="majorHAnsi" w:hAnsiTheme="majorHAnsi"/>
          <w:sz w:val="20"/>
          <w:szCs w:val="20"/>
        </w:rPr>
        <w:t xml:space="preserve"> </w:t>
      </w:r>
      <w:r w:rsidR="00C5414B" w:rsidRPr="005722A6">
        <w:rPr>
          <w:rFonts w:asciiTheme="majorHAnsi" w:hAnsiTheme="majorHAnsi"/>
          <w:sz w:val="20"/>
          <w:szCs w:val="20"/>
        </w:rPr>
        <w:t xml:space="preserve">provides an initial assessment of gaps in policies and legislation that constrains effective integration of biodiversity into sector policies and legislation. </w:t>
      </w:r>
      <w:r w:rsidR="0057218D" w:rsidRPr="005722A6">
        <w:rPr>
          <w:rFonts w:asciiTheme="majorHAnsi" w:hAnsiTheme="majorHAnsi"/>
          <w:sz w:val="20"/>
          <w:szCs w:val="20"/>
        </w:rPr>
        <w:t xml:space="preserve">During implementation of this output, a more holistic and participatory strategic </w:t>
      </w:r>
      <w:r w:rsidR="004905B1" w:rsidRPr="005722A6">
        <w:rPr>
          <w:rFonts w:asciiTheme="majorHAnsi" w:hAnsiTheme="majorHAnsi"/>
          <w:sz w:val="20"/>
          <w:szCs w:val="20"/>
        </w:rPr>
        <w:t>approach</w:t>
      </w:r>
      <w:r w:rsidR="0057218D" w:rsidRPr="005722A6">
        <w:rPr>
          <w:rFonts w:asciiTheme="majorHAnsi" w:hAnsiTheme="majorHAnsi"/>
          <w:sz w:val="20"/>
          <w:szCs w:val="20"/>
        </w:rPr>
        <w:t xml:space="preserve"> to </w:t>
      </w:r>
      <w:r w:rsidR="000C619B">
        <w:rPr>
          <w:rFonts w:asciiTheme="majorHAnsi" w:hAnsiTheme="majorHAnsi"/>
          <w:sz w:val="20"/>
          <w:szCs w:val="20"/>
        </w:rPr>
        <w:t>land/</w:t>
      </w:r>
      <w:r w:rsidR="0057218D" w:rsidRPr="005722A6">
        <w:rPr>
          <w:rFonts w:asciiTheme="majorHAnsi" w:hAnsiTheme="majorHAnsi"/>
          <w:sz w:val="20"/>
          <w:szCs w:val="20"/>
        </w:rPr>
        <w:t>seascap</w:t>
      </w:r>
      <w:r w:rsidR="000C619B">
        <w:rPr>
          <w:rFonts w:asciiTheme="majorHAnsi" w:hAnsiTheme="majorHAnsi"/>
          <w:sz w:val="20"/>
          <w:szCs w:val="20"/>
        </w:rPr>
        <w:t>e</w:t>
      </w:r>
      <w:r w:rsidR="0057218D" w:rsidRPr="005722A6">
        <w:rPr>
          <w:rFonts w:asciiTheme="majorHAnsi" w:hAnsiTheme="majorHAnsi"/>
          <w:sz w:val="20"/>
          <w:szCs w:val="20"/>
        </w:rPr>
        <w:t xml:space="preserve"> planning will be designed and developed. </w:t>
      </w:r>
    </w:p>
    <w:p w14:paraId="7FC41D64" w14:textId="4FAEC081" w:rsidR="0057218D" w:rsidRPr="005722A6" w:rsidRDefault="0057218D" w:rsidP="0057218D">
      <w:pPr>
        <w:contextualSpacing/>
        <w:rPr>
          <w:rFonts w:asciiTheme="majorHAnsi" w:hAnsiTheme="majorHAnsi"/>
          <w:sz w:val="20"/>
          <w:szCs w:val="20"/>
        </w:rPr>
      </w:pPr>
      <w:r w:rsidRPr="005722A6">
        <w:rPr>
          <w:rFonts w:asciiTheme="majorHAnsi" w:hAnsiTheme="majorHAnsi"/>
          <w:sz w:val="20"/>
          <w:szCs w:val="20"/>
        </w:rPr>
        <w:t>This Output w</w:t>
      </w:r>
      <w:r w:rsidR="001717B5">
        <w:rPr>
          <w:rFonts w:asciiTheme="majorHAnsi" w:hAnsiTheme="majorHAnsi"/>
          <w:sz w:val="20"/>
          <w:szCs w:val="20"/>
        </w:rPr>
        <w:t>ill</w:t>
      </w:r>
      <w:r w:rsidRPr="005722A6">
        <w:rPr>
          <w:rFonts w:asciiTheme="majorHAnsi" w:hAnsiTheme="majorHAnsi"/>
          <w:sz w:val="20"/>
          <w:szCs w:val="20"/>
        </w:rPr>
        <w:t xml:space="preserve"> be achieved through the following actions: </w:t>
      </w:r>
    </w:p>
    <w:p w14:paraId="21A87D24" w14:textId="1102FCAB" w:rsidR="0057218D" w:rsidRPr="005722A6" w:rsidRDefault="0057218D" w:rsidP="00B02352">
      <w:pPr>
        <w:numPr>
          <w:ilvl w:val="0"/>
          <w:numId w:val="19"/>
        </w:numPr>
        <w:spacing w:after="0"/>
        <w:rPr>
          <w:rFonts w:asciiTheme="majorHAnsi" w:hAnsiTheme="majorHAnsi"/>
          <w:sz w:val="20"/>
          <w:szCs w:val="20"/>
        </w:rPr>
      </w:pPr>
      <w:r w:rsidRPr="005722A6">
        <w:rPr>
          <w:rFonts w:asciiTheme="majorHAnsi" w:hAnsiTheme="majorHAnsi"/>
          <w:sz w:val="20"/>
          <w:szCs w:val="20"/>
        </w:rPr>
        <w:t>Improved policies, legislation and practices supporting</w:t>
      </w:r>
      <w:r w:rsidR="00D163C7">
        <w:rPr>
          <w:rFonts w:asciiTheme="majorHAnsi" w:hAnsiTheme="majorHAnsi"/>
          <w:sz w:val="20"/>
          <w:szCs w:val="20"/>
        </w:rPr>
        <w:t>:</w:t>
      </w:r>
      <w:r w:rsidRPr="005722A6">
        <w:rPr>
          <w:rFonts w:asciiTheme="majorHAnsi" w:hAnsiTheme="majorHAnsi"/>
          <w:sz w:val="20"/>
          <w:szCs w:val="20"/>
        </w:rPr>
        <w:t xml:space="preserve"> (i) eventual updating of existing laws and regulations on fisher</w:t>
      </w:r>
      <w:r w:rsidR="00197D1E" w:rsidRPr="005722A6">
        <w:rPr>
          <w:rFonts w:asciiTheme="majorHAnsi" w:hAnsiTheme="majorHAnsi"/>
          <w:sz w:val="20"/>
          <w:szCs w:val="20"/>
        </w:rPr>
        <w:t>ies</w:t>
      </w:r>
      <w:r w:rsidRPr="005722A6">
        <w:rPr>
          <w:rFonts w:asciiTheme="majorHAnsi" w:hAnsiTheme="majorHAnsi"/>
          <w:sz w:val="20"/>
          <w:szCs w:val="20"/>
        </w:rPr>
        <w:t xml:space="preserve">, aquaculture, agriculture, forestry, </w:t>
      </w:r>
      <w:r w:rsidR="00197D1E" w:rsidRPr="005722A6">
        <w:rPr>
          <w:rFonts w:asciiTheme="majorHAnsi" w:hAnsiTheme="majorHAnsi"/>
          <w:sz w:val="20"/>
          <w:szCs w:val="20"/>
        </w:rPr>
        <w:t xml:space="preserve">and </w:t>
      </w:r>
      <w:r w:rsidRPr="005722A6">
        <w:rPr>
          <w:rFonts w:asciiTheme="majorHAnsi" w:hAnsiTheme="majorHAnsi"/>
          <w:sz w:val="20"/>
          <w:szCs w:val="20"/>
        </w:rPr>
        <w:t xml:space="preserve">tourism to mainstream biodiversity conservation </w:t>
      </w:r>
      <w:r w:rsidR="007366E4" w:rsidRPr="005722A6">
        <w:rPr>
          <w:rFonts w:asciiTheme="majorHAnsi" w:hAnsiTheme="majorHAnsi"/>
          <w:sz w:val="20"/>
          <w:szCs w:val="20"/>
        </w:rPr>
        <w:t>(including IAS and biosecurity)</w:t>
      </w:r>
      <w:r w:rsidR="00197D1E" w:rsidRPr="005722A6">
        <w:rPr>
          <w:rFonts w:asciiTheme="majorHAnsi" w:hAnsiTheme="majorHAnsi"/>
          <w:sz w:val="20"/>
          <w:szCs w:val="20"/>
        </w:rPr>
        <w:t>;</w:t>
      </w:r>
      <w:r w:rsidR="007366E4" w:rsidRPr="005722A6">
        <w:rPr>
          <w:rFonts w:asciiTheme="majorHAnsi" w:hAnsiTheme="majorHAnsi"/>
          <w:sz w:val="20"/>
          <w:szCs w:val="20"/>
        </w:rPr>
        <w:t xml:space="preserve"> </w:t>
      </w:r>
      <w:r w:rsidRPr="005722A6">
        <w:rPr>
          <w:rFonts w:asciiTheme="majorHAnsi" w:hAnsiTheme="majorHAnsi"/>
          <w:sz w:val="20"/>
          <w:szCs w:val="20"/>
        </w:rPr>
        <w:t>(ii) integration of EQPB activities for environmental compliance of development initiative</w:t>
      </w:r>
      <w:r w:rsidR="00197D1E" w:rsidRPr="005722A6">
        <w:rPr>
          <w:rFonts w:asciiTheme="majorHAnsi" w:hAnsiTheme="majorHAnsi"/>
          <w:sz w:val="20"/>
          <w:szCs w:val="20"/>
        </w:rPr>
        <w:t>s</w:t>
      </w:r>
      <w:r w:rsidRPr="005722A6">
        <w:rPr>
          <w:rFonts w:asciiTheme="majorHAnsi" w:hAnsiTheme="majorHAnsi"/>
          <w:sz w:val="20"/>
          <w:szCs w:val="20"/>
        </w:rPr>
        <w:t xml:space="preserve"> at the site level</w:t>
      </w:r>
      <w:r w:rsidRPr="005722A6">
        <w:rPr>
          <w:rStyle w:val="FootnoteReference"/>
          <w:rFonts w:asciiTheme="majorHAnsi" w:hAnsiTheme="majorHAnsi"/>
          <w:sz w:val="20"/>
          <w:szCs w:val="20"/>
        </w:rPr>
        <w:footnoteReference w:id="8"/>
      </w:r>
      <w:r w:rsidRPr="005722A6">
        <w:rPr>
          <w:rFonts w:asciiTheme="majorHAnsi" w:hAnsiTheme="majorHAnsi"/>
          <w:sz w:val="20"/>
          <w:szCs w:val="20"/>
        </w:rPr>
        <w:t xml:space="preserve"> into land/seascape governance, </w:t>
      </w:r>
      <w:r w:rsidR="00EC6DF7" w:rsidRPr="005722A6">
        <w:rPr>
          <w:rFonts w:asciiTheme="majorHAnsi" w:hAnsiTheme="majorHAnsi"/>
          <w:sz w:val="20"/>
          <w:szCs w:val="20"/>
        </w:rPr>
        <w:t xml:space="preserve">and </w:t>
      </w:r>
      <w:r w:rsidRPr="005722A6">
        <w:rPr>
          <w:rFonts w:asciiTheme="majorHAnsi" w:hAnsiTheme="majorHAnsi"/>
          <w:sz w:val="20"/>
          <w:szCs w:val="20"/>
        </w:rPr>
        <w:t xml:space="preserve">(iii) </w:t>
      </w:r>
      <w:r w:rsidR="00197D1E" w:rsidRPr="005722A6">
        <w:rPr>
          <w:rFonts w:asciiTheme="majorHAnsi" w:hAnsiTheme="majorHAnsi"/>
          <w:sz w:val="20"/>
          <w:szCs w:val="20"/>
        </w:rPr>
        <w:t xml:space="preserve">development </w:t>
      </w:r>
      <w:r w:rsidRPr="005722A6">
        <w:rPr>
          <w:rFonts w:asciiTheme="majorHAnsi" w:hAnsiTheme="majorHAnsi"/>
          <w:sz w:val="20"/>
          <w:szCs w:val="20"/>
        </w:rPr>
        <w:t>of minimum standards and operational guidelines, at the lands/seascape level, to plan and manage activities in the above mentioned key sectors</w:t>
      </w:r>
      <w:r w:rsidR="00D163C7">
        <w:rPr>
          <w:rFonts w:asciiTheme="majorHAnsi" w:hAnsiTheme="majorHAnsi"/>
          <w:sz w:val="20"/>
          <w:szCs w:val="20"/>
        </w:rPr>
        <w:t>.</w:t>
      </w:r>
    </w:p>
    <w:p w14:paraId="57D592A3" w14:textId="3DB42C03" w:rsidR="0057218D" w:rsidRPr="005722A6" w:rsidRDefault="0057218D" w:rsidP="00B02352">
      <w:pPr>
        <w:numPr>
          <w:ilvl w:val="0"/>
          <w:numId w:val="19"/>
        </w:numPr>
        <w:spacing w:after="0"/>
        <w:rPr>
          <w:rFonts w:asciiTheme="majorHAnsi" w:hAnsiTheme="majorHAnsi"/>
          <w:sz w:val="20"/>
          <w:szCs w:val="20"/>
        </w:rPr>
      </w:pPr>
      <w:r w:rsidRPr="005722A6">
        <w:rPr>
          <w:rFonts w:asciiTheme="majorHAnsi" w:hAnsiTheme="majorHAnsi"/>
          <w:sz w:val="20"/>
          <w:szCs w:val="20"/>
        </w:rPr>
        <w:t>Identification of baseline information, criteria and methods to collect, catalogue and represent data</w:t>
      </w:r>
      <w:r w:rsidR="00CF16C7" w:rsidRPr="005722A6">
        <w:rPr>
          <w:rFonts w:asciiTheme="majorHAnsi" w:hAnsiTheme="majorHAnsi"/>
          <w:sz w:val="20"/>
          <w:szCs w:val="20"/>
        </w:rPr>
        <w:t>, including</w:t>
      </w:r>
      <w:r w:rsidRPr="005722A6">
        <w:rPr>
          <w:rFonts w:asciiTheme="majorHAnsi" w:hAnsiTheme="majorHAnsi"/>
          <w:sz w:val="20"/>
          <w:szCs w:val="20"/>
        </w:rPr>
        <w:t xml:space="preserve">: (i) a protocol </w:t>
      </w:r>
      <w:r w:rsidR="0003325F" w:rsidRPr="005722A6">
        <w:rPr>
          <w:rFonts w:asciiTheme="majorHAnsi" w:hAnsiTheme="majorHAnsi"/>
          <w:sz w:val="20"/>
          <w:szCs w:val="20"/>
        </w:rPr>
        <w:t>for incorporating land/seascape data and plans into the existing</w:t>
      </w:r>
      <w:r w:rsidRPr="005722A6">
        <w:rPr>
          <w:rFonts w:asciiTheme="majorHAnsi" w:hAnsiTheme="majorHAnsi"/>
          <w:sz w:val="20"/>
          <w:szCs w:val="20"/>
        </w:rPr>
        <w:t xml:space="preserve"> National Geo</w:t>
      </w:r>
      <w:r w:rsidR="004905B1" w:rsidRPr="005722A6">
        <w:rPr>
          <w:rFonts w:asciiTheme="majorHAnsi" w:hAnsiTheme="majorHAnsi"/>
          <w:sz w:val="20"/>
          <w:szCs w:val="20"/>
        </w:rPr>
        <w:t>-</w:t>
      </w:r>
      <w:r w:rsidRPr="005722A6">
        <w:rPr>
          <w:rFonts w:asciiTheme="majorHAnsi" w:hAnsiTheme="majorHAnsi"/>
          <w:sz w:val="20"/>
          <w:szCs w:val="20"/>
        </w:rPr>
        <w:t>database</w:t>
      </w:r>
      <w:r w:rsidR="0003325F" w:rsidRPr="005722A6">
        <w:rPr>
          <w:rFonts w:asciiTheme="majorHAnsi" w:hAnsiTheme="majorHAnsi"/>
          <w:sz w:val="20"/>
          <w:szCs w:val="20"/>
        </w:rPr>
        <w:t xml:space="preserve"> managed by PALARIS; </w:t>
      </w:r>
      <w:r w:rsidRPr="005722A6">
        <w:rPr>
          <w:rFonts w:asciiTheme="majorHAnsi" w:hAnsiTheme="majorHAnsi"/>
          <w:sz w:val="20"/>
          <w:szCs w:val="20"/>
        </w:rPr>
        <w:t xml:space="preserve">(ii) a protocol to develop a </w:t>
      </w:r>
      <w:r w:rsidR="00E360DA" w:rsidRPr="005722A6">
        <w:rPr>
          <w:rFonts w:asciiTheme="majorHAnsi" w:hAnsiTheme="majorHAnsi"/>
          <w:sz w:val="20"/>
          <w:szCs w:val="20"/>
        </w:rPr>
        <w:t>geographic information system (</w:t>
      </w:r>
      <w:r w:rsidRPr="005722A6">
        <w:rPr>
          <w:rFonts w:asciiTheme="majorHAnsi" w:hAnsiTheme="majorHAnsi"/>
          <w:sz w:val="20"/>
          <w:szCs w:val="20"/>
        </w:rPr>
        <w:t>GIS</w:t>
      </w:r>
      <w:r w:rsidR="00E360DA" w:rsidRPr="005722A6">
        <w:rPr>
          <w:rFonts w:asciiTheme="majorHAnsi" w:hAnsiTheme="majorHAnsi"/>
          <w:sz w:val="20"/>
          <w:szCs w:val="20"/>
        </w:rPr>
        <w:t>)</w:t>
      </w:r>
      <w:r w:rsidRPr="005722A6">
        <w:rPr>
          <w:rFonts w:asciiTheme="majorHAnsi" w:hAnsiTheme="majorHAnsi"/>
          <w:sz w:val="20"/>
          <w:szCs w:val="20"/>
        </w:rPr>
        <w:t xml:space="preserve"> based environmental monitoring system (as part of the National Geo</w:t>
      </w:r>
      <w:r w:rsidR="004905B1" w:rsidRPr="005722A6">
        <w:rPr>
          <w:rFonts w:asciiTheme="majorHAnsi" w:hAnsiTheme="majorHAnsi"/>
          <w:sz w:val="20"/>
          <w:szCs w:val="20"/>
        </w:rPr>
        <w:t>-</w:t>
      </w:r>
      <w:r w:rsidRPr="005722A6">
        <w:rPr>
          <w:rFonts w:asciiTheme="majorHAnsi" w:hAnsiTheme="majorHAnsi"/>
          <w:sz w:val="20"/>
          <w:szCs w:val="20"/>
        </w:rPr>
        <w:t>database), coordinating existing data, currently collected and managed by several players and involving public administrations, research centers, NGOs and law enforcement bodies</w:t>
      </w:r>
      <w:r w:rsidR="00197D1E" w:rsidRPr="005722A6">
        <w:rPr>
          <w:rFonts w:asciiTheme="majorHAnsi" w:hAnsiTheme="majorHAnsi"/>
          <w:sz w:val="20"/>
          <w:szCs w:val="20"/>
        </w:rPr>
        <w:t>;</w:t>
      </w:r>
      <w:r w:rsidRPr="005722A6">
        <w:rPr>
          <w:rFonts w:asciiTheme="majorHAnsi" w:hAnsiTheme="majorHAnsi"/>
          <w:sz w:val="20"/>
          <w:szCs w:val="20"/>
        </w:rPr>
        <w:t xml:space="preserve"> and (iii) implement</w:t>
      </w:r>
      <w:r w:rsidR="0003325F" w:rsidRPr="005722A6">
        <w:rPr>
          <w:rFonts w:asciiTheme="majorHAnsi" w:hAnsiTheme="majorHAnsi"/>
          <w:sz w:val="20"/>
          <w:szCs w:val="20"/>
        </w:rPr>
        <w:t>ation of</w:t>
      </w:r>
      <w:r w:rsidRPr="005722A6">
        <w:rPr>
          <w:rFonts w:asciiTheme="majorHAnsi" w:hAnsiTheme="majorHAnsi"/>
          <w:sz w:val="20"/>
          <w:szCs w:val="20"/>
        </w:rPr>
        <w:t xml:space="preserve"> a capacity building program to broaden the number of GIS users in </w:t>
      </w:r>
      <w:r w:rsidR="0003325F" w:rsidRPr="005722A6">
        <w:rPr>
          <w:rFonts w:asciiTheme="majorHAnsi" w:hAnsiTheme="majorHAnsi"/>
          <w:sz w:val="20"/>
          <w:szCs w:val="20"/>
        </w:rPr>
        <w:t>national and state governments</w:t>
      </w:r>
      <w:r w:rsidR="00D163C7">
        <w:rPr>
          <w:rFonts w:asciiTheme="majorHAnsi" w:hAnsiTheme="majorHAnsi"/>
          <w:sz w:val="20"/>
          <w:szCs w:val="20"/>
        </w:rPr>
        <w:t>.</w:t>
      </w:r>
    </w:p>
    <w:p w14:paraId="376758C6" w14:textId="7AC51D12" w:rsidR="0057218D" w:rsidRPr="005722A6" w:rsidRDefault="0057218D" w:rsidP="00B02352">
      <w:pPr>
        <w:numPr>
          <w:ilvl w:val="0"/>
          <w:numId w:val="19"/>
        </w:numPr>
        <w:spacing w:after="0"/>
        <w:rPr>
          <w:rFonts w:asciiTheme="majorHAnsi" w:hAnsiTheme="majorHAnsi"/>
          <w:sz w:val="20"/>
          <w:szCs w:val="20"/>
        </w:rPr>
      </w:pPr>
      <w:r w:rsidRPr="005722A6">
        <w:rPr>
          <w:rFonts w:asciiTheme="majorHAnsi" w:hAnsiTheme="majorHAnsi"/>
          <w:sz w:val="20"/>
          <w:szCs w:val="20"/>
        </w:rPr>
        <w:t xml:space="preserve">Preparation of legal and operational tools to enable spatial planning at the land/seascape level, </w:t>
      </w:r>
      <w:r w:rsidR="00197D1E" w:rsidRPr="005722A6">
        <w:rPr>
          <w:rFonts w:asciiTheme="majorHAnsi" w:hAnsiTheme="majorHAnsi"/>
          <w:sz w:val="20"/>
          <w:szCs w:val="20"/>
        </w:rPr>
        <w:t>including</w:t>
      </w:r>
      <w:r w:rsidR="00D163C7">
        <w:rPr>
          <w:rFonts w:asciiTheme="majorHAnsi" w:hAnsiTheme="majorHAnsi"/>
          <w:sz w:val="20"/>
          <w:szCs w:val="20"/>
        </w:rPr>
        <w:t>:</w:t>
      </w:r>
      <w:r w:rsidR="00197D1E" w:rsidRPr="005722A6">
        <w:rPr>
          <w:rFonts w:asciiTheme="majorHAnsi" w:hAnsiTheme="majorHAnsi"/>
          <w:sz w:val="20"/>
          <w:szCs w:val="20"/>
        </w:rPr>
        <w:t xml:space="preserve"> </w:t>
      </w:r>
      <w:r w:rsidRPr="005722A6">
        <w:rPr>
          <w:rFonts w:asciiTheme="majorHAnsi" w:hAnsiTheme="majorHAnsi"/>
          <w:sz w:val="20"/>
          <w:szCs w:val="20"/>
        </w:rPr>
        <w:t xml:space="preserve">(i) </w:t>
      </w:r>
      <w:r w:rsidR="00197D1E" w:rsidRPr="005722A6">
        <w:rPr>
          <w:rFonts w:asciiTheme="majorHAnsi" w:hAnsiTheme="majorHAnsi"/>
          <w:sz w:val="20"/>
          <w:szCs w:val="20"/>
        </w:rPr>
        <w:t>guidelines</w:t>
      </w:r>
      <w:r w:rsidR="00CF16C7" w:rsidRPr="005722A6">
        <w:rPr>
          <w:rFonts w:asciiTheme="majorHAnsi" w:hAnsiTheme="majorHAnsi"/>
          <w:sz w:val="20"/>
          <w:szCs w:val="20"/>
        </w:rPr>
        <w:t xml:space="preserve">, standardized framework and templates </w:t>
      </w:r>
      <w:r w:rsidRPr="005722A6">
        <w:rPr>
          <w:rFonts w:asciiTheme="majorHAnsi" w:hAnsiTheme="majorHAnsi"/>
          <w:sz w:val="20"/>
          <w:szCs w:val="20"/>
        </w:rPr>
        <w:t xml:space="preserve">for the elaboration of </w:t>
      </w:r>
      <w:r w:rsidR="0086491E">
        <w:rPr>
          <w:rFonts w:asciiTheme="majorHAnsi" w:hAnsiTheme="majorHAnsi"/>
          <w:sz w:val="20"/>
          <w:szCs w:val="20"/>
        </w:rPr>
        <w:t xml:space="preserve">an integrated </w:t>
      </w:r>
      <w:r w:rsidR="000557EF" w:rsidRPr="005722A6">
        <w:rPr>
          <w:rFonts w:asciiTheme="majorHAnsi" w:hAnsiTheme="majorHAnsi"/>
          <w:sz w:val="20"/>
          <w:szCs w:val="20"/>
        </w:rPr>
        <w:t xml:space="preserve">national and state </w:t>
      </w:r>
      <w:r w:rsidRPr="005722A6">
        <w:rPr>
          <w:rFonts w:asciiTheme="majorHAnsi" w:hAnsiTheme="majorHAnsi"/>
          <w:sz w:val="20"/>
          <w:szCs w:val="20"/>
        </w:rPr>
        <w:t xml:space="preserve">landscape/seascape </w:t>
      </w:r>
      <w:r w:rsidR="000557EF" w:rsidRPr="005722A6">
        <w:rPr>
          <w:rFonts w:asciiTheme="majorHAnsi" w:hAnsiTheme="majorHAnsi"/>
          <w:sz w:val="20"/>
          <w:szCs w:val="20"/>
        </w:rPr>
        <w:t xml:space="preserve">framework </w:t>
      </w:r>
      <w:r w:rsidR="0086491E">
        <w:rPr>
          <w:rFonts w:asciiTheme="majorHAnsi" w:hAnsiTheme="majorHAnsi"/>
          <w:sz w:val="20"/>
          <w:szCs w:val="20"/>
        </w:rPr>
        <w:t xml:space="preserve">(ILSMF) </w:t>
      </w:r>
      <w:r w:rsidR="00CF16C7" w:rsidRPr="005722A6">
        <w:rPr>
          <w:rFonts w:asciiTheme="majorHAnsi" w:hAnsiTheme="majorHAnsi"/>
          <w:sz w:val="20"/>
          <w:szCs w:val="20"/>
        </w:rPr>
        <w:t>that are inclusive of biodiversity (and biosecurity) goals and policies</w:t>
      </w:r>
      <w:r w:rsidR="00197D1E" w:rsidRPr="005722A6">
        <w:rPr>
          <w:rFonts w:asciiTheme="majorHAnsi" w:hAnsiTheme="majorHAnsi"/>
          <w:sz w:val="20"/>
          <w:szCs w:val="20"/>
        </w:rPr>
        <w:t>;</w:t>
      </w:r>
      <w:r w:rsidRPr="005722A6">
        <w:rPr>
          <w:rFonts w:asciiTheme="majorHAnsi" w:hAnsiTheme="majorHAnsi"/>
          <w:sz w:val="20"/>
          <w:szCs w:val="20"/>
        </w:rPr>
        <w:t xml:space="preserve"> (ii) a legal procedure to approve</w:t>
      </w:r>
      <w:r w:rsidR="00CF16C7" w:rsidRPr="005722A6">
        <w:rPr>
          <w:rFonts w:asciiTheme="majorHAnsi" w:hAnsiTheme="majorHAnsi"/>
          <w:sz w:val="20"/>
          <w:szCs w:val="20"/>
        </w:rPr>
        <w:t xml:space="preserve"> and implement</w:t>
      </w:r>
      <w:r w:rsidRPr="005722A6">
        <w:rPr>
          <w:rFonts w:asciiTheme="majorHAnsi" w:hAnsiTheme="majorHAnsi"/>
          <w:sz w:val="20"/>
          <w:szCs w:val="20"/>
        </w:rPr>
        <w:t xml:space="preserve"> the land/seascape plans at the inter-institutional level (national and state levels), under the umbrella of the governance and coordination mechanism developed in output 1.1</w:t>
      </w:r>
      <w:r w:rsidR="00D163C7">
        <w:rPr>
          <w:rFonts w:asciiTheme="majorHAnsi" w:hAnsiTheme="majorHAnsi"/>
          <w:sz w:val="20"/>
          <w:szCs w:val="20"/>
        </w:rPr>
        <w:t>;</w:t>
      </w:r>
      <w:r w:rsidRPr="005722A6">
        <w:rPr>
          <w:rFonts w:asciiTheme="majorHAnsi" w:hAnsiTheme="majorHAnsi"/>
          <w:sz w:val="20"/>
          <w:szCs w:val="20"/>
        </w:rPr>
        <w:t xml:space="preserve"> </w:t>
      </w:r>
      <w:r w:rsidR="00197D1E" w:rsidRPr="005722A6">
        <w:rPr>
          <w:rFonts w:asciiTheme="majorHAnsi" w:hAnsiTheme="majorHAnsi"/>
          <w:sz w:val="20"/>
          <w:szCs w:val="20"/>
        </w:rPr>
        <w:t xml:space="preserve">and </w:t>
      </w:r>
      <w:r w:rsidRPr="005722A6">
        <w:rPr>
          <w:rFonts w:asciiTheme="majorHAnsi" w:hAnsiTheme="majorHAnsi"/>
          <w:sz w:val="20"/>
          <w:szCs w:val="20"/>
        </w:rPr>
        <w:t>(iii) Strategic Environmental Assessment (SEA) process</w:t>
      </w:r>
      <w:r w:rsidR="00D163C7">
        <w:rPr>
          <w:rFonts w:asciiTheme="majorHAnsi" w:hAnsiTheme="majorHAnsi"/>
          <w:sz w:val="20"/>
          <w:szCs w:val="20"/>
        </w:rPr>
        <w:t>.</w:t>
      </w:r>
    </w:p>
    <w:p w14:paraId="3A91219B" w14:textId="77777777" w:rsidR="0057218D" w:rsidRPr="005722A6" w:rsidRDefault="0057218D" w:rsidP="00B87774">
      <w:pPr>
        <w:spacing w:after="0"/>
        <w:rPr>
          <w:rFonts w:asciiTheme="majorHAnsi" w:hAnsiTheme="majorHAnsi"/>
          <w:b/>
          <w:i/>
          <w:sz w:val="20"/>
          <w:szCs w:val="20"/>
        </w:rPr>
      </w:pPr>
    </w:p>
    <w:p w14:paraId="6CC305C2" w14:textId="66895A7D" w:rsidR="00B87774" w:rsidRPr="005722A6" w:rsidRDefault="00B87774" w:rsidP="00B87774">
      <w:pPr>
        <w:spacing w:after="0"/>
        <w:rPr>
          <w:rFonts w:asciiTheme="majorHAnsi" w:hAnsiTheme="majorHAnsi"/>
          <w:b/>
          <w:i/>
          <w:sz w:val="20"/>
          <w:szCs w:val="20"/>
        </w:rPr>
      </w:pPr>
      <w:r w:rsidRPr="005722A6">
        <w:rPr>
          <w:rFonts w:asciiTheme="majorHAnsi" w:hAnsiTheme="majorHAnsi"/>
          <w:b/>
          <w:i/>
          <w:sz w:val="20"/>
          <w:szCs w:val="20"/>
        </w:rPr>
        <w:t xml:space="preserve">Output 1.3:  Strengthened national framework for </w:t>
      </w:r>
      <w:r w:rsidR="006C3327" w:rsidRPr="005722A6">
        <w:rPr>
          <w:rFonts w:asciiTheme="majorHAnsi" w:hAnsiTheme="majorHAnsi"/>
          <w:b/>
          <w:i/>
          <w:sz w:val="20"/>
          <w:szCs w:val="20"/>
        </w:rPr>
        <w:t xml:space="preserve">effective </w:t>
      </w:r>
      <w:r w:rsidRPr="005722A6">
        <w:rPr>
          <w:rFonts w:asciiTheme="majorHAnsi" w:hAnsiTheme="majorHAnsi"/>
          <w:b/>
          <w:i/>
          <w:sz w:val="20"/>
          <w:szCs w:val="20"/>
        </w:rPr>
        <w:t>Invasive Alien Species (IAS) prevention and management</w:t>
      </w:r>
    </w:p>
    <w:p w14:paraId="10C0C423" w14:textId="77777777" w:rsidR="00B87774" w:rsidRPr="005722A6" w:rsidRDefault="00B87774" w:rsidP="00B87774">
      <w:pPr>
        <w:spacing w:after="0"/>
        <w:rPr>
          <w:rFonts w:asciiTheme="majorHAnsi" w:hAnsiTheme="majorHAnsi"/>
          <w:b/>
          <w:i/>
          <w:sz w:val="20"/>
          <w:szCs w:val="20"/>
        </w:rPr>
      </w:pPr>
    </w:p>
    <w:p w14:paraId="07BBD9AA" w14:textId="776FAA8B" w:rsidR="00784769" w:rsidRPr="005722A6" w:rsidRDefault="00B80BD6" w:rsidP="0001631A">
      <w:pPr>
        <w:spacing w:after="0"/>
        <w:rPr>
          <w:rFonts w:asciiTheme="majorHAnsi" w:hAnsiTheme="majorHAnsi"/>
          <w:sz w:val="20"/>
          <w:szCs w:val="20"/>
        </w:rPr>
      </w:pPr>
      <w:r w:rsidRPr="005722A6">
        <w:rPr>
          <w:rFonts w:asciiTheme="majorHAnsi" w:hAnsiTheme="majorHAnsi"/>
          <w:sz w:val="20"/>
          <w:szCs w:val="20"/>
        </w:rPr>
        <w:t>Under this Output, the project would strengthen the functionality and capacities of the National Invasive Species Committee</w:t>
      </w:r>
      <w:r w:rsidR="00E04E15">
        <w:rPr>
          <w:rFonts w:asciiTheme="majorHAnsi" w:hAnsiTheme="majorHAnsi"/>
          <w:sz w:val="20"/>
          <w:szCs w:val="20"/>
        </w:rPr>
        <w:t xml:space="preserve"> (NISC)</w:t>
      </w:r>
      <w:r w:rsidRPr="005722A6">
        <w:rPr>
          <w:rFonts w:asciiTheme="majorHAnsi" w:hAnsiTheme="majorHAnsi"/>
          <w:sz w:val="20"/>
          <w:szCs w:val="20"/>
        </w:rPr>
        <w:t xml:space="preserve"> and Biosecurity Division (including the capacity of the Biosecurity Officers and national level IAS coordination)</w:t>
      </w:r>
      <w:r w:rsidR="00194AA1">
        <w:rPr>
          <w:rFonts w:asciiTheme="majorHAnsi" w:hAnsiTheme="majorHAnsi"/>
          <w:sz w:val="20"/>
          <w:szCs w:val="20"/>
        </w:rPr>
        <w:t xml:space="preserve">. </w:t>
      </w:r>
      <w:r w:rsidRPr="005722A6">
        <w:rPr>
          <w:rFonts w:asciiTheme="majorHAnsi" w:hAnsiTheme="majorHAnsi"/>
          <w:sz w:val="20"/>
          <w:szCs w:val="20"/>
        </w:rPr>
        <w:t xml:space="preserve">It will also develop/update and implement the National Invasive Species Strategic Action Plan (NISSAP) </w:t>
      </w:r>
      <w:r w:rsidR="000C619B">
        <w:rPr>
          <w:rFonts w:asciiTheme="majorHAnsi" w:hAnsiTheme="majorHAnsi"/>
          <w:sz w:val="20"/>
          <w:szCs w:val="20"/>
        </w:rPr>
        <w:t xml:space="preserve">as </w:t>
      </w:r>
      <w:r w:rsidRPr="005722A6">
        <w:rPr>
          <w:rFonts w:asciiTheme="majorHAnsi" w:hAnsiTheme="majorHAnsi"/>
          <w:sz w:val="20"/>
          <w:szCs w:val="20"/>
        </w:rPr>
        <w:t>a participatory, comprehensive cross-sector national and state strategy for advancing biosecurity and IAS management</w:t>
      </w:r>
      <w:r w:rsidR="00194AA1">
        <w:rPr>
          <w:rFonts w:asciiTheme="majorHAnsi" w:hAnsiTheme="majorHAnsi"/>
          <w:sz w:val="20"/>
          <w:szCs w:val="20"/>
        </w:rPr>
        <w:t xml:space="preserve">. </w:t>
      </w:r>
      <w:r w:rsidRPr="005722A6">
        <w:rPr>
          <w:rFonts w:asciiTheme="majorHAnsi" w:hAnsiTheme="majorHAnsi"/>
          <w:sz w:val="20"/>
          <w:szCs w:val="20"/>
        </w:rPr>
        <w:t xml:space="preserve">The NISSAP will replace the existing </w:t>
      </w:r>
      <w:r w:rsidR="00E04E15">
        <w:rPr>
          <w:rFonts w:asciiTheme="majorHAnsi" w:hAnsiTheme="majorHAnsi"/>
          <w:sz w:val="20"/>
          <w:szCs w:val="20"/>
        </w:rPr>
        <w:t>National Invasive Species Strategy (</w:t>
      </w:r>
      <w:r w:rsidR="00375AE8" w:rsidRPr="005722A6">
        <w:rPr>
          <w:rFonts w:asciiTheme="majorHAnsi" w:hAnsiTheme="majorHAnsi"/>
          <w:sz w:val="20"/>
          <w:szCs w:val="20"/>
        </w:rPr>
        <w:t>NIS</w:t>
      </w:r>
      <w:r w:rsidR="00375AE8">
        <w:rPr>
          <w:rFonts w:asciiTheme="majorHAnsi" w:hAnsiTheme="majorHAnsi"/>
          <w:sz w:val="20"/>
          <w:szCs w:val="20"/>
        </w:rPr>
        <w:t>S</w:t>
      </w:r>
      <w:r w:rsidR="00E04E15">
        <w:rPr>
          <w:rFonts w:asciiTheme="majorHAnsi" w:hAnsiTheme="majorHAnsi"/>
          <w:sz w:val="20"/>
          <w:szCs w:val="20"/>
        </w:rPr>
        <w:t>)</w:t>
      </w:r>
      <w:r w:rsidR="00375AE8" w:rsidRPr="005722A6">
        <w:rPr>
          <w:rFonts w:asciiTheme="majorHAnsi" w:hAnsiTheme="majorHAnsi"/>
          <w:sz w:val="20"/>
          <w:szCs w:val="20"/>
        </w:rPr>
        <w:t xml:space="preserve"> </w:t>
      </w:r>
      <w:r w:rsidRPr="005722A6">
        <w:rPr>
          <w:rFonts w:asciiTheme="majorHAnsi" w:hAnsiTheme="majorHAnsi"/>
          <w:sz w:val="20"/>
          <w:szCs w:val="20"/>
        </w:rPr>
        <w:t xml:space="preserve">that expires in 2017 and which has served as the national guide to IAS activities within the country, but which is inadequate to meet the expanding challenges posed by IAS. A proposed outline for the NISSAP is included in </w:t>
      </w:r>
      <w:r w:rsidRPr="00BF522B">
        <w:rPr>
          <w:rFonts w:asciiTheme="majorHAnsi" w:hAnsiTheme="majorHAnsi"/>
          <w:b/>
          <w:sz w:val="20"/>
          <w:szCs w:val="20"/>
        </w:rPr>
        <w:t>Annex 2</w:t>
      </w:r>
      <w:r w:rsidRPr="00420CFE">
        <w:rPr>
          <w:rFonts w:asciiTheme="majorHAnsi" w:hAnsiTheme="majorHAnsi"/>
          <w:sz w:val="20"/>
          <w:szCs w:val="20"/>
        </w:rPr>
        <w:t>.</w:t>
      </w:r>
      <w:r w:rsidR="00664932" w:rsidRPr="005722A6">
        <w:rPr>
          <w:rFonts w:asciiTheme="majorHAnsi" w:hAnsiTheme="majorHAnsi"/>
          <w:sz w:val="20"/>
          <w:szCs w:val="20"/>
        </w:rPr>
        <w:t xml:space="preserve"> </w:t>
      </w:r>
      <w:r w:rsidRPr="005722A6">
        <w:rPr>
          <w:rFonts w:asciiTheme="majorHAnsi" w:hAnsiTheme="majorHAnsi"/>
          <w:sz w:val="20"/>
          <w:szCs w:val="20"/>
        </w:rPr>
        <w:t>The NISSAP is to be prioritized based on a harmonization of national and state needs, and elements addressed under output 1.3 will likewise be prioritized</w:t>
      </w:r>
      <w:r w:rsidR="00194AA1">
        <w:rPr>
          <w:rFonts w:asciiTheme="majorHAnsi" w:hAnsiTheme="majorHAnsi"/>
          <w:sz w:val="20"/>
          <w:szCs w:val="20"/>
        </w:rPr>
        <w:t xml:space="preserve">. </w:t>
      </w:r>
      <w:r w:rsidR="002B5BDE">
        <w:rPr>
          <w:rFonts w:asciiTheme="majorHAnsi" w:hAnsiTheme="majorHAnsi"/>
          <w:sz w:val="20"/>
          <w:szCs w:val="20"/>
        </w:rPr>
        <w:t>T</w:t>
      </w:r>
      <w:r w:rsidR="00784769" w:rsidRPr="005722A6">
        <w:rPr>
          <w:rFonts w:asciiTheme="majorHAnsi" w:hAnsiTheme="majorHAnsi"/>
          <w:sz w:val="20"/>
          <w:szCs w:val="20"/>
        </w:rPr>
        <w:t xml:space="preserve">raining </w:t>
      </w:r>
      <w:r w:rsidR="002B5BDE" w:rsidRPr="005722A6">
        <w:rPr>
          <w:rFonts w:asciiTheme="majorHAnsi" w:hAnsiTheme="majorHAnsi"/>
          <w:sz w:val="20"/>
          <w:szCs w:val="20"/>
        </w:rPr>
        <w:t>w</w:t>
      </w:r>
      <w:r w:rsidR="002B5BDE">
        <w:rPr>
          <w:rFonts w:asciiTheme="majorHAnsi" w:hAnsiTheme="majorHAnsi"/>
          <w:sz w:val="20"/>
          <w:szCs w:val="20"/>
        </w:rPr>
        <w:t>ill</w:t>
      </w:r>
      <w:r w:rsidR="002B5BDE" w:rsidRPr="005722A6">
        <w:rPr>
          <w:rFonts w:asciiTheme="majorHAnsi" w:hAnsiTheme="majorHAnsi"/>
          <w:sz w:val="20"/>
          <w:szCs w:val="20"/>
        </w:rPr>
        <w:t xml:space="preserve"> </w:t>
      </w:r>
      <w:r w:rsidR="001C3EFA" w:rsidRPr="005722A6">
        <w:rPr>
          <w:rFonts w:asciiTheme="majorHAnsi" w:hAnsiTheme="majorHAnsi"/>
          <w:sz w:val="20"/>
          <w:szCs w:val="20"/>
        </w:rPr>
        <w:t>be provided</w:t>
      </w:r>
      <w:r w:rsidR="00784769" w:rsidRPr="005722A6">
        <w:rPr>
          <w:rFonts w:asciiTheme="majorHAnsi" w:hAnsiTheme="majorHAnsi"/>
          <w:sz w:val="20"/>
          <w:szCs w:val="20"/>
        </w:rPr>
        <w:t xml:space="preserve"> in all aspects for all key individuals</w:t>
      </w:r>
      <w:r w:rsidR="00E0453D" w:rsidRPr="005722A6">
        <w:rPr>
          <w:rFonts w:asciiTheme="majorHAnsi" w:hAnsiTheme="majorHAnsi"/>
          <w:sz w:val="20"/>
          <w:szCs w:val="20"/>
        </w:rPr>
        <w:t>. A d</w:t>
      </w:r>
      <w:r w:rsidR="00784769" w:rsidRPr="005722A6">
        <w:rPr>
          <w:rFonts w:asciiTheme="majorHAnsi" w:hAnsiTheme="majorHAnsi"/>
          <w:sz w:val="20"/>
          <w:szCs w:val="20"/>
        </w:rPr>
        <w:t xml:space="preserve">atabase </w:t>
      </w:r>
      <w:r w:rsidR="00E0453D" w:rsidRPr="005722A6">
        <w:rPr>
          <w:rFonts w:asciiTheme="majorHAnsi" w:hAnsiTheme="majorHAnsi"/>
          <w:sz w:val="20"/>
          <w:szCs w:val="20"/>
        </w:rPr>
        <w:t xml:space="preserve">(housed at MNRET but linked to the </w:t>
      </w:r>
      <w:r w:rsidR="00373429">
        <w:rPr>
          <w:rFonts w:asciiTheme="majorHAnsi" w:hAnsiTheme="majorHAnsi"/>
          <w:sz w:val="20"/>
          <w:szCs w:val="20"/>
        </w:rPr>
        <w:t>Secretariat of the Pacific Community (</w:t>
      </w:r>
      <w:r w:rsidRPr="005722A6">
        <w:rPr>
          <w:rFonts w:asciiTheme="majorHAnsi" w:hAnsiTheme="majorHAnsi"/>
          <w:sz w:val="20"/>
          <w:szCs w:val="20"/>
        </w:rPr>
        <w:t>SPC</w:t>
      </w:r>
      <w:r w:rsidR="00373429">
        <w:rPr>
          <w:rFonts w:asciiTheme="majorHAnsi" w:hAnsiTheme="majorHAnsi"/>
          <w:sz w:val="20"/>
          <w:szCs w:val="20"/>
        </w:rPr>
        <w:t>)</w:t>
      </w:r>
      <w:r w:rsidRPr="005722A6">
        <w:rPr>
          <w:rFonts w:asciiTheme="majorHAnsi" w:hAnsiTheme="majorHAnsi"/>
          <w:sz w:val="20"/>
          <w:szCs w:val="20"/>
        </w:rPr>
        <w:t xml:space="preserve"> </w:t>
      </w:r>
      <w:r w:rsidR="00BF522B">
        <w:rPr>
          <w:rFonts w:asciiTheme="majorHAnsi" w:hAnsiTheme="majorHAnsi"/>
          <w:sz w:val="20"/>
          <w:szCs w:val="20"/>
        </w:rPr>
        <w:t>and/</w:t>
      </w:r>
      <w:r w:rsidRPr="005722A6">
        <w:rPr>
          <w:rFonts w:asciiTheme="majorHAnsi" w:hAnsiTheme="majorHAnsi"/>
          <w:sz w:val="20"/>
          <w:szCs w:val="20"/>
        </w:rPr>
        <w:t xml:space="preserve">or </w:t>
      </w:r>
      <w:r w:rsidR="00373429">
        <w:rPr>
          <w:rFonts w:asciiTheme="majorHAnsi" w:hAnsiTheme="majorHAnsi"/>
          <w:sz w:val="20"/>
          <w:szCs w:val="20"/>
        </w:rPr>
        <w:t>Food and Agriculture Organization (</w:t>
      </w:r>
      <w:r w:rsidRPr="005722A6">
        <w:rPr>
          <w:rFonts w:asciiTheme="majorHAnsi" w:hAnsiTheme="majorHAnsi"/>
          <w:sz w:val="20"/>
          <w:szCs w:val="20"/>
        </w:rPr>
        <w:t>FAO</w:t>
      </w:r>
      <w:r w:rsidR="00373429">
        <w:rPr>
          <w:rFonts w:asciiTheme="majorHAnsi" w:hAnsiTheme="majorHAnsi"/>
          <w:sz w:val="20"/>
          <w:szCs w:val="20"/>
        </w:rPr>
        <w:t>)</w:t>
      </w:r>
      <w:r w:rsidR="00E0453D" w:rsidRPr="005722A6">
        <w:rPr>
          <w:rFonts w:asciiTheme="majorHAnsi" w:hAnsiTheme="majorHAnsi"/>
          <w:sz w:val="20"/>
          <w:szCs w:val="20"/>
        </w:rPr>
        <w:t xml:space="preserve"> database</w:t>
      </w:r>
      <w:r w:rsidR="00E360DA" w:rsidRPr="005722A6">
        <w:rPr>
          <w:rFonts w:asciiTheme="majorHAnsi" w:hAnsiTheme="majorHAnsi"/>
          <w:sz w:val="20"/>
          <w:szCs w:val="20"/>
        </w:rPr>
        <w:t xml:space="preserve"> </w:t>
      </w:r>
      <w:r w:rsidR="00784769" w:rsidRPr="005722A6">
        <w:rPr>
          <w:rFonts w:asciiTheme="majorHAnsi" w:hAnsiTheme="majorHAnsi"/>
          <w:sz w:val="20"/>
          <w:szCs w:val="20"/>
        </w:rPr>
        <w:t>(Output 4.</w:t>
      </w:r>
      <w:r w:rsidR="002F7AEC" w:rsidRPr="005722A6">
        <w:rPr>
          <w:rFonts w:asciiTheme="majorHAnsi" w:hAnsiTheme="majorHAnsi"/>
          <w:sz w:val="20"/>
          <w:szCs w:val="20"/>
        </w:rPr>
        <w:t>3</w:t>
      </w:r>
      <w:r w:rsidR="00784769" w:rsidRPr="005722A6">
        <w:rPr>
          <w:rFonts w:asciiTheme="majorHAnsi" w:hAnsiTheme="majorHAnsi"/>
          <w:sz w:val="20"/>
          <w:szCs w:val="20"/>
        </w:rPr>
        <w:t>) w</w:t>
      </w:r>
      <w:r w:rsidR="001C3EFA" w:rsidRPr="005722A6">
        <w:rPr>
          <w:rFonts w:asciiTheme="majorHAnsi" w:hAnsiTheme="majorHAnsi"/>
          <w:sz w:val="20"/>
          <w:szCs w:val="20"/>
        </w:rPr>
        <w:t xml:space="preserve">ould support </w:t>
      </w:r>
      <w:r w:rsidR="00784769" w:rsidRPr="005722A6">
        <w:rPr>
          <w:rFonts w:asciiTheme="majorHAnsi" w:hAnsiTheme="majorHAnsi"/>
          <w:sz w:val="20"/>
          <w:szCs w:val="20"/>
        </w:rPr>
        <w:t>document</w:t>
      </w:r>
      <w:r w:rsidR="001C3EFA" w:rsidRPr="005722A6">
        <w:rPr>
          <w:rFonts w:asciiTheme="majorHAnsi" w:hAnsiTheme="majorHAnsi"/>
          <w:sz w:val="20"/>
          <w:szCs w:val="20"/>
        </w:rPr>
        <w:t>ation of</w:t>
      </w:r>
      <w:r w:rsidR="00784769" w:rsidRPr="005722A6">
        <w:rPr>
          <w:rFonts w:asciiTheme="majorHAnsi" w:hAnsiTheme="majorHAnsi"/>
          <w:sz w:val="20"/>
          <w:szCs w:val="20"/>
        </w:rPr>
        <w:t xml:space="preserve"> reports, actions and findings</w:t>
      </w:r>
      <w:r w:rsidR="00E0453D" w:rsidRPr="005722A6">
        <w:rPr>
          <w:rFonts w:asciiTheme="majorHAnsi" w:hAnsiTheme="majorHAnsi"/>
          <w:sz w:val="20"/>
          <w:szCs w:val="20"/>
        </w:rPr>
        <w:t xml:space="preserve">, and assist with </w:t>
      </w:r>
      <w:r w:rsidR="00784769" w:rsidRPr="005722A6">
        <w:rPr>
          <w:rFonts w:asciiTheme="majorHAnsi" w:hAnsiTheme="majorHAnsi"/>
          <w:sz w:val="20"/>
          <w:szCs w:val="20"/>
        </w:rPr>
        <w:t>accountability and analysis to improve the system.</w:t>
      </w:r>
      <w:r w:rsidR="002B5BDE">
        <w:rPr>
          <w:rFonts w:asciiTheme="majorHAnsi" w:hAnsiTheme="majorHAnsi"/>
          <w:sz w:val="20"/>
          <w:szCs w:val="20"/>
        </w:rPr>
        <w:t xml:space="preserve"> </w:t>
      </w:r>
      <w:r w:rsidR="00784769" w:rsidRPr="005722A6">
        <w:rPr>
          <w:rFonts w:asciiTheme="majorHAnsi" w:hAnsiTheme="majorHAnsi"/>
          <w:sz w:val="20"/>
          <w:szCs w:val="20"/>
        </w:rPr>
        <w:t>IAS awareness and buy-in (Output 4.</w:t>
      </w:r>
      <w:r w:rsidR="002F7AEC" w:rsidRPr="005722A6">
        <w:rPr>
          <w:rFonts w:asciiTheme="majorHAnsi" w:hAnsiTheme="majorHAnsi"/>
          <w:sz w:val="20"/>
          <w:szCs w:val="20"/>
        </w:rPr>
        <w:t>1</w:t>
      </w:r>
      <w:r w:rsidR="00784769" w:rsidRPr="005722A6">
        <w:rPr>
          <w:rFonts w:asciiTheme="majorHAnsi" w:hAnsiTheme="majorHAnsi"/>
          <w:sz w:val="20"/>
          <w:szCs w:val="20"/>
        </w:rPr>
        <w:t xml:space="preserve">) </w:t>
      </w:r>
      <w:r w:rsidR="0001631A" w:rsidRPr="005722A6">
        <w:rPr>
          <w:rFonts w:asciiTheme="majorHAnsi" w:hAnsiTheme="majorHAnsi"/>
          <w:sz w:val="20"/>
          <w:szCs w:val="20"/>
        </w:rPr>
        <w:t>for</w:t>
      </w:r>
      <w:r w:rsidR="00784769" w:rsidRPr="005722A6">
        <w:rPr>
          <w:rFonts w:asciiTheme="majorHAnsi" w:hAnsiTheme="majorHAnsi"/>
          <w:sz w:val="20"/>
          <w:szCs w:val="20"/>
        </w:rPr>
        <w:t xml:space="preserve"> </w:t>
      </w:r>
      <w:r w:rsidR="0001631A" w:rsidRPr="005722A6">
        <w:rPr>
          <w:rFonts w:asciiTheme="majorHAnsi" w:hAnsiTheme="majorHAnsi"/>
          <w:sz w:val="20"/>
          <w:szCs w:val="20"/>
        </w:rPr>
        <w:t>all</w:t>
      </w:r>
      <w:r w:rsidR="00784769" w:rsidRPr="005722A6">
        <w:rPr>
          <w:rFonts w:asciiTheme="majorHAnsi" w:hAnsiTheme="majorHAnsi"/>
          <w:sz w:val="20"/>
          <w:szCs w:val="20"/>
        </w:rPr>
        <w:t xml:space="preserve"> levels in government, NGOs, communities, private sector and visitors </w:t>
      </w:r>
      <w:r w:rsidR="0001631A" w:rsidRPr="005722A6">
        <w:rPr>
          <w:rFonts w:asciiTheme="majorHAnsi" w:hAnsiTheme="majorHAnsi"/>
          <w:sz w:val="20"/>
          <w:szCs w:val="20"/>
        </w:rPr>
        <w:t>will</w:t>
      </w:r>
      <w:r w:rsidR="00784769" w:rsidRPr="005722A6">
        <w:rPr>
          <w:rFonts w:asciiTheme="majorHAnsi" w:hAnsiTheme="majorHAnsi"/>
          <w:sz w:val="20"/>
          <w:szCs w:val="20"/>
        </w:rPr>
        <w:t xml:space="preserve"> ensure comprehensive and effective biosecurity and IAS management. </w:t>
      </w:r>
      <w:r w:rsidR="0001631A" w:rsidRPr="005722A6">
        <w:rPr>
          <w:rFonts w:asciiTheme="majorHAnsi" w:hAnsiTheme="majorHAnsi"/>
          <w:sz w:val="20"/>
          <w:szCs w:val="20"/>
        </w:rPr>
        <w:t xml:space="preserve">The project will support development of </w:t>
      </w:r>
      <w:r w:rsidR="00784769" w:rsidRPr="005722A6">
        <w:rPr>
          <w:rFonts w:asciiTheme="majorHAnsi" w:hAnsiTheme="majorHAnsi"/>
          <w:sz w:val="20"/>
          <w:szCs w:val="20"/>
        </w:rPr>
        <w:t xml:space="preserve">protocols and </w:t>
      </w:r>
      <w:r w:rsidR="00590BD4" w:rsidRPr="005722A6">
        <w:rPr>
          <w:rFonts w:asciiTheme="majorHAnsi" w:hAnsiTheme="majorHAnsi"/>
          <w:sz w:val="20"/>
          <w:szCs w:val="20"/>
        </w:rPr>
        <w:t xml:space="preserve">the </w:t>
      </w:r>
      <w:r w:rsidR="00784769" w:rsidRPr="005722A6">
        <w:rPr>
          <w:rFonts w:asciiTheme="majorHAnsi" w:hAnsiTheme="majorHAnsi"/>
          <w:sz w:val="20"/>
          <w:szCs w:val="20"/>
        </w:rPr>
        <w:t xml:space="preserve">capacity to </w:t>
      </w:r>
      <w:r w:rsidR="00E0453D" w:rsidRPr="005722A6">
        <w:rPr>
          <w:rFonts w:asciiTheme="majorHAnsi" w:hAnsiTheme="majorHAnsi"/>
          <w:sz w:val="20"/>
          <w:szCs w:val="20"/>
        </w:rPr>
        <w:t xml:space="preserve">respond immediately to </w:t>
      </w:r>
      <w:r w:rsidR="000C619B">
        <w:rPr>
          <w:rFonts w:asciiTheme="majorHAnsi" w:hAnsiTheme="majorHAnsi"/>
          <w:sz w:val="20"/>
          <w:szCs w:val="20"/>
        </w:rPr>
        <w:t xml:space="preserve">IAS </w:t>
      </w:r>
      <w:r w:rsidR="00E0453D" w:rsidRPr="005722A6">
        <w:rPr>
          <w:rFonts w:asciiTheme="majorHAnsi" w:hAnsiTheme="majorHAnsi"/>
          <w:sz w:val="20"/>
          <w:szCs w:val="20"/>
        </w:rPr>
        <w:t>reports</w:t>
      </w:r>
      <w:r w:rsidR="00BF522B">
        <w:rPr>
          <w:rFonts w:asciiTheme="majorHAnsi" w:hAnsiTheme="majorHAnsi"/>
          <w:sz w:val="20"/>
          <w:szCs w:val="20"/>
        </w:rPr>
        <w:t>,</w:t>
      </w:r>
      <w:r w:rsidR="00E0453D" w:rsidRPr="005722A6">
        <w:rPr>
          <w:rFonts w:asciiTheme="majorHAnsi" w:hAnsiTheme="majorHAnsi"/>
          <w:sz w:val="20"/>
          <w:szCs w:val="20"/>
        </w:rPr>
        <w:t xml:space="preserve"> determine their credibility and provide feedback. </w:t>
      </w:r>
    </w:p>
    <w:p w14:paraId="3F75F45B" w14:textId="77777777" w:rsidR="00C86F1A" w:rsidRPr="005722A6" w:rsidRDefault="00C86F1A" w:rsidP="007A1BA8">
      <w:pPr>
        <w:rPr>
          <w:rFonts w:asciiTheme="majorHAnsi" w:hAnsiTheme="majorHAnsi"/>
          <w:sz w:val="20"/>
          <w:szCs w:val="20"/>
        </w:rPr>
      </w:pPr>
    </w:p>
    <w:p w14:paraId="3BF81463" w14:textId="06D9FE57" w:rsidR="00180FAE" w:rsidRPr="005722A6" w:rsidRDefault="0001631A" w:rsidP="007A1BA8">
      <w:pPr>
        <w:rPr>
          <w:rFonts w:asciiTheme="majorHAnsi" w:hAnsiTheme="majorHAnsi"/>
          <w:sz w:val="20"/>
          <w:szCs w:val="20"/>
        </w:rPr>
      </w:pPr>
      <w:r w:rsidRPr="005722A6">
        <w:rPr>
          <w:rFonts w:asciiTheme="majorHAnsi" w:hAnsiTheme="majorHAnsi"/>
          <w:sz w:val="20"/>
          <w:szCs w:val="20"/>
        </w:rPr>
        <w:t xml:space="preserve">Overall, the </w:t>
      </w:r>
      <w:r w:rsidR="00180FAE" w:rsidRPr="005722A6">
        <w:rPr>
          <w:rFonts w:asciiTheme="majorHAnsi" w:hAnsiTheme="majorHAnsi"/>
          <w:sz w:val="20"/>
          <w:szCs w:val="20"/>
        </w:rPr>
        <w:t>GEF alternative under this Output will support the following activities:</w:t>
      </w:r>
    </w:p>
    <w:p w14:paraId="41FB4393" w14:textId="08C4C69A" w:rsidR="00B80BD6" w:rsidRPr="00FF745E" w:rsidRDefault="00B80BD6" w:rsidP="00BD402F">
      <w:pPr>
        <w:pStyle w:val="ListParagraph"/>
        <w:numPr>
          <w:ilvl w:val="0"/>
          <w:numId w:val="27"/>
        </w:numPr>
        <w:jc w:val="both"/>
        <w:rPr>
          <w:rFonts w:asciiTheme="majorHAnsi" w:hAnsiTheme="majorHAnsi"/>
          <w:sz w:val="20"/>
          <w:szCs w:val="20"/>
        </w:rPr>
      </w:pPr>
      <w:r w:rsidRPr="00FB46EB">
        <w:rPr>
          <w:rFonts w:asciiTheme="majorHAnsi" w:hAnsiTheme="majorHAnsi"/>
          <w:sz w:val="20"/>
          <w:szCs w:val="20"/>
        </w:rPr>
        <w:lastRenderedPageBreak/>
        <w:t>A comprehensive review of IAS prevention and management structure for the country and addressing findings including improving the capacity of the NISC and national invasive species coordination</w:t>
      </w:r>
      <w:r w:rsidR="00194AA1">
        <w:rPr>
          <w:rFonts w:asciiTheme="majorHAnsi" w:hAnsiTheme="majorHAnsi"/>
          <w:sz w:val="20"/>
          <w:szCs w:val="20"/>
        </w:rPr>
        <w:t xml:space="preserve">. </w:t>
      </w:r>
      <w:r w:rsidRPr="00FB46EB">
        <w:rPr>
          <w:rFonts w:asciiTheme="majorHAnsi" w:hAnsiTheme="majorHAnsi"/>
          <w:sz w:val="20"/>
          <w:szCs w:val="20"/>
        </w:rPr>
        <w:t xml:space="preserve">Specifically, </w:t>
      </w:r>
      <w:r w:rsidRPr="002F6486">
        <w:rPr>
          <w:rFonts w:asciiTheme="majorHAnsi" w:hAnsiTheme="majorHAnsi"/>
          <w:sz w:val="20"/>
          <w:szCs w:val="20"/>
        </w:rPr>
        <w:t>the current National Invasive Species Coordinator</w:t>
      </w:r>
      <w:r w:rsidR="000C619B">
        <w:rPr>
          <w:rFonts w:asciiTheme="majorHAnsi" w:hAnsiTheme="majorHAnsi"/>
          <w:sz w:val="20"/>
          <w:szCs w:val="20"/>
        </w:rPr>
        <w:t>’s</w:t>
      </w:r>
      <w:r w:rsidRPr="002F6486">
        <w:rPr>
          <w:rFonts w:asciiTheme="majorHAnsi" w:hAnsiTheme="majorHAnsi"/>
          <w:sz w:val="20"/>
          <w:szCs w:val="20"/>
        </w:rPr>
        <w:t xml:space="preserve"> role </w:t>
      </w:r>
      <w:r w:rsidR="000C619B">
        <w:rPr>
          <w:rFonts w:asciiTheme="majorHAnsi" w:hAnsiTheme="majorHAnsi"/>
          <w:sz w:val="20"/>
          <w:szCs w:val="20"/>
        </w:rPr>
        <w:t>w</w:t>
      </w:r>
      <w:r w:rsidR="000C619B" w:rsidRPr="002F6486">
        <w:rPr>
          <w:rFonts w:asciiTheme="majorHAnsi" w:hAnsiTheme="majorHAnsi"/>
          <w:sz w:val="20"/>
          <w:szCs w:val="20"/>
        </w:rPr>
        <w:t xml:space="preserve">ould </w:t>
      </w:r>
      <w:r w:rsidRPr="002F6486">
        <w:rPr>
          <w:rFonts w:asciiTheme="majorHAnsi" w:hAnsiTheme="majorHAnsi"/>
          <w:sz w:val="20"/>
          <w:szCs w:val="20"/>
        </w:rPr>
        <w:t xml:space="preserve">be expanded to an office with minimally two full time staff members including the </w:t>
      </w:r>
      <w:r w:rsidR="000C619B">
        <w:rPr>
          <w:rFonts w:asciiTheme="majorHAnsi" w:hAnsiTheme="majorHAnsi"/>
          <w:sz w:val="20"/>
          <w:szCs w:val="20"/>
        </w:rPr>
        <w:t>C</w:t>
      </w:r>
      <w:r w:rsidRPr="002F6486">
        <w:rPr>
          <w:rFonts w:asciiTheme="majorHAnsi" w:hAnsiTheme="majorHAnsi"/>
          <w:sz w:val="20"/>
          <w:szCs w:val="20"/>
        </w:rPr>
        <w:t>oordinator and a managerial expert</w:t>
      </w:r>
      <w:r w:rsidRPr="008C571D">
        <w:rPr>
          <w:rFonts w:asciiTheme="majorHAnsi" w:hAnsiTheme="majorHAnsi"/>
          <w:sz w:val="20"/>
          <w:szCs w:val="20"/>
        </w:rPr>
        <w:t xml:space="preserve">, permitting the </w:t>
      </w:r>
      <w:r w:rsidR="000C619B">
        <w:rPr>
          <w:rFonts w:asciiTheme="majorHAnsi" w:hAnsiTheme="majorHAnsi"/>
          <w:sz w:val="20"/>
          <w:szCs w:val="20"/>
        </w:rPr>
        <w:t>C</w:t>
      </w:r>
      <w:r w:rsidRPr="008C571D">
        <w:rPr>
          <w:rFonts w:asciiTheme="majorHAnsi" w:hAnsiTheme="majorHAnsi"/>
          <w:sz w:val="20"/>
          <w:szCs w:val="20"/>
        </w:rPr>
        <w:t>oordinator to focus on field activities at the national and state levels</w:t>
      </w:r>
      <w:r w:rsidR="00BF522B">
        <w:rPr>
          <w:rFonts w:asciiTheme="majorHAnsi" w:hAnsiTheme="majorHAnsi"/>
          <w:sz w:val="20"/>
          <w:szCs w:val="20"/>
        </w:rPr>
        <w:t>,</w:t>
      </w:r>
      <w:r w:rsidRPr="008C571D">
        <w:rPr>
          <w:rFonts w:asciiTheme="majorHAnsi" w:hAnsiTheme="majorHAnsi"/>
          <w:sz w:val="20"/>
          <w:szCs w:val="20"/>
        </w:rPr>
        <w:t xml:space="preserve"> as well as linkages regionally and beyond</w:t>
      </w:r>
      <w:r w:rsidR="00194AA1">
        <w:rPr>
          <w:rFonts w:asciiTheme="majorHAnsi" w:hAnsiTheme="majorHAnsi"/>
          <w:sz w:val="20"/>
          <w:szCs w:val="20"/>
        </w:rPr>
        <w:t xml:space="preserve">. </w:t>
      </w:r>
      <w:r w:rsidRPr="008C571D">
        <w:rPr>
          <w:rFonts w:asciiTheme="majorHAnsi" w:hAnsiTheme="majorHAnsi"/>
          <w:sz w:val="20"/>
          <w:szCs w:val="20"/>
        </w:rPr>
        <w:t>This support position will be hired and supported und</w:t>
      </w:r>
      <w:r w:rsidRPr="00203F78">
        <w:rPr>
          <w:rFonts w:asciiTheme="majorHAnsi" w:hAnsiTheme="majorHAnsi"/>
          <w:sz w:val="20"/>
          <w:szCs w:val="20"/>
        </w:rPr>
        <w:t>er the project for an initial two years</w:t>
      </w:r>
      <w:r w:rsidR="00BF522B">
        <w:rPr>
          <w:rFonts w:asciiTheme="majorHAnsi" w:hAnsiTheme="majorHAnsi"/>
          <w:sz w:val="20"/>
          <w:szCs w:val="20"/>
        </w:rPr>
        <w:t>,</w:t>
      </w:r>
      <w:r w:rsidRPr="00203F78">
        <w:rPr>
          <w:rFonts w:asciiTheme="majorHAnsi" w:hAnsiTheme="majorHAnsi"/>
          <w:sz w:val="20"/>
          <w:szCs w:val="20"/>
        </w:rPr>
        <w:t xml:space="preserve"> with the understanding tha</w:t>
      </w:r>
      <w:r w:rsidRPr="00FF745E">
        <w:rPr>
          <w:rFonts w:asciiTheme="majorHAnsi" w:hAnsiTheme="majorHAnsi"/>
          <w:sz w:val="20"/>
          <w:szCs w:val="20"/>
        </w:rPr>
        <w:t>t over time the position will become institutionalized and supported</w:t>
      </w:r>
      <w:r w:rsidR="00BF522B">
        <w:rPr>
          <w:rFonts w:asciiTheme="majorHAnsi" w:hAnsiTheme="majorHAnsi"/>
          <w:sz w:val="20"/>
          <w:szCs w:val="20"/>
        </w:rPr>
        <w:t>.</w:t>
      </w:r>
    </w:p>
    <w:p w14:paraId="5F5C41E8" w14:textId="683F14FE" w:rsidR="00B80BD6" w:rsidRPr="005722A6" w:rsidRDefault="00B80BD6" w:rsidP="00BD402F">
      <w:pPr>
        <w:pStyle w:val="ListParagraph"/>
        <w:numPr>
          <w:ilvl w:val="0"/>
          <w:numId w:val="27"/>
        </w:numPr>
        <w:jc w:val="both"/>
        <w:rPr>
          <w:rFonts w:asciiTheme="majorHAnsi" w:hAnsiTheme="majorHAnsi"/>
          <w:sz w:val="20"/>
          <w:szCs w:val="20"/>
        </w:rPr>
      </w:pPr>
      <w:r w:rsidRPr="00E10F48">
        <w:rPr>
          <w:rFonts w:asciiTheme="majorHAnsi" w:hAnsiTheme="majorHAnsi"/>
          <w:sz w:val="20"/>
          <w:szCs w:val="20"/>
        </w:rPr>
        <w:t>Developing/updating a National Invasive Species Strategic Action Plan (NISSAP) to be a comprehensive guidance document for IAS concerns at both nation</w:t>
      </w:r>
      <w:r w:rsidRPr="00E96B53">
        <w:rPr>
          <w:rFonts w:asciiTheme="majorHAnsi" w:hAnsiTheme="majorHAnsi"/>
          <w:sz w:val="20"/>
          <w:szCs w:val="20"/>
        </w:rPr>
        <w:t>al and state levels</w:t>
      </w:r>
      <w:r w:rsidR="00BF522B">
        <w:rPr>
          <w:rFonts w:asciiTheme="majorHAnsi" w:hAnsiTheme="majorHAnsi"/>
          <w:sz w:val="20"/>
          <w:szCs w:val="20"/>
        </w:rPr>
        <w:t>,</w:t>
      </w:r>
      <w:r w:rsidRPr="00E96B53">
        <w:rPr>
          <w:rFonts w:asciiTheme="majorHAnsi" w:hAnsiTheme="majorHAnsi"/>
          <w:sz w:val="20"/>
          <w:szCs w:val="20"/>
        </w:rPr>
        <w:t xml:space="preserve"> to be updated </w:t>
      </w:r>
      <w:r w:rsidR="00BF522B">
        <w:rPr>
          <w:rFonts w:asciiTheme="majorHAnsi" w:hAnsiTheme="majorHAnsi"/>
          <w:sz w:val="20"/>
          <w:szCs w:val="20"/>
        </w:rPr>
        <w:t>every</w:t>
      </w:r>
      <w:r w:rsidRPr="00E96B53">
        <w:rPr>
          <w:rFonts w:asciiTheme="majorHAnsi" w:hAnsiTheme="majorHAnsi"/>
          <w:sz w:val="20"/>
          <w:szCs w:val="20"/>
        </w:rPr>
        <w:t xml:space="preserve"> 5year</w:t>
      </w:r>
      <w:r w:rsidR="00BF522B">
        <w:rPr>
          <w:rFonts w:asciiTheme="majorHAnsi" w:hAnsiTheme="majorHAnsi"/>
          <w:sz w:val="20"/>
          <w:szCs w:val="20"/>
        </w:rPr>
        <w:t>s</w:t>
      </w:r>
      <w:r w:rsidR="00194AA1">
        <w:rPr>
          <w:rFonts w:asciiTheme="majorHAnsi" w:hAnsiTheme="majorHAnsi"/>
          <w:sz w:val="20"/>
          <w:szCs w:val="20"/>
        </w:rPr>
        <w:t xml:space="preserve">. </w:t>
      </w:r>
      <w:r w:rsidRPr="00E96B53">
        <w:rPr>
          <w:rFonts w:asciiTheme="majorHAnsi" w:hAnsiTheme="majorHAnsi"/>
          <w:sz w:val="20"/>
          <w:szCs w:val="20"/>
        </w:rPr>
        <w:t>The NISSAP should include a comprehensive review of existing IAS capacity within the country and provide for actions to improving existing structure</w:t>
      </w:r>
      <w:r w:rsidR="00BF522B">
        <w:rPr>
          <w:rFonts w:asciiTheme="majorHAnsi" w:hAnsiTheme="majorHAnsi"/>
          <w:sz w:val="20"/>
          <w:szCs w:val="20"/>
        </w:rPr>
        <w:t>,</w:t>
      </w:r>
      <w:r w:rsidRPr="00E96B53">
        <w:rPr>
          <w:rFonts w:asciiTheme="majorHAnsi" w:hAnsiTheme="majorHAnsi"/>
          <w:sz w:val="20"/>
          <w:szCs w:val="20"/>
        </w:rPr>
        <w:t xml:space="preserve"> as well as address additional concerns at both na</w:t>
      </w:r>
      <w:r w:rsidRPr="00627E17">
        <w:rPr>
          <w:rFonts w:asciiTheme="majorHAnsi" w:hAnsiTheme="majorHAnsi"/>
          <w:sz w:val="20"/>
          <w:szCs w:val="20"/>
        </w:rPr>
        <w:t xml:space="preserve">tional and state levels including </w:t>
      </w:r>
      <w:r w:rsidR="00375AE8" w:rsidRPr="00627E17">
        <w:rPr>
          <w:rFonts w:asciiTheme="majorHAnsi" w:hAnsiTheme="majorHAnsi"/>
          <w:sz w:val="20"/>
          <w:szCs w:val="20"/>
        </w:rPr>
        <w:t>SWO</w:t>
      </w:r>
      <w:r w:rsidR="00375AE8">
        <w:rPr>
          <w:rFonts w:asciiTheme="majorHAnsi" w:hAnsiTheme="majorHAnsi"/>
          <w:sz w:val="20"/>
          <w:szCs w:val="20"/>
        </w:rPr>
        <w:t>T</w:t>
      </w:r>
      <w:r w:rsidR="00375AE8" w:rsidRPr="00627E17">
        <w:rPr>
          <w:rFonts w:asciiTheme="majorHAnsi" w:hAnsiTheme="majorHAnsi"/>
          <w:sz w:val="20"/>
          <w:szCs w:val="20"/>
        </w:rPr>
        <w:t xml:space="preserve"> </w:t>
      </w:r>
      <w:r w:rsidRPr="00627E17">
        <w:rPr>
          <w:rFonts w:asciiTheme="majorHAnsi" w:hAnsiTheme="majorHAnsi"/>
          <w:sz w:val="20"/>
          <w:szCs w:val="20"/>
        </w:rPr>
        <w:t>analysis</w:t>
      </w:r>
      <w:r w:rsidR="00194AA1">
        <w:rPr>
          <w:rFonts w:asciiTheme="majorHAnsi" w:hAnsiTheme="majorHAnsi"/>
          <w:sz w:val="20"/>
          <w:szCs w:val="20"/>
        </w:rPr>
        <w:t xml:space="preserve">. </w:t>
      </w:r>
    </w:p>
    <w:p w14:paraId="71594382" w14:textId="66A60CF5" w:rsidR="00B80BD6" w:rsidRPr="005722A6" w:rsidRDefault="00B80BD6" w:rsidP="00BD402F">
      <w:pPr>
        <w:pStyle w:val="ListParagraph"/>
        <w:numPr>
          <w:ilvl w:val="0"/>
          <w:numId w:val="27"/>
        </w:numPr>
        <w:jc w:val="both"/>
        <w:rPr>
          <w:rFonts w:asciiTheme="majorHAnsi" w:hAnsiTheme="majorHAnsi"/>
          <w:sz w:val="20"/>
          <w:szCs w:val="20"/>
        </w:rPr>
      </w:pPr>
      <w:r w:rsidRPr="005722A6">
        <w:rPr>
          <w:rFonts w:asciiTheme="majorHAnsi" w:hAnsiTheme="majorHAnsi"/>
          <w:sz w:val="20"/>
          <w:szCs w:val="20"/>
        </w:rPr>
        <w:t>Developing a national framework for inter-state/or inter-island biosecurity, including processes and oversight, with appropriate trials</w:t>
      </w:r>
      <w:r w:rsidR="00FD075F">
        <w:rPr>
          <w:rFonts w:asciiTheme="majorHAnsi" w:hAnsiTheme="majorHAnsi"/>
          <w:sz w:val="20"/>
          <w:szCs w:val="20"/>
        </w:rPr>
        <w:t>.</w:t>
      </w:r>
    </w:p>
    <w:p w14:paraId="087FD774" w14:textId="7B0089AE" w:rsidR="00B80BD6" w:rsidRPr="005722A6" w:rsidRDefault="00B80BD6" w:rsidP="00BD402F">
      <w:pPr>
        <w:pStyle w:val="ListParagraph"/>
        <w:numPr>
          <w:ilvl w:val="0"/>
          <w:numId w:val="27"/>
        </w:numPr>
        <w:jc w:val="both"/>
        <w:rPr>
          <w:rFonts w:asciiTheme="majorHAnsi" w:hAnsiTheme="majorHAnsi"/>
          <w:sz w:val="20"/>
          <w:szCs w:val="20"/>
        </w:rPr>
      </w:pPr>
      <w:r w:rsidRPr="005722A6">
        <w:rPr>
          <w:rFonts w:asciiTheme="majorHAnsi" w:hAnsiTheme="majorHAnsi"/>
          <w:sz w:val="20"/>
          <w:szCs w:val="20"/>
        </w:rPr>
        <w:t>Establishment/updating/utilization of black list (or schedule) of organisms not permitted entry and white list of organisms permitted entry</w:t>
      </w:r>
      <w:r w:rsidR="00FD075F">
        <w:rPr>
          <w:rFonts w:asciiTheme="majorHAnsi" w:hAnsiTheme="majorHAnsi"/>
          <w:sz w:val="20"/>
          <w:szCs w:val="20"/>
        </w:rPr>
        <w:t>,</w:t>
      </w:r>
      <w:r w:rsidRPr="005722A6">
        <w:rPr>
          <w:rFonts w:asciiTheme="majorHAnsi" w:hAnsiTheme="majorHAnsi"/>
          <w:sz w:val="20"/>
          <w:szCs w:val="20"/>
        </w:rPr>
        <w:t xml:space="preserve"> with appropriate documentation, to support strengthening and expanding risk assessment processes</w:t>
      </w:r>
      <w:r w:rsidR="00194AA1">
        <w:rPr>
          <w:rFonts w:asciiTheme="majorHAnsi" w:hAnsiTheme="majorHAnsi"/>
          <w:sz w:val="20"/>
          <w:szCs w:val="20"/>
        </w:rPr>
        <w:t xml:space="preserve">. </w:t>
      </w:r>
      <w:r w:rsidRPr="005722A6">
        <w:rPr>
          <w:rFonts w:asciiTheme="majorHAnsi" w:hAnsiTheme="majorHAnsi"/>
          <w:sz w:val="20"/>
          <w:szCs w:val="20"/>
        </w:rPr>
        <w:t>These list</w:t>
      </w:r>
      <w:r w:rsidR="000C619B">
        <w:rPr>
          <w:rFonts w:asciiTheme="majorHAnsi" w:hAnsiTheme="majorHAnsi"/>
          <w:sz w:val="20"/>
          <w:szCs w:val="20"/>
        </w:rPr>
        <w:t>s</w:t>
      </w:r>
      <w:r w:rsidRPr="005722A6">
        <w:rPr>
          <w:rFonts w:asciiTheme="majorHAnsi" w:hAnsiTheme="majorHAnsi"/>
          <w:sz w:val="20"/>
          <w:szCs w:val="20"/>
        </w:rPr>
        <w:t xml:space="preserve"> </w:t>
      </w:r>
      <w:r w:rsidR="000C619B">
        <w:rPr>
          <w:rFonts w:asciiTheme="majorHAnsi" w:hAnsiTheme="majorHAnsi"/>
          <w:sz w:val="20"/>
          <w:szCs w:val="20"/>
        </w:rPr>
        <w:t>w</w:t>
      </w:r>
      <w:r w:rsidRPr="005722A6">
        <w:rPr>
          <w:rFonts w:asciiTheme="majorHAnsi" w:hAnsiTheme="majorHAnsi"/>
          <w:sz w:val="20"/>
          <w:szCs w:val="20"/>
        </w:rPr>
        <w:t xml:space="preserve">ould be updated </w:t>
      </w:r>
      <w:r w:rsidR="00FD075F">
        <w:rPr>
          <w:rFonts w:asciiTheme="majorHAnsi" w:hAnsiTheme="majorHAnsi"/>
          <w:sz w:val="20"/>
          <w:szCs w:val="20"/>
        </w:rPr>
        <w:t>at least</w:t>
      </w:r>
      <w:r w:rsidRPr="005722A6">
        <w:rPr>
          <w:rFonts w:asciiTheme="majorHAnsi" w:hAnsiTheme="majorHAnsi"/>
          <w:sz w:val="20"/>
          <w:szCs w:val="20"/>
        </w:rPr>
        <w:t xml:space="preserve"> annually (more frequently if needed) and be accessible to biosecurity practi</w:t>
      </w:r>
      <w:r w:rsidR="00E4734F" w:rsidRPr="005722A6">
        <w:rPr>
          <w:rFonts w:asciiTheme="majorHAnsi" w:hAnsiTheme="majorHAnsi"/>
          <w:sz w:val="20"/>
          <w:szCs w:val="20"/>
        </w:rPr>
        <w:t>tione</w:t>
      </w:r>
      <w:r w:rsidRPr="005722A6">
        <w:rPr>
          <w:rFonts w:asciiTheme="majorHAnsi" w:hAnsiTheme="majorHAnsi"/>
          <w:sz w:val="20"/>
          <w:szCs w:val="20"/>
        </w:rPr>
        <w:t>rs as well as the general public, visitors and potential importers through various mechanisms including the Palau</w:t>
      </w:r>
      <w:r w:rsidR="00FD075F">
        <w:rPr>
          <w:rFonts w:asciiTheme="majorHAnsi" w:hAnsiTheme="majorHAnsi"/>
          <w:sz w:val="20"/>
          <w:szCs w:val="20"/>
        </w:rPr>
        <w:t xml:space="preserve"> </w:t>
      </w:r>
      <w:r w:rsidRPr="005722A6">
        <w:rPr>
          <w:rFonts w:asciiTheme="majorHAnsi" w:hAnsiTheme="majorHAnsi"/>
          <w:sz w:val="20"/>
          <w:szCs w:val="20"/>
        </w:rPr>
        <w:t>Pest Online (see Outcome 4) a proposed IAS clearinghouse mechanism</w:t>
      </w:r>
      <w:r w:rsidR="009E0242">
        <w:rPr>
          <w:rFonts w:asciiTheme="majorHAnsi" w:hAnsiTheme="majorHAnsi"/>
          <w:sz w:val="20"/>
          <w:szCs w:val="20"/>
        </w:rPr>
        <w:t>.</w:t>
      </w:r>
    </w:p>
    <w:p w14:paraId="2B792F1F" w14:textId="5EAED663" w:rsidR="00B80BD6" w:rsidRPr="005722A6" w:rsidRDefault="00B80BD6" w:rsidP="00BD402F">
      <w:pPr>
        <w:pStyle w:val="ListParagraph"/>
        <w:numPr>
          <w:ilvl w:val="0"/>
          <w:numId w:val="27"/>
        </w:numPr>
        <w:jc w:val="both"/>
        <w:rPr>
          <w:rFonts w:asciiTheme="majorHAnsi" w:hAnsiTheme="majorHAnsi"/>
          <w:sz w:val="20"/>
          <w:szCs w:val="20"/>
        </w:rPr>
      </w:pPr>
      <w:r w:rsidRPr="005722A6">
        <w:rPr>
          <w:rFonts w:asciiTheme="majorHAnsi" w:hAnsiTheme="majorHAnsi"/>
          <w:sz w:val="20"/>
          <w:szCs w:val="20"/>
        </w:rPr>
        <w:t>Development of national-state EDRR strategy with a functional reporting system and capacity to conduct EDRR activities</w:t>
      </w:r>
      <w:r w:rsidR="009E0242">
        <w:rPr>
          <w:rFonts w:asciiTheme="majorHAnsi" w:hAnsiTheme="majorHAnsi"/>
          <w:sz w:val="20"/>
          <w:szCs w:val="20"/>
        </w:rPr>
        <w:t>.</w:t>
      </w:r>
    </w:p>
    <w:p w14:paraId="631171A8" w14:textId="74638FAB" w:rsidR="00B80BD6" w:rsidRPr="005722A6" w:rsidRDefault="00B80BD6" w:rsidP="00BD402F">
      <w:pPr>
        <w:pStyle w:val="ListParagraph"/>
        <w:numPr>
          <w:ilvl w:val="0"/>
          <w:numId w:val="27"/>
        </w:numPr>
        <w:jc w:val="both"/>
        <w:rPr>
          <w:rFonts w:asciiTheme="majorHAnsi" w:hAnsiTheme="majorHAnsi"/>
          <w:sz w:val="20"/>
          <w:szCs w:val="20"/>
        </w:rPr>
      </w:pPr>
      <w:r w:rsidRPr="005722A6">
        <w:rPr>
          <w:rFonts w:asciiTheme="majorHAnsi" w:hAnsiTheme="majorHAnsi"/>
          <w:sz w:val="20"/>
          <w:szCs w:val="20"/>
        </w:rPr>
        <w:t>Strengthening the capacity of the existing Biosecurity Division through support for improving inspection capacity, facilities and tools</w:t>
      </w:r>
      <w:r w:rsidR="009E0242">
        <w:rPr>
          <w:rFonts w:asciiTheme="majorHAnsi" w:hAnsiTheme="majorHAnsi"/>
          <w:sz w:val="20"/>
          <w:szCs w:val="20"/>
        </w:rPr>
        <w:t>.</w:t>
      </w:r>
    </w:p>
    <w:p w14:paraId="2F42191E" w14:textId="2A8B8F0E" w:rsidR="00B80BD6" w:rsidRPr="005722A6" w:rsidRDefault="00B80BD6" w:rsidP="00BD402F">
      <w:pPr>
        <w:pStyle w:val="ListParagraph"/>
        <w:numPr>
          <w:ilvl w:val="0"/>
          <w:numId w:val="27"/>
        </w:numPr>
        <w:jc w:val="both"/>
        <w:rPr>
          <w:rFonts w:asciiTheme="majorHAnsi" w:hAnsiTheme="majorHAnsi"/>
          <w:sz w:val="20"/>
          <w:szCs w:val="20"/>
        </w:rPr>
      </w:pPr>
      <w:r w:rsidRPr="005722A6">
        <w:rPr>
          <w:rFonts w:asciiTheme="majorHAnsi" w:hAnsiTheme="majorHAnsi"/>
          <w:sz w:val="20"/>
          <w:szCs w:val="20"/>
        </w:rPr>
        <w:t>Improved training of biosecurity officers for pest identification, early detection, rapid response, use of X-ray equipment, database entry and use, import assessment, biosafety, etc.</w:t>
      </w:r>
      <w:r w:rsidR="009E0242">
        <w:rPr>
          <w:rFonts w:asciiTheme="majorHAnsi" w:hAnsiTheme="majorHAnsi"/>
          <w:sz w:val="20"/>
          <w:szCs w:val="20"/>
        </w:rPr>
        <w:t>.</w:t>
      </w:r>
      <w:r w:rsidRPr="005722A6">
        <w:rPr>
          <w:rFonts w:asciiTheme="majorHAnsi" w:hAnsiTheme="majorHAnsi"/>
          <w:sz w:val="20"/>
          <w:szCs w:val="20"/>
        </w:rPr>
        <w:t xml:space="preserve"> </w:t>
      </w:r>
    </w:p>
    <w:p w14:paraId="15CA5AA2" w14:textId="4574AC04" w:rsidR="00B80BD6" w:rsidRPr="005722A6" w:rsidRDefault="00B80BD6" w:rsidP="00BD402F">
      <w:pPr>
        <w:pStyle w:val="ListParagraph"/>
        <w:numPr>
          <w:ilvl w:val="0"/>
          <w:numId w:val="27"/>
        </w:numPr>
        <w:jc w:val="both"/>
        <w:rPr>
          <w:rFonts w:asciiTheme="majorHAnsi" w:hAnsiTheme="majorHAnsi"/>
          <w:sz w:val="20"/>
          <w:szCs w:val="20"/>
        </w:rPr>
      </w:pPr>
      <w:r w:rsidRPr="005722A6">
        <w:rPr>
          <w:rFonts w:asciiTheme="majorHAnsi" w:hAnsiTheme="majorHAnsi"/>
          <w:sz w:val="20"/>
          <w:szCs w:val="20"/>
        </w:rPr>
        <w:t>Developing regulations under the Biosecurity Act</w:t>
      </w:r>
      <w:r w:rsidR="009E0242">
        <w:rPr>
          <w:rFonts w:asciiTheme="majorHAnsi" w:hAnsiTheme="majorHAnsi"/>
          <w:sz w:val="20"/>
          <w:szCs w:val="20"/>
        </w:rPr>
        <w:t>,</w:t>
      </w:r>
      <w:r w:rsidRPr="005722A6">
        <w:rPr>
          <w:rFonts w:asciiTheme="majorHAnsi" w:hAnsiTheme="majorHAnsi"/>
          <w:sz w:val="20"/>
          <w:szCs w:val="20"/>
        </w:rPr>
        <w:t xml:space="preserve"> 2016 and improving cost recovery mechanisms (e.g. fees and penalties) to support biosecurity and IAS management activities</w:t>
      </w:r>
      <w:r w:rsidR="009E0242">
        <w:rPr>
          <w:rFonts w:asciiTheme="majorHAnsi" w:hAnsiTheme="majorHAnsi"/>
          <w:sz w:val="20"/>
          <w:szCs w:val="20"/>
        </w:rPr>
        <w:t>.</w:t>
      </w:r>
    </w:p>
    <w:p w14:paraId="0F03BE50" w14:textId="6D36A6D4" w:rsidR="00B80BD6" w:rsidRPr="008C571D" w:rsidRDefault="00B80BD6" w:rsidP="00BD402F">
      <w:pPr>
        <w:pStyle w:val="ListParagraph"/>
        <w:numPr>
          <w:ilvl w:val="0"/>
          <w:numId w:val="27"/>
        </w:numPr>
        <w:jc w:val="both"/>
        <w:rPr>
          <w:rFonts w:asciiTheme="majorHAnsi" w:hAnsiTheme="majorHAnsi"/>
          <w:sz w:val="20"/>
          <w:szCs w:val="20"/>
        </w:rPr>
      </w:pPr>
      <w:r w:rsidRPr="005722A6">
        <w:rPr>
          <w:rFonts w:asciiTheme="majorHAnsi" w:hAnsiTheme="majorHAnsi"/>
          <w:sz w:val="20"/>
          <w:szCs w:val="20"/>
        </w:rPr>
        <w:t>Developing Biosecurity Division protocols for terrestrial and marine inspections at international points of entry</w:t>
      </w:r>
      <w:r w:rsidR="009E0242">
        <w:rPr>
          <w:rFonts w:asciiTheme="majorHAnsi" w:hAnsiTheme="majorHAnsi"/>
          <w:sz w:val="20"/>
          <w:szCs w:val="20"/>
        </w:rPr>
        <w:t>;</w:t>
      </w:r>
      <w:r w:rsidRPr="005722A6">
        <w:rPr>
          <w:rFonts w:asciiTheme="majorHAnsi" w:hAnsiTheme="majorHAnsi"/>
          <w:sz w:val="20"/>
          <w:szCs w:val="20"/>
        </w:rPr>
        <w:t xml:space="preserve"> and hiring and training additional biosecurity officers as needed, including </w:t>
      </w:r>
      <w:r w:rsidRPr="00FB46EB">
        <w:rPr>
          <w:rFonts w:asciiTheme="majorHAnsi" w:hAnsiTheme="majorHAnsi"/>
          <w:sz w:val="20"/>
          <w:szCs w:val="20"/>
        </w:rPr>
        <w:t>six</w:t>
      </w:r>
      <w:r w:rsidRPr="002F6486">
        <w:rPr>
          <w:rFonts w:asciiTheme="majorHAnsi" w:hAnsiTheme="majorHAnsi"/>
          <w:sz w:val="20"/>
          <w:szCs w:val="20"/>
        </w:rPr>
        <w:t xml:space="preserve"> officers </w:t>
      </w:r>
      <w:r w:rsidR="009E0242">
        <w:rPr>
          <w:rFonts w:asciiTheme="majorHAnsi" w:hAnsiTheme="majorHAnsi"/>
          <w:sz w:val="20"/>
          <w:szCs w:val="20"/>
        </w:rPr>
        <w:t xml:space="preserve">initially </w:t>
      </w:r>
      <w:r w:rsidRPr="002F6486">
        <w:rPr>
          <w:rFonts w:asciiTheme="majorHAnsi" w:hAnsiTheme="majorHAnsi"/>
          <w:sz w:val="20"/>
          <w:szCs w:val="20"/>
        </w:rPr>
        <w:t>supported by the project for 2 years, and lat</w:t>
      </w:r>
      <w:r w:rsidR="009E0242">
        <w:rPr>
          <w:rFonts w:asciiTheme="majorHAnsi" w:hAnsiTheme="majorHAnsi"/>
          <w:sz w:val="20"/>
          <w:szCs w:val="20"/>
        </w:rPr>
        <w:t>t</w:t>
      </w:r>
      <w:r w:rsidRPr="002F6486">
        <w:rPr>
          <w:rFonts w:asciiTheme="majorHAnsi" w:hAnsiTheme="majorHAnsi"/>
          <w:sz w:val="20"/>
          <w:szCs w:val="20"/>
        </w:rPr>
        <w:t>er</w:t>
      </w:r>
      <w:r w:rsidR="009E0242">
        <w:rPr>
          <w:rFonts w:asciiTheme="majorHAnsi" w:hAnsiTheme="majorHAnsi"/>
          <w:sz w:val="20"/>
          <w:szCs w:val="20"/>
        </w:rPr>
        <w:t>ly</w:t>
      </w:r>
      <w:r w:rsidRPr="002F6486">
        <w:rPr>
          <w:rFonts w:asciiTheme="majorHAnsi" w:hAnsiTheme="majorHAnsi"/>
          <w:sz w:val="20"/>
          <w:szCs w:val="20"/>
        </w:rPr>
        <w:t xml:space="preserve"> funded by the Governmen</w:t>
      </w:r>
      <w:r w:rsidRPr="008C571D">
        <w:rPr>
          <w:rFonts w:asciiTheme="majorHAnsi" w:hAnsiTheme="majorHAnsi"/>
          <w:sz w:val="20"/>
          <w:szCs w:val="20"/>
        </w:rPr>
        <w:t>t of Palau through the improved biosecurity cost-recovery system</w:t>
      </w:r>
      <w:r w:rsidR="009E0242">
        <w:rPr>
          <w:rFonts w:asciiTheme="majorHAnsi" w:hAnsiTheme="majorHAnsi"/>
          <w:sz w:val="20"/>
          <w:szCs w:val="20"/>
        </w:rPr>
        <w:t>.</w:t>
      </w:r>
    </w:p>
    <w:p w14:paraId="1DA8C527" w14:textId="12749870" w:rsidR="00B80BD6" w:rsidRPr="00203F78" w:rsidRDefault="00B80BD6" w:rsidP="00BD402F">
      <w:pPr>
        <w:pStyle w:val="ListParagraph"/>
        <w:numPr>
          <w:ilvl w:val="0"/>
          <w:numId w:val="27"/>
        </w:numPr>
        <w:jc w:val="both"/>
        <w:rPr>
          <w:rFonts w:asciiTheme="majorHAnsi" w:hAnsiTheme="majorHAnsi"/>
          <w:sz w:val="20"/>
          <w:szCs w:val="20"/>
        </w:rPr>
      </w:pPr>
      <w:r w:rsidRPr="00203F78">
        <w:rPr>
          <w:rFonts w:asciiTheme="majorHAnsi" w:hAnsiTheme="majorHAnsi"/>
          <w:sz w:val="20"/>
          <w:szCs w:val="20"/>
        </w:rPr>
        <w:t>Enhancing frontline efforts through improved biosecurity cross</w:t>
      </w:r>
      <w:r w:rsidR="009E0242">
        <w:rPr>
          <w:rFonts w:asciiTheme="majorHAnsi" w:hAnsiTheme="majorHAnsi"/>
          <w:sz w:val="20"/>
          <w:szCs w:val="20"/>
        </w:rPr>
        <w:t xml:space="preserve">-agency </w:t>
      </w:r>
      <w:r w:rsidRPr="00203F78">
        <w:rPr>
          <w:rFonts w:asciiTheme="majorHAnsi" w:hAnsiTheme="majorHAnsi"/>
          <w:sz w:val="20"/>
          <w:szCs w:val="20"/>
        </w:rPr>
        <w:t>training of staff from various front line agencies (e.g. National Police, Health, Immigration, Port Authority and Customs)</w:t>
      </w:r>
      <w:r w:rsidR="009E0242">
        <w:rPr>
          <w:rFonts w:asciiTheme="majorHAnsi" w:hAnsiTheme="majorHAnsi"/>
          <w:sz w:val="20"/>
          <w:szCs w:val="20"/>
        </w:rPr>
        <w:t>.</w:t>
      </w:r>
    </w:p>
    <w:p w14:paraId="6EA02495" w14:textId="1E08BFC8" w:rsidR="00B80BD6" w:rsidRPr="00FF745E" w:rsidRDefault="00B80BD6" w:rsidP="00BD402F">
      <w:pPr>
        <w:pStyle w:val="ListParagraph"/>
        <w:numPr>
          <w:ilvl w:val="0"/>
          <w:numId w:val="27"/>
        </w:numPr>
        <w:jc w:val="both"/>
        <w:rPr>
          <w:rFonts w:asciiTheme="majorHAnsi" w:hAnsiTheme="majorHAnsi"/>
          <w:sz w:val="20"/>
          <w:szCs w:val="20"/>
        </w:rPr>
      </w:pPr>
      <w:r w:rsidRPr="00FF745E">
        <w:rPr>
          <w:rFonts w:asciiTheme="majorHAnsi" w:hAnsiTheme="majorHAnsi"/>
          <w:sz w:val="20"/>
          <w:szCs w:val="20"/>
        </w:rPr>
        <w:t>Supporting the development of a biosecurity database to improve prevention and management capacity</w:t>
      </w:r>
      <w:r w:rsidR="009E0242">
        <w:rPr>
          <w:rFonts w:asciiTheme="majorHAnsi" w:hAnsiTheme="majorHAnsi"/>
          <w:sz w:val="20"/>
          <w:szCs w:val="20"/>
        </w:rPr>
        <w:t>.</w:t>
      </w:r>
      <w:r w:rsidRPr="00FF745E">
        <w:rPr>
          <w:rFonts w:asciiTheme="majorHAnsi" w:hAnsiTheme="majorHAnsi"/>
          <w:sz w:val="20"/>
          <w:szCs w:val="20"/>
        </w:rPr>
        <w:t xml:space="preserve"> </w:t>
      </w:r>
    </w:p>
    <w:p w14:paraId="10A869E8" w14:textId="50B20CE2" w:rsidR="00B80BD6" w:rsidRPr="00E10F48" w:rsidRDefault="00B80BD6" w:rsidP="00BD402F">
      <w:pPr>
        <w:pStyle w:val="ListParagraph"/>
        <w:numPr>
          <w:ilvl w:val="0"/>
          <w:numId w:val="27"/>
        </w:numPr>
        <w:jc w:val="both"/>
        <w:rPr>
          <w:rFonts w:asciiTheme="majorHAnsi" w:hAnsiTheme="majorHAnsi"/>
          <w:sz w:val="20"/>
          <w:szCs w:val="20"/>
        </w:rPr>
      </w:pPr>
      <w:r w:rsidRPr="00E10F48">
        <w:rPr>
          <w:rFonts w:asciiTheme="majorHAnsi" w:hAnsiTheme="majorHAnsi"/>
          <w:sz w:val="20"/>
          <w:szCs w:val="20"/>
        </w:rPr>
        <w:t>Initiate support for internal biosecurity actions, in particular for air and sea craft inspections, quarantine and treatment at state boundaries</w:t>
      </w:r>
      <w:r w:rsidR="009E0242">
        <w:rPr>
          <w:rFonts w:asciiTheme="majorHAnsi" w:hAnsiTheme="majorHAnsi"/>
          <w:sz w:val="20"/>
          <w:szCs w:val="20"/>
        </w:rPr>
        <w:t>.</w:t>
      </w:r>
    </w:p>
    <w:p w14:paraId="27F3B3D6" w14:textId="59A520E7" w:rsidR="00B80BD6" w:rsidRPr="00E96B53" w:rsidRDefault="00A275D9" w:rsidP="00BD402F">
      <w:pPr>
        <w:pStyle w:val="ListParagraph"/>
        <w:numPr>
          <w:ilvl w:val="0"/>
          <w:numId w:val="27"/>
        </w:numPr>
        <w:jc w:val="both"/>
        <w:rPr>
          <w:rFonts w:asciiTheme="majorHAnsi" w:hAnsiTheme="majorHAnsi"/>
          <w:sz w:val="20"/>
          <w:szCs w:val="20"/>
        </w:rPr>
      </w:pPr>
      <w:r>
        <w:rPr>
          <w:rFonts w:asciiTheme="majorHAnsi" w:hAnsiTheme="majorHAnsi"/>
          <w:sz w:val="20"/>
          <w:szCs w:val="20"/>
        </w:rPr>
        <w:t>Develop g</w:t>
      </w:r>
      <w:r w:rsidR="00B80BD6" w:rsidRPr="00E96B53">
        <w:rPr>
          <w:rFonts w:asciiTheme="majorHAnsi" w:hAnsiTheme="majorHAnsi"/>
          <w:sz w:val="20"/>
          <w:szCs w:val="20"/>
        </w:rPr>
        <w:t>uidelines and best practices for use of native species for landscaping, aquaculture, agriculture and forestry</w:t>
      </w:r>
      <w:r w:rsidR="000C619B">
        <w:rPr>
          <w:rFonts w:asciiTheme="majorHAnsi" w:hAnsiTheme="majorHAnsi"/>
          <w:sz w:val="20"/>
          <w:szCs w:val="20"/>
        </w:rPr>
        <w:t>.</w:t>
      </w:r>
      <w:r w:rsidR="00B80BD6" w:rsidRPr="00E96B53">
        <w:rPr>
          <w:rFonts w:asciiTheme="majorHAnsi" w:hAnsiTheme="majorHAnsi"/>
          <w:sz w:val="20"/>
          <w:szCs w:val="20"/>
        </w:rPr>
        <w:t xml:space="preserve"> </w:t>
      </w:r>
    </w:p>
    <w:p w14:paraId="4E552DCE" w14:textId="77777777" w:rsidR="00784769" w:rsidRPr="005722A6" w:rsidRDefault="00784769" w:rsidP="00B87774">
      <w:pPr>
        <w:spacing w:after="0"/>
        <w:rPr>
          <w:rFonts w:asciiTheme="majorHAnsi" w:hAnsiTheme="majorHAnsi"/>
          <w:b/>
          <w:i/>
          <w:sz w:val="20"/>
          <w:szCs w:val="20"/>
        </w:rPr>
      </w:pPr>
    </w:p>
    <w:p w14:paraId="34CB15B9" w14:textId="4FC6B5E1" w:rsidR="00B87774" w:rsidRPr="005722A6" w:rsidRDefault="00B87774" w:rsidP="00B87774">
      <w:pPr>
        <w:spacing w:after="0"/>
        <w:rPr>
          <w:rFonts w:asciiTheme="majorHAnsi" w:hAnsiTheme="majorHAnsi"/>
          <w:b/>
          <w:i/>
          <w:sz w:val="20"/>
          <w:szCs w:val="20"/>
        </w:rPr>
      </w:pPr>
      <w:r w:rsidRPr="005722A6">
        <w:rPr>
          <w:rFonts w:asciiTheme="majorHAnsi" w:hAnsiTheme="majorHAnsi"/>
          <w:b/>
          <w:i/>
          <w:sz w:val="20"/>
          <w:szCs w:val="20"/>
        </w:rPr>
        <w:t xml:space="preserve">Output 1.4: Improved national and state capacity for </w:t>
      </w:r>
      <w:r w:rsidR="005B7785" w:rsidRPr="005722A6">
        <w:rPr>
          <w:rFonts w:asciiTheme="majorHAnsi" w:hAnsiTheme="majorHAnsi"/>
          <w:b/>
          <w:i/>
          <w:sz w:val="20"/>
          <w:szCs w:val="20"/>
        </w:rPr>
        <w:t xml:space="preserve">monitoring, </w:t>
      </w:r>
      <w:r w:rsidRPr="005722A6">
        <w:rPr>
          <w:rFonts w:asciiTheme="majorHAnsi" w:hAnsiTheme="majorHAnsi"/>
          <w:b/>
          <w:i/>
          <w:sz w:val="20"/>
          <w:szCs w:val="20"/>
        </w:rPr>
        <w:t>surveillance and compliance with laws on protected species</w:t>
      </w:r>
      <w:r w:rsidR="005B7785" w:rsidRPr="005722A6">
        <w:rPr>
          <w:rFonts w:asciiTheme="majorHAnsi" w:hAnsiTheme="majorHAnsi"/>
          <w:b/>
          <w:i/>
          <w:sz w:val="20"/>
          <w:szCs w:val="20"/>
        </w:rPr>
        <w:t>,</w:t>
      </w:r>
      <w:r w:rsidRPr="005722A6">
        <w:rPr>
          <w:rFonts w:asciiTheme="majorHAnsi" w:hAnsiTheme="majorHAnsi"/>
          <w:b/>
          <w:i/>
          <w:sz w:val="20"/>
          <w:szCs w:val="20"/>
        </w:rPr>
        <w:t xml:space="preserve"> resource extraction</w:t>
      </w:r>
      <w:r w:rsidR="005B7785" w:rsidRPr="005722A6">
        <w:rPr>
          <w:rFonts w:asciiTheme="majorHAnsi" w:hAnsiTheme="majorHAnsi"/>
          <w:b/>
          <w:i/>
          <w:sz w:val="20"/>
          <w:szCs w:val="20"/>
        </w:rPr>
        <w:t>, IAS control and management and biosecurity</w:t>
      </w:r>
    </w:p>
    <w:p w14:paraId="5DBC76F6" w14:textId="77777777" w:rsidR="00EB3D3F" w:rsidRPr="005722A6" w:rsidRDefault="00EB3D3F" w:rsidP="00B87774">
      <w:pPr>
        <w:spacing w:after="0"/>
        <w:rPr>
          <w:rFonts w:asciiTheme="majorHAnsi" w:hAnsiTheme="majorHAnsi"/>
          <w:b/>
          <w:i/>
          <w:sz w:val="20"/>
          <w:szCs w:val="20"/>
        </w:rPr>
      </w:pPr>
    </w:p>
    <w:p w14:paraId="3E1CD406" w14:textId="70BA0ADF" w:rsidR="00542D5E" w:rsidRPr="005722A6" w:rsidRDefault="00542D5E" w:rsidP="00B87774">
      <w:pPr>
        <w:spacing w:after="0"/>
        <w:rPr>
          <w:rFonts w:asciiTheme="majorHAnsi" w:hAnsiTheme="majorHAnsi"/>
          <w:sz w:val="20"/>
          <w:szCs w:val="20"/>
        </w:rPr>
      </w:pPr>
      <w:r w:rsidRPr="005722A6">
        <w:rPr>
          <w:rFonts w:asciiTheme="majorHAnsi" w:hAnsiTheme="majorHAnsi"/>
          <w:sz w:val="20"/>
          <w:szCs w:val="20"/>
        </w:rPr>
        <w:t xml:space="preserve">Currently, there is no comprehensive system for effective monitoring, surveillance and compliance with existing laws </w:t>
      </w:r>
      <w:r w:rsidR="00914FC3" w:rsidRPr="005722A6">
        <w:rPr>
          <w:rFonts w:asciiTheme="majorHAnsi" w:hAnsiTheme="majorHAnsi"/>
          <w:sz w:val="20"/>
          <w:szCs w:val="20"/>
        </w:rPr>
        <w:t>across sectors or between national and state governments</w:t>
      </w:r>
      <w:r w:rsidR="00C86F1A" w:rsidRPr="005722A6">
        <w:rPr>
          <w:rFonts w:asciiTheme="majorHAnsi" w:hAnsiTheme="majorHAnsi"/>
          <w:sz w:val="20"/>
          <w:szCs w:val="20"/>
        </w:rPr>
        <w:t xml:space="preserve">. </w:t>
      </w:r>
      <w:r w:rsidR="00683811" w:rsidRPr="005722A6">
        <w:rPr>
          <w:rFonts w:asciiTheme="majorHAnsi" w:hAnsiTheme="majorHAnsi"/>
          <w:sz w:val="20"/>
          <w:szCs w:val="20"/>
        </w:rPr>
        <w:t xml:space="preserve">The </w:t>
      </w:r>
      <w:r w:rsidR="002B5DA7" w:rsidRPr="005722A6">
        <w:rPr>
          <w:rFonts w:asciiTheme="majorHAnsi" w:hAnsiTheme="majorHAnsi"/>
          <w:sz w:val="20"/>
          <w:szCs w:val="20"/>
        </w:rPr>
        <w:t xml:space="preserve">Division of Fish and Wildlife </w:t>
      </w:r>
      <w:r w:rsidR="00B02E12" w:rsidRPr="005722A6">
        <w:rPr>
          <w:rFonts w:asciiTheme="majorHAnsi" w:hAnsiTheme="majorHAnsi"/>
          <w:sz w:val="20"/>
          <w:szCs w:val="20"/>
        </w:rPr>
        <w:t xml:space="preserve">Protection </w:t>
      </w:r>
      <w:r w:rsidR="00914FC3" w:rsidRPr="005722A6">
        <w:rPr>
          <w:rFonts w:asciiTheme="majorHAnsi" w:hAnsiTheme="majorHAnsi"/>
          <w:sz w:val="20"/>
          <w:szCs w:val="20"/>
        </w:rPr>
        <w:t>(DFW</w:t>
      </w:r>
      <w:r w:rsidR="00B02E12" w:rsidRPr="005722A6">
        <w:rPr>
          <w:rFonts w:asciiTheme="majorHAnsi" w:hAnsiTheme="majorHAnsi"/>
          <w:sz w:val="20"/>
          <w:szCs w:val="20"/>
        </w:rPr>
        <w:t>P</w:t>
      </w:r>
      <w:r w:rsidR="00914FC3" w:rsidRPr="005722A6">
        <w:rPr>
          <w:rFonts w:asciiTheme="majorHAnsi" w:hAnsiTheme="majorHAnsi"/>
          <w:sz w:val="20"/>
          <w:szCs w:val="20"/>
        </w:rPr>
        <w:t>) is</w:t>
      </w:r>
      <w:r w:rsidR="002B5DA7" w:rsidRPr="005722A6">
        <w:rPr>
          <w:rFonts w:asciiTheme="majorHAnsi" w:hAnsiTheme="majorHAnsi"/>
          <w:sz w:val="20"/>
          <w:szCs w:val="20"/>
        </w:rPr>
        <w:t xml:space="preserve"> tasked with enforcement of laws related to protection of plants and animal</w:t>
      </w:r>
      <w:r w:rsidR="00914FC3" w:rsidRPr="005722A6">
        <w:rPr>
          <w:rFonts w:asciiTheme="majorHAnsi" w:hAnsiTheme="majorHAnsi"/>
          <w:sz w:val="20"/>
          <w:szCs w:val="20"/>
        </w:rPr>
        <w:t xml:space="preserve"> </w:t>
      </w:r>
      <w:r w:rsidR="002B5DA7" w:rsidRPr="005722A6">
        <w:rPr>
          <w:rFonts w:asciiTheme="majorHAnsi" w:hAnsiTheme="majorHAnsi"/>
          <w:sz w:val="20"/>
          <w:szCs w:val="20"/>
        </w:rPr>
        <w:t>s</w:t>
      </w:r>
      <w:r w:rsidR="00914FC3" w:rsidRPr="005722A6">
        <w:rPr>
          <w:rFonts w:asciiTheme="majorHAnsi" w:hAnsiTheme="majorHAnsi"/>
          <w:sz w:val="20"/>
          <w:szCs w:val="20"/>
        </w:rPr>
        <w:t>pecies</w:t>
      </w:r>
      <w:r w:rsidR="002B5DA7" w:rsidRPr="005722A6">
        <w:rPr>
          <w:rFonts w:asciiTheme="majorHAnsi" w:hAnsiTheme="majorHAnsi"/>
          <w:sz w:val="20"/>
          <w:szCs w:val="20"/>
        </w:rPr>
        <w:t>, including those listed in the Endangered Species Act</w:t>
      </w:r>
      <w:r w:rsidR="00914FC3" w:rsidRPr="005722A6">
        <w:rPr>
          <w:rFonts w:asciiTheme="majorHAnsi" w:hAnsiTheme="majorHAnsi"/>
          <w:sz w:val="20"/>
          <w:szCs w:val="20"/>
        </w:rPr>
        <w:t>. EQPB also has an enforcement division for issues on land and regarding earthmoving, water quality, and environmental quality. Both DFW</w:t>
      </w:r>
      <w:r w:rsidR="00373429">
        <w:rPr>
          <w:rFonts w:asciiTheme="majorHAnsi" w:hAnsiTheme="majorHAnsi"/>
          <w:sz w:val="20"/>
          <w:szCs w:val="20"/>
        </w:rPr>
        <w:t>P</w:t>
      </w:r>
      <w:r w:rsidR="00914FC3" w:rsidRPr="005722A6">
        <w:rPr>
          <w:rFonts w:asciiTheme="majorHAnsi" w:hAnsiTheme="majorHAnsi"/>
          <w:sz w:val="20"/>
          <w:szCs w:val="20"/>
        </w:rPr>
        <w:t xml:space="preserve"> and EQPB prosecute criminal cases. The </w:t>
      </w:r>
      <w:r w:rsidR="00E4734F" w:rsidRPr="005722A6">
        <w:rPr>
          <w:rFonts w:asciiTheme="majorHAnsi" w:hAnsiTheme="majorHAnsi"/>
          <w:sz w:val="20"/>
          <w:szCs w:val="20"/>
        </w:rPr>
        <w:t xml:space="preserve">BMR and BOA </w:t>
      </w:r>
      <w:r w:rsidR="00914FC3" w:rsidRPr="005722A6">
        <w:rPr>
          <w:rFonts w:asciiTheme="majorHAnsi" w:hAnsiTheme="majorHAnsi"/>
          <w:sz w:val="20"/>
          <w:szCs w:val="20"/>
        </w:rPr>
        <w:t>each have responsibilities</w:t>
      </w:r>
      <w:r w:rsidR="00B02E12" w:rsidRPr="005722A6">
        <w:rPr>
          <w:rFonts w:asciiTheme="majorHAnsi" w:hAnsiTheme="majorHAnsi"/>
          <w:sz w:val="20"/>
          <w:szCs w:val="20"/>
        </w:rPr>
        <w:t xml:space="preserve"> regarding resource extraction and use,</w:t>
      </w:r>
      <w:r w:rsidR="00914FC3" w:rsidRPr="005722A6">
        <w:rPr>
          <w:rFonts w:asciiTheme="majorHAnsi" w:hAnsiTheme="majorHAnsi"/>
          <w:sz w:val="20"/>
          <w:szCs w:val="20"/>
        </w:rPr>
        <w:t xml:space="preserve"> but limited </w:t>
      </w:r>
      <w:r w:rsidR="009E0242" w:rsidRPr="005722A6">
        <w:rPr>
          <w:rFonts w:asciiTheme="majorHAnsi" w:hAnsiTheme="majorHAnsi"/>
          <w:sz w:val="20"/>
          <w:szCs w:val="20"/>
        </w:rPr>
        <w:t>monitoring</w:t>
      </w:r>
      <w:r w:rsidR="009E0242">
        <w:rPr>
          <w:rFonts w:asciiTheme="majorHAnsi" w:hAnsiTheme="majorHAnsi"/>
          <w:sz w:val="20"/>
          <w:szCs w:val="20"/>
        </w:rPr>
        <w:t xml:space="preserve">, </w:t>
      </w:r>
      <w:r w:rsidR="00914FC3" w:rsidRPr="005722A6">
        <w:rPr>
          <w:rFonts w:asciiTheme="majorHAnsi" w:hAnsiTheme="majorHAnsi"/>
          <w:sz w:val="20"/>
          <w:szCs w:val="20"/>
        </w:rPr>
        <w:t>surveillance and enforcement</w:t>
      </w:r>
      <w:r w:rsidR="009E0242" w:rsidRPr="009E0242">
        <w:rPr>
          <w:rFonts w:asciiTheme="majorHAnsi" w:hAnsiTheme="majorHAnsi"/>
          <w:sz w:val="20"/>
          <w:szCs w:val="20"/>
        </w:rPr>
        <w:t xml:space="preserve"> </w:t>
      </w:r>
      <w:r w:rsidR="009E0242" w:rsidRPr="005722A6">
        <w:rPr>
          <w:rFonts w:asciiTheme="majorHAnsi" w:hAnsiTheme="majorHAnsi"/>
          <w:sz w:val="20"/>
          <w:szCs w:val="20"/>
        </w:rPr>
        <w:t>capacity</w:t>
      </w:r>
      <w:r w:rsidR="00914FC3" w:rsidRPr="005722A6">
        <w:rPr>
          <w:rFonts w:asciiTheme="majorHAnsi" w:hAnsiTheme="majorHAnsi"/>
          <w:sz w:val="20"/>
          <w:szCs w:val="20"/>
        </w:rPr>
        <w:t>. State PAN or Conservation Officers</w:t>
      </w:r>
      <w:r w:rsidR="009E0242">
        <w:rPr>
          <w:rFonts w:asciiTheme="majorHAnsi" w:hAnsiTheme="majorHAnsi"/>
          <w:sz w:val="20"/>
          <w:szCs w:val="20"/>
        </w:rPr>
        <w:t>,</w:t>
      </w:r>
      <w:r w:rsidR="00914FC3" w:rsidRPr="005722A6">
        <w:rPr>
          <w:rFonts w:asciiTheme="majorHAnsi" w:hAnsiTheme="majorHAnsi"/>
          <w:sz w:val="20"/>
          <w:szCs w:val="20"/>
        </w:rPr>
        <w:t xml:space="preserve"> who are deputized at the national level</w:t>
      </w:r>
      <w:r w:rsidR="009E0242">
        <w:rPr>
          <w:rFonts w:asciiTheme="majorHAnsi" w:hAnsiTheme="majorHAnsi"/>
          <w:sz w:val="20"/>
          <w:szCs w:val="20"/>
        </w:rPr>
        <w:t>,</w:t>
      </w:r>
      <w:r w:rsidR="00914FC3" w:rsidRPr="005722A6">
        <w:rPr>
          <w:rFonts w:asciiTheme="majorHAnsi" w:hAnsiTheme="majorHAnsi"/>
          <w:sz w:val="20"/>
          <w:szCs w:val="20"/>
        </w:rPr>
        <w:t xml:space="preserve"> have authority to enforce state conservation laws. </w:t>
      </w:r>
      <w:r w:rsidR="00CA16A6" w:rsidRPr="005722A6">
        <w:rPr>
          <w:rFonts w:asciiTheme="majorHAnsi" w:hAnsiTheme="majorHAnsi"/>
          <w:sz w:val="20"/>
          <w:szCs w:val="20"/>
        </w:rPr>
        <w:t xml:space="preserve">In order to enhance institutional capacities, </w:t>
      </w:r>
      <w:r w:rsidR="00813A6C" w:rsidRPr="005722A6">
        <w:rPr>
          <w:rFonts w:asciiTheme="majorHAnsi" w:hAnsiTheme="majorHAnsi"/>
          <w:sz w:val="20"/>
          <w:szCs w:val="20"/>
        </w:rPr>
        <w:t xml:space="preserve">the project entails a mixed model that incorporates elements at both national and state levels to develop an adequate nationwide structure of </w:t>
      </w:r>
      <w:r w:rsidR="00813A6C" w:rsidRPr="005722A6">
        <w:rPr>
          <w:rFonts w:asciiTheme="majorHAnsi" w:hAnsiTheme="majorHAnsi"/>
          <w:sz w:val="20"/>
          <w:szCs w:val="20"/>
        </w:rPr>
        <w:lastRenderedPageBreak/>
        <w:t xml:space="preserve">monitoring, surveillance and enforcement. Given the varied structure and </w:t>
      </w:r>
      <w:r w:rsidR="00914FC3" w:rsidRPr="005722A6">
        <w:rPr>
          <w:rFonts w:asciiTheme="majorHAnsi" w:hAnsiTheme="majorHAnsi"/>
          <w:sz w:val="20"/>
          <w:szCs w:val="20"/>
        </w:rPr>
        <w:t xml:space="preserve">capacity of various </w:t>
      </w:r>
      <w:r w:rsidR="009E0242">
        <w:rPr>
          <w:rFonts w:asciiTheme="majorHAnsi" w:hAnsiTheme="majorHAnsi"/>
          <w:sz w:val="20"/>
          <w:szCs w:val="20"/>
        </w:rPr>
        <w:t>s</w:t>
      </w:r>
      <w:r w:rsidR="00813A6C" w:rsidRPr="005722A6">
        <w:rPr>
          <w:rFonts w:asciiTheme="majorHAnsi" w:hAnsiTheme="majorHAnsi"/>
          <w:sz w:val="20"/>
          <w:szCs w:val="20"/>
        </w:rPr>
        <w:t xml:space="preserve">tates, the project intends </w:t>
      </w:r>
      <w:r w:rsidR="004622D4" w:rsidRPr="005722A6">
        <w:rPr>
          <w:rFonts w:asciiTheme="majorHAnsi" w:hAnsiTheme="majorHAnsi"/>
          <w:sz w:val="20"/>
          <w:szCs w:val="20"/>
        </w:rPr>
        <w:t>that</w:t>
      </w:r>
      <w:r w:rsidR="00813A6C" w:rsidRPr="005722A6">
        <w:rPr>
          <w:rFonts w:asciiTheme="majorHAnsi" w:hAnsiTheme="majorHAnsi"/>
          <w:sz w:val="20"/>
          <w:szCs w:val="20"/>
        </w:rPr>
        <w:t xml:space="preserve"> feasible interventions </w:t>
      </w:r>
      <w:r w:rsidR="00914FC3" w:rsidRPr="005722A6">
        <w:rPr>
          <w:rFonts w:asciiTheme="majorHAnsi" w:hAnsiTheme="majorHAnsi"/>
          <w:sz w:val="20"/>
          <w:szCs w:val="20"/>
        </w:rPr>
        <w:t xml:space="preserve">be </w:t>
      </w:r>
      <w:r w:rsidR="00813A6C" w:rsidRPr="005722A6">
        <w:rPr>
          <w:rFonts w:asciiTheme="majorHAnsi" w:hAnsiTheme="majorHAnsi"/>
          <w:sz w:val="20"/>
          <w:szCs w:val="20"/>
        </w:rPr>
        <w:t>initially trialed, asses</w:t>
      </w:r>
      <w:r w:rsidR="00C86F1A" w:rsidRPr="005722A6">
        <w:rPr>
          <w:rFonts w:asciiTheme="majorHAnsi" w:hAnsiTheme="majorHAnsi"/>
          <w:sz w:val="20"/>
          <w:szCs w:val="20"/>
        </w:rPr>
        <w:t>sed</w:t>
      </w:r>
      <w:r w:rsidR="00914FC3" w:rsidRPr="005722A6">
        <w:rPr>
          <w:rFonts w:asciiTheme="majorHAnsi" w:hAnsiTheme="majorHAnsi"/>
          <w:sz w:val="20"/>
          <w:szCs w:val="20"/>
        </w:rPr>
        <w:t>,</w:t>
      </w:r>
      <w:r w:rsidR="00C86F1A" w:rsidRPr="005722A6">
        <w:rPr>
          <w:rFonts w:asciiTheme="majorHAnsi" w:hAnsiTheme="majorHAnsi"/>
          <w:sz w:val="20"/>
          <w:szCs w:val="20"/>
        </w:rPr>
        <w:t xml:space="preserve"> and improved in the project-</w:t>
      </w:r>
      <w:r w:rsidR="00813A6C" w:rsidRPr="005722A6">
        <w:rPr>
          <w:rFonts w:asciiTheme="majorHAnsi" w:hAnsiTheme="majorHAnsi"/>
          <w:sz w:val="20"/>
          <w:szCs w:val="20"/>
        </w:rPr>
        <w:t>supported States</w:t>
      </w:r>
      <w:r w:rsidR="00C83501" w:rsidRPr="005722A6">
        <w:rPr>
          <w:rFonts w:asciiTheme="majorHAnsi" w:hAnsiTheme="majorHAnsi"/>
          <w:sz w:val="20"/>
          <w:szCs w:val="20"/>
        </w:rPr>
        <w:t xml:space="preserve"> (under Outcomes 2 and 3)</w:t>
      </w:r>
      <w:r w:rsidR="00914FC3" w:rsidRPr="005722A6">
        <w:rPr>
          <w:rFonts w:asciiTheme="majorHAnsi" w:hAnsiTheme="majorHAnsi"/>
          <w:sz w:val="20"/>
          <w:szCs w:val="20"/>
        </w:rPr>
        <w:t xml:space="preserve"> before scaling up</w:t>
      </w:r>
      <w:r w:rsidR="00194AA1">
        <w:rPr>
          <w:rFonts w:asciiTheme="majorHAnsi" w:hAnsiTheme="majorHAnsi"/>
          <w:sz w:val="20"/>
          <w:szCs w:val="20"/>
        </w:rPr>
        <w:t xml:space="preserve">. </w:t>
      </w:r>
    </w:p>
    <w:p w14:paraId="72FECE82" w14:textId="77777777" w:rsidR="00542D5E" w:rsidRPr="005722A6" w:rsidRDefault="00542D5E" w:rsidP="00B87774">
      <w:pPr>
        <w:spacing w:after="0"/>
        <w:rPr>
          <w:rFonts w:asciiTheme="majorHAnsi" w:hAnsiTheme="majorHAnsi"/>
          <w:sz w:val="20"/>
          <w:szCs w:val="20"/>
        </w:rPr>
      </w:pPr>
    </w:p>
    <w:p w14:paraId="259E0A52" w14:textId="2C345799" w:rsidR="00EB3D3F" w:rsidRPr="005722A6" w:rsidRDefault="00914FC3" w:rsidP="00B87774">
      <w:pPr>
        <w:spacing w:after="0"/>
        <w:rPr>
          <w:rFonts w:asciiTheme="majorHAnsi" w:hAnsiTheme="majorHAnsi"/>
          <w:sz w:val="20"/>
          <w:szCs w:val="20"/>
        </w:rPr>
      </w:pPr>
      <w:r w:rsidRPr="005722A6">
        <w:rPr>
          <w:rFonts w:asciiTheme="majorHAnsi" w:hAnsiTheme="majorHAnsi"/>
          <w:sz w:val="20"/>
          <w:szCs w:val="20"/>
        </w:rPr>
        <w:t>T</w:t>
      </w:r>
      <w:r w:rsidR="00C83501" w:rsidRPr="005722A6">
        <w:rPr>
          <w:rFonts w:asciiTheme="majorHAnsi" w:hAnsiTheme="majorHAnsi"/>
          <w:sz w:val="20"/>
          <w:szCs w:val="20"/>
        </w:rPr>
        <w:t xml:space="preserve">he project </w:t>
      </w:r>
      <w:r w:rsidRPr="005722A6">
        <w:rPr>
          <w:rFonts w:asciiTheme="majorHAnsi" w:hAnsiTheme="majorHAnsi"/>
          <w:sz w:val="20"/>
          <w:szCs w:val="20"/>
        </w:rPr>
        <w:t xml:space="preserve">will </w:t>
      </w:r>
      <w:r w:rsidR="00061E1A" w:rsidRPr="005722A6">
        <w:rPr>
          <w:rFonts w:asciiTheme="majorHAnsi" w:hAnsiTheme="majorHAnsi"/>
          <w:sz w:val="20"/>
          <w:szCs w:val="20"/>
        </w:rPr>
        <w:t xml:space="preserve">review </w:t>
      </w:r>
      <w:r w:rsidRPr="005722A6">
        <w:rPr>
          <w:rFonts w:asciiTheme="majorHAnsi" w:hAnsiTheme="majorHAnsi"/>
          <w:sz w:val="20"/>
          <w:szCs w:val="20"/>
        </w:rPr>
        <w:t xml:space="preserve">these existing </w:t>
      </w:r>
      <w:r w:rsidR="00F96C77" w:rsidRPr="005722A6">
        <w:rPr>
          <w:rFonts w:asciiTheme="majorHAnsi" w:hAnsiTheme="majorHAnsi"/>
          <w:sz w:val="20"/>
          <w:szCs w:val="20"/>
        </w:rPr>
        <w:t xml:space="preserve">national </w:t>
      </w:r>
      <w:r w:rsidRPr="005722A6">
        <w:rPr>
          <w:rFonts w:asciiTheme="majorHAnsi" w:hAnsiTheme="majorHAnsi"/>
          <w:sz w:val="20"/>
          <w:szCs w:val="20"/>
        </w:rPr>
        <w:t xml:space="preserve">and state </w:t>
      </w:r>
      <w:r w:rsidR="00F96C77" w:rsidRPr="005722A6">
        <w:rPr>
          <w:rFonts w:asciiTheme="majorHAnsi" w:hAnsiTheme="majorHAnsi"/>
          <w:sz w:val="20"/>
          <w:szCs w:val="20"/>
        </w:rPr>
        <w:t xml:space="preserve">systems for </w:t>
      </w:r>
      <w:r w:rsidR="00061E1A" w:rsidRPr="005722A6">
        <w:rPr>
          <w:rFonts w:asciiTheme="majorHAnsi" w:hAnsiTheme="majorHAnsi"/>
          <w:sz w:val="20"/>
          <w:szCs w:val="20"/>
        </w:rPr>
        <w:t xml:space="preserve">monitoring, surveillance and </w:t>
      </w:r>
      <w:r w:rsidR="0003325F" w:rsidRPr="005722A6">
        <w:rPr>
          <w:rFonts w:asciiTheme="majorHAnsi" w:hAnsiTheme="majorHAnsi"/>
          <w:sz w:val="20"/>
          <w:szCs w:val="20"/>
        </w:rPr>
        <w:t>enforcement/</w:t>
      </w:r>
      <w:r w:rsidR="00061E1A" w:rsidRPr="005722A6">
        <w:rPr>
          <w:rFonts w:asciiTheme="majorHAnsi" w:hAnsiTheme="majorHAnsi"/>
          <w:sz w:val="20"/>
          <w:szCs w:val="20"/>
        </w:rPr>
        <w:t xml:space="preserve">compliance </w:t>
      </w:r>
      <w:r w:rsidRPr="005722A6">
        <w:rPr>
          <w:rFonts w:asciiTheme="majorHAnsi" w:hAnsiTheme="majorHAnsi"/>
          <w:sz w:val="20"/>
          <w:szCs w:val="20"/>
        </w:rPr>
        <w:t xml:space="preserve">and then </w:t>
      </w:r>
      <w:r w:rsidR="00C83501" w:rsidRPr="005722A6">
        <w:rPr>
          <w:rFonts w:asciiTheme="majorHAnsi" w:hAnsiTheme="majorHAnsi"/>
          <w:sz w:val="20"/>
          <w:szCs w:val="20"/>
        </w:rPr>
        <w:t>support</w:t>
      </w:r>
      <w:r w:rsidRPr="005722A6">
        <w:rPr>
          <w:rFonts w:asciiTheme="majorHAnsi" w:hAnsiTheme="majorHAnsi"/>
          <w:sz w:val="20"/>
          <w:szCs w:val="20"/>
        </w:rPr>
        <w:t xml:space="preserve"> cross-agency planning,</w:t>
      </w:r>
      <w:r w:rsidR="00C83501" w:rsidRPr="005722A6">
        <w:rPr>
          <w:rFonts w:asciiTheme="majorHAnsi" w:hAnsiTheme="majorHAnsi"/>
          <w:sz w:val="20"/>
          <w:szCs w:val="20"/>
        </w:rPr>
        <w:t xml:space="preserve"> training, technical assistance and strengthening of capacity to monitor, detect </w:t>
      </w:r>
      <w:r w:rsidRPr="005722A6">
        <w:rPr>
          <w:rFonts w:asciiTheme="majorHAnsi" w:hAnsiTheme="majorHAnsi"/>
          <w:sz w:val="20"/>
          <w:szCs w:val="20"/>
        </w:rPr>
        <w:t xml:space="preserve">and </w:t>
      </w:r>
      <w:r w:rsidR="00C83501" w:rsidRPr="005722A6">
        <w:rPr>
          <w:rFonts w:asciiTheme="majorHAnsi" w:hAnsiTheme="majorHAnsi"/>
          <w:sz w:val="20"/>
          <w:szCs w:val="20"/>
        </w:rPr>
        <w:t xml:space="preserve">enforce </w:t>
      </w:r>
      <w:r w:rsidRPr="005722A6">
        <w:rPr>
          <w:rFonts w:asciiTheme="majorHAnsi" w:hAnsiTheme="majorHAnsi"/>
          <w:sz w:val="20"/>
          <w:szCs w:val="20"/>
        </w:rPr>
        <w:t xml:space="preserve">laws. Based on the review, where needed the project will </w:t>
      </w:r>
      <w:r w:rsidR="00C83501" w:rsidRPr="005722A6">
        <w:rPr>
          <w:rFonts w:asciiTheme="majorHAnsi" w:hAnsiTheme="majorHAnsi"/>
          <w:sz w:val="20"/>
          <w:szCs w:val="20"/>
        </w:rPr>
        <w:t>develop and improve legislation and enforcement systems for threaten</w:t>
      </w:r>
      <w:r w:rsidRPr="005722A6">
        <w:rPr>
          <w:rFonts w:asciiTheme="majorHAnsi" w:hAnsiTheme="majorHAnsi"/>
          <w:sz w:val="20"/>
          <w:szCs w:val="20"/>
        </w:rPr>
        <w:t>ed</w:t>
      </w:r>
      <w:r w:rsidR="00C83501" w:rsidRPr="005722A6">
        <w:rPr>
          <w:rFonts w:asciiTheme="majorHAnsi" w:hAnsiTheme="majorHAnsi"/>
          <w:sz w:val="20"/>
          <w:szCs w:val="20"/>
        </w:rPr>
        <w:t xml:space="preserve"> marine and terrestrial biodiversity</w:t>
      </w:r>
      <w:r w:rsidRPr="005722A6">
        <w:rPr>
          <w:rFonts w:asciiTheme="majorHAnsi" w:hAnsiTheme="majorHAnsi"/>
          <w:sz w:val="20"/>
          <w:szCs w:val="20"/>
        </w:rPr>
        <w:t xml:space="preserve"> and ecosystems, and for</w:t>
      </w:r>
      <w:r w:rsidR="00C83501" w:rsidRPr="005722A6">
        <w:rPr>
          <w:rFonts w:asciiTheme="majorHAnsi" w:hAnsiTheme="majorHAnsi"/>
          <w:sz w:val="20"/>
          <w:szCs w:val="20"/>
        </w:rPr>
        <w:t xml:space="preserve"> IAS and biosecurity</w:t>
      </w:r>
      <w:r w:rsidR="00194AA1">
        <w:rPr>
          <w:rFonts w:asciiTheme="majorHAnsi" w:hAnsiTheme="majorHAnsi"/>
          <w:sz w:val="20"/>
          <w:szCs w:val="20"/>
        </w:rPr>
        <w:t xml:space="preserve">. </w:t>
      </w:r>
    </w:p>
    <w:p w14:paraId="17E24A47" w14:textId="77777777" w:rsidR="007366E4" w:rsidRPr="005722A6" w:rsidRDefault="007366E4" w:rsidP="00B87774">
      <w:pPr>
        <w:spacing w:after="0"/>
        <w:rPr>
          <w:rFonts w:asciiTheme="majorHAnsi" w:hAnsiTheme="majorHAnsi"/>
          <w:sz w:val="20"/>
          <w:szCs w:val="20"/>
        </w:rPr>
      </w:pPr>
    </w:p>
    <w:p w14:paraId="5F484F25" w14:textId="72A78FC3" w:rsidR="007366E4" w:rsidRPr="005722A6" w:rsidRDefault="007366E4" w:rsidP="00B87774">
      <w:pPr>
        <w:spacing w:after="0"/>
        <w:rPr>
          <w:rFonts w:asciiTheme="majorHAnsi" w:hAnsiTheme="majorHAnsi"/>
          <w:sz w:val="20"/>
          <w:szCs w:val="20"/>
        </w:rPr>
      </w:pPr>
      <w:r w:rsidRPr="005722A6">
        <w:rPr>
          <w:rFonts w:asciiTheme="majorHAnsi" w:hAnsiTheme="majorHAnsi"/>
          <w:sz w:val="20"/>
          <w:szCs w:val="20"/>
        </w:rPr>
        <w:t>The GEF increment will support the following key activities:</w:t>
      </w:r>
    </w:p>
    <w:p w14:paraId="4D268DB4" w14:textId="64223C3A" w:rsidR="007366E4" w:rsidRPr="005722A6" w:rsidRDefault="006B1579" w:rsidP="00BD402F">
      <w:pPr>
        <w:pStyle w:val="ListParagraph"/>
        <w:numPr>
          <w:ilvl w:val="0"/>
          <w:numId w:val="30"/>
        </w:numPr>
        <w:jc w:val="both"/>
        <w:rPr>
          <w:rFonts w:asciiTheme="majorHAnsi" w:hAnsiTheme="majorHAnsi"/>
          <w:sz w:val="20"/>
          <w:szCs w:val="20"/>
        </w:rPr>
      </w:pPr>
      <w:r w:rsidRPr="00FB46EB">
        <w:rPr>
          <w:rFonts w:asciiTheme="majorHAnsi" w:hAnsiTheme="majorHAnsi"/>
          <w:sz w:val="20"/>
          <w:szCs w:val="20"/>
        </w:rPr>
        <w:t xml:space="preserve">National </w:t>
      </w:r>
      <w:r w:rsidR="007366E4" w:rsidRPr="002F6486">
        <w:rPr>
          <w:rFonts w:asciiTheme="majorHAnsi" w:hAnsiTheme="majorHAnsi"/>
          <w:sz w:val="20"/>
          <w:szCs w:val="20"/>
        </w:rPr>
        <w:t xml:space="preserve">review of monitoring, surveillance and </w:t>
      </w:r>
      <w:r w:rsidR="00914FC3" w:rsidRPr="002F6486">
        <w:rPr>
          <w:rFonts w:asciiTheme="majorHAnsi" w:hAnsiTheme="majorHAnsi"/>
          <w:sz w:val="20"/>
          <w:szCs w:val="20"/>
        </w:rPr>
        <w:t xml:space="preserve">enforcement systems and </w:t>
      </w:r>
      <w:r w:rsidR="007366E4" w:rsidRPr="002F6486">
        <w:rPr>
          <w:rFonts w:asciiTheme="majorHAnsi" w:hAnsiTheme="majorHAnsi"/>
          <w:sz w:val="20"/>
          <w:szCs w:val="20"/>
        </w:rPr>
        <w:t>capacities</w:t>
      </w:r>
      <w:r w:rsidR="00B02E12" w:rsidRPr="002F6486">
        <w:rPr>
          <w:rFonts w:asciiTheme="majorHAnsi" w:hAnsiTheme="majorHAnsi"/>
          <w:sz w:val="20"/>
          <w:szCs w:val="20"/>
        </w:rPr>
        <w:t xml:space="preserve"> across the multiple existing entities</w:t>
      </w:r>
      <w:r w:rsidR="00B02E12" w:rsidRPr="008C571D">
        <w:rPr>
          <w:rFonts w:asciiTheme="majorHAnsi" w:hAnsiTheme="majorHAnsi"/>
          <w:sz w:val="20"/>
          <w:szCs w:val="20"/>
        </w:rPr>
        <w:t xml:space="preserve"> (DFWP, EQPB, BMR, BOA</w:t>
      </w:r>
      <w:r w:rsidR="00664932" w:rsidRPr="008C571D">
        <w:rPr>
          <w:rFonts w:asciiTheme="majorHAnsi" w:hAnsiTheme="majorHAnsi"/>
          <w:sz w:val="20"/>
          <w:szCs w:val="20"/>
        </w:rPr>
        <w:t xml:space="preserve">, </w:t>
      </w:r>
      <w:r w:rsidR="00E4734F" w:rsidRPr="00203F78">
        <w:rPr>
          <w:rFonts w:asciiTheme="majorHAnsi" w:hAnsiTheme="majorHAnsi"/>
          <w:sz w:val="20"/>
          <w:szCs w:val="20"/>
        </w:rPr>
        <w:t xml:space="preserve">including the BD and </w:t>
      </w:r>
      <w:r w:rsidR="00B02E12" w:rsidRPr="00203F78">
        <w:rPr>
          <w:rFonts w:asciiTheme="majorHAnsi" w:hAnsiTheme="majorHAnsi"/>
          <w:sz w:val="20"/>
          <w:szCs w:val="20"/>
        </w:rPr>
        <w:t>State Conservation Offices), including identification of needs</w:t>
      </w:r>
      <w:r w:rsidR="007A03BE">
        <w:rPr>
          <w:rFonts w:asciiTheme="majorHAnsi" w:hAnsiTheme="majorHAnsi"/>
          <w:sz w:val="20"/>
          <w:szCs w:val="20"/>
        </w:rPr>
        <w:t>;</w:t>
      </w:r>
    </w:p>
    <w:p w14:paraId="1259AB4D" w14:textId="106D7482" w:rsidR="0091323C" w:rsidRPr="005722A6" w:rsidRDefault="00B02E12" w:rsidP="00BD402F">
      <w:pPr>
        <w:pStyle w:val="ListParagraph"/>
        <w:numPr>
          <w:ilvl w:val="0"/>
          <w:numId w:val="30"/>
        </w:numPr>
        <w:jc w:val="both"/>
        <w:rPr>
          <w:rFonts w:asciiTheme="majorHAnsi" w:hAnsiTheme="majorHAnsi"/>
          <w:sz w:val="20"/>
          <w:szCs w:val="20"/>
        </w:rPr>
      </w:pPr>
      <w:r w:rsidRPr="00FB46EB">
        <w:rPr>
          <w:rFonts w:asciiTheme="majorHAnsi" w:hAnsiTheme="majorHAnsi"/>
          <w:sz w:val="20"/>
          <w:szCs w:val="20"/>
        </w:rPr>
        <w:t>Development of cross-sector</w:t>
      </w:r>
      <w:r w:rsidR="0091323C" w:rsidRPr="002F6486">
        <w:rPr>
          <w:rFonts w:asciiTheme="majorHAnsi" w:hAnsiTheme="majorHAnsi"/>
          <w:sz w:val="20"/>
          <w:szCs w:val="20"/>
        </w:rPr>
        <w:t xml:space="preserve"> plan</w:t>
      </w:r>
      <w:r w:rsidRPr="002F6486">
        <w:rPr>
          <w:rFonts w:asciiTheme="majorHAnsi" w:hAnsiTheme="majorHAnsi"/>
          <w:sz w:val="20"/>
          <w:szCs w:val="20"/>
        </w:rPr>
        <w:t>s</w:t>
      </w:r>
      <w:r w:rsidR="0003325F" w:rsidRPr="002F6486">
        <w:rPr>
          <w:rFonts w:asciiTheme="majorHAnsi" w:hAnsiTheme="majorHAnsi"/>
          <w:sz w:val="20"/>
          <w:szCs w:val="20"/>
        </w:rPr>
        <w:t>,</w:t>
      </w:r>
      <w:r w:rsidR="0091323C" w:rsidRPr="002F6486">
        <w:rPr>
          <w:rFonts w:asciiTheme="majorHAnsi" w:hAnsiTheme="majorHAnsi"/>
          <w:sz w:val="20"/>
          <w:szCs w:val="20"/>
        </w:rPr>
        <w:t xml:space="preserve"> actions</w:t>
      </w:r>
      <w:r w:rsidR="0003325F" w:rsidRPr="002F6486">
        <w:rPr>
          <w:rFonts w:asciiTheme="majorHAnsi" w:hAnsiTheme="majorHAnsi"/>
          <w:sz w:val="20"/>
          <w:szCs w:val="20"/>
        </w:rPr>
        <w:t>, protocols, procedures and baselines underlining roles and responsibilities of key national entities</w:t>
      </w:r>
      <w:r w:rsidRPr="008C571D">
        <w:rPr>
          <w:rFonts w:asciiTheme="majorHAnsi" w:hAnsiTheme="majorHAnsi"/>
          <w:sz w:val="20"/>
          <w:szCs w:val="20"/>
        </w:rPr>
        <w:t xml:space="preserve"> </w:t>
      </w:r>
      <w:r w:rsidR="0003325F" w:rsidRPr="008C571D">
        <w:rPr>
          <w:rFonts w:asciiTheme="majorHAnsi" w:hAnsiTheme="majorHAnsi"/>
          <w:sz w:val="20"/>
          <w:szCs w:val="20"/>
        </w:rPr>
        <w:t>to improve</w:t>
      </w:r>
      <w:r w:rsidRPr="00203F78">
        <w:rPr>
          <w:rFonts w:asciiTheme="majorHAnsi" w:hAnsiTheme="majorHAnsi"/>
          <w:sz w:val="20"/>
          <w:szCs w:val="20"/>
        </w:rPr>
        <w:t xml:space="preserve"> joint monitoring, surveillance and enforcement by the national and state agencies</w:t>
      </w:r>
      <w:r w:rsidR="00E4734F" w:rsidRPr="00203F78">
        <w:rPr>
          <w:rFonts w:asciiTheme="majorHAnsi" w:hAnsiTheme="majorHAnsi"/>
          <w:sz w:val="20"/>
          <w:szCs w:val="20"/>
        </w:rPr>
        <w:t xml:space="preserve"> (see internal biosecurity framework under Output 1.3 as an example)</w:t>
      </w:r>
      <w:r w:rsidR="007A03BE">
        <w:rPr>
          <w:rFonts w:asciiTheme="majorHAnsi" w:hAnsiTheme="majorHAnsi"/>
          <w:sz w:val="20"/>
          <w:szCs w:val="20"/>
        </w:rPr>
        <w:t>;</w:t>
      </w:r>
    </w:p>
    <w:p w14:paraId="421CF4A4" w14:textId="521B673B" w:rsidR="0091323C" w:rsidRPr="002F6486" w:rsidRDefault="009A5235" w:rsidP="00BD402F">
      <w:pPr>
        <w:pStyle w:val="ListParagraph"/>
        <w:numPr>
          <w:ilvl w:val="0"/>
          <w:numId w:val="30"/>
        </w:numPr>
        <w:jc w:val="both"/>
        <w:rPr>
          <w:rFonts w:asciiTheme="majorHAnsi" w:hAnsiTheme="majorHAnsi"/>
          <w:sz w:val="20"/>
          <w:szCs w:val="20"/>
        </w:rPr>
      </w:pPr>
      <w:r w:rsidRPr="00FB46EB">
        <w:rPr>
          <w:rFonts w:asciiTheme="majorHAnsi" w:hAnsiTheme="majorHAnsi"/>
          <w:sz w:val="20"/>
          <w:szCs w:val="20"/>
        </w:rPr>
        <w:t xml:space="preserve">Development and/or update of </w:t>
      </w:r>
      <w:r w:rsidR="00DF6BE7" w:rsidRPr="002F6486">
        <w:rPr>
          <w:rFonts w:asciiTheme="majorHAnsi" w:hAnsiTheme="majorHAnsi"/>
          <w:sz w:val="20"/>
          <w:szCs w:val="20"/>
        </w:rPr>
        <w:t>national</w:t>
      </w:r>
      <w:r w:rsidRPr="002F6486">
        <w:rPr>
          <w:rFonts w:asciiTheme="majorHAnsi" w:hAnsiTheme="majorHAnsi"/>
          <w:sz w:val="20"/>
          <w:szCs w:val="20"/>
        </w:rPr>
        <w:t xml:space="preserve"> level regulations</w:t>
      </w:r>
      <w:r w:rsidR="007A03BE">
        <w:rPr>
          <w:rFonts w:asciiTheme="majorHAnsi" w:hAnsiTheme="majorHAnsi"/>
          <w:sz w:val="20"/>
          <w:szCs w:val="20"/>
        </w:rPr>
        <w:t>;</w:t>
      </w:r>
    </w:p>
    <w:p w14:paraId="6FF83D9E" w14:textId="6F1161BF" w:rsidR="00DF6BE7" w:rsidRPr="00203F78" w:rsidRDefault="00DF6BE7" w:rsidP="00BD402F">
      <w:pPr>
        <w:pStyle w:val="ListParagraph"/>
        <w:numPr>
          <w:ilvl w:val="0"/>
          <w:numId w:val="30"/>
        </w:numPr>
        <w:jc w:val="both"/>
        <w:rPr>
          <w:rFonts w:asciiTheme="majorHAnsi" w:hAnsiTheme="majorHAnsi"/>
          <w:sz w:val="20"/>
          <w:szCs w:val="20"/>
        </w:rPr>
      </w:pPr>
      <w:r w:rsidRPr="008C571D">
        <w:rPr>
          <w:rFonts w:asciiTheme="majorHAnsi" w:hAnsiTheme="majorHAnsi"/>
          <w:sz w:val="20"/>
          <w:szCs w:val="20"/>
        </w:rPr>
        <w:t xml:space="preserve">Initial support for selected personnel </w:t>
      </w:r>
      <w:r w:rsidR="00CF16C7" w:rsidRPr="008C571D">
        <w:rPr>
          <w:rFonts w:asciiTheme="majorHAnsi" w:hAnsiTheme="majorHAnsi"/>
          <w:sz w:val="20"/>
          <w:szCs w:val="20"/>
        </w:rPr>
        <w:t xml:space="preserve">in trial </w:t>
      </w:r>
      <w:r w:rsidR="009E1698">
        <w:rPr>
          <w:rFonts w:asciiTheme="majorHAnsi" w:hAnsiTheme="majorHAnsi"/>
          <w:sz w:val="20"/>
          <w:szCs w:val="20"/>
        </w:rPr>
        <w:t>roles</w:t>
      </w:r>
      <w:r w:rsidR="007A03BE">
        <w:rPr>
          <w:rFonts w:asciiTheme="majorHAnsi" w:hAnsiTheme="majorHAnsi"/>
          <w:sz w:val="20"/>
          <w:szCs w:val="20"/>
        </w:rPr>
        <w:t>;</w:t>
      </w:r>
    </w:p>
    <w:p w14:paraId="29EB9969" w14:textId="3900B63F" w:rsidR="00DF6BE7" w:rsidRPr="00E96B53" w:rsidRDefault="0003325F" w:rsidP="00BD402F">
      <w:pPr>
        <w:pStyle w:val="ListParagraph"/>
        <w:numPr>
          <w:ilvl w:val="0"/>
          <w:numId w:val="30"/>
        </w:numPr>
        <w:jc w:val="both"/>
        <w:rPr>
          <w:rFonts w:asciiTheme="majorHAnsi" w:hAnsiTheme="majorHAnsi"/>
          <w:sz w:val="20"/>
          <w:szCs w:val="20"/>
        </w:rPr>
      </w:pPr>
      <w:r w:rsidRPr="00FF745E">
        <w:rPr>
          <w:rFonts w:asciiTheme="majorHAnsi" w:hAnsiTheme="majorHAnsi"/>
          <w:sz w:val="20"/>
          <w:szCs w:val="20"/>
        </w:rPr>
        <w:t xml:space="preserve">Training </w:t>
      </w:r>
      <w:r w:rsidR="00DF6BE7" w:rsidRPr="00BD402F">
        <w:rPr>
          <w:rFonts w:asciiTheme="majorHAnsi" w:hAnsiTheme="majorHAnsi"/>
          <w:sz w:val="20"/>
          <w:szCs w:val="20"/>
        </w:rPr>
        <w:t>domestic</w:t>
      </w:r>
      <w:r w:rsidR="00DF6BE7" w:rsidRPr="00FF745E">
        <w:rPr>
          <w:rFonts w:asciiTheme="majorHAnsi" w:hAnsiTheme="majorHAnsi"/>
          <w:sz w:val="20"/>
          <w:szCs w:val="20"/>
        </w:rPr>
        <w:t>/state personnel</w:t>
      </w:r>
      <w:r w:rsidRPr="00FF745E">
        <w:rPr>
          <w:rFonts w:asciiTheme="majorHAnsi" w:hAnsiTheme="majorHAnsi"/>
          <w:sz w:val="20"/>
          <w:szCs w:val="20"/>
        </w:rPr>
        <w:t xml:space="preserve"> and communities in</w:t>
      </w:r>
      <w:r w:rsidR="00DF6BE7" w:rsidRPr="00E10F48">
        <w:rPr>
          <w:rFonts w:asciiTheme="majorHAnsi" w:hAnsiTheme="majorHAnsi"/>
          <w:sz w:val="20"/>
          <w:szCs w:val="20"/>
        </w:rPr>
        <w:t xml:space="preserve"> monitoring, surveillance and enforcement, in particular for biosecurity and IAS management</w:t>
      </w:r>
      <w:r w:rsidR="00424C10" w:rsidRPr="00E96B53">
        <w:rPr>
          <w:rFonts w:asciiTheme="majorHAnsi" w:hAnsiTheme="majorHAnsi"/>
          <w:sz w:val="20"/>
          <w:szCs w:val="20"/>
        </w:rPr>
        <w:t xml:space="preserve"> in the selected demonstration states</w:t>
      </w:r>
      <w:r w:rsidR="007A03BE">
        <w:rPr>
          <w:rFonts w:asciiTheme="majorHAnsi" w:hAnsiTheme="majorHAnsi"/>
          <w:sz w:val="20"/>
          <w:szCs w:val="20"/>
        </w:rPr>
        <w:t>; and</w:t>
      </w:r>
    </w:p>
    <w:p w14:paraId="1446361D" w14:textId="6B5C50AC" w:rsidR="00424C10" w:rsidRPr="00F372D8" w:rsidRDefault="001F1DEC" w:rsidP="00BD402F">
      <w:pPr>
        <w:pStyle w:val="ListParagraph"/>
        <w:numPr>
          <w:ilvl w:val="0"/>
          <w:numId w:val="30"/>
        </w:numPr>
        <w:jc w:val="both"/>
        <w:rPr>
          <w:rFonts w:asciiTheme="majorHAnsi" w:hAnsiTheme="majorHAnsi"/>
          <w:sz w:val="20"/>
          <w:szCs w:val="20"/>
        </w:rPr>
      </w:pPr>
      <w:r w:rsidRPr="00627E17">
        <w:rPr>
          <w:rFonts w:asciiTheme="majorHAnsi" w:hAnsiTheme="majorHAnsi"/>
          <w:sz w:val="20"/>
          <w:szCs w:val="20"/>
        </w:rPr>
        <w:t>Development of appropriate protocols/guidelines</w:t>
      </w:r>
      <w:r w:rsidR="00B02E12" w:rsidRPr="00627E17">
        <w:rPr>
          <w:rFonts w:asciiTheme="majorHAnsi" w:hAnsiTheme="majorHAnsi"/>
          <w:sz w:val="20"/>
          <w:szCs w:val="20"/>
        </w:rPr>
        <w:t xml:space="preserve"> and enforceable standards</w:t>
      </w:r>
      <w:r w:rsidRPr="00627E17">
        <w:rPr>
          <w:rFonts w:asciiTheme="majorHAnsi" w:hAnsiTheme="majorHAnsi"/>
          <w:sz w:val="20"/>
          <w:szCs w:val="20"/>
        </w:rPr>
        <w:t xml:space="preserve"> for </w:t>
      </w:r>
      <w:r w:rsidR="00B02E12" w:rsidRPr="00627E17">
        <w:rPr>
          <w:rFonts w:asciiTheme="majorHAnsi" w:hAnsiTheme="majorHAnsi"/>
          <w:sz w:val="20"/>
          <w:szCs w:val="20"/>
        </w:rPr>
        <w:t xml:space="preserve">biodiversity or </w:t>
      </w:r>
      <w:r w:rsidRPr="00627E17">
        <w:rPr>
          <w:rFonts w:asciiTheme="majorHAnsi" w:hAnsiTheme="majorHAnsi"/>
          <w:sz w:val="20"/>
          <w:szCs w:val="20"/>
        </w:rPr>
        <w:t>IAS and subsequent biosecurity measures for land and seascape restoration</w:t>
      </w:r>
      <w:r w:rsidR="007A03BE">
        <w:rPr>
          <w:rFonts w:asciiTheme="majorHAnsi" w:hAnsiTheme="majorHAnsi"/>
          <w:sz w:val="20"/>
          <w:szCs w:val="20"/>
        </w:rPr>
        <w:t>.</w:t>
      </w:r>
    </w:p>
    <w:p w14:paraId="10CC4DCC" w14:textId="77777777" w:rsidR="00442CCE" w:rsidRDefault="00442CCE" w:rsidP="00B87774">
      <w:pPr>
        <w:spacing w:after="0"/>
        <w:rPr>
          <w:sz w:val="20"/>
          <w:szCs w:val="20"/>
        </w:rPr>
      </w:pPr>
    </w:p>
    <w:p w14:paraId="6E0D2489" w14:textId="08DFBC13" w:rsidR="00B87774" w:rsidRPr="00D90FD8" w:rsidRDefault="00442CCE" w:rsidP="00D90FD8">
      <w:pPr>
        <w:rPr>
          <w:b/>
          <w:sz w:val="20"/>
          <w:szCs w:val="20"/>
        </w:rPr>
      </w:pPr>
      <w:r w:rsidRPr="00D90FD8">
        <w:rPr>
          <w:b/>
          <w:sz w:val="20"/>
          <w:szCs w:val="20"/>
        </w:rPr>
        <w:t xml:space="preserve">Component 2: </w:t>
      </w:r>
      <w:r w:rsidR="00D90FD8" w:rsidRPr="00D90FD8">
        <w:rPr>
          <w:b/>
          <w:sz w:val="20"/>
          <w:szCs w:val="20"/>
        </w:rPr>
        <w:t>Integrating biodiversity considerations into land and seascape planning and management in Babeldaob</w:t>
      </w:r>
    </w:p>
    <w:p w14:paraId="09DB0015" w14:textId="61B0F1EF" w:rsidR="00442CCE" w:rsidRPr="00256B06" w:rsidRDefault="00442CCE" w:rsidP="00442CCE">
      <w:pPr>
        <w:spacing w:after="240"/>
        <w:rPr>
          <w:rFonts w:cs="Segoe UI"/>
          <w:color w:val="000000"/>
          <w:sz w:val="20"/>
          <w:szCs w:val="20"/>
        </w:rPr>
      </w:pPr>
      <w:r w:rsidRPr="00256B06">
        <w:rPr>
          <w:rFonts w:cstheme="minorBidi"/>
          <w:color w:val="000000" w:themeColor="text1"/>
          <w:sz w:val="20"/>
          <w:szCs w:val="20"/>
        </w:rPr>
        <w:t>Total Cost: US$</w:t>
      </w:r>
      <w:r w:rsidR="00F01DC8">
        <w:rPr>
          <w:rFonts w:cstheme="minorBidi"/>
          <w:color w:val="000000" w:themeColor="text1"/>
          <w:sz w:val="20"/>
          <w:szCs w:val="20"/>
        </w:rPr>
        <w:t>6,020,000</w:t>
      </w:r>
      <w:r w:rsidRPr="00256B06">
        <w:rPr>
          <w:rFonts w:cstheme="minorBidi"/>
          <w:color w:val="000000" w:themeColor="text1"/>
          <w:sz w:val="20"/>
          <w:szCs w:val="20"/>
        </w:rPr>
        <w:t>; GEF project grant requested: US$</w:t>
      </w:r>
      <w:r w:rsidR="00F01DC8">
        <w:rPr>
          <w:rFonts w:cstheme="minorBidi"/>
          <w:color w:val="000000" w:themeColor="text1"/>
          <w:sz w:val="20"/>
          <w:szCs w:val="20"/>
        </w:rPr>
        <w:t>1,000,000</w:t>
      </w:r>
      <w:r w:rsidRPr="00256B06">
        <w:rPr>
          <w:rFonts w:cstheme="minorBidi"/>
          <w:color w:val="000000" w:themeColor="text1"/>
          <w:sz w:val="20"/>
          <w:szCs w:val="20"/>
        </w:rPr>
        <w:t>; Co-financing: US$</w:t>
      </w:r>
      <w:r w:rsidR="00F01DC8">
        <w:rPr>
          <w:rFonts w:cstheme="minorBidi"/>
          <w:color w:val="000000" w:themeColor="text1"/>
          <w:sz w:val="20"/>
          <w:szCs w:val="20"/>
        </w:rPr>
        <w:t>5,020,000</w:t>
      </w:r>
    </w:p>
    <w:p w14:paraId="093F7CCE" w14:textId="27C095C2" w:rsidR="00B87774" w:rsidRPr="005722A6" w:rsidRDefault="00B87774" w:rsidP="00B87774">
      <w:pPr>
        <w:tabs>
          <w:tab w:val="left" w:pos="144"/>
        </w:tabs>
        <w:rPr>
          <w:rFonts w:asciiTheme="majorHAnsi" w:hAnsiTheme="majorHAnsi"/>
          <w:sz w:val="20"/>
          <w:szCs w:val="20"/>
        </w:rPr>
      </w:pPr>
      <w:r w:rsidRPr="005722A6">
        <w:rPr>
          <w:rFonts w:asciiTheme="majorHAnsi" w:hAnsiTheme="majorHAnsi"/>
          <w:b/>
          <w:sz w:val="20"/>
          <w:szCs w:val="20"/>
        </w:rPr>
        <w:t xml:space="preserve">Outcome 2: </w:t>
      </w:r>
      <w:r w:rsidRPr="005722A6">
        <w:rPr>
          <w:rFonts w:asciiTheme="majorHAnsi" w:hAnsiTheme="majorHAnsi"/>
          <w:b/>
          <w:i/>
          <w:sz w:val="20"/>
          <w:szCs w:val="20"/>
        </w:rPr>
        <w:t xml:space="preserve">Integrated </w:t>
      </w:r>
      <w:r w:rsidR="0021132C">
        <w:rPr>
          <w:rFonts w:asciiTheme="majorHAnsi" w:hAnsiTheme="majorHAnsi"/>
          <w:b/>
          <w:i/>
          <w:sz w:val="20"/>
          <w:szCs w:val="20"/>
        </w:rPr>
        <w:t>multi-sector</w:t>
      </w:r>
      <w:r w:rsidRPr="005722A6">
        <w:rPr>
          <w:rFonts w:asciiTheme="majorHAnsi" w:hAnsiTheme="majorHAnsi"/>
          <w:b/>
          <w:i/>
          <w:sz w:val="20"/>
          <w:szCs w:val="20"/>
        </w:rPr>
        <w:t xml:space="preserve"> land and seascape planning and management operational in Babeldaob states to reduce threats to biodiversity and improve ecosystem services to benefit communities and state economies.</w:t>
      </w:r>
      <w:r w:rsidRPr="005722A6">
        <w:rPr>
          <w:rFonts w:asciiTheme="majorHAnsi" w:hAnsiTheme="majorHAnsi"/>
          <w:sz w:val="20"/>
          <w:szCs w:val="20"/>
        </w:rPr>
        <w:t xml:space="preserve"> </w:t>
      </w:r>
    </w:p>
    <w:p w14:paraId="63A3A700" w14:textId="77777777" w:rsidR="00B87774" w:rsidRPr="005722A6" w:rsidRDefault="00B87774" w:rsidP="00B87774">
      <w:pPr>
        <w:spacing w:after="0"/>
        <w:rPr>
          <w:rFonts w:asciiTheme="majorHAnsi" w:hAnsiTheme="majorHAnsi"/>
          <w:sz w:val="20"/>
          <w:szCs w:val="20"/>
        </w:rPr>
      </w:pPr>
    </w:p>
    <w:p w14:paraId="184AA5BC" w14:textId="223DF471" w:rsidR="00B87774" w:rsidRPr="005722A6" w:rsidRDefault="00B87774" w:rsidP="00B87774">
      <w:pPr>
        <w:spacing w:after="120" w:line="276" w:lineRule="auto"/>
        <w:rPr>
          <w:rFonts w:asciiTheme="majorHAnsi" w:hAnsiTheme="majorHAnsi"/>
          <w:i/>
          <w:sz w:val="20"/>
          <w:szCs w:val="20"/>
        </w:rPr>
      </w:pPr>
      <w:r w:rsidRPr="005722A6">
        <w:rPr>
          <w:rFonts w:asciiTheme="majorHAnsi" w:hAnsiTheme="majorHAnsi"/>
          <w:i/>
          <w:sz w:val="20"/>
          <w:szCs w:val="20"/>
        </w:rPr>
        <w:t>Baseline conditions (without GEF project):</w:t>
      </w:r>
    </w:p>
    <w:p w14:paraId="3DC2317B" w14:textId="3DD75909" w:rsidR="0057218D" w:rsidRPr="005722A6" w:rsidRDefault="004C1292" w:rsidP="00E54478">
      <w:pPr>
        <w:spacing w:after="180"/>
        <w:rPr>
          <w:rFonts w:asciiTheme="majorHAnsi" w:hAnsiTheme="majorHAnsi"/>
          <w:sz w:val="20"/>
          <w:szCs w:val="20"/>
        </w:rPr>
      </w:pPr>
      <w:r w:rsidRPr="005722A6">
        <w:rPr>
          <w:rFonts w:asciiTheme="majorHAnsi" w:hAnsiTheme="majorHAnsi"/>
          <w:sz w:val="20"/>
          <w:szCs w:val="20"/>
        </w:rPr>
        <w:t xml:space="preserve">Currently capacity for spatial and sectoral planning is housed within the National </w:t>
      </w:r>
      <w:r w:rsidR="004348B5">
        <w:rPr>
          <w:rFonts w:asciiTheme="majorHAnsi" w:hAnsiTheme="majorHAnsi"/>
          <w:sz w:val="20"/>
          <w:szCs w:val="20"/>
        </w:rPr>
        <w:t>G</w:t>
      </w:r>
      <w:r w:rsidRPr="005722A6">
        <w:rPr>
          <w:rFonts w:asciiTheme="majorHAnsi" w:hAnsiTheme="majorHAnsi"/>
          <w:sz w:val="20"/>
          <w:szCs w:val="20"/>
        </w:rPr>
        <w:t>overnment or Koror State Government. Without the GEF</w:t>
      </w:r>
      <w:r w:rsidR="00F8209B" w:rsidRPr="005722A6">
        <w:rPr>
          <w:rFonts w:asciiTheme="majorHAnsi" w:hAnsiTheme="majorHAnsi"/>
          <w:sz w:val="20"/>
          <w:szCs w:val="20"/>
        </w:rPr>
        <w:t xml:space="preserve"> </w:t>
      </w:r>
      <w:r w:rsidRPr="005722A6">
        <w:rPr>
          <w:rFonts w:asciiTheme="majorHAnsi" w:hAnsiTheme="majorHAnsi"/>
          <w:sz w:val="20"/>
          <w:szCs w:val="20"/>
        </w:rPr>
        <w:t xml:space="preserve">6 </w:t>
      </w:r>
      <w:r w:rsidR="00BC1826" w:rsidRPr="005722A6">
        <w:rPr>
          <w:rFonts w:asciiTheme="majorHAnsi" w:hAnsiTheme="majorHAnsi"/>
          <w:sz w:val="20"/>
          <w:szCs w:val="20"/>
        </w:rPr>
        <w:t xml:space="preserve">project </w:t>
      </w:r>
      <w:r w:rsidRPr="005722A6">
        <w:rPr>
          <w:rFonts w:asciiTheme="majorHAnsi" w:hAnsiTheme="majorHAnsi"/>
          <w:sz w:val="20"/>
          <w:szCs w:val="20"/>
        </w:rPr>
        <w:t xml:space="preserve">this divided </w:t>
      </w:r>
      <w:r w:rsidR="00AD1781" w:rsidRPr="005722A6">
        <w:rPr>
          <w:rFonts w:asciiTheme="majorHAnsi" w:hAnsiTheme="majorHAnsi"/>
          <w:sz w:val="20"/>
          <w:szCs w:val="20"/>
        </w:rPr>
        <w:t>i</w:t>
      </w:r>
      <w:r w:rsidR="0057218D" w:rsidRPr="005722A6">
        <w:rPr>
          <w:rFonts w:asciiTheme="majorHAnsi" w:hAnsiTheme="majorHAnsi"/>
          <w:sz w:val="20"/>
          <w:szCs w:val="20"/>
        </w:rPr>
        <w:t xml:space="preserve">nstitutional framework </w:t>
      </w:r>
      <w:r w:rsidR="007D4B60" w:rsidRPr="005722A6">
        <w:rPr>
          <w:rFonts w:asciiTheme="majorHAnsi" w:hAnsiTheme="majorHAnsi"/>
          <w:sz w:val="20"/>
          <w:szCs w:val="20"/>
        </w:rPr>
        <w:t xml:space="preserve">will </w:t>
      </w:r>
      <w:r w:rsidRPr="005722A6">
        <w:rPr>
          <w:rFonts w:asciiTheme="majorHAnsi" w:hAnsiTheme="majorHAnsi"/>
          <w:sz w:val="20"/>
          <w:szCs w:val="20"/>
        </w:rPr>
        <w:t>remain</w:t>
      </w:r>
      <w:r w:rsidR="0057218D" w:rsidRPr="005722A6">
        <w:rPr>
          <w:rFonts w:asciiTheme="majorHAnsi" w:hAnsiTheme="majorHAnsi"/>
          <w:sz w:val="20"/>
          <w:szCs w:val="20"/>
        </w:rPr>
        <w:t xml:space="preserve">. </w:t>
      </w:r>
      <w:r w:rsidR="0086491E">
        <w:rPr>
          <w:rFonts w:asciiTheme="majorHAnsi" w:hAnsiTheme="majorHAnsi"/>
          <w:sz w:val="20"/>
          <w:szCs w:val="20"/>
        </w:rPr>
        <w:t>There</w:t>
      </w:r>
      <w:r w:rsidR="00815224" w:rsidRPr="005722A6">
        <w:rPr>
          <w:rFonts w:asciiTheme="majorHAnsi" w:hAnsiTheme="majorHAnsi"/>
          <w:sz w:val="20"/>
          <w:szCs w:val="20"/>
        </w:rPr>
        <w:t xml:space="preserve"> </w:t>
      </w:r>
      <w:r w:rsidR="00BC1826" w:rsidRPr="005722A6">
        <w:rPr>
          <w:rFonts w:asciiTheme="majorHAnsi" w:hAnsiTheme="majorHAnsi"/>
          <w:sz w:val="20"/>
          <w:szCs w:val="20"/>
        </w:rPr>
        <w:t xml:space="preserve">will likely be </w:t>
      </w:r>
      <w:r w:rsidR="00815224" w:rsidRPr="005722A6">
        <w:rPr>
          <w:rFonts w:asciiTheme="majorHAnsi" w:hAnsiTheme="majorHAnsi"/>
          <w:sz w:val="20"/>
          <w:szCs w:val="20"/>
        </w:rPr>
        <w:t>little</w:t>
      </w:r>
      <w:r w:rsidR="0086491E">
        <w:rPr>
          <w:rFonts w:asciiTheme="majorHAnsi" w:hAnsiTheme="majorHAnsi"/>
          <w:sz w:val="20"/>
          <w:szCs w:val="20"/>
        </w:rPr>
        <w:t xml:space="preserve"> or no</w:t>
      </w:r>
      <w:r w:rsidR="0057218D" w:rsidRPr="005722A6">
        <w:rPr>
          <w:rFonts w:asciiTheme="majorHAnsi" w:hAnsiTheme="majorHAnsi"/>
          <w:sz w:val="20"/>
          <w:szCs w:val="20"/>
        </w:rPr>
        <w:t xml:space="preserve"> effective multi-level integration between the initiatives of the Babeldaob states and the national government </w:t>
      </w:r>
      <w:r w:rsidR="007D4B60" w:rsidRPr="005722A6">
        <w:rPr>
          <w:rFonts w:asciiTheme="majorHAnsi" w:hAnsiTheme="majorHAnsi"/>
          <w:sz w:val="20"/>
          <w:szCs w:val="20"/>
        </w:rPr>
        <w:t>nor</w:t>
      </w:r>
      <w:r w:rsidR="00815224" w:rsidRPr="005722A6">
        <w:rPr>
          <w:rFonts w:asciiTheme="majorHAnsi" w:hAnsiTheme="majorHAnsi"/>
          <w:sz w:val="20"/>
          <w:szCs w:val="20"/>
        </w:rPr>
        <w:t xml:space="preserve"> </w:t>
      </w:r>
      <w:r w:rsidR="0057218D" w:rsidRPr="005722A6">
        <w:rPr>
          <w:rFonts w:asciiTheme="majorHAnsi" w:hAnsiTheme="majorHAnsi"/>
          <w:sz w:val="20"/>
          <w:szCs w:val="20"/>
        </w:rPr>
        <w:t xml:space="preserve">effective consultation between different institutional </w:t>
      </w:r>
      <w:r w:rsidR="00815224" w:rsidRPr="005722A6">
        <w:rPr>
          <w:rFonts w:asciiTheme="majorHAnsi" w:hAnsiTheme="majorHAnsi"/>
          <w:sz w:val="20"/>
          <w:szCs w:val="20"/>
        </w:rPr>
        <w:t xml:space="preserve">sectors and </w:t>
      </w:r>
      <w:r w:rsidR="0057218D" w:rsidRPr="005722A6">
        <w:rPr>
          <w:rFonts w:asciiTheme="majorHAnsi" w:hAnsiTheme="majorHAnsi"/>
          <w:sz w:val="20"/>
          <w:szCs w:val="20"/>
        </w:rPr>
        <w:t>levels.</w:t>
      </w:r>
      <w:r w:rsidR="00AD1781" w:rsidRPr="005722A6">
        <w:rPr>
          <w:rFonts w:asciiTheme="majorHAnsi" w:hAnsiTheme="majorHAnsi"/>
          <w:sz w:val="20"/>
          <w:szCs w:val="20"/>
        </w:rPr>
        <w:t xml:space="preserve"> </w:t>
      </w:r>
      <w:r w:rsidR="00E54478" w:rsidRPr="005722A6">
        <w:rPr>
          <w:rFonts w:asciiTheme="majorHAnsi" w:hAnsiTheme="majorHAnsi"/>
          <w:sz w:val="20"/>
          <w:szCs w:val="20"/>
        </w:rPr>
        <w:t xml:space="preserve">While </w:t>
      </w:r>
      <w:r w:rsidR="00815224" w:rsidRPr="005722A6">
        <w:rPr>
          <w:rFonts w:asciiTheme="majorHAnsi" w:hAnsiTheme="majorHAnsi"/>
          <w:sz w:val="20"/>
          <w:szCs w:val="20"/>
        </w:rPr>
        <w:t>some</w:t>
      </w:r>
      <w:r w:rsidR="0057218D" w:rsidRPr="005722A6">
        <w:rPr>
          <w:rFonts w:asciiTheme="majorHAnsi" w:hAnsiTheme="majorHAnsi"/>
          <w:sz w:val="20"/>
          <w:szCs w:val="20"/>
        </w:rPr>
        <w:t xml:space="preserve"> states have elaborated planning and programming tools, mostly in the form of Master Plans</w:t>
      </w:r>
      <w:r w:rsidR="00CD2AAF" w:rsidRPr="005722A6">
        <w:rPr>
          <w:rFonts w:asciiTheme="majorHAnsi" w:hAnsiTheme="majorHAnsi"/>
          <w:sz w:val="20"/>
          <w:szCs w:val="20"/>
        </w:rPr>
        <w:t xml:space="preserve"> </w:t>
      </w:r>
      <w:r w:rsidR="00CD2AAF" w:rsidRPr="00667639">
        <w:rPr>
          <w:rFonts w:asciiTheme="majorHAnsi" w:hAnsiTheme="majorHAnsi"/>
          <w:sz w:val="20"/>
          <w:szCs w:val="20"/>
        </w:rPr>
        <w:t xml:space="preserve">(see </w:t>
      </w:r>
      <w:r w:rsidR="0024601E" w:rsidRPr="00EE26AD">
        <w:rPr>
          <w:rFonts w:asciiTheme="majorHAnsi" w:hAnsiTheme="majorHAnsi"/>
          <w:b/>
          <w:sz w:val="20"/>
          <w:szCs w:val="20"/>
        </w:rPr>
        <w:t>Annex</w:t>
      </w:r>
      <w:r w:rsidR="00815224" w:rsidRPr="00EE26AD">
        <w:rPr>
          <w:rFonts w:asciiTheme="majorHAnsi" w:hAnsiTheme="majorHAnsi"/>
          <w:b/>
          <w:sz w:val="20"/>
          <w:szCs w:val="20"/>
        </w:rPr>
        <w:t xml:space="preserve"> </w:t>
      </w:r>
      <w:r w:rsidR="00D4414E" w:rsidRPr="00EE26AD">
        <w:rPr>
          <w:rFonts w:asciiTheme="majorHAnsi" w:hAnsiTheme="majorHAnsi"/>
          <w:b/>
          <w:sz w:val="20"/>
          <w:szCs w:val="20"/>
        </w:rPr>
        <w:t>3</w:t>
      </w:r>
      <w:r w:rsidR="00CD2AAF" w:rsidRPr="00667639">
        <w:rPr>
          <w:rFonts w:asciiTheme="majorHAnsi" w:hAnsiTheme="majorHAnsi"/>
          <w:sz w:val="20"/>
          <w:szCs w:val="20"/>
        </w:rPr>
        <w:t>)</w:t>
      </w:r>
      <w:r w:rsidR="00E54478" w:rsidRPr="00667639">
        <w:rPr>
          <w:rFonts w:asciiTheme="majorHAnsi" w:hAnsiTheme="majorHAnsi"/>
          <w:sz w:val="20"/>
          <w:szCs w:val="20"/>
        </w:rPr>
        <w:t>,</w:t>
      </w:r>
      <w:r w:rsidR="00E54478" w:rsidRPr="005722A6">
        <w:rPr>
          <w:rFonts w:asciiTheme="majorHAnsi" w:hAnsiTheme="majorHAnsi"/>
          <w:sz w:val="20"/>
          <w:szCs w:val="20"/>
        </w:rPr>
        <w:t xml:space="preserve"> these </w:t>
      </w:r>
      <w:r w:rsidR="009D6FAB" w:rsidRPr="005722A6">
        <w:rPr>
          <w:rFonts w:asciiTheme="majorHAnsi" w:hAnsiTheme="majorHAnsi"/>
          <w:sz w:val="20"/>
          <w:szCs w:val="20"/>
        </w:rPr>
        <w:t xml:space="preserve">will continue to be </w:t>
      </w:r>
      <w:r w:rsidR="0057218D" w:rsidRPr="005722A6">
        <w:rPr>
          <w:rFonts w:asciiTheme="majorHAnsi" w:hAnsiTheme="majorHAnsi"/>
          <w:sz w:val="20"/>
          <w:szCs w:val="20"/>
        </w:rPr>
        <w:t>gener</w:t>
      </w:r>
      <w:r w:rsidR="009D6FAB" w:rsidRPr="005722A6">
        <w:rPr>
          <w:rFonts w:asciiTheme="majorHAnsi" w:hAnsiTheme="majorHAnsi"/>
          <w:sz w:val="20"/>
          <w:szCs w:val="20"/>
        </w:rPr>
        <w:t>ic</w:t>
      </w:r>
      <w:r w:rsidR="0057218D" w:rsidRPr="005722A6">
        <w:rPr>
          <w:rFonts w:asciiTheme="majorHAnsi" w:hAnsiTheme="majorHAnsi"/>
          <w:sz w:val="20"/>
          <w:szCs w:val="20"/>
        </w:rPr>
        <w:t xml:space="preserve"> </w:t>
      </w:r>
      <w:r w:rsidR="009D6FAB" w:rsidRPr="005722A6">
        <w:rPr>
          <w:rFonts w:asciiTheme="majorHAnsi" w:hAnsiTheme="majorHAnsi"/>
          <w:sz w:val="20"/>
          <w:szCs w:val="20"/>
        </w:rPr>
        <w:t xml:space="preserve">in nature and lack </w:t>
      </w:r>
      <w:r w:rsidR="0057218D" w:rsidRPr="005722A6">
        <w:rPr>
          <w:rFonts w:asciiTheme="majorHAnsi" w:hAnsiTheme="majorHAnsi"/>
          <w:sz w:val="20"/>
          <w:szCs w:val="20"/>
        </w:rPr>
        <w:t xml:space="preserve">obligations and commitments </w:t>
      </w:r>
      <w:r w:rsidR="009D6FAB" w:rsidRPr="005722A6">
        <w:rPr>
          <w:rFonts w:asciiTheme="majorHAnsi" w:hAnsiTheme="majorHAnsi"/>
          <w:sz w:val="20"/>
          <w:szCs w:val="20"/>
        </w:rPr>
        <w:t>to</w:t>
      </w:r>
      <w:r w:rsidR="0057218D" w:rsidRPr="005722A6">
        <w:rPr>
          <w:rFonts w:asciiTheme="majorHAnsi" w:hAnsiTheme="majorHAnsi"/>
          <w:sz w:val="20"/>
          <w:szCs w:val="20"/>
        </w:rPr>
        <w:t xml:space="preserve"> its execution.</w:t>
      </w:r>
      <w:r w:rsidR="009D6FAB" w:rsidRPr="005722A6">
        <w:rPr>
          <w:rFonts w:asciiTheme="majorHAnsi" w:hAnsiTheme="majorHAnsi"/>
          <w:sz w:val="20"/>
          <w:szCs w:val="20"/>
        </w:rPr>
        <w:t xml:space="preserve"> </w:t>
      </w:r>
      <w:r w:rsidR="00815224" w:rsidRPr="005722A6">
        <w:rPr>
          <w:rFonts w:asciiTheme="majorHAnsi" w:hAnsiTheme="majorHAnsi"/>
          <w:sz w:val="20"/>
          <w:szCs w:val="20"/>
        </w:rPr>
        <w:t xml:space="preserve">These </w:t>
      </w:r>
      <w:r w:rsidR="0057218D" w:rsidRPr="005722A6">
        <w:rPr>
          <w:rFonts w:asciiTheme="majorHAnsi" w:hAnsiTheme="majorHAnsi"/>
          <w:sz w:val="20"/>
          <w:szCs w:val="20"/>
        </w:rPr>
        <w:t xml:space="preserve">plans </w:t>
      </w:r>
      <w:r w:rsidR="009D6FAB" w:rsidRPr="005722A6">
        <w:rPr>
          <w:rFonts w:asciiTheme="majorHAnsi" w:hAnsiTheme="majorHAnsi"/>
          <w:sz w:val="20"/>
          <w:szCs w:val="20"/>
        </w:rPr>
        <w:t xml:space="preserve">will continue to be developed </w:t>
      </w:r>
      <w:r w:rsidR="0057218D" w:rsidRPr="005722A6">
        <w:rPr>
          <w:rFonts w:asciiTheme="majorHAnsi" w:hAnsiTheme="majorHAnsi"/>
          <w:sz w:val="20"/>
          <w:szCs w:val="20"/>
        </w:rPr>
        <w:t>without land use zoning, business/financial plan</w:t>
      </w:r>
      <w:r w:rsidR="00815224" w:rsidRPr="005722A6">
        <w:rPr>
          <w:rFonts w:asciiTheme="majorHAnsi" w:hAnsiTheme="majorHAnsi"/>
          <w:sz w:val="20"/>
          <w:szCs w:val="20"/>
        </w:rPr>
        <w:t xml:space="preserve">s, or an action plan </w:t>
      </w:r>
      <w:r w:rsidR="0057218D" w:rsidRPr="005722A6">
        <w:rPr>
          <w:rFonts w:asciiTheme="majorHAnsi" w:hAnsiTheme="majorHAnsi"/>
          <w:sz w:val="20"/>
          <w:szCs w:val="20"/>
        </w:rPr>
        <w:t xml:space="preserve">for implementation. </w:t>
      </w:r>
    </w:p>
    <w:p w14:paraId="2D0D1D1A" w14:textId="4DF4CDCA" w:rsidR="0057218D" w:rsidRPr="005722A6" w:rsidRDefault="00D56DB5" w:rsidP="009B059B">
      <w:pPr>
        <w:spacing w:after="180"/>
        <w:rPr>
          <w:rFonts w:asciiTheme="majorHAnsi" w:hAnsiTheme="majorHAnsi"/>
          <w:sz w:val="20"/>
          <w:szCs w:val="20"/>
        </w:rPr>
      </w:pPr>
      <w:r w:rsidRPr="005722A6">
        <w:rPr>
          <w:rFonts w:asciiTheme="majorHAnsi" w:hAnsiTheme="majorHAnsi"/>
          <w:sz w:val="20"/>
          <w:szCs w:val="20"/>
        </w:rPr>
        <w:t xml:space="preserve">While, the </w:t>
      </w:r>
      <w:r w:rsidR="0057218D" w:rsidRPr="005722A6">
        <w:rPr>
          <w:rFonts w:asciiTheme="majorHAnsi" w:hAnsiTheme="majorHAnsi"/>
          <w:sz w:val="20"/>
          <w:szCs w:val="20"/>
        </w:rPr>
        <w:t>P</w:t>
      </w:r>
      <w:r w:rsidRPr="005722A6">
        <w:rPr>
          <w:rFonts w:asciiTheme="majorHAnsi" w:hAnsiTheme="majorHAnsi"/>
          <w:sz w:val="20"/>
          <w:szCs w:val="20"/>
        </w:rPr>
        <w:t xml:space="preserve">rotected Area Network (PAN) </w:t>
      </w:r>
      <w:r w:rsidR="0057218D" w:rsidRPr="005722A6">
        <w:rPr>
          <w:rFonts w:asciiTheme="majorHAnsi" w:hAnsiTheme="majorHAnsi"/>
          <w:sz w:val="20"/>
          <w:szCs w:val="20"/>
        </w:rPr>
        <w:t xml:space="preserve">is currently the spine of biodiversity conservation </w:t>
      </w:r>
      <w:r w:rsidR="00815224" w:rsidRPr="005722A6">
        <w:rPr>
          <w:rFonts w:asciiTheme="majorHAnsi" w:hAnsiTheme="majorHAnsi"/>
          <w:sz w:val="20"/>
          <w:szCs w:val="20"/>
        </w:rPr>
        <w:t xml:space="preserve">in Palau, there is </w:t>
      </w:r>
      <w:r w:rsidR="0057218D" w:rsidRPr="005722A6">
        <w:rPr>
          <w:rFonts w:asciiTheme="majorHAnsi" w:hAnsiTheme="majorHAnsi"/>
          <w:sz w:val="20"/>
          <w:szCs w:val="20"/>
        </w:rPr>
        <w:t xml:space="preserve">no effective ecological </w:t>
      </w:r>
      <w:r w:rsidR="00A4196A">
        <w:rPr>
          <w:rFonts w:asciiTheme="majorHAnsi" w:hAnsiTheme="majorHAnsi"/>
          <w:sz w:val="20"/>
          <w:szCs w:val="20"/>
        </w:rPr>
        <w:t xml:space="preserve">connectivity </w:t>
      </w:r>
      <w:r w:rsidR="0057218D" w:rsidRPr="005722A6">
        <w:rPr>
          <w:rFonts w:asciiTheme="majorHAnsi" w:hAnsiTheme="majorHAnsi"/>
          <w:sz w:val="20"/>
          <w:szCs w:val="20"/>
        </w:rPr>
        <w:t xml:space="preserve">between </w:t>
      </w:r>
      <w:r w:rsidR="00E54478" w:rsidRPr="005722A6">
        <w:rPr>
          <w:rFonts w:asciiTheme="majorHAnsi" w:hAnsiTheme="majorHAnsi"/>
          <w:sz w:val="20"/>
          <w:szCs w:val="20"/>
        </w:rPr>
        <w:t xml:space="preserve">PAN </w:t>
      </w:r>
      <w:r w:rsidR="00815224" w:rsidRPr="005722A6">
        <w:rPr>
          <w:rFonts w:asciiTheme="majorHAnsi" w:hAnsiTheme="majorHAnsi"/>
          <w:sz w:val="20"/>
          <w:szCs w:val="20"/>
        </w:rPr>
        <w:t xml:space="preserve">sites </w:t>
      </w:r>
      <w:r w:rsidR="00A4196A">
        <w:rPr>
          <w:rFonts w:asciiTheme="majorHAnsi" w:hAnsiTheme="majorHAnsi"/>
          <w:sz w:val="20"/>
          <w:szCs w:val="20"/>
        </w:rPr>
        <w:t>or</w:t>
      </w:r>
      <w:r w:rsidR="0057218D" w:rsidRPr="005722A6">
        <w:rPr>
          <w:rFonts w:asciiTheme="majorHAnsi" w:hAnsiTheme="majorHAnsi"/>
          <w:sz w:val="20"/>
          <w:szCs w:val="20"/>
        </w:rPr>
        <w:t xml:space="preserve"> implementation of conservation policies</w:t>
      </w:r>
      <w:r w:rsidR="00815224" w:rsidRPr="005722A6">
        <w:rPr>
          <w:rFonts w:asciiTheme="majorHAnsi" w:hAnsiTheme="majorHAnsi"/>
          <w:sz w:val="20"/>
          <w:szCs w:val="20"/>
        </w:rPr>
        <w:t xml:space="preserve"> at land</w:t>
      </w:r>
      <w:r w:rsidR="00F95967" w:rsidRPr="005722A6">
        <w:rPr>
          <w:rFonts w:asciiTheme="majorHAnsi" w:hAnsiTheme="majorHAnsi"/>
          <w:sz w:val="20"/>
          <w:szCs w:val="20"/>
        </w:rPr>
        <w:t>/seascape</w:t>
      </w:r>
      <w:r w:rsidR="00815224" w:rsidRPr="005722A6">
        <w:rPr>
          <w:rFonts w:asciiTheme="majorHAnsi" w:hAnsiTheme="majorHAnsi"/>
          <w:sz w:val="20"/>
          <w:szCs w:val="20"/>
        </w:rPr>
        <w:t xml:space="preserve"> scale</w:t>
      </w:r>
      <w:r w:rsidR="00A4196A">
        <w:rPr>
          <w:rFonts w:asciiTheme="majorHAnsi" w:hAnsiTheme="majorHAnsi"/>
          <w:sz w:val="20"/>
          <w:szCs w:val="20"/>
        </w:rPr>
        <w:t>s</w:t>
      </w:r>
      <w:r w:rsidR="0057218D" w:rsidRPr="005722A6">
        <w:rPr>
          <w:rFonts w:asciiTheme="majorHAnsi" w:hAnsiTheme="majorHAnsi"/>
          <w:sz w:val="20"/>
          <w:szCs w:val="20"/>
        </w:rPr>
        <w:t xml:space="preserve">. </w:t>
      </w:r>
      <w:r w:rsidR="00815224" w:rsidRPr="005722A6">
        <w:rPr>
          <w:rFonts w:asciiTheme="majorHAnsi" w:hAnsiTheme="majorHAnsi"/>
          <w:sz w:val="20"/>
          <w:szCs w:val="20"/>
        </w:rPr>
        <w:t xml:space="preserve">Thus the </w:t>
      </w:r>
      <w:r w:rsidR="0057218D" w:rsidRPr="005722A6">
        <w:rPr>
          <w:rFonts w:asciiTheme="majorHAnsi" w:hAnsiTheme="majorHAnsi"/>
          <w:sz w:val="20"/>
          <w:szCs w:val="20"/>
        </w:rPr>
        <w:t>PAN</w:t>
      </w:r>
      <w:r w:rsidR="007D4B60" w:rsidRPr="005722A6">
        <w:rPr>
          <w:rFonts w:asciiTheme="majorHAnsi" w:hAnsiTheme="majorHAnsi"/>
          <w:sz w:val="20"/>
          <w:szCs w:val="20"/>
        </w:rPr>
        <w:t xml:space="preserve"> by itself</w:t>
      </w:r>
      <w:r w:rsidR="0057218D" w:rsidRPr="005722A6">
        <w:rPr>
          <w:rFonts w:asciiTheme="majorHAnsi" w:hAnsiTheme="majorHAnsi"/>
          <w:sz w:val="20"/>
          <w:szCs w:val="20"/>
        </w:rPr>
        <w:t xml:space="preserve"> </w:t>
      </w:r>
      <w:r w:rsidR="00A4196A">
        <w:rPr>
          <w:rFonts w:asciiTheme="majorHAnsi" w:hAnsiTheme="majorHAnsi"/>
          <w:sz w:val="20"/>
          <w:szCs w:val="20"/>
        </w:rPr>
        <w:t>does not</w:t>
      </w:r>
      <w:r w:rsidR="0057218D" w:rsidRPr="005722A6">
        <w:rPr>
          <w:rFonts w:asciiTheme="majorHAnsi" w:hAnsiTheme="majorHAnsi"/>
          <w:sz w:val="20"/>
          <w:szCs w:val="20"/>
        </w:rPr>
        <w:t xml:space="preserve"> guarantee the long-term conservation of biodiversity and ecosystem services </w:t>
      </w:r>
      <w:r w:rsidR="00815224" w:rsidRPr="005722A6">
        <w:rPr>
          <w:rFonts w:asciiTheme="majorHAnsi" w:hAnsiTheme="majorHAnsi"/>
          <w:sz w:val="20"/>
          <w:szCs w:val="20"/>
        </w:rPr>
        <w:t xml:space="preserve">for </w:t>
      </w:r>
      <w:r w:rsidR="0057218D" w:rsidRPr="005722A6">
        <w:rPr>
          <w:rFonts w:asciiTheme="majorHAnsi" w:hAnsiTheme="majorHAnsi"/>
          <w:sz w:val="20"/>
          <w:szCs w:val="20"/>
        </w:rPr>
        <w:t>the entire Babeldaob Island</w:t>
      </w:r>
      <w:r w:rsidR="00A4196A">
        <w:rPr>
          <w:rFonts w:asciiTheme="majorHAnsi" w:hAnsiTheme="majorHAnsi"/>
          <w:sz w:val="20"/>
          <w:szCs w:val="20"/>
        </w:rPr>
        <w:t>. Moreover</w:t>
      </w:r>
      <w:r w:rsidR="0057218D" w:rsidRPr="005722A6">
        <w:rPr>
          <w:rFonts w:asciiTheme="majorHAnsi" w:hAnsiTheme="majorHAnsi"/>
          <w:sz w:val="20"/>
          <w:szCs w:val="20"/>
        </w:rPr>
        <w:t xml:space="preserve">, many areas </w:t>
      </w:r>
      <w:r w:rsidR="00A4196A">
        <w:rPr>
          <w:rFonts w:asciiTheme="majorHAnsi" w:hAnsiTheme="majorHAnsi"/>
          <w:sz w:val="20"/>
          <w:szCs w:val="20"/>
        </w:rPr>
        <w:t xml:space="preserve">of conservation importance </w:t>
      </w:r>
      <w:r w:rsidR="0057218D" w:rsidRPr="005722A6">
        <w:rPr>
          <w:rFonts w:asciiTheme="majorHAnsi" w:hAnsiTheme="majorHAnsi"/>
          <w:sz w:val="20"/>
          <w:szCs w:val="20"/>
        </w:rPr>
        <w:t xml:space="preserve">are excluded </w:t>
      </w:r>
      <w:r w:rsidR="007D4B60" w:rsidRPr="005722A6">
        <w:rPr>
          <w:rFonts w:asciiTheme="majorHAnsi" w:hAnsiTheme="majorHAnsi"/>
          <w:sz w:val="20"/>
          <w:szCs w:val="20"/>
        </w:rPr>
        <w:t>from</w:t>
      </w:r>
      <w:r w:rsidR="0057218D" w:rsidRPr="005722A6">
        <w:rPr>
          <w:rFonts w:asciiTheme="majorHAnsi" w:hAnsiTheme="majorHAnsi"/>
          <w:sz w:val="20"/>
          <w:szCs w:val="20"/>
        </w:rPr>
        <w:t xml:space="preserve"> PAN</w:t>
      </w:r>
      <w:r w:rsidR="00194AA1">
        <w:rPr>
          <w:rFonts w:asciiTheme="majorHAnsi" w:hAnsiTheme="majorHAnsi"/>
          <w:sz w:val="20"/>
          <w:szCs w:val="20"/>
        </w:rPr>
        <w:t xml:space="preserve">. </w:t>
      </w:r>
      <w:r w:rsidR="0057218D" w:rsidRPr="005722A6">
        <w:rPr>
          <w:rFonts w:asciiTheme="majorHAnsi" w:hAnsiTheme="majorHAnsi"/>
          <w:sz w:val="20"/>
          <w:szCs w:val="20"/>
        </w:rPr>
        <w:t>Environmental compliance in Babeldaob Island</w:t>
      </w:r>
      <w:r w:rsidR="004C177B">
        <w:rPr>
          <w:rFonts w:asciiTheme="majorHAnsi" w:hAnsiTheme="majorHAnsi"/>
          <w:sz w:val="20"/>
          <w:szCs w:val="20"/>
        </w:rPr>
        <w:t xml:space="preserve"> and</w:t>
      </w:r>
      <w:r w:rsidR="0057218D" w:rsidRPr="005722A6">
        <w:rPr>
          <w:rFonts w:asciiTheme="majorHAnsi" w:hAnsiTheme="majorHAnsi"/>
          <w:sz w:val="20"/>
          <w:szCs w:val="20"/>
        </w:rPr>
        <w:t xml:space="preserve"> the rest of the </w:t>
      </w:r>
      <w:r w:rsidR="003B70FC">
        <w:rPr>
          <w:rFonts w:asciiTheme="majorHAnsi" w:hAnsiTheme="majorHAnsi"/>
          <w:sz w:val="20"/>
          <w:szCs w:val="20"/>
        </w:rPr>
        <w:t>c</w:t>
      </w:r>
      <w:r w:rsidR="0057218D" w:rsidRPr="005722A6">
        <w:rPr>
          <w:rFonts w:asciiTheme="majorHAnsi" w:hAnsiTheme="majorHAnsi"/>
          <w:sz w:val="20"/>
          <w:szCs w:val="20"/>
        </w:rPr>
        <w:t xml:space="preserve">ountry, </w:t>
      </w:r>
      <w:r w:rsidR="00AD1781" w:rsidRPr="005722A6">
        <w:rPr>
          <w:rFonts w:asciiTheme="majorHAnsi" w:hAnsiTheme="majorHAnsi"/>
          <w:sz w:val="20"/>
          <w:szCs w:val="20"/>
        </w:rPr>
        <w:t>as</w:t>
      </w:r>
      <w:r w:rsidR="0057218D" w:rsidRPr="005722A6">
        <w:rPr>
          <w:rFonts w:asciiTheme="majorHAnsi" w:hAnsiTheme="majorHAnsi"/>
          <w:sz w:val="20"/>
          <w:szCs w:val="20"/>
        </w:rPr>
        <w:t xml:space="preserve"> demanded </w:t>
      </w:r>
      <w:r w:rsidR="00E54478" w:rsidRPr="005722A6">
        <w:rPr>
          <w:rFonts w:asciiTheme="majorHAnsi" w:hAnsiTheme="majorHAnsi"/>
          <w:sz w:val="20"/>
          <w:szCs w:val="20"/>
        </w:rPr>
        <w:t xml:space="preserve">by </w:t>
      </w:r>
      <w:r w:rsidR="0057218D" w:rsidRPr="005722A6">
        <w:rPr>
          <w:rFonts w:asciiTheme="majorHAnsi" w:hAnsiTheme="majorHAnsi"/>
          <w:sz w:val="20"/>
          <w:szCs w:val="20"/>
        </w:rPr>
        <w:t>the E</w:t>
      </w:r>
      <w:r w:rsidR="00F95967" w:rsidRPr="005722A6">
        <w:rPr>
          <w:rFonts w:asciiTheme="majorHAnsi" w:hAnsiTheme="majorHAnsi"/>
          <w:sz w:val="20"/>
          <w:szCs w:val="20"/>
        </w:rPr>
        <w:t>I</w:t>
      </w:r>
      <w:r w:rsidR="0057218D" w:rsidRPr="005722A6">
        <w:rPr>
          <w:rFonts w:asciiTheme="majorHAnsi" w:hAnsiTheme="majorHAnsi"/>
          <w:sz w:val="20"/>
          <w:szCs w:val="20"/>
        </w:rPr>
        <w:t xml:space="preserve">A and EIS processes, </w:t>
      </w:r>
      <w:r w:rsidR="00AD1781" w:rsidRPr="005722A6">
        <w:rPr>
          <w:rFonts w:asciiTheme="majorHAnsi" w:hAnsiTheme="majorHAnsi"/>
          <w:sz w:val="20"/>
          <w:szCs w:val="20"/>
        </w:rPr>
        <w:t xml:space="preserve">will continue to be restricted to </w:t>
      </w:r>
      <w:r w:rsidR="004C177B">
        <w:rPr>
          <w:rFonts w:asciiTheme="majorHAnsi" w:hAnsiTheme="majorHAnsi"/>
          <w:sz w:val="20"/>
          <w:szCs w:val="20"/>
        </w:rPr>
        <w:t xml:space="preserve">individual </w:t>
      </w:r>
      <w:r w:rsidR="00A4196A">
        <w:rPr>
          <w:rFonts w:asciiTheme="majorHAnsi" w:hAnsiTheme="majorHAnsi"/>
          <w:sz w:val="20"/>
          <w:szCs w:val="20"/>
        </w:rPr>
        <w:t>projects</w:t>
      </w:r>
      <w:r w:rsidR="004C177B">
        <w:rPr>
          <w:rFonts w:asciiTheme="majorHAnsi" w:hAnsiTheme="majorHAnsi"/>
          <w:sz w:val="20"/>
          <w:szCs w:val="20"/>
        </w:rPr>
        <w:t xml:space="preserve"> at specific</w:t>
      </w:r>
      <w:r w:rsidR="0057218D" w:rsidRPr="005722A6">
        <w:rPr>
          <w:rFonts w:asciiTheme="majorHAnsi" w:hAnsiTheme="majorHAnsi"/>
          <w:sz w:val="20"/>
          <w:szCs w:val="20"/>
        </w:rPr>
        <w:t xml:space="preserve"> site</w:t>
      </w:r>
      <w:r w:rsidR="004C177B">
        <w:rPr>
          <w:rFonts w:asciiTheme="majorHAnsi" w:hAnsiTheme="majorHAnsi"/>
          <w:sz w:val="20"/>
          <w:szCs w:val="20"/>
        </w:rPr>
        <w:t xml:space="preserve">s. There is no mechanism to ensure a more holistic, </w:t>
      </w:r>
      <w:r w:rsidR="0057218D" w:rsidRPr="005722A6">
        <w:rPr>
          <w:rFonts w:asciiTheme="majorHAnsi" w:hAnsiTheme="majorHAnsi"/>
          <w:sz w:val="20"/>
          <w:szCs w:val="20"/>
        </w:rPr>
        <w:t xml:space="preserve">sustainable </w:t>
      </w:r>
      <w:r w:rsidR="004C177B">
        <w:rPr>
          <w:rFonts w:asciiTheme="majorHAnsi" w:hAnsiTheme="majorHAnsi"/>
          <w:sz w:val="20"/>
          <w:szCs w:val="20"/>
        </w:rPr>
        <w:t xml:space="preserve">approach to </w:t>
      </w:r>
      <w:r w:rsidR="004C177B" w:rsidRPr="005722A6">
        <w:rPr>
          <w:rFonts w:asciiTheme="majorHAnsi" w:hAnsiTheme="majorHAnsi"/>
          <w:sz w:val="20"/>
          <w:szCs w:val="20"/>
        </w:rPr>
        <w:t>the Island</w:t>
      </w:r>
      <w:r w:rsidR="004C177B">
        <w:rPr>
          <w:rFonts w:asciiTheme="majorHAnsi" w:hAnsiTheme="majorHAnsi"/>
          <w:sz w:val="20"/>
          <w:szCs w:val="20"/>
        </w:rPr>
        <w:t>’s</w:t>
      </w:r>
      <w:r w:rsidR="004C177B" w:rsidRPr="005722A6">
        <w:rPr>
          <w:rFonts w:asciiTheme="majorHAnsi" w:hAnsiTheme="majorHAnsi"/>
          <w:sz w:val="20"/>
          <w:szCs w:val="20"/>
        </w:rPr>
        <w:t xml:space="preserve"> </w:t>
      </w:r>
      <w:r w:rsidR="0057218D" w:rsidRPr="005722A6">
        <w:rPr>
          <w:rFonts w:asciiTheme="majorHAnsi" w:hAnsiTheme="majorHAnsi"/>
          <w:sz w:val="20"/>
          <w:szCs w:val="20"/>
        </w:rPr>
        <w:t xml:space="preserve">development </w:t>
      </w:r>
      <w:r w:rsidR="004C177B">
        <w:rPr>
          <w:rFonts w:asciiTheme="majorHAnsi" w:hAnsiTheme="majorHAnsi"/>
          <w:sz w:val="20"/>
          <w:szCs w:val="20"/>
        </w:rPr>
        <w:t>that considers the</w:t>
      </w:r>
      <w:r w:rsidR="0057218D" w:rsidRPr="005722A6">
        <w:rPr>
          <w:rFonts w:asciiTheme="majorHAnsi" w:hAnsiTheme="majorHAnsi"/>
          <w:sz w:val="20"/>
          <w:szCs w:val="20"/>
        </w:rPr>
        <w:t xml:space="preserve"> cumulative environmental impacts </w:t>
      </w:r>
      <w:r w:rsidR="004C177B">
        <w:rPr>
          <w:rFonts w:asciiTheme="majorHAnsi" w:hAnsiTheme="majorHAnsi"/>
          <w:sz w:val="20"/>
          <w:szCs w:val="20"/>
        </w:rPr>
        <w:t>arising</w:t>
      </w:r>
      <w:r w:rsidR="0057218D" w:rsidRPr="005722A6">
        <w:rPr>
          <w:rFonts w:asciiTheme="majorHAnsi" w:hAnsiTheme="majorHAnsi"/>
          <w:sz w:val="20"/>
          <w:szCs w:val="20"/>
        </w:rPr>
        <w:t xml:space="preserve"> from </w:t>
      </w:r>
      <w:r w:rsidR="004C177B">
        <w:rPr>
          <w:rFonts w:asciiTheme="majorHAnsi" w:hAnsiTheme="majorHAnsi"/>
          <w:sz w:val="20"/>
          <w:szCs w:val="20"/>
        </w:rPr>
        <w:t xml:space="preserve">a spectrum of </w:t>
      </w:r>
      <w:r w:rsidR="0057218D" w:rsidRPr="005722A6">
        <w:rPr>
          <w:rFonts w:asciiTheme="majorHAnsi" w:hAnsiTheme="majorHAnsi"/>
          <w:sz w:val="20"/>
          <w:szCs w:val="20"/>
        </w:rPr>
        <w:t xml:space="preserve">different </w:t>
      </w:r>
      <w:r w:rsidR="004C177B">
        <w:rPr>
          <w:rFonts w:asciiTheme="majorHAnsi" w:hAnsiTheme="majorHAnsi"/>
          <w:sz w:val="20"/>
          <w:szCs w:val="20"/>
        </w:rPr>
        <w:t>interventions across multiple sectors</w:t>
      </w:r>
      <w:r w:rsidR="0057218D" w:rsidRPr="005722A6">
        <w:rPr>
          <w:rFonts w:asciiTheme="majorHAnsi" w:hAnsiTheme="majorHAnsi"/>
          <w:sz w:val="20"/>
          <w:szCs w:val="20"/>
        </w:rPr>
        <w:t>.</w:t>
      </w:r>
      <w:r w:rsidR="00815224" w:rsidRPr="005722A6">
        <w:rPr>
          <w:rFonts w:asciiTheme="majorHAnsi" w:hAnsiTheme="majorHAnsi"/>
          <w:sz w:val="20"/>
          <w:szCs w:val="20"/>
        </w:rPr>
        <w:t xml:space="preserve"> Thus, </w:t>
      </w:r>
      <w:r w:rsidR="0057218D" w:rsidRPr="005722A6">
        <w:rPr>
          <w:rFonts w:asciiTheme="majorHAnsi" w:hAnsiTheme="majorHAnsi"/>
          <w:sz w:val="20"/>
          <w:szCs w:val="20"/>
        </w:rPr>
        <w:t xml:space="preserve">despite significant effort and commitment of national and state governments in matters of spatial and sectoral planning, two </w:t>
      </w:r>
      <w:r w:rsidR="00E54478" w:rsidRPr="005722A6">
        <w:rPr>
          <w:rFonts w:asciiTheme="majorHAnsi" w:hAnsiTheme="majorHAnsi"/>
          <w:sz w:val="20"/>
          <w:szCs w:val="20"/>
        </w:rPr>
        <w:t>weaknesses</w:t>
      </w:r>
      <w:r w:rsidR="0057218D" w:rsidRPr="005722A6">
        <w:rPr>
          <w:rFonts w:asciiTheme="majorHAnsi" w:hAnsiTheme="majorHAnsi"/>
          <w:sz w:val="20"/>
          <w:szCs w:val="20"/>
        </w:rPr>
        <w:t xml:space="preserve"> </w:t>
      </w:r>
      <w:r w:rsidR="00E54478" w:rsidRPr="005722A6">
        <w:rPr>
          <w:rFonts w:asciiTheme="majorHAnsi" w:hAnsiTheme="majorHAnsi"/>
          <w:sz w:val="20"/>
          <w:szCs w:val="20"/>
        </w:rPr>
        <w:lastRenderedPageBreak/>
        <w:t xml:space="preserve">will likely </w:t>
      </w:r>
      <w:r w:rsidR="004C177B">
        <w:rPr>
          <w:rFonts w:asciiTheme="majorHAnsi" w:hAnsiTheme="majorHAnsi"/>
          <w:sz w:val="20"/>
          <w:szCs w:val="20"/>
        </w:rPr>
        <w:t>persist</w:t>
      </w:r>
      <w:r w:rsidR="0057218D" w:rsidRPr="005722A6">
        <w:rPr>
          <w:rFonts w:asciiTheme="majorHAnsi" w:hAnsiTheme="majorHAnsi"/>
          <w:sz w:val="20"/>
          <w:szCs w:val="20"/>
        </w:rPr>
        <w:t>:</w:t>
      </w:r>
      <w:r w:rsidR="00815224" w:rsidRPr="005722A6">
        <w:rPr>
          <w:rFonts w:asciiTheme="majorHAnsi" w:hAnsiTheme="majorHAnsi"/>
          <w:sz w:val="20"/>
          <w:szCs w:val="20"/>
        </w:rPr>
        <w:t xml:space="preserve"> (i) </w:t>
      </w:r>
      <w:r w:rsidR="0057218D" w:rsidRPr="005722A6">
        <w:rPr>
          <w:rFonts w:asciiTheme="majorHAnsi" w:hAnsiTheme="majorHAnsi"/>
          <w:sz w:val="20"/>
          <w:szCs w:val="20"/>
        </w:rPr>
        <w:t>lack of integration between national and states policies and strategies in key sectors</w:t>
      </w:r>
      <w:r w:rsidR="00E54478" w:rsidRPr="005722A6">
        <w:rPr>
          <w:rFonts w:asciiTheme="majorHAnsi" w:hAnsiTheme="majorHAnsi"/>
          <w:sz w:val="20"/>
          <w:szCs w:val="20"/>
        </w:rPr>
        <w:t xml:space="preserve">; </w:t>
      </w:r>
      <w:r w:rsidR="0057218D" w:rsidRPr="005722A6">
        <w:rPr>
          <w:rFonts w:asciiTheme="majorHAnsi" w:hAnsiTheme="majorHAnsi"/>
          <w:sz w:val="20"/>
          <w:szCs w:val="20"/>
        </w:rPr>
        <w:t>an</w:t>
      </w:r>
      <w:r w:rsidR="00E54478" w:rsidRPr="005722A6">
        <w:rPr>
          <w:rFonts w:asciiTheme="majorHAnsi" w:hAnsiTheme="majorHAnsi"/>
          <w:sz w:val="20"/>
          <w:szCs w:val="20"/>
        </w:rPr>
        <w:t>d</w:t>
      </w:r>
      <w:r w:rsidR="00815224" w:rsidRPr="005722A6">
        <w:rPr>
          <w:rFonts w:asciiTheme="majorHAnsi" w:hAnsiTheme="majorHAnsi"/>
          <w:sz w:val="20"/>
          <w:szCs w:val="20"/>
        </w:rPr>
        <w:t xml:space="preserve"> (ii) t</w:t>
      </w:r>
      <w:r w:rsidR="0057218D" w:rsidRPr="005722A6">
        <w:rPr>
          <w:rFonts w:asciiTheme="majorHAnsi" w:hAnsiTheme="majorHAnsi"/>
          <w:sz w:val="20"/>
          <w:szCs w:val="20"/>
        </w:rPr>
        <w:t xml:space="preserve">he absence of spatial planning tools </w:t>
      </w:r>
      <w:r w:rsidR="004C177B">
        <w:rPr>
          <w:rFonts w:asciiTheme="majorHAnsi" w:hAnsiTheme="majorHAnsi"/>
          <w:sz w:val="20"/>
          <w:szCs w:val="20"/>
        </w:rPr>
        <w:t xml:space="preserve">applied at </w:t>
      </w:r>
      <w:r w:rsidR="0057218D" w:rsidRPr="005722A6">
        <w:rPr>
          <w:rFonts w:asciiTheme="majorHAnsi" w:hAnsiTheme="majorHAnsi"/>
          <w:sz w:val="20"/>
          <w:szCs w:val="20"/>
        </w:rPr>
        <w:t>large scale</w:t>
      </w:r>
      <w:r w:rsidR="004C177B">
        <w:rPr>
          <w:rFonts w:asciiTheme="majorHAnsi" w:hAnsiTheme="majorHAnsi"/>
          <w:sz w:val="20"/>
          <w:szCs w:val="20"/>
        </w:rPr>
        <w:t>s</w:t>
      </w:r>
      <w:r w:rsidR="0057218D" w:rsidRPr="005722A6">
        <w:rPr>
          <w:rFonts w:asciiTheme="majorHAnsi" w:hAnsiTheme="majorHAnsi"/>
          <w:sz w:val="20"/>
          <w:szCs w:val="20"/>
        </w:rPr>
        <w:t xml:space="preserve"> (land/seascape</w:t>
      </w:r>
      <w:r w:rsidR="004C177B">
        <w:rPr>
          <w:rFonts w:asciiTheme="majorHAnsi" w:hAnsiTheme="majorHAnsi"/>
          <w:sz w:val="20"/>
          <w:szCs w:val="20"/>
        </w:rPr>
        <w:t>s</w:t>
      </w:r>
      <w:r w:rsidR="0057218D" w:rsidRPr="005722A6">
        <w:rPr>
          <w:rFonts w:asciiTheme="majorHAnsi" w:hAnsiTheme="majorHAnsi"/>
          <w:sz w:val="20"/>
          <w:szCs w:val="20"/>
        </w:rPr>
        <w:t>)</w:t>
      </w:r>
      <w:r w:rsidR="00815224" w:rsidRPr="005722A6">
        <w:rPr>
          <w:rFonts w:asciiTheme="majorHAnsi" w:hAnsiTheme="majorHAnsi"/>
          <w:sz w:val="20"/>
          <w:szCs w:val="20"/>
        </w:rPr>
        <w:t>.</w:t>
      </w:r>
    </w:p>
    <w:p w14:paraId="47952077" w14:textId="21844AC0" w:rsidR="0024601E" w:rsidRPr="005722A6" w:rsidRDefault="00DB535F" w:rsidP="0086491E">
      <w:pPr>
        <w:spacing w:after="180"/>
        <w:rPr>
          <w:rFonts w:asciiTheme="majorHAnsi" w:hAnsiTheme="majorHAnsi"/>
          <w:i/>
          <w:sz w:val="20"/>
          <w:szCs w:val="20"/>
        </w:rPr>
      </w:pPr>
      <w:r w:rsidRPr="005722A6">
        <w:rPr>
          <w:rFonts w:asciiTheme="majorHAnsi" w:hAnsiTheme="majorHAnsi"/>
          <w:sz w:val="20"/>
          <w:szCs w:val="20"/>
        </w:rPr>
        <w:t>Without</w:t>
      </w:r>
      <w:r w:rsidR="0057218D" w:rsidRPr="005722A6">
        <w:rPr>
          <w:rFonts w:asciiTheme="majorHAnsi" w:hAnsiTheme="majorHAnsi"/>
          <w:sz w:val="20"/>
          <w:szCs w:val="20"/>
        </w:rPr>
        <w:t xml:space="preserve"> effective </w:t>
      </w:r>
      <w:r w:rsidR="00815224" w:rsidRPr="005722A6">
        <w:rPr>
          <w:rFonts w:asciiTheme="majorHAnsi" w:hAnsiTheme="majorHAnsi"/>
          <w:sz w:val="20"/>
          <w:szCs w:val="20"/>
        </w:rPr>
        <w:t xml:space="preserve">large-scale </w:t>
      </w:r>
      <w:r w:rsidR="0057218D" w:rsidRPr="005722A6">
        <w:rPr>
          <w:rFonts w:asciiTheme="majorHAnsi" w:hAnsiTheme="majorHAnsi"/>
          <w:sz w:val="20"/>
          <w:szCs w:val="20"/>
        </w:rPr>
        <w:t xml:space="preserve">spatial planning policies and </w:t>
      </w:r>
      <w:r w:rsidR="003B70FC" w:rsidRPr="005722A6">
        <w:rPr>
          <w:rFonts w:asciiTheme="majorHAnsi" w:hAnsiTheme="majorHAnsi"/>
          <w:sz w:val="20"/>
          <w:szCs w:val="20"/>
        </w:rPr>
        <w:t>operation</w:t>
      </w:r>
      <w:r w:rsidR="003B70FC">
        <w:rPr>
          <w:rFonts w:asciiTheme="majorHAnsi" w:hAnsiTheme="majorHAnsi"/>
          <w:sz w:val="20"/>
          <w:szCs w:val="20"/>
        </w:rPr>
        <w:t>s</w:t>
      </w:r>
      <w:r w:rsidR="003B70FC" w:rsidRPr="005722A6">
        <w:rPr>
          <w:rFonts w:asciiTheme="majorHAnsi" w:hAnsiTheme="majorHAnsi"/>
          <w:sz w:val="20"/>
          <w:szCs w:val="20"/>
        </w:rPr>
        <w:t xml:space="preserve"> </w:t>
      </w:r>
      <w:r w:rsidRPr="005722A6">
        <w:rPr>
          <w:rFonts w:asciiTheme="majorHAnsi" w:hAnsiTheme="majorHAnsi"/>
          <w:sz w:val="20"/>
          <w:szCs w:val="20"/>
        </w:rPr>
        <w:t xml:space="preserve">to </w:t>
      </w:r>
      <w:r w:rsidR="0057218D" w:rsidRPr="005722A6">
        <w:rPr>
          <w:rFonts w:asciiTheme="majorHAnsi" w:hAnsiTheme="majorHAnsi"/>
          <w:sz w:val="20"/>
          <w:szCs w:val="20"/>
        </w:rPr>
        <w:t xml:space="preserve">integrate development needs with environmental sustainability, </w:t>
      </w:r>
      <w:r w:rsidRPr="005722A6">
        <w:rPr>
          <w:rFonts w:asciiTheme="majorHAnsi" w:hAnsiTheme="majorHAnsi"/>
          <w:sz w:val="20"/>
          <w:szCs w:val="20"/>
        </w:rPr>
        <w:t>risks to the environment and biodiversity would likely be substantial in the future</w:t>
      </w:r>
      <w:r w:rsidR="00815224" w:rsidRPr="005722A6">
        <w:rPr>
          <w:rFonts w:asciiTheme="majorHAnsi" w:hAnsiTheme="majorHAnsi"/>
          <w:sz w:val="20"/>
          <w:szCs w:val="20"/>
        </w:rPr>
        <w:t xml:space="preserve">, including:  </w:t>
      </w:r>
      <w:r w:rsidR="0086491E">
        <w:rPr>
          <w:rFonts w:asciiTheme="majorHAnsi" w:hAnsiTheme="majorHAnsi"/>
          <w:sz w:val="20"/>
          <w:szCs w:val="20"/>
        </w:rPr>
        <w:t>(i) d</w:t>
      </w:r>
      <w:r w:rsidR="0057218D" w:rsidRPr="005722A6">
        <w:rPr>
          <w:rFonts w:asciiTheme="majorHAnsi" w:hAnsiTheme="majorHAnsi"/>
          <w:sz w:val="20"/>
          <w:szCs w:val="20"/>
        </w:rPr>
        <w:t xml:space="preserve">evelopment </w:t>
      </w:r>
      <w:r w:rsidR="003B70FC">
        <w:rPr>
          <w:rFonts w:asciiTheme="majorHAnsi" w:hAnsiTheme="majorHAnsi"/>
          <w:sz w:val="20"/>
          <w:szCs w:val="20"/>
        </w:rPr>
        <w:t xml:space="preserve">of </w:t>
      </w:r>
      <w:r w:rsidR="004C177B">
        <w:rPr>
          <w:rFonts w:asciiTheme="majorHAnsi" w:hAnsiTheme="majorHAnsi"/>
          <w:sz w:val="20"/>
          <w:szCs w:val="20"/>
        </w:rPr>
        <w:t>interventions</w:t>
      </w:r>
      <w:r w:rsidR="0057218D" w:rsidRPr="005722A6">
        <w:rPr>
          <w:rFonts w:asciiTheme="majorHAnsi" w:hAnsiTheme="majorHAnsi"/>
          <w:sz w:val="20"/>
          <w:szCs w:val="20"/>
        </w:rPr>
        <w:t xml:space="preserve"> in </w:t>
      </w:r>
      <w:r w:rsidR="00815224" w:rsidRPr="005722A6">
        <w:rPr>
          <w:rFonts w:asciiTheme="majorHAnsi" w:hAnsiTheme="majorHAnsi"/>
          <w:sz w:val="20"/>
          <w:szCs w:val="20"/>
        </w:rPr>
        <w:t xml:space="preserve">critical biodiversity areas or </w:t>
      </w:r>
      <w:r w:rsidR="004C177B">
        <w:rPr>
          <w:rFonts w:asciiTheme="majorHAnsi" w:hAnsiTheme="majorHAnsi"/>
          <w:sz w:val="20"/>
          <w:szCs w:val="20"/>
        </w:rPr>
        <w:t>fragile</w:t>
      </w:r>
      <w:r w:rsidR="00815224" w:rsidRPr="005722A6">
        <w:rPr>
          <w:rFonts w:asciiTheme="majorHAnsi" w:hAnsiTheme="majorHAnsi"/>
          <w:sz w:val="20"/>
          <w:szCs w:val="20"/>
        </w:rPr>
        <w:t xml:space="preserve"> </w:t>
      </w:r>
      <w:r w:rsidR="0057218D" w:rsidRPr="005722A6">
        <w:rPr>
          <w:rFonts w:asciiTheme="majorHAnsi" w:hAnsiTheme="majorHAnsi"/>
          <w:sz w:val="20"/>
          <w:szCs w:val="20"/>
        </w:rPr>
        <w:t>ecosystems;</w:t>
      </w:r>
      <w:r w:rsidR="0086491E">
        <w:rPr>
          <w:rFonts w:asciiTheme="majorHAnsi" w:hAnsiTheme="majorHAnsi"/>
          <w:sz w:val="20"/>
          <w:szCs w:val="20"/>
        </w:rPr>
        <w:t xml:space="preserve"> (ii) l</w:t>
      </w:r>
      <w:r w:rsidR="0057218D" w:rsidRPr="005722A6">
        <w:rPr>
          <w:rFonts w:asciiTheme="majorHAnsi" w:hAnsiTheme="majorHAnsi"/>
          <w:sz w:val="20"/>
          <w:szCs w:val="20"/>
        </w:rPr>
        <w:t>ocalization of development initiatives in</w:t>
      </w:r>
      <w:r w:rsidR="00815224" w:rsidRPr="005722A6">
        <w:rPr>
          <w:rFonts w:asciiTheme="majorHAnsi" w:hAnsiTheme="majorHAnsi"/>
          <w:sz w:val="20"/>
          <w:szCs w:val="20"/>
        </w:rPr>
        <w:t xml:space="preserve"> </w:t>
      </w:r>
      <w:r w:rsidR="0057218D" w:rsidRPr="005722A6">
        <w:rPr>
          <w:rFonts w:asciiTheme="majorHAnsi" w:hAnsiTheme="majorHAnsi"/>
          <w:sz w:val="20"/>
          <w:szCs w:val="20"/>
        </w:rPr>
        <w:t>core zones;</w:t>
      </w:r>
      <w:r w:rsidR="0086491E">
        <w:rPr>
          <w:rFonts w:asciiTheme="majorHAnsi" w:hAnsiTheme="majorHAnsi"/>
          <w:sz w:val="20"/>
          <w:szCs w:val="20"/>
        </w:rPr>
        <w:t xml:space="preserve"> (iii) r</w:t>
      </w:r>
      <w:r w:rsidR="0057218D" w:rsidRPr="005722A6">
        <w:rPr>
          <w:rFonts w:asciiTheme="majorHAnsi" w:hAnsiTheme="majorHAnsi"/>
          <w:sz w:val="20"/>
          <w:szCs w:val="20"/>
        </w:rPr>
        <w:t xml:space="preserve">eduction of ecosystems </w:t>
      </w:r>
      <w:r w:rsidRPr="005722A6">
        <w:rPr>
          <w:rFonts w:asciiTheme="majorHAnsi" w:hAnsiTheme="majorHAnsi"/>
          <w:sz w:val="20"/>
          <w:szCs w:val="20"/>
        </w:rPr>
        <w:t>and ecosystem services in areas</w:t>
      </w:r>
      <w:r w:rsidR="0057218D" w:rsidRPr="005722A6">
        <w:rPr>
          <w:rFonts w:asciiTheme="majorHAnsi" w:hAnsiTheme="majorHAnsi"/>
          <w:sz w:val="20"/>
          <w:szCs w:val="20"/>
        </w:rPr>
        <w:t xml:space="preserve"> suited for tourism (beaches, coastal zones, small islands, lagoon</w:t>
      </w:r>
      <w:r w:rsidR="004C177B">
        <w:rPr>
          <w:rFonts w:asciiTheme="majorHAnsi" w:hAnsiTheme="majorHAnsi"/>
          <w:sz w:val="20"/>
          <w:szCs w:val="20"/>
        </w:rPr>
        <w:t>s</w:t>
      </w:r>
      <w:r w:rsidR="0057218D" w:rsidRPr="005722A6">
        <w:rPr>
          <w:rFonts w:asciiTheme="majorHAnsi" w:hAnsiTheme="majorHAnsi"/>
          <w:sz w:val="20"/>
          <w:szCs w:val="20"/>
        </w:rPr>
        <w:t>, etc.);</w:t>
      </w:r>
      <w:r w:rsidR="0086491E">
        <w:rPr>
          <w:rFonts w:asciiTheme="majorHAnsi" w:hAnsiTheme="majorHAnsi"/>
          <w:sz w:val="20"/>
          <w:szCs w:val="20"/>
        </w:rPr>
        <w:t xml:space="preserve"> (iv) </w:t>
      </w:r>
      <w:r w:rsidR="004C177B">
        <w:rPr>
          <w:rFonts w:asciiTheme="majorHAnsi" w:hAnsiTheme="majorHAnsi"/>
          <w:sz w:val="20"/>
          <w:szCs w:val="20"/>
        </w:rPr>
        <w:t>erosion of</w:t>
      </w:r>
      <w:r w:rsidR="0057218D" w:rsidRPr="005722A6">
        <w:rPr>
          <w:rFonts w:asciiTheme="majorHAnsi" w:hAnsiTheme="majorHAnsi"/>
          <w:sz w:val="20"/>
          <w:szCs w:val="20"/>
        </w:rPr>
        <w:t xml:space="preserve"> the aesthetic value</w:t>
      </w:r>
      <w:r w:rsidR="004C177B">
        <w:rPr>
          <w:rFonts w:asciiTheme="majorHAnsi" w:hAnsiTheme="majorHAnsi"/>
          <w:sz w:val="20"/>
          <w:szCs w:val="20"/>
        </w:rPr>
        <w:t>s</w:t>
      </w:r>
      <w:r w:rsidR="0057218D" w:rsidRPr="005722A6">
        <w:rPr>
          <w:rFonts w:asciiTheme="majorHAnsi" w:hAnsiTheme="majorHAnsi"/>
          <w:sz w:val="20"/>
          <w:szCs w:val="20"/>
        </w:rPr>
        <w:t xml:space="preserve"> of Babeldaob (an important element for eco-tourism development), that currently preserves its natural wilderness;</w:t>
      </w:r>
      <w:r w:rsidR="0086491E">
        <w:rPr>
          <w:rFonts w:asciiTheme="majorHAnsi" w:hAnsiTheme="majorHAnsi"/>
          <w:sz w:val="20"/>
          <w:szCs w:val="20"/>
        </w:rPr>
        <w:t xml:space="preserve"> (v) s</w:t>
      </w:r>
      <w:r w:rsidR="0057218D" w:rsidRPr="005722A6">
        <w:rPr>
          <w:rFonts w:asciiTheme="majorHAnsi" w:hAnsiTheme="majorHAnsi"/>
          <w:sz w:val="20"/>
          <w:szCs w:val="20"/>
        </w:rPr>
        <w:t xml:space="preserve">ettlement sprawling, with possible irrational, expensive and unsustainable </w:t>
      </w:r>
      <w:r w:rsidR="00C92E22">
        <w:rPr>
          <w:rFonts w:asciiTheme="majorHAnsi" w:hAnsiTheme="majorHAnsi"/>
          <w:sz w:val="20"/>
          <w:szCs w:val="20"/>
        </w:rPr>
        <w:t>impacts on</w:t>
      </w:r>
      <w:r w:rsidR="0057218D" w:rsidRPr="005722A6">
        <w:rPr>
          <w:rFonts w:asciiTheme="majorHAnsi" w:hAnsiTheme="majorHAnsi"/>
          <w:sz w:val="20"/>
          <w:szCs w:val="20"/>
        </w:rPr>
        <w:t xml:space="preserve"> natural resources and public services, with environmental </w:t>
      </w:r>
      <w:r w:rsidR="00C92E22">
        <w:rPr>
          <w:rFonts w:asciiTheme="majorHAnsi" w:hAnsiTheme="majorHAnsi"/>
          <w:sz w:val="20"/>
          <w:szCs w:val="20"/>
        </w:rPr>
        <w:t>consequences</w:t>
      </w:r>
      <w:r w:rsidR="0057218D" w:rsidRPr="005722A6">
        <w:rPr>
          <w:rFonts w:asciiTheme="majorHAnsi" w:hAnsiTheme="majorHAnsi"/>
          <w:sz w:val="20"/>
          <w:szCs w:val="20"/>
        </w:rPr>
        <w:t>;</w:t>
      </w:r>
      <w:r w:rsidR="0086491E">
        <w:rPr>
          <w:rFonts w:asciiTheme="majorHAnsi" w:hAnsiTheme="majorHAnsi"/>
          <w:sz w:val="20"/>
          <w:szCs w:val="20"/>
        </w:rPr>
        <w:t xml:space="preserve"> (vi) d</w:t>
      </w:r>
      <w:r w:rsidR="0057218D" w:rsidRPr="005722A6">
        <w:rPr>
          <w:rFonts w:asciiTheme="majorHAnsi" w:hAnsiTheme="majorHAnsi"/>
          <w:sz w:val="20"/>
          <w:szCs w:val="20"/>
        </w:rPr>
        <w:t xml:space="preserve">irect disturbance </w:t>
      </w:r>
      <w:r w:rsidR="00C92E22">
        <w:rPr>
          <w:rFonts w:asciiTheme="majorHAnsi" w:hAnsiTheme="majorHAnsi"/>
          <w:sz w:val="20"/>
          <w:szCs w:val="20"/>
        </w:rPr>
        <w:t>to</w:t>
      </w:r>
      <w:r w:rsidR="0057218D" w:rsidRPr="005722A6">
        <w:rPr>
          <w:rFonts w:asciiTheme="majorHAnsi" w:hAnsiTheme="majorHAnsi"/>
          <w:sz w:val="20"/>
          <w:szCs w:val="20"/>
        </w:rPr>
        <w:t xml:space="preserve"> </w:t>
      </w:r>
      <w:r w:rsidR="00815224" w:rsidRPr="005722A6">
        <w:rPr>
          <w:rFonts w:asciiTheme="majorHAnsi" w:hAnsiTheme="majorHAnsi"/>
          <w:sz w:val="20"/>
          <w:szCs w:val="20"/>
        </w:rPr>
        <w:t xml:space="preserve">sensitive </w:t>
      </w:r>
      <w:r w:rsidR="0057218D" w:rsidRPr="005722A6">
        <w:rPr>
          <w:rFonts w:asciiTheme="majorHAnsi" w:hAnsiTheme="majorHAnsi"/>
          <w:sz w:val="20"/>
          <w:szCs w:val="20"/>
        </w:rPr>
        <w:t>sites and introduction of IAS;</w:t>
      </w:r>
      <w:r w:rsidRPr="005722A6">
        <w:rPr>
          <w:rFonts w:asciiTheme="majorHAnsi" w:hAnsiTheme="majorHAnsi"/>
          <w:sz w:val="20"/>
          <w:szCs w:val="20"/>
        </w:rPr>
        <w:t xml:space="preserve"> </w:t>
      </w:r>
      <w:r w:rsidR="0086491E">
        <w:rPr>
          <w:rFonts w:asciiTheme="majorHAnsi" w:hAnsiTheme="majorHAnsi"/>
          <w:sz w:val="20"/>
          <w:szCs w:val="20"/>
        </w:rPr>
        <w:t xml:space="preserve"> (vii) d</w:t>
      </w:r>
      <w:r w:rsidRPr="005722A6">
        <w:rPr>
          <w:rFonts w:asciiTheme="majorHAnsi" w:hAnsiTheme="majorHAnsi"/>
          <w:sz w:val="20"/>
          <w:szCs w:val="20"/>
        </w:rPr>
        <w:t>evelopment e</w:t>
      </w:r>
      <w:r w:rsidR="0057218D" w:rsidRPr="005722A6">
        <w:rPr>
          <w:rFonts w:asciiTheme="majorHAnsi" w:hAnsiTheme="majorHAnsi"/>
          <w:sz w:val="20"/>
          <w:szCs w:val="20"/>
        </w:rPr>
        <w:t>xceeding carrying capacity in certain areas</w:t>
      </w:r>
      <w:r w:rsidR="00F95967" w:rsidRPr="005722A6">
        <w:rPr>
          <w:rFonts w:asciiTheme="majorHAnsi" w:hAnsiTheme="majorHAnsi"/>
          <w:sz w:val="20"/>
          <w:szCs w:val="20"/>
        </w:rPr>
        <w:t>;</w:t>
      </w:r>
      <w:r w:rsidR="0086491E">
        <w:rPr>
          <w:rFonts w:asciiTheme="majorHAnsi" w:hAnsiTheme="majorHAnsi"/>
          <w:sz w:val="20"/>
          <w:szCs w:val="20"/>
        </w:rPr>
        <w:t xml:space="preserve"> (viii) </w:t>
      </w:r>
      <w:r w:rsidR="00815224" w:rsidRPr="005722A6">
        <w:rPr>
          <w:rFonts w:asciiTheme="majorHAnsi" w:hAnsiTheme="majorHAnsi"/>
          <w:sz w:val="20"/>
          <w:szCs w:val="20"/>
        </w:rPr>
        <w:t xml:space="preserve">minimal biosecurity </w:t>
      </w:r>
      <w:r w:rsidR="00C92E22">
        <w:rPr>
          <w:rFonts w:asciiTheme="majorHAnsi" w:hAnsiTheme="majorHAnsi"/>
          <w:sz w:val="20"/>
          <w:szCs w:val="20"/>
        </w:rPr>
        <w:t>and s</w:t>
      </w:r>
      <w:r w:rsidR="00C92E22" w:rsidRPr="005722A6">
        <w:rPr>
          <w:rFonts w:asciiTheme="majorHAnsi" w:hAnsiTheme="majorHAnsi"/>
          <w:sz w:val="20"/>
          <w:szCs w:val="20"/>
        </w:rPr>
        <w:t xml:space="preserve">pread of IAS </w:t>
      </w:r>
      <w:r w:rsidR="00815224" w:rsidRPr="005722A6">
        <w:rPr>
          <w:rFonts w:asciiTheme="majorHAnsi" w:hAnsiTheme="majorHAnsi"/>
          <w:sz w:val="20"/>
          <w:szCs w:val="20"/>
        </w:rPr>
        <w:t>on Babeldaob, with reduction in the effectiveness of PAN sites</w:t>
      </w:r>
      <w:r w:rsidR="004A1EB8" w:rsidRPr="005722A6">
        <w:rPr>
          <w:rFonts w:asciiTheme="majorHAnsi" w:hAnsiTheme="majorHAnsi"/>
          <w:sz w:val="20"/>
          <w:szCs w:val="20"/>
        </w:rPr>
        <w:t xml:space="preserve"> and the existing haphazard IAS management</w:t>
      </w:r>
      <w:r w:rsidR="00F95967" w:rsidRPr="005722A6">
        <w:rPr>
          <w:rFonts w:asciiTheme="majorHAnsi" w:hAnsiTheme="majorHAnsi"/>
          <w:sz w:val="20"/>
          <w:szCs w:val="20"/>
        </w:rPr>
        <w:t>;</w:t>
      </w:r>
      <w:r w:rsidR="00BC1826" w:rsidRPr="005722A6">
        <w:rPr>
          <w:rFonts w:asciiTheme="majorHAnsi" w:hAnsiTheme="majorHAnsi"/>
          <w:sz w:val="20"/>
          <w:szCs w:val="20"/>
        </w:rPr>
        <w:t xml:space="preserve"> and</w:t>
      </w:r>
      <w:r w:rsidR="004A1EB8" w:rsidRPr="005722A6">
        <w:rPr>
          <w:rFonts w:asciiTheme="majorHAnsi" w:hAnsiTheme="majorHAnsi"/>
          <w:sz w:val="20"/>
          <w:szCs w:val="20"/>
        </w:rPr>
        <w:t xml:space="preserve"> </w:t>
      </w:r>
      <w:r w:rsidR="0086491E">
        <w:rPr>
          <w:rFonts w:asciiTheme="majorHAnsi" w:hAnsiTheme="majorHAnsi"/>
          <w:sz w:val="20"/>
          <w:szCs w:val="20"/>
        </w:rPr>
        <w:t>(ix) r</w:t>
      </w:r>
      <w:r w:rsidR="004A1EB8" w:rsidRPr="005722A6">
        <w:rPr>
          <w:rFonts w:asciiTheme="majorHAnsi" w:hAnsiTheme="majorHAnsi"/>
          <w:sz w:val="20"/>
          <w:szCs w:val="20"/>
        </w:rPr>
        <w:t>etention of capacity for biosecurity, IAS monitoring and management in Koror and at the national government level, rather than at state and community levels</w:t>
      </w:r>
      <w:r w:rsidR="003B70FC">
        <w:rPr>
          <w:rFonts w:asciiTheme="majorHAnsi" w:hAnsiTheme="majorHAnsi"/>
          <w:sz w:val="20"/>
          <w:szCs w:val="20"/>
        </w:rPr>
        <w:t>.</w:t>
      </w:r>
    </w:p>
    <w:p w14:paraId="5C86D23B" w14:textId="195C02E9" w:rsidR="00B87774" w:rsidRPr="005722A6" w:rsidRDefault="00B87774" w:rsidP="00B87774">
      <w:pPr>
        <w:spacing w:after="0"/>
        <w:rPr>
          <w:rFonts w:asciiTheme="majorHAnsi" w:hAnsiTheme="majorHAnsi"/>
          <w:i/>
          <w:sz w:val="20"/>
          <w:szCs w:val="20"/>
        </w:rPr>
      </w:pPr>
      <w:r w:rsidRPr="005722A6">
        <w:rPr>
          <w:rFonts w:asciiTheme="majorHAnsi" w:hAnsiTheme="majorHAnsi"/>
          <w:i/>
          <w:sz w:val="20"/>
          <w:szCs w:val="20"/>
        </w:rPr>
        <w:t>Alternative (with GEF project):</w:t>
      </w:r>
    </w:p>
    <w:p w14:paraId="0AEF1265" w14:textId="77777777" w:rsidR="0057218D" w:rsidRPr="005722A6" w:rsidRDefault="0057218D" w:rsidP="00B87774">
      <w:pPr>
        <w:spacing w:after="0"/>
        <w:rPr>
          <w:rFonts w:asciiTheme="majorHAnsi" w:hAnsiTheme="majorHAnsi"/>
          <w:sz w:val="20"/>
          <w:szCs w:val="20"/>
        </w:rPr>
      </w:pPr>
    </w:p>
    <w:p w14:paraId="27C1D85B" w14:textId="5671E818" w:rsidR="004A1EB8" w:rsidRPr="005722A6" w:rsidRDefault="00002811" w:rsidP="00B87774">
      <w:pPr>
        <w:spacing w:after="0"/>
        <w:rPr>
          <w:rFonts w:asciiTheme="majorHAnsi" w:hAnsiTheme="majorHAnsi"/>
          <w:sz w:val="20"/>
          <w:szCs w:val="20"/>
        </w:rPr>
      </w:pPr>
      <w:r>
        <w:rPr>
          <w:rFonts w:asciiTheme="majorHAnsi" w:hAnsiTheme="majorHAnsi"/>
          <w:sz w:val="20"/>
          <w:szCs w:val="20"/>
        </w:rPr>
        <w:t>T</w:t>
      </w:r>
      <w:r w:rsidR="00B87774" w:rsidRPr="005722A6">
        <w:rPr>
          <w:rFonts w:asciiTheme="majorHAnsi" w:hAnsiTheme="majorHAnsi"/>
          <w:sz w:val="20"/>
          <w:szCs w:val="20"/>
        </w:rPr>
        <w:t xml:space="preserve">his component will </w:t>
      </w:r>
      <w:r>
        <w:rPr>
          <w:rFonts w:asciiTheme="majorHAnsi" w:hAnsiTheme="majorHAnsi"/>
          <w:sz w:val="20"/>
          <w:szCs w:val="20"/>
        </w:rPr>
        <w:t xml:space="preserve">demonstrate </w:t>
      </w:r>
      <w:r w:rsidR="007D4B60" w:rsidRPr="005722A6">
        <w:rPr>
          <w:rFonts w:asciiTheme="majorHAnsi" w:hAnsiTheme="majorHAnsi"/>
          <w:sz w:val="20"/>
          <w:szCs w:val="20"/>
        </w:rPr>
        <w:t>on-the</w:t>
      </w:r>
      <w:r w:rsidR="003B70FC">
        <w:rPr>
          <w:rFonts w:asciiTheme="majorHAnsi" w:hAnsiTheme="majorHAnsi"/>
          <w:sz w:val="20"/>
          <w:szCs w:val="20"/>
        </w:rPr>
        <w:t>-</w:t>
      </w:r>
      <w:r w:rsidR="007D4B60" w:rsidRPr="005722A6">
        <w:rPr>
          <w:rFonts w:asciiTheme="majorHAnsi" w:hAnsiTheme="majorHAnsi"/>
          <w:sz w:val="20"/>
          <w:szCs w:val="20"/>
        </w:rPr>
        <w:t xml:space="preserve">ground investment and trialing of spatial </w:t>
      </w:r>
      <w:r w:rsidR="0086491E">
        <w:rPr>
          <w:rFonts w:asciiTheme="majorHAnsi" w:hAnsiTheme="majorHAnsi"/>
          <w:sz w:val="20"/>
          <w:szCs w:val="20"/>
        </w:rPr>
        <w:t xml:space="preserve">land/seascape </w:t>
      </w:r>
      <w:r w:rsidR="007D4B60" w:rsidRPr="005722A6">
        <w:rPr>
          <w:rFonts w:asciiTheme="majorHAnsi" w:hAnsiTheme="majorHAnsi"/>
          <w:sz w:val="20"/>
          <w:szCs w:val="20"/>
        </w:rPr>
        <w:t xml:space="preserve">planning approaches </w:t>
      </w:r>
      <w:r w:rsidR="004A1EB8" w:rsidRPr="005722A6">
        <w:rPr>
          <w:rFonts w:asciiTheme="majorHAnsi" w:hAnsiTheme="majorHAnsi"/>
          <w:sz w:val="20"/>
          <w:szCs w:val="20"/>
        </w:rPr>
        <w:t>across</w:t>
      </w:r>
      <w:r w:rsidR="0057218D" w:rsidRPr="005722A6">
        <w:rPr>
          <w:rFonts w:asciiTheme="majorHAnsi" w:hAnsiTheme="majorHAnsi"/>
          <w:sz w:val="20"/>
          <w:szCs w:val="20"/>
        </w:rPr>
        <w:t xml:space="preserve"> Babeldoab</w:t>
      </w:r>
      <w:r w:rsidR="00F95967" w:rsidRPr="005722A6">
        <w:rPr>
          <w:rFonts w:asciiTheme="majorHAnsi" w:hAnsiTheme="majorHAnsi"/>
          <w:sz w:val="20"/>
          <w:szCs w:val="20"/>
        </w:rPr>
        <w:t xml:space="preserve"> Island</w:t>
      </w:r>
      <w:r w:rsidR="00E12C3B">
        <w:rPr>
          <w:rFonts w:asciiTheme="majorHAnsi" w:hAnsiTheme="majorHAnsi"/>
          <w:sz w:val="20"/>
          <w:szCs w:val="20"/>
        </w:rPr>
        <w:t>; and the experience gained and lessons learned will further inform Component 1 interventions</w:t>
      </w:r>
      <w:r w:rsidR="00194AA1">
        <w:rPr>
          <w:rFonts w:asciiTheme="majorHAnsi" w:hAnsiTheme="majorHAnsi"/>
          <w:sz w:val="20"/>
          <w:szCs w:val="20"/>
        </w:rPr>
        <w:t xml:space="preserve">. </w:t>
      </w:r>
      <w:r w:rsidR="007D4B60" w:rsidRPr="005722A6">
        <w:rPr>
          <w:rFonts w:asciiTheme="majorHAnsi" w:hAnsiTheme="majorHAnsi"/>
          <w:sz w:val="20"/>
          <w:szCs w:val="20"/>
        </w:rPr>
        <w:t xml:space="preserve">It </w:t>
      </w:r>
      <w:r w:rsidR="0086491E" w:rsidRPr="005722A6">
        <w:rPr>
          <w:rFonts w:asciiTheme="majorHAnsi" w:hAnsiTheme="majorHAnsi"/>
          <w:sz w:val="20"/>
          <w:szCs w:val="20"/>
        </w:rPr>
        <w:t>w</w:t>
      </w:r>
      <w:r w:rsidR="0086491E">
        <w:rPr>
          <w:rFonts w:asciiTheme="majorHAnsi" w:hAnsiTheme="majorHAnsi"/>
          <w:sz w:val="20"/>
          <w:szCs w:val="20"/>
        </w:rPr>
        <w:t>ill</w:t>
      </w:r>
      <w:r w:rsidR="0086491E" w:rsidRPr="005722A6">
        <w:rPr>
          <w:rFonts w:asciiTheme="majorHAnsi" w:hAnsiTheme="majorHAnsi"/>
          <w:sz w:val="20"/>
          <w:szCs w:val="20"/>
        </w:rPr>
        <w:t xml:space="preserve"> </w:t>
      </w:r>
      <w:r w:rsidR="007D4B60" w:rsidRPr="005722A6">
        <w:rPr>
          <w:rFonts w:asciiTheme="majorHAnsi" w:hAnsiTheme="majorHAnsi"/>
          <w:sz w:val="20"/>
          <w:szCs w:val="20"/>
        </w:rPr>
        <w:t xml:space="preserve">support the </w:t>
      </w:r>
      <w:r w:rsidR="00B87774" w:rsidRPr="005722A6">
        <w:rPr>
          <w:rFonts w:asciiTheme="majorHAnsi" w:hAnsiTheme="majorHAnsi"/>
          <w:sz w:val="20"/>
          <w:szCs w:val="20"/>
        </w:rPr>
        <w:t>develop</w:t>
      </w:r>
      <w:r w:rsidR="007D4B60" w:rsidRPr="005722A6">
        <w:rPr>
          <w:rFonts w:asciiTheme="majorHAnsi" w:hAnsiTheme="majorHAnsi"/>
          <w:sz w:val="20"/>
          <w:szCs w:val="20"/>
        </w:rPr>
        <w:t>ment</w:t>
      </w:r>
      <w:r w:rsidR="00B87774" w:rsidRPr="005722A6">
        <w:rPr>
          <w:rFonts w:asciiTheme="majorHAnsi" w:hAnsiTheme="majorHAnsi"/>
          <w:sz w:val="20"/>
          <w:szCs w:val="20"/>
        </w:rPr>
        <w:t xml:space="preserve"> </w:t>
      </w:r>
      <w:r w:rsidR="009C4467" w:rsidRPr="005722A6">
        <w:rPr>
          <w:rFonts w:asciiTheme="majorHAnsi" w:hAnsiTheme="majorHAnsi"/>
          <w:sz w:val="20"/>
          <w:szCs w:val="20"/>
        </w:rPr>
        <w:t xml:space="preserve">of </w:t>
      </w:r>
      <w:r w:rsidR="0086491E">
        <w:rPr>
          <w:rFonts w:asciiTheme="majorHAnsi" w:hAnsiTheme="majorHAnsi"/>
          <w:sz w:val="20"/>
          <w:szCs w:val="20"/>
        </w:rPr>
        <w:t>an</w:t>
      </w:r>
      <w:r w:rsidR="0086491E" w:rsidRPr="005722A6">
        <w:rPr>
          <w:rFonts w:asciiTheme="majorHAnsi" w:hAnsiTheme="majorHAnsi"/>
          <w:sz w:val="20"/>
          <w:szCs w:val="20"/>
        </w:rPr>
        <w:t xml:space="preserve"> </w:t>
      </w:r>
      <w:r w:rsidR="00B87774" w:rsidRPr="005722A6">
        <w:rPr>
          <w:rFonts w:asciiTheme="majorHAnsi" w:hAnsiTheme="majorHAnsi"/>
          <w:sz w:val="20"/>
          <w:szCs w:val="20"/>
        </w:rPr>
        <w:t>Integrated Land</w:t>
      </w:r>
      <w:r w:rsidR="009C4467" w:rsidRPr="005722A6">
        <w:rPr>
          <w:rFonts w:asciiTheme="majorHAnsi" w:hAnsiTheme="majorHAnsi"/>
          <w:sz w:val="20"/>
          <w:szCs w:val="20"/>
        </w:rPr>
        <w:t xml:space="preserve"> and Seascape Management </w:t>
      </w:r>
      <w:r w:rsidR="000557EF" w:rsidRPr="005722A6">
        <w:rPr>
          <w:rFonts w:asciiTheme="majorHAnsi" w:hAnsiTheme="majorHAnsi"/>
          <w:sz w:val="20"/>
          <w:szCs w:val="20"/>
        </w:rPr>
        <w:t>Strategy</w:t>
      </w:r>
      <w:r w:rsidR="00B31C5C" w:rsidRPr="005722A6">
        <w:rPr>
          <w:rFonts w:asciiTheme="majorHAnsi" w:hAnsiTheme="majorHAnsi"/>
          <w:sz w:val="20"/>
          <w:szCs w:val="20"/>
        </w:rPr>
        <w:t xml:space="preserve"> </w:t>
      </w:r>
      <w:r w:rsidR="0086491E">
        <w:rPr>
          <w:rFonts w:asciiTheme="majorHAnsi" w:hAnsiTheme="majorHAnsi"/>
          <w:sz w:val="20"/>
          <w:szCs w:val="20"/>
        </w:rPr>
        <w:t xml:space="preserve">(ILSMS) </w:t>
      </w:r>
      <w:r w:rsidR="009C4467" w:rsidRPr="005722A6">
        <w:rPr>
          <w:rFonts w:asciiTheme="majorHAnsi" w:hAnsiTheme="majorHAnsi"/>
          <w:sz w:val="20"/>
          <w:szCs w:val="20"/>
        </w:rPr>
        <w:t>for Babeldaob Island</w:t>
      </w:r>
      <w:r w:rsidR="00E12C3B">
        <w:rPr>
          <w:rFonts w:asciiTheme="majorHAnsi" w:hAnsiTheme="majorHAnsi"/>
          <w:sz w:val="20"/>
          <w:szCs w:val="20"/>
        </w:rPr>
        <w:t>,</w:t>
      </w:r>
      <w:r w:rsidR="009C4467" w:rsidRPr="005722A6">
        <w:rPr>
          <w:rFonts w:asciiTheme="majorHAnsi" w:hAnsiTheme="majorHAnsi"/>
          <w:sz w:val="20"/>
          <w:szCs w:val="20"/>
        </w:rPr>
        <w:t xml:space="preserve"> </w:t>
      </w:r>
      <w:r w:rsidR="00B87774" w:rsidRPr="005722A6">
        <w:rPr>
          <w:rFonts w:asciiTheme="majorHAnsi" w:hAnsiTheme="majorHAnsi"/>
          <w:sz w:val="20"/>
          <w:szCs w:val="20"/>
        </w:rPr>
        <w:t>based on approach</w:t>
      </w:r>
      <w:r w:rsidR="00E12C3B">
        <w:rPr>
          <w:rFonts w:asciiTheme="majorHAnsi" w:hAnsiTheme="majorHAnsi"/>
          <w:sz w:val="20"/>
          <w:szCs w:val="20"/>
        </w:rPr>
        <w:t>es</w:t>
      </w:r>
      <w:r w:rsidR="00B87774" w:rsidRPr="005722A6">
        <w:rPr>
          <w:rFonts w:asciiTheme="majorHAnsi" w:hAnsiTheme="majorHAnsi"/>
          <w:sz w:val="20"/>
          <w:szCs w:val="20"/>
        </w:rPr>
        <w:t xml:space="preserve"> that </w:t>
      </w:r>
      <w:r w:rsidR="00E12C3B">
        <w:rPr>
          <w:rFonts w:asciiTheme="majorHAnsi" w:hAnsiTheme="majorHAnsi"/>
          <w:sz w:val="20"/>
          <w:szCs w:val="20"/>
        </w:rPr>
        <w:t xml:space="preserve">will </w:t>
      </w:r>
      <w:r w:rsidR="00B87774" w:rsidRPr="005722A6">
        <w:rPr>
          <w:rFonts w:asciiTheme="majorHAnsi" w:hAnsiTheme="majorHAnsi"/>
          <w:sz w:val="20"/>
          <w:szCs w:val="20"/>
        </w:rPr>
        <w:t>ensure</w:t>
      </w:r>
      <w:r w:rsidR="00E12C3B">
        <w:rPr>
          <w:rFonts w:asciiTheme="majorHAnsi" w:hAnsiTheme="majorHAnsi"/>
          <w:sz w:val="20"/>
          <w:szCs w:val="20"/>
        </w:rPr>
        <w:t>:</w:t>
      </w:r>
      <w:r w:rsidR="00B87774" w:rsidRPr="005722A6">
        <w:rPr>
          <w:rFonts w:asciiTheme="majorHAnsi" w:hAnsiTheme="majorHAnsi"/>
          <w:sz w:val="20"/>
          <w:szCs w:val="20"/>
        </w:rPr>
        <w:t xml:space="preserve"> conservation of high conservation value forests (HCVFs)</w:t>
      </w:r>
      <w:r w:rsidR="004A1EB8" w:rsidRPr="005722A6">
        <w:rPr>
          <w:rFonts w:asciiTheme="majorHAnsi" w:hAnsiTheme="majorHAnsi"/>
          <w:sz w:val="20"/>
          <w:szCs w:val="20"/>
        </w:rPr>
        <w:t xml:space="preserve"> and other </w:t>
      </w:r>
      <w:r w:rsidR="00B87774" w:rsidRPr="005722A6">
        <w:rPr>
          <w:rFonts w:asciiTheme="majorHAnsi" w:hAnsiTheme="majorHAnsi"/>
          <w:sz w:val="20"/>
          <w:szCs w:val="20"/>
        </w:rPr>
        <w:t xml:space="preserve">high conservation value </w:t>
      </w:r>
      <w:r w:rsidR="00E12C3B" w:rsidRPr="005722A6">
        <w:rPr>
          <w:rFonts w:asciiTheme="majorHAnsi" w:hAnsiTheme="majorHAnsi"/>
          <w:sz w:val="20"/>
          <w:szCs w:val="20"/>
        </w:rPr>
        <w:t xml:space="preserve">terrestrial </w:t>
      </w:r>
      <w:r w:rsidR="005D6B39">
        <w:rPr>
          <w:rFonts w:asciiTheme="majorHAnsi" w:hAnsiTheme="majorHAnsi"/>
          <w:sz w:val="20"/>
          <w:szCs w:val="20"/>
        </w:rPr>
        <w:t xml:space="preserve">sites </w:t>
      </w:r>
      <w:r w:rsidR="00E12C3B" w:rsidRPr="005722A6">
        <w:rPr>
          <w:rFonts w:asciiTheme="majorHAnsi" w:hAnsiTheme="majorHAnsi"/>
          <w:sz w:val="20"/>
          <w:szCs w:val="20"/>
        </w:rPr>
        <w:t xml:space="preserve">and </w:t>
      </w:r>
      <w:r w:rsidR="00B87774" w:rsidRPr="005722A6">
        <w:rPr>
          <w:rFonts w:asciiTheme="majorHAnsi" w:hAnsiTheme="majorHAnsi"/>
          <w:sz w:val="20"/>
          <w:szCs w:val="20"/>
        </w:rPr>
        <w:t xml:space="preserve">marine </w:t>
      </w:r>
      <w:r w:rsidR="00BF7558">
        <w:rPr>
          <w:rFonts w:asciiTheme="majorHAnsi" w:hAnsiTheme="majorHAnsi"/>
          <w:sz w:val="20"/>
          <w:szCs w:val="20"/>
        </w:rPr>
        <w:t>areas (HCVMAs)</w:t>
      </w:r>
      <w:r w:rsidR="00E12C3B">
        <w:rPr>
          <w:rFonts w:asciiTheme="majorHAnsi" w:hAnsiTheme="majorHAnsi"/>
          <w:sz w:val="20"/>
          <w:szCs w:val="20"/>
        </w:rPr>
        <w:t>;</w:t>
      </w:r>
      <w:r w:rsidR="00B87774" w:rsidRPr="005722A6">
        <w:rPr>
          <w:rFonts w:asciiTheme="majorHAnsi" w:hAnsiTheme="majorHAnsi"/>
          <w:sz w:val="20"/>
          <w:szCs w:val="20"/>
        </w:rPr>
        <w:t xml:space="preserve"> maintenance of ecosystem services</w:t>
      </w:r>
      <w:r w:rsidR="00E12C3B">
        <w:rPr>
          <w:rFonts w:asciiTheme="majorHAnsi" w:hAnsiTheme="majorHAnsi"/>
          <w:sz w:val="20"/>
          <w:szCs w:val="20"/>
        </w:rPr>
        <w:t>;</w:t>
      </w:r>
      <w:r w:rsidR="00B87774" w:rsidRPr="005722A6">
        <w:rPr>
          <w:rFonts w:asciiTheme="majorHAnsi" w:hAnsiTheme="majorHAnsi"/>
          <w:sz w:val="20"/>
          <w:szCs w:val="20"/>
        </w:rPr>
        <w:t xml:space="preserve"> climate adaptation</w:t>
      </w:r>
      <w:r w:rsidR="00E12C3B">
        <w:rPr>
          <w:rFonts w:asciiTheme="majorHAnsi" w:hAnsiTheme="majorHAnsi"/>
          <w:sz w:val="20"/>
          <w:szCs w:val="20"/>
        </w:rPr>
        <w:t>; and</w:t>
      </w:r>
      <w:r w:rsidR="00B87774" w:rsidRPr="005722A6">
        <w:rPr>
          <w:rFonts w:asciiTheme="majorHAnsi" w:hAnsiTheme="majorHAnsi"/>
          <w:sz w:val="20"/>
          <w:szCs w:val="20"/>
        </w:rPr>
        <w:t xml:space="preserve"> </w:t>
      </w:r>
      <w:r w:rsidR="00E12C3B" w:rsidRPr="005722A6">
        <w:rPr>
          <w:rFonts w:asciiTheme="majorHAnsi" w:hAnsiTheme="majorHAnsi"/>
          <w:sz w:val="20"/>
          <w:szCs w:val="20"/>
        </w:rPr>
        <w:t xml:space="preserve">improved </w:t>
      </w:r>
      <w:r w:rsidR="00B87774" w:rsidRPr="005722A6">
        <w:rPr>
          <w:rFonts w:asciiTheme="majorHAnsi" w:hAnsiTheme="majorHAnsi"/>
          <w:sz w:val="20"/>
          <w:szCs w:val="20"/>
        </w:rPr>
        <w:t xml:space="preserve">IAS </w:t>
      </w:r>
      <w:r w:rsidR="007D4B60" w:rsidRPr="005722A6">
        <w:rPr>
          <w:rFonts w:asciiTheme="majorHAnsi" w:hAnsiTheme="majorHAnsi"/>
          <w:sz w:val="20"/>
          <w:szCs w:val="20"/>
        </w:rPr>
        <w:t xml:space="preserve">management </w:t>
      </w:r>
      <w:r w:rsidR="00B87774" w:rsidRPr="005722A6">
        <w:rPr>
          <w:rFonts w:asciiTheme="majorHAnsi" w:hAnsiTheme="majorHAnsi"/>
          <w:sz w:val="20"/>
          <w:szCs w:val="20"/>
        </w:rPr>
        <w:t xml:space="preserve">and </w:t>
      </w:r>
      <w:r w:rsidR="007D4B60" w:rsidRPr="005722A6">
        <w:rPr>
          <w:rFonts w:asciiTheme="majorHAnsi" w:hAnsiTheme="majorHAnsi"/>
          <w:sz w:val="20"/>
          <w:szCs w:val="20"/>
        </w:rPr>
        <w:t>biosecurity</w:t>
      </w:r>
      <w:r w:rsidR="00B87774" w:rsidRPr="005722A6">
        <w:rPr>
          <w:rFonts w:asciiTheme="majorHAnsi" w:hAnsiTheme="majorHAnsi"/>
          <w:sz w:val="20"/>
          <w:szCs w:val="20"/>
        </w:rPr>
        <w:t xml:space="preserve">. </w:t>
      </w:r>
    </w:p>
    <w:p w14:paraId="5AE16FC1" w14:textId="77777777" w:rsidR="004A1EB8" w:rsidRPr="005722A6" w:rsidRDefault="004A1EB8" w:rsidP="00B87774">
      <w:pPr>
        <w:spacing w:after="0"/>
        <w:rPr>
          <w:rFonts w:asciiTheme="majorHAnsi" w:hAnsiTheme="majorHAnsi"/>
          <w:sz w:val="20"/>
          <w:szCs w:val="20"/>
        </w:rPr>
      </w:pPr>
    </w:p>
    <w:p w14:paraId="023261EC" w14:textId="7201A1B2" w:rsidR="00711A89" w:rsidRPr="005722A6" w:rsidRDefault="004A1EB8" w:rsidP="00B87774">
      <w:pPr>
        <w:spacing w:after="0"/>
        <w:rPr>
          <w:rFonts w:asciiTheme="majorHAnsi" w:hAnsiTheme="majorHAnsi"/>
          <w:sz w:val="20"/>
          <w:szCs w:val="20"/>
        </w:rPr>
      </w:pPr>
      <w:r w:rsidRPr="005722A6">
        <w:rPr>
          <w:rFonts w:asciiTheme="majorHAnsi" w:hAnsiTheme="majorHAnsi"/>
          <w:sz w:val="20"/>
          <w:szCs w:val="20"/>
        </w:rPr>
        <w:t>The J</w:t>
      </w:r>
      <w:r w:rsidR="0086491E">
        <w:rPr>
          <w:rFonts w:asciiTheme="majorHAnsi" w:hAnsiTheme="majorHAnsi"/>
          <w:sz w:val="20"/>
          <w:szCs w:val="20"/>
        </w:rPr>
        <w:t>CB</w:t>
      </w:r>
      <w:r w:rsidRPr="005722A6">
        <w:rPr>
          <w:rFonts w:asciiTheme="majorHAnsi" w:hAnsiTheme="majorHAnsi"/>
          <w:sz w:val="20"/>
          <w:szCs w:val="20"/>
        </w:rPr>
        <w:t xml:space="preserve"> (Out</w:t>
      </w:r>
      <w:r w:rsidR="0086491E">
        <w:rPr>
          <w:rFonts w:asciiTheme="majorHAnsi" w:hAnsiTheme="majorHAnsi"/>
          <w:sz w:val="20"/>
          <w:szCs w:val="20"/>
        </w:rPr>
        <w:t>put 1</w:t>
      </w:r>
      <w:r w:rsidR="003B70FC">
        <w:rPr>
          <w:rFonts w:asciiTheme="majorHAnsi" w:hAnsiTheme="majorHAnsi"/>
          <w:sz w:val="20"/>
          <w:szCs w:val="20"/>
        </w:rPr>
        <w:t>.</w:t>
      </w:r>
      <w:r w:rsidRPr="005722A6">
        <w:rPr>
          <w:rFonts w:asciiTheme="majorHAnsi" w:hAnsiTheme="majorHAnsi"/>
          <w:sz w:val="20"/>
          <w:szCs w:val="20"/>
        </w:rPr>
        <w:t xml:space="preserve">1) </w:t>
      </w:r>
      <w:r w:rsidR="00B87774" w:rsidRPr="005722A6">
        <w:rPr>
          <w:rFonts w:asciiTheme="majorHAnsi" w:hAnsiTheme="majorHAnsi"/>
          <w:sz w:val="20"/>
          <w:szCs w:val="20"/>
        </w:rPr>
        <w:t xml:space="preserve">will </w:t>
      </w:r>
      <w:r w:rsidR="009C4467" w:rsidRPr="005722A6">
        <w:rPr>
          <w:rFonts w:asciiTheme="majorHAnsi" w:hAnsiTheme="majorHAnsi"/>
          <w:sz w:val="20"/>
          <w:szCs w:val="20"/>
        </w:rPr>
        <w:t>facilitate the development of a single, holistic and integrat</w:t>
      </w:r>
      <w:r w:rsidR="00AB4F65" w:rsidRPr="005722A6">
        <w:rPr>
          <w:rFonts w:asciiTheme="majorHAnsi" w:hAnsiTheme="majorHAnsi"/>
          <w:sz w:val="20"/>
          <w:szCs w:val="20"/>
        </w:rPr>
        <w:t>ed ILSM</w:t>
      </w:r>
      <w:r w:rsidR="0086491E">
        <w:rPr>
          <w:rFonts w:asciiTheme="majorHAnsi" w:hAnsiTheme="majorHAnsi"/>
          <w:sz w:val="20"/>
          <w:szCs w:val="20"/>
        </w:rPr>
        <w:t>S</w:t>
      </w:r>
      <w:r w:rsidR="00B31C5C" w:rsidRPr="005722A6">
        <w:rPr>
          <w:rFonts w:asciiTheme="majorHAnsi" w:hAnsiTheme="majorHAnsi"/>
          <w:sz w:val="20"/>
          <w:szCs w:val="20"/>
        </w:rPr>
        <w:t xml:space="preserve"> </w:t>
      </w:r>
      <w:r w:rsidR="00AB4F65" w:rsidRPr="005722A6">
        <w:rPr>
          <w:rFonts w:asciiTheme="majorHAnsi" w:hAnsiTheme="majorHAnsi"/>
          <w:sz w:val="20"/>
          <w:szCs w:val="20"/>
        </w:rPr>
        <w:t xml:space="preserve">for the whole of </w:t>
      </w:r>
      <w:r w:rsidR="0086491E" w:rsidRPr="005722A6">
        <w:rPr>
          <w:rFonts w:asciiTheme="majorHAnsi" w:hAnsiTheme="majorHAnsi"/>
          <w:sz w:val="20"/>
          <w:szCs w:val="20"/>
        </w:rPr>
        <w:t>Babeld</w:t>
      </w:r>
      <w:r w:rsidR="0086491E">
        <w:rPr>
          <w:rFonts w:asciiTheme="majorHAnsi" w:hAnsiTheme="majorHAnsi"/>
          <w:sz w:val="20"/>
          <w:szCs w:val="20"/>
        </w:rPr>
        <w:t>ao</w:t>
      </w:r>
      <w:r w:rsidR="0086491E" w:rsidRPr="005722A6">
        <w:rPr>
          <w:rFonts w:asciiTheme="majorHAnsi" w:hAnsiTheme="majorHAnsi"/>
          <w:sz w:val="20"/>
          <w:szCs w:val="20"/>
        </w:rPr>
        <w:t xml:space="preserve">b </w:t>
      </w:r>
      <w:r w:rsidR="009C4467" w:rsidRPr="005722A6">
        <w:rPr>
          <w:rFonts w:asciiTheme="majorHAnsi" w:hAnsiTheme="majorHAnsi"/>
          <w:sz w:val="20"/>
          <w:szCs w:val="20"/>
        </w:rPr>
        <w:t>Island</w:t>
      </w:r>
      <w:r w:rsidR="00E12C3B">
        <w:rPr>
          <w:rFonts w:asciiTheme="majorHAnsi" w:hAnsiTheme="majorHAnsi"/>
          <w:sz w:val="20"/>
          <w:szCs w:val="20"/>
        </w:rPr>
        <w:t>,</w:t>
      </w:r>
      <w:r w:rsidR="00AB12CD" w:rsidRPr="005722A6">
        <w:rPr>
          <w:rFonts w:asciiTheme="majorHAnsi" w:hAnsiTheme="majorHAnsi"/>
          <w:sz w:val="20"/>
          <w:szCs w:val="20"/>
        </w:rPr>
        <w:t xml:space="preserve"> </w:t>
      </w:r>
      <w:r w:rsidR="00B87774" w:rsidRPr="005722A6">
        <w:rPr>
          <w:rFonts w:asciiTheme="majorHAnsi" w:hAnsiTheme="majorHAnsi"/>
          <w:sz w:val="20"/>
          <w:szCs w:val="20"/>
        </w:rPr>
        <w:t xml:space="preserve">using </w:t>
      </w:r>
      <w:r w:rsidR="00E12C3B">
        <w:rPr>
          <w:rFonts w:asciiTheme="majorHAnsi" w:hAnsiTheme="majorHAnsi"/>
          <w:sz w:val="20"/>
          <w:szCs w:val="20"/>
        </w:rPr>
        <w:t>available</w:t>
      </w:r>
      <w:r w:rsidR="00B87774" w:rsidRPr="005722A6">
        <w:rPr>
          <w:rFonts w:asciiTheme="majorHAnsi" w:hAnsiTheme="majorHAnsi"/>
          <w:sz w:val="20"/>
          <w:szCs w:val="20"/>
        </w:rPr>
        <w:t xml:space="preserve"> information</w:t>
      </w:r>
      <w:r w:rsidR="00B82871">
        <w:rPr>
          <w:rFonts w:asciiTheme="majorHAnsi" w:hAnsiTheme="majorHAnsi"/>
          <w:sz w:val="20"/>
          <w:szCs w:val="20"/>
        </w:rPr>
        <w:t xml:space="preserve"> from multiple sectors</w:t>
      </w:r>
      <w:r w:rsidR="00B87774" w:rsidRPr="005722A6">
        <w:rPr>
          <w:rFonts w:asciiTheme="majorHAnsi" w:hAnsiTheme="majorHAnsi"/>
          <w:sz w:val="20"/>
          <w:szCs w:val="20"/>
        </w:rPr>
        <w:t xml:space="preserve"> to define zones for development and </w:t>
      </w:r>
      <w:r w:rsidRPr="005722A6">
        <w:rPr>
          <w:rFonts w:asciiTheme="majorHAnsi" w:hAnsiTheme="majorHAnsi"/>
          <w:sz w:val="20"/>
          <w:szCs w:val="20"/>
        </w:rPr>
        <w:t>conservation</w:t>
      </w:r>
      <w:r w:rsidR="00B87774" w:rsidRPr="005722A6">
        <w:rPr>
          <w:rFonts w:asciiTheme="majorHAnsi" w:hAnsiTheme="majorHAnsi"/>
          <w:sz w:val="20"/>
          <w:szCs w:val="20"/>
        </w:rPr>
        <w:t>.</w:t>
      </w:r>
      <w:r w:rsidRPr="005722A6">
        <w:rPr>
          <w:rFonts w:asciiTheme="majorHAnsi" w:hAnsiTheme="majorHAnsi"/>
          <w:sz w:val="20"/>
          <w:szCs w:val="20"/>
        </w:rPr>
        <w:t xml:space="preserve"> The </w:t>
      </w:r>
      <w:r w:rsidR="00B82871">
        <w:rPr>
          <w:rFonts w:asciiTheme="majorHAnsi" w:hAnsiTheme="majorHAnsi"/>
          <w:sz w:val="20"/>
          <w:szCs w:val="20"/>
        </w:rPr>
        <w:t>p</w:t>
      </w:r>
      <w:r w:rsidRPr="005722A6">
        <w:rPr>
          <w:rFonts w:asciiTheme="majorHAnsi" w:hAnsiTheme="majorHAnsi"/>
          <w:sz w:val="20"/>
          <w:szCs w:val="20"/>
        </w:rPr>
        <w:t>roject will work with 7 individual states in Babeldaob</w:t>
      </w:r>
      <w:r w:rsidR="00B05D74">
        <w:rPr>
          <w:rFonts w:asciiTheme="majorHAnsi" w:hAnsiTheme="majorHAnsi"/>
          <w:sz w:val="20"/>
          <w:szCs w:val="20"/>
        </w:rPr>
        <w:t xml:space="preserve"> in </w:t>
      </w:r>
      <w:r w:rsidR="00DF3E01" w:rsidRPr="005722A6">
        <w:rPr>
          <w:rFonts w:asciiTheme="majorHAnsi" w:hAnsiTheme="majorHAnsi"/>
          <w:sz w:val="20"/>
          <w:szCs w:val="20"/>
        </w:rPr>
        <w:t xml:space="preserve">a staggered </w:t>
      </w:r>
      <w:r w:rsidR="00BD402F">
        <w:rPr>
          <w:rFonts w:asciiTheme="majorHAnsi" w:hAnsiTheme="majorHAnsi"/>
          <w:sz w:val="20"/>
          <w:szCs w:val="20"/>
        </w:rPr>
        <w:t xml:space="preserve">and iterative </w:t>
      </w:r>
      <w:r w:rsidR="00B82871">
        <w:rPr>
          <w:rFonts w:asciiTheme="majorHAnsi" w:hAnsiTheme="majorHAnsi"/>
          <w:sz w:val="20"/>
          <w:szCs w:val="20"/>
        </w:rPr>
        <w:t>manner,</w:t>
      </w:r>
      <w:r w:rsidR="00DF3E01" w:rsidRPr="005722A6">
        <w:rPr>
          <w:rFonts w:asciiTheme="majorHAnsi" w:hAnsiTheme="majorHAnsi"/>
          <w:sz w:val="20"/>
          <w:szCs w:val="20"/>
        </w:rPr>
        <w:t xml:space="preserve"> </w:t>
      </w:r>
      <w:r w:rsidRPr="005722A6">
        <w:rPr>
          <w:rFonts w:asciiTheme="majorHAnsi" w:hAnsiTheme="majorHAnsi"/>
          <w:sz w:val="20"/>
          <w:szCs w:val="20"/>
        </w:rPr>
        <w:t>based on their readiness</w:t>
      </w:r>
      <w:r w:rsidR="00711A89" w:rsidRPr="005722A6">
        <w:rPr>
          <w:rFonts w:asciiTheme="majorHAnsi" w:hAnsiTheme="majorHAnsi"/>
          <w:sz w:val="20"/>
          <w:szCs w:val="20"/>
        </w:rPr>
        <w:t xml:space="preserve"> and </w:t>
      </w:r>
      <w:r w:rsidR="00DF3E01" w:rsidRPr="005722A6">
        <w:rPr>
          <w:rFonts w:asciiTheme="majorHAnsi" w:hAnsiTheme="majorHAnsi"/>
          <w:sz w:val="20"/>
          <w:szCs w:val="20"/>
        </w:rPr>
        <w:t>capacity</w:t>
      </w:r>
      <w:r w:rsidR="00B82871">
        <w:rPr>
          <w:rFonts w:asciiTheme="majorHAnsi" w:hAnsiTheme="majorHAnsi"/>
          <w:sz w:val="20"/>
          <w:szCs w:val="20"/>
        </w:rPr>
        <w:t>,</w:t>
      </w:r>
      <w:r w:rsidRPr="005722A6">
        <w:rPr>
          <w:rFonts w:asciiTheme="majorHAnsi" w:hAnsiTheme="majorHAnsi"/>
          <w:sz w:val="20"/>
          <w:szCs w:val="20"/>
        </w:rPr>
        <w:t xml:space="preserve"> to </w:t>
      </w:r>
      <w:r w:rsidR="00B82871">
        <w:rPr>
          <w:rFonts w:asciiTheme="majorHAnsi" w:hAnsiTheme="majorHAnsi"/>
          <w:sz w:val="20"/>
          <w:szCs w:val="20"/>
        </w:rPr>
        <w:t xml:space="preserve">prepare </w:t>
      </w:r>
      <w:r w:rsidRPr="005722A6">
        <w:rPr>
          <w:rFonts w:asciiTheme="majorHAnsi" w:hAnsiTheme="majorHAnsi"/>
          <w:sz w:val="20"/>
          <w:szCs w:val="20"/>
        </w:rPr>
        <w:t xml:space="preserve">individual State </w:t>
      </w:r>
      <w:r w:rsidR="00B31C5C" w:rsidRPr="005722A6">
        <w:rPr>
          <w:rFonts w:asciiTheme="majorHAnsi" w:hAnsiTheme="majorHAnsi"/>
          <w:sz w:val="20"/>
          <w:szCs w:val="20"/>
        </w:rPr>
        <w:t>I</w:t>
      </w:r>
      <w:r w:rsidR="003B70FC">
        <w:rPr>
          <w:rFonts w:asciiTheme="majorHAnsi" w:hAnsiTheme="majorHAnsi"/>
          <w:sz w:val="20"/>
          <w:szCs w:val="20"/>
        </w:rPr>
        <w:t>ntegrated Land and Seascape Management Plans (I</w:t>
      </w:r>
      <w:r w:rsidR="00B31C5C" w:rsidRPr="005722A6">
        <w:rPr>
          <w:rFonts w:asciiTheme="majorHAnsi" w:hAnsiTheme="majorHAnsi"/>
          <w:sz w:val="20"/>
          <w:szCs w:val="20"/>
        </w:rPr>
        <w:t>LSM</w:t>
      </w:r>
      <w:r w:rsidR="003B70FC">
        <w:rPr>
          <w:rFonts w:asciiTheme="majorHAnsi" w:hAnsiTheme="majorHAnsi"/>
          <w:sz w:val="20"/>
          <w:szCs w:val="20"/>
        </w:rPr>
        <w:t>Ps)</w:t>
      </w:r>
      <w:r w:rsidR="00B82871">
        <w:rPr>
          <w:rFonts w:asciiTheme="majorHAnsi" w:hAnsiTheme="majorHAnsi"/>
          <w:sz w:val="20"/>
          <w:szCs w:val="20"/>
        </w:rPr>
        <w:t>, which will feed into</w:t>
      </w:r>
      <w:r w:rsidR="00B05D74">
        <w:rPr>
          <w:rFonts w:asciiTheme="majorHAnsi" w:hAnsiTheme="majorHAnsi"/>
          <w:sz w:val="20"/>
          <w:szCs w:val="20"/>
        </w:rPr>
        <w:t xml:space="preserve"> a draft</w:t>
      </w:r>
      <w:r w:rsidR="00B82871">
        <w:rPr>
          <w:rFonts w:asciiTheme="majorHAnsi" w:hAnsiTheme="majorHAnsi"/>
          <w:sz w:val="20"/>
          <w:szCs w:val="20"/>
        </w:rPr>
        <w:t xml:space="preserve"> ILSMS</w:t>
      </w:r>
      <w:r w:rsidR="00B05D74">
        <w:rPr>
          <w:rFonts w:asciiTheme="majorHAnsi" w:hAnsiTheme="majorHAnsi"/>
          <w:sz w:val="20"/>
          <w:szCs w:val="20"/>
        </w:rPr>
        <w:t xml:space="preserve"> that will be finalized once all plans are </w:t>
      </w:r>
      <w:r w:rsidR="00BD402F">
        <w:rPr>
          <w:rFonts w:asciiTheme="majorHAnsi" w:hAnsiTheme="majorHAnsi"/>
          <w:sz w:val="20"/>
          <w:szCs w:val="20"/>
        </w:rPr>
        <w:t>finalized</w:t>
      </w:r>
      <w:r w:rsidR="00B05D74">
        <w:rPr>
          <w:rStyle w:val="FootnoteReference"/>
          <w:szCs w:val="20"/>
        </w:rPr>
        <w:footnoteReference w:id="9"/>
      </w:r>
      <w:r w:rsidRPr="005722A6">
        <w:rPr>
          <w:rFonts w:asciiTheme="majorHAnsi" w:hAnsiTheme="majorHAnsi"/>
          <w:sz w:val="20"/>
          <w:szCs w:val="20"/>
        </w:rPr>
        <w:t>.</w:t>
      </w:r>
      <w:r w:rsidR="00711A89" w:rsidRPr="005722A6">
        <w:rPr>
          <w:rFonts w:asciiTheme="majorHAnsi" w:hAnsiTheme="majorHAnsi"/>
          <w:sz w:val="20"/>
          <w:szCs w:val="20"/>
        </w:rPr>
        <w:t xml:space="preserve"> Individual state planning teams will be formed under the umbrella of the J</w:t>
      </w:r>
      <w:r w:rsidR="0086491E">
        <w:rPr>
          <w:rFonts w:asciiTheme="majorHAnsi" w:hAnsiTheme="majorHAnsi"/>
          <w:sz w:val="20"/>
          <w:szCs w:val="20"/>
        </w:rPr>
        <w:t xml:space="preserve">CB </w:t>
      </w:r>
      <w:r w:rsidR="00711A89" w:rsidRPr="005722A6">
        <w:rPr>
          <w:rFonts w:asciiTheme="majorHAnsi" w:hAnsiTheme="majorHAnsi"/>
          <w:sz w:val="20"/>
          <w:szCs w:val="20"/>
        </w:rPr>
        <w:t>to facilitate land/seascape planning and ensure the integration of the ILSM</w:t>
      </w:r>
      <w:r w:rsidR="0086491E">
        <w:rPr>
          <w:rFonts w:asciiTheme="majorHAnsi" w:hAnsiTheme="majorHAnsi"/>
          <w:sz w:val="20"/>
          <w:szCs w:val="20"/>
        </w:rPr>
        <w:t>S</w:t>
      </w:r>
      <w:r w:rsidR="00B31C5C" w:rsidRPr="005722A6">
        <w:rPr>
          <w:rFonts w:asciiTheme="majorHAnsi" w:hAnsiTheme="majorHAnsi"/>
          <w:sz w:val="20"/>
          <w:szCs w:val="20"/>
        </w:rPr>
        <w:t xml:space="preserve"> </w:t>
      </w:r>
      <w:r w:rsidR="0086491E">
        <w:rPr>
          <w:rFonts w:asciiTheme="majorHAnsi" w:hAnsiTheme="majorHAnsi"/>
          <w:sz w:val="20"/>
          <w:szCs w:val="20"/>
        </w:rPr>
        <w:t>principles</w:t>
      </w:r>
      <w:r w:rsidR="0086491E" w:rsidRPr="005722A6">
        <w:rPr>
          <w:rFonts w:asciiTheme="majorHAnsi" w:hAnsiTheme="majorHAnsi"/>
          <w:sz w:val="20"/>
          <w:szCs w:val="20"/>
        </w:rPr>
        <w:t xml:space="preserve"> </w:t>
      </w:r>
      <w:r w:rsidRPr="005722A6">
        <w:rPr>
          <w:rFonts w:asciiTheme="majorHAnsi" w:hAnsiTheme="majorHAnsi"/>
          <w:sz w:val="20"/>
          <w:szCs w:val="20"/>
        </w:rPr>
        <w:t xml:space="preserve">into the individual state </w:t>
      </w:r>
      <w:r w:rsidR="00B31C5C" w:rsidRPr="005722A6">
        <w:rPr>
          <w:rFonts w:asciiTheme="majorHAnsi" w:hAnsiTheme="majorHAnsi"/>
          <w:sz w:val="20"/>
          <w:szCs w:val="20"/>
        </w:rPr>
        <w:t>ILSMPs</w:t>
      </w:r>
      <w:r w:rsidRPr="005722A6">
        <w:rPr>
          <w:rFonts w:asciiTheme="majorHAnsi" w:hAnsiTheme="majorHAnsi"/>
          <w:sz w:val="20"/>
          <w:szCs w:val="20"/>
        </w:rPr>
        <w:t xml:space="preserve">. </w:t>
      </w:r>
      <w:r w:rsidR="00B87774" w:rsidRPr="005722A6">
        <w:rPr>
          <w:rFonts w:asciiTheme="majorHAnsi" w:hAnsiTheme="majorHAnsi"/>
          <w:sz w:val="20"/>
          <w:szCs w:val="20"/>
        </w:rPr>
        <w:t xml:space="preserve">The HVCFs and </w:t>
      </w:r>
      <w:r w:rsidR="00E04E15" w:rsidRPr="005722A6">
        <w:rPr>
          <w:rFonts w:asciiTheme="majorHAnsi" w:hAnsiTheme="majorHAnsi"/>
          <w:sz w:val="20"/>
          <w:szCs w:val="20"/>
        </w:rPr>
        <w:t>HCVM</w:t>
      </w:r>
      <w:r w:rsidR="00E04E15">
        <w:rPr>
          <w:rFonts w:asciiTheme="majorHAnsi" w:hAnsiTheme="majorHAnsi"/>
          <w:sz w:val="20"/>
          <w:szCs w:val="20"/>
        </w:rPr>
        <w:t>A</w:t>
      </w:r>
      <w:r w:rsidR="00E04E15" w:rsidRPr="005722A6">
        <w:rPr>
          <w:rFonts w:asciiTheme="majorHAnsi" w:hAnsiTheme="majorHAnsi"/>
          <w:sz w:val="20"/>
          <w:szCs w:val="20"/>
        </w:rPr>
        <w:t xml:space="preserve">s </w:t>
      </w:r>
      <w:r w:rsidR="0086491E">
        <w:rPr>
          <w:rFonts w:asciiTheme="majorHAnsi" w:hAnsiTheme="majorHAnsi"/>
          <w:sz w:val="20"/>
          <w:szCs w:val="20"/>
        </w:rPr>
        <w:t>will</w:t>
      </w:r>
      <w:r w:rsidR="0086491E" w:rsidRPr="005722A6">
        <w:rPr>
          <w:rFonts w:asciiTheme="majorHAnsi" w:hAnsiTheme="majorHAnsi"/>
          <w:sz w:val="20"/>
          <w:szCs w:val="20"/>
        </w:rPr>
        <w:t xml:space="preserve"> </w:t>
      </w:r>
      <w:r w:rsidR="00B87774" w:rsidRPr="005722A6">
        <w:rPr>
          <w:rFonts w:asciiTheme="majorHAnsi" w:hAnsiTheme="majorHAnsi"/>
          <w:sz w:val="20"/>
          <w:szCs w:val="20"/>
        </w:rPr>
        <w:t xml:space="preserve">be legislated </w:t>
      </w:r>
      <w:r w:rsidR="00711A89" w:rsidRPr="005722A6">
        <w:rPr>
          <w:rFonts w:asciiTheme="majorHAnsi" w:hAnsiTheme="majorHAnsi"/>
          <w:sz w:val="20"/>
          <w:szCs w:val="20"/>
        </w:rPr>
        <w:t>by</w:t>
      </w:r>
      <w:r w:rsidR="00B87774" w:rsidRPr="005722A6">
        <w:rPr>
          <w:rFonts w:asciiTheme="majorHAnsi" w:hAnsiTheme="majorHAnsi"/>
          <w:sz w:val="20"/>
          <w:szCs w:val="20"/>
        </w:rPr>
        <w:t xml:space="preserve"> the individual stat</w:t>
      </w:r>
      <w:r w:rsidR="009C4467" w:rsidRPr="005722A6">
        <w:rPr>
          <w:rFonts w:asciiTheme="majorHAnsi" w:hAnsiTheme="majorHAnsi"/>
          <w:sz w:val="20"/>
          <w:szCs w:val="20"/>
        </w:rPr>
        <w:t>es</w:t>
      </w:r>
      <w:r w:rsidR="00711A89" w:rsidRPr="005722A6">
        <w:rPr>
          <w:rFonts w:asciiTheme="majorHAnsi" w:hAnsiTheme="majorHAnsi"/>
          <w:sz w:val="20"/>
          <w:szCs w:val="20"/>
        </w:rPr>
        <w:t xml:space="preserve">. Restrictions and other controls to infrastructure development will be proposed, with a view to conserve high value </w:t>
      </w:r>
      <w:r w:rsidR="00BF7558">
        <w:rPr>
          <w:rFonts w:asciiTheme="majorHAnsi" w:hAnsiTheme="majorHAnsi"/>
          <w:sz w:val="20"/>
          <w:szCs w:val="20"/>
        </w:rPr>
        <w:t>biodiversity</w:t>
      </w:r>
      <w:r w:rsidR="00BD402F">
        <w:rPr>
          <w:rFonts w:asciiTheme="majorHAnsi" w:hAnsiTheme="majorHAnsi"/>
          <w:sz w:val="20"/>
          <w:szCs w:val="20"/>
        </w:rPr>
        <w:t>, ecosystems and genes</w:t>
      </w:r>
      <w:r w:rsidR="00711A89" w:rsidRPr="005722A6">
        <w:rPr>
          <w:rFonts w:asciiTheme="majorHAnsi" w:hAnsiTheme="majorHAnsi"/>
          <w:sz w:val="20"/>
          <w:szCs w:val="20"/>
        </w:rPr>
        <w:t xml:space="preserve">. These will be developed in line with the standards and certification under </w:t>
      </w:r>
      <w:r w:rsidR="00B31C5C" w:rsidRPr="005722A6">
        <w:rPr>
          <w:rFonts w:asciiTheme="majorHAnsi" w:hAnsiTheme="majorHAnsi"/>
          <w:sz w:val="20"/>
          <w:szCs w:val="20"/>
        </w:rPr>
        <w:t>Outcome</w:t>
      </w:r>
      <w:r w:rsidR="00711A89" w:rsidRPr="005722A6">
        <w:rPr>
          <w:rFonts w:asciiTheme="majorHAnsi" w:hAnsiTheme="majorHAnsi"/>
          <w:sz w:val="20"/>
          <w:szCs w:val="20"/>
        </w:rPr>
        <w:t xml:space="preserve"> 1. </w:t>
      </w:r>
    </w:p>
    <w:p w14:paraId="692234F1" w14:textId="77777777" w:rsidR="00711A89" w:rsidRPr="005722A6" w:rsidRDefault="00711A89" w:rsidP="00B87774">
      <w:pPr>
        <w:spacing w:after="0"/>
        <w:rPr>
          <w:rFonts w:asciiTheme="majorHAnsi" w:hAnsiTheme="majorHAnsi"/>
          <w:sz w:val="20"/>
          <w:szCs w:val="20"/>
        </w:rPr>
      </w:pPr>
    </w:p>
    <w:p w14:paraId="2D755368" w14:textId="15B25CB2" w:rsidR="0024019F" w:rsidRPr="005722A6" w:rsidRDefault="003B70FC" w:rsidP="00B87774">
      <w:pPr>
        <w:spacing w:after="0"/>
        <w:rPr>
          <w:rFonts w:asciiTheme="majorHAnsi" w:hAnsiTheme="majorHAnsi"/>
          <w:sz w:val="20"/>
          <w:szCs w:val="20"/>
        </w:rPr>
      </w:pPr>
      <w:r w:rsidRPr="005722A6">
        <w:rPr>
          <w:rFonts w:asciiTheme="majorHAnsi" w:hAnsiTheme="majorHAnsi"/>
          <w:sz w:val="20"/>
          <w:szCs w:val="20"/>
        </w:rPr>
        <w:t>Th</w:t>
      </w:r>
      <w:r>
        <w:rPr>
          <w:rFonts w:asciiTheme="majorHAnsi" w:hAnsiTheme="majorHAnsi"/>
          <w:sz w:val="20"/>
          <w:szCs w:val="20"/>
        </w:rPr>
        <w:t>e</w:t>
      </w:r>
      <w:r w:rsidRPr="005722A6">
        <w:rPr>
          <w:rFonts w:asciiTheme="majorHAnsi" w:hAnsiTheme="majorHAnsi"/>
          <w:sz w:val="20"/>
          <w:szCs w:val="20"/>
        </w:rPr>
        <w:t xml:space="preserve"> </w:t>
      </w:r>
      <w:r w:rsidR="005D6B39">
        <w:rPr>
          <w:rFonts w:asciiTheme="majorHAnsi" w:hAnsiTheme="majorHAnsi"/>
          <w:sz w:val="20"/>
          <w:szCs w:val="20"/>
        </w:rPr>
        <w:t>p</w:t>
      </w:r>
      <w:r w:rsidR="00711A89" w:rsidRPr="005722A6">
        <w:rPr>
          <w:rFonts w:asciiTheme="majorHAnsi" w:hAnsiTheme="majorHAnsi"/>
          <w:sz w:val="20"/>
          <w:szCs w:val="20"/>
        </w:rPr>
        <w:t>roject proposes a significant transformative element: concurrent implementation of best practices while land/seascape planning is ongoing</w:t>
      </w:r>
      <w:r w:rsidR="00667639">
        <w:rPr>
          <w:rFonts w:asciiTheme="majorHAnsi" w:hAnsiTheme="majorHAnsi"/>
          <w:sz w:val="20"/>
          <w:szCs w:val="20"/>
        </w:rPr>
        <w:t>.</w:t>
      </w:r>
      <w:r w:rsidR="00711A89" w:rsidRPr="00667639">
        <w:rPr>
          <w:rFonts w:asciiTheme="majorHAnsi" w:hAnsiTheme="majorHAnsi"/>
          <w:sz w:val="20"/>
          <w:szCs w:val="20"/>
        </w:rPr>
        <w:t xml:space="preserve"> This will </w:t>
      </w:r>
      <w:r w:rsidR="005D6B39">
        <w:rPr>
          <w:rFonts w:asciiTheme="majorHAnsi" w:hAnsiTheme="majorHAnsi"/>
          <w:sz w:val="20"/>
          <w:szCs w:val="20"/>
        </w:rPr>
        <w:t>address</w:t>
      </w:r>
      <w:r w:rsidR="00711A89" w:rsidRPr="00667639">
        <w:rPr>
          <w:rFonts w:asciiTheme="majorHAnsi" w:hAnsiTheme="majorHAnsi"/>
          <w:sz w:val="20"/>
          <w:szCs w:val="20"/>
        </w:rPr>
        <w:t xml:space="preserve"> the </w:t>
      </w:r>
      <w:r w:rsidR="005D6B39">
        <w:rPr>
          <w:rFonts w:asciiTheme="majorHAnsi" w:hAnsiTheme="majorHAnsi"/>
          <w:sz w:val="20"/>
          <w:szCs w:val="20"/>
        </w:rPr>
        <w:t>issue</w:t>
      </w:r>
      <w:r w:rsidR="00711A89" w:rsidRPr="00667639">
        <w:rPr>
          <w:rFonts w:asciiTheme="majorHAnsi" w:hAnsiTheme="majorHAnsi"/>
          <w:sz w:val="20"/>
          <w:szCs w:val="20"/>
        </w:rPr>
        <w:t xml:space="preserve"> of having plans elaborated but then </w:t>
      </w:r>
      <w:r w:rsidR="005D6B39">
        <w:rPr>
          <w:rFonts w:asciiTheme="majorHAnsi" w:hAnsiTheme="majorHAnsi"/>
          <w:sz w:val="20"/>
          <w:szCs w:val="20"/>
        </w:rPr>
        <w:t>never implemented during the life of the project</w:t>
      </w:r>
      <w:r w:rsidR="00711A89" w:rsidRPr="00667639">
        <w:rPr>
          <w:rFonts w:asciiTheme="majorHAnsi" w:hAnsiTheme="majorHAnsi"/>
          <w:sz w:val="20"/>
          <w:szCs w:val="20"/>
        </w:rPr>
        <w:t xml:space="preserve">. Based on the national </w:t>
      </w:r>
      <w:r w:rsidR="000557EF" w:rsidRPr="00667639">
        <w:rPr>
          <w:rFonts w:asciiTheme="majorHAnsi" w:hAnsiTheme="majorHAnsi"/>
          <w:sz w:val="20"/>
          <w:szCs w:val="20"/>
        </w:rPr>
        <w:t>I</w:t>
      </w:r>
      <w:r w:rsidR="00373429" w:rsidRPr="00667639">
        <w:rPr>
          <w:rFonts w:asciiTheme="majorHAnsi" w:hAnsiTheme="majorHAnsi"/>
          <w:sz w:val="20"/>
          <w:szCs w:val="20"/>
        </w:rPr>
        <w:t>ntegrated Land and Seascape Management Framework (I</w:t>
      </w:r>
      <w:r w:rsidR="000557EF" w:rsidRPr="00667639">
        <w:rPr>
          <w:rFonts w:asciiTheme="majorHAnsi" w:hAnsiTheme="majorHAnsi"/>
          <w:sz w:val="20"/>
          <w:szCs w:val="20"/>
        </w:rPr>
        <w:t>LSM</w:t>
      </w:r>
      <w:r w:rsidR="00373429" w:rsidRPr="00667639">
        <w:rPr>
          <w:rFonts w:asciiTheme="majorHAnsi" w:hAnsiTheme="majorHAnsi"/>
          <w:sz w:val="20"/>
          <w:szCs w:val="20"/>
        </w:rPr>
        <w:t>F)</w:t>
      </w:r>
      <w:r w:rsidR="00DF3E01" w:rsidRPr="00667639">
        <w:rPr>
          <w:rFonts w:asciiTheme="majorHAnsi" w:hAnsiTheme="majorHAnsi"/>
          <w:sz w:val="20"/>
          <w:szCs w:val="20"/>
        </w:rPr>
        <w:t>, Babeldoah Island I</w:t>
      </w:r>
      <w:r w:rsidR="00373429" w:rsidRPr="00667639">
        <w:rPr>
          <w:rFonts w:asciiTheme="majorHAnsi" w:hAnsiTheme="majorHAnsi"/>
          <w:sz w:val="20"/>
          <w:szCs w:val="20"/>
        </w:rPr>
        <w:t xml:space="preserve">ntegrated Land and Seascape Management Strategy (ILSMS) </w:t>
      </w:r>
      <w:r w:rsidR="00711A89" w:rsidRPr="00667639">
        <w:rPr>
          <w:rFonts w:asciiTheme="majorHAnsi" w:hAnsiTheme="majorHAnsi"/>
          <w:sz w:val="20"/>
          <w:szCs w:val="20"/>
        </w:rPr>
        <w:t xml:space="preserve">and initial state planning efforts, states will be able to select from a suite of Best Practices </w:t>
      </w:r>
      <w:r w:rsidR="00133F80" w:rsidRPr="00667639">
        <w:rPr>
          <w:rFonts w:asciiTheme="majorHAnsi" w:hAnsiTheme="majorHAnsi"/>
          <w:sz w:val="20"/>
          <w:szCs w:val="20"/>
        </w:rPr>
        <w:t xml:space="preserve">(and alternative livelihood activities) </w:t>
      </w:r>
      <w:r w:rsidR="00711A89" w:rsidRPr="00667639">
        <w:rPr>
          <w:rFonts w:asciiTheme="majorHAnsi" w:hAnsiTheme="majorHAnsi"/>
          <w:sz w:val="20"/>
          <w:szCs w:val="20"/>
        </w:rPr>
        <w:t>(</w:t>
      </w:r>
      <w:r w:rsidR="00711A89" w:rsidRPr="005D6B39">
        <w:rPr>
          <w:rFonts w:asciiTheme="majorHAnsi" w:hAnsiTheme="majorHAnsi"/>
          <w:b/>
          <w:sz w:val="20"/>
          <w:szCs w:val="20"/>
        </w:rPr>
        <w:t xml:space="preserve">Annex </w:t>
      </w:r>
      <w:r w:rsidR="00DF3E01" w:rsidRPr="005D6B39">
        <w:rPr>
          <w:rFonts w:asciiTheme="majorHAnsi" w:hAnsiTheme="majorHAnsi"/>
          <w:b/>
          <w:sz w:val="20"/>
          <w:szCs w:val="20"/>
        </w:rPr>
        <w:t>4</w:t>
      </w:r>
      <w:r w:rsidR="00B87D6D" w:rsidRPr="00667639">
        <w:rPr>
          <w:rFonts w:asciiTheme="majorHAnsi" w:hAnsiTheme="majorHAnsi"/>
          <w:sz w:val="20"/>
          <w:szCs w:val="20"/>
        </w:rPr>
        <w:t>,</w:t>
      </w:r>
      <w:r w:rsidR="00B87D6D" w:rsidRPr="005722A6">
        <w:rPr>
          <w:rFonts w:asciiTheme="majorHAnsi" w:hAnsiTheme="majorHAnsi"/>
          <w:sz w:val="20"/>
          <w:szCs w:val="20"/>
        </w:rPr>
        <w:t xml:space="preserve"> Attachment</w:t>
      </w:r>
      <w:r w:rsidR="005D6B39">
        <w:rPr>
          <w:rFonts w:asciiTheme="majorHAnsi" w:hAnsiTheme="majorHAnsi"/>
          <w:sz w:val="20"/>
          <w:szCs w:val="20"/>
        </w:rPr>
        <w:t>s</w:t>
      </w:r>
      <w:r w:rsidR="00B87D6D" w:rsidRPr="005722A6">
        <w:rPr>
          <w:rFonts w:asciiTheme="majorHAnsi" w:hAnsiTheme="majorHAnsi"/>
          <w:sz w:val="20"/>
          <w:szCs w:val="20"/>
        </w:rPr>
        <w:t xml:space="preserve"> 1</w:t>
      </w:r>
      <w:r w:rsidR="00133F80" w:rsidRPr="005722A6">
        <w:rPr>
          <w:rFonts w:asciiTheme="majorHAnsi" w:hAnsiTheme="majorHAnsi"/>
          <w:sz w:val="20"/>
          <w:szCs w:val="20"/>
        </w:rPr>
        <w:t xml:space="preserve"> and 2</w:t>
      </w:r>
      <w:r w:rsidR="00DF3E01" w:rsidRPr="005722A6">
        <w:rPr>
          <w:rFonts w:asciiTheme="majorHAnsi" w:hAnsiTheme="majorHAnsi"/>
          <w:sz w:val="20"/>
          <w:szCs w:val="20"/>
        </w:rPr>
        <w:t xml:space="preserve">) </w:t>
      </w:r>
      <w:r w:rsidR="00711A89" w:rsidRPr="005722A6">
        <w:rPr>
          <w:rFonts w:asciiTheme="majorHAnsi" w:hAnsiTheme="majorHAnsi"/>
          <w:sz w:val="20"/>
          <w:szCs w:val="20"/>
        </w:rPr>
        <w:t>in the five sectors (agriculture, aquaculture, fisheries, forestry, and sustainable tourism) for implementation and adaptive feedback into the planning process. This will include development and promotion of sustainable, biodiversity friendly ecotourism products on Babeldaob</w:t>
      </w:r>
      <w:r w:rsidR="005D6B39">
        <w:rPr>
          <w:rFonts w:asciiTheme="majorHAnsi" w:hAnsiTheme="majorHAnsi"/>
          <w:sz w:val="20"/>
          <w:szCs w:val="20"/>
        </w:rPr>
        <w:t>;</w:t>
      </w:r>
      <w:r w:rsidR="00711A89" w:rsidRPr="005722A6" w:rsidDel="00711A89">
        <w:rPr>
          <w:rFonts w:asciiTheme="majorHAnsi" w:hAnsiTheme="majorHAnsi"/>
          <w:sz w:val="20"/>
          <w:szCs w:val="20"/>
        </w:rPr>
        <w:t xml:space="preserve"> </w:t>
      </w:r>
      <w:r w:rsidR="00711A89" w:rsidRPr="005722A6">
        <w:rPr>
          <w:rFonts w:asciiTheme="majorHAnsi" w:hAnsiTheme="majorHAnsi"/>
          <w:sz w:val="20"/>
          <w:szCs w:val="20"/>
        </w:rPr>
        <w:t>and c</w:t>
      </w:r>
      <w:r w:rsidR="00B87774" w:rsidRPr="005722A6">
        <w:rPr>
          <w:rFonts w:asciiTheme="majorHAnsi" w:hAnsiTheme="majorHAnsi"/>
          <w:sz w:val="20"/>
          <w:szCs w:val="20"/>
        </w:rPr>
        <w:t>ommunity</w:t>
      </w:r>
      <w:r w:rsidR="005D6B39">
        <w:rPr>
          <w:rFonts w:asciiTheme="majorHAnsi" w:hAnsiTheme="majorHAnsi"/>
          <w:sz w:val="20"/>
          <w:szCs w:val="20"/>
        </w:rPr>
        <w:t>-</w:t>
      </w:r>
      <w:r w:rsidR="00B87774" w:rsidRPr="005722A6">
        <w:rPr>
          <w:rFonts w:asciiTheme="majorHAnsi" w:hAnsiTheme="majorHAnsi"/>
          <w:sz w:val="20"/>
          <w:szCs w:val="20"/>
        </w:rPr>
        <w:t>based restoration of approximately 1,000</w:t>
      </w:r>
      <w:r w:rsidR="0086491E">
        <w:rPr>
          <w:rFonts w:asciiTheme="majorHAnsi" w:hAnsiTheme="majorHAnsi"/>
          <w:sz w:val="20"/>
          <w:szCs w:val="20"/>
        </w:rPr>
        <w:t xml:space="preserve"> </w:t>
      </w:r>
      <w:r w:rsidR="00B87774" w:rsidRPr="005722A6">
        <w:rPr>
          <w:rFonts w:asciiTheme="majorHAnsi" w:hAnsiTheme="majorHAnsi"/>
          <w:sz w:val="20"/>
          <w:szCs w:val="20"/>
        </w:rPr>
        <w:t xml:space="preserve">ha of degraded forest and </w:t>
      </w:r>
      <w:r w:rsidR="0086491E">
        <w:rPr>
          <w:rFonts w:asciiTheme="majorHAnsi" w:hAnsiTheme="majorHAnsi"/>
          <w:sz w:val="20"/>
          <w:szCs w:val="20"/>
        </w:rPr>
        <w:t>savannah lands</w:t>
      </w:r>
      <w:r w:rsidR="00B87774" w:rsidRPr="005722A6">
        <w:rPr>
          <w:rFonts w:asciiTheme="majorHAnsi" w:hAnsiTheme="majorHAnsi"/>
          <w:sz w:val="20"/>
          <w:szCs w:val="20"/>
        </w:rPr>
        <w:t xml:space="preserve"> </w:t>
      </w:r>
      <w:r w:rsidR="00711A89" w:rsidRPr="005722A6">
        <w:rPr>
          <w:rFonts w:asciiTheme="majorHAnsi" w:hAnsiTheme="majorHAnsi"/>
          <w:sz w:val="20"/>
          <w:szCs w:val="20"/>
        </w:rPr>
        <w:t xml:space="preserve">in </w:t>
      </w:r>
      <w:r w:rsidR="00B87774" w:rsidRPr="005722A6">
        <w:rPr>
          <w:rFonts w:asciiTheme="majorHAnsi" w:hAnsiTheme="majorHAnsi"/>
          <w:sz w:val="20"/>
          <w:szCs w:val="20"/>
        </w:rPr>
        <w:t>strategic areas</w:t>
      </w:r>
      <w:r w:rsidR="00711A89" w:rsidRPr="005722A6">
        <w:rPr>
          <w:rFonts w:asciiTheme="majorHAnsi" w:hAnsiTheme="majorHAnsi"/>
          <w:sz w:val="20"/>
          <w:szCs w:val="20"/>
        </w:rPr>
        <w:t xml:space="preserve">. </w:t>
      </w:r>
      <w:r w:rsidR="0024019F" w:rsidRPr="005722A6">
        <w:rPr>
          <w:rFonts w:asciiTheme="majorHAnsi" w:hAnsiTheme="majorHAnsi"/>
          <w:sz w:val="20"/>
          <w:szCs w:val="20"/>
        </w:rPr>
        <w:t>The project will also support local communities/C</w:t>
      </w:r>
      <w:r w:rsidR="00373429">
        <w:rPr>
          <w:rFonts w:asciiTheme="majorHAnsi" w:hAnsiTheme="majorHAnsi"/>
          <w:sz w:val="20"/>
          <w:szCs w:val="20"/>
        </w:rPr>
        <w:t>ommunity</w:t>
      </w:r>
      <w:r w:rsidR="005D6B39">
        <w:rPr>
          <w:rFonts w:asciiTheme="majorHAnsi" w:hAnsiTheme="majorHAnsi"/>
          <w:sz w:val="20"/>
          <w:szCs w:val="20"/>
        </w:rPr>
        <w:t>-b</w:t>
      </w:r>
      <w:r w:rsidR="00373429">
        <w:rPr>
          <w:rFonts w:asciiTheme="majorHAnsi" w:hAnsiTheme="majorHAnsi"/>
          <w:sz w:val="20"/>
          <w:szCs w:val="20"/>
        </w:rPr>
        <w:t>ased Organizations (C</w:t>
      </w:r>
      <w:r w:rsidR="0024019F" w:rsidRPr="005722A6">
        <w:rPr>
          <w:rFonts w:asciiTheme="majorHAnsi" w:hAnsiTheme="majorHAnsi"/>
          <w:sz w:val="20"/>
          <w:szCs w:val="20"/>
        </w:rPr>
        <w:t>BO</w:t>
      </w:r>
      <w:r w:rsidR="00373429">
        <w:rPr>
          <w:rFonts w:asciiTheme="majorHAnsi" w:hAnsiTheme="majorHAnsi"/>
          <w:sz w:val="20"/>
          <w:szCs w:val="20"/>
        </w:rPr>
        <w:t>s)</w:t>
      </w:r>
      <w:r w:rsidR="0024019F" w:rsidRPr="005722A6">
        <w:rPr>
          <w:rFonts w:asciiTheme="majorHAnsi" w:hAnsiTheme="majorHAnsi"/>
          <w:sz w:val="20"/>
          <w:szCs w:val="20"/>
        </w:rPr>
        <w:t xml:space="preserve"> to implement biodiversity friendly sustainable land, coastal and marine management best practices in 500ha, such as organic agroforestry using only native tree species, conservation agriculture, conservation fisheries, etc., along with business plans to sustain these. Interstate, intra-state (for specific sites) and inter-island biosecurity (including implementation of the NISSAP and testing of the EDRR) on Babeldaob will also be supported.</w:t>
      </w:r>
    </w:p>
    <w:p w14:paraId="65085518" w14:textId="77777777" w:rsidR="0024019F" w:rsidRPr="005722A6" w:rsidRDefault="0024019F" w:rsidP="00B87774">
      <w:pPr>
        <w:spacing w:after="0"/>
        <w:rPr>
          <w:rFonts w:asciiTheme="majorHAnsi" w:hAnsiTheme="majorHAnsi"/>
          <w:sz w:val="20"/>
          <w:szCs w:val="20"/>
        </w:rPr>
      </w:pPr>
    </w:p>
    <w:p w14:paraId="10A153E2" w14:textId="43A5163D" w:rsidR="00B87774" w:rsidRPr="005722A6" w:rsidRDefault="00B87774" w:rsidP="00B87774">
      <w:pPr>
        <w:spacing w:after="0"/>
        <w:rPr>
          <w:rFonts w:asciiTheme="majorHAnsi" w:hAnsiTheme="majorHAnsi"/>
          <w:sz w:val="20"/>
          <w:szCs w:val="20"/>
        </w:rPr>
      </w:pPr>
      <w:r w:rsidRPr="005722A6">
        <w:rPr>
          <w:rFonts w:asciiTheme="majorHAnsi" w:hAnsiTheme="majorHAnsi"/>
          <w:sz w:val="20"/>
          <w:szCs w:val="20"/>
        </w:rPr>
        <w:t>Training and support for community-based sustainable forest and marine resources management</w:t>
      </w:r>
      <w:r w:rsidR="00711A89" w:rsidRPr="005722A6">
        <w:rPr>
          <w:rFonts w:asciiTheme="majorHAnsi" w:hAnsiTheme="majorHAnsi"/>
          <w:sz w:val="20"/>
          <w:szCs w:val="20"/>
        </w:rPr>
        <w:t xml:space="preserve">, </w:t>
      </w:r>
      <w:r w:rsidRPr="005722A6">
        <w:rPr>
          <w:rFonts w:asciiTheme="majorHAnsi" w:hAnsiTheme="majorHAnsi"/>
          <w:sz w:val="20"/>
          <w:szCs w:val="20"/>
        </w:rPr>
        <w:t>restoration</w:t>
      </w:r>
      <w:r w:rsidR="00711A89" w:rsidRPr="005722A6">
        <w:rPr>
          <w:rFonts w:asciiTheme="majorHAnsi" w:hAnsiTheme="majorHAnsi"/>
          <w:sz w:val="20"/>
          <w:szCs w:val="20"/>
        </w:rPr>
        <w:t>, and monitoring</w:t>
      </w:r>
      <w:r w:rsidRPr="005722A6">
        <w:rPr>
          <w:rFonts w:asciiTheme="majorHAnsi" w:hAnsiTheme="majorHAnsi"/>
          <w:sz w:val="20"/>
          <w:szCs w:val="20"/>
        </w:rPr>
        <w:t xml:space="preserve"> will aim to link traditional practices with modern techniques. Through this support, the states, communities and target organizations will build their capacity in integrated </w:t>
      </w:r>
      <w:r w:rsidR="005D6B39" w:rsidRPr="005722A6">
        <w:rPr>
          <w:rFonts w:asciiTheme="majorHAnsi" w:hAnsiTheme="majorHAnsi"/>
          <w:sz w:val="20"/>
          <w:szCs w:val="20"/>
        </w:rPr>
        <w:t xml:space="preserve">land and seascape </w:t>
      </w:r>
      <w:r w:rsidRPr="005722A6">
        <w:rPr>
          <w:rFonts w:asciiTheme="majorHAnsi" w:hAnsiTheme="majorHAnsi"/>
          <w:sz w:val="20"/>
          <w:szCs w:val="20"/>
        </w:rPr>
        <w:t>management to maximize ecosystem service and biodiversity benefits. Experiences, results and lessons gained through these demonstrations will be shared at national and state level through the joint coordination platform</w:t>
      </w:r>
      <w:r w:rsidR="0024019F" w:rsidRPr="005722A6">
        <w:rPr>
          <w:rFonts w:asciiTheme="majorHAnsi" w:hAnsiTheme="majorHAnsi"/>
          <w:sz w:val="20"/>
          <w:szCs w:val="20"/>
        </w:rPr>
        <w:t>.</w:t>
      </w:r>
    </w:p>
    <w:p w14:paraId="059B264B" w14:textId="77777777" w:rsidR="00B87774" w:rsidRPr="005722A6" w:rsidRDefault="00B87774" w:rsidP="00B87774">
      <w:pPr>
        <w:spacing w:after="0"/>
        <w:rPr>
          <w:rFonts w:asciiTheme="majorHAnsi" w:hAnsiTheme="majorHAnsi"/>
          <w:sz w:val="20"/>
          <w:szCs w:val="20"/>
        </w:rPr>
      </w:pPr>
    </w:p>
    <w:p w14:paraId="2C18B429" w14:textId="61C302CD" w:rsidR="00B87774" w:rsidRPr="005722A6" w:rsidRDefault="00B87774" w:rsidP="00B87774">
      <w:pPr>
        <w:tabs>
          <w:tab w:val="left" w:pos="360"/>
        </w:tabs>
        <w:contextualSpacing/>
        <w:rPr>
          <w:rFonts w:asciiTheme="majorHAnsi" w:hAnsiTheme="majorHAnsi"/>
          <w:b/>
          <w:i/>
          <w:sz w:val="20"/>
          <w:szCs w:val="20"/>
        </w:rPr>
      </w:pPr>
      <w:r w:rsidRPr="005722A6">
        <w:rPr>
          <w:rFonts w:asciiTheme="majorHAnsi" w:hAnsiTheme="majorHAnsi"/>
          <w:b/>
          <w:i/>
          <w:sz w:val="20"/>
          <w:szCs w:val="20"/>
        </w:rPr>
        <w:t xml:space="preserve">Output 2.1 Integrated land and seascape plans incorporating </w:t>
      </w:r>
      <w:r w:rsidR="006C3327" w:rsidRPr="005722A6">
        <w:rPr>
          <w:rFonts w:asciiTheme="majorHAnsi" w:hAnsiTheme="majorHAnsi"/>
          <w:b/>
          <w:i/>
          <w:sz w:val="20"/>
          <w:szCs w:val="20"/>
        </w:rPr>
        <w:t xml:space="preserve">biodiversity, </w:t>
      </w:r>
      <w:r w:rsidRPr="005722A6">
        <w:rPr>
          <w:rFonts w:asciiTheme="majorHAnsi" w:hAnsiTheme="majorHAnsi"/>
          <w:b/>
          <w:i/>
          <w:sz w:val="20"/>
          <w:szCs w:val="20"/>
        </w:rPr>
        <w:t>ecosystems services, climate adaptation, high conservation value forests and marine resources, IAS prevention and management, community</w:t>
      </w:r>
      <w:r w:rsidR="005D6B39">
        <w:rPr>
          <w:rFonts w:asciiTheme="majorHAnsi" w:hAnsiTheme="majorHAnsi"/>
          <w:b/>
          <w:i/>
          <w:sz w:val="20"/>
          <w:szCs w:val="20"/>
        </w:rPr>
        <w:t>-</w:t>
      </w:r>
      <w:r w:rsidRPr="005722A6">
        <w:rPr>
          <w:rFonts w:asciiTheme="majorHAnsi" w:hAnsiTheme="majorHAnsi"/>
          <w:b/>
          <w:i/>
          <w:sz w:val="20"/>
          <w:szCs w:val="20"/>
        </w:rPr>
        <w:t>based sustainable resource use developed, implemented and enforced</w:t>
      </w:r>
    </w:p>
    <w:p w14:paraId="4AC4431D" w14:textId="77777777" w:rsidR="00B87774" w:rsidRPr="005722A6" w:rsidRDefault="00B87774" w:rsidP="00B87774">
      <w:pPr>
        <w:tabs>
          <w:tab w:val="left" w:pos="360"/>
        </w:tabs>
        <w:contextualSpacing/>
        <w:rPr>
          <w:rFonts w:asciiTheme="majorHAnsi" w:hAnsiTheme="majorHAnsi"/>
          <w:b/>
          <w:i/>
          <w:sz w:val="20"/>
          <w:szCs w:val="20"/>
        </w:rPr>
      </w:pPr>
      <w:r w:rsidRPr="005722A6">
        <w:rPr>
          <w:rFonts w:asciiTheme="majorHAnsi" w:hAnsiTheme="majorHAnsi"/>
          <w:b/>
          <w:i/>
          <w:sz w:val="20"/>
          <w:szCs w:val="20"/>
        </w:rPr>
        <w:t xml:space="preserve"> </w:t>
      </w:r>
    </w:p>
    <w:p w14:paraId="151C50A0" w14:textId="3F6DE8F2" w:rsidR="00791D94" w:rsidRPr="005722A6" w:rsidRDefault="005D6B39" w:rsidP="00791D94">
      <w:pPr>
        <w:tabs>
          <w:tab w:val="left" w:pos="360"/>
        </w:tabs>
        <w:contextualSpacing/>
        <w:rPr>
          <w:rFonts w:asciiTheme="majorHAnsi" w:hAnsiTheme="majorHAnsi"/>
          <w:sz w:val="20"/>
          <w:szCs w:val="20"/>
        </w:rPr>
      </w:pPr>
      <w:r>
        <w:rPr>
          <w:rFonts w:asciiTheme="majorHAnsi" w:hAnsiTheme="majorHAnsi"/>
          <w:sz w:val="20"/>
          <w:szCs w:val="20"/>
        </w:rPr>
        <w:t>T</w:t>
      </w:r>
      <w:r w:rsidR="00791D94" w:rsidRPr="005722A6">
        <w:rPr>
          <w:rFonts w:asciiTheme="majorHAnsi" w:hAnsiTheme="majorHAnsi"/>
          <w:sz w:val="20"/>
          <w:szCs w:val="20"/>
        </w:rPr>
        <w:t>his output</w:t>
      </w:r>
      <w:r>
        <w:rPr>
          <w:rFonts w:asciiTheme="majorHAnsi" w:hAnsiTheme="majorHAnsi"/>
          <w:sz w:val="20"/>
          <w:szCs w:val="20"/>
        </w:rPr>
        <w:t xml:space="preserve"> concerns</w:t>
      </w:r>
      <w:r w:rsidR="00791D94" w:rsidRPr="005722A6">
        <w:rPr>
          <w:rFonts w:asciiTheme="majorHAnsi" w:hAnsiTheme="majorHAnsi"/>
          <w:sz w:val="20"/>
          <w:szCs w:val="20"/>
        </w:rPr>
        <w:t xml:space="preserve"> the elaboration of</w:t>
      </w:r>
      <w:r w:rsidR="00F4282E" w:rsidRPr="005722A6">
        <w:rPr>
          <w:rFonts w:asciiTheme="majorHAnsi" w:hAnsiTheme="majorHAnsi"/>
          <w:sz w:val="20"/>
          <w:szCs w:val="20"/>
        </w:rPr>
        <w:t xml:space="preserve"> an</w:t>
      </w:r>
      <w:r w:rsidR="00791D94" w:rsidRPr="005722A6">
        <w:rPr>
          <w:rFonts w:asciiTheme="majorHAnsi" w:hAnsiTheme="majorHAnsi"/>
          <w:sz w:val="20"/>
          <w:szCs w:val="20"/>
        </w:rPr>
        <w:t xml:space="preserve"> </w:t>
      </w:r>
      <w:r w:rsidR="0086491E">
        <w:rPr>
          <w:rFonts w:asciiTheme="majorHAnsi" w:hAnsiTheme="majorHAnsi"/>
          <w:sz w:val="20"/>
          <w:szCs w:val="20"/>
        </w:rPr>
        <w:t xml:space="preserve">ILSMS </w:t>
      </w:r>
      <w:r w:rsidR="00791D94" w:rsidRPr="005722A6">
        <w:rPr>
          <w:rFonts w:asciiTheme="majorHAnsi" w:hAnsiTheme="majorHAnsi"/>
          <w:sz w:val="20"/>
          <w:szCs w:val="20"/>
        </w:rPr>
        <w:t xml:space="preserve">for Babeldaob </w:t>
      </w:r>
      <w:r w:rsidR="00B31C5C" w:rsidRPr="005722A6">
        <w:rPr>
          <w:rFonts w:asciiTheme="majorHAnsi" w:hAnsiTheme="majorHAnsi"/>
          <w:sz w:val="20"/>
          <w:szCs w:val="20"/>
        </w:rPr>
        <w:t xml:space="preserve">Island </w:t>
      </w:r>
      <w:r w:rsidR="00791D94" w:rsidRPr="005722A6">
        <w:rPr>
          <w:rFonts w:asciiTheme="majorHAnsi" w:hAnsiTheme="majorHAnsi"/>
          <w:sz w:val="20"/>
          <w:szCs w:val="20"/>
        </w:rPr>
        <w:t xml:space="preserve">and the surrounding marine areas to the </w:t>
      </w:r>
      <w:r w:rsidR="00137F8B" w:rsidRPr="005722A6">
        <w:rPr>
          <w:rFonts w:asciiTheme="majorHAnsi" w:hAnsiTheme="majorHAnsi"/>
          <w:sz w:val="20"/>
          <w:szCs w:val="20"/>
        </w:rPr>
        <w:t>coral reef</w:t>
      </w:r>
      <w:r w:rsidR="00791D94" w:rsidRPr="005722A6">
        <w:rPr>
          <w:rFonts w:asciiTheme="majorHAnsi" w:hAnsiTheme="majorHAnsi"/>
          <w:sz w:val="20"/>
          <w:szCs w:val="20"/>
        </w:rPr>
        <w:t xml:space="preserve"> limit</w:t>
      </w:r>
      <w:r w:rsidR="00137F8B" w:rsidRPr="005722A6">
        <w:rPr>
          <w:rFonts w:asciiTheme="majorHAnsi" w:hAnsiTheme="majorHAnsi"/>
          <w:sz w:val="20"/>
          <w:szCs w:val="20"/>
        </w:rPr>
        <w:t>s</w:t>
      </w:r>
      <w:r w:rsidR="00137F8B" w:rsidRPr="005722A6">
        <w:rPr>
          <w:rStyle w:val="FootnoteReference"/>
          <w:rFonts w:asciiTheme="majorHAnsi" w:hAnsiTheme="majorHAnsi"/>
          <w:sz w:val="20"/>
          <w:szCs w:val="20"/>
        </w:rPr>
        <w:footnoteReference w:id="10"/>
      </w:r>
      <w:r w:rsidR="00791D94" w:rsidRPr="005722A6">
        <w:rPr>
          <w:rFonts w:asciiTheme="majorHAnsi" w:hAnsiTheme="majorHAnsi"/>
          <w:sz w:val="20"/>
          <w:szCs w:val="20"/>
        </w:rPr>
        <w:t>.</w:t>
      </w:r>
      <w:r w:rsidR="00F6226F" w:rsidRPr="005722A6">
        <w:rPr>
          <w:rFonts w:asciiTheme="majorHAnsi" w:hAnsiTheme="majorHAnsi"/>
          <w:sz w:val="20"/>
          <w:szCs w:val="20"/>
        </w:rPr>
        <w:t xml:space="preserve"> </w:t>
      </w:r>
      <w:r w:rsidR="00167D78" w:rsidRPr="005722A6">
        <w:rPr>
          <w:rFonts w:asciiTheme="majorHAnsi" w:hAnsiTheme="majorHAnsi"/>
          <w:sz w:val="20"/>
          <w:szCs w:val="20"/>
        </w:rPr>
        <w:t xml:space="preserve">A participatory planning process will be established that complements existing planning processes </w:t>
      </w:r>
      <w:r w:rsidR="00167D78" w:rsidRPr="00667639">
        <w:rPr>
          <w:rFonts w:asciiTheme="majorHAnsi" w:hAnsiTheme="majorHAnsi"/>
          <w:sz w:val="20"/>
          <w:szCs w:val="20"/>
        </w:rPr>
        <w:t>(</w:t>
      </w:r>
      <w:r w:rsidR="00167D78" w:rsidRPr="00B0144F">
        <w:rPr>
          <w:rFonts w:asciiTheme="majorHAnsi" w:hAnsiTheme="majorHAnsi"/>
          <w:b/>
          <w:sz w:val="20"/>
          <w:szCs w:val="20"/>
        </w:rPr>
        <w:t xml:space="preserve">Annex </w:t>
      </w:r>
      <w:r w:rsidR="00575508" w:rsidRPr="00B0144F">
        <w:rPr>
          <w:rFonts w:asciiTheme="majorHAnsi" w:hAnsiTheme="majorHAnsi"/>
          <w:b/>
          <w:sz w:val="20"/>
          <w:szCs w:val="20"/>
        </w:rPr>
        <w:t>4</w:t>
      </w:r>
      <w:r w:rsidR="00167D78" w:rsidRPr="00667639">
        <w:rPr>
          <w:rFonts w:asciiTheme="majorHAnsi" w:hAnsiTheme="majorHAnsi"/>
          <w:sz w:val="20"/>
          <w:szCs w:val="20"/>
        </w:rPr>
        <w:t>).</w:t>
      </w:r>
      <w:r w:rsidR="00167D78" w:rsidRPr="005722A6">
        <w:rPr>
          <w:rFonts w:asciiTheme="majorHAnsi" w:hAnsiTheme="majorHAnsi"/>
          <w:sz w:val="20"/>
          <w:szCs w:val="20"/>
        </w:rPr>
        <w:t xml:space="preserve"> </w:t>
      </w:r>
      <w:r w:rsidR="00791D94" w:rsidRPr="005722A6">
        <w:rPr>
          <w:rFonts w:asciiTheme="majorHAnsi" w:hAnsiTheme="majorHAnsi"/>
          <w:sz w:val="20"/>
          <w:szCs w:val="20"/>
        </w:rPr>
        <w:t>The Plan will be elaborated, shared and adopted through a participat</w:t>
      </w:r>
      <w:r w:rsidR="00B0144F">
        <w:rPr>
          <w:rFonts w:asciiTheme="majorHAnsi" w:hAnsiTheme="majorHAnsi"/>
          <w:sz w:val="20"/>
          <w:szCs w:val="20"/>
        </w:rPr>
        <w:t>ory</w:t>
      </w:r>
      <w:r w:rsidR="00791D94" w:rsidRPr="005722A6">
        <w:rPr>
          <w:rFonts w:asciiTheme="majorHAnsi" w:hAnsiTheme="majorHAnsi"/>
          <w:sz w:val="20"/>
          <w:szCs w:val="20"/>
        </w:rPr>
        <w:t xml:space="preserve"> approach, involving key players (national and state institutions, NGOs, civil society, local communities, private operators, etc.), under the supervision of the </w:t>
      </w:r>
      <w:r w:rsidR="00F4282E" w:rsidRPr="005722A6">
        <w:rPr>
          <w:rFonts w:asciiTheme="majorHAnsi" w:hAnsiTheme="majorHAnsi"/>
          <w:sz w:val="20"/>
          <w:szCs w:val="20"/>
        </w:rPr>
        <w:t>J</w:t>
      </w:r>
      <w:r w:rsidR="002240C1">
        <w:rPr>
          <w:rFonts w:asciiTheme="majorHAnsi" w:hAnsiTheme="majorHAnsi"/>
          <w:sz w:val="20"/>
          <w:szCs w:val="20"/>
        </w:rPr>
        <w:t>CB (</w:t>
      </w:r>
      <w:r w:rsidR="00B56B68" w:rsidRPr="005722A6">
        <w:rPr>
          <w:rFonts w:asciiTheme="majorHAnsi" w:hAnsiTheme="majorHAnsi"/>
          <w:sz w:val="20"/>
          <w:szCs w:val="20"/>
        </w:rPr>
        <w:t>O</w:t>
      </w:r>
      <w:r w:rsidR="00791D94" w:rsidRPr="005722A6">
        <w:rPr>
          <w:rFonts w:asciiTheme="majorHAnsi" w:hAnsiTheme="majorHAnsi"/>
          <w:sz w:val="20"/>
          <w:szCs w:val="20"/>
        </w:rPr>
        <w:t>utput 1.1</w:t>
      </w:r>
      <w:r w:rsidR="002240C1">
        <w:rPr>
          <w:rFonts w:asciiTheme="majorHAnsi" w:hAnsiTheme="majorHAnsi"/>
          <w:sz w:val="20"/>
          <w:szCs w:val="20"/>
        </w:rPr>
        <w:t>)</w:t>
      </w:r>
      <w:r w:rsidR="00791D94" w:rsidRPr="005722A6">
        <w:rPr>
          <w:rFonts w:asciiTheme="majorHAnsi" w:hAnsiTheme="majorHAnsi"/>
          <w:sz w:val="20"/>
          <w:szCs w:val="20"/>
        </w:rPr>
        <w:t>.</w:t>
      </w:r>
      <w:r w:rsidR="00F6226F" w:rsidRPr="005722A6">
        <w:rPr>
          <w:rFonts w:asciiTheme="majorHAnsi" w:hAnsiTheme="majorHAnsi"/>
          <w:sz w:val="20"/>
          <w:szCs w:val="20"/>
        </w:rPr>
        <w:t xml:space="preserve"> </w:t>
      </w:r>
      <w:r w:rsidR="00281F4A" w:rsidRPr="005722A6">
        <w:rPr>
          <w:rFonts w:asciiTheme="majorHAnsi" w:hAnsiTheme="majorHAnsi"/>
          <w:sz w:val="20"/>
          <w:szCs w:val="20"/>
        </w:rPr>
        <w:t xml:space="preserve">The </w:t>
      </w:r>
      <w:r w:rsidR="00B31C5C" w:rsidRPr="005722A6">
        <w:rPr>
          <w:rFonts w:asciiTheme="majorHAnsi" w:hAnsiTheme="majorHAnsi"/>
          <w:sz w:val="20"/>
          <w:szCs w:val="20"/>
        </w:rPr>
        <w:t>ILSM</w:t>
      </w:r>
      <w:r w:rsidR="0086491E">
        <w:rPr>
          <w:rFonts w:asciiTheme="majorHAnsi" w:hAnsiTheme="majorHAnsi"/>
          <w:sz w:val="20"/>
          <w:szCs w:val="20"/>
        </w:rPr>
        <w:t>S</w:t>
      </w:r>
      <w:r w:rsidR="00B31C5C" w:rsidRPr="005722A6">
        <w:rPr>
          <w:rFonts w:asciiTheme="majorHAnsi" w:hAnsiTheme="majorHAnsi"/>
          <w:sz w:val="20"/>
          <w:szCs w:val="20"/>
        </w:rPr>
        <w:t xml:space="preserve"> </w:t>
      </w:r>
      <w:r w:rsidR="00281F4A" w:rsidRPr="005722A6">
        <w:rPr>
          <w:rFonts w:asciiTheme="majorHAnsi" w:hAnsiTheme="majorHAnsi"/>
          <w:sz w:val="20"/>
          <w:szCs w:val="20"/>
        </w:rPr>
        <w:t>for Babeldoa</w:t>
      </w:r>
      <w:r w:rsidR="00F4282E" w:rsidRPr="005722A6">
        <w:rPr>
          <w:rFonts w:asciiTheme="majorHAnsi" w:hAnsiTheme="majorHAnsi"/>
          <w:sz w:val="20"/>
          <w:szCs w:val="20"/>
        </w:rPr>
        <w:t>b</w:t>
      </w:r>
      <w:r w:rsidR="00281F4A" w:rsidRPr="005722A6">
        <w:rPr>
          <w:rFonts w:asciiTheme="majorHAnsi" w:hAnsiTheme="majorHAnsi"/>
          <w:sz w:val="20"/>
          <w:szCs w:val="20"/>
        </w:rPr>
        <w:t xml:space="preserve"> </w:t>
      </w:r>
      <w:r w:rsidR="00B31C5C" w:rsidRPr="005722A6">
        <w:rPr>
          <w:rFonts w:asciiTheme="majorHAnsi" w:hAnsiTheme="majorHAnsi"/>
          <w:sz w:val="20"/>
          <w:szCs w:val="20"/>
        </w:rPr>
        <w:t xml:space="preserve">Island </w:t>
      </w:r>
      <w:r w:rsidR="00B0144F">
        <w:rPr>
          <w:rFonts w:asciiTheme="majorHAnsi" w:hAnsiTheme="majorHAnsi"/>
          <w:sz w:val="20"/>
          <w:szCs w:val="20"/>
        </w:rPr>
        <w:t>will provide</w:t>
      </w:r>
      <w:r w:rsidR="00281F4A" w:rsidRPr="005722A6">
        <w:rPr>
          <w:rFonts w:asciiTheme="majorHAnsi" w:hAnsiTheme="majorHAnsi"/>
          <w:sz w:val="20"/>
          <w:szCs w:val="20"/>
        </w:rPr>
        <w:t xml:space="preserve"> the basi</w:t>
      </w:r>
      <w:r w:rsidR="00B0144F">
        <w:rPr>
          <w:rFonts w:asciiTheme="majorHAnsi" w:hAnsiTheme="majorHAnsi"/>
          <w:sz w:val="20"/>
          <w:szCs w:val="20"/>
        </w:rPr>
        <w:t>c framework</w:t>
      </w:r>
      <w:r w:rsidR="00281F4A" w:rsidRPr="005722A6">
        <w:rPr>
          <w:rFonts w:asciiTheme="majorHAnsi" w:hAnsiTheme="majorHAnsi"/>
          <w:sz w:val="20"/>
          <w:szCs w:val="20"/>
        </w:rPr>
        <w:t xml:space="preserve"> for negotiation and development of individual state </w:t>
      </w:r>
      <w:r w:rsidR="00B31C5C" w:rsidRPr="005722A6">
        <w:rPr>
          <w:rFonts w:asciiTheme="majorHAnsi" w:hAnsiTheme="majorHAnsi"/>
          <w:sz w:val="20"/>
          <w:szCs w:val="20"/>
        </w:rPr>
        <w:t>I</w:t>
      </w:r>
      <w:r w:rsidR="00373429">
        <w:rPr>
          <w:rFonts w:asciiTheme="majorHAnsi" w:hAnsiTheme="majorHAnsi"/>
          <w:sz w:val="20"/>
          <w:szCs w:val="20"/>
        </w:rPr>
        <w:t xml:space="preserve">ntegrated Land and Seascape Management Plans </w:t>
      </w:r>
      <w:r w:rsidR="00B31C5C" w:rsidRPr="005722A6">
        <w:rPr>
          <w:rFonts w:asciiTheme="majorHAnsi" w:hAnsiTheme="majorHAnsi"/>
          <w:sz w:val="20"/>
          <w:szCs w:val="20"/>
        </w:rPr>
        <w:t xml:space="preserve">(ISLMPs) </w:t>
      </w:r>
      <w:r w:rsidR="00281F4A" w:rsidRPr="005722A6">
        <w:rPr>
          <w:rFonts w:asciiTheme="majorHAnsi" w:hAnsiTheme="majorHAnsi"/>
          <w:sz w:val="20"/>
          <w:szCs w:val="20"/>
        </w:rPr>
        <w:t>that w</w:t>
      </w:r>
      <w:r w:rsidR="00B0144F">
        <w:rPr>
          <w:rFonts w:asciiTheme="majorHAnsi" w:hAnsiTheme="majorHAnsi"/>
          <w:sz w:val="20"/>
          <w:szCs w:val="20"/>
        </w:rPr>
        <w:t>ill</w:t>
      </w:r>
      <w:r w:rsidR="00281F4A" w:rsidRPr="005722A6">
        <w:rPr>
          <w:rFonts w:asciiTheme="majorHAnsi" w:hAnsiTheme="majorHAnsi"/>
          <w:sz w:val="20"/>
          <w:szCs w:val="20"/>
        </w:rPr>
        <w:t xml:space="preserve"> be </w:t>
      </w:r>
      <w:r w:rsidR="00F6226F" w:rsidRPr="005722A6">
        <w:rPr>
          <w:rFonts w:asciiTheme="majorHAnsi" w:hAnsiTheme="majorHAnsi"/>
          <w:sz w:val="20"/>
          <w:szCs w:val="20"/>
        </w:rPr>
        <w:t>implemented at state level</w:t>
      </w:r>
      <w:r w:rsidR="00B0144F">
        <w:rPr>
          <w:rFonts w:asciiTheme="majorHAnsi" w:hAnsiTheme="majorHAnsi"/>
          <w:sz w:val="20"/>
          <w:szCs w:val="20"/>
        </w:rPr>
        <w:t>s</w:t>
      </w:r>
      <w:r w:rsidR="00281F4A" w:rsidRPr="005722A6">
        <w:rPr>
          <w:rFonts w:asciiTheme="majorHAnsi" w:hAnsiTheme="majorHAnsi"/>
          <w:sz w:val="20"/>
          <w:szCs w:val="20"/>
        </w:rPr>
        <w:t xml:space="preserve"> </w:t>
      </w:r>
      <w:r w:rsidR="00B0144F">
        <w:rPr>
          <w:rFonts w:asciiTheme="majorHAnsi" w:hAnsiTheme="majorHAnsi"/>
          <w:sz w:val="20"/>
          <w:szCs w:val="20"/>
        </w:rPr>
        <w:t>in a staggered manner</w:t>
      </w:r>
      <w:r w:rsidR="00BD402F">
        <w:rPr>
          <w:rFonts w:asciiTheme="majorHAnsi" w:hAnsiTheme="majorHAnsi"/>
          <w:sz w:val="20"/>
          <w:szCs w:val="20"/>
        </w:rPr>
        <w:t>.</w:t>
      </w:r>
      <w:r w:rsidR="00B0144F">
        <w:rPr>
          <w:rFonts w:asciiTheme="majorHAnsi" w:hAnsiTheme="majorHAnsi"/>
          <w:sz w:val="20"/>
          <w:szCs w:val="20"/>
        </w:rPr>
        <w:t xml:space="preserve"> </w:t>
      </w:r>
    </w:p>
    <w:p w14:paraId="1E49C843" w14:textId="77777777" w:rsidR="00791D94" w:rsidRPr="005722A6" w:rsidRDefault="00791D94" w:rsidP="00791D94">
      <w:pPr>
        <w:tabs>
          <w:tab w:val="left" w:pos="360"/>
        </w:tabs>
        <w:contextualSpacing/>
        <w:rPr>
          <w:rFonts w:asciiTheme="majorHAnsi" w:hAnsiTheme="majorHAnsi"/>
          <w:sz w:val="20"/>
          <w:szCs w:val="20"/>
        </w:rPr>
      </w:pPr>
    </w:p>
    <w:p w14:paraId="0F9480CB" w14:textId="4017A142" w:rsidR="00791D94" w:rsidRPr="005722A6" w:rsidRDefault="00791D94" w:rsidP="00791D94">
      <w:pPr>
        <w:tabs>
          <w:tab w:val="left" w:pos="360"/>
        </w:tabs>
        <w:contextualSpacing/>
        <w:rPr>
          <w:rFonts w:asciiTheme="majorHAnsi" w:hAnsiTheme="majorHAnsi"/>
          <w:sz w:val="20"/>
          <w:szCs w:val="20"/>
        </w:rPr>
      </w:pPr>
      <w:r w:rsidRPr="005722A6">
        <w:rPr>
          <w:rFonts w:asciiTheme="majorHAnsi" w:hAnsiTheme="majorHAnsi"/>
          <w:sz w:val="20"/>
          <w:szCs w:val="20"/>
        </w:rPr>
        <w:t xml:space="preserve">This </w:t>
      </w:r>
      <w:r w:rsidR="00B0144F">
        <w:rPr>
          <w:rFonts w:asciiTheme="majorHAnsi" w:hAnsiTheme="majorHAnsi"/>
          <w:sz w:val="20"/>
          <w:szCs w:val="20"/>
        </w:rPr>
        <w:t>o</w:t>
      </w:r>
      <w:r w:rsidRPr="005722A6">
        <w:rPr>
          <w:rFonts w:asciiTheme="majorHAnsi" w:hAnsiTheme="majorHAnsi"/>
          <w:sz w:val="20"/>
          <w:szCs w:val="20"/>
        </w:rPr>
        <w:t>utput will be achieved through the following actions:</w:t>
      </w:r>
    </w:p>
    <w:p w14:paraId="26EC59EF" w14:textId="32B9BA33" w:rsidR="00A04C4F" w:rsidRPr="005722A6" w:rsidRDefault="00791D94" w:rsidP="00BD402F">
      <w:pPr>
        <w:numPr>
          <w:ilvl w:val="0"/>
          <w:numId w:val="20"/>
        </w:numPr>
        <w:tabs>
          <w:tab w:val="left" w:pos="360"/>
        </w:tabs>
        <w:contextualSpacing/>
        <w:rPr>
          <w:rFonts w:asciiTheme="majorHAnsi" w:hAnsiTheme="majorHAnsi"/>
          <w:sz w:val="20"/>
          <w:szCs w:val="20"/>
        </w:rPr>
      </w:pPr>
      <w:r w:rsidRPr="005722A6">
        <w:rPr>
          <w:rFonts w:asciiTheme="majorHAnsi" w:hAnsiTheme="majorHAnsi"/>
          <w:sz w:val="20"/>
          <w:szCs w:val="20"/>
        </w:rPr>
        <w:t xml:space="preserve">Mapping </w:t>
      </w:r>
      <w:r w:rsidR="00780EBF" w:rsidRPr="005722A6">
        <w:rPr>
          <w:rFonts w:asciiTheme="majorHAnsi" w:hAnsiTheme="majorHAnsi"/>
          <w:sz w:val="20"/>
          <w:szCs w:val="20"/>
        </w:rPr>
        <w:t xml:space="preserve">and zoning </w:t>
      </w:r>
      <w:r w:rsidRPr="005722A6">
        <w:rPr>
          <w:rFonts w:asciiTheme="majorHAnsi" w:hAnsiTheme="majorHAnsi"/>
          <w:sz w:val="20"/>
          <w:szCs w:val="20"/>
        </w:rPr>
        <w:t xml:space="preserve">of </w:t>
      </w:r>
      <w:r w:rsidR="00780EBF" w:rsidRPr="005722A6">
        <w:rPr>
          <w:rFonts w:asciiTheme="majorHAnsi" w:hAnsiTheme="majorHAnsi"/>
          <w:sz w:val="20"/>
          <w:szCs w:val="20"/>
        </w:rPr>
        <w:t xml:space="preserve">the biological, </w:t>
      </w:r>
      <w:r w:rsidRPr="005722A6">
        <w:rPr>
          <w:rFonts w:asciiTheme="majorHAnsi" w:hAnsiTheme="majorHAnsi"/>
          <w:sz w:val="20"/>
          <w:szCs w:val="20"/>
        </w:rPr>
        <w:t xml:space="preserve">socio-economic and environmental </w:t>
      </w:r>
      <w:r w:rsidR="00F4282E" w:rsidRPr="005722A6">
        <w:rPr>
          <w:rFonts w:asciiTheme="majorHAnsi" w:hAnsiTheme="majorHAnsi"/>
          <w:sz w:val="20"/>
          <w:szCs w:val="20"/>
        </w:rPr>
        <w:t xml:space="preserve">boundaries and </w:t>
      </w:r>
      <w:r w:rsidRPr="005722A6">
        <w:rPr>
          <w:rFonts w:asciiTheme="majorHAnsi" w:hAnsiTheme="majorHAnsi"/>
          <w:sz w:val="20"/>
          <w:szCs w:val="20"/>
        </w:rPr>
        <w:t xml:space="preserve">aspects, including, </w:t>
      </w:r>
      <w:r w:rsidRPr="005722A6">
        <w:rPr>
          <w:rFonts w:asciiTheme="majorHAnsi" w:hAnsiTheme="majorHAnsi"/>
          <w:i/>
          <w:sz w:val="20"/>
          <w:szCs w:val="20"/>
        </w:rPr>
        <w:t xml:space="preserve">inter alia, </w:t>
      </w:r>
      <w:r w:rsidRPr="005722A6">
        <w:rPr>
          <w:rFonts w:asciiTheme="majorHAnsi" w:hAnsiTheme="majorHAnsi"/>
          <w:sz w:val="20"/>
          <w:szCs w:val="20"/>
        </w:rPr>
        <w:t>geomorphology, water</w:t>
      </w:r>
      <w:r w:rsidR="00B0144F">
        <w:rPr>
          <w:rFonts w:asciiTheme="majorHAnsi" w:hAnsiTheme="majorHAnsi"/>
          <w:sz w:val="20"/>
          <w:szCs w:val="20"/>
        </w:rPr>
        <w:t xml:space="preserve"> bodie</w:t>
      </w:r>
      <w:r w:rsidRPr="005722A6">
        <w:rPr>
          <w:rFonts w:asciiTheme="majorHAnsi" w:hAnsiTheme="majorHAnsi"/>
          <w:sz w:val="20"/>
          <w:szCs w:val="20"/>
        </w:rPr>
        <w:t>s, forestry, land use and land coverage, ecosystems and habitats, ecosystem services, marine environment</w:t>
      </w:r>
      <w:r w:rsidR="00B0144F">
        <w:rPr>
          <w:rFonts w:asciiTheme="majorHAnsi" w:hAnsiTheme="majorHAnsi"/>
          <w:sz w:val="20"/>
          <w:szCs w:val="20"/>
        </w:rPr>
        <w:t xml:space="preserve"> and</w:t>
      </w:r>
      <w:r w:rsidRPr="005722A6">
        <w:rPr>
          <w:rFonts w:asciiTheme="majorHAnsi" w:hAnsiTheme="majorHAnsi"/>
          <w:sz w:val="20"/>
          <w:szCs w:val="20"/>
        </w:rPr>
        <w:t xml:space="preserve"> </w:t>
      </w:r>
      <w:r w:rsidR="00B56B68" w:rsidRPr="005722A6">
        <w:rPr>
          <w:rFonts w:asciiTheme="majorHAnsi" w:hAnsiTheme="majorHAnsi"/>
          <w:sz w:val="20"/>
          <w:szCs w:val="20"/>
        </w:rPr>
        <w:t xml:space="preserve">biodiversity threats including IAS </w:t>
      </w:r>
      <w:r w:rsidRPr="005722A6">
        <w:rPr>
          <w:rFonts w:asciiTheme="majorHAnsi" w:hAnsiTheme="majorHAnsi"/>
          <w:sz w:val="20"/>
          <w:szCs w:val="20"/>
        </w:rPr>
        <w:t>for the entire Babeldaob Island</w:t>
      </w:r>
      <w:r w:rsidR="00B0144F">
        <w:rPr>
          <w:rFonts w:asciiTheme="majorHAnsi" w:hAnsiTheme="majorHAnsi"/>
          <w:sz w:val="20"/>
          <w:szCs w:val="20"/>
        </w:rPr>
        <w:t>.</w:t>
      </w:r>
      <w:r w:rsidRPr="005722A6">
        <w:rPr>
          <w:rFonts w:asciiTheme="majorHAnsi" w:hAnsiTheme="majorHAnsi"/>
          <w:sz w:val="20"/>
          <w:szCs w:val="20"/>
        </w:rPr>
        <w:t xml:space="preserve"> </w:t>
      </w:r>
    </w:p>
    <w:p w14:paraId="3F77B39C" w14:textId="03991129" w:rsidR="00791D94" w:rsidRPr="005722A6" w:rsidRDefault="00B0144F" w:rsidP="00BD402F">
      <w:pPr>
        <w:numPr>
          <w:ilvl w:val="0"/>
          <w:numId w:val="20"/>
        </w:numPr>
        <w:tabs>
          <w:tab w:val="left" w:pos="360"/>
        </w:tabs>
        <w:contextualSpacing/>
        <w:rPr>
          <w:rFonts w:asciiTheme="majorHAnsi" w:hAnsiTheme="majorHAnsi"/>
          <w:sz w:val="20"/>
          <w:szCs w:val="20"/>
        </w:rPr>
      </w:pPr>
      <w:r>
        <w:rPr>
          <w:rFonts w:asciiTheme="majorHAnsi" w:hAnsiTheme="majorHAnsi"/>
          <w:sz w:val="20"/>
          <w:szCs w:val="20"/>
        </w:rPr>
        <w:t>M</w:t>
      </w:r>
      <w:r w:rsidR="00A04C4F" w:rsidRPr="005722A6">
        <w:rPr>
          <w:rFonts w:asciiTheme="majorHAnsi" w:hAnsiTheme="majorHAnsi"/>
          <w:sz w:val="20"/>
          <w:szCs w:val="20"/>
        </w:rPr>
        <w:t xml:space="preserve">apping will help identify </w:t>
      </w:r>
      <w:r w:rsidR="00780EBF" w:rsidRPr="005722A6">
        <w:rPr>
          <w:rFonts w:asciiTheme="majorHAnsi" w:hAnsiTheme="majorHAnsi"/>
          <w:sz w:val="20"/>
          <w:szCs w:val="20"/>
        </w:rPr>
        <w:t xml:space="preserve">and prioritize: (i) areas for conservation of biodiversity, in particular for endangered and endemic species and their habitats and their dispersal corridors, such as HCVFs and marine areas, buffer zones around PAN sites and other important ecological areas (including water sources); (ii) areas for </w:t>
      </w:r>
      <w:r w:rsidR="000557EF" w:rsidRPr="005722A6">
        <w:rPr>
          <w:rFonts w:asciiTheme="majorHAnsi" w:hAnsiTheme="majorHAnsi"/>
          <w:sz w:val="20"/>
          <w:szCs w:val="20"/>
        </w:rPr>
        <w:t xml:space="preserve">sustainable community natural resources management and use, including sustainable harvesting and extraction, community based conservation and forest management, watershed conservation and climate risk management; (iii) degraded areas for community forest restoration and fire management; and (vi) areas for sustainable agricultural development and improvement and livelihood improvement. The mapping will also help identify </w:t>
      </w:r>
      <w:r w:rsidR="00A04C4F" w:rsidRPr="005722A6">
        <w:rPr>
          <w:rFonts w:asciiTheme="majorHAnsi" w:hAnsiTheme="majorHAnsi"/>
          <w:sz w:val="20"/>
          <w:szCs w:val="20"/>
        </w:rPr>
        <w:t xml:space="preserve">cross-state border opportunities for conservation </w:t>
      </w:r>
      <w:r w:rsidR="002240C1">
        <w:rPr>
          <w:rFonts w:asciiTheme="majorHAnsi" w:hAnsiTheme="majorHAnsi"/>
          <w:sz w:val="20"/>
          <w:szCs w:val="20"/>
        </w:rPr>
        <w:t>of</w:t>
      </w:r>
      <w:r w:rsidR="002240C1" w:rsidRPr="005722A6">
        <w:rPr>
          <w:rFonts w:asciiTheme="majorHAnsi" w:hAnsiTheme="majorHAnsi"/>
          <w:sz w:val="20"/>
          <w:szCs w:val="20"/>
        </w:rPr>
        <w:t xml:space="preserve"> </w:t>
      </w:r>
      <w:r w:rsidR="00A04C4F" w:rsidRPr="005722A6">
        <w:rPr>
          <w:rFonts w:asciiTheme="majorHAnsi" w:hAnsiTheme="majorHAnsi"/>
          <w:sz w:val="20"/>
          <w:szCs w:val="20"/>
        </w:rPr>
        <w:t>species and habitat monitoring</w:t>
      </w:r>
      <w:r w:rsidR="00791D94" w:rsidRPr="005722A6">
        <w:rPr>
          <w:rFonts w:asciiTheme="majorHAnsi" w:hAnsiTheme="majorHAnsi"/>
          <w:sz w:val="20"/>
          <w:szCs w:val="20"/>
        </w:rPr>
        <w:t xml:space="preserve"> </w:t>
      </w:r>
      <w:r w:rsidR="00A04C4F" w:rsidRPr="005722A6">
        <w:rPr>
          <w:rFonts w:asciiTheme="majorHAnsi" w:hAnsiTheme="majorHAnsi"/>
          <w:sz w:val="20"/>
          <w:szCs w:val="20"/>
        </w:rPr>
        <w:t xml:space="preserve">and for </w:t>
      </w:r>
      <w:r>
        <w:rPr>
          <w:rFonts w:asciiTheme="majorHAnsi" w:hAnsiTheme="majorHAnsi"/>
          <w:sz w:val="20"/>
          <w:szCs w:val="20"/>
        </w:rPr>
        <w:t xml:space="preserve">cross-border </w:t>
      </w:r>
      <w:r w:rsidR="00A04C4F" w:rsidRPr="005722A6">
        <w:rPr>
          <w:rFonts w:asciiTheme="majorHAnsi" w:hAnsiTheme="majorHAnsi"/>
          <w:sz w:val="20"/>
          <w:szCs w:val="20"/>
        </w:rPr>
        <w:t>collaboration</w:t>
      </w:r>
      <w:r>
        <w:rPr>
          <w:rFonts w:asciiTheme="majorHAnsi" w:hAnsiTheme="majorHAnsi"/>
          <w:sz w:val="20"/>
          <w:szCs w:val="20"/>
        </w:rPr>
        <w:t>.</w:t>
      </w:r>
      <w:r w:rsidR="00A04C4F" w:rsidRPr="005722A6">
        <w:rPr>
          <w:rFonts w:asciiTheme="majorHAnsi" w:hAnsiTheme="majorHAnsi"/>
          <w:sz w:val="20"/>
          <w:szCs w:val="20"/>
        </w:rPr>
        <w:t xml:space="preserve"> </w:t>
      </w:r>
    </w:p>
    <w:p w14:paraId="6E3249AD" w14:textId="14AD3FD7" w:rsidR="00791D94" w:rsidRPr="005722A6" w:rsidRDefault="00791D94" w:rsidP="00BD402F">
      <w:pPr>
        <w:numPr>
          <w:ilvl w:val="0"/>
          <w:numId w:val="20"/>
        </w:numPr>
        <w:tabs>
          <w:tab w:val="left" w:pos="360"/>
        </w:tabs>
        <w:contextualSpacing/>
        <w:rPr>
          <w:rFonts w:asciiTheme="majorHAnsi" w:hAnsiTheme="majorHAnsi"/>
          <w:sz w:val="20"/>
          <w:szCs w:val="20"/>
        </w:rPr>
      </w:pPr>
      <w:r w:rsidRPr="005722A6">
        <w:rPr>
          <w:rFonts w:asciiTheme="majorHAnsi" w:hAnsiTheme="majorHAnsi"/>
          <w:sz w:val="20"/>
          <w:szCs w:val="20"/>
        </w:rPr>
        <w:t>Drafting of a</w:t>
      </w:r>
      <w:r w:rsidR="00A66D35" w:rsidRPr="005722A6">
        <w:rPr>
          <w:rFonts w:asciiTheme="majorHAnsi" w:hAnsiTheme="majorHAnsi"/>
          <w:sz w:val="20"/>
          <w:szCs w:val="20"/>
        </w:rPr>
        <w:t xml:space="preserve">n </w:t>
      </w:r>
      <w:r w:rsidR="00B56B68" w:rsidRPr="005722A6">
        <w:rPr>
          <w:rFonts w:asciiTheme="majorHAnsi" w:hAnsiTheme="majorHAnsi"/>
          <w:sz w:val="20"/>
          <w:szCs w:val="20"/>
        </w:rPr>
        <w:t>ILSM</w:t>
      </w:r>
      <w:r w:rsidR="00373429">
        <w:rPr>
          <w:rFonts w:asciiTheme="majorHAnsi" w:hAnsiTheme="majorHAnsi"/>
          <w:sz w:val="20"/>
          <w:szCs w:val="20"/>
        </w:rPr>
        <w:t>S</w:t>
      </w:r>
      <w:r w:rsidR="00B56B68" w:rsidRPr="005722A6">
        <w:rPr>
          <w:rFonts w:asciiTheme="majorHAnsi" w:hAnsiTheme="majorHAnsi"/>
          <w:sz w:val="20"/>
          <w:szCs w:val="20"/>
        </w:rPr>
        <w:t xml:space="preserve"> </w:t>
      </w:r>
      <w:r w:rsidRPr="005722A6">
        <w:rPr>
          <w:rFonts w:asciiTheme="majorHAnsi" w:hAnsiTheme="majorHAnsi"/>
          <w:sz w:val="20"/>
          <w:szCs w:val="20"/>
        </w:rPr>
        <w:t>for Babeldaob Island</w:t>
      </w:r>
      <w:r w:rsidR="000557EF" w:rsidRPr="005722A6">
        <w:rPr>
          <w:rFonts w:asciiTheme="majorHAnsi" w:hAnsiTheme="majorHAnsi"/>
          <w:sz w:val="20"/>
          <w:szCs w:val="20"/>
        </w:rPr>
        <w:t xml:space="preserve"> facilitated by a multi-sector, multi-stakeholder coordination and governance arrangement for </w:t>
      </w:r>
      <w:r w:rsidR="0086491E" w:rsidRPr="005722A6">
        <w:rPr>
          <w:rFonts w:asciiTheme="majorHAnsi" w:hAnsiTheme="majorHAnsi"/>
          <w:sz w:val="20"/>
          <w:szCs w:val="20"/>
        </w:rPr>
        <w:t>Babeldoa</w:t>
      </w:r>
      <w:r w:rsidR="0086491E">
        <w:rPr>
          <w:rFonts w:asciiTheme="majorHAnsi" w:hAnsiTheme="majorHAnsi"/>
          <w:sz w:val="20"/>
          <w:szCs w:val="20"/>
        </w:rPr>
        <w:t>b</w:t>
      </w:r>
      <w:r w:rsidR="0086491E" w:rsidRPr="005722A6">
        <w:rPr>
          <w:rFonts w:asciiTheme="majorHAnsi" w:hAnsiTheme="majorHAnsi"/>
          <w:sz w:val="20"/>
          <w:szCs w:val="20"/>
        </w:rPr>
        <w:t xml:space="preserve"> </w:t>
      </w:r>
      <w:r w:rsidR="000557EF" w:rsidRPr="005722A6">
        <w:rPr>
          <w:rFonts w:asciiTheme="majorHAnsi" w:hAnsiTheme="majorHAnsi"/>
          <w:sz w:val="20"/>
          <w:szCs w:val="20"/>
        </w:rPr>
        <w:t>Island</w:t>
      </w:r>
      <w:r w:rsidR="009A33D8">
        <w:rPr>
          <w:rFonts w:asciiTheme="majorHAnsi" w:hAnsiTheme="majorHAnsi"/>
          <w:sz w:val="20"/>
          <w:szCs w:val="20"/>
        </w:rPr>
        <w:t>.</w:t>
      </w:r>
    </w:p>
    <w:p w14:paraId="1A41622B" w14:textId="4CB73B15" w:rsidR="00791D94" w:rsidRPr="005722A6" w:rsidRDefault="00791D94" w:rsidP="00BD402F">
      <w:pPr>
        <w:numPr>
          <w:ilvl w:val="0"/>
          <w:numId w:val="20"/>
        </w:numPr>
        <w:tabs>
          <w:tab w:val="left" w:pos="360"/>
        </w:tabs>
        <w:contextualSpacing/>
        <w:rPr>
          <w:rFonts w:asciiTheme="majorHAnsi" w:hAnsiTheme="majorHAnsi"/>
          <w:sz w:val="20"/>
          <w:szCs w:val="20"/>
        </w:rPr>
      </w:pPr>
      <w:r w:rsidRPr="005722A6">
        <w:rPr>
          <w:rFonts w:asciiTheme="majorHAnsi" w:hAnsiTheme="majorHAnsi"/>
          <w:sz w:val="20"/>
          <w:szCs w:val="20"/>
        </w:rPr>
        <w:t>Cooperation and coordination between the different institutions at national, interstate and states levels</w:t>
      </w:r>
      <w:r w:rsidR="009A33D8">
        <w:rPr>
          <w:rFonts w:asciiTheme="majorHAnsi" w:hAnsiTheme="majorHAnsi"/>
          <w:sz w:val="20"/>
          <w:szCs w:val="20"/>
        </w:rPr>
        <w:t>.</w:t>
      </w:r>
    </w:p>
    <w:p w14:paraId="595FC9E3" w14:textId="3586EC11" w:rsidR="00791D94" w:rsidRDefault="00791D94" w:rsidP="00BD402F">
      <w:pPr>
        <w:numPr>
          <w:ilvl w:val="0"/>
          <w:numId w:val="20"/>
        </w:numPr>
        <w:tabs>
          <w:tab w:val="left" w:pos="360"/>
        </w:tabs>
        <w:contextualSpacing/>
        <w:rPr>
          <w:rFonts w:asciiTheme="majorHAnsi" w:hAnsiTheme="majorHAnsi"/>
          <w:sz w:val="20"/>
          <w:szCs w:val="20"/>
        </w:rPr>
      </w:pPr>
      <w:r w:rsidRPr="005722A6">
        <w:rPr>
          <w:rFonts w:asciiTheme="majorHAnsi" w:hAnsiTheme="majorHAnsi"/>
          <w:sz w:val="20"/>
          <w:szCs w:val="20"/>
        </w:rPr>
        <w:t xml:space="preserve">Extensive consultation with key stakeholders, including local communities on their expected needs and services from </w:t>
      </w:r>
      <w:r w:rsidR="002240C1" w:rsidRPr="005722A6">
        <w:rPr>
          <w:rFonts w:asciiTheme="majorHAnsi" w:hAnsiTheme="majorHAnsi"/>
          <w:sz w:val="20"/>
          <w:szCs w:val="20"/>
        </w:rPr>
        <w:t>the</w:t>
      </w:r>
      <w:r w:rsidR="002240C1">
        <w:rPr>
          <w:rFonts w:asciiTheme="majorHAnsi" w:hAnsiTheme="majorHAnsi"/>
          <w:sz w:val="20"/>
          <w:szCs w:val="20"/>
        </w:rPr>
        <w:t>se</w:t>
      </w:r>
      <w:r w:rsidR="002240C1" w:rsidRPr="005722A6">
        <w:rPr>
          <w:rFonts w:asciiTheme="majorHAnsi" w:hAnsiTheme="majorHAnsi"/>
          <w:sz w:val="20"/>
          <w:szCs w:val="20"/>
        </w:rPr>
        <w:t xml:space="preserve"> </w:t>
      </w:r>
      <w:r w:rsidRPr="005722A6">
        <w:rPr>
          <w:rFonts w:asciiTheme="majorHAnsi" w:hAnsiTheme="majorHAnsi"/>
          <w:sz w:val="20"/>
          <w:szCs w:val="20"/>
        </w:rPr>
        <w:t>areas and alternative development and livelihood options</w:t>
      </w:r>
    </w:p>
    <w:p w14:paraId="2EF55C42" w14:textId="15E11091" w:rsidR="00BD402F" w:rsidRPr="005722A6" w:rsidRDefault="00BD402F" w:rsidP="00BD402F">
      <w:pPr>
        <w:numPr>
          <w:ilvl w:val="0"/>
          <w:numId w:val="20"/>
        </w:numPr>
        <w:tabs>
          <w:tab w:val="left" w:pos="360"/>
        </w:tabs>
        <w:contextualSpacing/>
        <w:rPr>
          <w:rFonts w:asciiTheme="majorHAnsi" w:hAnsiTheme="majorHAnsi"/>
          <w:sz w:val="20"/>
          <w:szCs w:val="20"/>
        </w:rPr>
      </w:pPr>
      <w:r w:rsidRPr="005722A6">
        <w:rPr>
          <w:rFonts w:asciiTheme="majorHAnsi" w:hAnsiTheme="majorHAnsi"/>
          <w:sz w:val="20"/>
          <w:szCs w:val="20"/>
        </w:rPr>
        <w:t>Finalization and endorsement of the Babeld</w:t>
      </w:r>
      <w:r>
        <w:rPr>
          <w:rFonts w:asciiTheme="majorHAnsi" w:hAnsiTheme="majorHAnsi"/>
          <w:sz w:val="20"/>
          <w:szCs w:val="20"/>
        </w:rPr>
        <w:t>aob</w:t>
      </w:r>
      <w:r w:rsidRPr="005722A6">
        <w:rPr>
          <w:rFonts w:asciiTheme="majorHAnsi" w:hAnsiTheme="majorHAnsi"/>
          <w:sz w:val="20"/>
          <w:szCs w:val="20"/>
        </w:rPr>
        <w:t xml:space="preserve"> Island ILSM</w:t>
      </w:r>
      <w:r>
        <w:rPr>
          <w:rFonts w:asciiTheme="majorHAnsi" w:hAnsiTheme="majorHAnsi"/>
          <w:sz w:val="20"/>
          <w:szCs w:val="20"/>
        </w:rPr>
        <w:t>S</w:t>
      </w:r>
      <w:r w:rsidRPr="005722A6">
        <w:rPr>
          <w:rFonts w:asciiTheme="majorHAnsi" w:hAnsiTheme="majorHAnsi"/>
          <w:sz w:val="20"/>
          <w:szCs w:val="20"/>
        </w:rPr>
        <w:t>;</w:t>
      </w:r>
    </w:p>
    <w:p w14:paraId="30683C0E" w14:textId="4B78B322" w:rsidR="009A33D8" w:rsidRPr="00BD402F" w:rsidRDefault="00A66D35" w:rsidP="00BD402F">
      <w:pPr>
        <w:numPr>
          <w:ilvl w:val="0"/>
          <w:numId w:val="20"/>
        </w:numPr>
        <w:tabs>
          <w:tab w:val="left" w:pos="360"/>
        </w:tabs>
        <w:contextualSpacing/>
        <w:rPr>
          <w:rFonts w:asciiTheme="majorHAnsi" w:hAnsiTheme="majorHAnsi"/>
          <w:sz w:val="20"/>
          <w:szCs w:val="20"/>
        </w:rPr>
      </w:pPr>
      <w:r w:rsidRPr="005722A6">
        <w:rPr>
          <w:rFonts w:asciiTheme="majorHAnsi" w:hAnsiTheme="majorHAnsi"/>
          <w:sz w:val="20"/>
          <w:szCs w:val="20"/>
        </w:rPr>
        <w:t>Draft</w:t>
      </w:r>
      <w:r w:rsidR="004455EF" w:rsidRPr="005722A6">
        <w:rPr>
          <w:rFonts w:asciiTheme="majorHAnsi" w:hAnsiTheme="majorHAnsi"/>
          <w:sz w:val="20"/>
          <w:szCs w:val="20"/>
        </w:rPr>
        <w:t>ing</w:t>
      </w:r>
      <w:r w:rsidRPr="005722A6">
        <w:rPr>
          <w:rFonts w:asciiTheme="majorHAnsi" w:hAnsiTheme="majorHAnsi"/>
          <w:sz w:val="20"/>
          <w:szCs w:val="20"/>
        </w:rPr>
        <w:t xml:space="preserve"> of </w:t>
      </w:r>
      <w:r w:rsidR="000557EF" w:rsidRPr="005722A6">
        <w:rPr>
          <w:rFonts w:asciiTheme="majorHAnsi" w:hAnsiTheme="majorHAnsi"/>
          <w:sz w:val="20"/>
          <w:szCs w:val="20"/>
        </w:rPr>
        <w:t xml:space="preserve">individual </w:t>
      </w:r>
      <w:r w:rsidRPr="005722A6">
        <w:rPr>
          <w:rFonts w:asciiTheme="majorHAnsi" w:hAnsiTheme="majorHAnsi"/>
          <w:sz w:val="20"/>
          <w:szCs w:val="20"/>
        </w:rPr>
        <w:t xml:space="preserve">state ILSMPs based </w:t>
      </w:r>
      <w:r w:rsidR="00285DDF" w:rsidRPr="005722A6">
        <w:rPr>
          <w:rFonts w:asciiTheme="majorHAnsi" w:hAnsiTheme="majorHAnsi"/>
          <w:sz w:val="20"/>
          <w:szCs w:val="20"/>
        </w:rPr>
        <w:t xml:space="preserve">on the </w:t>
      </w:r>
      <w:r w:rsidRPr="005722A6">
        <w:rPr>
          <w:rFonts w:asciiTheme="majorHAnsi" w:hAnsiTheme="majorHAnsi"/>
          <w:sz w:val="20"/>
          <w:szCs w:val="20"/>
        </w:rPr>
        <w:t xml:space="preserve">Island </w:t>
      </w:r>
      <w:r w:rsidR="00285DDF" w:rsidRPr="005722A6">
        <w:rPr>
          <w:rFonts w:asciiTheme="majorHAnsi" w:hAnsiTheme="majorHAnsi"/>
          <w:sz w:val="20"/>
          <w:szCs w:val="20"/>
        </w:rPr>
        <w:t>ILSM</w:t>
      </w:r>
      <w:r w:rsidR="0086491E">
        <w:rPr>
          <w:rFonts w:asciiTheme="majorHAnsi" w:hAnsiTheme="majorHAnsi"/>
          <w:sz w:val="20"/>
          <w:szCs w:val="20"/>
        </w:rPr>
        <w:t>S</w:t>
      </w:r>
      <w:r w:rsidR="000557EF" w:rsidRPr="005722A6">
        <w:rPr>
          <w:rFonts w:asciiTheme="majorHAnsi" w:hAnsiTheme="majorHAnsi"/>
          <w:sz w:val="20"/>
          <w:szCs w:val="20"/>
        </w:rPr>
        <w:t xml:space="preserve">; </w:t>
      </w:r>
      <w:r w:rsidR="009A33D8" w:rsidRPr="00BD402F">
        <w:rPr>
          <w:rFonts w:asciiTheme="majorHAnsi" w:hAnsiTheme="majorHAnsi"/>
          <w:sz w:val="20"/>
          <w:szCs w:val="20"/>
        </w:rPr>
        <w:t>and</w:t>
      </w:r>
    </w:p>
    <w:p w14:paraId="1F7B863F" w14:textId="1FF37C34" w:rsidR="00791D94" w:rsidRPr="005722A6" w:rsidRDefault="00791D94" w:rsidP="00BD402F">
      <w:pPr>
        <w:numPr>
          <w:ilvl w:val="0"/>
          <w:numId w:val="20"/>
        </w:numPr>
        <w:tabs>
          <w:tab w:val="left" w:pos="360"/>
        </w:tabs>
        <w:contextualSpacing/>
        <w:rPr>
          <w:rFonts w:asciiTheme="majorHAnsi" w:hAnsiTheme="majorHAnsi"/>
          <w:sz w:val="20"/>
          <w:szCs w:val="20"/>
        </w:rPr>
      </w:pPr>
      <w:r w:rsidRPr="005722A6">
        <w:rPr>
          <w:rFonts w:asciiTheme="majorHAnsi" w:hAnsiTheme="majorHAnsi"/>
          <w:sz w:val="20"/>
          <w:szCs w:val="20"/>
        </w:rPr>
        <w:t xml:space="preserve">Finalization </w:t>
      </w:r>
      <w:r w:rsidR="00A66D35" w:rsidRPr="005722A6">
        <w:rPr>
          <w:rFonts w:asciiTheme="majorHAnsi" w:hAnsiTheme="majorHAnsi"/>
          <w:sz w:val="20"/>
          <w:szCs w:val="20"/>
        </w:rPr>
        <w:t xml:space="preserve">and endorsement </w:t>
      </w:r>
      <w:r w:rsidRPr="005722A6">
        <w:rPr>
          <w:rFonts w:asciiTheme="majorHAnsi" w:hAnsiTheme="majorHAnsi"/>
          <w:sz w:val="20"/>
          <w:szCs w:val="20"/>
        </w:rPr>
        <w:t xml:space="preserve">of the </w:t>
      </w:r>
      <w:r w:rsidR="00A66D35" w:rsidRPr="005722A6">
        <w:rPr>
          <w:rFonts w:asciiTheme="majorHAnsi" w:hAnsiTheme="majorHAnsi"/>
          <w:sz w:val="20"/>
          <w:szCs w:val="20"/>
        </w:rPr>
        <w:t xml:space="preserve">state ILSMPs </w:t>
      </w:r>
      <w:r w:rsidR="00285DDF" w:rsidRPr="005722A6">
        <w:rPr>
          <w:rFonts w:asciiTheme="majorHAnsi" w:hAnsiTheme="majorHAnsi"/>
          <w:sz w:val="20"/>
          <w:szCs w:val="20"/>
        </w:rPr>
        <w:t>and</w:t>
      </w:r>
      <w:r w:rsidR="00F4282E" w:rsidRPr="005722A6">
        <w:rPr>
          <w:rFonts w:asciiTheme="majorHAnsi" w:hAnsiTheme="majorHAnsi"/>
          <w:sz w:val="20"/>
          <w:szCs w:val="20"/>
        </w:rPr>
        <w:t xml:space="preserve"> support for concurrent</w:t>
      </w:r>
      <w:r w:rsidR="00285DDF" w:rsidRPr="005722A6">
        <w:rPr>
          <w:rFonts w:asciiTheme="majorHAnsi" w:hAnsiTheme="majorHAnsi"/>
          <w:sz w:val="20"/>
          <w:szCs w:val="20"/>
        </w:rPr>
        <w:t xml:space="preserve"> implementation</w:t>
      </w:r>
      <w:r w:rsidR="00F4282E" w:rsidRPr="005722A6">
        <w:rPr>
          <w:rFonts w:asciiTheme="majorHAnsi" w:hAnsiTheme="majorHAnsi"/>
          <w:sz w:val="20"/>
          <w:szCs w:val="20"/>
        </w:rPr>
        <w:t xml:space="preserve"> through </w:t>
      </w:r>
      <w:r w:rsidR="009A33D8">
        <w:rPr>
          <w:rFonts w:asciiTheme="majorHAnsi" w:hAnsiTheme="majorHAnsi"/>
          <w:sz w:val="20"/>
          <w:szCs w:val="20"/>
        </w:rPr>
        <w:t>application of best practices</w:t>
      </w:r>
      <w:r w:rsidR="009A33D8" w:rsidRPr="005722A6">
        <w:rPr>
          <w:rFonts w:asciiTheme="majorHAnsi" w:hAnsiTheme="majorHAnsi"/>
          <w:sz w:val="20"/>
          <w:szCs w:val="20"/>
        </w:rPr>
        <w:t xml:space="preserve"> </w:t>
      </w:r>
      <w:r w:rsidR="009A33D8">
        <w:rPr>
          <w:rFonts w:asciiTheme="majorHAnsi" w:hAnsiTheme="majorHAnsi"/>
          <w:sz w:val="20"/>
          <w:szCs w:val="20"/>
        </w:rPr>
        <w:t>in</w:t>
      </w:r>
      <w:r w:rsidR="00F4282E" w:rsidRPr="005722A6">
        <w:rPr>
          <w:rFonts w:asciiTheme="majorHAnsi" w:hAnsiTheme="majorHAnsi"/>
          <w:sz w:val="20"/>
          <w:szCs w:val="20"/>
        </w:rPr>
        <w:t xml:space="preserve"> </w:t>
      </w:r>
      <w:r w:rsidR="00F37925" w:rsidRPr="005722A6">
        <w:rPr>
          <w:rFonts w:asciiTheme="majorHAnsi" w:hAnsiTheme="majorHAnsi"/>
          <w:sz w:val="20"/>
          <w:szCs w:val="20"/>
        </w:rPr>
        <w:t>natural resources management</w:t>
      </w:r>
      <w:r w:rsidR="009A33D8">
        <w:rPr>
          <w:rFonts w:asciiTheme="majorHAnsi" w:hAnsiTheme="majorHAnsi"/>
          <w:sz w:val="20"/>
          <w:szCs w:val="20"/>
        </w:rPr>
        <w:t xml:space="preserve"> (</w:t>
      </w:r>
      <w:r w:rsidR="00F37925" w:rsidRPr="005722A6">
        <w:rPr>
          <w:rFonts w:asciiTheme="majorHAnsi" w:hAnsiTheme="majorHAnsi"/>
          <w:sz w:val="20"/>
          <w:szCs w:val="20"/>
        </w:rPr>
        <w:t>forestry, agriculture, aquaculture, fisheries</w:t>
      </w:r>
      <w:r w:rsidR="009A33D8">
        <w:rPr>
          <w:rFonts w:asciiTheme="majorHAnsi" w:hAnsiTheme="majorHAnsi"/>
          <w:sz w:val="20"/>
          <w:szCs w:val="20"/>
        </w:rPr>
        <w:t>,</w:t>
      </w:r>
      <w:r w:rsidR="00F37925" w:rsidRPr="005722A6">
        <w:rPr>
          <w:rFonts w:asciiTheme="majorHAnsi" w:hAnsiTheme="majorHAnsi"/>
          <w:sz w:val="20"/>
          <w:szCs w:val="20"/>
        </w:rPr>
        <w:t xml:space="preserve"> </w:t>
      </w:r>
      <w:r w:rsidR="009A33D8">
        <w:rPr>
          <w:rFonts w:asciiTheme="majorHAnsi" w:hAnsiTheme="majorHAnsi"/>
          <w:sz w:val="20"/>
          <w:szCs w:val="20"/>
        </w:rPr>
        <w:t>biosecurity) and</w:t>
      </w:r>
      <w:r w:rsidR="009A33D8" w:rsidRPr="005722A6" w:rsidDel="009A33D8">
        <w:rPr>
          <w:rFonts w:asciiTheme="majorHAnsi" w:hAnsiTheme="majorHAnsi"/>
          <w:sz w:val="20"/>
          <w:szCs w:val="20"/>
        </w:rPr>
        <w:t xml:space="preserve"> </w:t>
      </w:r>
      <w:r w:rsidR="00F37925" w:rsidRPr="005722A6">
        <w:rPr>
          <w:rFonts w:asciiTheme="majorHAnsi" w:hAnsiTheme="majorHAnsi"/>
          <w:sz w:val="20"/>
          <w:szCs w:val="20"/>
        </w:rPr>
        <w:t>tourism</w:t>
      </w:r>
      <w:r w:rsidR="009A33D8">
        <w:rPr>
          <w:rFonts w:asciiTheme="majorHAnsi" w:hAnsiTheme="majorHAnsi"/>
          <w:sz w:val="20"/>
          <w:szCs w:val="20"/>
        </w:rPr>
        <w:t>.</w:t>
      </w:r>
      <w:r w:rsidR="00F4282E" w:rsidRPr="005722A6">
        <w:rPr>
          <w:rFonts w:asciiTheme="majorHAnsi" w:hAnsiTheme="majorHAnsi"/>
          <w:sz w:val="20"/>
          <w:szCs w:val="20"/>
        </w:rPr>
        <w:t xml:space="preserve"> </w:t>
      </w:r>
    </w:p>
    <w:p w14:paraId="05ADDAFE" w14:textId="77777777" w:rsidR="000557EF" w:rsidRPr="005722A6" w:rsidRDefault="000557EF" w:rsidP="000557EF">
      <w:pPr>
        <w:tabs>
          <w:tab w:val="left" w:pos="360"/>
        </w:tabs>
        <w:contextualSpacing/>
        <w:rPr>
          <w:rFonts w:asciiTheme="majorHAnsi" w:hAnsiTheme="majorHAnsi"/>
          <w:sz w:val="20"/>
          <w:szCs w:val="20"/>
        </w:rPr>
      </w:pPr>
    </w:p>
    <w:p w14:paraId="668C518D" w14:textId="06D50E71" w:rsidR="00B87D6D" w:rsidRPr="005722A6" w:rsidRDefault="00C64BA0" w:rsidP="00B87D6D">
      <w:pPr>
        <w:tabs>
          <w:tab w:val="left" w:pos="360"/>
        </w:tabs>
        <w:contextualSpacing/>
        <w:rPr>
          <w:rFonts w:asciiTheme="majorHAnsi" w:hAnsiTheme="majorHAnsi"/>
          <w:sz w:val="20"/>
          <w:szCs w:val="20"/>
        </w:rPr>
      </w:pPr>
      <w:r w:rsidRPr="005722A6">
        <w:rPr>
          <w:rFonts w:asciiTheme="majorHAnsi" w:hAnsiTheme="majorHAnsi"/>
          <w:sz w:val="20"/>
          <w:szCs w:val="20"/>
        </w:rPr>
        <w:t>The mapping and land/seascape planning exercise will provide the tools to inform on-the-ground actions at state level</w:t>
      </w:r>
      <w:r w:rsidR="009A33D8">
        <w:rPr>
          <w:rFonts w:asciiTheme="majorHAnsi" w:hAnsiTheme="majorHAnsi"/>
          <w:sz w:val="20"/>
          <w:szCs w:val="20"/>
        </w:rPr>
        <w:t>s</w:t>
      </w:r>
      <w:r w:rsidRPr="005722A6">
        <w:rPr>
          <w:rFonts w:asciiTheme="majorHAnsi" w:hAnsiTheme="majorHAnsi"/>
          <w:sz w:val="20"/>
          <w:szCs w:val="20"/>
        </w:rPr>
        <w:t xml:space="preserve"> to support biodiversity conservation within the five main sectors (forestry, agriculture, fisheries, tourism and aquaculture). </w:t>
      </w:r>
      <w:r w:rsidR="00F3356F">
        <w:rPr>
          <w:rFonts w:asciiTheme="majorHAnsi" w:hAnsiTheme="majorHAnsi"/>
          <w:sz w:val="20"/>
          <w:szCs w:val="20"/>
        </w:rPr>
        <w:t>T</w:t>
      </w:r>
      <w:r w:rsidR="00F3356F" w:rsidRPr="005722A6">
        <w:rPr>
          <w:rFonts w:asciiTheme="majorHAnsi" w:hAnsiTheme="majorHAnsi"/>
          <w:sz w:val="20"/>
          <w:szCs w:val="20"/>
        </w:rPr>
        <w:t xml:space="preserve">he project will fund </w:t>
      </w:r>
      <w:r w:rsidR="00F3356F">
        <w:rPr>
          <w:rFonts w:asciiTheme="majorHAnsi" w:hAnsiTheme="majorHAnsi"/>
          <w:sz w:val="20"/>
          <w:szCs w:val="20"/>
        </w:rPr>
        <w:t>o</w:t>
      </w:r>
      <w:r w:rsidRPr="005722A6">
        <w:rPr>
          <w:rFonts w:asciiTheme="majorHAnsi" w:hAnsiTheme="majorHAnsi"/>
          <w:sz w:val="20"/>
          <w:szCs w:val="20"/>
        </w:rPr>
        <w:t xml:space="preserve">n-the-ground investments in best practices </w:t>
      </w:r>
      <w:r w:rsidR="00133F80" w:rsidRPr="005722A6">
        <w:rPr>
          <w:rFonts w:asciiTheme="majorHAnsi" w:hAnsiTheme="majorHAnsi"/>
          <w:sz w:val="20"/>
          <w:szCs w:val="20"/>
        </w:rPr>
        <w:t xml:space="preserve">and alternate livelihood activities </w:t>
      </w:r>
      <w:r w:rsidRPr="00667639">
        <w:rPr>
          <w:rFonts w:asciiTheme="majorHAnsi" w:hAnsiTheme="majorHAnsi"/>
          <w:sz w:val="20"/>
          <w:szCs w:val="20"/>
        </w:rPr>
        <w:t>(</w:t>
      </w:r>
      <w:r w:rsidRPr="001C203A">
        <w:rPr>
          <w:rFonts w:asciiTheme="majorHAnsi" w:hAnsiTheme="majorHAnsi"/>
          <w:b/>
          <w:sz w:val="20"/>
          <w:szCs w:val="20"/>
        </w:rPr>
        <w:t>Annex</w:t>
      </w:r>
      <w:r w:rsidR="0091230A" w:rsidRPr="001C203A">
        <w:rPr>
          <w:rFonts w:asciiTheme="majorHAnsi" w:hAnsiTheme="majorHAnsi"/>
          <w:b/>
          <w:sz w:val="20"/>
          <w:szCs w:val="20"/>
        </w:rPr>
        <w:t xml:space="preserve"> 4</w:t>
      </w:r>
      <w:r w:rsidR="0091230A" w:rsidRPr="00667639">
        <w:rPr>
          <w:rFonts w:asciiTheme="majorHAnsi" w:hAnsiTheme="majorHAnsi"/>
          <w:sz w:val="20"/>
          <w:szCs w:val="20"/>
        </w:rPr>
        <w:t>, Attachment</w:t>
      </w:r>
      <w:r w:rsidR="009A33D8">
        <w:rPr>
          <w:rFonts w:asciiTheme="majorHAnsi" w:hAnsiTheme="majorHAnsi"/>
          <w:sz w:val="20"/>
          <w:szCs w:val="20"/>
        </w:rPr>
        <w:t>s</w:t>
      </w:r>
      <w:r w:rsidR="0091230A" w:rsidRPr="00667639">
        <w:rPr>
          <w:rFonts w:asciiTheme="majorHAnsi" w:hAnsiTheme="majorHAnsi"/>
          <w:sz w:val="20"/>
          <w:szCs w:val="20"/>
        </w:rPr>
        <w:t xml:space="preserve"> 1</w:t>
      </w:r>
      <w:r w:rsidR="00133F80" w:rsidRPr="00667639">
        <w:rPr>
          <w:rFonts w:asciiTheme="majorHAnsi" w:hAnsiTheme="majorHAnsi"/>
          <w:sz w:val="20"/>
          <w:szCs w:val="20"/>
        </w:rPr>
        <w:t xml:space="preserve"> and 2</w:t>
      </w:r>
      <w:r w:rsidRPr="00667639">
        <w:rPr>
          <w:rFonts w:asciiTheme="majorHAnsi" w:hAnsiTheme="majorHAnsi"/>
          <w:sz w:val="20"/>
          <w:szCs w:val="20"/>
        </w:rPr>
        <w:t>).</w:t>
      </w:r>
      <w:r w:rsidRPr="005722A6">
        <w:rPr>
          <w:rFonts w:asciiTheme="majorHAnsi" w:hAnsiTheme="majorHAnsi"/>
          <w:sz w:val="20"/>
          <w:szCs w:val="20"/>
        </w:rPr>
        <w:t xml:space="preserve"> </w:t>
      </w:r>
      <w:r w:rsidR="000557EF" w:rsidRPr="005722A6">
        <w:rPr>
          <w:rFonts w:asciiTheme="majorHAnsi" w:hAnsiTheme="majorHAnsi"/>
          <w:sz w:val="20"/>
          <w:szCs w:val="20"/>
        </w:rPr>
        <w:t>The GEF increment will provide capacity development</w:t>
      </w:r>
      <w:r w:rsidR="00F3356F">
        <w:rPr>
          <w:rFonts w:asciiTheme="majorHAnsi" w:hAnsiTheme="majorHAnsi"/>
          <w:sz w:val="20"/>
          <w:szCs w:val="20"/>
        </w:rPr>
        <w:t>,</w:t>
      </w:r>
      <w:r w:rsidR="000557EF" w:rsidRPr="005722A6">
        <w:rPr>
          <w:rFonts w:asciiTheme="majorHAnsi" w:hAnsiTheme="majorHAnsi"/>
          <w:sz w:val="20"/>
          <w:szCs w:val="20"/>
        </w:rPr>
        <w:t xml:space="preserve"> training and technical assistance </w:t>
      </w:r>
      <w:r w:rsidR="00257896" w:rsidRPr="005722A6">
        <w:rPr>
          <w:rFonts w:asciiTheme="majorHAnsi" w:hAnsiTheme="majorHAnsi"/>
          <w:sz w:val="20"/>
          <w:szCs w:val="20"/>
        </w:rPr>
        <w:t xml:space="preserve">(forest categorization and rapid conservation assessments) </w:t>
      </w:r>
      <w:r w:rsidR="000557EF" w:rsidRPr="005722A6">
        <w:rPr>
          <w:rFonts w:asciiTheme="majorHAnsi" w:hAnsiTheme="majorHAnsi"/>
          <w:sz w:val="20"/>
          <w:szCs w:val="20"/>
        </w:rPr>
        <w:t xml:space="preserve">to facilitate mapping, development of the </w:t>
      </w:r>
      <w:r w:rsidR="002240C1">
        <w:rPr>
          <w:rFonts w:asciiTheme="majorHAnsi" w:hAnsiTheme="majorHAnsi"/>
          <w:sz w:val="20"/>
          <w:szCs w:val="20"/>
        </w:rPr>
        <w:t xml:space="preserve">ILSMS </w:t>
      </w:r>
      <w:r w:rsidR="000557EF" w:rsidRPr="005722A6">
        <w:rPr>
          <w:rFonts w:asciiTheme="majorHAnsi" w:hAnsiTheme="majorHAnsi"/>
          <w:sz w:val="20"/>
          <w:szCs w:val="20"/>
        </w:rPr>
        <w:t xml:space="preserve">for </w:t>
      </w:r>
      <w:r w:rsidR="00373429" w:rsidRPr="005722A6">
        <w:rPr>
          <w:rFonts w:asciiTheme="majorHAnsi" w:hAnsiTheme="majorHAnsi"/>
          <w:sz w:val="20"/>
          <w:szCs w:val="20"/>
        </w:rPr>
        <w:t>Babeldoa</w:t>
      </w:r>
      <w:r w:rsidR="00373429">
        <w:rPr>
          <w:rFonts w:asciiTheme="majorHAnsi" w:hAnsiTheme="majorHAnsi"/>
          <w:sz w:val="20"/>
          <w:szCs w:val="20"/>
        </w:rPr>
        <w:t>b</w:t>
      </w:r>
      <w:r w:rsidR="00373429" w:rsidRPr="005722A6">
        <w:rPr>
          <w:rFonts w:asciiTheme="majorHAnsi" w:hAnsiTheme="majorHAnsi"/>
          <w:sz w:val="20"/>
          <w:szCs w:val="20"/>
        </w:rPr>
        <w:t xml:space="preserve"> </w:t>
      </w:r>
      <w:r w:rsidR="000557EF" w:rsidRPr="005722A6">
        <w:rPr>
          <w:rFonts w:asciiTheme="majorHAnsi" w:hAnsiTheme="majorHAnsi"/>
          <w:sz w:val="20"/>
          <w:szCs w:val="20"/>
        </w:rPr>
        <w:t xml:space="preserve">Island, development of individual state ISLMPs and support for on-the-ground </w:t>
      </w:r>
      <w:r w:rsidR="000557EF" w:rsidRPr="005722A6">
        <w:rPr>
          <w:rFonts w:asciiTheme="majorHAnsi" w:hAnsiTheme="majorHAnsi"/>
          <w:sz w:val="20"/>
          <w:szCs w:val="20"/>
        </w:rPr>
        <w:lastRenderedPageBreak/>
        <w:t xml:space="preserve">implementation of </w:t>
      </w:r>
      <w:r w:rsidRPr="005722A6">
        <w:rPr>
          <w:rFonts w:asciiTheme="majorHAnsi" w:hAnsiTheme="majorHAnsi"/>
          <w:sz w:val="20"/>
          <w:szCs w:val="20"/>
        </w:rPr>
        <w:t>best practices</w:t>
      </w:r>
      <w:r w:rsidR="00194AA1">
        <w:rPr>
          <w:rFonts w:asciiTheme="majorHAnsi" w:hAnsiTheme="majorHAnsi"/>
          <w:sz w:val="20"/>
          <w:szCs w:val="20"/>
        </w:rPr>
        <w:t xml:space="preserve">. </w:t>
      </w:r>
      <w:r w:rsidR="00B87D6D" w:rsidRPr="005722A6">
        <w:rPr>
          <w:rFonts w:asciiTheme="majorHAnsi" w:hAnsiTheme="majorHAnsi"/>
          <w:sz w:val="20"/>
          <w:szCs w:val="20"/>
        </w:rPr>
        <w:t>O</w:t>
      </w:r>
      <w:r w:rsidR="00F3356F">
        <w:rPr>
          <w:rFonts w:asciiTheme="majorHAnsi" w:hAnsiTheme="majorHAnsi"/>
          <w:sz w:val="20"/>
          <w:szCs w:val="20"/>
        </w:rPr>
        <w:t>ver</w:t>
      </w:r>
      <w:r w:rsidR="00B87D6D" w:rsidRPr="005722A6">
        <w:rPr>
          <w:rFonts w:asciiTheme="majorHAnsi" w:hAnsiTheme="majorHAnsi"/>
          <w:sz w:val="20"/>
          <w:szCs w:val="20"/>
        </w:rPr>
        <w:t xml:space="preserve"> the long-term</w:t>
      </w:r>
      <w:r w:rsidR="00F3356F">
        <w:rPr>
          <w:rFonts w:asciiTheme="majorHAnsi" w:hAnsiTheme="majorHAnsi"/>
          <w:sz w:val="20"/>
          <w:szCs w:val="20"/>
        </w:rPr>
        <w:t>,</w:t>
      </w:r>
      <w:r w:rsidR="00B87D6D" w:rsidRPr="005722A6">
        <w:rPr>
          <w:rFonts w:asciiTheme="majorHAnsi" w:hAnsiTheme="majorHAnsi"/>
          <w:sz w:val="20"/>
          <w:szCs w:val="20"/>
        </w:rPr>
        <w:t xml:space="preserve"> the mapping and strategic planning exercises w</w:t>
      </w:r>
      <w:r w:rsidR="00F3356F">
        <w:rPr>
          <w:rFonts w:asciiTheme="majorHAnsi" w:hAnsiTheme="majorHAnsi"/>
          <w:sz w:val="20"/>
          <w:szCs w:val="20"/>
        </w:rPr>
        <w:t>ill</w:t>
      </w:r>
      <w:r w:rsidR="00B87D6D" w:rsidRPr="005722A6">
        <w:rPr>
          <w:rFonts w:asciiTheme="majorHAnsi" w:hAnsiTheme="majorHAnsi"/>
          <w:sz w:val="20"/>
          <w:szCs w:val="20"/>
        </w:rPr>
        <w:t xml:space="preserve"> provide information for future zonation of the land/seascape for different economic uses and development activities, facilitate EIA, EIS and permitting processes that meet biodiversity-friendly norms, and help develop appropriate governance and enforcement systems </w:t>
      </w:r>
      <w:r w:rsidR="00F3356F">
        <w:rPr>
          <w:rFonts w:asciiTheme="majorHAnsi" w:hAnsiTheme="majorHAnsi"/>
          <w:sz w:val="20"/>
          <w:szCs w:val="20"/>
        </w:rPr>
        <w:t>to</w:t>
      </w:r>
      <w:r w:rsidR="00B87D6D" w:rsidRPr="005722A6">
        <w:rPr>
          <w:rFonts w:asciiTheme="majorHAnsi" w:hAnsiTheme="majorHAnsi"/>
          <w:sz w:val="20"/>
          <w:szCs w:val="20"/>
        </w:rPr>
        <w:t xml:space="preserve"> ensure that development is sustainable and environmentally appropriate.</w:t>
      </w:r>
    </w:p>
    <w:p w14:paraId="0C3EF6BC" w14:textId="77777777" w:rsidR="00B87D6D" w:rsidRPr="005722A6" w:rsidRDefault="00B87D6D" w:rsidP="007A1BA8">
      <w:pPr>
        <w:tabs>
          <w:tab w:val="left" w:pos="360"/>
        </w:tabs>
        <w:contextualSpacing/>
        <w:rPr>
          <w:rFonts w:asciiTheme="majorHAnsi" w:hAnsiTheme="majorHAnsi"/>
          <w:sz w:val="20"/>
          <w:szCs w:val="20"/>
        </w:rPr>
      </w:pPr>
    </w:p>
    <w:p w14:paraId="1C3BF1E4" w14:textId="276158A6" w:rsidR="00B87774" w:rsidRPr="005722A6" w:rsidRDefault="00B87774" w:rsidP="00B87774">
      <w:pPr>
        <w:spacing w:after="0"/>
        <w:rPr>
          <w:rFonts w:asciiTheme="majorHAnsi" w:hAnsiTheme="majorHAnsi"/>
          <w:b/>
          <w:i/>
          <w:sz w:val="20"/>
          <w:szCs w:val="20"/>
        </w:rPr>
      </w:pPr>
      <w:r w:rsidRPr="005722A6">
        <w:rPr>
          <w:rFonts w:asciiTheme="majorHAnsi" w:hAnsiTheme="majorHAnsi"/>
          <w:b/>
          <w:i/>
          <w:sz w:val="20"/>
          <w:szCs w:val="20"/>
        </w:rPr>
        <w:t>Output 2.2 Specific areas of high conservation value forest</w:t>
      </w:r>
      <w:r w:rsidR="00CC4CB1">
        <w:rPr>
          <w:rFonts w:asciiTheme="majorHAnsi" w:hAnsiTheme="majorHAnsi"/>
          <w:b/>
          <w:i/>
          <w:sz w:val="20"/>
          <w:szCs w:val="20"/>
        </w:rPr>
        <w:t>,</w:t>
      </w:r>
      <w:r w:rsidR="00E56A3C">
        <w:rPr>
          <w:rFonts w:asciiTheme="majorHAnsi" w:hAnsiTheme="majorHAnsi"/>
          <w:b/>
          <w:i/>
          <w:sz w:val="20"/>
          <w:szCs w:val="20"/>
        </w:rPr>
        <w:t xml:space="preserve"> </w:t>
      </w:r>
      <w:r w:rsidRPr="005722A6">
        <w:rPr>
          <w:rFonts w:asciiTheme="majorHAnsi" w:hAnsiTheme="majorHAnsi"/>
          <w:b/>
          <w:i/>
          <w:sz w:val="20"/>
          <w:szCs w:val="20"/>
        </w:rPr>
        <w:t xml:space="preserve">coastal and marine ecosystems </w:t>
      </w:r>
      <w:r w:rsidR="006C3327" w:rsidRPr="005722A6">
        <w:rPr>
          <w:rFonts w:asciiTheme="majorHAnsi" w:hAnsiTheme="majorHAnsi"/>
          <w:b/>
          <w:i/>
          <w:sz w:val="20"/>
          <w:szCs w:val="20"/>
        </w:rPr>
        <w:t>de</w:t>
      </w:r>
      <w:r w:rsidR="00CC4CB1">
        <w:rPr>
          <w:rFonts w:asciiTheme="majorHAnsi" w:hAnsiTheme="majorHAnsi"/>
          <w:b/>
          <w:i/>
          <w:sz w:val="20"/>
          <w:szCs w:val="20"/>
        </w:rPr>
        <w:t>signe</w:t>
      </w:r>
      <w:r w:rsidR="00E56A3C">
        <w:rPr>
          <w:rFonts w:asciiTheme="majorHAnsi" w:hAnsiTheme="majorHAnsi"/>
          <w:b/>
          <w:i/>
          <w:sz w:val="20"/>
          <w:szCs w:val="20"/>
        </w:rPr>
        <w:t>d</w:t>
      </w:r>
      <w:r w:rsidR="006C3327" w:rsidRPr="005722A6">
        <w:rPr>
          <w:rFonts w:asciiTheme="majorHAnsi" w:hAnsiTheme="majorHAnsi"/>
          <w:b/>
          <w:i/>
          <w:sz w:val="20"/>
          <w:szCs w:val="20"/>
        </w:rPr>
        <w:t xml:space="preserve"> and </w:t>
      </w:r>
      <w:r w:rsidR="002C0170">
        <w:rPr>
          <w:rFonts w:asciiTheme="majorHAnsi" w:hAnsiTheme="majorHAnsi"/>
          <w:b/>
          <w:i/>
          <w:sz w:val="20"/>
          <w:szCs w:val="20"/>
        </w:rPr>
        <w:t xml:space="preserve">managed </w:t>
      </w:r>
      <w:r w:rsidR="00E028C4" w:rsidRPr="005722A6">
        <w:rPr>
          <w:rFonts w:asciiTheme="majorHAnsi" w:hAnsiTheme="majorHAnsi"/>
          <w:b/>
          <w:i/>
          <w:sz w:val="20"/>
          <w:szCs w:val="20"/>
        </w:rPr>
        <w:t xml:space="preserve">under community governance regimes </w:t>
      </w:r>
    </w:p>
    <w:p w14:paraId="42BB848E" w14:textId="77777777" w:rsidR="007A1BA8" w:rsidRPr="005722A6" w:rsidRDefault="007A1BA8" w:rsidP="00B87774">
      <w:pPr>
        <w:spacing w:after="0"/>
        <w:rPr>
          <w:rFonts w:asciiTheme="majorHAnsi" w:hAnsiTheme="majorHAnsi"/>
          <w:b/>
          <w:i/>
          <w:sz w:val="20"/>
          <w:szCs w:val="20"/>
        </w:rPr>
      </w:pPr>
    </w:p>
    <w:p w14:paraId="0135C01E" w14:textId="3A33ABA1" w:rsidR="00016CD0" w:rsidRPr="005722A6" w:rsidRDefault="00F3356F" w:rsidP="00016CD0">
      <w:pPr>
        <w:contextualSpacing/>
        <w:rPr>
          <w:rFonts w:asciiTheme="majorHAnsi" w:hAnsiTheme="majorHAnsi"/>
          <w:sz w:val="20"/>
          <w:szCs w:val="20"/>
        </w:rPr>
      </w:pPr>
      <w:r>
        <w:rPr>
          <w:rFonts w:asciiTheme="majorHAnsi" w:hAnsiTheme="majorHAnsi"/>
          <w:sz w:val="20"/>
          <w:szCs w:val="20"/>
        </w:rPr>
        <w:t>T</w:t>
      </w:r>
      <w:r w:rsidR="00D25AA7" w:rsidRPr="005722A6">
        <w:rPr>
          <w:rFonts w:asciiTheme="majorHAnsi" w:hAnsiTheme="majorHAnsi"/>
          <w:sz w:val="20"/>
          <w:szCs w:val="20"/>
        </w:rPr>
        <w:t xml:space="preserve">his </w:t>
      </w:r>
      <w:r>
        <w:rPr>
          <w:rFonts w:asciiTheme="majorHAnsi" w:hAnsiTheme="majorHAnsi"/>
          <w:sz w:val="20"/>
          <w:szCs w:val="20"/>
        </w:rPr>
        <w:t>o</w:t>
      </w:r>
      <w:r w:rsidR="00D25AA7" w:rsidRPr="005722A6">
        <w:rPr>
          <w:rFonts w:asciiTheme="majorHAnsi" w:hAnsiTheme="majorHAnsi"/>
          <w:sz w:val="20"/>
          <w:szCs w:val="20"/>
        </w:rPr>
        <w:t xml:space="preserve">utput, based on the mapping and consultative planning process </w:t>
      </w:r>
      <w:r>
        <w:rPr>
          <w:rFonts w:asciiTheme="majorHAnsi" w:hAnsiTheme="majorHAnsi"/>
          <w:sz w:val="20"/>
          <w:szCs w:val="20"/>
        </w:rPr>
        <w:t>for</w:t>
      </w:r>
      <w:r w:rsidR="00D25AA7" w:rsidRPr="005722A6">
        <w:rPr>
          <w:rFonts w:asciiTheme="majorHAnsi" w:hAnsiTheme="majorHAnsi"/>
          <w:sz w:val="20"/>
          <w:szCs w:val="20"/>
        </w:rPr>
        <w:t xml:space="preserve"> Output 2.1, </w:t>
      </w:r>
      <w:r>
        <w:rPr>
          <w:rFonts w:asciiTheme="majorHAnsi" w:hAnsiTheme="majorHAnsi"/>
          <w:sz w:val="20"/>
          <w:szCs w:val="20"/>
        </w:rPr>
        <w:t xml:space="preserve">is focused on </w:t>
      </w:r>
      <w:r w:rsidR="00793E8D" w:rsidRPr="005722A6">
        <w:rPr>
          <w:rFonts w:asciiTheme="majorHAnsi" w:hAnsiTheme="majorHAnsi"/>
          <w:sz w:val="20"/>
          <w:szCs w:val="20"/>
        </w:rPr>
        <w:t>community participation</w:t>
      </w:r>
      <w:r w:rsidR="00793E8D">
        <w:rPr>
          <w:rFonts w:asciiTheme="majorHAnsi" w:hAnsiTheme="majorHAnsi"/>
          <w:sz w:val="20"/>
          <w:szCs w:val="20"/>
        </w:rPr>
        <w:t xml:space="preserve"> in</w:t>
      </w:r>
      <w:r w:rsidR="00D25AA7" w:rsidRPr="005722A6">
        <w:rPr>
          <w:rFonts w:asciiTheme="majorHAnsi" w:hAnsiTheme="majorHAnsi"/>
          <w:sz w:val="20"/>
          <w:szCs w:val="20"/>
        </w:rPr>
        <w:t xml:space="preserve"> the development and improved management of specific high conservation value ecosystems</w:t>
      </w:r>
      <w:r w:rsidR="00793E8D">
        <w:rPr>
          <w:rFonts w:asciiTheme="majorHAnsi" w:hAnsiTheme="majorHAnsi"/>
          <w:sz w:val="20"/>
          <w:szCs w:val="20"/>
        </w:rPr>
        <w:t>,</w:t>
      </w:r>
      <w:r w:rsidR="00D25AA7" w:rsidRPr="005722A6">
        <w:rPr>
          <w:rFonts w:asciiTheme="majorHAnsi" w:hAnsiTheme="majorHAnsi"/>
          <w:sz w:val="20"/>
          <w:szCs w:val="20"/>
        </w:rPr>
        <w:t xml:space="preserve"> such as forests, coastal and marine areas</w:t>
      </w:r>
      <w:r w:rsidR="00194AA1">
        <w:rPr>
          <w:rFonts w:asciiTheme="majorHAnsi" w:hAnsiTheme="majorHAnsi"/>
          <w:sz w:val="20"/>
          <w:szCs w:val="20"/>
        </w:rPr>
        <w:t xml:space="preserve">. </w:t>
      </w:r>
      <w:r w:rsidR="00793E8D">
        <w:rPr>
          <w:rFonts w:asciiTheme="majorHAnsi" w:hAnsiTheme="majorHAnsi"/>
          <w:sz w:val="20"/>
          <w:szCs w:val="20"/>
        </w:rPr>
        <w:t>It</w:t>
      </w:r>
      <w:r w:rsidR="00591EF4" w:rsidRPr="005722A6">
        <w:rPr>
          <w:rFonts w:asciiTheme="majorHAnsi" w:hAnsiTheme="majorHAnsi"/>
          <w:sz w:val="20"/>
          <w:szCs w:val="20"/>
        </w:rPr>
        <w:t xml:space="preserve"> include</w:t>
      </w:r>
      <w:r w:rsidR="00793E8D">
        <w:rPr>
          <w:rFonts w:asciiTheme="majorHAnsi" w:hAnsiTheme="majorHAnsi"/>
          <w:sz w:val="20"/>
          <w:szCs w:val="20"/>
        </w:rPr>
        <w:t>s</w:t>
      </w:r>
      <w:r w:rsidR="00591EF4" w:rsidRPr="005722A6">
        <w:rPr>
          <w:rFonts w:asciiTheme="majorHAnsi" w:hAnsiTheme="majorHAnsi"/>
          <w:sz w:val="20"/>
          <w:szCs w:val="20"/>
        </w:rPr>
        <w:t xml:space="preserve"> the </w:t>
      </w:r>
      <w:r w:rsidR="00F4282E" w:rsidRPr="005722A6">
        <w:rPr>
          <w:rFonts w:asciiTheme="majorHAnsi" w:hAnsiTheme="majorHAnsi"/>
          <w:sz w:val="20"/>
          <w:szCs w:val="20"/>
        </w:rPr>
        <w:t xml:space="preserve">formal </w:t>
      </w:r>
      <w:r w:rsidR="00591EF4" w:rsidRPr="005722A6">
        <w:rPr>
          <w:rFonts w:asciiTheme="majorHAnsi" w:hAnsiTheme="majorHAnsi"/>
          <w:sz w:val="20"/>
          <w:szCs w:val="20"/>
        </w:rPr>
        <w:t xml:space="preserve">establishment of </w:t>
      </w:r>
      <w:r w:rsidR="00F4282E" w:rsidRPr="005722A6">
        <w:rPr>
          <w:rFonts w:asciiTheme="majorHAnsi" w:hAnsiTheme="majorHAnsi"/>
          <w:sz w:val="20"/>
          <w:szCs w:val="20"/>
        </w:rPr>
        <w:t xml:space="preserve">15,000 ha of </w:t>
      </w:r>
      <w:r w:rsidR="00591EF4" w:rsidRPr="005722A6">
        <w:rPr>
          <w:rFonts w:asciiTheme="majorHAnsi" w:hAnsiTheme="majorHAnsi"/>
          <w:sz w:val="20"/>
          <w:szCs w:val="20"/>
        </w:rPr>
        <w:t>community managed “non-consumptive</w:t>
      </w:r>
      <w:r w:rsidR="00F4282E" w:rsidRPr="005722A6">
        <w:rPr>
          <w:rFonts w:asciiTheme="majorHAnsi" w:hAnsiTheme="majorHAnsi"/>
          <w:sz w:val="20"/>
          <w:szCs w:val="20"/>
        </w:rPr>
        <w:t>”</w:t>
      </w:r>
      <w:r w:rsidR="00591EF4" w:rsidRPr="005722A6">
        <w:rPr>
          <w:rFonts w:asciiTheme="majorHAnsi" w:hAnsiTheme="majorHAnsi"/>
          <w:sz w:val="20"/>
          <w:szCs w:val="20"/>
        </w:rPr>
        <w:t>’ areas</w:t>
      </w:r>
      <w:r w:rsidR="00F4282E" w:rsidRPr="005722A6">
        <w:rPr>
          <w:rFonts w:asciiTheme="majorHAnsi" w:hAnsiTheme="majorHAnsi"/>
          <w:sz w:val="20"/>
          <w:szCs w:val="20"/>
        </w:rPr>
        <w:t xml:space="preserve"> (as </w:t>
      </w:r>
      <w:r w:rsidR="00B87D6D" w:rsidRPr="005722A6">
        <w:rPr>
          <w:rFonts w:asciiTheme="majorHAnsi" w:hAnsiTheme="majorHAnsi"/>
          <w:sz w:val="20"/>
          <w:szCs w:val="20"/>
        </w:rPr>
        <w:t xml:space="preserve">legislated </w:t>
      </w:r>
      <w:r w:rsidR="00F4282E" w:rsidRPr="005722A6">
        <w:rPr>
          <w:rFonts w:asciiTheme="majorHAnsi" w:hAnsiTheme="majorHAnsi"/>
          <w:sz w:val="20"/>
          <w:szCs w:val="20"/>
        </w:rPr>
        <w:t>P</w:t>
      </w:r>
      <w:r w:rsidR="00F37925" w:rsidRPr="005722A6">
        <w:rPr>
          <w:rFonts w:asciiTheme="majorHAnsi" w:hAnsiTheme="majorHAnsi"/>
          <w:sz w:val="20"/>
          <w:szCs w:val="20"/>
        </w:rPr>
        <w:t>A</w:t>
      </w:r>
      <w:r w:rsidR="00F4282E" w:rsidRPr="005722A6">
        <w:rPr>
          <w:rFonts w:asciiTheme="majorHAnsi" w:hAnsiTheme="majorHAnsi"/>
          <w:sz w:val="20"/>
          <w:szCs w:val="20"/>
        </w:rPr>
        <w:t>s or through PAN</w:t>
      </w:r>
      <w:r w:rsidR="00F37925" w:rsidRPr="005722A6">
        <w:rPr>
          <w:rFonts w:asciiTheme="majorHAnsi" w:hAnsiTheme="majorHAnsi"/>
          <w:sz w:val="20"/>
          <w:szCs w:val="20"/>
        </w:rPr>
        <w:t xml:space="preserve"> or similar arrangements</w:t>
      </w:r>
      <w:r w:rsidR="00F4282E" w:rsidRPr="005722A6">
        <w:rPr>
          <w:rFonts w:asciiTheme="majorHAnsi" w:hAnsiTheme="majorHAnsi"/>
          <w:sz w:val="20"/>
          <w:szCs w:val="20"/>
        </w:rPr>
        <w:t>)</w:t>
      </w:r>
      <w:r w:rsidR="00F43460" w:rsidRPr="005722A6">
        <w:rPr>
          <w:rFonts w:asciiTheme="majorHAnsi" w:hAnsiTheme="majorHAnsi"/>
          <w:sz w:val="20"/>
          <w:szCs w:val="20"/>
        </w:rPr>
        <w:t xml:space="preserve">. </w:t>
      </w:r>
      <w:r w:rsidR="00F4282E" w:rsidRPr="005722A6">
        <w:rPr>
          <w:rFonts w:asciiTheme="majorHAnsi" w:hAnsiTheme="majorHAnsi"/>
          <w:sz w:val="20"/>
          <w:szCs w:val="20"/>
        </w:rPr>
        <w:t xml:space="preserve">Conservation </w:t>
      </w:r>
      <w:r w:rsidR="00D25AA7" w:rsidRPr="005722A6">
        <w:rPr>
          <w:rFonts w:asciiTheme="majorHAnsi" w:hAnsiTheme="majorHAnsi"/>
          <w:sz w:val="20"/>
          <w:szCs w:val="20"/>
        </w:rPr>
        <w:t>plans and guidelines w</w:t>
      </w:r>
      <w:r w:rsidR="00793E8D">
        <w:rPr>
          <w:rFonts w:asciiTheme="majorHAnsi" w:hAnsiTheme="majorHAnsi"/>
          <w:sz w:val="20"/>
          <w:szCs w:val="20"/>
        </w:rPr>
        <w:t>ill</w:t>
      </w:r>
      <w:r w:rsidR="00D25AA7" w:rsidRPr="005722A6">
        <w:rPr>
          <w:rFonts w:asciiTheme="majorHAnsi" w:hAnsiTheme="majorHAnsi"/>
          <w:sz w:val="20"/>
          <w:szCs w:val="20"/>
        </w:rPr>
        <w:t xml:space="preserve"> be developed</w:t>
      </w:r>
      <w:r w:rsidR="00793E8D">
        <w:rPr>
          <w:rFonts w:asciiTheme="majorHAnsi" w:hAnsiTheme="majorHAnsi"/>
          <w:sz w:val="20"/>
          <w:szCs w:val="20"/>
        </w:rPr>
        <w:t xml:space="preserve"> and </w:t>
      </w:r>
      <w:r w:rsidR="00F4282E" w:rsidRPr="005722A6">
        <w:rPr>
          <w:rFonts w:asciiTheme="majorHAnsi" w:hAnsiTheme="majorHAnsi"/>
          <w:sz w:val="20"/>
          <w:szCs w:val="20"/>
        </w:rPr>
        <w:t xml:space="preserve">may include </w:t>
      </w:r>
      <w:r w:rsidR="00793E8D">
        <w:rPr>
          <w:rFonts w:asciiTheme="majorHAnsi" w:hAnsiTheme="majorHAnsi"/>
          <w:sz w:val="20"/>
          <w:szCs w:val="20"/>
        </w:rPr>
        <w:t>piloting</w:t>
      </w:r>
      <w:r w:rsidR="00F4282E" w:rsidRPr="005722A6">
        <w:rPr>
          <w:rFonts w:asciiTheme="majorHAnsi" w:hAnsiTheme="majorHAnsi"/>
          <w:sz w:val="20"/>
          <w:szCs w:val="20"/>
        </w:rPr>
        <w:t xml:space="preserve"> of </w:t>
      </w:r>
      <w:r w:rsidR="00016CD0" w:rsidRPr="005722A6">
        <w:rPr>
          <w:rFonts w:asciiTheme="majorHAnsi" w:hAnsiTheme="majorHAnsi"/>
          <w:sz w:val="20"/>
          <w:szCs w:val="20"/>
        </w:rPr>
        <w:t>financi</w:t>
      </w:r>
      <w:r w:rsidR="00793E8D">
        <w:rPr>
          <w:rFonts w:asciiTheme="majorHAnsi" w:hAnsiTheme="majorHAnsi"/>
          <w:sz w:val="20"/>
          <w:szCs w:val="20"/>
        </w:rPr>
        <w:t>ng measures,</w:t>
      </w:r>
      <w:r w:rsidR="00016CD0" w:rsidRPr="005722A6">
        <w:rPr>
          <w:rFonts w:asciiTheme="majorHAnsi" w:hAnsiTheme="majorHAnsi"/>
          <w:sz w:val="20"/>
          <w:szCs w:val="20"/>
        </w:rPr>
        <w:t xml:space="preserve"> such as</w:t>
      </w:r>
      <w:r w:rsidR="00793E8D">
        <w:rPr>
          <w:rFonts w:asciiTheme="majorHAnsi" w:hAnsiTheme="majorHAnsi"/>
          <w:sz w:val="20"/>
          <w:szCs w:val="20"/>
        </w:rPr>
        <w:t xml:space="preserve"> </w:t>
      </w:r>
      <w:r w:rsidR="00016CD0" w:rsidRPr="005722A6">
        <w:rPr>
          <w:rFonts w:asciiTheme="majorHAnsi" w:hAnsiTheme="majorHAnsi"/>
          <w:sz w:val="20"/>
          <w:szCs w:val="20"/>
        </w:rPr>
        <w:t>conservation tax deductions</w:t>
      </w:r>
      <w:r w:rsidR="00793E8D">
        <w:rPr>
          <w:rFonts w:asciiTheme="majorHAnsi" w:hAnsiTheme="majorHAnsi"/>
          <w:sz w:val="20"/>
          <w:szCs w:val="20"/>
        </w:rPr>
        <w:t xml:space="preserve"> and</w:t>
      </w:r>
      <w:r w:rsidR="00016CD0" w:rsidRPr="005722A6">
        <w:rPr>
          <w:rFonts w:asciiTheme="majorHAnsi" w:hAnsiTheme="majorHAnsi"/>
          <w:sz w:val="20"/>
          <w:szCs w:val="20"/>
        </w:rPr>
        <w:t xml:space="preserve"> tax credits, special concessions </w:t>
      </w:r>
      <w:r w:rsidR="00F4282E" w:rsidRPr="005722A6">
        <w:rPr>
          <w:rFonts w:asciiTheme="majorHAnsi" w:hAnsiTheme="majorHAnsi"/>
          <w:sz w:val="20"/>
          <w:szCs w:val="20"/>
        </w:rPr>
        <w:t xml:space="preserve">or </w:t>
      </w:r>
      <w:r w:rsidR="00016CD0" w:rsidRPr="005722A6">
        <w:rPr>
          <w:rFonts w:asciiTheme="majorHAnsi" w:hAnsiTheme="majorHAnsi"/>
          <w:sz w:val="20"/>
          <w:szCs w:val="20"/>
        </w:rPr>
        <w:t>Payment</w:t>
      </w:r>
      <w:r w:rsidR="003A3CA0" w:rsidRPr="005722A6">
        <w:rPr>
          <w:rFonts w:asciiTheme="majorHAnsi" w:hAnsiTheme="majorHAnsi"/>
          <w:sz w:val="20"/>
          <w:szCs w:val="20"/>
        </w:rPr>
        <w:t>s for Ecosystem Services (PES)</w:t>
      </w:r>
      <w:r w:rsidR="00F37925" w:rsidRPr="005722A6">
        <w:rPr>
          <w:rFonts w:asciiTheme="majorHAnsi" w:hAnsiTheme="majorHAnsi"/>
          <w:sz w:val="20"/>
          <w:szCs w:val="20"/>
        </w:rPr>
        <w:t>, as appropriate</w:t>
      </w:r>
      <w:r w:rsidR="00016CD0" w:rsidRPr="005722A6">
        <w:rPr>
          <w:rFonts w:asciiTheme="majorHAnsi" w:hAnsiTheme="majorHAnsi"/>
          <w:sz w:val="20"/>
          <w:szCs w:val="20"/>
        </w:rPr>
        <w:t>.</w:t>
      </w:r>
    </w:p>
    <w:p w14:paraId="73B0569C" w14:textId="77777777" w:rsidR="00016CD0" w:rsidRPr="005722A6" w:rsidRDefault="00016CD0" w:rsidP="00D25AA7">
      <w:pPr>
        <w:spacing w:after="0"/>
        <w:contextualSpacing/>
        <w:rPr>
          <w:rFonts w:asciiTheme="majorHAnsi" w:hAnsiTheme="majorHAnsi"/>
          <w:sz w:val="20"/>
          <w:szCs w:val="20"/>
        </w:rPr>
      </w:pPr>
    </w:p>
    <w:p w14:paraId="50AFB833" w14:textId="6B4C1C19" w:rsidR="002240C1" w:rsidRPr="005722A6" w:rsidRDefault="00793E8D" w:rsidP="00D25AA7">
      <w:pPr>
        <w:spacing w:after="0"/>
        <w:contextualSpacing/>
        <w:rPr>
          <w:rFonts w:asciiTheme="majorHAnsi" w:hAnsiTheme="majorHAnsi"/>
          <w:sz w:val="20"/>
          <w:szCs w:val="20"/>
        </w:rPr>
      </w:pPr>
      <w:r>
        <w:rPr>
          <w:rFonts w:asciiTheme="majorHAnsi" w:hAnsiTheme="majorHAnsi"/>
          <w:sz w:val="20"/>
          <w:szCs w:val="20"/>
        </w:rPr>
        <w:t>It</w:t>
      </w:r>
      <w:r w:rsidR="00D25AA7" w:rsidRPr="005722A6">
        <w:rPr>
          <w:rFonts w:asciiTheme="majorHAnsi" w:hAnsiTheme="majorHAnsi"/>
          <w:sz w:val="20"/>
          <w:szCs w:val="20"/>
        </w:rPr>
        <w:t xml:space="preserve"> will be achieved through the following actions: </w:t>
      </w:r>
    </w:p>
    <w:p w14:paraId="369DE183" w14:textId="61DED867" w:rsidR="00D25AA7" w:rsidRPr="005722A6" w:rsidRDefault="00D25AA7" w:rsidP="00BD402F">
      <w:pPr>
        <w:pStyle w:val="ListParagraph"/>
        <w:numPr>
          <w:ilvl w:val="0"/>
          <w:numId w:val="26"/>
        </w:numPr>
        <w:contextualSpacing/>
        <w:jc w:val="both"/>
        <w:rPr>
          <w:rFonts w:asciiTheme="majorHAnsi" w:hAnsiTheme="majorHAnsi"/>
          <w:sz w:val="20"/>
          <w:szCs w:val="20"/>
        </w:rPr>
      </w:pPr>
      <w:r w:rsidRPr="005722A6">
        <w:rPr>
          <w:rFonts w:asciiTheme="majorHAnsi" w:hAnsiTheme="majorHAnsi"/>
          <w:sz w:val="20"/>
          <w:szCs w:val="20"/>
        </w:rPr>
        <w:t xml:space="preserve">Preparation of </w:t>
      </w:r>
      <w:r w:rsidR="00BD3BC7" w:rsidRPr="005722A6">
        <w:rPr>
          <w:rFonts w:asciiTheme="majorHAnsi" w:hAnsiTheme="majorHAnsi"/>
          <w:sz w:val="20"/>
          <w:szCs w:val="20"/>
        </w:rPr>
        <w:t xml:space="preserve">participatory, </w:t>
      </w:r>
      <w:r w:rsidRPr="005722A6">
        <w:rPr>
          <w:rFonts w:asciiTheme="majorHAnsi" w:hAnsiTheme="majorHAnsi"/>
          <w:sz w:val="20"/>
          <w:szCs w:val="20"/>
        </w:rPr>
        <w:t>conservation management plans</w:t>
      </w:r>
      <w:r w:rsidR="00BD3BC7" w:rsidRPr="005722A6">
        <w:rPr>
          <w:rFonts w:asciiTheme="majorHAnsi" w:hAnsiTheme="majorHAnsi"/>
          <w:sz w:val="20"/>
          <w:szCs w:val="20"/>
        </w:rPr>
        <w:t>, including for sustainable tourism</w:t>
      </w:r>
      <w:r w:rsidR="00793E8D">
        <w:rPr>
          <w:rFonts w:asciiTheme="majorHAnsi" w:hAnsiTheme="majorHAnsi"/>
          <w:sz w:val="20"/>
          <w:szCs w:val="20"/>
        </w:rPr>
        <w:t xml:space="preserve">, for specific </w:t>
      </w:r>
      <w:r w:rsidR="00E56A3C">
        <w:rPr>
          <w:rFonts w:asciiTheme="majorHAnsi" w:hAnsiTheme="majorHAnsi"/>
          <w:sz w:val="20"/>
          <w:szCs w:val="20"/>
        </w:rPr>
        <w:t>areas</w:t>
      </w:r>
      <w:r w:rsidRPr="005722A6">
        <w:rPr>
          <w:rFonts w:asciiTheme="majorHAnsi" w:hAnsiTheme="majorHAnsi"/>
          <w:sz w:val="20"/>
          <w:szCs w:val="20"/>
        </w:rPr>
        <w:t>;</w:t>
      </w:r>
    </w:p>
    <w:p w14:paraId="61E120C0" w14:textId="641A5E88" w:rsidR="00D25AA7" w:rsidRPr="005722A6" w:rsidRDefault="00D25AA7" w:rsidP="00BD402F">
      <w:pPr>
        <w:pStyle w:val="ListParagraph"/>
        <w:numPr>
          <w:ilvl w:val="0"/>
          <w:numId w:val="26"/>
        </w:numPr>
        <w:tabs>
          <w:tab w:val="left" w:pos="144"/>
        </w:tabs>
        <w:contextualSpacing/>
        <w:jc w:val="both"/>
        <w:rPr>
          <w:rFonts w:asciiTheme="majorHAnsi" w:hAnsiTheme="majorHAnsi"/>
          <w:sz w:val="20"/>
          <w:szCs w:val="20"/>
        </w:rPr>
      </w:pPr>
      <w:r w:rsidRPr="005722A6">
        <w:rPr>
          <w:rFonts w:asciiTheme="majorHAnsi" w:hAnsiTheme="majorHAnsi"/>
          <w:sz w:val="20"/>
          <w:szCs w:val="20"/>
        </w:rPr>
        <w:t xml:space="preserve">Development of protocols </w:t>
      </w:r>
      <w:r w:rsidR="00793E8D">
        <w:rPr>
          <w:rFonts w:asciiTheme="majorHAnsi" w:hAnsiTheme="majorHAnsi"/>
          <w:sz w:val="20"/>
          <w:szCs w:val="20"/>
        </w:rPr>
        <w:t>to</w:t>
      </w:r>
      <w:r w:rsidRPr="005722A6">
        <w:rPr>
          <w:rFonts w:asciiTheme="majorHAnsi" w:hAnsiTheme="majorHAnsi"/>
          <w:sz w:val="20"/>
          <w:szCs w:val="20"/>
        </w:rPr>
        <w:t xml:space="preserve"> conserv</w:t>
      </w:r>
      <w:r w:rsidR="00793E8D">
        <w:rPr>
          <w:rFonts w:asciiTheme="majorHAnsi" w:hAnsiTheme="majorHAnsi"/>
          <w:sz w:val="20"/>
          <w:szCs w:val="20"/>
        </w:rPr>
        <w:t>e</w:t>
      </w:r>
      <w:r w:rsidRPr="005722A6">
        <w:rPr>
          <w:rFonts w:asciiTheme="majorHAnsi" w:hAnsiTheme="majorHAnsi"/>
          <w:sz w:val="20"/>
          <w:szCs w:val="20"/>
        </w:rPr>
        <w:t xml:space="preserve"> </w:t>
      </w:r>
      <w:r w:rsidR="00F43460" w:rsidRPr="005722A6">
        <w:rPr>
          <w:rFonts w:asciiTheme="majorHAnsi" w:hAnsiTheme="majorHAnsi"/>
          <w:sz w:val="20"/>
          <w:szCs w:val="20"/>
        </w:rPr>
        <w:t>and monitor</w:t>
      </w:r>
      <w:r w:rsidRPr="005722A6">
        <w:rPr>
          <w:rFonts w:asciiTheme="majorHAnsi" w:hAnsiTheme="majorHAnsi"/>
          <w:sz w:val="20"/>
          <w:szCs w:val="20"/>
        </w:rPr>
        <w:t xml:space="preserve"> key species and habitats within such </w:t>
      </w:r>
      <w:r w:rsidR="00E56A3C">
        <w:rPr>
          <w:rFonts w:asciiTheme="majorHAnsi" w:hAnsiTheme="majorHAnsi"/>
          <w:sz w:val="20"/>
          <w:szCs w:val="20"/>
        </w:rPr>
        <w:t>areas</w:t>
      </w:r>
      <w:r w:rsidR="003A3CA0" w:rsidRPr="005722A6">
        <w:rPr>
          <w:rFonts w:asciiTheme="majorHAnsi" w:hAnsiTheme="majorHAnsi"/>
          <w:sz w:val="20"/>
          <w:szCs w:val="20"/>
        </w:rPr>
        <w:t xml:space="preserve">, </w:t>
      </w:r>
      <w:r w:rsidR="00793E8D">
        <w:rPr>
          <w:rFonts w:asciiTheme="majorHAnsi" w:hAnsiTheme="majorHAnsi"/>
          <w:sz w:val="20"/>
          <w:szCs w:val="20"/>
        </w:rPr>
        <w:t xml:space="preserve">including </w:t>
      </w:r>
      <w:r w:rsidR="003A3CA0" w:rsidRPr="005722A6">
        <w:rPr>
          <w:rFonts w:asciiTheme="majorHAnsi" w:hAnsiTheme="majorHAnsi"/>
          <w:sz w:val="20"/>
          <w:szCs w:val="20"/>
        </w:rPr>
        <w:t>control and management of IAS</w:t>
      </w:r>
      <w:r w:rsidR="001F6918" w:rsidRPr="005722A6">
        <w:rPr>
          <w:rFonts w:asciiTheme="majorHAnsi" w:hAnsiTheme="majorHAnsi"/>
          <w:sz w:val="20"/>
          <w:szCs w:val="20"/>
        </w:rPr>
        <w:t>;</w:t>
      </w:r>
      <w:r w:rsidR="00BB4D09" w:rsidRPr="00FB46EB">
        <w:rPr>
          <w:rStyle w:val="CommentReference"/>
          <w:rFonts w:asciiTheme="majorHAnsi" w:hAnsiTheme="majorHAnsi"/>
          <w:sz w:val="20"/>
          <w:szCs w:val="20"/>
        </w:rPr>
        <w:t xml:space="preserve"> </w:t>
      </w:r>
    </w:p>
    <w:p w14:paraId="14B24E81" w14:textId="029ECC13" w:rsidR="00D25AA7" w:rsidRPr="005722A6" w:rsidRDefault="00BD3BC7" w:rsidP="00BD402F">
      <w:pPr>
        <w:pStyle w:val="ListParagraph"/>
        <w:numPr>
          <w:ilvl w:val="0"/>
          <w:numId w:val="26"/>
        </w:numPr>
        <w:contextualSpacing/>
        <w:jc w:val="both"/>
        <w:rPr>
          <w:rFonts w:asciiTheme="majorHAnsi" w:hAnsiTheme="majorHAnsi"/>
          <w:sz w:val="20"/>
          <w:szCs w:val="20"/>
        </w:rPr>
      </w:pPr>
      <w:r w:rsidRPr="005722A6">
        <w:rPr>
          <w:rFonts w:asciiTheme="majorHAnsi" w:hAnsiTheme="majorHAnsi"/>
          <w:sz w:val="20"/>
          <w:szCs w:val="20"/>
        </w:rPr>
        <w:t>Designing</w:t>
      </w:r>
      <w:r w:rsidR="00D25AA7" w:rsidRPr="005722A6">
        <w:rPr>
          <w:rFonts w:asciiTheme="majorHAnsi" w:hAnsiTheme="majorHAnsi"/>
          <w:sz w:val="20"/>
          <w:szCs w:val="20"/>
        </w:rPr>
        <w:t xml:space="preserve"> benefit</w:t>
      </w:r>
      <w:r w:rsidR="00793E8D">
        <w:rPr>
          <w:rFonts w:asciiTheme="majorHAnsi" w:hAnsiTheme="majorHAnsi"/>
          <w:sz w:val="20"/>
          <w:szCs w:val="20"/>
        </w:rPr>
        <w:t>-</w:t>
      </w:r>
      <w:r w:rsidR="00D25AA7" w:rsidRPr="005722A6">
        <w:rPr>
          <w:rFonts w:asciiTheme="majorHAnsi" w:hAnsiTheme="majorHAnsi"/>
          <w:sz w:val="20"/>
          <w:szCs w:val="20"/>
        </w:rPr>
        <w:t xml:space="preserve">sharing </w:t>
      </w:r>
      <w:r w:rsidR="00793E8D">
        <w:rPr>
          <w:rFonts w:asciiTheme="majorHAnsi" w:hAnsiTheme="majorHAnsi"/>
          <w:sz w:val="20"/>
          <w:szCs w:val="20"/>
        </w:rPr>
        <w:t xml:space="preserve">mechanisms </w:t>
      </w:r>
      <w:r w:rsidR="00D25AA7" w:rsidRPr="005722A6">
        <w:rPr>
          <w:rFonts w:asciiTheme="majorHAnsi" w:hAnsiTheme="majorHAnsi"/>
          <w:sz w:val="20"/>
          <w:szCs w:val="20"/>
        </w:rPr>
        <w:t>f</w:t>
      </w:r>
      <w:r w:rsidR="00793E8D">
        <w:rPr>
          <w:rFonts w:asciiTheme="majorHAnsi" w:hAnsiTheme="majorHAnsi"/>
          <w:sz w:val="20"/>
          <w:szCs w:val="20"/>
        </w:rPr>
        <w:t>o</w:t>
      </w:r>
      <w:r w:rsidR="00D25AA7" w:rsidRPr="005722A6">
        <w:rPr>
          <w:rFonts w:asciiTheme="majorHAnsi" w:hAnsiTheme="majorHAnsi"/>
          <w:sz w:val="20"/>
          <w:szCs w:val="20"/>
        </w:rPr>
        <w:t>r</w:t>
      </w:r>
      <w:r w:rsidR="00793E8D">
        <w:rPr>
          <w:rFonts w:asciiTheme="majorHAnsi" w:hAnsiTheme="majorHAnsi"/>
          <w:sz w:val="20"/>
          <w:szCs w:val="20"/>
        </w:rPr>
        <w:t xml:space="preserve"> revenues from</w:t>
      </w:r>
      <w:r w:rsidR="00D25AA7" w:rsidRPr="005722A6">
        <w:rPr>
          <w:rFonts w:asciiTheme="majorHAnsi" w:hAnsiTheme="majorHAnsi"/>
          <w:sz w:val="20"/>
          <w:szCs w:val="20"/>
        </w:rPr>
        <w:t xml:space="preserve"> </w:t>
      </w:r>
      <w:r w:rsidR="00793E8D">
        <w:rPr>
          <w:rFonts w:asciiTheme="majorHAnsi" w:hAnsiTheme="majorHAnsi"/>
          <w:sz w:val="20"/>
          <w:szCs w:val="20"/>
        </w:rPr>
        <w:t xml:space="preserve">such </w:t>
      </w:r>
      <w:r w:rsidR="00D25AA7" w:rsidRPr="005722A6">
        <w:rPr>
          <w:rFonts w:asciiTheme="majorHAnsi" w:hAnsiTheme="majorHAnsi"/>
          <w:sz w:val="20"/>
          <w:szCs w:val="20"/>
        </w:rPr>
        <w:t>non-consumptive uses</w:t>
      </w:r>
      <w:r w:rsidR="00793E8D">
        <w:rPr>
          <w:rFonts w:asciiTheme="majorHAnsi" w:hAnsiTheme="majorHAnsi"/>
          <w:sz w:val="20"/>
          <w:szCs w:val="20"/>
        </w:rPr>
        <w:t xml:space="preserve"> as </w:t>
      </w:r>
      <w:r w:rsidR="00D25AA7" w:rsidRPr="005722A6">
        <w:rPr>
          <w:rFonts w:asciiTheme="majorHAnsi" w:hAnsiTheme="majorHAnsi"/>
          <w:sz w:val="20"/>
          <w:szCs w:val="20"/>
        </w:rPr>
        <w:t xml:space="preserve">ecotourism </w:t>
      </w:r>
      <w:r w:rsidR="00793E8D">
        <w:rPr>
          <w:rFonts w:asciiTheme="majorHAnsi" w:hAnsiTheme="majorHAnsi"/>
          <w:sz w:val="20"/>
          <w:szCs w:val="20"/>
        </w:rPr>
        <w:t>and</w:t>
      </w:r>
      <w:r w:rsidR="00D25AA7" w:rsidRPr="005722A6">
        <w:rPr>
          <w:rFonts w:asciiTheme="majorHAnsi" w:hAnsiTheme="majorHAnsi"/>
          <w:sz w:val="20"/>
          <w:szCs w:val="20"/>
        </w:rPr>
        <w:t xml:space="preserve"> </w:t>
      </w:r>
      <w:r w:rsidR="00793E8D">
        <w:rPr>
          <w:rFonts w:asciiTheme="majorHAnsi" w:hAnsiTheme="majorHAnsi"/>
          <w:sz w:val="20"/>
          <w:szCs w:val="20"/>
        </w:rPr>
        <w:t>entrance</w:t>
      </w:r>
      <w:r w:rsidR="00D25AA7" w:rsidRPr="005722A6">
        <w:rPr>
          <w:rFonts w:asciiTheme="majorHAnsi" w:hAnsiTheme="majorHAnsi"/>
          <w:sz w:val="20"/>
          <w:szCs w:val="20"/>
        </w:rPr>
        <w:t xml:space="preserve"> fees</w:t>
      </w:r>
      <w:r w:rsidR="001F6918" w:rsidRPr="005722A6">
        <w:rPr>
          <w:rFonts w:asciiTheme="majorHAnsi" w:hAnsiTheme="majorHAnsi"/>
          <w:sz w:val="20"/>
          <w:szCs w:val="20"/>
        </w:rPr>
        <w:t xml:space="preserve">; </w:t>
      </w:r>
    </w:p>
    <w:p w14:paraId="6ECC4FC2" w14:textId="0D255455" w:rsidR="008B1EC7" w:rsidRPr="002F6486" w:rsidRDefault="00DA1CC5" w:rsidP="00BD402F">
      <w:pPr>
        <w:pStyle w:val="ListParagraph"/>
        <w:numPr>
          <w:ilvl w:val="0"/>
          <w:numId w:val="26"/>
        </w:numPr>
        <w:contextualSpacing/>
        <w:jc w:val="both"/>
        <w:rPr>
          <w:rFonts w:asciiTheme="majorHAnsi" w:hAnsiTheme="majorHAnsi"/>
          <w:sz w:val="20"/>
          <w:szCs w:val="20"/>
        </w:rPr>
      </w:pPr>
      <w:r w:rsidRPr="00FB46EB">
        <w:rPr>
          <w:rFonts w:asciiTheme="majorHAnsi" w:hAnsiTheme="majorHAnsi"/>
          <w:sz w:val="20"/>
          <w:szCs w:val="20"/>
        </w:rPr>
        <w:t>S</w:t>
      </w:r>
      <w:r w:rsidR="006A64F9" w:rsidRPr="002F6486">
        <w:rPr>
          <w:rFonts w:asciiTheme="majorHAnsi" w:hAnsiTheme="majorHAnsi"/>
          <w:sz w:val="20"/>
          <w:szCs w:val="20"/>
        </w:rPr>
        <w:t>urvey</w:t>
      </w:r>
      <w:r w:rsidRPr="002F6486">
        <w:rPr>
          <w:rFonts w:asciiTheme="majorHAnsi" w:hAnsiTheme="majorHAnsi"/>
          <w:sz w:val="20"/>
          <w:szCs w:val="20"/>
        </w:rPr>
        <w:t xml:space="preserve"> and mapping of IAS</w:t>
      </w:r>
      <w:r w:rsidR="008B1EC7" w:rsidRPr="002F6486">
        <w:rPr>
          <w:rFonts w:asciiTheme="majorHAnsi" w:hAnsiTheme="majorHAnsi"/>
          <w:sz w:val="20"/>
          <w:szCs w:val="20"/>
        </w:rPr>
        <w:t>;</w:t>
      </w:r>
    </w:p>
    <w:p w14:paraId="4DB1142C" w14:textId="5B26E056" w:rsidR="006A64F9" w:rsidRPr="00203F78" w:rsidRDefault="008B1EC7" w:rsidP="00BD402F">
      <w:pPr>
        <w:pStyle w:val="ListParagraph"/>
        <w:numPr>
          <w:ilvl w:val="0"/>
          <w:numId w:val="26"/>
        </w:numPr>
        <w:contextualSpacing/>
        <w:jc w:val="both"/>
        <w:rPr>
          <w:rFonts w:asciiTheme="majorHAnsi" w:hAnsiTheme="majorHAnsi"/>
          <w:sz w:val="20"/>
          <w:szCs w:val="20"/>
        </w:rPr>
      </w:pPr>
      <w:r w:rsidRPr="008C571D">
        <w:rPr>
          <w:rFonts w:asciiTheme="majorHAnsi" w:hAnsiTheme="majorHAnsi"/>
          <w:sz w:val="20"/>
          <w:szCs w:val="20"/>
        </w:rPr>
        <w:t xml:space="preserve">IAS prevention and management </w:t>
      </w:r>
      <w:r w:rsidR="006A64F9" w:rsidRPr="00203F78">
        <w:rPr>
          <w:rFonts w:asciiTheme="majorHAnsi" w:hAnsiTheme="majorHAnsi"/>
          <w:sz w:val="20"/>
          <w:szCs w:val="20"/>
        </w:rPr>
        <w:t>activities;</w:t>
      </w:r>
      <w:r w:rsidR="001F6918" w:rsidRPr="00203F78">
        <w:rPr>
          <w:rFonts w:asciiTheme="majorHAnsi" w:hAnsiTheme="majorHAnsi"/>
          <w:sz w:val="20"/>
          <w:szCs w:val="20"/>
        </w:rPr>
        <w:t xml:space="preserve"> and</w:t>
      </w:r>
    </w:p>
    <w:p w14:paraId="460034C1" w14:textId="6245DA59" w:rsidR="00DB7660" w:rsidRPr="005722A6" w:rsidRDefault="00DA1CC5" w:rsidP="00BD402F">
      <w:pPr>
        <w:pStyle w:val="ListParagraph"/>
        <w:numPr>
          <w:ilvl w:val="0"/>
          <w:numId w:val="26"/>
        </w:numPr>
        <w:contextualSpacing/>
        <w:jc w:val="both"/>
        <w:rPr>
          <w:rFonts w:asciiTheme="majorHAnsi" w:hAnsiTheme="majorHAnsi"/>
          <w:sz w:val="20"/>
          <w:szCs w:val="20"/>
        </w:rPr>
      </w:pPr>
      <w:r w:rsidRPr="005722A6">
        <w:rPr>
          <w:rFonts w:asciiTheme="majorHAnsi" w:hAnsiTheme="majorHAnsi"/>
          <w:sz w:val="20"/>
          <w:szCs w:val="20"/>
        </w:rPr>
        <w:t xml:space="preserve">Capacity building and </w:t>
      </w:r>
      <w:r w:rsidR="00BD3BC7" w:rsidRPr="005722A6">
        <w:rPr>
          <w:rFonts w:asciiTheme="majorHAnsi" w:hAnsiTheme="majorHAnsi"/>
          <w:sz w:val="20"/>
          <w:szCs w:val="20"/>
        </w:rPr>
        <w:t>t</w:t>
      </w:r>
      <w:r w:rsidR="00D25AA7" w:rsidRPr="005722A6">
        <w:rPr>
          <w:rFonts w:asciiTheme="majorHAnsi" w:hAnsiTheme="majorHAnsi"/>
          <w:sz w:val="20"/>
          <w:szCs w:val="20"/>
        </w:rPr>
        <w:t>echnical support</w:t>
      </w:r>
      <w:r w:rsidR="002240C1">
        <w:rPr>
          <w:rFonts w:asciiTheme="majorHAnsi" w:hAnsiTheme="majorHAnsi"/>
          <w:sz w:val="20"/>
          <w:szCs w:val="20"/>
        </w:rPr>
        <w:t>.</w:t>
      </w:r>
    </w:p>
    <w:p w14:paraId="0FFA757D" w14:textId="77777777" w:rsidR="00F43460" w:rsidRPr="005722A6" w:rsidRDefault="00F43460" w:rsidP="00F43460">
      <w:pPr>
        <w:contextualSpacing/>
        <w:rPr>
          <w:rFonts w:asciiTheme="majorHAnsi" w:hAnsiTheme="majorHAnsi"/>
          <w:sz w:val="20"/>
          <w:szCs w:val="20"/>
          <w:highlight w:val="yellow"/>
        </w:rPr>
      </w:pPr>
    </w:p>
    <w:p w14:paraId="1DFECEBB" w14:textId="75AC91C9" w:rsidR="007A1BA8" w:rsidRPr="005722A6" w:rsidRDefault="003A3CA0" w:rsidP="003A3CA0">
      <w:pPr>
        <w:contextualSpacing/>
        <w:rPr>
          <w:rFonts w:asciiTheme="majorHAnsi" w:hAnsiTheme="majorHAnsi"/>
          <w:sz w:val="20"/>
          <w:szCs w:val="20"/>
        </w:rPr>
      </w:pPr>
      <w:r w:rsidRPr="005722A6">
        <w:rPr>
          <w:rFonts w:asciiTheme="majorHAnsi" w:hAnsiTheme="majorHAnsi"/>
          <w:sz w:val="20"/>
          <w:szCs w:val="20"/>
        </w:rPr>
        <w:t xml:space="preserve">As a long-term measure for supporting the management of these areas, </w:t>
      </w:r>
      <w:r w:rsidR="00E56A3C">
        <w:rPr>
          <w:rFonts w:asciiTheme="majorHAnsi" w:hAnsiTheme="majorHAnsi"/>
          <w:sz w:val="20"/>
          <w:szCs w:val="20"/>
        </w:rPr>
        <w:t>I</w:t>
      </w:r>
      <w:r w:rsidRPr="005722A6">
        <w:rPr>
          <w:rFonts w:asciiTheme="majorHAnsi" w:hAnsiTheme="majorHAnsi"/>
          <w:sz w:val="20"/>
          <w:szCs w:val="20"/>
        </w:rPr>
        <w:t>t is anticipated that the project w</w:t>
      </w:r>
      <w:r w:rsidR="00E56A3C">
        <w:rPr>
          <w:rFonts w:asciiTheme="majorHAnsi" w:hAnsiTheme="majorHAnsi"/>
          <w:sz w:val="20"/>
          <w:szCs w:val="20"/>
        </w:rPr>
        <w:t>ill</w:t>
      </w:r>
      <w:r w:rsidRPr="005722A6">
        <w:rPr>
          <w:rFonts w:asciiTheme="majorHAnsi" w:hAnsiTheme="majorHAnsi"/>
          <w:sz w:val="20"/>
          <w:szCs w:val="20"/>
        </w:rPr>
        <w:t xml:space="preserve"> facilitate the assessment of potential PES </w:t>
      </w:r>
      <w:r w:rsidR="00E56A3C">
        <w:rPr>
          <w:rFonts w:asciiTheme="majorHAnsi" w:hAnsiTheme="majorHAnsi"/>
          <w:sz w:val="20"/>
          <w:szCs w:val="20"/>
        </w:rPr>
        <w:t xml:space="preserve">opportunities, </w:t>
      </w:r>
      <w:r w:rsidRPr="005722A6">
        <w:rPr>
          <w:rFonts w:asciiTheme="majorHAnsi" w:hAnsiTheme="majorHAnsi"/>
          <w:sz w:val="20"/>
          <w:szCs w:val="20"/>
        </w:rPr>
        <w:t>based on carbon credits, includ</w:t>
      </w:r>
      <w:r w:rsidR="00E56A3C">
        <w:rPr>
          <w:rFonts w:asciiTheme="majorHAnsi" w:hAnsiTheme="majorHAnsi"/>
          <w:sz w:val="20"/>
          <w:szCs w:val="20"/>
        </w:rPr>
        <w:t>ing</w:t>
      </w:r>
      <w:r w:rsidRPr="005722A6">
        <w:rPr>
          <w:rFonts w:asciiTheme="majorHAnsi" w:hAnsiTheme="majorHAnsi"/>
          <w:sz w:val="20"/>
          <w:szCs w:val="20"/>
        </w:rPr>
        <w:t xml:space="preserve"> a preliminary analysis of carbon stocks, potential </w:t>
      </w:r>
      <w:r w:rsidR="00E56A3C">
        <w:rPr>
          <w:rFonts w:asciiTheme="majorHAnsi" w:hAnsiTheme="majorHAnsi"/>
          <w:sz w:val="20"/>
          <w:szCs w:val="20"/>
        </w:rPr>
        <w:t>markets</w:t>
      </w:r>
      <w:r w:rsidRPr="005722A6">
        <w:rPr>
          <w:rFonts w:asciiTheme="majorHAnsi" w:hAnsiTheme="majorHAnsi"/>
          <w:sz w:val="20"/>
          <w:szCs w:val="20"/>
        </w:rPr>
        <w:t xml:space="preserve">, </w:t>
      </w:r>
      <w:r w:rsidR="00E56A3C">
        <w:rPr>
          <w:rFonts w:asciiTheme="majorHAnsi" w:hAnsiTheme="majorHAnsi"/>
          <w:sz w:val="20"/>
          <w:szCs w:val="20"/>
        </w:rPr>
        <w:t xml:space="preserve">financial </w:t>
      </w:r>
      <w:r w:rsidRPr="005722A6">
        <w:rPr>
          <w:rFonts w:asciiTheme="majorHAnsi" w:hAnsiTheme="majorHAnsi"/>
          <w:sz w:val="20"/>
          <w:szCs w:val="20"/>
        </w:rPr>
        <w:t>viability and benefit sharing options</w:t>
      </w:r>
      <w:r w:rsidR="00E56A3C">
        <w:rPr>
          <w:rFonts w:asciiTheme="majorHAnsi" w:hAnsiTheme="majorHAnsi"/>
          <w:sz w:val="20"/>
          <w:szCs w:val="20"/>
        </w:rPr>
        <w:t>.</w:t>
      </w:r>
    </w:p>
    <w:p w14:paraId="534DA7B0" w14:textId="77777777" w:rsidR="00B87774" w:rsidRPr="005722A6" w:rsidRDefault="00B87774" w:rsidP="00B87774">
      <w:pPr>
        <w:spacing w:after="0"/>
        <w:rPr>
          <w:rFonts w:asciiTheme="majorHAnsi" w:hAnsiTheme="majorHAnsi"/>
          <w:b/>
          <w:i/>
          <w:sz w:val="20"/>
          <w:szCs w:val="20"/>
        </w:rPr>
      </w:pPr>
    </w:p>
    <w:p w14:paraId="6526E26A" w14:textId="58FBCE70" w:rsidR="00B87774" w:rsidRPr="005722A6" w:rsidRDefault="00B87774" w:rsidP="00B87774">
      <w:pPr>
        <w:spacing w:after="0"/>
        <w:rPr>
          <w:rFonts w:asciiTheme="majorHAnsi" w:hAnsiTheme="majorHAnsi"/>
          <w:b/>
          <w:i/>
          <w:sz w:val="20"/>
          <w:szCs w:val="20"/>
        </w:rPr>
      </w:pPr>
      <w:r w:rsidRPr="005722A6">
        <w:rPr>
          <w:rFonts w:asciiTheme="majorHAnsi" w:hAnsiTheme="majorHAnsi"/>
          <w:b/>
          <w:i/>
          <w:sz w:val="20"/>
          <w:szCs w:val="20"/>
        </w:rPr>
        <w:t>Output 2.3 Community-based restoration of degraded forest</w:t>
      </w:r>
      <w:r w:rsidR="002C0170">
        <w:rPr>
          <w:rFonts w:asciiTheme="majorHAnsi" w:hAnsiTheme="majorHAnsi"/>
          <w:b/>
          <w:i/>
          <w:sz w:val="20"/>
          <w:szCs w:val="20"/>
        </w:rPr>
        <w:t xml:space="preserve">, </w:t>
      </w:r>
      <w:r w:rsidRPr="005722A6">
        <w:rPr>
          <w:rFonts w:asciiTheme="majorHAnsi" w:hAnsiTheme="majorHAnsi"/>
          <w:b/>
          <w:i/>
          <w:sz w:val="20"/>
          <w:szCs w:val="20"/>
        </w:rPr>
        <w:t xml:space="preserve">savannah and marine systems to </w:t>
      </w:r>
      <w:r w:rsidR="00E028C4" w:rsidRPr="005722A6">
        <w:rPr>
          <w:rFonts w:asciiTheme="majorHAnsi" w:hAnsiTheme="majorHAnsi"/>
          <w:b/>
          <w:i/>
          <w:sz w:val="20"/>
          <w:szCs w:val="20"/>
        </w:rPr>
        <w:t xml:space="preserve">improve biodiversity and </w:t>
      </w:r>
      <w:r w:rsidRPr="005722A6">
        <w:rPr>
          <w:rFonts w:asciiTheme="majorHAnsi" w:hAnsiTheme="majorHAnsi"/>
          <w:b/>
          <w:i/>
          <w:sz w:val="20"/>
          <w:szCs w:val="20"/>
        </w:rPr>
        <w:t>ecosystem functions and services</w:t>
      </w:r>
    </w:p>
    <w:p w14:paraId="1FC8EC01" w14:textId="77777777" w:rsidR="00B87774" w:rsidRPr="005722A6" w:rsidRDefault="00B87774" w:rsidP="00B87774">
      <w:pPr>
        <w:spacing w:after="0"/>
        <w:rPr>
          <w:rFonts w:asciiTheme="majorHAnsi" w:hAnsiTheme="majorHAnsi"/>
          <w:b/>
          <w:i/>
          <w:sz w:val="20"/>
          <w:szCs w:val="20"/>
        </w:rPr>
      </w:pPr>
    </w:p>
    <w:p w14:paraId="75EF188A" w14:textId="3CCAAE69" w:rsidR="00BD3BC7" w:rsidRPr="005722A6" w:rsidRDefault="002C0170" w:rsidP="009B059B">
      <w:pPr>
        <w:shd w:val="clear" w:color="auto" w:fill="FFFFFF"/>
        <w:spacing w:after="120"/>
        <w:rPr>
          <w:rFonts w:asciiTheme="majorHAnsi" w:hAnsiTheme="majorHAnsi"/>
          <w:sz w:val="20"/>
          <w:szCs w:val="20"/>
        </w:rPr>
      </w:pPr>
      <w:r>
        <w:rPr>
          <w:rFonts w:asciiTheme="majorHAnsi" w:hAnsiTheme="majorHAnsi"/>
          <w:sz w:val="20"/>
          <w:szCs w:val="20"/>
        </w:rPr>
        <w:t>This</w:t>
      </w:r>
      <w:r w:rsidR="00AC7E5B" w:rsidRPr="005722A6">
        <w:rPr>
          <w:rFonts w:asciiTheme="majorHAnsi" w:hAnsiTheme="majorHAnsi"/>
          <w:sz w:val="20"/>
          <w:szCs w:val="20"/>
        </w:rPr>
        <w:t xml:space="preserve"> </w:t>
      </w:r>
      <w:r>
        <w:rPr>
          <w:rFonts w:asciiTheme="majorHAnsi" w:hAnsiTheme="majorHAnsi"/>
          <w:sz w:val="20"/>
          <w:szCs w:val="20"/>
        </w:rPr>
        <w:t>o</w:t>
      </w:r>
      <w:r w:rsidR="00AC7E5B" w:rsidRPr="005722A6">
        <w:rPr>
          <w:rFonts w:asciiTheme="majorHAnsi" w:hAnsiTheme="majorHAnsi"/>
          <w:sz w:val="20"/>
          <w:szCs w:val="20"/>
        </w:rPr>
        <w:t>utput</w:t>
      </w:r>
      <w:r>
        <w:rPr>
          <w:rFonts w:asciiTheme="majorHAnsi" w:hAnsiTheme="majorHAnsi"/>
          <w:sz w:val="20"/>
          <w:szCs w:val="20"/>
        </w:rPr>
        <w:t>,</w:t>
      </w:r>
      <w:r w:rsidRPr="002C0170">
        <w:rPr>
          <w:rFonts w:asciiTheme="majorHAnsi" w:hAnsiTheme="majorHAnsi"/>
          <w:sz w:val="20"/>
          <w:szCs w:val="20"/>
        </w:rPr>
        <w:t xml:space="preserve"> </w:t>
      </w:r>
      <w:r w:rsidRPr="005722A6">
        <w:rPr>
          <w:rFonts w:asciiTheme="majorHAnsi" w:hAnsiTheme="majorHAnsi"/>
          <w:sz w:val="20"/>
          <w:szCs w:val="20"/>
        </w:rPr>
        <w:t xml:space="preserve">based on the mapping and consultative planning process </w:t>
      </w:r>
      <w:r>
        <w:rPr>
          <w:rFonts w:asciiTheme="majorHAnsi" w:hAnsiTheme="majorHAnsi"/>
          <w:sz w:val="20"/>
          <w:szCs w:val="20"/>
        </w:rPr>
        <w:t>for</w:t>
      </w:r>
      <w:r w:rsidRPr="005722A6">
        <w:rPr>
          <w:rFonts w:asciiTheme="majorHAnsi" w:hAnsiTheme="majorHAnsi"/>
          <w:sz w:val="20"/>
          <w:szCs w:val="20"/>
        </w:rPr>
        <w:t xml:space="preserve"> Output 2.1</w:t>
      </w:r>
      <w:r>
        <w:rPr>
          <w:rFonts w:asciiTheme="majorHAnsi" w:hAnsiTheme="majorHAnsi"/>
          <w:sz w:val="20"/>
          <w:szCs w:val="20"/>
        </w:rPr>
        <w:t>,</w:t>
      </w:r>
      <w:r w:rsidR="00AC7E5B" w:rsidRPr="005722A6">
        <w:rPr>
          <w:rFonts w:asciiTheme="majorHAnsi" w:hAnsiTheme="majorHAnsi"/>
          <w:sz w:val="20"/>
          <w:szCs w:val="20"/>
        </w:rPr>
        <w:t xml:space="preserve"> will target on-the-ground interventions in and around 1,000 ha of degraded forest/savannah (and potentially coastal mangroves and marine habitats) to reduce risk</w:t>
      </w:r>
      <w:r>
        <w:rPr>
          <w:rFonts w:asciiTheme="majorHAnsi" w:hAnsiTheme="majorHAnsi"/>
          <w:sz w:val="20"/>
          <w:szCs w:val="20"/>
        </w:rPr>
        <w:t>s</w:t>
      </w:r>
      <w:r w:rsidR="00AC7E5B" w:rsidRPr="005722A6">
        <w:rPr>
          <w:rFonts w:asciiTheme="majorHAnsi" w:hAnsiTheme="majorHAnsi"/>
          <w:sz w:val="20"/>
          <w:szCs w:val="20"/>
        </w:rPr>
        <w:t xml:space="preserve"> of </w:t>
      </w:r>
      <w:r w:rsidR="00BD3BC7" w:rsidRPr="005722A6">
        <w:rPr>
          <w:rFonts w:asciiTheme="majorHAnsi" w:hAnsiTheme="majorHAnsi"/>
          <w:sz w:val="20"/>
          <w:szCs w:val="20"/>
        </w:rPr>
        <w:t>soil loss, wildfire,</w:t>
      </w:r>
      <w:r w:rsidR="00AC7E5B" w:rsidRPr="005722A6">
        <w:rPr>
          <w:rFonts w:asciiTheme="majorHAnsi" w:hAnsiTheme="majorHAnsi"/>
          <w:sz w:val="20"/>
          <w:szCs w:val="20"/>
        </w:rPr>
        <w:t xml:space="preserve"> IAS</w:t>
      </w:r>
      <w:r w:rsidR="00BD3BC7" w:rsidRPr="005722A6">
        <w:rPr>
          <w:rFonts w:asciiTheme="majorHAnsi" w:hAnsiTheme="majorHAnsi"/>
          <w:sz w:val="20"/>
          <w:szCs w:val="20"/>
        </w:rPr>
        <w:t xml:space="preserve">, and other </w:t>
      </w:r>
      <w:r w:rsidR="002240C1">
        <w:rPr>
          <w:rFonts w:asciiTheme="majorHAnsi" w:hAnsiTheme="majorHAnsi"/>
          <w:sz w:val="20"/>
          <w:szCs w:val="20"/>
        </w:rPr>
        <w:t xml:space="preserve">ecosystem </w:t>
      </w:r>
      <w:r w:rsidR="00BD3BC7" w:rsidRPr="005722A6">
        <w:rPr>
          <w:rFonts w:asciiTheme="majorHAnsi" w:hAnsiTheme="majorHAnsi"/>
          <w:sz w:val="20"/>
          <w:szCs w:val="20"/>
        </w:rPr>
        <w:t>degradation</w:t>
      </w:r>
      <w:r w:rsidR="002240C1">
        <w:rPr>
          <w:rFonts w:asciiTheme="majorHAnsi" w:hAnsiTheme="majorHAnsi"/>
          <w:sz w:val="20"/>
          <w:szCs w:val="20"/>
        </w:rPr>
        <w:t xml:space="preserve"> </w:t>
      </w:r>
      <w:r>
        <w:rPr>
          <w:rFonts w:asciiTheme="majorHAnsi" w:hAnsiTheme="majorHAnsi"/>
          <w:sz w:val="20"/>
          <w:szCs w:val="20"/>
        </w:rPr>
        <w:t>threats</w:t>
      </w:r>
      <w:r w:rsidR="00BD3BC7" w:rsidRPr="005722A6">
        <w:rPr>
          <w:rFonts w:asciiTheme="majorHAnsi" w:hAnsiTheme="majorHAnsi"/>
          <w:sz w:val="20"/>
          <w:szCs w:val="20"/>
        </w:rPr>
        <w:t xml:space="preserve">. </w:t>
      </w:r>
      <w:r>
        <w:rPr>
          <w:rFonts w:asciiTheme="majorHAnsi" w:hAnsiTheme="majorHAnsi"/>
          <w:sz w:val="20"/>
          <w:szCs w:val="20"/>
        </w:rPr>
        <w:t xml:space="preserve">Interventions will </w:t>
      </w:r>
      <w:r w:rsidR="00BD3BC7" w:rsidRPr="005722A6">
        <w:rPr>
          <w:rFonts w:asciiTheme="majorHAnsi" w:hAnsiTheme="majorHAnsi"/>
          <w:sz w:val="20"/>
          <w:szCs w:val="20"/>
        </w:rPr>
        <w:t xml:space="preserve"> </w:t>
      </w:r>
      <w:r>
        <w:rPr>
          <w:rFonts w:asciiTheme="majorHAnsi" w:hAnsiTheme="majorHAnsi"/>
          <w:sz w:val="20"/>
          <w:szCs w:val="20"/>
        </w:rPr>
        <w:t xml:space="preserve">focus on </w:t>
      </w:r>
      <w:r w:rsidR="00AC7E5B" w:rsidRPr="005722A6">
        <w:rPr>
          <w:rFonts w:asciiTheme="majorHAnsi" w:hAnsiTheme="majorHAnsi"/>
          <w:sz w:val="20"/>
          <w:szCs w:val="20"/>
        </w:rPr>
        <w:t>demonstrat</w:t>
      </w:r>
      <w:r>
        <w:rPr>
          <w:rFonts w:asciiTheme="majorHAnsi" w:hAnsiTheme="majorHAnsi"/>
          <w:sz w:val="20"/>
          <w:szCs w:val="20"/>
        </w:rPr>
        <w:t>ing</w:t>
      </w:r>
      <w:r w:rsidR="00AC7E5B" w:rsidRPr="005722A6">
        <w:rPr>
          <w:rFonts w:asciiTheme="majorHAnsi" w:hAnsiTheme="majorHAnsi"/>
          <w:sz w:val="20"/>
          <w:szCs w:val="20"/>
        </w:rPr>
        <w:t xml:space="preserve"> a viable regime for forest </w:t>
      </w:r>
      <w:r w:rsidR="002240C1">
        <w:rPr>
          <w:rFonts w:asciiTheme="majorHAnsi" w:hAnsiTheme="majorHAnsi"/>
          <w:sz w:val="20"/>
          <w:szCs w:val="20"/>
        </w:rPr>
        <w:t>(</w:t>
      </w:r>
      <w:r w:rsidR="00AC7E5B" w:rsidRPr="005722A6">
        <w:rPr>
          <w:rFonts w:asciiTheme="majorHAnsi" w:hAnsiTheme="majorHAnsi"/>
          <w:sz w:val="20"/>
          <w:szCs w:val="20"/>
        </w:rPr>
        <w:t xml:space="preserve">and </w:t>
      </w:r>
      <w:r w:rsidR="002240C1">
        <w:rPr>
          <w:rFonts w:asciiTheme="majorHAnsi" w:hAnsiTheme="majorHAnsi"/>
          <w:sz w:val="20"/>
          <w:szCs w:val="20"/>
        </w:rPr>
        <w:t xml:space="preserve">potentially </w:t>
      </w:r>
      <w:r w:rsidR="00AC7E5B" w:rsidRPr="005722A6">
        <w:rPr>
          <w:rFonts w:asciiTheme="majorHAnsi" w:hAnsiTheme="majorHAnsi"/>
          <w:sz w:val="20"/>
          <w:szCs w:val="20"/>
        </w:rPr>
        <w:t>marine</w:t>
      </w:r>
      <w:r w:rsidR="002240C1">
        <w:rPr>
          <w:rFonts w:asciiTheme="majorHAnsi" w:hAnsiTheme="majorHAnsi"/>
          <w:sz w:val="20"/>
          <w:szCs w:val="20"/>
        </w:rPr>
        <w:t>)</w:t>
      </w:r>
      <w:r w:rsidR="00AC7E5B" w:rsidRPr="005722A6">
        <w:rPr>
          <w:rFonts w:asciiTheme="majorHAnsi" w:hAnsiTheme="majorHAnsi"/>
          <w:sz w:val="20"/>
          <w:szCs w:val="20"/>
        </w:rPr>
        <w:t xml:space="preserve"> habitat restoration through a combination of fire control measures, soil and sediment conservation, weed eradication, natural regeneration</w:t>
      </w:r>
      <w:r w:rsidR="00BD3BC7" w:rsidRPr="005722A6">
        <w:rPr>
          <w:rFonts w:asciiTheme="majorHAnsi" w:hAnsiTheme="majorHAnsi"/>
          <w:sz w:val="20"/>
          <w:szCs w:val="20"/>
        </w:rPr>
        <w:t>,</w:t>
      </w:r>
      <w:r w:rsidR="00AC7E5B" w:rsidRPr="005722A6">
        <w:rPr>
          <w:rFonts w:asciiTheme="majorHAnsi" w:hAnsiTheme="majorHAnsi"/>
          <w:sz w:val="20"/>
          <w:szCs w:val="20"/>
        </w:rPr>
        <w:t xml:space="preserve"> </w:t>
      </w:r>
      <w:r w:rsidR="00247202" w:rsidRPr="005722A6">
        <w:rPr>
          <w:rFonts w:asciiTheme="majorHAnsi" w:hAnsiTheme="majorHAnsi"/>
          <w:sz w:val="20"/>
          <w:szCs w:val="20"/>
        </w:rPr>
        <w:t xml:space="preserve">sustainable harvest regimes </w:t>
      </w:r>
      <w:r w:rsidR="00AC7E5B" w:rsidRPr="005722A6">
        <w:rPr>
          <w:rFonts w:asciiTheme="majorHAnsi" w:hAnsiTheme="majorHAnsi"/>
          <w:sz w:val="20"/>
          <w:szCs w:val="20"/>
        </w:rPr>
        <w:t xml:space="preserve">and protection. </w:t>
      </w:r>
    </w:p>
    <w:p w14:paraId="6D107E16" w14:textId="5FCC9E40" w:rsidR="007A1BA8" w:rsidRPr="005722A6" w:rsidRDefault="007A1BA8" w:rsidP="009B059B">
      <w:pPr>
        <w:shd w:val="clear" w:color="auto" w:fill="FFFFFF"/>
        <w:spacing w:after="120"/>
        <w:rPr>
          <w:rFonts w:asciiTheme="majorHAnsi" w:hAnsiTheme="majorHAnsi"/>
          <w:sz w:val="20"/>
          <w:szCs w:val="20"/>
        </w:rPr>
      </w:pPr>
      <w:r w:rsidRPr="005722A6">
        <w:rPr>
          <w:rFonts w:asciiTheme="majorHAnsi" w:hAnsiTheme="majorHAnsi"/>
          <w:sz w:val="20"/>
          <w:szCs w:val="20"/>
        </w:rPr>
        <w:t xml:space="preserve">Restoration will address both IAS present as well as </w:t>
      </w:r>
      <w:r w:rsidR="00D60D24">
        <w:rPr>
          <w:rFonts w:asciiTheme="majorHAnsi" w:hAnsiTheme="majorHAnsi"/>
          <w:sz w:val="20"/>
          <w:szCs w:val="20"/>
        </w:rPr>
        <w:t>future</w:t>
      </w:r>
      <w:r w:rsidRPr="005722A6">
        <w:rPr>
          <w:rFonts w:asciiTheme="majorHAnsi" w:hAnsiTheme="majorHAnsi"/>
          <w:sz w:val="20"/>
          <w:szCs w:val="20"/>
        </w:rPr>
        <w:t xml:space="preserve"> biosecurity to ensure that restored areas remain intact and are not simply re-invaded.</w:t>
      </w:r>
      <w:r w:rsidR="00AC7E5B" w:rsidRPr="005722A6">
        <w:rPr>
          <w:rFonts w:asciiTheme="majorHAnsi" w:hAnsiTheme="majorHAnsi"/>
          <w:sz w:val="20"/>
          <w:szCs w:val="20"/>
        </w:rPr>
        <w:t xml:space="preserve"> </w:t>
      </w:r>
      <w:r w:rsidR="00D60D24">
        <w:rPr>
          <w:rFonts w:asciiTheme="majorHAnsi" w:hAnsiTheme="majorHAnsi"/>
          <w:sz w:val="20"/>
          <w:szCs w:val="20"/>
        </w:rPr>
        <w:t>Likely p</w:t>
      </w:r>
      <w:r w:rsidRPr="005722A6">
        <w:rPr>
          <w:rFonts w:asciiTheme="majorHAnsi" w:hAnsiTheme="majorHAnsi"/>
          <w:sz w:val="20"/>
          <w:szCs w:val="20"/>
        </w:rPr>
        <w:t>riorit</w:t>
      </w:r>
      <w:r w:rsidR="00D60D24">
        <w:rPr>
          <w:rFonts w:asciiTheme="majorHAnsi" w:hAnsiTheme="majorHAnsi"/>
          <w:sz w:val="20"/>
          <w:szCs w:val="20"/>
        </w:rPr>
        <w:t>ies include</w:t>
      </w:r>
      <w:r w:rsidRPr="005722A6">
        <w:rPr>
          <w:rFonts w:asciiTheme="majorHAnsi" w:hAnsiTheme="majorHAnsi"/>
          <w:sz w:val="20"/>
          <w:szCs w:val="20"/>
        </w:rPr>
        <w:t xml:space="preserve"> invasive weeds and </w:t>
      </w:r>
      <w:r w:rsidR="00E23DD2">
        <w:rPr>
          <w:rFonts w:asciiTheme="majorHAnsi" w:hAnsiTheme="majorHAnsi"/>
          <w:sz w:val="20"/>
          <w:szCs w:val="20"/>
        </w:rPr>
        <w:t xml:space="preserve">the </w:t>
      </w:r>
      <w:r w:rsidRPr="005722A6">
        <w:rPr>
          <w:rFonts w:asciiTheme="majorHAnsi" w:hAnsiTheme="majorHAnsi"/>
          <w:sz w:val="20"/>
          <w:szCs w:val="20"/>
        </w:rPr>
        <w:t>C</w:t>
      </w:r>
      <w:r w:rsidR="00E75432" w:rsidRPr="005722A6">
        <w:rPr>
          <w:rFonts w:asciiTheme="majorHAnsi" w:hAnsiTheme="majorHAnsi"/>
          <w:sz w:val="20"/>
          <w:szCs w:val="20"/>
        </w:rPr>
        <w:t>oconut Rhinoceros Beetle (CRB)</w:t>
      </w:r>
      <w:r w:rsidR="00BD3BC7" w:rsidRPr="005722A6">
        <w:rPr>
          <w:rFonts w:asciiTheme="majorHAnsi" w:hAnsiTheme="majorHAnsi"/>
          <w:sz w:val="20"/>
          <w:szCs w:val="20"/>
        </w:rPr>
        <w:t>.</w:t>
      </w:r>
      <w:r w:rsidRPr="005722A6">
        <w:rPr>
          <w:rFonts w:asciiTheme="majorHAnsi" w:hAnsiTheme="majorHAnsi"/>
          <w:sz w:val="20"/>
          <w:szCs w:val="20"/>
        </w:rPr>
        <w:t xml:space="preserve"> </w:t>
      </w:r>
    </w:p>
    <w:p w14:paraId="6C99F856" w14:textId="211F298F" w:rsidR="00AC7E5B" w:rsidRPr="005722A6" w:rsidRDefault="00D60D24" w:rsidP="00AC7E5B">
      <w:pPr>
        <w:shd w:val="clear" w:color="auto" w:fill="FFFFFF"/>
        <w:spacing w:after="120"/>
        <w:rPr>
          <w:rFonts w:asciiTheme="majorHAnsi" w:hAnsiTheme="majorHAnsi"/>
          <w:sz w:val="20"/>
          <w:szCs w:val="20"/>
        </w:rPr>
      </w:pPr>
      <w:r>
        <w:rPr>
          <w:rFonts w:asciiTheme="majorHAnsi" w:hAnsiTheme="majorHAnsi"/>
          <w:sz w:val="20"/>
          <w:szCs w:val="20"/>
        </w:rPr>
        <w:t>S</w:t>
      </w:r>
      <w:r w:rsidR="00AC7E5B" w:rsidRPr="005722A6">
        <w:rPr>
          <w:rFonts w:asciiTheme="majorHAnsi" w:hAnsiTheme="majorHAnsi"/>
          <w:sz w:val="20"/>
          <w:szCs w:val="20"/>
        </w:rPr>
        <w:t xml:space="preserve">pecific activities </w:t>
      </w:r>
      <w:r>
        <w:rPr>
          <w:rFonts w:asciiTheme="majorHAnsi" w:hAnsiTheme="majorHAnsi"/>
          <w:sz w:val="20"/>
          <w:szCs w:val="20"/>
        </w:rPr>
        <w:t>to</w:t>
      </w:r>
      <w:r w:rsidR="00AC7E5B" w:rsidRPr="005722A6">
        <w:rPr>
          <w:rFonts w:asciiTheme="majorHAnsi" w:hAnsiTheme="majorHAnsi"/>
          <w:sz w:val="20"/>
          <w:szCs w:val="20"/>
        </w:rPr>
        <w:t xml:space="preserve"> be undertaken to achieve this </w:t>
      </w:r>
      <w:r>
        <w:rPr>
          <w:rFonts w:asciiTheme="majorHAnsi" w:hAnsiTheme="majorHAnsi"/>
          <w:sz w:val="20"/>
          <w:szCs w:val="20"/>
        </w:rPr>
        <w:t>o</w:t>
      </w:r>
      <w:r w:rsidR="00AC7E5B" w:rsidRPr="005722A6">
        <w:rPr>
          <w:rFonts w:asciiTheme="majorHAnsi" w:hAnsiTheme="majorHAnsi"/>
          <w:sz w:val="20"/>
          <w:szCs w:val="20"/>
        </w:rPr>
        <w:t xml:space="preserve">utput include: </w:t>
      </w:r>
    </w:p>
    <w:p w14:paraId="69D8E4E4" w14:textId="526DF386" w:rsidR="00AC7E5B" w:rsidRPr="005722A6" w:rsidRDefault="00AC7E5B" w:rsidP="00BD402F">
      <w:pPr>
        <w:pStyle w:val="ListParagraph"/>
        <w:numPr>
          <w:ilvl w:val="0"/>
          <w:numId w:val="28"/>
        </w:numPr>
        <w:shd w:val="clear" w:color="auto" w:fill="FFFFFF"/>
        <w:jc w:val="both"/>
        <w:rPr>
          <w:rFonts w:asciiTheme="majorHAnsi" w:hAnsiTheme="majorHAnsi"/>
          <w:sz w:val="20"/>
          <w:szCs w:val="20"/>
        </w:rPr>
      </w:pPr>
      <w:r w:rsidRPr="005722A6">
        <w:rPr>
          <w:rFonts w:asciiTheme="majorHAnsi" w:hAnsiTheme="majorHAnsi"/>
          <w:sz w:val="20"/>
          <w:szCs w:val="20"/>
        </w:rPr>
        <w:t xml:space="preserve">Review of </w:t>
      </w:r>
      <w:r w:rsidR="00E75432" w:rsidRPr="005722A6">
        <w:rPr>
          <w:rFonts w:asciiTheme="majorHAnsi" w:hAnsiTheme="majorHAnsi"/>
          <w:sz w:val="20"/>
          <w:szCs w:val="20"/>
        </w:rPr>
        <w:t xml:space="preserve">existing </w:t>
      </w:r>
      <w:r w:rsidRPr="005722A6">
        <w:rPr>
          <w:rFonts w:asciiTheme="majorHAnsi" w:hAnsiTheme="majorHAnsi"/>
          <w:sz w:val="20"/>
          <w:szCs w:val="20"/>
        </w:rPr>
        <w:t xml:space="preserve">national and regional best practices </w:t>
      </w:r>
      <w:r w:rsidR="008B1EC7" w:rsidRPr="005722A6">
        <w:rPr>
          <w:rFonts w:asciiTheme="majorHAnsi" w:hAnsiTheme="majorHAnsi"/>
          <w:sz w:val="20"/>
          <w:szCs w:val="20"/>
        </w:rPr>
        <w:t xml:space="preserve">for </w:t>
      </w:r>
      <w:r w:rsidRPr="005722A6">
        <w:rPr>
          <w:rFonts w:asciiTheme="majorHAnsi" w:hAnsiTheme="majorHAnsi"/>
          <w:sz w:val="20"/>
          <w:szCs w:val="20"/>
        </w:rPr>
        <w:t xml:space="preserve">restoration of </w:t>
      </w:r>
      <w:r w:rsidR="008B1EC7" w:rsidRPr="005722A6">
        <w:rPr>
          <w:rFonts w:asciiTheme="majorHAnsi" w:hAnsiTheme="majorHAnsi"/>
          <w:sz w:val="20"/>
          <w:szCs w:val="20"/>
        </w:rPr>
        <w:t>forests,</w:t>
      </w:r>
      <w:r w:rsidR="00E75432" w:rsidRPr="005722A6">
        <w:rPr>
          <w:rFonts w:asciiTheme="majorHAnsi" w:hAnsiTheme="majorHAnsi"/>
          <w:sz w:val="20"/>
          <w:szCs w:val="20"/>
        </w:rPr>
        <w:t xml:space="preserve"> mangroves and marine habitats</w:t>
      </w:r>
      <w:r w:rsidRPr="005722A6">
        <w:rPr>
          <w:rFonts w:asciiTheme="majorHAnsi" w:hAnsiTheme="majorHAnsi"/>
          <w:sz w:val="20"/>
          <w:szCs w:val="20"/>
        </w:rPr>
        <w:t xml:space="preserve">; </w:t>
      </w:r>
    </w:p>
    <w:p w14:paraId="524D30AA" w14:textId="2E62F19C" w:rsidR="00BB4D09" w:rsidRPr="005722A6" w:rsidRDefault="00AC7E5B" w:rsidP="00BD402F">
      <w:pPr>
        <w:pStyle w:val="ListParagraph"/>
        <w:numPr>
          <w:ilvl w:val="0"/>
          <w:numId w:val="28"/>
        </w:numPr>
        <w:shd w:val="clear" w:color="auto" w:fill="FFFFFF"/>
        <w:jc w:val="both"/>
        <w:rPr>
          <w:rFonts w:asciiTheme="majorHAnsi" w:hAnsiTheme="majorHAnsi"/>
          <w:sz w:val="20"/>
          <w:szCs w:val="20"/>
        </w:rPr>
      </w:pPr>
      <w:r w:rsidRPr="005722A6">
        <w:rPr>
          <w:rFonts w:asciiTheme="majorHAnsi" w:hAnsiTheme="majorHAnsi"/>
          <w:sz w:val="20"/>
          <w:szCs w:val="20"/>
        </w:rPr>
        <w:t>Preparation of rehabilitation and restoration plans for the identified sites;</w:t>
      </w:r>
    </w:p>
    <w:p w14:paraId="37FC28FE" w14:textId="438A21C6" w:rsidR="003B4B0C" w:rsidRPr="005722A6" w:rsidRDefault="003B4B0C" w:rsidP="00BD402F">
      <w:pPr>
        <w:pStyle w:val="ListParagraph"/>
        <w:numPr>
          <w:ilvl w:val="0"/>
          <w:numId w:val="28"/>
        </w:numPr>
        <w:shd w:val="clear" w:color="auto" w:fill="FFFFFF"/>
        <w:jc w:val="both"/>
        <w:rPr>
          <w:rFonts w:asciiTheme="majorHAnsi" w:hAnsiTheme="majorHAnsi"/>
          <w:sz w:val="20"/>
          <w:szCs w:val="20"/>
        </w:rPr>
      </w:pPr>
      <w:r w:rsidRPr="005722A6">
        <w:rPr>
          <w:rFonts w:asciiTheme="majorHAnsi" w:hAnsiTheme="majorHAnsi"/>
          <w:sz w:val="20"/>
          <w:szCs w:val="20"/>
        </w:rPr>
        <w:t>Preparation of agreements with land owners and/or beneficiaries</w:t>
      </w:r>
      <w:r w:rsidR="00E23DD2">
        <w:rPr>
          <w:rFonts w:asciiTheme="majorHAnsi" w:hAnsiTheme="majorHAnsi"/>
          <w:sz w:val="20"/>
          <w:szCs w:val="20"/>
        </w:rPr>
        <w:t xml:space="preserve"> </w:t>
      </w:r>
      <w:r w:rsidR="00D60D24">
        <w:rPr>
          <w:rFonts w:asciiTheme="majorHAnsi" w:hAnsiTheme="majorHAnsi"/>
          <w:sz w:val="20"/>
          <w:szCs w:val="20"/>
        </w:rPr>
        <w:t>to udertake</w:t>
      </w:r>
      <w:r w:rsidR="00E23DD2">
        <w:rPr>
          <w:rFonts w:asciiTheme="majorHAnsi" w:hAnsiTheme="majorHAnsi"/>
          <w:sz w:val="20"/>
          <w:szCs w:val="20"/>
        </w:rPr>
        <w:t xml:space="preserve"> restoration</w:t>
      </w:r>
      <w:r w:rsidR="00BD3BC7" w:rsidRPr="005722A6">
        <w:rPr>
          <w:rFonts w:asciiTheme="majorHAnsi" w:hAnsiTheme="majorHAnsi"/>
          <w:sz w:val="20"/>
          <w:szCs w:val="20"/>
        </w:rPr>
        <w:t>;</w:t>
      </w:r>
    </w:p>
    <w:p w14:paraId="4E1E6208" w14:textId="3697ABF1" w:rsidR="00AC7E5B" w:rsidRPr="005722A6" w:rsidRDefault="00AC7E5B" w:rsidP="00BD402F">
      <w:pPr>
        <w:pStyle w:val="ListParagraph"/>
        <w:numPr>
          <w:ilvl w:val="0"/>
          <w:numId w:val="28"/>
        </w:numPr>
        <w:shd w:val="clear" w:color="auto" w:fill="FFFFFF"/>
        <w:jc w:val="both"/>
        <w:rPr>
          <w:rFonts w:asciiTheme="majorHAnsi" w:hAnsiTheme="majorHAnsi"/>
          <w:sz w:val="20"/>
          <w:szCs w:val="20"/>
        </w:rPr>
      </w:pPr>
      <w:r w:rsidRPr="005722A6">
        <w:rPr>
          <w:rFonts w:asciiTheme="majorHAnsi" w:hAnsiTheme="majorHAnsi"/>
          <w:sz w:val="20"/>
          <w:szCs w:val="20"/>
        </w:rPr>
        <w:t>Establishment and maintenance of protection, social fencing</w:t>
      </w:r>
      <w:r w:rsidR="00E75432" w:rsidRPr="005722A6">
        <w:rPr>
          <w:rFonts w:asciiTheme="majorHAnsi" w:hAnsiTheme="majorHAnsi"/>
          <w:sz w:val="20"/>
          <w:szCs w:val="20"/>
        </w:rPr>
        <w:t xml:space="preserve"> </w:t>
      </w:r>
      <w:r w:rsidR="008B1EC7" w:rsidRPr="005722A6">
        <w:rPr>
          <w:rFonts w:asciiTheme="majorHAnsi" w:hAnsiTheme="majorHAnsi"/>
          <w:sz w:val="20"/>
          <w:szCs w:val="20"/>
        </w:rPr>
        <w:t xml:space="preserve">and </w:t>
      </w:r>
      <w:r w:rsidR="00E23DD2">
        <w:rPr>
          <w:rFonts w:asciiTheme="majorHAnsi" w:hAnsiTheme="majorHAnsi"/>
          <w:sz w:val="20"/>
          <w:szCs w:val="20"/>
        </w:rPr>
        <w:t xml:space="preserve">other </w:t>
      </w:r>
      <w:r w:rsidR="00E75432" w:rsidRPr="005722A6">
        <w:rPr>
          <w:rFonts w:asciiTheme="majorHAnsi" w:hAnsiTheme="majorHAnsi"/>
          <w:sz w:val="20"/>
          <w:szCs w:val="20"/>
        </w:rPr>
        <w:t>restoration</w:t>
      </w:r>
      <w:r w:rsidR="008B1EC7" w:rsidRPr="005722A6">
        <w:rPr>
          <w:rFonts w:asciiTheme="majorHAnsi" w:hAnsiTheme="majorHAnsi"/>
          <w:sz w:val="20"/>
          <w:szCs w:val="20"/>
        </w:rPr>
        <w:t xml:space="preserve"> </w:t>
      </w:r>
      <w:r w:rsidR="00E23DD2">
        <w:rPr>
          <w:rFonts w:asciiTheme="majorHAnsi" w:hAnsiTheme="majorHAnsi"/>
          <w:sz w:val="20"/>
          <w:szCs w:val="20"/>
        </w:rPr>
        <w:t>measures</w:t>
      </w:r>
      <w:r w:rsidR="00E23DD2" w:rsidRPr="005722A6">
        <w:rPr>
          <w:rFonts w:asciiTheme="majorHAnsi" w:hAnsiTheme="majorHAnsi"/>
          <w:sz w:val="20"/>
          <w:szCs w:val="20"/>
        </w:rPr>
        <w:t xml:space="preserve"> </w:t>
      </w:r>
      <w:r w:rsidRPr="005722A6">
        <w:rPr>
          <w:rFonts w:asciiTheme="majorHAnsi" w:hAnsiTheme="majorHAnsi"/>
          <w:sz w:val="20"/>
          <w:szCs w:val="20"/>
        </w:rPr>
        <w:t xml:space="preserve">to </w:t>
      </w:r>
      <w:r w:rsidR="00D60D24" w:rsidRPr="005722A6">
        <w:rPr>
          <w:rFonts w:asciiTheme="majorHAnsi" w:hAnsiTheme="majorHAnsi"/>
          <w:sz w:val="20"/>
          <w:szCs w:val="20"/>
        </w:rPr>
        <w:t>prevent</w:t>
      </w:r>
      <w:r w:rsidR="00D60D24">
        <w:rPr>
          <w:rFonts w:asciiTheme="majorHAnsi" w:hAnsiTheme="majorHAnsi"/>
          <w:sz w:val="20"/>
          <w:szCs w:val="20"/>
        </w:rPr>
        <w:t xml:space="preserve"> or </w:t>
      </w:r>
      <w:r w:rsidRPr="005722A6">
        <w:rPr>
          <w:rFonts w:asciiTheme="majorHAnsi" w:hAnsiTheme="majorHAnsi"/>
          <w:sz w:val="20"/>
          <w:szCs w:val="20"/>
        </w:rPr>
        <w:t xml:space="preserve">reduce </w:t>
      </w:r>
      <w:r w:rsidR="00E75432" w:rsidRPr="005722A6">
        <w:rPr>
          <w:rFonts w:asciiTheme="majorHAnsi" w:hAnsiTheme="majorHAnsi"/>
          <w:sz w:val="20"/>
          <w:szCs w:val="20"/>
        </w:rPr>
        <w:t xml:space="preserve">unsustainable </w:t>
      </w:r>
      <w:r w:rsidRPr="005722A6">
        <w:rPr>
          <w:rFonts w:asciiTheme="majorHAnsi" w:hAnsiTheme="majorHAnsi"/>
          <w:sz w:val="20"/>
          <w:szCs w:val="20"/>
        </w:rPr>
        <w:t xml:space="preserve">forest </w:t>
      </w:r>
      <w:r w:rsidR="00E75432" w:rsidRPr="005722A6">
        <w:rPr>
          <w:rFonts w:asciiTheme="majorHAnsi" w:hAnsiTheme="majorHAnsi"/>
          <w:sz w:val="20"/>
          <w:szCs w:val="20"/>
        </w:rPr>
        <w:t xml:space="preserve">and marine </w:t>
      </w:r>
      <w:r w:rsidR="008B1EC7" w:rsidRPr="005722A6">
        <w:rPr>
          <w:rFonts w:asciiTheme="majorHAnsi" w:hAnsiTheme="majorHAnsi"/>
          <w:sz w:val="20"/>
          <w:szCs w:val="20"/>
        </w:rPr>
        <w:t>habitat degradation</w:t>
      </w:r>
      <w:r w:rsidR="00BD3BC7" w:rsidRPr="005722A6">
        <w:rPr>
          <w:rFonts w:asciiTheme="majorHAnsi" w:hAnsiTheme="majorHAnsi"/>
          <w:sz w:val="20"/>
          <w:szCs w:val="20"/>
        </w:rPr>
        <w:t>,</w:t>
      </w:r>
      <w:r w:rsidR="00E75432" w:rsidRPr="005722A6">
        <w:rPr>
          <w:rFonts w:asciiTheme="majorHAnsi" w:hAnsiTheme="majorHAnsi"/>
          <w:sz w:val="20"/>
          <w:szCs w:val="20"/>
        </w:rPr>
        <w:t xml:space="preserve"> fires</w:t>
      </w:r>
      <w:r w:rsidR="00BD3BC7" w:rsidRPr="005722A6">
        <w:rPr>
          <w:rFonts w:asciiTheme="majorHAnsi" w:hAnsiTheme="majorHAnsi"/>
          <w:sz w:val="20"/>
          <w:szCs w:val="20"/>
        </w:rPr>
        <w:t>, loss of soil,</w:t>
      </w:r>
      <w:r w:rsidR="008B1EC7" w:rsidRPr="005722A6">
        <w:rPr>
          <w:rFonts w:asciiTheme="majorHAnsi" w:hAnsiTheme="majorHAnsi"/>
          <w:sz w:val="20"/>
          <w:szCs w:val="20"/>
        </w:rPr>
        <w:t xml:space="preserve"> etc.</w:t>
      </w:r>
      <w:r w:rsidRPr="005722A6">
        <w:rPr>
          <w:rFonts w:asciiTheme="majorHAnsi" w:hAnsiTheme="majorHAnsi"/>
          <w:sz w:val="20"/>
          <w:szCs w:val="20"/>
        </w:rPr>
        <w:t xml:space="preserve">; </w:t>
      </w:r>
      <w:r w:rsidR="00BD402F">
        <w:rPr>
          <w:rFonts w:asciiTheme="majorHAnsi" w:hAnsiTheme="majorHAnsi"/>
          <w:sz w:val="20"/>
          <w:szCs w:val="20"/>
        </w:rPr>
        <w:t xml:space="preserve">and </w:t>
      </w:r>
    </w:p>
    <w:p w14:paraId="2CC1FDBE" w14:textId="2283EBE5" w:rsidR="007A1BA8" w:rsidRPr="00BD402F" w:rsidRDefault="00AC7E5B" w:rsidP="00BD402F">
      <w:pPr>
        <w:pStyle w:val="ListParagraph"/>
        <w:numPr>
          <w:ilvl w:val="0"/>
          <w:numId w:val="28"/>
        </w:numPr>
        <w:shd w:val="clear" w:color="auto" w:fill="FFFFFF"/>
        <w:jc w:val="both"/>
        <w:rPr>
          <w:rFonts w:asciiTheme="majorHAnsi" w:hAnsiTheme="majorHAnsi"/>
          <w:b/>
          <w:i/>
          <w:sz w:val="20"/>
          <w:szCs w:val="20"/>
        </w:rPr>
      </w:pPr>
      <w:r w:rsidRPr="005722A6">
        <w:rPr>
          <w:rFonts w:asciiTheme="majorHAnsi" w:hAnsiTheme="majorHAnsi"/>
          <w:sz w:val="20"/>
          <w:szCs w:val="20"/>
        </w:rPr>
        <w:t>Documentation and dissemination of successes and failures of restoration efforts</w:t>
      </w:r>
      <w:r w:rsidR="00BD402F">
        <w:rPr>
          <w:rFonts w:asciiTheme="majorHAnsi" w:hAnsiTheme="majorHAnsi"/>
          <w:sz w:val="20"/>
          <w:szCs w:val="20"/>
        </w:rPr>
        <w:t xml:space="preserve"> and a </w:t>
      </w:r>
      <w:r w:rsidR="008B1EC7" w:rsidRPr="00BD402F">
        <w:rPr>
          <w:rFonts w:asciiTheme="majorHAnsi" w:hAnsiTheme="majorHAnsi"/>
          <w:sz w:val="20"/>
          <w:szCs w:val="20"/>
        </w:rPr>
        <w:t xml:space="preserve">best restoration practices manual </w:t>
      </w:r>
      <w:r w:rsidRPr="00BD402F">
        <w:rPr>
          <w:rFonts w:asciiTheme="majorHAnsi" w:hAnsiTheme="majorHAnsi"/>
          <w:sz w:val="20"/>
          <w:szCs w:val="20"/>
        </w:rPr>
        <w:t>for different forest</w:t>
      </w:r>
      <w:r w:rsidR="00E75432" w:rsidRPr="00BD402F">
        <w:rPr>
          <w:rFonts w:asciiTheme="majorHAnsi" w:hAnsiTheme="majorHAnsi"/>
          <w:sz w:val="20"/>
          <w:szCs w:val="20"/>
        </w:rPr>
        <w:t>, mangroves and marine environments</w:t>
      </w:r>
      <w:r w:rsidR="00E23DD2" w:rsidRPr="00BD402F">
        <w:rPr>
          <w:rFonts w:asciiTheme="majorHAnsi" w:hAnsiTheme="majorHAnsi"/>
          <w:sz w:val="20"/>
          <w:szCs w:val="20"/>
        </w:rPr>
        <w:t>, as appropriate.</w:t>
      </w:r>
    </w:p>
    <w:p w14:paraId="4C73B4DD" w14:textId="77777777" w:rsidR="00BD402F" w:rsidRPr="00BD402F" w:rsidRDefault="00BD402F" w:rsidP="00BD402F">
      <w:pPr>
        <w:pStyle w:val="ListParagraph"/>
        <w:shd w:val="clear" w:color="auto" w:fill="FFFFFF"/>
        <w:jc w:val="both"/>
        <w:rPr>
          <w:rFonts w:asciiTheme="majorHAnsi" w:hAnsiTheme="majorHAnsi"/>
          <w:b/>
          <w:i/>
          <w:sz w:val="20"/>
          <w:szCs w:val="20"/>
        </w:rPr>
      </w:pPr>
    </w:p>
    <w:p w14:paraId="29301D4B" w14:textId="1889DDBE" w:rsidR="00B87774" w:rsidRPr="005722A6" w:rsidRDefault="00B87774" w:rsidP="00B87774">
      <w:pPr>
        <w:spacing w:after="0"/>
        <w:rPr>
          <w:rFonts w:asciiTheme="majorHAnsi" w:hAnsiTheme="majorHAnsi"/>
          <w:b/>
          <w:i/>
          <w:sz w:val="20"/>
          <w:szCs w:val="20"/>
        </w:rPr>
      </w:pPr>
      <w:r w:rsidRPr="005722A6">
        <w:rPr>
          <w:rFonts w:asciiTheme="majorHAnsi" w:hAnsiTheme="majorHAnsi"/>
          <w:b/>
          <w:i/>
          <w:sz w:val="20"/>
          <w:szCs w:val="20"/>
        </w:rPr>
        <w:lastRenderedPageBreak/>
        <w:t>Output 2.4</w:t>
      </w:r>
      <w:r w:rsidRPr="005722A6">
        <w:rPr>
          <w:rFonts w:asciiTheme="majorHAnsi" w:hAnsiTheme="majorHAnsi"/>
          <w:sz w:val="20"/>
          <w:szCs w:val="20"/>
        </w:rPr>
        <w:t>.</w:t>
      </w:r>
      <w:r w:rsidRPr="005722A6">
        <w:rPr>
          <w:rFonts w:asciiTheme="majorHAnsi" w:hAnsiTheme="majorHAnsi"/>
          <w:b/>
          <w:i/>
          <w:sz w:val="20"/>
          <w:szCs w:val="20"/>
        </w:rPr>
        <w:t xml:space="preserve"> Sustainable management practices implemented by communities in </w:t>
      </w:r>
      <w:r w:rsidR="00B349AC">
        <w:rPr>
          <w:rFonts w:asciiTheme="majorHAnsi" w:hAnsiTheme="majorHAnsi"/>
          <w:b/>
          <w:i/>
          <w:sz w:val="20"/>
          <w:szCs w:val="20"/>
        </w:rPr>
        <w:t>terrestrial</w:t>
      </w:r>
      <w:r w:rsidRPr="005722A6">
        <w:rPr>
          <w:rFonts w:asciiTheme="majorHAnsi" w:hAnsiTheme="majorHAnsi"/>
          <w:b/>
          <w:i/>
          <w:sz w:val="20"/>
          <w:szCs w:val="20"/>
        </w:rPr>
        <w:t>, coastal and marine ecosystems</w:t>
      </w:r>
    </w:p>
    <w:p w14:paraId="35E093B9" w14:textId="77777777" w:rsidR="00B87774" w:rsidRPr="005722A6" w:rsidRDefault="00B87774" w:rsidP="00B87774">
      <w:pPr>
        <w:spacing w:after="0"/>
        <w:rPr>
          <w:rFonts w:asciiTheme="majorHAnsi" w:hAnsiTheme="majorHAnsi"/>
          <w:b/>
          <w:i/>
          <w:sz w:val="20"/>
          <w:szCs w:val="20"/>
        </w:rPr>
      </w:pPr>
    </w:p>
    <w:p w14:paraId="7DE66B20" w14:textId="13C65983" w:rsidR="0072059D" w:rsidRPr="005722A6" w:rsidRDefault="00167D78" w:rsidP="00410544">
      <w:pPr>
        <w:rPr>
          <w:rFonts w:asciiTheme="majorHAnsi" w:hAnsiTheme="majorHAnsi"/>
          <w:sz w:val="20"/>
          <w:szCs w:val="20"/>
        </w:rPr>
      </w:pPr>
      <w:r w:rsidRPr="005722A6">
        <w:rPr>
          <w:rFonts w:asciiTheme="majorHAnsi" w:hAnsiTheme="majorHAnsi"/>
          <w:sz w:val="20"/>
          <w:szCs w:val="20"/>
        </w:rPr>
        <w:t xml:space="preserve">Based on the results of </w:t>
      </w:r>
      <w:r w:rsidR="00E23DD2">
        <w:rPr>
          <w:rFonts w:asciiTheme="majorHAnsi" w:hAnsiTheme="majorHAnsi"/>
          <w:sz w:val="20"/>
          <w:szCs w:val="20"/>
        </w:rPr>
        <w:t xml:space="preserve">ILSMPs, </w:t>
      </w:r>
      <w:r w:rsidRPr="005722A6">
        <w:rPr>
          <w:rFonts w:asciiTheme="majorHAnsi" w:hAnsiTheme="majorHAnsi"/>
          <w:sz w:val="20"/>
          <w:szCs w:val="20"/>
        </w:rPr>
        <w:t xml:space="preserve">the project will implement </w:t>
      </w:r>
      <w:r w:rsidR="00D60D24">
        <w:rPr>
          <w:rFonts w:asciiTheme="majorHAnsi" w:hAnsiTheme="majorHAnsi"/>
          <w:sz w:val="20"/>
          <w:szCs w:val="20"/>
        </w:rPr>
        <w:t>b</w:t>
      </w:r>
      <w:r w:rsidRPr="005722A6">
        <w:rPr>
          <w:rFonts w:asciiTheme="majorHAnsi" w:hAnsiTheme="majorHAnsi"/>
          <w:sz w:val="20"/>
          <w:szCs w:val="20"/>
        </w:rPr>
        <w:t xml:space="preserve">est </w:t>
      </w:r>
      <w:r w:rsidR="00D60D24">
        <w:rPr>
          <w:rFonts w:asciiTheme="majorHAnsi" w:hAnsiTheme="majorHAnsi"/>
          <w:sz w:val="20"/>
          <w:szCs w:val="20"/>
        </w:rPr>
        <w:t>p</w:t>
      </w:r>
      <w:r w:rsidRPr="005722A6">
        <w:rPr>
          <w:rFonts w:asciiTheme="majorHAnsi" w:hAnsiTheme="majorHAnsi"/>
          <w:sz w:val="20"/>
          <w:szCs w:val="20"/>
        </w:rPr>
        <w:t>ractices</w:t>
      </w:r>
      <w:r w:rsidR="001B2292">
        <w:rPr>
          <w:rFonts w:asciiTheme="majorHAnsi" w:hAnsiTheme="majorHAnsi"/>
          <w:sz w:val="20"/>
          <w:szCs w:val="20"/>
        </w:rPr>
        <w:t>,</w:t>
      </w:r>
      <w:r w:rsidR="00FD6B43" w:rsidRPr="005722A6">
        <w:rPr>
          <w:rFonts w:asciiTheme="majorHAnsi" w:hAnsiTheme="majorHAnsi"/>
          <w:sz w:val="20"/>
          <w:szCs w:val="20"/>
        </w:rPr>
        <w:t xml:space="preserve"> including alternative livelihood options</w:t>
      </w:r>
      <w:r w:rsidR="001B2292">
        <w:rPr>
          <w:rFonts w:asciiTheme="majorHAnsi" w:hAnsiTheme="majorHAnsi"/>
          <w:sz w:val="20"/>
          <w:szCs w:val="20"/>
        </w:rPr>
        <w:t>,</w:t>
      </w:r>
      <w:r w:rsidRPr="005722A6">
        <w:rPr>
          <w:rFonts w:asciiTheme="majorHAnsi" w:hAnsiTheme="majorHAnsi"/>
          <w:sz w:val="20"/>
          <w:szCs w:val="20"/>
        </w:rPr>
        <w:t xml:space="preserve"> (Annex </w:t>
      </w:r>
      <w:r w:rsidR="00B87D6D" w:rsidRPr="005722A6">
        <w:rPr>
          <w:rFonts w:asciiTheme="majorHAnsi" w:hAnsiTheme="majorHAnsi"/>
          <w:sz w:val="20"/>
          <w:szCs w:val="20"/>
        </w:rPr>
        <w:t>4, Attachment 1</w:t>
      </w:r>
      <w:r w:rsidR="00FD6B43" w:rsidRPr="005722A6">
        <w:rPr>
          <w:rFonts w:asciiTheme="majorHAnsi" w:hAnsiTheme="majorHAnsi"/>
          <w:sz w:val="20"/>
          <w:szCs w:val="20"/>
        </w:rPr>
        <w:t xml:space="preserve"> and 2</w:t>
      </w:r>
      <w:r w:rsidRPr="005722A6">
        <w:rPr>
          <w:rFonts w:asciiTheme="majorHAnsi" w:hAnsiTheme="majorHAnsi"/>
          <w:sz w:val="20"/>
          <w:szCs w:val="20"/>
        </w:rPr>
        <w:t xml:space="preserve">) across at least </w:t>
      </w:r>
      <w:r w:rsidR="00EE0E00">
        <w:rPr>
          <w:rFonts w:asciiTheme="majorHAnsi" w:hAnsiTheme="majorHAnsi"/>
          <w:sz w:val="20"/>
          <w:szCs w:val="20"/>
        </w:rPr>
        <w:t xml:space="preserve">a total of </w:t>
      </w:r>
      <w:r w:rsidRPr="005722A6">
        <w:rPr>
          <w:rFonts w:asciiTheme="majorHAnsi" w:hAnsiTheme="majorHAnsi"/>
          <w:sz w:val="20"/>
          <w:szCs w:val="20"/>
        </w:rPr>
        <w:t>500 ha</w:t>
      </w:r>
      <w:r w:rsidR="00EE0E00">
        <w:rPr>
          <w:rFonts w:asciiTheme="majorHAnsi" w:hAnsiTheme="majorHAnsi"/>
          <w:sz w:val="20"/>
          <w:szCs w:val="20"/>
        </w:rPr>
        <w:t xml:space="preserve"> under the project</w:t>
      </w:r>
      <w:r w:rsidRPr="005722A6">
        <w:rPr>
          <w:rFonts w:asciiTheme="majorHAnsi" w:hAnsiTheme="majorHAnsi"/>
          <w:sz w:val="20"/>
          <w:szCs w:val="20"/>
        </w:rPr>
        <w:t>,</w:t>
      </w:r>
      <w:r w:rsidR="001B2292">
        <w:rPr>
          <w:rFonts w:asciiTheme="majorHAnsi" w:hAnsiTheme="majorHAnsi"/>
          <w:sz w:val="20"/>
          <w:szCs w:val="20"/>
        </w:rPr>
        <w:t xml:space="preserve"> using</w:t>
      </w:r>
      <w:r w:rsidRPr="005722A6">
        <w:rPr>
          <w:rFonts w:asciiTheme="majorHAnsi" w:hAnsiTheme="majorHAnsi"/>
          <w:sz w:val="20"/>
          <w:szCs w:val="20"/>
        </w:rPr>
        <w:t xml:space="preserve"> a direct financing mechanism to states</w:t>
      </w:r>
      <w:r w:rsidR="001B2292">
        <w:rPr>
          <w:rFonts w:asciiTheme="majorHAnsi" w:hAnsiTheme="majorHAnsi"/>
          <w:sz w:val="20"/>
          <w:szCs w:val="20"/>
        </w:rPr>
        <w:t xml:space="preserve"> that </w:t>
      </w:r>
      <w:r w:rsidR="00ED3B3E" w:rsidRPr="005722A6">
        <w:rPr>
          <w:rFonts w:asciiTheme="majorHAnsi" w:hAnsiTheme="majorHAnsi"/>
          <w:sz w:val="20"/>
          <w:szCs w:val="20"/>
        </w:rPr>
        <w:t xml:space="preserve">will also result </w:t>
      </w:r>
      <w:r w:rsidR="001B2292">
        <w:rPr>
          <w:rFonts w:asciiTheme="majorHAnsi" w:hAnsiTheme="majorHAnsi"/>
          <w:sz w:val="20"/>
          <w:szCs w:val="20"/>
        </w:rPr>
        <w:t>raise</w:t>
      </w:r>
      <w:r w:rsidR="00ED3B3E" w:rsidRPr="005722A6">
        <w:rPr>
          <w:rFonts w:asciiTheme="majorHAnsi" w:hAnsiTheme="majorHAnsi"/>
          <w:sz w:val="20"/>
          <w:szCs w:val="20"/>
        </w:rPr>
        <w:t xml:space="preserve"> awareness of </w:t>
      </w:r>
      <w:r w:rsidR="001B2292" w:rsidRPr="005722A6">
        <w:rPr>
          <w:rFonts w:asciiTheme="majorHAnsi" w:hAnsiTheme="majorHAnsi"/>
          <w:sz w:val="20"/>
          <w:szCs w:val="20"/>
        </w:rPr>
        <w:t xml:space="preserve">IAS and </w:t>
      </w:r>
      <w:r w:rsidR="00ED3B3E" w:rsidRPr="005722A6">
        <w:rPr>
          <w:rFonts w:asciiTheme="majorHAnsi" w:hAnsiTheme="majorHAnsi"/>
          <w:sz w:val="20"/>
          <w:szCs w:val="20"/>
        </w:rPr>
        <w:t>biosecurity.</w:t>
      </w:r>
    </w:p>
    <w:p w14:paraId="0F1B2EE1" w14:textId="69A2D48B" w:rsidR="00410544" w:rsidRPr="005722A6" w:rsidRDefault="00410544" w:rsidP="00410544">
      <w:pPr>
        <w:rPr>
          <w:rFonts w:asciiTheme="majorHAnsi" w:hAnsiTheme="majorHAnsi"/>
          <w:sz w:val="20"/>
          <w:szCs w:val="20"/>
        </w:rPr>
      </w:pPr>
      <w:r w:rsidRPr="005722A6">
        <w:rPr>
          <w:rFonts w:asciiTheme="majorHAnsi" w:hAnsiTheme="majorHAnsi"/>
          <w:sz w:val="20"/>
          <w:szCs w:val="20"/>
        </w:rPr>
        <w:t xml:space="preserve">The following activities will be supported under this </w:t>
      </w:r>
      <w:r w:rsidR="001B2292">
        <w:rPr>
          <w:rFonts w:asciiTheme="majorHAnsi" w:hAnsiTheme="majorHAnsi"/>
          <w:sz w:val="20"/>
          <w:szCs w:val="20"/>
        </w:rPr>
        <w:t>o</w:t>
      </w:r>
      <w:r w:rsidRPr="005722A6">
        <w:rPr>
          <w:rFonts w:asciiTheme="majorHAnsi" w:hAnsiTheme="majorHAnsi"/>
          <w:sz w:val="20"/>
          <w:szCs w:val="20"/>
        </w:rPr>
        <w:t>utput:</w:t>
      </w:r>
    </w:p>
    <w:p w14:paraId="4405901D" w14:textId="2975A3EF" w:rsidR="0013320E" w:rsidRPr="005722A6" w:rsidRDefault="00EE0E00" w:rsidP="00EE0E00">
      <w:pPr>
        <w:pStyle w:val="ListParagraph"/>
        <w:numPr>
          <w:ilvl w:val="0"/>
          <w:numId w:val="29"/>
        </w:numPr>
        <w:jc w:val="both"/>
        <w:rPr>
          <w:rFonts w:asciiTheme="majorHAnsi" w:hAnsiTheme="majorHAnsi"/>
          <w:iCs/>
          <w:sz w:val="20"/>
          <w:szCs w:val="20"/>
        </w:rPr>
      </w:pPr>
      <w:r>
        <w:rPr>
          <w:rFonts w:asciiTheme="majorHAnsi" w:hAnsiTheme="majorHAnsi"/>
          <w:sz w:val="20"/>
          <w:szCs w:val="20"/>
        </w:rPr>
        <w:t>P</w:t>
      </w:r>
      <w:r w:rsidR="00167D78" w:rsidRPr="005722A6">
        <w:rPr>
          <w:rFonts w:asciiTheme="majorHAnsi" w:hAnsiTheme="majorHAnsi"/>
          <w:iCs/>
          <w:sz w:val="20"/>
          <w:szCs w:val="20"/>
        </w:rPr>
        <w:t>rioritiz</w:t>
      </w:r>
      <w:r>
        <w:rPr>
          <w:rFonts w:asciiTheme="majorHAnsi" w:hAnsiTheme="majorHAnsi"/>
          <w:iCs/>
          <w:sz w:val="20"/>
          <w:szCs w:val="20"/>
        </w:rPr>
        <w:t xml:space="preserve">ation of a total of at </w:t>
      </w:r>
      <w:r w:rsidR="00167D78" w:rsidRPr="005722A6">
        <w:rPr>
          <w:rFonts w:asciiTheme="majorHAnsi" w:hAnsiTheme="majorHAnsi"/>
          <w:iCs/>
          <w:sz w:val="20"/>
          <w:szCs w:val="20"/>
        </w:rPr>
        <w:t xml:space="preserve">least 500 ha </w:t>
      </w:r>
      <w:r>
        <w:rPr>
          <w:rFonts w:asciiTheme="majorHAnsi" w:hAnsiTheme="majorHAnsi"/>
          <w:iCs/>
          <w:sz w:val="20"/>
          <w:szCs w:val="20"/>
        </w:rPr>
        <w:t xml:space="preserve">(in the 9 states) </w:t>
      </w:r>
      <w:r w:rsidR="00167D78" w:rsidRPr="005722A6">
        <w:rPr>
          <w:rFonts w:asciiTheme="majorHAnsi" w:hAnsiTheme="majorHAnsi"/>
          <w:iCs/>
          <w:sz w:val="20"/>
          <w:szCs w:val="20"/>
        </w:rPr>
        <w:t>for action, and</w:t>
      </w:r>
      <w:r w:rsidR="00410544" w:rsidRPr="005722A6">
        <w:rPr>
          <w:rFonts w:asciiTheme="majorHAnsi" w:hAnsiTheme="majorHAnsi"/>
          <w:iCs/>
          <w:sz w:val="20"/>
          <w:szCs w:val="20"/>
        </w:rPr>
        <w:t xml:space="preserve"> serve as the basis for funding under the project</w:t>
      </w:r>
      <w:r w:rsidR="00B349AC">
        <w:rPr>
          <w:rFonts w:asciiTheme="majorHAnsi" w:hAnsiTheme="majorHAnsi"/>
          <w:iCs/>
          <w:sz w:val="20"/>
          <w:szCs w:val="20"/>
        </w:rPr>
        <w:t>.</w:t>
      </w:r>
    </w:p>
    <w:p w14:paraId="380FF262" w14:textId="130615E5" w:rsidR="00531C84" w:rsidRPr="00F372D8" w:rsidRDefault="0013320E" w:rsidP="00EE0E00">
      <w:pPr>
        <w:pStyle w:val="ListParagraph"/>
        <w:numPr>
          <w:ilvl w:val="0"/>
          <w:numId w:val="29"/>
        </w:numPr>
        <w:jc w:val="both"/>
        <w:rPr>
          <w:rFonts w:asciiTheme="majorHAnsi" w:hAnsiTheme="majorHAnsi"/>
          <w:iCs/>
          <w:sz w:val="20"/>
          <w:szCs w:val="20"/>
        </w:rPr>
      </w:pPr>
      <w:r w:rsidRPr="00FB46EB">
        <w:rPr>
          <w:rFonts w:asciiTheme="majorHAnsi" w:hAnsiTheme="majorHAnsi"/>
          <w:sz w:val="20"/>
          <w:szCs w:val="20"/>
        </w:rPr>
        <w:t xml:space="preserve">The plans </w:t>
      </w:r>
      <w:r w:rsidR="008B1EC7" w:rsidRPr="00FB46EB">
        <w:rPr>
          <w:rFonts w:asciiTheme="majorHAnsi" w:hAnsiTheme="majorHAnsi"/>
          <w:sz w:val="20"/>
          <w:szCs w:val="20"/>
        </w:rPr>
        <w:t>w</w:t>
      </w:r>
      <w:r w:rsidR="008B1EC7" w:rsidRPr="002F6486">
        <w:rPr>
          <w:rFonts w:asciiTheme="majorHAnsi" w:hAnsiTheme="majorHAnsi"/>
          <w:sz w:val="20"/>
          <w:szCs w:val="20"/>
        </w:rPr>
        <w:t xml:space="preserve">ill </w:t>
      </w:r>
      <w:r w:rsidRPr="002F6486">
        <w:rPr>
          <w:rFonts w:asciiTheme="majorHAnsi" w:hAnsiTheme="majorHAnsi"/>
          <w:sz w:val="20"/>
          <w:szCs w:val="20"/>
        </w:rPr>
        <w:t xml:space="preserve">include a range of options to enhance </w:t>
      </w:r>
      <w:r w:rsidRPr="002F6486">
        <w:rPr>
          <w:rFonts w:asciiTheme="majorHAnsi" w:hAnsiTheme="majorHAnsi"/>
          <w:iCs/>
          <w:sz w:val="20"/>
          <w:szCs w:val="20"/>
        </w:rPr>
        <w:t xml:space="preserve">agriculture, </w:t>
      </w:r>
      <w:r w:rsidR="00167D78" w:rsidRPr="002F6486">
        <w:rPr>
          <w:rFonts w:asciiTheme="majorHAnsi" w:hAnsiTheme="majorHAnsi"/>
          <w:iCs/>
          <w:sz w:val="20"/>
          <w:szCs w:val="20"/>
        </w:rPr>
        <w:t xml:space="preserve">aquaculture, </w:t>
      </w:r>
      <w:r w:rsidRPr="002F6486">
        <w:rPr>
          <w:rFonts w:asciiTheme="majorHAnsi" w:hAnsiTheme="majorHAnsi"/>
          <w:iCs/>
          <w:sz w:val="20"/>
          <w:szCs w:val="20"/>
        </w:rPr>
        <w:t>forestry and fisheries productivity</w:t>
      </w:r>
      <w:r w:rsidR="00167D78" w:rsidRPr="002F6486">
        <w:rPr>
          <w:rFonts w:asciiTheme="majorHAnsi" w:hAnsiTheme="majorHAnsi"/>
          <w:iCs/>
          <w:sz w:val="20"/>
          <w:szCs w:val="20"/>
        </w:rPr>
        <w:t xml:space="preserve"> and sustainable tourism</w:t>
      </w:r>
      <w:r w:rsidRPr="008C571D">
        <w:rPr>
          <w:rFonts w:asciiTheme="majorHAnsi" w:hAnsiTheme="majorHAnsi"/>
          <w:iCs/>
          <w:sz w:val="20"/>
          <w:szCs w:val="20"/>
        </w:rPr>
        <w:t>, improve livelihood</w:t>
      </w:r>
      <w:r w:rsidR="007B7C24" w:rsidRPr="00203F78">
        <w:rPr>
          <w:rFonts w:asciiTheme="majorHAnsi" w:hAnsiTheme="majorHAnsi"/>
          <w:iCs/>
          <w:sz w:val="20"/>
          <w:szCs w:val="20"/>
        </w:rPr>
        <w:t>s</w:t>
      </w:r>
      <w:r w:rsidRPr="00203F78">
        <w:rPr>
          <w:rFonts w:asciiTheme="majorHAnsi" w:hAnsiTheme="majorHAnsi"/>
          <w:iCs/>
          <w:sz w:val="20"/>
          <w:szCs w:val="20"/>
        </w:rPr>
        <w:t xml:space="preserve"> and incomes, improve sustainable natural resource management</w:t>
      </w:r>
      <w:r w:rsidR="00E23DD2">
        <w:rPr>
          <w:rFonts w:asciiTheme="majorHAnsi" w:hAnsiTheme="majorHAnsi"/>
          <w:iCs/>
          <w:sz w:val="20"/>
          <w:szCs w:val="20"/>
        </w:rPr>
        <w:t>, reduce IAS control and management</w:t>
      </w:r>
      <w:r w:rsidRPr="00203F78">
        <w:rPr>
          <w:rFonts w:asciiTheme="majorHAnsi" w:hAnsiTheme="majorHAnsi"/>
          <w:iCs/>
          <w:sz w:val="20"/>
          <w:szCs w:val="20"/>
        </w:rPr>
        <w:t xml:space="preserve"> and enhance the adaptive capacity to </w:t>
      </w:r>
      <w:r w:rsidR="00B349AC">
        <w:rPr>
          <w:rFonts w:asciiTheme="majorHAnsi" w:hAnsiTheme="majorHAnsi"/>
          <w:iCs/>
          <w:sz w:val="20"/>
          <w:szCs w:val="20"/>
        </w:rPr>
        <w:t>natural</w:t>
      </w:r>
      <w:r w:rsidR="00B349AC" w:rsidRPr="00203F78">
        <w:rPr>
          <w:rFonts w:asciiTheme="majorHAnsi" w:hAnsiTheme="majorHAnsi"/>
          <w:iCs/>
          <w:sz w:val="20"/>
          <w:szCs w:val="20"/>
        </w:rPr>
        <w:t xml:space="preserve"> </w:t>
      </w:r>
      <w:r w:rsidRPr="00203F78">
        <w:rPr>
          <w:rFonts w:asciiTheme="majorHAnsi" w:hAnsiTheme="majorHAnsi"/>
          <w:iCs/>
          <w:sz w:val="20"/>
          <w:szCs w:val="20"/>
        </w:rPr>
        <w:t>and climate related risks</w:t>
      </w:r>
      <w:r w:rsidR="007B7C24" w:rsidRPr="00FF745E">
        <w:rPr>
          <w:rFonts w:asciiTheme="majorHAnsi" w:hAnsiTheme="majorHAnsi"/>
          <w:iCs/>
          <w:sz w:val="20"/>
          <w:szCs w:val="20"/>
        </w:rPr>
        <w:t>.</w:t>
      </w:r>
      <w:r w:rsidRPr="00FF745E">
        <w:rPr>
          <w:rFonts w:asciiTheme="majorHAnsi" w:hAnsiTheme="majorHAnsi"/>
          <w:iCs/>
          <w:sz w:val="20"/>
          <w:szCs w:val="20"/>
        </w:rPr>
        <w:t xml:space="preserve"> </w:t>
      </w:r>
      <w:r w:rsidR="00167D78" w:rsidRPr="00E10F48">
        <w:rPr>
          <w:rFonts w:asciiTheme="majorHAnsi" w:hAnsiTheme="majorHAnsi"/>
          <w:iCs/>
          <w:sz w:val="20"/>
          <w:szCs w:val="20"/>
        </w:rPr>
        <w:t xml:space="preserve">This may include support for </w:t>
      </w:r>
      <w:r w:rsidR="00E23DD2">
        <w:rPr>
          <w:rFonts w:asciiTheme="majorHAnsi" w:hAnsiTheme="majorHAnsi"/>
          <w:iCs/>
          <w:sz w:val="20"/>
          <w:szCs w:val="20"/>
        </w:rPr>
        <w:t xml:space="preserve">development of </w:t>
      </w:r>
      <w:r w:rsidR="00531C84" w:rsidRPr="00E96B53">
        <w:rPr>
          <w:rFonts w:asciiTheme="majorHAnsi" w:hAnsiTheme="majorHAnsi"/>
          <w:sz w:val="20"/>
          <w:szCs w:val="20"/>
        </w:rPr>
        <w:t xml:space="preserve">short </w:t>
      </w:r>
      <w:r w:rsidR="00E23DD2">
        <w:rPr>
          <w:rFonts w:asciiTheme="majorHAnsi" w:hAnsiTheme="majorHAnsi"/>
          <w:sz w:val="20"/>
          <w:szCs w:val="20"/>
        </w:rPr>
        <w:t xml:space="preserve">value </w:t>
      </w:r>
      <w:r w:rsidR="00531C84" w:rsidRPr="00E96B53">
        <w:rPr>
          <w:rFonts w:asciiTheme="majorHAnsi" w:hAnsiTheme="majorHAnsi"/>
          <w:sz w:val="20"/>
          <w:szCs w:val="20"/>
        </w:rPr>
        <w:t>chain</w:t>
      </w:r>
      <w:r w:rsidR="00167D78" w:rsidRPr="00E96B53">
        <w:rPr>
          <w:rFonts w:asciiTheme="majorHAnsi" w:hAnsiTheme="majorHAnsi"/>
          <w:sz w:val="20"/>
          <w:szCs w:val="20"/>
        </w:rPr>
        <w:t>s</w:t>
      </w:r>
      <w:r w:rsidR="00531C84" w:rsidRPr="00E96B53">
        <w:rPr>
          <w:rFonts w:asciiTheme="majorHAnsi" w:hAnsiTheme="majorHAnsi"/>
          <w:sz w:val="20"/>
          <w:szCs w:val="20"/>
        </w:rPr>
        <w:t xml:space="preserve"> </w:t>
      </w:r>
      <w:r w:rsidR="00B349AC">
        <w:rPr>
          <w:rFonts w:asciiTheme="majorHAnsi" w:hAnsiTheme="majorHAnsi"/>
          <w:sz w:val="20"/>
          <w:szCs w:val="20"/>
        </w:rPr>
        <w:t xml:space="preserve">for marketing </w:t>
      </w:r>
      <w:r w:rsidR="00531C84" w:rsidRPr="00E96B53">
        <w:rPr>
          <w:rFonts w:asciiTheme="majorHAnsi" w:hAnsiTheme="majorHAnsi"/>
          <w:sz w:val="20"/>
          <w:szCs w:val="20"/>
        </w:rPr>
        <w:t xml:space="preserve">agriculture, fishery and </w:t>
      </w:r>
      <w:r w:rsidR="00167D78" w:rsidRPr="00627E17">
        <w:rPr>
          <w:rFonts w:asciiTheme="majorHAnsi" w:hAnsiTheme="majorHAnsi"/>
          <w:sz w:val="20"/>
          <w:szCs w:val="20"/>
        </w:rPr>
        <w:t xml:space="preserve">aquaculture </w:t>
      </w:r>
      <w:r w:rsidR="00531C84" w:rsidRPr="00627E17">
        <w:rPr>
          <w:rFonts w:asciiTheme="majorHAnsi" w:hAnsiTheme="majorHAnsi"/>
          <w:sz w:val="20"/>
          <w:szCs w:val="20"/>
        </w:rPr>
        <w:t>product</w:t>
      </w:r>
      <w:r w:rsidR="00B349AC">
        <w:rPr>
          <w:rFonts w:asciiTheme="majorHAnsi" w:hAnsiTheme="majorHAnsi"/>
          <w:sz w:val="20"/>
          <w:szCs w:val="20"/>
        </w:rPr>
        <w:t>s.</w:t>
      </w:r>
    </w:p>
    <w:p w14:paraId="2A3B1B7E" w14:textId="2ACD862B" w:rsidR="00410544" w:rsidRPr="005722A6" w:rsidRDefault="00167D78" w:rsidP="00EE0E00">
      <w:pPr>
        <w:pStyle w:val="ListParagraph"/>
        <w:numPr>
          <w:ilvl w:val="0"/>
          <w:numId w:val="29"/>
        </w:numPr>
        <w:spacing w:after="120"/>
        <w:ind w:left="714" w:hanging="357"/>
        <w:jc w:val="both"/>
        <w:rPr>
          <w:rFonts w:asciiTheme="majorHAnsi" w:hAnsiTheme="majorHAnsi"/>
          <w:iCs/>
          <w:sz w:val="20"/>
          <w:szCs w:val="20"/>
        </w:rPr>
      </w:pPr>
      <w:r w:rsidRPr="005722A6">
        <w:rPr>
          <w:rFonts w:asciiTheme="majorHAnsi" w:hAnsiTheme="majorHAnsi"/>
          <w:iCs/>
          <w:sz w:val="20"/>
          <w:szCs w:val="20"/>
        </w:rPr>
        <w:t>I</w:t>
      </w:r>
      <w:r w:rsidR="0013320E" w:rsidRPr="005722A6">
        <w:rPr>
          <w:rFonts w:asciiTheme="majorHAnsi" w:hAnsiTheme="majorHAnsi"/>
          <w:iCs/>
          <w:sz w:val="20"/>
          <w:szCs w:val="20"/>
        </w:rPr>
        <w:t xml:space="preserve">mplementation of best practices developed under the UNEP GEF 5 project as well as other local and regional initiatives, </w:t>
      </w:r>
      <w:r w:rsidR="00B349AC">
        <w:rPr>
          <w:rFonts w:asciiTheme="majorHAnsi" w:hAnsiTheme="majorHAnsi"/>
          <w:iCs/>
          <w:sz w:val="20"/>
          <w:szCs w:val="20"/>
        </w:rPr>
        <w:t xml:space="preserve">including: </w:t>
      </w:r>
      <w:r w:rsidR="0013320E" w:rsidRPr="005722A6">
        <w:rPr>
          <w:rFonts w:asciiTheme="majorHAnsi" w:hAnsiTheme="majorHAnsi"/>
          <w:iCs/>
          <w:sz w:val="20"/>
          <w:szCs w:val="20"/>
        </w:rPr>
        <w:t xml:space="preserve">soil and water conservation measures; improved production systems in agriculture, </w:t>
      </w:r>
      <w:r w:rsidR="00531C84" w:rsidRPr="005722A6">
        <w:rPr>
          <w:rFonts w:asciiTheme="majorHAnsi" w:hAnsiTheme="majorHAnsi"/>
          <w:iCs/>
          <w:sz w:val="20"/>
          <w:szCs w:val="20"/>
        </w:rPr>
        <w:t xml:space="preserve">organic agriculture, </w:t>
      </w:r>
      <w:r w:rsidR="00B349AC" w:rsidRPr="005722A6">
        <w:rPr>
          <w:rFonts w:asciiTheme="majorHAnsi" w:hAnsiTheme="majorHAnsi"/>
          <w:iCs/>
          <w:sz w:val="20"/>
          <w:szCs w:val="20"/>
        </w:rPr>
        <w:t>agro-forestry</w:t>
      </w:r>
      <w:r w:rsidR="00B349AC">
        <w:rPr>
          <w:rFonts w:asciiTheme="majorHAnsi" w:hAnsiTheme="majorHAnsi"/>
          <w:iCs/>
          <w:sz w:val="20"/>
          <w:szCs w:val="20"/>
        </w:rPr>
        <w:t>,</w:t>
      </w:r>
      <w:r w:rsidR="00B349AC" w:rsidRPr="005722A6">
        <w:rPr>
          <w:rFonts w:asciiTheme="majorHAnsi" w:hAnsiTheme="majorHAnsi"/>
          <w:iCs/>
          <w:sz w:val="20"/>
          <w:szCs w:val="20"/>
        </w:rPr>
        <w:t xml:space="preserve"> </w:t>
      </w:r>
      <w:r w:rsidR="0013320E" w:rsidRPr="005722A6">
        <w:rPr>
          <w:rFonts w:asciiTheme="majorHAnsi" w:hAnsiTheme="majorHAnsi"/>
          <w:iCs/>
          <w:sz w:val="20"/>
          <w:szCs w:val="20"/>
        </w:rPr>
        <w:t>forestry and fisheries; improved livestock management systems</w:t>
      </w:r>
      <w:r w:rsidR="00B349AC">
        <w:rPr>
          <w:rFonts w:asciiTheme="majorHAnsi" w:hAnsiTheme="majorHAnsi"/>
          <w:iCs/>
          <w:sz w:val="20"/>
          <w:szCs w:val="20"/>
        </w:rPr>
        <w:t>;</w:t>
      </w:r>
      <w:r w:rsidR="0013320E" w:rsidRPr="005722A6">
        <w:rPr>
          <w:rFonts w:asciiTheme="majorHAnsi" w:hAnsiTheme="majorHAnsi"/>
          <w:iCs/>
          <w:sz w:val="20"/>
          <w:szCs w:val="20"/>
        </w:rPr>
        <w:t xml:space="preserve"> </w:t>
      </w:r>
      <w:r w:rsidR="00B349AC">
        <w:rPr>
          <w:rFonts w:asciiTheme="majorHAnsi" w:hAnsiTheme="majorHAnsi"/>
          <w:iCs/>
          <w:sz w:val="20"/>
          <w:szCs w:val="20"/>
        </w:rPr>
        <w:t xml:space="preserve">and fire, </w:t>
      </w:r>
      <w:r w:rsidR="0013320E" w:rsidRPr="005722A6">
        <w:rPr>
          <w:rFonts w:asciiTheme="majorHAnsi" w:hAnsiTheme="majorHAnsi"/>
          <w:iCs/>
          <w:sz w:val="20"/>
          <w:szCs w:val="20"/>
        </w:rPr>
        <w:t>I</w:t>
      </w:r>
      <w:r w:rsidR="00373429">
        <w:rPr>
          <w:rFonts w:asciiTheme="majorHAnsi" w:hAnsiTheme="majorHAnsi"/>
          <w:iCs/>
          <w:sz w:val="20"/>
          <w:szCs w:val="20"/>
        </w:rPr>
        <w:t>ntegrated Pest Management (I</w:t>
      </w:r>
      <w:r w:rsidR="0013320E" w:rsidRPr="005722A6">
        <w:rPr>
          <w:rFonts w:asciiTheme="majorHAnsi" w:hAnsiTheme="majorHAnsi"/>
          <w:iCs/>
          <w:sz w:val="20"/>
          <w:szCs w:val="20"/>
        </w:rPr>
        <w:t>PM</w:t>
      </w:r>
      <w:r w:rsidR="00373429">
        <w:rPr>
          <w:rFonts w:asciiTheme="majorHAnsi" w:hAnsiTheme="majorHAnsi"/>
          <w:iCs/>
          <w:sz w:val="20"/>
          <w:szCs w:val="20"/>
        </w:rPr>
        <w:t>)</w:t>
      </w:r>
      <w:r w:rsidR="0013320E" w:rsidRPr="005722A6">
        <w:rPr>
          <w:rFonts w:asciiTheme="majorHAnsi" w:hAnsiTheme="majorHAnsi"/>
          <w:iCs/>
          <w:sz w:val="20"/>
          <w:szCs w:val="20"/>
        </w:rPr>
        <w:t xml:space="preserve"> and IAS management</w:t>
      </w:r>
      <w:r w:rsidR="00B349AC">
        <w:rPr>
          <w:rFonts w:asciiTheme="majorHAnsi" w:hAnsiTheme="majorHAnsi"/>
          <w:iCs/>
          <w:sz w:val="20"/>
          <w:szCs w:val="20"/>
        </w:rPr>
        <w:t>.</w:t>
      </w:r>
    </w:p>
    <w:p w14:paraId="389A8BE3" w14:textId="63248B36" w:rsidR="00410544" w:rsidRPr="00B349AC" w:rsidRDefault="00410544" w:rsidP="00B349AC">
      <w:pPr>
        <w:rPr>
          <w:rFonts w:asciiTheme="majorHAnsi" w:hAnsiTheme="majorHAnsi"/>
          <w:iCs/>
          <w:sz w:val="20"/>
          <w:szCs w:val="20"/>
        </w:rPr>
      </w:pPr>
      <w:r w:rsidRPr="00B349AC">
        <w:rPr>
          <w:rFonts w:asciiTheme="majorHAnsi" w:hAnsiTheme="majorHAnsi"/>
          <w:iCs/>
          <w:sz w:val="20"/>
          <w:szCs w:val="20"/>
        </w:rPr>
        <w:t xml:space="preserve">Grant allocation </w:t>
      </w:r>
      <w:r w:rsidR="00E23DD2" w:rsidRPr="00B349AC">
        <w:rPr>
          <w:rFonts w:asciiTheme="majorHAnsi" w:hAnsiTheme="majorHAnsi"/>
          <w:iCs/>
          <w:sz w:val="20"/>
          <w:szCs w:val="20"/>
        </w:rPr>
        <w:t xml:space="preserve">and fund transfer mechanisms </w:t>
      </w:r>
      <w:r w:rsidRPr="00B349AC">
        <w:rPr>
          <w:rFonts w:asciiTheme="majorHAnsi" w:hAnsiTheme="majorHAnsi"/>
          <w:iCs/>
          <w:sz w:val="20"/>
          <w:szCs w:val="20"/>
        </w:rPr>
        <w:t xml:space="preserve">for plan implementation will be determined in consultation with the </w:t>
      </w:r>
      <w:r w:rsidR="0013320E" w:rsidRPr="00B349AC">
        <w:rPr>
          <w:rFonts w:asciiTheme="majorHAnsi" w:hAnsiTheme="majorHAnsi"/>
          <w:iCs/>
          <w:sz w:val="20"/>
          <w:szCs w:val="20"/>
        </w:rPr>
        <w:t xml:space="preserve">state </w:t>
      </w:r>
      <w:r w:rsidRPr="00B349AC">
        <w:rPr>
          <w:rFonts w:asciiTheme="majorHAnsi" w:hAnsiTheme="majorHAnsi"/>
          <w:iCs/>
          <w:sz w:val="20"/>
          <w:szCs w:val="20"/>
        </w:rPr>
        <w:t>planning teams</w:t>
      </w:r>
      <w:r w:rsidR="00B349AC" w:rsidRPr="00B349AC">
        <w:rPr>
          <w:rFonts w:asciiTheme="majorHAnsi" w:hAnsiTheme="majorHAnsi"/>
          <w:iCs/>
          <w:sz w:val="20"/>
          <w:szCs w:val="20"/>
        </w:rPr>
        <w:t>,</w:t>
      </w:r>
      <w:r w:rsidRPr="00B349AC">
        <w:rPr>
          <w:rFonts w:asciiTheme="majorHAnsi" w:hAnsiTheme="majorHAnsi"/>
          <w:iCs/>
          <w:sz w:val="20"/>
          <w:szCs w:val="20"/>
        </w:rPr>
        <w:t xml:space="preserve"> based on level of socio-economic vulnerability, number of households participating, extent of degradation of agriculture and forest and marine assets. </w:t>
      </w:r>
    </w:p>
    <w:p w14:paraId="175F4512" w14:textId="2A51E1CF" w:rsidR="000814A4" w:rsidRDefault="00410544" w:rsidP="007A1BA8">
      <w:pPr>
        <w:rPr>
          <w:rFonts w:asciiTheme="majorHAnsi" w:hAnsiTheme="majorHAnsi"/>
          <w:sz w:val="20"/>
          <w:szCs w:val="20"/>
        </w:rPr>
      </w:pPr>
      <w:r w:rsidRPr="005722A6">
        <w:rPr>
          <w:rFonts w:asciiTheme="majorHAnsi" w:hAnsiTheme="majorHAnsi"/>
          <w:iCs/>
          <w:sz w:val="20"/>
          <w:szCs w:val="20"/>
        </w:rPr>
        <w:t>The GEF project w</w:t>
      </w:r>
      <w:r w:rsidR="001B2292">
        <w:rPr>
          <w:rFonts w:asciiTheme="majorHAnsi" w:hAnsiTheme="majorHAnsi"/>
          <w:iCs/>
          <w:sz w:val="20"/>
          <w:szCs w:val="20"/>
        </w:rPr>
        <w:t>ill</w:t>
      </w:r>
      <w:r w:rsidRPr="005722A6">
        <w:rPr>
          <w:rFonts w:asciiTheme="majorHAnsi" w:hAnsiTheme="majorHAnsi"/>
          <w:iCs/>
          <w:sz w:val="20"/>
          <w:szCs w:val="20"/>
        </w:rPr>
        <w:t xml:space="preserve"> support </w:t>
      </w:r>
      <w:r w:rsidR="0013320E" w:rsidRPr="005722A6">
        <w:rPr>
          <w:rFonts w:asciiTheme="majorHAnsi" w:hAnsiTheme="majorHAnsi"/>
          <w:iCs/>
          <w:sz w:val="20"/>
          <w:szCs w:val="20"/>
        </w:rPr>
        <w:t xml:space="preserve">state </w:t>
      </w:r>
      <w:r w:rsidRPr="005722A6">
        <w:rPr>
          <w:rFonts w:asciiTheme="majorHAnsi" w:hAnsiTheme="majorHAnsi"/>
          <w:iCs/>
          <w:sz w:val="20"/>
          <w:szCs w:val="20"/>
        </w:rPr>
        <w:t xml:space="preserve">planning teams </w:t>
      </w:r>
      <w:r w:rsidR="00E23DD2">
        <w:rPr>
          <w:rFonts w:asciiTheme="majorHAnsi" w:hAnsiTheme="majorHAnsi"/>
          <w:iCs/>
          <w:sz w:val="20"/>
          <w:szCs w:val="20"/>
        </w:rPr>
        <w:t>p</w:t>
      </w:r>
      <w:r w:rsidR="001B2292">
        <w:rPr>
          <w:rFonts w:asciiTheme="majorHAnsi" w:hAnsiTheme="majorHAnsi"/>
          <w:iCs/>
          <w:sz w:val="20"/>
          <w:szCs w:val="20"/>
        </w:rPr>
        <w:t>repare</w:t>
      </w:r>
      <w:r w:rsidR="00E23DD2">
        <w:rPr>
          <w:rFonts w:asciiTheme="majorHAnsi" w:hAnsiTheme="majorHAnsi"/>
          <w:iCs/>
          <w:sz w:val="20"/>
          <w:szCs w:val="20"/>
        </w:rPr>
        <w:t xml:space="preserve"> and </w:t>
      </w:r>
      <w:r w:rsidRPr="005722A6">
        <w:rPr>
          <w:rFonts w:asciiTheme="majorHAnsi" w:hAnsiTheme="majorHAnsi"/>
          <w:iCs/>
          <w:sz w:val="20"/>
          <w:szCs w:val="20"/>
        </w:rPr>
        <w:t xml:space="preserve">implement </w:t>
      </w:r>
      <w:r w:rsidR="001B2292">
        <w:rPr>
          <w:rFonts w:asciiTheme="majorHAnsi" w:hAnsiTheme="majorHAnsi"/>
          <w:iCs/>
          <w:sz w:val="20"/>
          <w:szCs w:val="20"/>
        </w:rPr>
        <w:t>I</w:t>
      </w:r>
      <w:r w:rsidR="00ED47AC">
        <w:rPr>
          <w:rFonts w:asciiTheme="majorHAnsi" w:hAnsiTheme="majorHAnsi"/>
          <w:iCs/>
          <w:sz w:val="20"/>
          <w:szCs w:val="20"/>
        </w:rPr>
        <w:t>L</w:t>
      </w:r>
      <w:r w:rsidR="00E23DD2">
        <w:rPr>
          <w:rFonts w:asciiTheme="majorHAnsi" w:hAnsiTheme="majorHAnsi"/>
          <w:iCs/>
          <w:sz w:val="20"/>
          <w:szCs w:val="20"/>
        </w:rPr>
        <w:t>SMPs</w:t>
      </w:r>
      <w:r w:rsidRPr="005722A6">
        <w:rPr>
          <w:rFonts w:asciiTheme="majorHAnsi" w:hAnsiTheme="majorHAnsi"/>
          <w:iCs/>
          <w:sz w:val="20"/>
          <w:szCs w:val="20"/>
        </w:rPr>
        <w:t xml:space="preserve">. </w:t>
      </w:r>
      <w:r w:rsidRPr="00F55DCF">
        <w:rPr>
          <w:rFonts w:asciiTheme="majorHAnsi" w:hAnsiTheme="majorHAnsi"/>
          <w:iCs/>
          <w:sz w:val="20"/>
          <w:szCs w:val="20"/>
        </w:rPr>
        <w:t xml:space="preserve">About </w:t>
      </w:r>
      <w:r w:rsidR="00174354" w:rsidRPr="00F55DCF">
        <w:rPr>
          <w:rFonts w:asciiTheme="majorHAnsi" w:hAnsiTheme="majorHAnsi"/>
          <w:iCs/>
          <w:sz w:val="20"/>
          <w:szCs w:val="20"/>
        </w:rPr>
        <w:t xml:space="preserve">125 </w:t>
      </w:r>
      <w:r w:rsidR="00C22D0C" w:rsidRPr="00F55DCF">
        <w:rPr>
          <w:rFonts w:asciiTheme="majorHAnsi" w:hAnsiTheme="majorHAnsi"/>
          <w:iCs/>
          <w:sz w:val="20"/>
          <w:szCs w:val="20"/>
        </w:rPr>
        <w:t>additional</w:t>
      </w:r>
      <w:r w:rsidR="00C22D0C" w:rsidRPr="00F55DCF">
        <w:rPr>
          <w:rStyle w:val="FootnoteReference"/>
          <w:rFonts w:asciiTheme="majorHAnsi" w:hAnsiTheme="majorHAnsi"/>
          <w:iCs/>
          <w:sz w:val="20"/>
          <w:szCs w:val="20"/>
        </w:rPr>
        <w:footnoteReference w:id="11"/>
      </w:r>
      <w:r w:rsidR="00C22D0C" w:rsidRPr="00F55DCF">
        <w:rPr>
          <w:rFonts w:asciiTheme="majorHAnsi" w:hAnsiTheme="majorHAnsi"/>
          <w:iCs/>
          <w:sz w:val="20"/>
          <w:szCs w:val="20"/>
        </w:rPr>
        <w:t xml:space="preserve"> </w:t>
      </w:r>
      <w:r w:rsidRPr="00F55DCF">
        <w:rPr>
          <w:rFonts w:asciiTheme="majorHAnsi" w:hAnsiTheme="majorHAnsi"/>
          <w:iCs/>
          <w:sz w:val="20"/>
          <w:szCs w:val="20"/>
        </w:rPr>
        <w:t>households</w:t>
      </w:r>
      <w:r w:rsidR="00ED3B3E" w:rsidRPr="00F55DCF">
        <w:rPr>
          <w:rFonts w:asciiTheme="majorHAnsi" w:hAnsiTheme="majorHAnsi"/>
          <w:iCs/>
          <w:sz w:val="20"/>
          <w:szCs w:val="20"/>
        </w:rPr>
        <w:t xml:space="preserve"> (</w:t>
      </w:r>
      <w:r w:rsidR="00E23DD2">
        <w:rPr>
          <w:rFonts w:asciiTheme="majorHAnsi" w:hAnsiTheme="majorHAnsi"/>
          <w:iCs/>
          <w:sz w:val="20"/>
          <w:szCs w:val="20"/>
        </w:rPr>
        <w:t xml:space="preserve">additional </w:t>
      </w:r>
      <w:r w:rsidR="00DF29AB" w:rsidRPr="00F55DCF">
        <w:rPr>
          <w:rFonts w:asciiTheme="majorHAnsi" w:hAnsiTheme="majorHAnsi"/>
          <w:iCs/>
          <w:sz w:val="20"/>
          <w:szCs w:val="20"/>
        </w:rPr>
        <w:t>16</w:t>
      </w:r>
      <w:r w:rsidR="00ED3B3E" w:rsidRPr="00F55DCF">
        <w:rPr>
          <w:rFonts w:asciiTheme="majorHAnsi" w:hAnsiTheme="majorHAnsi"/>
          <w:iCs/>
          <w:sz w:val="20"/>
          <w:szCs w:val="20"/>
        </w:rPr>
        <w:t xml:space="preserve">% of </w:t>
      </w:r>
      <w:r w:rsidR="00ED47AC">
        <w:rPr>
          <w:rFonts w:asciiTheme="majorHAnsi" w:hAnsiTheme="majorHAnsi"/>
          <w:iCs/>
          <w:sz w:val="20"/>
          <w:szCs w:val="20"/>
        </w:rPr>
        <w:t>HHs</w:t>
      </w:r>
      <w:r w:rsidR="00ED3B3E" w:rsidRPr="00F55DCF">
        <w:rPr>
          <w:rFonts w:asciiTheme="majorHAnsi" w:hAnsiTheme="majorHAnsi"/>
          <w:iCs/>
          <w:sz w:val="20"/>
          <w:szCs w:val="20"/>
        </w:rPr>
        <w:t xml:space="preserve"> in the 7 targeted states)</w:t>
      </w:r>
      <w:r w:rsidR="00DF29AB" w:rsidRPr="00F55DCF">
        <w:rPr>
          <w:rStyle w:val="FootnoteReference"/>
          <w:rFonts w:asciiTheme="majorHAnsi" w:hAnsiTheme="majorHAnsi"/>
          <w:iCs/>
          <w:sz w:val="20"/>
          <w:szCs w:val="20"/>
        </w:rPr>
        <w:footnoteReference w:id="12"/>
      </w:r>
      <w:r w:rsidR="001B2292">
        <w:rPr>
          <w:rFonts w:asciiTheme="majorHAnsi" w:hAnsiTheme="majorHAnsi"/>
          <w:iCs/>
          <w:sz w:val="20"/>
          <w:szCs w:val="20"/>
        </w:rPr>
        <w:t>,</w:t>
      </w:r>
      <w:r w:rsidRPr="005722A6">
        <w:rPr>
          <w:rFonts w:asciiTheme="majorHAnsi" w:hAnsiTheme="majorHAnsi"/>
          <w:b/>
          <w:iCs/>
          <w:sz w:val="20"/>
          <w:szCs w:val="20"/>
        </w:rPr>
        <w:t xml:space="preserve"> </w:t>
      </w:r>
      <w:r w:rsidR="00833EB7" w:rsidRPr="00833EB7">
        <w:rPr>
          <w:rFonts w:asciiTheme="majorHAnsi" w:hAnsiTheme="majorHAnsi"/>
          <w:iCs/>
          <w:sz w:val="20"/>
          <w:szCs w:val="20"/>
        </w:rPr>
        <w:t>as well as the 300 households already practicing some form of sustainable resource use or best practices</w:t>
      </w:r>
      <w:r w:rsidR="001B2292">
        <w:rPr>
          <w:rFonts w:asciiTheme="majorHAnsi" w:hAnsiTheme="majorHAnsi"/>
          <w:iCs/>
          <w:sz w:val="20"/>
          <w:szCs w:val="20"/>
        </w:rPr>
        <w:t>,</w:t>
      </w:r>
      <w:r w:rsidR="00833EB7">
        <w:rPr>
          <w:rFonts w:asciiTheme="majorHAnsi" w:hAnsiTheme="majorHAnsi"/>
          <w:b/>
          <w:iCs/>
          <w:sz w:val="20"/>
          <w:szCs w:val="20"/>
        </w:rPr>
        <w:t xml:space="preserve"> </w:t>
      </w:r>
      <w:r w:rsidRPr="005722A6">
        <w:rPr>
          <w:rFonts w:asciiTheme="majorHAnsi" w:hAnsiTheme="majorHAnsi"/>
          <w:iCs/>
          <w:sz w:val="20"/>
          <w:szCs w:val="20"/>
        </w:rPr>
        <w:t>will directly benefit from on-the-ground training</w:t>
      </w:r>
      <w:r w:rsidR="00ED3B3E" w:rsidRPr="005722A6">
        <w:rPr>
          <w:rFonts w:asciiTheme="majorHAnsi" w:hAnsiTheme="majorHAnsi"/>
          <w:iCs/>
          <w:sz w:val="20"/>
          <w:szCs w:val="20"/>
        </w:rPr>
        <w:t>, planning, and/</w:t>
      </w:r>
      <w:r w:rsidR="00ED47AC">
        <w:rPr>
          <w:rFonts w:asciiTheme="majorHAnsi" w:hAnsiTheme="majorHAnsi"/>
          <w:iCs/>
          <w:sz w:val="20"/>
          <w:szCs w:val="20"/>
        </w:rPr>
        <w:t xml:space="preserve">or </w:t>
      </w:r>
      <w:r w:rsidRPr="005722A6">
        <w:rPr>
          <w:rFonts w:asciiTheme="majorHAnsi" w:hAnsiTheme="majorHAnsi"/>
          <w:iCs/>
          <w:sz w:val="20"/>
          <w:szCs w:val="20"/>
        </w:rPr>
        <w:t xml:space="preserve">grant funding </w:t>
      </w:r>
      <w:r w:rsidR="00ED47AC">
        <w:rPr>
          <w:rFonts w:asciiTheme="majorHAnsi" w:hAnsiTheme="majorHAnsi"/>
          <w:iCs/>
          <w:sz w:val="20"/>
          <w:szCs w:val="20"/>
        </w:rPr>
        <w:t>to</w:t>
      </w:r>
      <w:r w:rsidRPr="005722A6">
        <w:rPr>
          <w:rFonts w:asciiTheme="majorHAnsi" w:hAnsiTheme="majorHAnsi"/>
          <w:iCs/>
          <w:sz w:val="20"/>
          <w:szCs w:val="20"/>
        </w:rPr>
        <w:t xml:space="preserve"> implement plan activities.</w:t>
      </w:r>
      <w:r w:rsidR="00ED3B3E" w:rsidRPr="005722A6">
        <w:rPr>
          <w:rFonts w:asciiTheme="majorHAnsi" w:hAnsiTheme="majorHAnsi"/>
          <w:iCs/>
          <w:sz w:val="20"/>
          <w:szCs w:val="20"/>
        </w:rPr>
        <w:t xml:space="preserve"> Many more households will benefit from </w:t>
      </w:r>
      <w:r w:rsidRPr="005722A6">
        <w:rPr>
          <w:rFonts w:asciiTheme="majorHAnsi" w:hAnsiTheme="majorHAnsi"/>
          <w:sz w:val="20"/>
          <w:szCs w:val="20"/>
        </w:rPr>
        <w:t>t</w:t>
      </w:r>
      <w:r w:rsidR="00ED47AC">
        <w:rPr>
          <w:rFonts w:asciiTheme="majorHAnsi" w:hAnsiTheme="majorHAnsi"/>
          <w:sz w:val="20"/>
          <w:szCs w:val="20"/>
        </w:rPr>
        <w:t>raining</w:t>
      </w:r>
      <w:r w:rsidRPr="005722A6">
        <w:rPr>
          <w:rFonts w:asciiTheme="majorHAnsi" w:hAnsiTheme="majorHAnsi"/>
          <w:sz w:val="20"/>
          <w:szCs w:val="20"/>
        </w:rPr>
        <w:t xml:space="preserve"> programs to assist </w:t>
      </w:r>
      <w:r w:rsidR="007A1BA8" w:rsidRPr="005722A6">
        <w:rPr>
          <w:rFonts w:asciiTheme="majorHAnsi" w:hAnsiTheme="majorHAnsi"/>
          <w:sz w:val="20"/>
          <w:szCs w:val="20"/>
        </w:rPr>
        <w:t>communities to utilize</w:t>
      </w:r>
      <w:r w:rsidR="00ED3B3E" w:rsidRPr="005722A6">
        <w:rPr>
          <w:rFonts w:asciiTheme="majorHAnsi" w:hAnsiTheme="majorHAnsi"/>
          <w:sz w:val="20"/>
          <w:szCs w:val="20"/>
        </w:rPr>
        <w:t xml:space="preserve"> </w:t>
      </w:r>
      <w:r w:rsidR="007A1BA8" w:rsidRPr="005722A6">
        <w:rPr>
          <w:rFonts w:asciiTheme="majorHAnsi" w:hAnsiTheme="majorHAnsi"/>
          <w:sz w:val="20"/>
          <w:szCs w:val="20"/>
        </w:rPr>
        <w:t>native species for landscap</w:t>
      </w:r>
      <w:r w:rsidR="00ED47AC">
        <w:rPr>
          <w:rFonts w:asciiTheme="majorHAnsi" w:hAnsiTheme="majorHAnsi"/>
          <w:sz w:val="20"/>
          <w:szCs w:val="20"/>
        </w:rPr>
        <w:t>ing</w:t>
      </w:r>
      <w:r w:rsidR="007A1BA8" w:rsidRPr="005722A6">
        <w:rPr>
          <w:rFonts w:asciiTheme="majorHAnsi" w:hAnsiTheme="majorHAnsi"/>
          <w:sz w:val="20"/>
          <w:szCs w:val="20"/>
        </w:rPr>
        <w:t>, forestry and agricultural p</w:t>
      </w:r>
      <w:r w:rsidR="00ED47AC">
        <w:rPr>
          <w:rFonts w:asciiTheme="majorHAnsi" w:hAnsiTheme="majorHAnsi"/>
          <w:sz w:val="20"/>
          <w:szCs w:val="20"/>
        </w:rPr>
        <w:t>urposes</w:t>
      </w:r>
      <w:r w:rsidR="00ED3B3E" w:rsidRPr="005722A6">
        <w:rPr>
          <w:rFonts w:asciiTheme="majorHAnsi" w:hAnsiTheme="majorHAnsi"/>
          <w:sz w:val="20"/>
          <w:szCs w:val="20"/>
        </w:rPr>
        <w:t>.</w:t>
      </w:r>
    </w:p>
    <w:p w14:paraId="5692651D" w14:textId="6E343AC4" w:rsidR="00ED3B3E" w:rsidRDefault="00ED3B3E" w:rsidP="007A1BA8">
      <w:pPr>
        <w:rPr>
          <w:rFonts w:asciiTheme="majorHAnsi" w:hAnsiTheme="majorHAnsi"/>
          <w:sz w:val="20"/>
          <w:szCs w:val="20"/>
        </w:rPr>
      </w:pPr>
    </w:p>
    <w:p w14:paraId="0D8C6A40" w14:textId="1C0BFBC6" w:rsidR="00442CCE" w:rsidRDefault="00442CCE" w:rsidP="00442CCE">
      <w:pPr>
        <w:rPr>
          <w:b/>
          <w:sz w:val="20"/>
          <w:szCs w:val="20"/>
        </w:rPr>
      </w:pPr>
      <w:r w:rsidRPr="00442CCE">
        <w:rPr>
          <w:b/>
          <w:sz w:val="20"/>
          <w:szCs w:val="20"/>
        </w:rPr>
        <w:t xml:space="preserve">Component </w:t>
      </w:r>
      <w:r w:rsidR="00DA3D06">
        <w:rPr>
          <w:b/>
          <w:sz w:val="20"/>
          <w:szCs w:val="20"/>
        </w:rPr>
        <w:t>3</w:t>
      </w:r>
      <w:r>
        <w:rPr>
          <w:b/>
          <w:sz w:val="20"/>
          <w:szCs w:val="20"/>
        </w:rPr>
        <w:t>:</w:t>
      </w:r>
      <w:r w:rsidRPr="00442CCE">
        <w:rPr>
          <w:b/>
          <w:sz w:val="20"/>
          <w:szCs w:val="20"/>
        </w:rPr>
        <w:t xml:space="preserve"> </w:t>
      </w:r>
      <w:r w:rsidR="00DA3D06" w:rsidRPr="00DA3D06">
        <w:rPr>
          <w:b/>
          <w:sz w:val="20"/>
          <w:szCs w:val="20"/>
        </w:rPr>
        <w:t>Integrated multi-sector spatial zoning, planning and management in the Southern Lagoon states of Koror and Peleliu</w:t>
      </w:r>
    </w:p>
    <w:p w14:paraId="5ED4D351" w14:textId="1FAE5A85" w:rsidR="00442CCE" w:rsidRPr="00256B06" w:rsidRDefault="00442CCE" w:rsidP="00442CCE">
      <w:pPr>
        <w:spacing w:after="240"/>
        <w:rPr>
          <w:rFonts w:cs="Segoe UI"/>
          <w:color w:val="000000"/>
          <w:sz w:val="20"/>
          <w:szCs w:val="20"/>
        </w:rPr>
      </w:pPr>
      <w:r w:rsidRPr="00256B06">
        <w:rPr>
          <w:rFonts w:cstheme="minorBidi"/>
          <w:color w:val="000000" w:themeColor="text1"/>
          <w:sz w:val="20"/>
          <w:szCs w:val="20"/>
        </w:rPr>
        <w:t>Total Cost: US$</w:t>
      </w:r>
      <w:r w:rsidR="00F01DC8">
        <w:rPr>
          <w:rFonts w:cstheme="minorBidi"/>
          <w:color w:val="000000" w:themeColor="text1"/>
          <w:sz w:val="20"/>
          <w:szCs w:val="20"/>
        </w:rPr>
        <w:t>8,355,000</w:t>
      </w:r>
      <w:r w:rsidRPr="00256B06">
        <w:rPr>
          <w:rFonts w:cstheme="minorBidi"/>
          <w:color w:val="000000" w:themeColor="text1"/>
          <w:sz w:val="20"/>
          <w:szCs w:val="20"/>
        </w:rPr>
        <w:t>; GEF project grant requested: US$</w:t>
      </w:r>
      <w:r w:rsidR="00F01DC8">
        <w:rPr>
          <w:rFonts w:cstheme="minorBidi"/>
          <w:color w:val="000000" w:themeColor="text1"/>
          <w:sz w:val="20"/>
          <w:szCs w:val="20"/>
        </w:rPr>
        <w:t>960,000</w:t>
      </w:r>
      <w:r w:rsidRPr="00256B06">
        <w:rPr>
          <w:rFonts w:cstheme="minorBidi"/>
          <w:color w:val="000000" w:themeColor="text1"/>
          <w:sz w:val="20"/>
          <w:szCs w:val="20"/>
        </w:rPr>
        <w:t>; Co-financing: US$</w:t>
      </w:r>
      <w:r w:rsidR="00F01DC8">
        <w:rPr>
          <w:rFonts w:cstheme="minorBidi"/>
          <w:color w:val="000000" w:themeColor="text1"/>
          <w:sz w:val="20"/>
          <w:szCs w:val="20"/>
        </w:rPr>
        <w:t>7,395,000</w:t>
      </w:r>
      <w:r w:rsidRPr="00256B06">
        <w:rPr>
          <w:rFonts w:cstheme="minorBidi"/>
          <w:color w:val="000000" w:themeColor="text1"/>
          <w:sz w:val="20"/>
          <w:szCs w:val="20"/>
        </w:rPr>
        <w:t xml:space="preserve"> </w:t>
      </w:r>
    </w:p>
    <w:p w14:paraId="1E05C7ED" w14:textId="089347EA" w:rsidR="00A41D38" w:rsidRPr="005722A6" w:rsidRDefault="00B87774" w:rsidP="00A41D38">
      <w:pPr>
        <w:tabs>
          <w:tab w:val="left" w:pos="144"/>
        </w:tabs>
        <w:spacing w:after="120"/>
        <w:rPr>
          <w:rFonts w:asciiTheme="majorHAnsi" w:hAnsiTheme="majorHAnsi"/>
          <w:sz w:val="20"/>
          <w:szCs w:val="20"/>
        </w:rPr>
      </w:pPr>
      <w:r w:rsidRPr="005722A6">
        <w:rPr>
          <w:rFonts w:asciiTheme="majorHAnsi" w:hAnsiTheme="majorHAnsi"/>
          <w:b/>
          <w:i/>
          <w:sz w:val="20"/>
          <w:szCs w:val="20"/>
        </w:rPr>
        <w:t xml:space="preserve">Outcome 3: Integrated </w:t>
      </w:r>
      <w:r w:rsidR="0021132C">
        <w:rPr>
          <w:rFonts w:asciiTheme="majorHAnsi" w:hAnsiTheme="majorHAnsi"/>
          <w:b/>
          <w:i/>
          <w:sz w:val="20"/>
          <w:szCs w:val="20"/>
        </w:rPr>
        <w:t>multi-sector</w:t>
      </w:r>
      <w:r w:rsidRPr="005722A6">
        <w:rPr>
          <w:rFonts w:asciiTheme="majorHAnsi" w:hAnsiTheme="majorHAnsi"/>
          <w:b/>
          <w:i/>
          <w:sz w:val="20"/>
          <w:szCs w:val="20"/>
        </w:rPr>
        <w:t xml:space="preserve"> planning and management operational in 264,686 ha of seascapes and coastal areas in the Southern Lagoon to reduce threats to biodiversity and improve ecosystem services to benefit communities and state economies.</w:t>
      </w:r>
      <w:r w:rsidRPr="005722A6">
        <w:rPr>
          <w:rFonts w:asciiTheme="majorHAnsi" w:hAnsiTheme="majorHAnsi"/>
          <w:sz w:val="20"/>
          <w:szCs w:val="20"/>
        </w:rPr>
        <w:t xml:space="preserve"> </w:t>
      </w:r>
    </w:p>
    <w:p w14:paraId="16A0C4FA" w14:textId="153A87B2" w:rsidR="00B87774" w:rsidRPr="005722A6" w:rsidRDefault="00B87774" w:rsidP="00B87774">
      <w:pPr>
        <w:spacing w:after="120" w:line="276" w:lineRule="auto"/>
        <w:rPr>
          <w:rFonts w:asciiTheme="majorHAnsi" w:hAnsiTheme="majorHAnsi"/>
          <w:i/>
          <w:sz w:val="20"/>
          <w:szCs w:val="20"/>
        </w:rPr>
      </w:pPr>
      <w:r w:rsidRPr="005722A6">
        <w:rPr>
          <w:rFonts w:asciiTheme="majorHAnsi" w:hAnsiTheme="majorHAnsi"/>
          <w:i/>
          <w:sz w:val="20"/>
          <w:szCs w:val="20"/>
        </w:rPr>
        <w:t>Baseline conditions (without GEF project):</w:t>
      </w:r>
    </w:p>
    <w:p w14:paraId="36D93D2F" w14:textId="16330491" w:rsidR="00ED3B3E" w:rsidRPr="005722A6" w:rsidRDefault="00A41D38" w:rsidP="00791D94">
      <w:pPr>
        <w:spacing w:after="180"/>
        <w:rPr>
          <w:rFonts w:asciiTheme="majorHAnsi" w:hAnsiTheme="majorHAnsi"/>
          <w:sz w:val="20"/>
          <w:szCs w:val="20"/>
        </w:rPr>
      </w:pPr>
      <w:r w:rsidRPr="005722A6">
        <w:rPr>
          <w:rFonts w:asciiTheme="majorHAnsi" w:hAnsiTheme="majorHAnsi"/>
          <w:sz w:val="20"/>
          <w:szCs w:val="20"/>
        </w:rPr>
        <w:t>As discussed under Outcome 2, the institutional framework that currently exists will likely continue with a significant di</w:t>
      </w:r>
      <w:r w:rsidR="000814A4">
        <w:rPr>
          <w:rFonts w:asciiTheme="majorHAnsi" w:hAnsiTheme="majorHAnsi"/>
          <w:sz w:val="20"/>
          <w:szCs w:val="20"/>
        </w:rPr>
        <w:t>fference</w:t>
      </w:r>
      <w:r w:rsidRPr="005722A6">
        <w:rPr>
          <w:rFonts w:asciiTheme="majorHAnsi" w:hAnsiTheme="majorHAnsi"/>
          <w:sz w:val="20"/>
          <w:szCs w:val="20"/>
        </w:rPr>
        <w:t xml:space="preserve"> in spatial and sectoral planning </w:t>
      </w:r>
      <w:r w:rsidR="000814A4" w:rsidRPr="005722A6">
        <w:rPr>
          <w:rFonts w:asciiTheme="majorHAnsi" w:hAnsiTheme="majorHAnsi"/>
          <w:sz w:val="20"/>
          <w:szCs w:val="20"/>
        </w:rPr>
        <w:t xml:space="preserve">competencies </w:t>
      </w:r>
      <w:r w:rsidRPr="005722A6">
        <w:rPr>
          <w:rFonts w:asciiTheme="majorHAnsi" w:hAnsiTheme="majorHAnsi"/>
          <w:sz w:val="20"/>
          <w:szCs w:val="20"/>
        </w:rPr>
        <w:t>between state and national institutions.</w:t>
      </w:r>
      <w:r w:rsidR="00ED3B3E" w:rsidRPr="005722A6">
        <w:rPr>
          <w:rFonts w:asciiTheme="majorHAnsi" w:hAnsiTheme="majorHAnsi"/>
          <w:sz w:val="20"/>
          <w:szCs w:val="20"/>
        </w:rPr>
        <w:t xml:space="preserve"> There is currently little integration between Koror, Peleliu, and </w:t>
      </w:r>
      <w:r w:rsidR="000814A4">
        <w:rPr>
          <w:rFonts w:asciiTheme="majorHAnsi" w:hAnsiTheme="majorHAnsi"/>
          <w:sz w:val="20"/>
          <w:szCs w:val="20"/>
        </w:rPr>
        <w:t>n</w:t>
      </w:r>
      <w:r w:rsidR="00ED3B3E" w:rsidRPr="005722A6">
        <w:rPr>
          <w:rFonts w:asciiTheme="majorHAnsi" w:hAnsiTheme="majorHAnsi"/>
          <w:sz w:val="20"/>
          <w:szCs w:val="20"/>
        </w:rPr>
        <w:t xml:space="preserve">ational </w:t>
      </w:r>
      <w:r w:rsidR="000814A4">
        <w:rPr>
          <w:rFonts w:asciiTheme="majorHAnsi" w:hAnsiTheme="majorHAnsi"/>
          <w:sz w:val="20"/>
          <w:szCs w:val="20"/>
        </w:rPr>
        <w:t>g</w:t>
      </w:r>
      <w:r w:rsidR="00ED3B3E" w:rsidRPr="005722A6">
        <w:rPr>
          <w:rFonts w:asciiTheme="majorHAnsi" w:hAnsiTheme="majorHAnsi"/>
          <w:sz w:val="20"/>
          <w:szCs w:val="20"/>
        </w:rPr>
        <w:t>overnment in type and intensity of use of the Southern Lagoon.</w:t>
      </w:r>
    </w:p>
    <w:p w14:paraId="352FE0F4" w14:textId="467D9F65" w:rsidR="000435F9" w:rsidRPr="005722A6" w:rsidRDefault="00202250" w:rsidP="000435F9">
      <w:pPr>
        <w:spacing w:after="180"/>
        <w:rPr>
          <w:rFonts w:asciiTheme="majorHAnsi" w:hAnsiTheme="majorHAnsi"/>
          <w:sz w:val="20"/>
          <w:szCs w:val="20"/>
        </w:rPr>
      </w:pPr>
      <w:r w:rsidRPr="005722A6">
        <w:rPr>
          <w:rFonts w:asciiTheme="majorHAnsi" w:hAnsiTheme="majorHAnsi"/>
          <w:sz w:val="20"/>
          <w:szCs w:val="20"/>
        </w:rPr>
        <w:t xml:space="preserve">Koror has </w:t>
      </w:r>
      <w:r w:rsidR="00E37EBA" w:rsidRPr="005722A6">
        <w:rPr>
          <w:rFonts w:asciiTheme="majorHAnsi" w:hAnsiTheme="majorHAnsi"/>
          <w:sz w:val="20"/>
          <w:szCs w:val="20"/>
        </w:rPr>
        <w:t xml:space="preserve">zones </w:t>
      </w:r>
      <w:r w:rsidRPr="005722A6">
        <w:rPr>
          <w:rFonts w:asciiTheme="majorHAnsi" w:hAnsiTheme="majorHAnsi"/>
          <w:sz w:val="20"/>
          <w:szCs w:val="20"/>
        </w:rPr>
        <w:t xml:space="preserve">on land but </w:t>
      </w:r>
      <w:r w:rsidR="00E37EBA">
        <w:rPr>
          <w:rFonts w:asciiTheme="majorHAnsi" w:hAnsiTheme="majorHAnsi"/>
          <w:sz w:val="20"/>
          <w:szCs w:val="20"/>
        </w:rPr>
        <w:t xml:space="preserve">these </w:t>
      </w:r>
      <w:r w:rsidRPr="005722A6">
        <w:rPr>
          <w:rFonts w:asciiTheme="majorHAnsi" w:hAnsiTheme="majorHAnsi"/>
          <w:sz w:val="20"/>
          <w:szCs w:val="20"/>
        </w:rPr>
        <w:t>are technical</w:t>
      </w:r>
      <w:r w:rsidR="00E37EBA">
        <w:rPr>
          <w:rFonts w:asciiTheme="majorHAnsi" w:hAnsiTheme="majorHAnsi"/>
          <w:sz w:val="20"/>
          <w:szCs w:val="20"/>
        </w:rPr>
        <w:t>ly</w:t>
      </w:r>
      <w:r w:rsidRPr="005722A6">
        <w:rPr>
          <w:rFonts w:asciiTheme="majorHAnsi" w:hAnsiTheme="majorHAnsi"/>
          <w:sz w:val="20"/>
          <w:szCs w:val="20"/>
        </w:rPr>
        <w:t xml:space="preserve"> </w:t>
      </w:r>
      <w:r w:rsidR="00E37EBA" w:rsidRPr="005722A6">
        <w:rPr>
          <w:rFonts w:asciiTheme="majorHAnsi" w:hAnsiTheme="majorHAnsi"/>
          <w:sz w:val="20"/>
          <w:szCs w:val="20"/>
        </w:rPr>
        <w:t xml:space="preserve">inadequate </w:t>
      </w:r>
      <w:r w:rsidRPr="005722A6">
        <w:rPr>
          <w:rFonts w:asciiTheme="majorHAnsi" w:hAnsiTheme="majorHAnsi"/>
          <w:sz w:val="20"/>
          <w:szCs w:val="20"/>
        </w:rPr>
        <w:t xml:space="preserve">and </w:t>
      </w:r>
      <w:r w:rsidR="00E37EBA">
        <w:rPr>
          <w:rFonts w:asciiTheme="majorHAnsi" w:hAnsiTheme="majorHAnsi"/>
          <w:sz w:val="20"/>
          <w:szCs w:val="20"/>
        </w:rPr>
        <w:t>do</w:t>
      </w:r>
      <w:r w:rsidRPr="005722A6">
        <w:rPr>
          <w:rFonts w:asciiTheme="majorHAnsi" w:hAnsiTheme="majorHAnsi"/>
          <w:sz w:val="20"/>
          <w:szCs w:val="20"/>
        </w:rPr>
        <w:t xml:space="preserve"> not resolve legal ownership</w:t>
      </w:r>
      <w:r w:rsidR="00E37EBA" w:rsidRPr="00E37EBA">
        <w:rPr>
          <w:rFonts w:asciiTheme="majorHAnsi" w:hAnsiTheme="majorHAnsi"/>
          <w:sz w:val="20"/>
          <w:szCs w:val="20"/>
        </w:rPr>
        <w:t xml:space="preserve"> </w:t>
      </w:r>
      <w:r w:rsidR="00E37EBA" w:rsidRPr="005722A6">
        <w:rPr>
          <w:rFonts w:asciiTheme="majorHAnsi" w:hAnsiTheme="majorHAnsi"/>
          <w:sz w:val="20"/>
          <w:szCs w:val="20"/>
        </w:rPr>
        <w:t>issues</w:t>
      </w:r>
      <w:r w:rsidRPr="005722A6">
        <w:rPr>
          <w:rFonts w:asciiTheme="majorHAnsi" w:hAnsiTheme="majorHAnsi"/>
          <w:sz w:val="20"/>
          <w:szCs w:val="20"/>
        </w:rPr>
        <w:t xml:space="preserve">. </w:t>
      </w:r>
      <w:r w:rsidR="00ED3B3E" w:rsidRPr="005722A6">
        <w:rPr>
          <w:rFonts w:asciiTheme="majorHAnsi" w:hAnsiTheme="majorHAnsi"/>
          <w:sz w:val="20"/>
          <w:szCs w:val="20"/>
        </w:rPr>
        <w:t>Koror’s part of the</w:t>
      </w:r>
      <w:r w:rsidR="00791D94" w:rsidRPr="005722A6">
        <w:rPr>
          <w:rFonts w:asciiTheme="majorHAnsi" w:hAnsiTheme="majorHAnsi"/>
          <w:sz w:val="20"/>
          <w:szCs w:val="20"/>
        </w:rPr>
        <w:t xml:space="preserve"> Southern Lagoon has a </w:t>
      </w:r>
      <w:r w:rsidR="00A41D38" w:rsidRPr="005722A6">
        <w:rPr>
          <w:rFonts w:asciiTheme="majorHAnsi" w:hAnsiTheme="majorHAnsi"/>
          <w:sz w:val="20"/>
          <w:szCs w:val="20"/>
        </w:rPr>
        <w:t>multi-</w:t>
      </w:r>
      <w:r w:rsidR="00791D94" w:rsidRPr="005722A6">
        <w:rPr>
          <w:rFonts w:asciiTheme="majorHAnsi" w:hAnsiTheme="majorHAnsi"/>
          <w:sz w:val="20"/>
          <w:szCs w:val="20"/>
        </w:rPr>
        <w:t xml:space="preserve">sector </w:t>
      </w:r>
      <w:r w:rsidR="00E37EBA">
        <w:rPr>
          <w:rFonts w:asciiTheme="majorHAnsi" w:hAnsiTheme="majorHAnsi"/>
          <w:sz w:val="20"/>
          <w:szCs w:val="20"/>
        </w:rPr>
        <w:t>m</w:t>
      </w:r>
      <w:r w:rsidR="00791D94" w:rsidRPr="005722A6">
        <w:rPr>
          <w:rFonts w:asciiTheme="majorHAnsi" w:hAnsiTheme="majorHAnsi"/>
          <w:sz w:val="20"/>
          <w:szCs w:val="20"/>
        </w:rPr>
        <w:t xml:space="preserve">anagement </w:t>
      </w:r>
      <w:r w:rsidR="00E37EBA">
        <w:rPr>
          <w:rFonts w:asciiTheme="majorHAnsi" w:hAnsiTheme="majorHAnsi"/>
          <w:sz w:val="20"/>
          <w:szCs w:val="20"/>
        </w:rPr>
        <w:t>p</w:t>
      </w:r>
      <w:r w:rsidR="00791D94" w:rsidRPr="005722A6">
        <w:rPr>
          <w:rFonts w:asciiTheme="majorHAnsi" w:hAnsiTheme="majorHAnsi"/>
          <w:sz w:val="20"/>
          <w:szCs w:val="20"/>
        </w:rPr>
        <w:t>lan, the Rock Island Management</w:t>
      </w:r>
      <w:r w:rsidR="00ED3B3E" w:rsidRPr="005722A6">
        <w:rPr>
          <w:rFonts w:asciiTheme="majorHAnsi" w:hAnsiTheme="majorHAnsi"/>
          <w:sz w:val="20"/>
          <w:szCs w:val="20"/>
        </w:rPr>
        <w:t xml:space="preserve"> Area Plan (RIMA)</w:t>
      </w:r>
      <w:r w:rsidR="00E37EBA">
        <w:rPr>
          <w:rFonts w:asciiTheme="majorHAnsi" w:hAnsiTheme="majorHAnsi"/>
          <w:sz w:val="20"/>
          <w:szCs w:val="20"/>
        </w:rPr>
        <w:t>,</w:t>
      </w:r>
      <w:r w:rsidR="00791D94" w:rsidRPr="005722A6">
        <w:rPr>
          <w:rFonts w:asciiTheme="majorHAnsi" w:hAnsiTheme="majorHAnsi"/>
          <w:sz w:val="20"/>
          <w:szCs w:val="20"/>
        </w:rPr>
        <w:t xml:space="preserve"> approved in 2004</w:t>
      </w:r>
      <w:r w:rsidR="00ED3B3E" w:rsidRPr="005722A6">
        <w:rPr>
          <w:rFonts w:asciiTheme="majorHAnsi" w:hAnsiTheme="majorHAnsi"/>
          <w:sz w:val="20"/>
          <w:szCs w:val="20"/>
        </w:rPr>
        <w:t xml:space="preserve"> and </w:t>
      </w:r>
      <w:r w:rsidR="00E37EBA">
        <w:rPr>
          <w:rFonts w:asciiTheme="majorHAnsi" w:hAnsiTheme="majorHAnsi"/>
          <w:sz w:val="20"/>
          <w:szCs w:val="20"/>
        </w:rPr>
        <w:t>since</w:t>
      </w:r>
      <w:r w:rsidR="00ED3B3E" w:rsidRPr="005722A6">
        <w:rPr>
          <w:rFonts w:asciiTheme="majorHAnsi" w:hAnsiTheme="majorHAnsi"/>
          <w:sz w:val="20"/>
          <w:szCs w:val="20"/>
        </w:rPr>
        <w:t xml:space="preserve"> revised twice. It </w:t>
      </w:r>
      <w:r w:rsidR="00E37EBA">
        <w:rPr>
          <w:rFonts w:asciiTheme="majorHAnsi" w:hAnsiTheme="majorHAnsi"/>
          <w:sz w:val="20"/>
          <w:szCs w:val="20"/>
        </w:rPr>
        <w:t xml:space="preserve">has provisions for </w:t>
      </w:r>
      <w:r w:rsidR="00791D94" w:rsidRPr="005722A6">
        <w:rPr>
          <w:rFonts w:asciiTheme="majorHAnsi" w:hAnsiTheme="majorHAnsi"/>
          <w:sz w:val="20"/>
          <w:szCs w:val="20"/>
        </w:rPr>
        <w:t xml:space="preserve">biodiversity conservation, reservation of traditional values, sustainable development of subsistence and commercial fishing, tourism and recreation. </w:t>
      </w:r>
      <w:r w:rsidR="00E37EBA">
        <w:rPr>
          <w:rFonts w:asciiTheme="majorHAnsi" w:hAnsiTheme="majorHAnsi"/>
          <w:sz w:val="20"/>
          <w:szCs w:val="20"/>
        </w:rPr>
        <w:t xml:space="preserve">Six types of zone are defined, </w:t>
      </w:r>
      <w:r w:rsidR="00791D94" w:rsidRPr="005722A6">
        <w:rPr>
          <w:rFonts w:asciiTheme="majorHAnsi" w:hAnsiTheme="majorHAnsi"/>
          <w:sz w:val="20"/>
          <w:szCs w:val="20"/>
        </w:rPr>
        <w:t>relat</w:t>
      </w:r>
      <w:r w:rsidR="00E37EBA">
        <w:rPr>
          <w:rFonts w:asciiTheme="majorHAnsi" w:hAnsiTheme="majorHAnsi"/>
          <w:sz w:val="20"/>
          <w:szCs w:val="20"/>
        </w:rPr>
        <w:t>ing</w:t>
      </w:r>
      <w:r w:rsidR="00791D94" w:rsidRPr="005722A6">
        <w:rPr>
          <w:rFonts w:asciiTheme="majorHAnsi" w:hAnsiTheme="majorHAnsi"/>
          <w:sz w:val="20"/>
          <w:szCs w:val="20"/>
        </w:rPr>
        <w:t xml:space="preserve"> to marine areas and current management. </w:t>
      </w:r>
      <w:r w:rsidR="00A41D38" w:rsidRPr="005722A6">
        <w:rPr>
          <w:rFonts w:asciiTheme="majorHAnsi" w:hAnsiTheme="majorHAnsi"/>
          <w:sz w:val="20"/>
          <w:szCs w:val="20"/>
        </w:rPr>
        <w:t xml:space="preserve">However, </w:t>
      </w:r>
      <w:r w:rsidR="00E37EBA">
        <w:rPr>
          <w:rFonts w:asciiTheme="majorHAnsi" w:hAnsiTheme="majorHAnsi"/>
          <w:sz w:val="20"/>
          <w:szCs w:val="20"/>
        </w:rPr>
        <w:t xml:space="preserve">there is no effective </w:t>
      </w:r>
      <w:r w:rsidR="00791D94" w:rsidRPr="005722A6">
        <w:rPr>
          <w:rFonts w:asciiTheme="majorHAnsi" w:hAnsiTheme="majorHAnsi"/>
          <w:sz w:val="20"/>
          <w:szCs w:val="20"/>
        </w:rPr>
        <w:t>regulat</w:t>
      </w:r>
      <w:r w:rsidR="00E37EBA">
        <w:rPr>
          <w:rFonts w:asciiTheme="majorHAnsi" w:hAnsiTheme="majorHAnsi"/>
          <w:sz w:val="20"/>
          <w:szCs w:val="20"/>
        </w:rPr>
        <w:t>ion of</w:t>
      </w:r>
      <w:r w:rsidR="00791D94" w:rsidRPr="005722A6">
        <w:rPr>
          <w:rFonts w:asciiTheme="majorHAnsi" w:hAnsiTheme="majorHAnsi"/>
          <w:sz w:val="20"/>
          <w:szCs w:val="20"/>
        </w:rPr>
        <w:t xml:space="preserve"> development initiatives, </w:t>
      </w:r>
      <w:r w:rsidR="00E37EBA">
        <w:rPr>
          <w:rFonts w:asciiTheme="majorHAnsi" w:hAnsiTheme="majorHAnsi"/>
          <w:sz w:val="20"/>
          <w:szCs w:val="20"/>
        </w:rPr>
        <w:t xml:space="preserve">change in land use </w:t>
      </w:r>
      <w:r w:rsidR="00035536">
        <w:rPr>
          <w:rFonts w:asciiTheme="majorHAnsi" w:hAnsiTheme="majorHAnsi"/>
          <w:sz w:val="20"/>
          <w:szCs w:val="20"/>
        </w:rPr>
        <w:t xml:space="preserve">or </w:t>
      </w:r>
      <w:r w:rsidR="00791D94" w:rsidRPr="005722A6">
        <w:rPr>
          <w:rFonts w:asciiTheme="majorHAnsi" w:hAnsiTheme="majorHAnsi"/>
          <w:sz w:val="20"/>
          <w:szCs w:val="20"/>
        </w:rPr>
        <w:t>physical transformation of marine and terrestrial environments</w:t>
      </w:r>
      <w:r w:rsidR="00A41D38" w:rsidRPr="005722A6">
        <w:rPr>
          <w:rFonts w:asciiTheme="majorHAnsi" w:hAnsiTheme="majorHAnsi"/>
          <w:sz w:val="20"/>
          <w:szCs w:val="20"/>
        </w:rPr>
        <w:t xml:space="preserve">. </w:t>
      </w:r>
      <w:r w:rsidRPr="005722A6">
        <w:rPr>
          <w:rFonts w:asciiTheme="majorHAnsi" w:hAnsiTheme="majorHAnsi"/>
          <w:sz w:val="20"/>
          <w:szCs w:val="20"/>
        </w:rPr>
        <w:lastRenderedPageBreak/>
        <w:t xml:space="preserve">Koror faces the risk of increased overuse beyond the carrying capacity of </w:t>
      </w:r>
      <w:r w:rsidR="00035536">
        <w:rPr>
          <w:rFonts w:asciiTheme="majorHAnsi" w:hAnsiTheme="majorHAnsi"/>
          <w:sz w:val="20"/>
          <w:szCs w:val="20"/>
        </w:rPr>
        <w:t xml:space="preserve">marine </w:t>
      </w:r>
      <w:r w:rsidRPr="005722A6">
        <w:rPr>
          <w:rFonts w:asciiTheme="majorHAnsi" w:hAnsiTheme="majorHAnsi"/>
          <w:sz w:val="20"/>
          <w:szCs w:val="20"/>
        </w:rPr>
        <w:t>sites, in addition to adding stresses on land.</w:t>
      </w:r>
      <w:r w:rsidR="00791D94" w:rsidRPr="005722A6">
        <w:rPr>
          <w:rFonts w:asciiTheme="majorHAnsi" w:hAnsiTheme="majorHAnsi"/>
          <w:sz w:val="20"/>
          <w:szCs w:val="20"/>
        </w:rPr>
        <w:t xml:space="preserve"> </w:t>
      </w:r>
    </w:p>
    <w:p w14:paraId="24AE14CE" w14:textId="5404257A" w:rsidR="00B87774" w:rsidRPr="005722A6" w:rsidRDefault="00AD779E" w:rsidP="00B87774">
      <w:pPr>
        <w:spacing w:after="180"/>
        <w:rPr>
          <w:rFonts w:asciiTheme="majorHAnsi" w:hAnsiTheme="majorHAnsi"/>
          <w:sz w:val="20"/>
          <w:szCs w:val="20"/>
        </w:rPr>
      </w:pPr>
      <w:r w:rsidRPr="005722A6">
        <w:rPr>
          <w:rFonts w:asciiTheme="majorHAnsi" w:hAnsiTheme="majorHAnsi"/>
          <w:sz w:val="20"/>
          <w:szCs w:val="20"/>
        </w:rPr>
        <w:t xml:space="preserve">While, tourism and related development initiatives will continue to increase in the Southern Lagoon with positive consequences in terms of </w:t>
      </w:r>
      <w:r w:rsidR="00035536">
        <w:rPr>
          <w:rFonts w:asciiTheme="majorHAnsi" w:hAnsiTheme="majorHAnsi"/>
          <w:sz w:val="20"/>
          <w:szCs w:val="20"/>
        </w:rPr>
        <w:t xml:space="preserve">its </w:t>
      </w:r>
      <w:r w:rsidRPr="005722A6">
        <w:rPr>
          <w:rFonts w:asciiTheme="majorHAnsi" w:hAnsiTheme="majorHAnsi"/>
          <w:sz w:val="20"/>
          <w:szCs w:val="20"/>
        </w:rPr>
        <w:t xml:space="preserve">contribution to GDP, </w:t>
      </w:r>
      <w:r w:rsidR="00202250" w:rsidRPr="005722A6">
        <w:rPr>
          <w:rFonts w:asciiTheme="majorHAnsi" w:hAnsiTheme="majorHAnsi"/>
          <w:sz w:val="20"/>
          <w:szCs w:val="20"/>
        </w:rPr>
        <w:t xml:space="preserve">negative </w:t>
      </w:r>
      <w:r w:rsidRPr="005722A6">
        <w:rPr>
          <w:rFonts w:asciiTheme="majorHAnsi" w:hAnsiTheme="majorHAnsi"/>
          <w:sz w:val="20"/>
          <w:szCs w:val="20"/>
        </w:rPr>
        <w:t xml:space="preserve">environmental impacts on fragile ecosystems such as coastal zones, wetlands, smaller islands, lagoons and mangroves will continue to grow. The increase in tourist demand will continue </w:t>
      </w:r>
      <w:r w:rsidR="00035536">
        <w:rPr>
          <w:rFonts w:asciiTheme="majorHAnsi" w:hAnsiTheme="majorHAnsi"/>
          <w:sz w:val="20"/>
          <w:szCs w:val="20"/>
        </w:rPr>
        <w:t>to</w:t>
      </w:r>
      <w:r w:rsidRPr="005722A6">
        <w:rPr>
          <w:rFonts w:asciiTheme="majorHAnsi" w:hAnsiTheme="majorHAnsi"/>
          <w:sz w:val="20"/>
          <w:szCs w:val="20"/>
        </w:rPr>
        <w:t xml:space="preserve"> boost the development of tourist infrastructure, with potential undesirable land use change, forest clearance, soil degradation, excessive use of natural resources, damage to </w:t>
      </w:r>
      <w:r w:rsidR="00202250" w:rsidRPr="005722A6">
        <w:rPr>
          <w:rFonts w:asciiTheme="majorHAnsi" w:hAnsiTheme="majorHAnsi"/>
          <w:sz w:val="20"/>
          <w:szCs w:val="20"/>
        </w:rPr>
        <w:t xml:space="preserve">sensitive </w:t>
      </w:r>
      <w:r w:rsidRPr="005722A6">
        <w:rPr>
          <w:rFonts w:asciiTheme="majorHAnsi" w:hAnsiTheme="majorHAnsi"/>
          <w:sz w:val="20"/>
          <w:szCs w:val="20"/>
        </w:rPr>
        <w:t>sites</w:t>
      </w:r>
      <w:r w:rsidR="00202250" w:rsidRPr="005722A6">
        <w:rPr>
          <w:rFonts w:asciiTheme="majorHAnsi" w:hAnsiTheme="majorHAnsi"/>
          <w:sz w:val="20"/>
          <w:szCs w:val="20"/>
        </w:rPr>
        <w:t>, a</w:t>
      </w:r>
      <w:r w:rsidRPr="005722A6">
        <w:rPr>
          <w:rFonts w:asciiTheme="majorHAnsi" w:hAnsiTheme="majorHAnsi"/>
          <w:sz w:val="20"/>
          <w:szCs w:val="20"/>
        </w:rPr>
        <w:t>nd introduction and spread of IAS</w:t>
      </w:r>
      <w:r w:rsidR="00194AA1">
        <w:rPr>
          <w:rFonts w:asciiTheme="majorHAnsi" w:hAnsiTheme="majorHAnsi"/>
          <w:sz w:val="20"/>
          <w:szCs w:val="20"/>
        </w:rPr>
        <w:t xml:space="preserve">. </w:t>
      </w:r>
      <w:r w:rsidR="00202250" w:rsidRPr="005722A6">
        <w:rPr>
          <w:rFonts w:asciiTheme="majorHAnsi" w:hAnsiTheme="majorHAnsi"/>
          <w:sz w:val="20"/>
          <w:szCs w:val="20"/>
        </w:rPr>
        <w:t>I</w:t>
      </w:r>
      <w:r w:rsidR="00791D94" w:rsidRPr="005722A6">
        <w:rPr>
          <w:rFonts w:asciiTheme="majorHAnsi" w:hAnsiTheme="majorHAnsi"/>
          <w:sz w:val="20"/>
          <w:szCs w:val="20"/>
        </w:rPr>
        <w:t>n the current situation</w:t>
      </w:r>
      <w:r w:rsidR="00035536">
        <w:rPr>
          <w:rFonts w:asciiTheme="majorHAnsi" w:hAnsiTheme="majorHAnsi"/>
          <w:sz w:val="20"/>
          <w:szCs w:val="20"/>
        </w:rPr>
        <w:t>,</w:t>
      </w:r>
      <w:r w:rsidR="00791D94" w:rsidRPr="005722A6">
        <w:rPr>
          <w:rFonts w:asciiTheme="majorHAnsi" w:hAnsiTheme="majorHAnsi"/>
          <w:sz w:val="20"/>
          <w:szCs w:val="20"/>
        </w:rPr>
        <w:t xml:space="preserve"> environmental compliance </w:t>
      </w:r>
      <w:r w:rsidR="00202250" w:rsidRPr="005722A6">
        <w:rPr>
          <w:rFonts w:asciiTheme="majorHAnsi" w:hAnsiTheme="majorHAnsi"/>
          <w:sz w:val="20"/>
          <w:szCs w:val="20"/>
        </w:rPr>
        <w:t xml:space="preserve">even at the state level </w:t>
      </w:r>
      <w:r w:rsidR="00791D94" w:rsidRPr="005722A6">
        <w:rPr>
          <w:rFonts w:asciiTheme="majorHAnsi" w:hAnsiTheme="majorHAnsi"/>
          <w:sz w:val="20"/>
          <w:szCs w:val="20"/>
        </w:rPr>
        <w:t xml:space="preserve">is delegated only to the EQPB, which </w:t>
      </w:r>
      <w:r w:rsidR="00E9722D">
        <w:rPr>
          <w:rFonts w:asciiTheme="majorHAnsi" w:hAnsiTheme="majorHAnsi"/>
          <w:sz w:val="20"/>
          <w:szCs w:val="20"/>
        </w:rPr>
        <w:t>has a very limited remit and capacity in the face of huge development challenges and political pressures that should be addressed by a robust planning process at national and state levels</w:t>
      </w:r>
      <w:r w:rsidR="00791D94" w:rsidRPr="005722A6">
        <w:rPr>
          <w:rFonts w:asciiTheme="majorHAnsi" w:hAnsiTheme="majorHAnsi"/>
          <w:sz w:val="20"/>
          <w:szCs w:val="20"/>
        </w:rPr>
        <w:t xml:space="preserve">. </w:t>
      </w:r>
      <w:r w:rsidR="00E9722D">
        <w:rPr>
          <w:rFonts w:asciiTheme="majorHAnsi" w:hAnsiTheme="majorHAnsi"/>
          <w:sz w:val="20"/>
          <w:szCs w:val="20"/>
        </w:rPr>
        <w:t>F</w:t>
      </w:r>
      <w:r w:rsidR="00791D94" w:rsidRPr="005722A6">
        <w:rPr>
          <w:rFonts w:asciiTheme="majorHAnsi" w:hAnsiTheme="majorHAnsi"/>
          <w:sz w:val="20"/>
          <w:szCs w:val="20"/>
        </w:rPr>
        <w:t>uture risks in Southern Lagoon, without land/seascape spatial plans, are:</w:t>
      </w:r>
      <w:r w:rsidR="008B453C">
        <w:rPr>
          <w:rFonts w:asciiTheme="majorHAnsi" w:hAnsiTheme="majorHAnsi"/>
          <w:sz w:val="20"/>
          <w:szCs w:val="20"/>
        </w:rPr>
        <w:t xml:space="preserve"> (i) e</w:t>
      </w:r>
      <w:r w:rsidR="00791D94" w:rsidRPr="005722A6">
        <w:rPr>
          <w:rFonts w:asciiTheme="majorHAnsi" w:hAnsiTheme="majorHAnsi"/>
          <w:sz w:val="20"/>
          <w:szCs w:val="20"/>
        </w:rPr>
        <w:t xml:space="preserve">xcessive reduction of </w:t>
      </w:r>
      <w:r w:rsidRPr="005722A6">
        <w:rPr>
          <w:rFonts w:asciiTheme="majorHAnsi" w:hAnsiTheme="majorHAnsi"/>
          <w:sz w:val="20"/>
          <w:szCs w:val="20"/>
        </w:rPr>
        <w:t xml:space="preserve">biodiversity and </w:t>
      </w:r>
      <w:r w:rsidR="00791D94" w:rsidRPr="005722A6">
        <w:rPr>
          <w:rFonts w:asciiTheme="majorHAnsi" w:hAnsiTheme="majorHAnsi"/>
          <w:sz w:val="20"/>
          <w:szCs w:val="20"/>
        </w:rPr>
        <w:t xml:space="preserve">ecosystems in areas </w:t>
      </w:r>
      <w:r w:rsidR="00E9722D">
        <w:rPr>
          <w:rFonts w:asciiTheme="majorHAnsi" w:hAnsiTheme="majorHAnsi"/>
          <w:sz w:val="20"/>
          <w:szCs w:val="20"/>
        </w:rPr>
        <w:t>popular</w:t>
      </w:r>
      <w:r w:rsidR="00791D94" w:rsidRPr="005722A6">
        <w:rPr>
          <w:rFonts w:asciiTheme="majorHAnsi" w:hAnsiTheme="majorHAnsi"/>
          <w:sz w:val="20"/>
          <w:szCs w:val="20"/>
        </w:rPr>
        <w:t xml:space="preserve"> for tourism</w:t>
      </w:r>
      <w:r w:rsidR="00202250" w:rsidRPr="005722A6">
        <w:rPr>
          <w:rFonts w:asciiTheme="majorHAnsi" w:hAnsiTheme="majorHAnsi"/>
          <w:sz w:val="20"/>
          <w:szCs w:val="20"/>
        </w:rPr>
        <w:t xml:space="preserve"> and/or </w:t>
      </w:r>
      <w:r w:rsidR="00E9722D">
        <w:rPr>
          <w:rFonts w:asciiTheme="majorHAnsi" w:hAnsiTheme="majorHAnsi"/>
          <w:sz w:val="20"/>
          <w:szCs w:val="20"/>
        </w:rPr>
        <w:t xml:space="preserve">sought for </w:t>
      </w:r>
      <w:r w:rsidR="00202250" w:rsidRPr="005722A6">
        <w:rPr>
          <w:rFonts w:asciiTheme="majorHAnsi" w:hAnsiTheme="majorHAnsi"/>
          <w:sz w:val="20"/>
          <w:szCs w:val="20"/>
        </w:rPr>
        <w:t>extraction</w:t>
      </w:r>
      <w:r w:rsidR="00791D94" w:rsidRPr="005722A6">
        <w:rPr>
          <w:rFonts w:asciiTheme="majorHAnsi" w:hAnsiTheme="majorHAnsi"/>
          <w:sz w:val="20"/>
          <w:szCs w:val="20"/>
        </w:rPr>
        <w:t xml:space="preserve"> (beaches</w:t>
      </w:r>
      <w:r w:rsidRPr="005722A6">
        <w:rPr>
          <w:rFonts w:asciiTheme="majorHAnsi" w:hAnsiTheme="majorHAnsi"/>
          <w:sz w:val="20"/>
          <w:szCs w:val="20"/>
        </w:rPr>
        <w:t>, small islands, lagoon, etc.);</w:t>
      </w:r>
      <w:r w:rsidR="008B453C">
        <w:rPr>
          <w:rFonts w:asciiTheme="majorHAnsi" w:hAnsiTheme="majorHAnsi"/>
          <w:sz w:val="20"/>
          <w:szCs w:val="20"/>
        </w:rPr>
        <w:t xml:space="preserve"> (ii) r</w:t>
      </w:r>
      <w:r w:rsidR="00791D94" w:rsidRPr="005722A6">
        <w:rPr>
          <w:rFonts w:asciiTheme="majorHAnsi" w:hAnsiTheme="majorHAnsi"/>
          <w:sz w:val="20"/>
          <w:szCs w:val="20"/>
        </w:rPr>
        <w:t>eduction of the aesthetic value of the Southern Lagoon (</w:t>
      </w:r>
      <w:r w:rsidR="00D50868">
        <w:rPr>
          <w:rFonts w:asciiTheme="majorHAnsi" w:hAnsiTheme="majorHAnsi"/>
          <w:sz w:val="20"/>
          <w:szCs w:val="20"/>
        </w:rPr>
        <w:t>fundamen</w:t>
      </w:r>
      <w:r w:rsidR="00E9722D">
        <w:rPr>
          <w:rFonts w:asciiTheme="majorHAnsi" w:hAnsiTheme="majorHAnsi"/>
          <w:sz w:val="20"/>
          <w:szCs w:val="20"/>
        </w:rPr>
        <w:t xml:space="preserve">tal to any </w:t>
      </w:r>
      <w:r w:rsidRPr="005722A6">
        <w:rPr>
          <w:rFonts w:asciiTheme="majorHAnsi" w:hAnsiTheme="majorHAnsi"/>
          <w:sz w:val="20"/>
          <w:szCs w:val="20"/>
        </w:rPr>
        <w:t>eco-tourism development)</w:t>
      </w:r>
      <w:r w:rsidR="00791D94" w:rsidRPr="005722A6">
        <w:rPr>
          <w:rFonts w:asciiTheme="majorHAnsi" w:hAnsiTheme="majorHAnsi"/>
          <w:sz w:val="20"/>
          <w:szCs w:val="20"/>
        </w:rPr>
        <w:t>;</w:t>
      </w:r>
      <w:r w:rsidR="008B453C">
        <w:rPr>
          <w:rFonts w:asciiTheme="majorHAnsi" w:hAnsiTheme="majorHAnsi"/>
          <w:sz w:val="20"/>
          <w:szCs w:val="20"/>
        </w:rPr>
        <w:t xml:space="preserve"> (iii) t</w:t>
      </w:r>
      <w:r w:rsidR="00791D94" w:rsidRPr="005722A6">
        <w:rPr>
          <w:rFonts w:asciiTheme="majorHAnsi" w:hAnsiTheme="majorHAnsi"/>
          <w:sz w:val="20"/>
          <w:szCs w:val="20"/>
        </w:rPr>
        <w:t>ouris</w:t>
      </w:r>
      <w:r w:rsidR="00E9722D">
        <w:rPr>
          <w:rFonts w:asciiTheme="majorHAnsi" w:hAnsiTheme="majorHAnsi"/>
          <w:sz w:val="20"/>
          <w:szCs w:val="20"/>
        </w:rPr>
        <w:t>m</w:t>
      </w:r>
      <w:r w:rsidR="00791D94" w:rsidRPr="005722A6">
        <w:rPr>
          <w:rFonts w:asciiTheme="majorHAnsi" w:hAnsiTheme="majorHAnsi"/>
          <w:sz w:val="20"/>
          <w:szCs w:val="20"/>
        </w:rPr>
        <w:t xml:space="preserve"> infrastructure and accommodation in small islands, </w:t>
      </w:r>
      <w:r w:rsidR="00CF5C89">
        <w:rPr>
          <w:rFonts w:asciiTheme="majorHAnsi" w:hAnsiTheme="majorHAnsi"/>
          <w:sz w:val="20"/>
          <w:szCs w:val="20"/>
        </w:rPr>
        <w:t xml:space="preserve">a large </w:t>
      </w:r>
      <w:r w:rsidR="00791D94" w:rsidRPr="005722A6">
        <w:rPr>
          <w:rFonts w:asciiTheme="majorHAnsi" w:hAnsiTheme="majorHAnsi"/>
          <w:sz w:val="20"/>
          <w:szCs w:val="20"/>
        </w:rPr>
        <w:t xml:space="preserve">unsustainable </w:t>
      </w:r>
      <w:r w:rsidR="00CF5C89">
        <w:rPr>
          <w:rFonts w:asciiTheme="majorHAnsi" w:hAnsiTheme="majorHAnsi"/>
          <w:sz w:val="20"/>
          <w:szCs w:val="20"/>
        </w:rPr>
        <w:t>footprint</w:t>
      </w:r>
      <w:r w:rsidR="00791D94" w:rsidRPr="005722A6">
        <w:rPr>
          <w:rFonts w:asciiTheme="majorHAnsi" w:hAnsiTheme="majorHAnsi"/>
          <w:sz w:val="20"/>
          <w:szCs w:val="20"/>
        </w:rPr>
        <w:t>;</w:t>
      </w:r>
      <w:r w:rsidRPr="005722A6">
        <w:rPr>
          <w:rFonts w:asciiTheme="majorHAnsi" w:hAnsiTheme="majorHAnsi"/>
          <w:sz w:val="20"/>
          <w:szCs w:val="20"/>
        </w:rPr>
        <w:t xml:space="preserve"> and</w:t>
      </w:r>
      <w:r w:rsidR="008B453C">
        <w:rPr>
          <w:rFonts w:asciiTheme="majorHAnsi" w:hAnsiTheme="majorHAnsi"/>
          <w:sz w:val="20"/>
          <w:szCs w:val="20"/>
        </w:rPr>
        <w:t xml:space="preserve"> (iv) d</w:t>
      </w:r>
      <w:r w:rsidR="00791D94" w:rsidRPr="005722A6">
        <w:rPr>
          <w:rFonts w:asciiTheme="majorHAnsi" w:hAnsiTheme="majorHAnsi"/>
          <w:sz w:val="20"/>
          <w:szCs w:val="20"/>
        </w:rPr>
        <w:t xml:space="preserve">irect disturbance </w:t>
      </w:r>
      <w:r w:rsidRPr="005722A6">
        <w:rPr>
          <w:rFonts w:asciiTheme="majorHAnsi" w:hAnsiTheme="majorHAnsi"/>
          <w:sz w:val="20"/>
          <w:szCs w:val="20"/>
        </w:rPr>
        <w:t>to</w:t>
      </w:r>
      <w:r w:rsidR="00791D94" w:rsidRPr="005722A6">
        <w:rPr>
          <w:rFonts w:asciiTheme="majorHAnsi" w:hAnsiTheme="majorHAnsi"/>
          <w:sz w:val="20"/>
          <w:szCs w:val="20"/>
        </w:rPr>
        <w:t xml:space="preserve"> </w:t>
      </w:r>
      <w:r w:rsidR="00202250" w:rsidRPr="005722A6">
        <w:rPr>
          <w:rFonts w:asciiTheme="majorHAnsi" w:hAnsiTheme="majorHAnsi"/>
          <w:sz w:val="20"/>
          <w:szCs w:val="20"/>
        </w:rPr>
        <w:t xml:space="preserve">sensitive </w:t>
      </w:r>
      <w:r w:rsidR="00791D94" w:rsidRPr="005722A6">
        <w:rPr>
          <w:rFonts w:asciiTheme="majorHAnsi" w:hAnsiTheme="majorHAnsi"/>
          <w:sz w:val="20"/>
          <w:szCs w:val="20"/>
        </w:rPr>
        <w:t xml:space="preserve">sites </w:t>
      </w:r>
      <w:r w:rsidRPr="005722A6">
        <w:rPr>
          <w:rFonts w:asciiTheme="majorHAnsi" w:hAnsiTheme="majorHAnsi"/>
          <w:sz w:val="20"/>
          <w:szCs w:val="20"/>
        </w:rPr>
        <w:t>and species</w:t>
      </w:r>
      <w:r w:rsidR="00CF5C89">
        <w:rPr>
          <w:rFonts w:asciiTheme="majorHAnsi" w:hAnsiTheme="majorHAnsi"/>
          <w:sz w:val="20"/>
          <w:szCs w:val="20"/>
        </w:rPr>
        <w:t>, resulting in further</w:t>
      </w:r>
      <w:r w:rsidRPr="005722A6">
        <w:rPr>
          <w:rFonts w:asciiTheme="majorHAnsi" w:hAnsiTheme="majorHAnsi"/>
          <w:sz w:val="20"/>
          <w:szCs w:val="20"/>
        </w:rPr>
        <w:t xml:space="preserve"> introduction of IAS.</w:t>
      </w:r>
      <w:r w:rsidR="008B453C">
        <w:rPr>
          <w:rFonts w:asciiTheme="majorHAnsi" w:hAnsiTheme="majorHAnsi"/>
          <w:sz w:val="20"/>
          <w:szCs w:val="20"/>
        </w:rPr>
        <w:t xml:space="preserve"> </w:t>
      </w:r>
      <w:r w:rsidR="007A1BA8" w:rsidRPr="005722A6">
        <w:rPr>
          <w:rFonts w:asciiTheme="majorHAnsi" w:hAnsiTheme="majorHAnsi"/>
          <w:sz w:val="20"/>
          <w:szCs w:val="20"/>
        </w:rPr>
        <w:t>Biosecurity</w:t>
      </w:r>
      <w:r w:rsidR="00202250" w:rsidRPr="005722A6">
        <w:rPr>
          <w:rFonts w:asciiTheme="majorHAnsi" w:hAnsiTheme="majorHAnsi"/>
          <w:sz w:val="20"/>
          <w:szCs w:val="20"/>
        </w:rPr>
        <w:t xml:space="preserve"> and IAS management and monitoring</w:t>
      </w:r>
      <w:r w:rsidR="007A1BA8" w:rsidRPr="005722A6">
        <w:rPr>
          <w:rFonts w:asciiTheme="majorHAnsi" w:hAnsiTheme="majorHAnsi"/>
          <w:sz w:val="20"/>
          <w:szCs w:val="20"/>
        </w:rPr>
        <w:t xml:space="preserve"> will continue to be non-existent or at best minimal </w:t>
      </w:r>
      <w:r w:rsidR="00202250" w:rsidRPr="005722A6">
        <w:rPr>
          <w:rFonts w:asciiTheme="majorHAnsi" w:hAnsiTheme="majorHAnsi"/>
          <w:sz w:val="20"/>
          <w:szCs w:val="20"/>
        </w:rPr>
        <w:t>(e.g. project-based)</w:t>
      </w:r>
      <w:r w:rsidR="00CF5C89">
        <w:rPr>
          <w:rFonts w:asciiTheme="majorHAnsi" w:hAnsiTheme="majorHAnsi"/>
          <w:sz w:val="20"/>
          <w:szCs w:val="20"/>
        </w:rPr>
        <w:t>;</w:t>
      </w:r>
      <w:r w:rsidR="00202250" w:rsidRPr="005722A6">
        <w:rPr>
          <w:rFonts w:asciiTheme="majorHAnsi" w:hAnsiTheme="majorHAnsi"/>
          <w:sz w:val="20"/>
          <w:szCs w:val="20"/>
        </w:rPr>
        <w:t xml:space="preserve"> </w:t>
      </w:r>
      <w:r w:rsidR="007A1BA8" w:rsidRPr="005722A6">
        <w:rPr>
          <w:rFonts w:asciiTheme="majorHAnsi" w:hAnsiTheme="majorHAnsi"/>
          <w:sz w:val="20"/>
          <w:szCs w:val="20"/>
        </w:rPr>
        <w:t>and where they do exist, they will remain minimal due to training and resourcing deficiencies</w:t>
      </w:r>
      <w:r w:rsidR="00202250" w:rsidRPr="005722A6">
        <w:rPr>
          <w:rFonts w:asciiTheme="majorHAnsi" w:hAnsiTheme="majorHAnsi"/>
          <w:sz w:val="20"/>
          <w:szCs w:val="20"/>
        </w:rPr>
        <w:t>.</w:t>
      </w:r>
    </w:p>
    <w:p w14:paraId="4560FA34" w14:textId="25E103EA" w:rsidR="00B87774" w:rsidRPr="005722A6" w:rsidRDefault="00B87774" w:rsidP="00B87774">
      <w:pPr>
        <w:spacing w:after="120" w:line="276" w:lineRule="auto"/>
        <w:rPr>
          <w:rFonts w:asciiTheme="majorHAnsi" w:hAnsiTheme="majorHAnsi"/>
          <w:i/>
          <w:sz w:val="20"/>
          <w:szCs w:val="20"/>
        </w:rPr>
      </w:pPr>
      <w:r w:rsidRPr="005722A6">
        <w:rPr>
          <w:rFonts w:asciiTheme="majorHAnsi" w:hAnsiTheme="majorHAnsi"/>
          <w:i/>
          <w:sz w:val="20"/>
          <w:szCs w:val="20"/>
        </w:rPr>
        <w:t>Alternative (with GEF project):</w:t>
      </w:r>
    </w:p>
    <w:p w14:paraId="52DD0630" w14:textId="3E252EC5" w:rsidR="00570A10" w:rsidRPr="005722A6" w:rsidRDefault="00B87774" w:rsidP="00B87774">
      <w:pPr>
        <w:tabs>
          <w:tab w:val="left" w:pos="144"/>
        </w:tabs>
        <w:rPr>
          <w:rFonts w:asciiTheme="majorHAnsi" w:hAnsiTheme="majorHAnsi"/>
          <w:sz w:val="20"/>
          <w:szCs w:val="20"/>
        </w:rPr>
      </w:pPr>
      <w:r w:rsidRPr="005722A6">
        <w:rPr>
          <w:rFonts w:asciiTheme="majorHAnsi" w:hAnsiTheme="majorHAnsi"/>
          <w:sz w:val="20"/>
          <w:szCs w:val="20"/>
        </w:rPr>
        <w:t xml:space="preserve">This component will mainstream biodiversity into coastal and marine planning and management in the Southern </w:t>
      </w:r>
      <w:r w:rsidR="00CF5C89">
        <w:rPr>
          <w:rFonts w:asciiTheme="majorHAnsi" w:hAnsiTheme="majorHAnsi"/>
          <w:sz w:val="20"/>
          <w:szCs w:val="20"/>
        </w:rPr>
        <w:t>L</w:t>
      </w:r>
      <w:r w:rsidRPr="005722A6">
        <w:rPr>
          <w:rFonts w:asciiTheme="majorHAnsi" w:hAnsiTheme="majorHAnsi"/>
          <w:sz w:val="20"/>
          <w:szCs w:val="20"/>
        </w:rPr>
        <w:t>agoon</w:t>
      </w:r>
      <w:r w:rsidR="00CF5C89">
        <w:rPr>
          <w:rFonts w:asciiTheme="majorHAnsi" w:hAnsiTheme="majorHAnsi"/>
          <w:sz w:val="20"/>
          <w:szCs w:val="20"/>
        </w:rPr>
        <w:t>; and result</w:t>
      </w:r>
      <w:r w:rsidRPr="005722A6">
        <w:rPr>
          <w:rFonts w:asciiTheme="majorHAnsi" w:hAnsiTheme="majorHAnsi"/>
          <w:sz w:val="20"/>
          <w:szCs w:val="20"/>
        </w:rPr>
        <w:t xml:space="preserve"> </w:t>
      </w:r>
      <w:r w:rsidR="00CF5C89" w:rsidRPr="005722A6">
        <w:rPr>
          <w:rFonts w:asciiTheme="majorHAnsi" w:hAnsiTheme="majorHAnsi"/>
          <w:sz w:val="20"/>
          <w:szCs w:val="20"/>
        </w:rPr>
        <w:t>in a lagoon-wide spatial plan developed by Koror and Peleliu</w:t>
      </w:r>
      <w:r w:rsidR="005C03F3" w:rsidRPr="005722A6">
        <w:rPr>
          <w:rStyle w:val="FootnoteReference"/>
          <w:rFonts w:asciiTheme="majorHAnsi" w:hAnsiTheme="majorHAnsi"/>
          <w:sz w:val="20"/>
          <w:szCs w:val="20"/>
        </w:rPr>
        <w:footnoteReference w:id="13"/>
      </w:r>
      <w:r w:rsidRPr="005722A6">
        <w:rPr>
          <w:rFonts w:asciiTheme="majorHAnsi" w:hAnsiTheme="majorHAnsi"/>
          <w:sz w:val="20"/>
          <w:szCs w:val="20"/>
        </w:rPr>
        <w:t xml:space="preserve">). Support will be provided to zone the coastal and marine </w:t>
      </w:r>
      <w:r w:rsidR="00202250" w:rsidRPr="005722A6">
        <w:rPr>
          <w:rFonts w:asciiTheme="majorHAnsi" w:hAnsiTheme="majorHAnsi"/>
          <w:sz w:val="20"/>
          <w:szCs w:val="20"/>
        </w:rPr>
        <w:t xml:space="preserve">areas </w:t>
      </w:r>
      <w:r w:rsidR="00917C3F" w:rsidRPr="005722A6">
        <w:rPr>
          <w:rFonts w:asciiTheme="majorHAnsi" w:hAnsiTheme="majorHAnsi"/>
          <w:sz w:val="20"/>
          <w:szCs w:val="20"/>
        </w:rPr>
        <w:t xml:space="preserve">for optimal management </w:t>
      </w:r>
      <w:r w:rsidR="00917C3F">
        <w:rPr>
          <w:rFonts w:asciiTheme="majorHAnsi" w:hAnsiTheme="majorHAnsi"/>
          <w:sz w:val="20"/>
          <w:szCs w:val="20"/>
        </w:rPr>
        <w:t>of</w:t>
      </w:r>
      <w:r w:rsidRPr="005722A6">
        <w:rPr>
          <w:rFonts w:asciiTheme="majorHAnsi" w:hAnsiTheme="majorHAnsi"/>
          <w:sz w:val="20"/>
          <w:szCs w:val="20"/>
        </w:rPr>
        <w:t xml:space="preserve"> different uses (including tourism, various fisheries zones including local and recreational, aquaculture, etc.)</w:t>
      </w:r>
      <w:r w:rsidR="00917C3F">
        <w:rPr>
          <w:rFonts w:asciiTheme="majorHAnsi" w:hAnsiTheme="majorHAnsi"/>
          <w:sz w:val="20"/>
          <w:szCs w:val="20"/>
        </w:rPr>
        <w:t>,</w:t>
      </w:r>
      <w:r w:rsidRPr="005722A6">
        <w:rPr>
          <w:rFonts w:asciiTheme="majorHAnsi" w:hAnsiTheme="majorHAnsi"/>
          <w:sz w:val="20"/>
          <w:szCs w:val="20"/>
        </w:rPr>
        <w:t xml:space="preserve"> based on key data on the seascape.</w:t>
      </w:r>
      <w:r w:rsidR="005B7336" w:rsidRPr="005722A6">
        <w:rPr>
          <w:rFonts w:asciiTheme="majorHAnsi" w:hAnsiTheme="majorHAnsi"/>
          <w:sz w:val="20"/>
          <w:szCs w:val="20"/>
        </w:rPr>
        <w:t xml:space="preserve"> </w:t>
      </w:r>
      <w:r w:rsidR="00791D94" w:rsidRPr="005722A6">
        <w:rPr>
          <w:rFonts w:asciiTheme="majorHAnsi" w:hAnsiTheme="majorHAnsi"/>
          <w:sz w:val="20"/>
          <w:szCs w:val="20"/>
        </w:rPr>
        <w:t xml:space="preserve">Restrictions </w:t>
      </w:r>
      <w:r w:rsidR="00202250" w:rsidRPr="005722A6">
        <w:rPr>
          <w:rFonts w:asciiTheme="majorHAnsi" w:hAnsiTheme="majorHAnsi"/>
          <w:sz w:val="20"/>
          <w:szCs w:val="20"/>
        </w:rPr>
        <w:t>on</w:t>
      </w:r>
      <w:r w:rsidR="00791D94" w:rsidRPr="005722A6">
        <w:rPr>
          <w:rFonts w:asciiTheme="majorHAnsi" w:hAnsiTheme="majorHAnsi"/>
          <w:sz w:val="20"/>
          <w:szCs w:val="20"/>
        </w:rPr>
        <w:t xml:space="preserve"> development </w:t>
      </w:r>
      <w:r w:rsidR="00202250" w:rsidRPr="005722A6">
        <w:rPr>
          <w:rFonts w:asciiTheme="majorHAnsi" w:hAnsiTheme="majorHAnsi"/>
          <w:sz w:val="20"/>
          <w:szCs w:val="20"/>
        </w:rPr>
        <w:t>(including</w:t>
      </w:r>
      <w:r w:rsidR="00791D94" w:rsidRPr="005722A6">
        <w:rPr>
          <w:rFonts w:asciiTheme="majorHAnsi" w:hAnsiTheme="majorHAnsi"/>
          <w:sz w:val="20"/>
          <w:szCs w:val="20"/>
        </w:rPr>
        <w:t xml:space="preserve"> infrastructure</w:t>
      </w:r>
      <w:r w:rsidR="00202250" w:rsidRPr="005722A6">
        <w:rPr>
          <w:rFonts w:asciiTheme="majorHAnsi" w:hAnsiTheme="majorHAnsi"/>
          <w:sz w:val="20"/>
          <w:szCs w:val="20"/>
        </w:rPr>
        <w:t>)</w:t>
      </w:r>
      <w:r w:rsidR="00791D94" w:rsidRPr="005722A6">
        <w:rPr>
          <w:rFonts w:asciiTheme="majorHAnsi" w:hAnsiTheme="majorHAnsi"/>
          <w:sz w:val="20"/>
          <w:szCs w:val="20"/>
        </w:rPr>
        <w:t xml:space="preserve"> will be proposed</w:t>
      </w:r>
      <w:r w:rsidR="004703E4">
        <w:rPr>
          <w:rFonts w:asciiTheme="majorHAnsi" w:hAnsiTheme="majorHAnsi"/>
          <w:sz w:val="20"/>
          <w:szCs w:val="20"/>
        </w:rPr>
        <w:t>,</w:t>
      </w:r>
      <w:r w:rsidR="00CF06FC" w:rsidRPr="005722A6">
        <w:rPr>
          <w:rFonts w:asciiTheme="majorHAnsi" w:hAnsiTheme="majorHAnsi"/>
          <w:sz w:val="20"/>
          <w:szCs w:val="20"/>
        </w:rPr>
        <w:t xml:space="preserve"> as well as measures to reduce land-based stress on mangroves and marine ecosystems (including coral reefs, sea grass beds and associated marine life)</w:t>
      </w:r>
      <w:r w:rsidR="00194AA1">
        <w:rPr>
          <w:rFonts w:asciiTheme="majorHAnsi" w:hAnsiTheme="majorHAnsi"/>
          <w:sz w:val="20"/>
          <w:szCs w:val="20"/>
        </w:rPr>
        <w:t xml:space="preserve">. </w:t>
      </w:r>
      <w:r w:rsidRPr="005722A6">
        <w:rPr>
          <w:rFonts w:asciiTheme="majorHAnsi" w:hAnsiTheme="majorHAnsi"/>
          <w:sz w:val="20"/>
          <w:szCs w:val="20"/>
        </w:rPr>
        <w:t xml:space="preserve">Fisheries management measures will be </w:t>
      </w:r>
      <w:r w:rsidR="004703E4">
        <w:rPr>
          <w:rFonts w:asciiTheme="majorHAnsi" w:hAnsiTheme="majorHAnsi"/>
          <w:sz w:val="20"/>
          <w:szCs w:val="20"/>
        </w:rPr>
        <w:t>piloted</w:t>
      </w:r>
      <w:r w:rsidRPr="005722A6">
        <w:rPr>
          <w:rFonts w:asciiTheme="majorHAnsi" w:hAnsiTheme="majorHAnsi"/>
          <w:sz w:val="20"/>
          <w:szCs w:val="20"/>
        </w:rPr>
        <w:t xml:space="preserve"> and implemented through existing engagement mechanisms with local communities. Support will be provided to strengthen surveillance and enforcement in the coastal </w:t>
      </w:r>
      <w:r w:rsidR="008B453C">
        <w:rPr>
          <w:rFonts w:asciiTheme="majorHAnsi" w:hAnsiTheme="majorHAnsi"/>
          <w:sz w:val="20"/>
          <w:szCs w:val="20"/>
        </w:rPr>
        <w:t xml:space="preserve">and marine </w:t>
      </w:r>
      <w:r w:rsidRPr="005722A6">
        <w:rPr>
          <w:rFonts w:asciiTheme="majorHAnsi" w:hAnsiTheme="majorHAnsi"/>
          <w:sz w:val="20"/>
          <w:szCs w:val="20"/>
        </w:rPr>
        <w:t>zone</w:t>
      </w:r>
      <w:r w:rsidR="008B453C">
        <w:rPr>
          <w:rFonts w:asciiTheme="majorHAnsi" w:hAnsiTheme="majorHAnsi"/>
          <w:sz w:val="20"/>
          <w:szCs w:val="20"/>
        </w:rPr>
        <w:t>s</w:t>
      </w:r>
      <w:r w:rsidRPr="005722A6">
        <w:rPr>
          <w:rFonts w:asciiTheme="majorHAnsi" w:hAnsiTheme="majorHAnsi"/>
          <w:sz w:val="20"/>
          <w:szCs w:val="20"/>
        </w:rPr>
        <w:t xml:space="preserve">. A system of relevant and effective penalties for violations and misconduct will be developed, adopted and enforced. </w:t>
      </w:r>
      <w:r w:rsidR="004703E4">
        <w:rPr>
          <w:rFonts w:asciiTheme="majorHAnsi" w:hAnsiTheme="majorHAnsi"/>
          <w:sz w:val="20"/>
          <w:szCs w:val="20"/>
        </w:rPr>
        <w:t>M</w:t>
      </w:r>
      <w:r w:rsidRPr="005722A6">
        <w:rPr>
          <w:rFonts w:asciiTheme="majorHAnsi" w:hAnsiTheme="majorHAnsi"/>
          <w:sz w:val="20"/>
          <w:szCs w:val="20"/>
        </w:rPr>
        <w:t>onitoring programs following standardized protocols will be emplaced to gauge the health of terrestrial and marine environments and status of IAS to inform adaptive management</w:t>
      </w:r>
      <w:r w:rsidR="004703E4">
        <w:rPr>
          <w:rFonts w:asciiTheme="majorHAnsi" w:hAnsiTheme="majorHAnsi"/>
          <w:sz w:val="20"/>
          <w:szCs w:val="20"/>
        </w:rPr>
        <w:t>;</w:t>
      </w:r>
      <w:r w:rsidRPr="005722A6">
        <w:rPr>
          <w:rFonts w:asciiTheme="majorHAnsi" w:hAnsiTheme="majorHAnsi"/>
          <w:sz w:val="20"/>
          <w:szCs w:val="20"/>
        </w:rPr>
        <w:t xml:space="preserve"> and </w:t>
      </w:r>
      <w:r w:rsidR="004703E4">
        <w:rPr>
          <w:rFonts w:asciiTheme="majorHAnsi" w:hAnsiTheme="majorHAnsi"/>
          <w:sz w:val="20"/>
          <w:szCs w:val="20"/>
        </w:rPr>
        <w:t xml:space="preserve">they </w:t>
      </w:r>
      <w:r w:rsidRPr="005722A6">
        <w:rPr>
          <w:rFonts w:asciiTheme="majorHAnsi" w:hAnsiTheme="majorHAnsi"/>
          <w:sz w:val="20"/>
          <w:szCs w:val="20"/>
        </w:rPr>
        <w:t xml:space="preserve">will feed into the geospatial data tools developed under </w:t>
      </w:r>
      <w:r w:rsidR="00B87D6D" w:rsidRPr="005722A6">
        <w:rPr>
          <w:rFonts w:asciiTheme="majorHAnsi" w:hAnsiTheme="majorHAnsi"/>
          <w:sz w:val="20"/>
          <w:szCs w:val="20"/>
        </w:rPr>
        <w:t xml:space="preserve">Outcome </w:t>
      </w:r>
      <w:r w:rsidRPr="005722A6">
        <w:rPr>
          <w:rFonts w:asciiTheme="majorHAnsi" w:hAnsiTheme="majorHAnsi"/>
          <w:sz w:val="20"/>
          <w:szCs w:val="20"/>
        </w:rPr>
        <w:t xml:space="preserve">1. </w:t>
      </w:r>
    </w:p>
    <w:p w14:paraId="4F2FA3E2" w14:textId="5EF8D3B6" w:rsidR="007A1BA8" w:rsidRPr="005722A6" w:rsidRDefault="00B87774" w:rsidP="00B87774">
      <w:pPr>
        <w:tabs>
          <w:tab w:val="left" w:pos="144"/>
        </w:tabs>
        <w:rPr>
          <w:rFonts w:asciiTheme="majorHAnsi" w:hAnsiTheme="majorHAnsi"/>
          <w:sz w:val="20"/>
          <w:szCs w:val="20"/>
        </w:rPr>
      </w:pPr>
      <w:r w:rsidRPr="005722A6">
        <w:rPr>
          <w:rFonts w:asciiTheme="majorHAnsi" w:hAnsiTheme="majorHAnsi"/>
          <w:sz w:val="20"/>
          <w:szCs w:val="20"/>
        </w:rPr>
        <w:t xml:space="preserve">The project will work with Koror </w:t>
      </w:r>
      <w:r w:rsidR="005E6F8F">
        <w:rPr>
          <w:rFonts w:asciiTheme="majorHAnsi" w:hAnsiTheme="majorHAnsi"/>
          <w:sz w:val="20"/>
          <w:szCs w:val="20"/>
        </w:rPr>
        <w:t>S</w:t>
      </w:r>
      <w:r w:rsidRPr="005722A6">
        <w:rPr>
          <w:rFonts w:asciiTheme="majorHAnsi" w:hAnsiTheme="majorHAnsi"/>
          <w:sz w:val="20"/>
          <w:szCs w:val="20"/>
        </w:rPr>
        <w:t xml:space="preserve">tate and Palau Community College to mainstream biodiversity (including IAS prevention and management) into </w:t>
      </w:r>
      <w:r w:rsidR="00570A10" w:rsidRPr="005722A6">
        <w:rPr>
          <w:rFonts w:asciiTheme="majorHAnsi" w:hAnsiTheme="majorHAnsi"/>
          <w:sz w:val="20"/>
          <w:szCs w:val="20"/>
        </w:rPr>
        <w:t xml:space="preserve">their </w:t>
      </w:r>
      <w:r w:rsidRPr="005722A6">
        <w:rPr>
          <w:rFonts w:asciiTheme="majorHAnsi" w:hAnsiTheme="majorHAnsi"/>
          <w:sz w:val="20"/>
          <w:szCs w:val="20"/>
        </w:rPr>
        <w:t xml:space="preserve">responsible tourism guide and operator certification training </w:t>
      </w:r>
      <w:r w:rsidR="00570A10" w:rsidRPr="005722A6">
        <w:rPr>
          <w:rFonts w:asciiTheme="majorHAnsi" w:hAnsiTheme="majorHAnsi"/>
          <w:sz w:val="20"/>
          <w:szCs w:val="20"/>
        </w:rPr>
        <w:t>program</w:t>
      </w:r>
      <w:r w:rsidRPr="005722A6">
        <w:rPr>
          <w:rFonts w:asciiTheme="majorHAnsi" w:hAnsiTheme="majorHAnsi"/>
          <w:sz w:val="20"/>
          <w:szCs w:val="20"/>
        </w:rPr>
        <w:t xml:space="preserve">, and scale this </w:t>
      </w:r>
      <w:r w:rsidR="00235E8A">
        <w:rPr>
          <w:rFonts w:asciiTheme="majorHAnsi" w:hAnsiTheme="majorHAnsi"/>
          <w:sz w:val="20"/>
          <w:szCs w:val="20"/>
        </w:rPr>
        <w:t xml:space="preserve">up </w:t>
      </w:r>
      <w:r w:rsidRPr="005722A6">
        <w:rPr>
          <w:rFonts w:asciiTheme="majorHAnsi" w:hAnsiTheme="majorHAnsi"/>
          <w:sz w:val="20"/>
          <w:szCs w:val="20"/>
        </w:rPr>
        <w:t xml:space="preserve">to a national model. The project will </w:t>
      </w:r>
      <w:r w:rsidR="00C64BA0" w:rsidRPr="005722A6">
        <w:rPr>
          <w:rFonts w:asciiTheme="majorHAnsi" w:hAnsiTheme="majorHAnsi"/>
          <w:sz w:val="20"/>
          <w:szCs w:val="20"/>
        </w:rPr>
        <w:t xml:space="preserve">also </w:t>
      </w:r>
      <w:r w:rsidRPr="005722A6">
        <w:rPr>
          <w:rFonts w:asciiTheme="majorHAnsi" w:hAnsiTheme="majorHAnsi"/>
          <w:sz w:val="20"/>
          <w:szCs w:val="20"/>
        </w:rPr>
        <w:t xml:space="preserve">work </w:t>
      </w:r>
      <w:r w:rsidR="00C64BA0" w:rsidRPr="005722A6">
        <w:rPr>
          <w:rFonts w:asciiTheme="majorHAnsi" w:hAnsiTheme="majorHAnsi"/>
          <w:sz w:val="20"/>
          <w:szCs w:val="20"/>
        </w:rPr>
        <w:t xml:space="preserve">with </w:t>
      </w:r>
      <w:r w:rsidRPr="005722A6">
        <w:rPr>
          <w:rFonts w:asciiTheme="majorHAnsi" w:hAnsiTheme="majorHAnsi"/>
          <w:sz w:val="20"/>
          <w:szCs w:val="20"/>
        </w:rPr>
        <w:t xml:space="preserve">states to make certification mandatory and provide support for Palau nationals to </w:t>
      </w:r>
      <w:r w:rsidR="00235E8A">
        <w:rPr>
          <w:rFonts w:asciiTheme="majorHAnsi" w:hAnsiTheme="majorHAnsi"/>
          <w:sz w:val="20"/>
          <w:szCs w:val="20"/>
        </w:rPr>
        <w:t>qualify</w:t>
      </w:r>
      <w:r w:rsidRPr="005722A6">
        <w:rPr>
          <w:rFonts w:asciiTheme="majorHAnsi" w:hAnsiTheme="majorHAnsi"/>
          <w:sz w:val="20"/>
          <w:szCs w:val="20"/>
        </w:rPr>
        <w:t xml:space="preserve">. Incentives/disincentives for promoting adherence of </w:t>
      </w:r>
      <w:r w:rsidR="00235E8A">
        <w:rPr>
          <w:rFonts w:asciiTheme="majorHAnsi" w:hAnsiTheme="majorHAnsi"/>
          <w:sz w:val="20"/>
          <w:szCs w:val="20"/>
        </w:rPr>
        <w:t xml:space="preserve">the </w:t>
      </w:r>
      <w:r w:rsidRPr="005722A6">
        <w:rPr>
          <w:rFonts w:asciiTheme="majorHAnsi" w:hAnsiTheme="majorHAnsi"/>
          <w:sz w:val="20"/>
          <w:szCs w:val="20"/>
        </w:rPr>
        <w:t xml:space="preserve">tourism sector to the new standards developed under </w:t>
      </w:r>
      <w:r w:rsidR="00B87D6D" w:rsidRPr="005722A6">
        <w:rPr>
          <w:rFonts w:asciiTheme="majorHAnsi" w:hAnsiTheme="majorHAnsi"/>
          <w:sz w:val="20"/>
          <w:szCs w:val="20"/>
        </w:rPr>
        <w:t xml:space="preserve">Outcome </w:t>
      </w:r>
      <w:r w:rsidRPr="005722A6">
        <w:rPr>
          <w:rFonts w:asciiTheme="majorHAnsi" w:hAnsiTheme="majorHAnsi"/>
          <w:sz w:val="20"/>
          <w:szCs w:val="20"/>
        </w:rPr>
        <w:t xml:space="preserve">1 will be </w:t>
      </w:r>
      <w:r w:rsidR="008B453C">
        <w:rPr>
          <w:rFonts w:asciiTheme="majorHAnsi" w:hAnsiTheme="majorHAnsi"/>
          <w:sz w:val="20"/>
          <w:szCs w:val="20"/>
        </w:rPr>
        <w:t>introduced</w:t>
      </w:r>
      <w:r w:rsidR="008B453C" w:rsidRPr="005722A6">
        <w:rPr>
          <w:rFonts w:asciiTheme="majorHAnsi" w:hAnsiTheme="majorHAnsi"/>
          <w:sz w:val="20"/>
          <w:szCs w:val="20"/>
        </w:rPr>
        <w:t xml:space="preserve"> </w:t>
      </w:r>
      <w:r w:rsidRPr="005722A6">
        <w:rPr>
          <w:rFonts w:asciiTheme="majorHAnsi" w:hAnsiTheme="majorHAnsi"/>
          <w:sz w:val="20"/>
          <w:szCs w:val="20"/>
        </w:rPr>
        <w:t>(e.g. introducing taxes and charges levied on tourism enterprises which are not adopting environmentally friendly practices)</w:t>
      </w:r>
      <w:r w:rsidR="008B453C">
        <w:rPr>
          <w:rFonts w:asciiTheme="majorHAnsi" w:hAnsiTheme="majorHAnsi"/>
          <w:sz w:val="20"/>
          <w:szCs w:val="20"/>
        </w:rPr>
        <w:t>, to the extent deemed feasible,</w:t>
      </w:r>
      <w:r w:rsidRPr="005722A6">
        <w:rPr>
          <w:rFonts w:asciiTheme="majorHAnsi" w:hAnsiTheme="majorHAnsi"/>
          <w:sz w:val="20"/>
          <w:szCs w:val="20"/>
        </w:rPr>
        <w:t xml:space="preserve"> in concert with strengthened surveillance and enforcement</w:t>
      </w:r>
      <w:r w:rsidR="00235E8A">
        <w:rPr>
          <w:rFonts w:asciiTheme="majorHAnsi" w:hAnsiTheme="majorHAnsi"/>
          <w:sz w:val="20"/>
          <w:szCs w:val="20"/>
        </w:rPr>
        <w:t>)</w:t>
      </w:r>
      <w:r w:rsidRPr="005722A6">
        <w:rPr>
          <w:rFonts w:asciiTheme="majorHAnsi" w:hAnsiTheme="majorHAnsi"/>
          <w:sz w:val="20"/>
          <w:szCs w:val="20"/>
        </w:rPr>
        <w:t>. The project will work with hotels/tour operators to pilot private-community partnerships for conservation and restoration (e.g. hotel resort and community mangrove restoration</w:t>
      </w:r>
      <w:r w:rsidR="00235E8A">
        <w:rPr>
          <w:rFonts w:asciiTheme="majorHAnsi" w:hAnsiTheme="majorHAnsi"/>
          <w:sz w:val="20"/>
          <w:szCs w:val="20"/>
        </w:rPr>
        <w:t>,</w:t>
      </w:r>
      <w:r w:rsidRPr="005722A6">
        <w:rPr>
          <w:rFonts w:asciiTheme="majorHAnsi" w:hAnsiTheme="majorHAnsi"/>
          <w:sz w:val="20"/>
          <w:szCs w:val="20"/>
        </w:rPr>
        <w:t xml:space="preserve"> with interpretation</w:t>
      </w:r>
      <w:r w:rsidR="00235E8A">
        <w:rPr>
          <w:rFonts w:asciiTheme="majorHAnsi" w:hAnsiTheme="majorHAnsi"/>
          <w:sz w:val="20"/>
          <w:szCs w:val="20"/>
        </w:rPr>
        <w:t>,</w:t>
      </w:r>
      <w:r w:rsidRPr="005722A6">
        <w:rPr>
          <w:rFonts w:asciiTheme="majorHAnsi" w:hAnsiTheme="majorHAnsi"/>
          <w:sz w:val="20"/>
          <w:szCs w:val="20"/>
        </w:rPr>
        <w:t xml:space="preserve"> as an education</w:t>
      </w:r>
      <w:r w:rsidR="00235E8A">
        <w:rPr>
          <w:rFonts w:asciiTheme="majorHAnsi" w:hAnsiTheme="majorHAnsi"/>
          <w:sz w:val="20"/>
          <w:szCs w:val="20"/>
        </w:rPr>
        <w:t>al</w:t>
      </w:r>
      <w:r w:rsidRPr="005722A6">
        <w:rPr>
          <w:rFonts w:asciiTheme="majorHAnsi" w:hAnsiTheme="majorHAnsi"/>
          <w:sz w:val="20"/>
          <w:szCs w:val="20"/>
        </w:rPr>
        <w:t xml:space="preserve"> feature/attraction). The project will also work with hotels and tourist resorts to create their landscaped gardens as “Invasive Free Zones” by working to </w:t>
      </w:r>
      <w:r w:rsidR="00235E8A">
        <w:rPr>
          <w:rFonts w:asciiTheme="majorHAnsi" w:hAnsiTheme="majorHAnsi"/>
          <w:sz w:val="20"/>
          <w:szCs w:val="20"/>
        </w:rPr>
        <w:t>replace</w:t>
      </w:r>
      <w:r w:rsidRPr="005722A6">
        <w:rPr>
          <w:rFonts w:asciiTheme="majorHAnsi" w:hAnsiTheme="majorHAnsi"/>
          <w:sz w:val="20"/>
          <w:szCs w:val="20"/>
        </w:rPr>
        <w:t xml:space="preserve"> exotic plants </w:t>
      </w:r>
      <w:r w:rsidR="00235E8A">
        <w:rPr>
          <w:rFonts w:asciiTheme="majorHAnsi" w:hAnsiTheme="majorHAnsi"/>
          <w:sz w:val="20"/>
          <w:szCs w:val="20"/>
        </w:rPr>
        <w:t xml:space="preserve">with </w:t>
      </w:r>
      <w:r w:rsidRPr="005722A6">
        <w:rPr>
          <w:rFonts w:asciiTheme="majorHAnsi" w:hAnsiTheme="majorHAnsi"/>
          <w:sz w:val="20"/>
          <w:szCs w:val="20"/>
        </w:rPr>
        <w:t xml:space="preserve">all non-IAS. </w:t>
      </w:r>
      <w:r w:rsidR="00146D64" w:rsidRPr="005722A6">
        <w:rPr>
          <w:rFonts w:asciiTheme="majorHAnsi" w:hAnsiTheme="majorHAnsi"/>
          <w:sz w:val="20"/>
          <w:szCs w:val="20"/>
        </w:rPr>
        <w:t xml:space="preserve">The GEF activities in Koror state will be synergistic with on-going rodent eradication efforts supported by Island Conservation and MNRET. </w:t>
      </w:r>
      <w:r w:rsidR="00570A10" w:rsidRPr="005722A6">
        <w:rPr>
          <w:rFonts w:asciiTheme="majorHAnsi" w:hAnsiTheme="majorHAnsi"/>
          <w:sz w:val="20"/>
          <w:szCs w:val="20"/>
        </w:rPr>
        <w:t>B</w:t>
      </w:r>
      <w:r w:rsidR="000B1364" w:rsidRPr="005722A6">
        <w:rPr>
          <w:rFonts w:asciiTheme="majorHAnsi" w:hAnsiTheme="majorHAnsi"/>
          <w:sz w:val="20"/>
          <w:szCs w:val="20"/>
        </w:rPr>
        <w:t>iosecurity</w:t>
      </w:r>
      <w:r w:rsidR="00570A10" w:rsidRPr="005722A6">
        <w:rPr>
          <w:rFonts w:asciiTheme="majorHAnsi" w:hAnsiTheme="majorHAnsi"/>
          <w:sz w:val="20"/>
          <w:szCs w:val="20"/>
        </w:rPr>
        <w:t xml:space="preserve"> and monitoring efforts </w:t>
      </w:r>
      <w:r w:rsidR="00146D64" w:rsidRPr="005722A6">
        <w:rPr>
          <w:rFonts w:asciiTheme="majorHAnsi" w:hAnsiTheme="majorHAnsi"/>
          <w:sz w:val="20"/>
          <w:szCs w:val="20"/>
        </w:rPr>
        <w:t xml:space="preserve">supported by </w:t>
      </w:r>
      <w:r w:rsidR="00235E8A">
        <w:rPr>
          <w:rFonts w:asciiTheme="majorHAnsi" w:hAnsiTheme="majorHAnsi"/>
          <w:sz w:val="20"/>
          <w:szCs w:val="20"/>
        </w:rPr>
        <w:t xml:space="preserve">the </w:t>
      </w:r>
      <w:r w:rsidR="00146D64" w:rsidRPr="005722A6">
        <w:rPr>
          <w:rFonts w:asciiTheme="majorHAnsi" w:hAnsiTheme="majorHAnsi"/>
          <w:sz w:val="20"/>
          <w:szCs w:val="20"/>
        </w:rPr>
        <w:t xml:space="preserve">project (Output 3.3) </w:t>
      </w:r>
      <w:r w:rsidR="00570A10" w:rsidRPr="005722A6">
        <w:rPr>
          <w:rFonts w:asciiTheme="majorHAnsi" w:hAnsiTheme="majorHAnsi"/>
          <w:sz w:val="20"/>
          <w:szCs w:val="20"/>
        </w:rPr>
        <w:t xml:space="preserve">will </w:t>
      </w:r>
      <w:r w:rsidR="00146D64" w:rsidRPr="005722A6">
        <w:rPr>
          <w:rFonts w:asciiTheme="majorHAnsi" w:hAnsiTheme="majorHAnsi"/>
          <w:sz w:val="20"/>
          <w:szCs w:val="20"/>
        </w:rPr>
        <w:t xml:space="preserve">extend to </w:t>
      </w:r>
      <w:r w:rsidRPr="005722A6">
        <w:rPr>
          <w:rFonts w:asciiTheme="majorHAnsi" w:hAnsiTheme="majorHAnsi"/>
          <w:sz w:val="20"/>
          <w:szCs w:val="20"/>
        </w:rPr>
        <w:t xml:space="preserve">limestone islands where </w:t>
      </w:r>
      <w:r w:rsidR="000B1364" w:rsidRPr="005722A6">
        <w:rPr>
          <w:rFonts w:asciiTheme="majorHAnsi" w:hAnsiTheme="majorHAnsi"/>
          <w:sz w:val="20"/>
          <w:szCs w:val="20"/>
        </w:rPr>
        <w:t xml:space="preserve">rats, a major threat </w:t>
      </w:r>
      <w:r w:rsidR="00826063" w:rsidRPr="005722A6">
        <w:rPr>
          <w:rFonts w:asciiTheme="majorHAnsi" w:hAnsiTheme="majorHAnsi"/>
          <w:sz w:val="20"/>
          <w:szCs w:val="20"/>
        </w:rPr>
        <w:t xml:space="preserve">to </w:t>
      </w:r>
      <w:r w:rsidR="000B1364" w:rsidRPr="005722A6">
        <w:rPr>
          <w:rFonts w:asciiTheme="majorHAnsi" w:hAnsiTheme="majorHAnsi"/>
          <w:sz w:val="20"/>
          <w:szCs w:val="20"/>
        </w:rPr>
        <w:t>native species, in particular the Micronesian Megapode</w:t>
      </w:r>
      <w:r w:rsidR="00570A10" w:rsidRPr="005722A6">
        <w:rPr>
          <w:rFonts w:asciiTheme="majorHAnsi" w:hAnsiTheme="majorHAnsi"/>
          <w:sz w:val="20"/>
          <w:szCs w:val="20"/>
        </w:rPr>
        <w:t>,</w:t>
      </w:r>
      <w:r w:rsidR="000B1364" w:rsidRPr="005722A6">
        <w:rPr>
          <w:rFonts w:asciiTheme="majorHAnsi" w:hAnsiTheme="majorHAnsi"/>
          <w:sz w:val="20"/>
          <w:szCs w:val="20"/>
        </w:rPr>
        <w:t xml:space="preserve"> have been eradicate</w:t>
      </w:r>
      <w:r w:rsidR="00570A10" w:rsidRPr="005722A6">
        <w:rPr>
          <w:rFonts w:asciiTheme="majorHAnsi" w:hAnsiTheme="majorHAnsi"/>
          <w:sz w:val="20"/>
          <w:szCs w:val="20"/>
        </w:rPr>
        <w:t>d. Extensive</w:t>
      </w:r>
      <w:r w:rsidR="000725FE" w:rsidRPr="005722A6">
        <w:rPr>
          <w:rFonts w:asciiTheme="majorHAnsi" w:hAnsiTheme="majorHAnsi"/>
          <w:sz w:val="20"/>
          <w:szCs w:val="20"/>
        </w:rPr>
        <w:t xml:space="preserve"> biosecurity will focus on marine systems</w:t>
      </w:r>
      <w:r w:rsidR="00235E8A">
        <w:rPr>
          <w:rFonts w:asciiTheme="majorHAnsi" w:hAnsiTheme="majorHAnsi"/>
          <w:sz w:val="20"/>
          <w:szCs w:val="20"/>
        </w:rPr>
        <w:t>,</w:t>
      </w:r>
      <w:r w:rsidR="001D1FEB" w:rsidRPr="005722A6">
        <w:rPr>
          <w:rFonts w:asciiTheme="majorHAnsi" w:hAnsiTheme="majorHAnsi"/>
          <w:sz w:val="20"/>
          <w:szCs w:val="20"/>
        </w:rPr>
        <w:t xml:space="preserve"> as well as the </w:t>
      </w:r>
      <w:r w:rsidR="00570A10" w:rsidRPr="005722A6">
        <w:rPr>
          <w:rFonts w:asciiTheme="majorHAnsi" w:hAnsiTheme="majorHAnsi"/>
          <w:sz w:val="20"/>
          <w:szCs w:val="20"/>
        </w:rPr>
        <w:t xml:space="preserve">development and implementation of strengthened protocols for preventing IAS introduction and spread </w:t>
      </w:r>
      <w:r w:rsidR="00235E8A">
        <w:rPr>
          <w:rFonts w:asciiTheme="majorHAnsi" w:hAnsiTheme="majorHAnsi"/>
          <w:sz w:val="20"/>
          <w:szCs w:val="20"/>
        </w:rPr>
        <w:t>via</w:t>
      </w:r>
      <w:r w:rsidR="00570A10" w:rsidRPr="005722A6">
        <w:rPr>
          <w:rFonts w:asciiTheme="majorHAnsi" w:hAnsiTheme="majorHAnsi"/>
          <w:sz w:val="20"/>
          <w:szCs w:val="20"/>
        </w:rPr>
        <w:t xml:space="preserve"> tourism and </w:t>
      </w:r>
      <w:r w:rsidR="00962543">
        <w:rPr>
          <w:rFonts w:asciiTheme="majorHAnsi" w:hAnsiTheme="majorHAnsi"/>
          <w:sz w:val="20"/>
          <w:szCs w:val="20"/>
        </w:rPr>
        <w:t>related</w:t>
      </w:r>
      <w:r w:rsidR="00962543" w:rsidRPr="005722A6">
        <w:rPr>
          <w:rFonts w:asciiTheme="majorHAnsi" w:hAnsiTheme="majorHAnsi"/>
          <w:sz w:val="20"/>
          <w:szCs w:val="20"/>
        </w:rPr>
        <w:t xml:space="preserve"> </w:t>
      </w:r>
      <w:r w:rsidR="00570A10" w:rsidRPr="005722A6">
        <w:rPr>
          <w:rFonts w:asciiTheme="majorHAnsi" w:hAnsiTheme="majorHAnsi"/>
          <w:sz w:val="20"/>
          <w:szCs w:val="20"/>
        </w:rPr>
        <w:t>sectors.</w:t>
      </w:r>
    </w:p>
    <w:p w14:paraId="71AF01BF" w14:textId="77777777" w:rsidR="007A1BA8" w:rsidRPr="005722A6" w:rsidRDefault="007A1BA8" w:rsidP="00B87774">
      <w:pPr>
        <w:tabs>
          <w:tab w:val="left" w:pos="144"/>
        </w:tabs>
        <w:rPr>
          <w:rFonts w:asciiTheme="majorHAnsi" w:hAnsiTheme="majorHAnsi"/>
          <w:sz w:val="20"/>
          <w:szCs w:val="20"/>
        </w:rPr>
      </w:pPr>
    </w:p>
    <w:p w14:paraId="586EE7BA" w14:textId="54456FBD" w:rsidR="00B87774" w:rsidRPr="005722A6" w:rsidRDefault="00B87774" w:rsidP="00B87774">
      <w:pPr>
        <w:tabs>
          <w:tab w:val="left" w:pos="144"/>
        </w:tabs>
        <w:rPr>
          <w:rFonts w:asciiTheme="majorHAnsi" w:hAnsiTheme="majorHAnsi"/>
          <w:b/>
          <w:i/>
          <w:sz w:val="20"/>
          <w:szCs w:val="20"/>
        </w:rPr>
      </w:pPr>
      <w:r w:rsidRPr="005722A6">
        <w:rPr>
          <w:rFonts w:asciiTheme="majorHAnsi" w:hAnsiTheme="majorHAnsi"/>
          <w:b/>
          <w:i/>
          <w:sz w:val="20"/>
          <w:szCs w:val="20"/>
        </w:rPr>
        <w:t>Output 3.1: Integrated seascape and coastal zone spatial plans incorporating ecosystem services, climate adaptation, high conservation value forests and marine resources, IAS prevention and management, community</w:t>
      </w:r>
      <w:r w:rsidR="00D428B3">
        <w:rPr>
          <w:rFonts w:asciiTheme="majorHAnsi" w:hAnsiTheme="majorHAnsi"/>
          <w:b/>
          <w:i/>
          <w:sz w:val="20"/>
          <w:szCs w:val="20"/>
        </w:rPr>
        <w:t>-</w:t>
      </w:r>
      <w:r w:rsidRPr="005722A6">
        <w:rPr>
          <w:rFonts w:asciiTheme="majorHAnsi" w:hAnsiTheme="majorHAnsi"/>
          <w:b/>
          <w:i/>
          <w:sz w:val="20"/>
          <w:szCs w:val="20"/>
        </w:rPr>
        <w:t>based ecotourism and sustainable resource use developed, implemented and enforced, and informing priori</w:t>
      </w:r>
      <w:r w:rsidR="00D428B3">
        <w:rPr>
          <w:rFonts w:asciiTheme="majorHAnsi" w:hAnsiTheme="majorHAnsi"/>
          <w:b/>
          <w:i/>
          <w:sz w:val="20"/>
          <w:szCs w:val="20"/>
        </w:rPr>
        <w:t>ti</w:t>
      </w:r>
      <w:r w:rsidRPr="005722A6">
        <w:rPr>
          <w:rFonts w:asciiTheme="majorHAnsi" w:hAnsiTheme="majorHAnsi"/>
          <w:b/>
          <w:i/>
          <w:sz w:val="20"/>
          <w:szCs w:val="20"/>
        </w:rPr>
        <w:t>es on land</w:t>
      </w:r>
    </w:p>
    <w:p w14:paraId="762C07ED" w14:textId="06DC9B4D" w:rsidR="00B337D1" w:rsidRPr="005722A6" w:rsidRDefault="0003036B" w:rsidP="00791D94">
      <w:pPr>
        <w:tabs>
          <w:tab w:val="left" w:pos="360"/>
        </w:tabs>
        <w:contextualSpacing/>
        <w:rPr>
          <w:rFonts w:asciiTheme="majorHAnsi" w:hAnsiTheme="majorHAnsi"/>
          <w:sz w:val="20"/>
          <w:szCs w:val="20"/>
        </w:rPr>
      </w:pPr>
      <w:r>
        <w:rPr>
          <w:rFonts w:asciiTheme="majorHAnsi" w:hAnsiTheme="majorHAnsi"/>
          <w:sz w:val="20"/>
          <w:szCs w:val="20"/>
        </w:rPr>
        <w:t>A</w:t>
      </w:r>
      <w:r w:rsidR="00211D4E" w:rsidRPr="005722A6">
        <w:rPr>
          <w:rFonts w:asciiTheme="majorHAnsi" w:hAnsiTheme="majorHAnsi"/>
          <w:sz w:val="20"/>
          <w:szCs w:val="20"/>
        </w:rPr>
        <w:t>n</w:t>
      </w:r>
      <w:r w:rsidR="00791D94" w:rsidRPr="005722A6">
        <w:rPr>
          <w:rFonts w:asciiTheme="majorHAnsi" w:hAnsiTheme="majorHAnsi"/>
          <w:sz w:val="20"/>
          <w:szCs w:val="20"/>
        </w:rPr>
        <w:t xml:space="preserve"> </w:t>
      </w:r>
      <w:r w:rsidR="00D428B3">
        <w:rPr>
          <w:rFonts w:asciiTheme="majorHAnsi" w:hAnsiTheme="majorHAnsi"/>
          <w:sz w:val="20"/>
          <w:szCs w:val="20"/>
        </w:rPr>
        <w:t xml:space="preserve">Integrated Land and Seascape </w:t>
      </w:r>
      <w:r w:rsidR="00EE0E00">
        <w:rPr>
          <w:rFonts w:asciiTheme="majorHAnsi" w:hAnsiTheme="majorHAnsi"/>
          <w:sz w:val="20"/>
          <w:szCs w:val="20"/>
        </w:rPr>
        <w:t xml:space="preserve">Management </w:t>
      </w:r>
      <w:r w:rsidR="00D428B3">
        <w:rPr>
          <w:rFonts w:asciiTheme="majorHAnsi" w:hAnsiTheme="majorHAnsi"/>
          <w:sz w:val="20"/>
          <w:szCs w:val="20"/>
        </w:rPr>
        <w:t xml:space="preserve">Strategy (ILSMS) </w:t>
      </w:r>
      <w:r>
        <w:rPr>
          <w:rFonts w:asciiTheme="majorHAnsi" w:hAnsiTheme="majorHAnsi"/>
          <w:sz w:val="20"/>
          <w:szCs w:val="20"/>
        </w:rPr>
        <w:t xml:space="preserve">will be </w:t>
      </w:r>
      <w:r w:rsidR="001141C4">
        <w:rPr>
          <w:rFonts w:asciiTheme="majorHAnsi" w:hAnsiTheme="majorHAnsi"/>
          <w:sz w:val="20"/>
          <w:szCs w:val="20"/>
        </w:rPr>
        <w:t>elaborated</w:t>
      </w:r>
      <w:r>
        <w:rPr>
          <w:rFonts w:asciiTheme="majorHAnsi" w:hAnsiTheme="majorHAnsi"/>
          <w:sz w:val="20"/>
          <w:szCs w:val="20"/>
        </w:rPr>
        <w:t xml:space="preserve"> </w:t>
      </w:r>
      <w:r w:rsidR="00791D94" w:rsidRPr="005722A6">
        <w:rPr>
          <w:rFonts w:asciiTheme="majorHAnsi" w:hAnsiTheme="majorHAnsi"/>
          <w:sz w:val="20"/>
          <w:szCs w:val="20"/>
        </w:rPr>
        <w:t xml:space="preserve">for the Southern Lagoon and surrounding marine area to the </w:t>
      </w:r>
      <w:r w:rsidR="00655F23" w:rsidRPr="005722A6">
        <w:rPr>
          <w:rFonts w:asciiTheme="majorHAnsi" w:hAnsiTheme="majorHAnsi"/>
          <w:sz w:val="20"/>
          <w:szCs w:val="20"/>
        </w:rPr>
        <w:t xml:space="preserve">state </w:t>
      </w:r>
      <w:r w:rsidR="00791D94" w:rsidRPr="005722A6">
        <w:rPr>
          <w:rFonts w:asciiTheme="majorHAnsi" w:hAnsiTheme="majorHAnsi"/>
          <w:sz w:val="20"/>
          <w:szCs w:val="20"/>
        </w:rPr>
        <w:t xml:space="preserve">water limit of 12 </w:t>
      </w:r>
      <w:r>
        <w:rPr>
          <w:rFonts w:asciiTheme="majorHAnsi" w:hAnsiTheme="majorHAnsi"/>
          <w:sz w:val="20"/>
          <w:szCs w:val="20"/>
        </w:rPr>
        <w:t xml:space="preserve">nautical </w:t>
      </w:r>
      <w:r w:rsidR="00791D94" w:rsidRPr="005722A6">
        <w:rPr>
          <w:rFonts w:asciiTheme="majorHAnsi" w:hAnsiTheme="majorHAnsi"/>
          <w:sz w:val="20"/>
          <w:szCs w:val="20"/>
        </w:rPr>
        <w:t xml:space="preserve">miles </w:t>
      </w:r>
      <w:r>
        <w:rPr>
          <w:rFonts w:asciiTheme="majorHAnsi" w:hAnsiTheme="majorHAnsi"/>
          <w:sz w:val="20"/>
          <w:szCs w:val="20"/>
        </w:rPr>
        <w:t xml:space="preserve">using </w:t>
      </w:r>
      <w:r w:rsidR="00791D94" w:rsidRPr="005722A6">
        <w:rPr>
          <w:rFonts w:asciiTheme="majorHAnsi" w:hAnsiTheme="majorHAnsi"/>
          <w:sz w:val="20"/>
          <w:szCs w:val="20"/>
        </w:rPr>
        <w:t>a participat</w:t>
      </w:r>
      <w:r>
        <w:rPr>
          <w:rFonts w:asciiTheme="majorHAnsi" w:hAnsiTheme="majorHAnsi"/>
          <w:sz w:val="20"/>
          <w:szCs w:val="20"/>
        </w:rPr>
        <w:t>ory</w:t>
      </w:r>
      <w:r w:rsidR="00791D94" w:rsidRPr="005722A6">
        <w:rPr>
          <w:rFonts w:asciiTheme="majorHAnsi" w:hAnsiTheme="majorHAnsi"/>
          <w:sz w:val="20"/>
          <w:szCs w:val="20"/>
        </w:rPr>
        <w:t xml:space="preserve"> approach</w:t>
      </w:r>
      <w:r w:rsidR="00962543">
        <w:rPr>
          <w:rFonts w:asciiTheme="majorHAnsi" w:hAnsiTheme="majorHAnsi"/>
          <w:sz w:val="20"/>
          <w:szCs w:val="20"/>
        </w:rPr>
        <w:t xml:space="preserve">. </w:t>
      </w:r>
      <w:r w:rsidR="00235153" w:rsidRPr="005722A6">
        <w:rPr>
          <w:rFonts w:asciiTheme="majorHAnsi" w:hAnsiTheme="majorHAnsi"/>
          <w:sz w:val="20"/>
          <w:szCs w:val="20"/>
        </w:rPr>
        <w:t xml:space="preserve">Spatial planning beyond the coral reef limits will only address broad issues relating to deep sea fishing. </w:t>
      </w:r>
      <w:r w:rsidR="00655F23" w:rsidRPr="005722A6">
        <w:rPr>
          <w:rFonts w:asciiTheme="majorHAnsi" w:hAnsiTheme="majorHAnsi"/>
          <w:sz w:val="20"/>
          <w:szCs w:val="20"/>
        </w:rPr>
        <w:t xml:space="preserve">Then, the project will work with Koror and Peleliu on individual state </w:t>
      </w:r>
      <w:r w:rsidR="00C64BA0" w:rsidRPr="005722A6">
        <w:rPr>
          <w:rFonts w:asciiTheme="majorHAnsi" w:hAnsiTheme="majorHAnsi"/>
          <w:sz w:val="20"/>
          <w:szCs w:val="20"/>
        </w:rPr>
        <w:t>ILSM</w:t>
      </w:r>
      <w:r w:rsidR="00962543">
        <w:rPr>
          <w:rFonts w:asciiTheme="majorHAnsi" w:hAnsiTheme="majorHAnsi"/>
          <w:sz w:val="20"/>
          <w:szCs w:val="20"/>
        </w:rPr>
        <w:t>Ps</w:t>
      </w:r>
      <w:r w:rsidR="00655F23" w:rsidRPr="005722A6">
        <w:rPr>
          <w:rFonts w:asciiTheme="majorHAnsi" w:hAnsiTheme="majorHAnsi"/>
          <w:sz w:val="20"/>
          <w:szCs w:val="20"/>
        </w:rPr>
        <w:t>.</w:t>
      </w:r>
      <w:r w:rsidR="00C37A47" w:rsidRPr="005722A6">
        <w:rPr>
          <w:rFonts w:asciiTheme="majorHAnsi" w:hAnsiTheme="majorHAnsi"/>
          <w:sz w:val="20"/>
          <w:szCs w:val="20"/>
        </w:rPr>
        <w:t xml:space="preserve"> </w:t>
      </w:r>
      <w:r w:rsidR="00655F23" w:rsidRPr="005722A6">
        <w:rPr>
          <w:rFonts w:asciiTheme="majorHAnsi" w:hAnsiTheme="majorHAnsi"/>
          <w:sz w:val="20"/>
          <w:szCs w:val="20"/>
        </w:rPr>
        <w:t xml:space="preserve">The process, approach and </w:t>
      </w:r>
      <w:r w:rsidR="001141C4">
        <w:rPr>
          <w:rFonts w:asciiTheme="majorHAnsi" w:hAnsiTheme="majorHAnsi"/>
          <w:sz w:val="20"/>
          <w:szCs w:val="20"/>
        </w:rPr>
        <w:t xml:space="preserve">sequence of </w:t>
      </w:r>
      <w:r w:rsidR="00655F23" w:rsidRPr="005722A6">
        <w:rPr>
          <w:rFonts w:asciiTheme="majorHAnsi" w:hAnsiTheme="majorHAnsi"/>
          <w:sz w:val="20"/>
          <w:szCs w:val="20"/>
        </w:rPr>
        <w:t>actions for this output will follow that of Output 2.1. However, Koror and Peleliu have very different needs and capacities</w:t>
      </w:r>
      <w:r w:rsidR="00194AA1">
        <w:rPr>
          <w:rFonts w:asciiTheme="majorHAnsi" w:hAnsiTheme="majorHAnsi"/>
          <w:sz w:val="20"/>
          <w:szCs w:val="20"/>
        </w:rPr>
        <w:t xml:space="preserve">. </w:t>
      </w:r>
      <w:r w:rsidR="00655F23" w:rsidRPr="005722A6">
        <w:rPr>
          <w:rFonts w:asciiTheme="majorHAnsi" w:hAnsiTheme="majorHAnsi"/>
          <w:sz w:val="20"/>
          <w:szCs w:val="20"/>
        </w:rPr>
        <w:t xml:space="preserve">The local level planning approach for Peleliu will follow the established community-based planning process </w:t>
      </w:r>
      <w:r w:rsidR="00655F23" w:rsidRPr="00667639">
        <w:rPr>
          <w:rFonts w:asciiTheme="majorHAnsi" w:hAnsiTheme="majorHAnsi"/>
          <w:sz w:val="20"/>
          <w:szCs w:val="20"/>
        </w:rPr>
        <w:t>(</w:t>
      </w:r>
      <w:r w:rsidR="00655F23" w:rsidRPr="001141C4">
        <w:rPr>
          <w:rFonts w:asciiTheme="majorHAnsi" w:hAnsiTheme="majorHAnsi"/>
          <w:b/>
          <w:sz w:val="20"/>
          <w:szCs w:val="20"/>
        </w:rPr>
        <w:t xml:space="preserve">Annex </w:t>
      </w:r>
      <w:r w:rsidR="001D1FEB" w:rsidRPr="001141C4">
        <w:rPr>
          <w:rFonts w:asciiTheme="majorHAnsi" w:hAnsiTheme="majorHAnsi"/>
          <w:b/>
          <w:sz w:val="20"/>
          <w:szCs w:val="20"/>
        </w:rPr>
        <w:t>4</w:t>
      </w:r>
      <w:r w:rsidR="00655F23" w:rsidRPr="00667639">
        <w:rPr>
          <w:rFonts w:asciiTheme="majorHAnsi" w:hAnsiTheme="majorHAnsi"/>
          <w:sz w:val="20"/>
          <w:szCs w:val="20"/>
        </w:rPr>
        <w:t>)</w:t>
      </w:r>
      <w:r w:rsidR="001141C4">
        <w:rPr>
          <w:rFonts w:asciiTheme="majorHAnsi" w:hAnsiTheme="majorHAnsi"/>
          <w:sz w:val="20"/>
          <w:szCs w:val="20"/>
        </w:rPr>
        <w:t>,</w:t>
      </w:r>
      <w:r w:rsidR="00655F23" w:rsidRPr="005722A6">
        <w:rPr>
          <w:rFonts w:asciiTheme="majorHAnsi" w:hAnsiTheme="majorHAnsi"/>
          <w:sz w:val="20"/>
          <w:szCs w:val="20"/>
        </w:rPr>
        <w:t xml:space="preserve"> such as that used </w:t>
      </w:r>
      <w:r w:rsidR="001141C4">
        <w:rPr>
          <w:rFonts w:asciiTheme="majorHAnsi" w:hAnsiTheme="majorHAnsi"/>
          <w:sz w:val="20"/>
          <w:szCs w:val="20"/>
        </w:rPr>
        <w:t>for</w:t>
      </w:r>
      <w:r w:rsidR="00655F23" w:rsidRPr="005722A6">
        <w:rPr>
          <w:rFonts w:asciiTheme="majorHAnsi" w:hAnsiTheme="majorHAnsi"/>
          <w:sz w:val="20"/>
          <w:szCs w:val="20"/>
        </w:rPr>
        <w:t xml:space="preserve"> Babeldaob. In Koror, however, the process will need to consider the existing </w:t>
      </w:r>
      <w:r w:rsidR="00B337D1" w:rsidRPr="005722A6">
        <w:rPr>
          <w:rFonts w:asciiTheme="majorHAnsi" w:hAnsiTheme="majorHAnsi"/>
          <w:sz w:val="20"/>
          <w:szCs w:val="20"/>
        </w:rPr>
        <w:t>zones, existing economic development projects and plans, and multiple layers of state and traditional governance</w:t>
      </w:r>
      <w:r w:rsidR="00194AA1">
        <w:rPr>
          <w:rFonts w:asciiTheme="majorHAnsi" w:hAnsiTheme="majorHAnsi"/>
          <w:sz w:val="20"/>
          <w:szCs w:val="20"/>
        </w:rPr>
        <w:t xml:space="preserve">. </w:t>
      </w:r>
      <w:r w:rsidR="001141C4">
        <w:rPr>
          <w:rFonts w:asciiTheme="majorHAnsi" w:hAnsiTheme="majorHAnsi"/>
          <w:sz w:val="20"/>
          <w:szCs w:val="20"/>
        </w:rPr>
        <w:t>Give that</w:t>
      </w:r>
      <w:r w:rsidR="00B337D1" w:rsidRPr="005722A6">
        <w:rPr>
          <w:rFonts w:asciiTheme="majorHAnsi" w:hAnsiTheme="majorHAnsi"/>
          <w:sz w:val="20"/>
          <w:szCs w:val="20"/>
        </w:rPr>
        <w:t xml:space="preserve"> parts of Southern Lagoon are already overused, carrying capacities of individual locations</w:t>
      </w:r>
      <w:r w:rsidR="001141C4">
        <w:rPr>
          <w:rFonts w:asciiTheme="majorHAnsi" w:hAnsiTheme="majorHAnsi"/>
          <w:sz w:val="20"/>
          <w:szCs w:val="20"/>
        </w:rPr>
        <w:t xml:space="preserve"> will need to be assessed</w:t>
      </w:r>
      <w:r w:rsidR="00B337D1" w:rsidRPr="005722A6">
        <w:rPr>
          <w:rFonts w:asciiTheme="majorHAnsi" w:hAnsiTheme="majorHAnsi"/>
          <w:sz w:val="20"/>
          <w:szCs w:val="20"/>
        </w:rPr>
        <w:t>.</w:t>
      </w:r>
    </w:p>
    <w:p w14:paraId="60269BCA" w14:textId="77777777" w:rsidR="003D1546" w:rsidRPr="005722A6" w:rsidRDefault="003D1546" w:rsidP="003D1546">
      <w:pPr>
        <w:tabs>
          <w:tab w:val="left" w:pos="144"/>
        </w:tabs>
        <w:rPr>
          <w:rStyle w:val="CommentReference"/>
          <w:rFonts w:asciiTheme="majorHAnsi" w:hAnsiTheme="majorHAnsi"/>
          <w:sz w:val="20"/>
          <w:szCs w:val="20"/>
        </w:rPr>
      </w:pPr>
    </w:p>
    <w:p w14:paraId="4433842D" w14:textId="3D832A10" w:rsidR="003D1546" w:rsidRPr="005722A6" w:rsidRDefault="003D1546" w:rsidP="003D1546">
      <w:pPr>
        <w:tabs>
          <w:tab w:val="left" w:pos="144"/>
        </w:tabs>
        <w:rPr>
          <w:rStyle w:val="CommentReference"/>
          <w:rFonts w:asciiTheme="majorHAnsi" w:hAnsiTheme="majorHAnsi"/>
          <w:sz w:val="20"/>
          <w:szCs w:val="20"/>
        </w:rPr>
      </w:pPr>
      <w:r w:rsidRPr="00EE0E00">
        <w:rPr>
          <w:rStyle w:val="CommentReference"/>
          <w:rFonts w:asciiTheme="majorHAnsi" w:hAnsiTheme="majorHAnsi"/>
          <w:sz w:val="20"/>
          <w:szCs w:val="20"/>
        </w:rPr>
        <w:t>In developing the ILSMP, in particular for Koror State, planning and development would be complemented by a number of related activities that would facilitate the adjustment of current zoning patterns to meet new requirements of tourism development for ensuring the ecological viability of key marine and coastal ecosystems, and mainstreaming of biodiversity and sustainable practices into key sector such as tourism, aquaculture and fisheries</w:t>
      </w:r>
      <w:r w:rsidRPr="005722A6">
        <w:rPr>
          <w:rStyle w:val="CommentReference"/>
          <w:rFonts w:asciiTheme="majorHAnsi" w:hAnsiTheme="majorHAnsi"/>
          <w:sz w:val="20"/>
          <w:szCs w:val="20"/>
        </w:rPr>
        <w:t xml:space="preserve"> </w:t>
      </w:r>
      <w:r w:rsidR="00DC592E" w:rsidRPr="005722A6">
        <w:rPr>
          <w:rStyle w:val="CommentReference"/>
          <w:rFonts w:asciiTheme="majorHAnsi" w:hAnsiTheme="majorHAnsi"/>
          <w:sz w:val="20"/>
          <w:szCs w:val="20"/>
        </w:rPr>
        <w:t xml:space="preserve">and improved surveillance and enforcement </w:t>
      </w:r>
      <w:r w:rsidRPr="005722A6">
        <w:rPr>
          <w:rStyle w:val="CommentReference"/>
          <w:rFonts w:asciiTheme="majorHAnsi" w:hAnsiTheme="majorHAnsi"/>
          <w:sz w:val="20"/>
          <w:szCs w:val="20"/>
        </w:rPr>
        <w:t>(that would be implemented under Outputs 3.</w:t>
      </w:r>
      <w:r w:rsidR="00DC592E" w:rsidRPr="005722A6">
        <w:rPr>
          <w:rStyle w:val="CommentReference"/>
          <w:rFonts w:asciiTheme="majorHAnsi" w:hAnsiTheme="majorHAnsi"/>
          <w:sz w:val="20"/>
          <w:szCs w:val="20"/>
        </w:rPr>
        <w:t xml:space="preserve">2 </w:t>
      </w:r>
      <w:r w:rsidRPr="005722A6">
        <w:rPr>
          <w:rStyle w:val="CommentReference"/>
          <w:rFonts w:asciiTheme="majorHAnsi" w:hAnsiTheme="majorHAnsi"/>
          <w:sz w:val="20"/>
          <w:szCs w:val="20"/>
        </w:rPr>
        <w:t>and 3.</w:t>
      </w:r>
      <w:r w:rsidR="00DC592E" w:rsidRPr="005722A6">
        <w:rPr>
          <w:rStyle w:val="CommentReference"/>
          <w:rFonts w:asciiTheme="majorHAnsi" w:hAnsiTheme="majorHAnsi"/>
          <w:sz w:val="20"/>
          <w:szCs w:val="20"/>
        </w:rPr>
        <w:t>3</w:t>
      </w:r>
      <w:r w:rsidRPr="005722A6">
        <w:rPr>
          <w:rStyle w:val="CommentReference"/>
          <w:rFonts w:asciiTheme="majorHAnsi" w:hAnsiTheme="majorHAnsi"/>
          <w:sz w:val="20"/>
          <w:szCs w:val="20"/>
        </w:rPr>
        <w:t>)</w:t>
      </w:r>
      <w:r w:rsidR="00194AA1">
        <w:rPr>
          <w:rStyle w:val="CommentReference"/>
          <w:rFonts w:asciiTheme="majorHAnsi" w:hAnsiTheme="majorHAnsi"/>
          <w:sz w:val="20"/>
          <w:szCs w:val="20"/>
        </w:rPr>
        <w:t xml:space="preserve">. </w:t>
      </w:r>
      <w:r w:rsidRPr="005722A6">
        <w:rPr>
          <w:rStyle w:val="CommentReference"/>
          <w:rFonts w:asciiTheme="majorHAnsi" w:hAnsiTheme="majorHAnsi"/>
          <w:sz w:val="20"/>
          <w:szCs w:val="20"/>
        </w:rPr>
        <w:t xml:space="preserve">In particular, this would require a number of </w:t>
      </w:r>
      <w:r w:rsidR="001D1FEB" w:rsidRPr="005722A6">
        <w:rPr>
          <w:rStyle w:val="CommentReference"/>
          <w:rFonts w:asciiTheme="majorHAnsi" w:hAnsiTheme="majorHAnsi"/>
          <w:sz w:val="20"/>
          <w:szCs w:val="20"/>
        </w:rPr>
        <w:t xml:space="preserve">specific </w:t>
      </w:r>
      <w:r w:rsidRPr="005722A6">
        <w:rPr>
          <w:rStyle w:val="CommentReference"/>
          <w:rFonts w:asciiTheme="majorHAnsi" w:hAnsiTheme="majorHAnsi"/>
          <w:sz w:val="20"/>
          <w:szCs w:val="20"/>
        </w:rPr>
        <w:t xml:space="preserve">tasks </w:t>
      </w:r>
      <w:r w:rsidR="001D1FEB" w:rsidRPr="005722A6">
        <w:rPr>
          <w:rStyle w:val="CommentReference"/>
          <w:rFonts w:asciiTheme="majorHAnsi" w:hAnsiTheme="majorHAnsi"/>
          <w:sz w:val="20"/>
          <w:szCs w:val="20"/>
        </w:rPr>
        <w:t xml:space="preserve">to be trialed in Koror state (and later upscaled nationwide) </w:t>
      </w:r>
      <w:r w:rsidRPr="005722A6">
        <w:rPr>
          <w:rStyle w:val="CommentReference"/>
          <w:rFonts w:asciiTheme="majorHAnsi" w:hAnsiTheme="majorHAnsi"/>
          <w:sz w:val="20"/>
          <w:szCs w:val="20"/>
        </w:rPr>
        <w:t>to be completed for effective implementation including:</w:t>
      </w:r>
    </w:p>
    <w:p w14:paraId="1C10886E" w14:textId="1D954B4F" w:rsidR="00DF56A3" w:rsidRPr="002F6486" w:rsidRDefault="00DF56A3" w:rsidP="00EE0E00">
      <w:pPr>
        <w:pStyle w:val="ListParagraph"/>
        <w:numPr>
          <w:ilvl w:val="0"/>
          <w:numId w:val="31"/>
        </w:numPr>
        <w:tabs>
          <w:tab w:val="left" w:pos="144"/>
        </w:tabs>
        <w:jc w:val="both"/>
        <w:rPr>
          <w:rStyle w:val="CommentReference"/>
          <w:rFonts w:asciiTheme="majorHAnsi" w:hAnsiTheme="majorHAnsi"/>
          <w:sz w:val="20"/>
          <w:szCs w:val="20"/>
        </w:rPr>
      </w:pPr>
      <w:r w:rsidRPr="00FB46EB">
        <w:rPr>
          <w:rStyle w:val="CommentReference"/>
          <w:rFonts w:asciiTheme="majorHAnsi" w:hAnsiTheme="majorHAnsi"/>
          <w:sz w:val="20"/>
          <w:szCs w:val="20"/>
        </w:rPr>
        <w:t>Development and implementation of protocols for preventing IAS introduction and spread through the tourism and other sectors</w:t>
      </w:r>
      <w:r w:rsidR="00962543">
        <w:rPr>
          <w:rStyle w:val="CommentReference"/>
          <w:rFonts w:asciiTheme="majorHAnsi" w:hAnsiTheme="majorHAnsi"/>
          <w:sz w:val="20"/>
          <w:szCs w:val="20"/>
        </w:rPr>
        <w:t>;</w:t>
      </w:r>
    </w:p>
    <w:p w14:paraId="602F48D8" w14:textId="0376DE15" w:rsidR="006742C2" w:rsidRPr="00E10F48" w:rsidRDefault="006742C2" w:rsidP="00EE0E00">
      <w:pPr>
        <w:pStyle w:val="ListParagraph"/>
        <w:numPr>
          <w:ilvl w:val="0"/>
          <w:numId w:val="31"/>
        </w:numPr>
        <w:tabs>
          <w:tab w:val="left" w:pos="144"/>
        </w:tabs>
        <w:jc w:val="both"/>
        <w:rPr>
          <w:rStyle w:val="CommentReference"/>
          <w:rFonts w:asciiTheme="majorHAnsi" w:hAnsiTheme="majorHAnsi"/>
          <w:sz w:val="20"/>
          <w:szCs w:val="20"/>
        </w:rPr>
      </w:pPr>
      <w:r w:rsidRPr="008C571D">
        <w:rPr>
          <w:rStyle w:val="CommentReference"/>
          <w:rFonts w:asciiTheme="majorHAnsi" w:hAnsiTheme="majorHAnsi"/>
          <w:sz w:val="20"/>
          <w:szCs w:val="20"/>
        </w:rPr>
        <w:t>Development</w:t>
      </w:r>
      <w:r w:rsidR="001029FB" w:rsidRPr="00203F78">
        <w:rPr>
          <w:rStyle w:val="CommentReference"/>
          <w:rFonts w:asciiTheme="majorHAnsi" w:hAnsiTheme="majorHAnsi"/>
          <w:sz w:val="20"/>
          <w:szCs w:val="20"/>
        </w:rPr>
        <w:t>/update</w:t>
      </w:r>
      <w:r w:rsidRPr="00203F78">
        <w:rPr>
          <w:rStyle w:val="CommentReference"/>
          <w:rFonts w:asciiTheme="majorHAnsi" w:hAnsiTheme="majorHAnsi"/>
          <w:sz w:val="20"/>
          <w:szCs w:val="20"/>
        </w:rPr>
        <w:t xml:space="preserve"> of </w:t>
      </w:r>
      <w:r w:rsidR="001029FB" w:rsidRPr="00FF745E">
        <w:rPr>
          <w:rStyle w:val="CommentReference"/>
          <w:rFonts w:asciiTheme="majorHAnsi" w:hAnsiTheme="majorHAnsi"/>
          <w:sz w:val="20"/>
          <w:szCs w:val="20"/>
        </w:rPr>
        <w:t>rules and regulation to ensure sustainable aquaculture and fisheries practices taking into consideration carrying capacity and sustainable limits</w:t>
      </w:r>
      <w:r w:rsidR="00962543">
        <w:rPr>
          <w:rStyle w:val="CommentReference"/>
          <w:rFonts w:asciiTheme="majorHAnsi" w:hAnsiTheme="majorHAnsi"/>
          <w:sz w:val="20"/>
          <w:szCs w:val="20"/>
        </w:rPr>
        <w:t>;</w:t>
      </w:r>
    </w:p>
    <w:p w14:paraId="34545C01" w14:textId="023290F1" w:rsidR="001029FB" w:rsidRPr="00E96B53" w:rsidRDefault="001029FB" w:rsidP="00EE0E00">
      <w:pPr>
        <w:pStyle w:val="ListParagraph"/>
        <w:numPr>
          <w:ilvl w:val="0"/>
          <w:numId w:val="31"/>
        </w:numPr>
        <w:tabs>
          <w:tab w:val="left" w:pos="144"/>
        </w:tabs>
        <w:jc w:val="both"/>
        <w:rPr>
          <w:rStyle w:val="CommentReference"/>
          <w:rFonts w:asciiTheme="majorHAnsi" w:hAnsiTheme="majorHAnsi"/>
          <w:sz w:val="20"/>
          <w:szCs w:val="20"/>
        </w:rPr>
      </w:pPr>
      <w:r w:rsidRPr="00E96B53">
        <w:rPr>
          <w:rStyle w:val="CommentReference"/>
          <w:rFonts w:asciiTheme="majorHAnsi" w:hAnsiTheme="majorHAnsi"/>
          <w:sz w:val="20"/>
          <w:szCs w:val="20"/>
        </w:rPr>
        <w:t>Defining a clear system of rules and regulations for penalties for violations and misconduct, and means for effective enforcement</w:t>
      </w:r>
      <w:r w:rsidR="00962543">
        <w:rPr>
          <w:rStyle w:val="CommentReference"/>
          <w:rFonts w:asciiTheme="majorHAnsi" w:hAnsiTheme="majorHAnsi"/>
          <w:sz w:val="20"/>
          <w:szCs w:val="20"/>
        </w:rPr>
        <w:t>;</w:t>
      </w:r>
      <w:r w:rsidRPr="00E96B53">
        <w:rPr>
          <w:rStyle w:val="CommentReference"/>
          <w:rFonts w:asciiTheme="majorHAnsi" w:hAnsiTheme="majorHAnsi"/>
          <w:sz w:val="20"/>
          <w:szCs w:val="20"/>
        </w:rPr>
        <w:t xml:space="preserve"> </w:t>
      </w:r>
    </w:p>
    <w:p w14:paraId="6B45F07B" w14:textId="68EF21B3" w:rsidR="00DF56A3" w:rsidRPr="00F372D8" w:rsidRDefault="00DF56A3" w:rsidP="00EE0E00">
      <w:pPr>
        <w:pStyle w:val="ListParagraph"/>
        <w:numPr>
          <w:ilvl w:val="0"/>
          <w:numId w:val="31"/>
        </w:numPr>
        <w:tabs>
          <w:tab w:val="left" w:pos="144"/>
        </w:tabs>
        <w:jc w:val="both"/>
        <w:rPr>
          <w:rStyle w:val="CommentReference"/>
          <w:rFonts w:asciiTheme="majorHAnsi" w:hAnsiTheme="majorHAnsi"/>
          <w:sz w:val="20"/>
          <w:szCs w:val="20"/>
        </w:rPr>
      </w:pPr>
      <w:r w:rsidRPr="00627E17">
        <w:rPr>
          <w:rStyle w:val="CommentReference"/>
          <w:rFonts w:asciiTheme="majorHAnsi" w:hAnsiTheme="majorHAnsi"/>
          <w:sz w:val="20"/>
          <w:szCs w:val="20"/>
        </w:rPr>
        <w:t>Strengthened protocols for fisheries management to be developed and tested through existing community engagement mechanisms to support sustainable alternative livelihoods (e.g. near shore to off</w:t>
      </w:r>
      <w:r w:rsidRPr="00F372D8">
        <w:rPr>
          <w:rStyle w:val="CommentReference"/>
          <w:rFonts w:asciiTheme="majorHAnsi" w:hAnsiTheme="majorHAnsi"/>
          <w:sz w:val="20"/>
          <w:szCs w:val="20"/>
        </w:rPr>
        <w:t xml:space="preserve"> shore fishing, aquaculture and tourism)</w:t>
      </w:r>
      <w:r w:rsidR="00962543">
        <w:rPr>
          <w:rStyle w:val="CommentReference"/>
          <w:rFonts w:asciiTheme="majorHAnsi" w:hAnsiTheme="majorHAnsi"/>
          <w:sz w:val="20"/>
          <w:szCs w:val="20"/>
        </w:rPr>
        <w:t>;</w:t>
      </w:r>
    </w:p>
    <w:p w14:paraId="22C5D406" w14:textId="081CA7DD" w:rsidR="002F06A3" w:rsidRPr="005722A6" w:rsidRDefault="002F06A3" w:rsidP="00EE0E00">
      <w:pPr>
        <w:pStyle w:val="ListParagraph"/>
        <w:numPr>
          <w:ilvl w:val="0"/>
          <w:numId w:val="31"/>
        </w:numPr>
        <w:tabs>
          <w:tab w:val="left" w:pos="144"/>
        </w:tabs>
        <w:jc w:val="both"/>
        <w:rPr>
          <w:rStyle w:val="CommentReference"/>
          <w:rFonts w:asciiTheme="majorHAnsi" w:hAnsiTheme="majorHAnsi"/>
          <w:sz w:val="20"/>
          <w:szCs w:val="20"/>
        </w:rPr>
      </w:pPr>
      <w:r w:rsidRPr="005722A6">
        <w:rPr>
          <w:rStyle w:val="CommentReference"/>
          <w:rFonts w:asciiTheme="majorHAnsi" w:hAnsiTheme="majorHAnsi"/>
          <w:sz w:val="20"/>
          <w:szCs w:val="20"/>
        </w:rPr>
        <w:t xml:space="preserve">Conduct of </w:t>
      </w:r>
      <w:r w:rsidR="00962543">
        <w:rPr>
          <w:rStyle w:val="CommentReference"/>
          <w:rFonts w:asciiTheme="majorHAnsi" w:hAnsiTheme="majorHAnsi"/>
          <w:sz w:val="20"/>
          <w:szCs w:val="20"/>
        </w:rPr>
        <w:t>s</w:t>
      </w:r>
      <w:r w:rsidRPr="005722A6">
        <w:rPr>
          <w:rStyle w:val="CommentReference"/>
          <w:rFonts w:asciiTheme="majorHAnsi" w:hAnsiTheme="majorHAnsi"/>
          <w:sz w:val="20"/>
          <w:szCs w:val="20"/>
        </w:rPr>
        <w:t>tate</w:t>
      </w:r>
      <w:r w:rsidR="00962543">
        <w:rPr>
          <w:rStyle w:val="CommentReference"/>
          <w:rFonts w:asciiTheme="majorHAnsi" w:hAnsiTheme="majorHAnsi"/>
          <w:sz w:val="20"/>
          <w:szCs w:val="20"/>
        </w:rPr>
        <w:t xml:space="preserve">-level </w:t>
      </w:r>
      <w:r w:rsidRPr="005722A6">
        <w:rPr>
          <w:rStyle w:val="CommentReference"/>
          <w:rFonts w:asciiTheme="majorHAnsi" w:hAnsiTheme="majorHAnsi"/>
          <w:sz w:val="20"/>
          <w:szCs w:val="20"/>
        </w:rPr>
        <w:t>biodiversity, IAS management and biosecurity review of Koror in form of SWO</w:t>
      </w:r>
      <w:r w:rsidR="00962543">
        <w:rPr>
          <w:rStyle w:val="CommentReference"/>
          <w:rFonts w:asciiTheme="majorHAnsi" w:hAnsiTheme="majorHAnsi"/>
          <w:sz w:val="20"/>
          <w:szCs w:val="20"/>
        </w:rPr>
        <w:t>T</w:t>
      </w:r>
      <w:r w:rsidRPr="005722A6">
        <w:rPr>
          <w:rStyle w:val="CommentReference"/>
          <w:rFonts w:asciiTheme="majorHAnsi" w:hAnsiTheme="majorHAnsi"/>
          <w:sz w:val="20"/>
          <w:szCs w:val="20"/>
        </w:rPr>
        <w:t xml:space="preserve"> analysis to assess capacity, regulations and management to help strengthen legislation, capacity and skills </w:t>
      </w:r>
      <w:r w:rsidR="00962543">
        <w:rPr>
          <w:rStyle w:val="CommentReference"/>
          <w:rFonts w:asciiTheme="majorHAnsi" w:hAnsiTheme="majorHAnsi"/>
          <w:sz w:val="20"/>
          <w:szCs w:val="20"/>
        </w:rPr>
        <w:t>to help</w:t>
      </w:r>
      <w:r w:rsidRPr="005722A6">
        <w:rPr>
          <w:rStyle w:val="CommentReference"/>
          <w:rFonts w:asciiTheme="majorHAnsi" w:hAnsiTheme="majorHAnsi"/>
          <w:sz w:val="20"/>
          <w:szCs w:val="20"/>
        </w:rPr>
        <w:t xml:space="preserve"> oversee tourism, fisheries and aquaculture development </w:t>
      </w:r>
      <w:r w:rsidR="00962543">
        <w:rPr>
          <w:rStyle w:val="CommentReference"/>
          <w:rFonts w:asciiTheme="majorHAnsi" w:hAnsiTheme="majorHAnsi"/>
          <w:sz w:val="20"/>
          <w:szCs w:val="20"/>
        </w:rPr>
        <w:t xml:space="preserve">so as </w:t>
      </w:r>
      <w:r w:rsidRPr="005722A6">
        <w:rPr>
          <w:rStyle w:val="CommentReference"/>
          <w:rFonts w:asciiTheme="majorHAnsi" w:hAnsiTheme="majorHAnsi"/>
          <w:sz w:val="20"/>
          <w:szCs w:val="20"/>
        </w:rPr>
        <w:t>to implement, monitor and enforce environmentally-friendly development</w:t>
      </w:r>
      <w:r w:rsidR="00962543">
        <w:rPr>
          <w:rStyle w:val="CommentReference"/>
          <w:rFonts w:asciiTheme="majorHAnsi" w:hAnsiTheme="majorHAnsi"/>
          <w:sz w:val="20"/>
          <w:szCs w:val="20"/>
        </w:rPr>
        <w:t>; and</w:t>
      </w:r>
      <w:r w:rsidRPr="005722A6">
        <w:rPr>
          <w:rStyle w:val="CommentReference"/>
          <w:rFonts w:asciiTheme="majorHAnsi" w:hAnsiTheme="majorHAnsi"/>
          <w:sz w:val="20"/>
          <w:szCs w:val="20"/>
        </w:rPr>
        <w:t xml:space="preserve"> </w:t>
      </w:r>
    </w:p>
    <w:p w14:paraId="48B01B4F" w14:textId="2668A8C0" w:rsidR="002F06A3" w:rsidRPr="005722A6" w:rsidRDefault="002F06A3" w:rsidP="00EE0E00">
      <w:pPr>
        <w:pStyle w:val="ListParagraph"/>
        <w:numPr>
          <w:ilvl w:val="0"/>
          <w:numId w:val="31"/>
        </w:numPr>
        <w:tabs>
          <w:tab w:val="left" w:pos="144"/>
        </w:tabs>
        <w:jc w:val="both"/>
        <w:rPr>
          <w:rStyle w:val="CommentReference"/>
          <w:rFonts w:asciiTheme="majorHAnsi" w:hAnsiTheme="majorHAnsi"/>
          <w:sz w:val="20"/>
          <w:szCs w:val="20"/>
        </w:rPr>
      </w:pPr>
      <w:r w:rsidRPr="005722A6">
        <w:rPr>
          <w:rStyle w:val="CommentReference"/>
          <w:rFonts w:asciiTheme="majorHAnsi" w:hAnsiTheme="majorHAnsi"/>
          <w:sz w:val="20"/>
          <w:szCs w:val="20"/>
        </w:rPr>
        <w:t>Develop, capacitate and utilize a core state level EDRR response mechanism (as demonstration for later scaling up nationally) with oversight at national level and integrate into ILSMP</w:t>
      </w:r>
    </w:p>
    <w:p w14:paraId="34D83D27" w14:textId="77777777" w:rsidR="002570B3" w:rsidRPr="005722A6" w:rsidRDefault="002570B3" w:rsidP="00B87774">
      <w:pPr>
        <w:tabs>
          <w:tab w:val="left" w:pos="144"/>
        </w:tabs>
        <w:rPr>
          <w:rStyle w:val="CommentReference"/>
          <w:rFonts w:asciiTheme="majorHAnsi" w:hAnsiTheme="majorHAnsi"/>
          <w:sz w:val="20"/>
          <w:szCs w:val="20"/>
        </w:rPr>
      </w:pPr>
    </w:p>
    <w:p w14:paraId="4ADC53F0" w14:textId="5A68A267" w:rsidR="00B87774" w:rsidRPr="005722A6" w:rsidRDefault="00B87774" w:rsidP="00B87774">
      <w:pPr>
        <w:tabs>
          <w:tab w:val="left" w:pos="144"/>
        </w:tabs>
        <w:rPr>
          <w:rFonts w:asciiTheme="majorHAnsi" w:hAnsiTheme="majorHAnsi"/>
          <w:b/>
          <w:i/>
          <w:sz w:val="20"/>
          <w:szCs w:val="20"/>
        </w:rPr>
      </w:pPr>
      <w:r w:rsidRPr="005722A6">
        <w:rPr>
          <w:rFonts w:asciiTheme="majorHAnsi" w:hAnsiTheme="majorHAnsi"/>
          <w:b/>
          <w:i/>
          <w:sz w:val="20"/>
          <w:szCs w:val="20"/>
        </w:rPr>
        <w:t xml:space="preserve">Output 3.2: </w:t>
      </w:r>
      <w:r w:rsidR="0017224D">
        <w:rPr>
          <w:rFonts w:asciiTheme="majorHAnsi" w:hAnsiTheme="majorHAnsi"/>
          <w:b/>
          <w:i/>
          <w:sz w:val="20"/>
          <w:szCs w:val="20"/>
        </w:rPr>
        <w:t>R</w:t>
      </w:r>
      <w:r w:rsidR="001029FB" w:rsidRPr="005722A6">
        <w:rPr>
          <w:rFonts w:asciiTheme="majorHAnsi" w:hAnsiTheme="majorHAnsi"/>
          <w:b/>
          <w:i/>
          <w:sz w:val="20"/>
          <w:szCs w:val="20"/>
        </w:rPr>
        <w:t>esponsible tourism</w:t>
      </w:r>
      <w:r w:rsidR="0017224D">
        <w:rPr>
          <w:rFonts w:asciiTheme="majorHAnsi" w:hAnsiTheme="majorHAnsi"/>
          <w:b/>
          <w:i/>
          <w:sz w:val="20"/>
          <w:szCs w:val="20"/>
        </w:rPr>
        <w:t xml:space="preserve"> </w:t>
      </w:r>
      <w:r w:rsidR="00EE0E00">
        <w:rPr>
          <w:rFonts w:asciiTheme="majorHAnsi" w:hAnsiTheme="majorHAnsi"/>
          <w:b/>
          <w:i/>
          <w:sz w:val="20"/>
          <w:szCs w:val="20"/>
        </w:rPr>
        <w:t>established</w:t>
      </w:r>
      <w:r w:rsidR="00EE0E00" w:rsidRPr="005722A6">
        <w:rPr>
          <w:rFonts w:asciiTheme="majorHAnsi" w:hAnsiTheme="majorHAnsi"/>
          <w:b/>
          <w:i/>
          <w:sz w:val="20"/>
          <w:szCs w:val="20"/>
        </w:rPr>
        <w:t xml:space="preserve"> </w:t>
      </w:r>
      <w:r w:rsidR="001029FB" w:rsidRPr="005722A6">
        <w:rPr>
          <w:rFonts w:asciiTheme="majorHAnsi" w:hAnsiTheme="majorHAnsi"/>
          <w:b/>
          <w:i/>
          <w:sz w:val="20"/>
          <w:szCs w:val="20"/>
        </w:rPr>
        <w:t>in c</w:t>
      </w:r>
      <w:r w:rsidRPr="005722A6">
        <w:rPr>
          <w:rFonts w:asciiTheme="majorHAnsi" w:hAnsiTheme="majorHAnsi"/>
          <w:b/>
          <w:i/>
          <w:sz w:val="20"/>
          <w:szCs w:val="20"/>
        </w:rPr>
        <w:t xml:space="preserve">oastal and marine habitats through </w:t>
      </w:r>
      <w:r w:rsidR="001029FB" w:rsidRPr="005722A6">
        <w:rPr>
          <w:rFonts w:asciiTheme="majorHAnsi" w:hAnsiTheme="majorHAnsi"/>
          <w:b/>
          <w:i/>
          <w:sz w:val="20"/>
          <w:szCs w:val="20"/>
        </w:rPr>
        <w:t xml:space="preserve">improved regulations, business planning and </w:t>
      </w:r>
      <w:r w:rsidRPr="005722A6">
        <w:rPr>
          <w:rFonts w:asciiTheme="majorHAnsi" w:hAnsiTheme="majorHAnsi"/>
          <w:b/>
          <w:i/>
          <w:sz w:val="20"/>
          <w:szCs w:val="20"/>
        </w:rPr>
        <w:t>private</w:t>
      </w:r>
      <w:r w:rsidR="00BD76DE">
        <w:rPr>
          <w:rFonts w:asciiTheme="majorHAnsi" w:hAnsiTheme="majorHAnsi"/>
          <w:b/>
          <w:i/>
          <w:sz w:val="20"/>
          <w:szCs w:val="20"/>
        </w:rPr>
        <w:t xml:space="preserve"> sector</w:t>
      </w:r>
      <w:r w:rsidR="001029FB" w:rsidRPr="005722A6">
        <w:rPr>
          <w:rFonts w:asciiTheme="majorHAnsi" w:hAnsiTheme="majorHAnsi"/>
          <w:b/>
          <w:i/>
          <w:sz w:val="20"/>
          <w:szCs w:val="20"/>
        </w:rPr>
        <w:t xml:space="preserve">-community partnerships </w:t>
      </w:r>
      <w:r w:rsidRPr="005722A6">
        <w:rPr>
          <w:rFonts w:asciiTheme="majorHAnsi" w:hAnsiTheme="majorHAnsi"/>
          <w:b/>
          <w:i/>
          <w:sz w:val="20"/>
          <w:szCs w:val="20"/>
        </w:rPr>
        <w:t xml:space="preserve"> </w:t>
      </w:r>
    </w:p>
    <w:p w14:paraId="155ED026" w14:textId="791B31CF" w:rsidR="00507E0F" w:rsidRPr="005722A6" w:rsidRDefault="00507E0F" w:rsidP="00B87774">
      <w:pPr>
        <w:tabs>
          <w:tab w:val="left" w:pos="144"/>
        </w:tabs>
        <w:rPr>
          <w:rFonts w:asciiTheme="majorHAnsi" w:hAnsiTheme="majorHAnsi"/>
          <w:sz w:val="20"/>
          <w:szCs w:val="20"/>
          <w:lang w:val="en-GB"/>
        </w:rPr>
      </w:pPr>
      <w:r w:rsidRPr="005722A6">
        <w:rPr>
          <w:rFonts w:asciiTheme="majorHAnsi" w:hAnsiTheme="majorHAnsi"/>
          <w:sz w:val="20"/>
          <w:szCs w:val="20"/>
          <w:lang w:val="en-GB"/>
        </w:rPr>
        <w:t xml:space="preserve">Based on developments under Output 3.1, the </w:t>
      </w:r>
      <w:r w:rsidR="0003059D" w:rsidRPr="005722A6">
        <w:rPr>
          <w:rFonts w:asciiTheme="majorHAnsi" w:hAnsiTheme="majorHAnsi"/>
          <w:sz w:val="20"/>
          <w:szCs w:val="20"/>
          <w:lang w:val="en-GB"/>
        </w:rPr>
        <w:t xml:space="preserve">project will work with Koror state to </w:t>
      </w:r>
      <w:r w:rsidRPr="005722A6">
        <w:rPr>
          <w:rFonts w:asciiTheme="majorHAnsi" w:hAnsiTheme="majorHAnsi"/>
          <w:sz w:val="20"/>
          <w:szCs w:val="20"/>
          <w:lang w:val="en-GB"/>
        </w:rPr>
        <w:t>improve tourism-related legislation and regulations, improve tourism business</w:t>
      </w:r>
      <w:r w:rsidR="0003059D" w:rsidRPr="005722A6">
        <w:rPr>
          <w:rFonts w:asciiTheme="majorHAnsi" w:hAnsiTheme="majorHAnsi"/>
          <w:sz w:val="20"/>
          <w:szCs w:val="20"/>
          <w:lang w:val="en-GB"/>
        </w:rPr>
        <w:t xml:space="preserve"> </w:t>
      </w:r>
      <w:r w:rsidRPr="005722A6">
        <w:rPr>
          <w:rFonts w:asciiTheme="majorHAnsi" w:hAnsiTheme="majorHAnsi"/>
          <w:sz w:val="20"/>
          <w:szCs w:val="20"/>
          <w:lang w:val="en-GB"/>
        </w:rPr>
        <w:t xml:space="preserve">planning and implementation, enhance measures for biodiversity-friendly landscaping, improve responsible tourism guide and certification, and support implementation of pilot private-community partnership for conservation and restoration of mangroves as a means to enhance learning and best practices that could later be scaled to a national model. </w:t>
      </w:r>
      <w:r w:rsidR="0003059D" w:rsidRPr="005722A6">
        <w:rPr>
          <w:rFonts w:asciiTheme="majorHAnsi" w:hAnsiTheme="majorHAnsi"/>
          <w:sz w:val="20"/>
          <w:szCs w:val="20"/>
          <w:lang w:val="en-GB"/>
        </w:rPr>
        <w:t xml:space="preserve">Incentives/disincentives for promoting adherence of tourism sector to the new standards developed under </w:t>
      </w:r>
      <w:r w:rsidRPr="005722A6">
        <w:rPr>
          <w:rFonts w:asciiTheme="majorHAnsi" w:hAnsiTheme="majorHAnsi"/>
          <w:sz w:val="20"/>
          <w:szCs w:val="20"/>
          <w:lang w:val="en-GB"/>
        </w:rPr>
        <w:t>Outcome</w:t>
      </w:r>
      <w:r w:rsidR="0003059D" w:rsidRPr="005722A6">
        <w:rPr>
          <w:rFonts w:asciiTheme="majorHAnsi" w:hAnsiTheme="majorHAnsi"/>
          <w:sz w:val="20"/>
          <w:szCs w:val="20"/>
          <w:lang w:val="en-GB"/>
        </w:rPr>
        <w:t xml:space="preserve"> 1 will be developed (e.g. introducing taxes and charges levied on tourism enterprises which are not adopting environmentally friendly practices) in concert with strengthened surveillance and enforcement. </w:t>
      </w:r>
      <w:r w:rsidRPr="005722A6">
        <w:rPr>
          <w:rFonts w:asciiTheme="majorHAnsi" w:hAnsiTheme="majorHAnsi"/>
          <w:sz w:val="20"/>
          <w:szCs w:val="20"/>
          <w:lang w:val="en-GB"/>
        </w:rPr>
        <w:t>The GEF increment will support the following activities under this Output:</w:t>
      </w:r>
    </w:p>
    <w:p w14:paraId="41D8A159" w14:textId="236FBB81" w:rsidR="001F1462" w:rsidRPr="005722A6" w:rsidRDefault="008C3B00" w:rsidP="00EE0E00">
      <w:pPr>
        <w:pStyle w:val="ListParagraph"/>
        <w:numPr>
          <w:ilvl w:val="0"/>
          <w:numId w:val="32"/>
        </w:numPr>
        <w:tabs>
          <w:tab w:val="left" w:pos="144"/>
        </w:tabs>
        <w:jc w:val="both"/>
        <w:rPr>
          <w:rFonts w:asciiTheme="majorHAnsi" w:hAnsiTheme="majorHAnsi"/>
          <w:sz w:val="20"/>
          <w:szCs w:val="20"/>
          <w:lang w:val="en-GB"/>
        </w:rPr>
      </w:pPr>
      <w:r w:rsidRPr="00FB46EB">
        <w:rPr>
          <w:rFonts w:asciiTheme="majorHAnsi" w:hAnsiTheme="majorHAnsi"/>
          <w:sz w:val="20"/>
          <w:szCs w:val="20"/>
          <w:lang w:val="en-GB"/>
        </w:rPr>
        <w:lastRenderedPageBreak/>
        <w:t>R</w:t>
      </w:r>
      <w:r w:rsidR="00507E0F" w:rsidRPr="00FB46EB">
        <w:rPr>
          <w:rFonts w:asciiTheme="majorHAnsi" w:hAnsiTheme="majorHAnsi"/>
          <w:sz w:val="20"/>
          <w:szCs w:val="20"/>
          <w:lang w:val="en-GB"/>
        </w:rPr>
        <w:t xml:space="preserve">eview </w:t>
      </w:r>
      <w:r w:rsidRPr="002F6486">
        <w:rPr>
          <w:rFonts w:asciiTheme="majorHAnsi" w:hAnsiTheme="majorHAnsi"/>
          <w:sz w:val="20"/>
          <w:szCs w:val="20"/>
          <w:lang w:val="en-GB"/>
        </w:rPr>
        <w:t xml:space="preserve">of </w:t>
      </w:r>
      <w:r w:rsidR="00507E0F" w:rsidRPr="002F6486">
        <w:rPr>
          <w:rFonts w:asciiTheme="majorHAnsi" w:hAnsiTheme="majorHAnsi"/>
          <w:sz w:val="20"/>
          <w:szCs w:val="20"/>
          <w:lang w:val="en-GB"/>
        </w:rPr>
        <w:t xml:space="preserve">existing legislation and regulations relating to the tourism sector to identify key gaps </w:t>
      </w:r>
      <w:r w:rsidR="0003124F" w:rsidRPr="002F6486">
        <w:rPr>
          <w:rFonts w:asciiTheme="majorHAnsi" w:hAnsiTheme="majorHAnsi"/>
          <w:sz w:val="20"/>
          <w:szCs w:val="20"/>
          <w:lang w:val="en-GB"/>
        </w:rPr>
        <w:t>in promoting environmentally friendly tourism development</w:t>
      </w:r>
      <w:r w:rsidRPr="008C571D">
        <w:rPr>
          <w:rFonts w:asciiTheme="majorHAnsi" w:hAnsiTheme="majorHAnsi"/>
          <w:sz w:val="20"/>
          <w:szCs w:val="20"/>
          <w:lang w:val="en-GB"/>
        </w:rPr>
        <w:t xml:space="preserve"> and </w:t>
      </w:r>
      <w:r w:rsidR="0003124F" w:rsidRPr="00203F78">
        <w:rPr>
          <w:rFonts w:asciiTheme="majorHAnsi" w:hAnsiTheme="majorHAnsi"/>
          <w:sz w:val="20"/>
          <w:szCs w:val="20"/>
          <w:lang w:val="en-GB"/>
        </w:rPr>
        <w:t xml:space="preserve">drafting of new </w:t>
      </w:r>
      <w:r w:rsidRPr="00203F78">
        <w:rPr>
          <w:rFonts w:asciiTheme="majorHAnsi" w:hAnsiTheme="majorHAnsi"/>
          <w:sz w:val="20"/>
          <w:szCs w:val="20"/>
          <w:lang w:val="en-GB"/>
        </w:rPr>
        <w:t xml:space="preserve">or updating existing </w:t>
      </w:r>
      <w:r w:rsidR="0003124F" w:rsidRPr="00FF745E">
        <w:rPr>
          <w:rFonts w:asciiTheme="majorHAnsi" w:hAnsiTheme="majorHAnsi"/>
          <w:sz w:val="20"/>
          <w:szCs w:val="20"/>
          <w:lang w:val="en-GB"/>
        </w:rPr>
        <w:t xml:space="preserve">legislation and regulations </w:t>
      </w:r>
      <w:r w:rsidRPr="00E10F48">
        <w:rPr>
          <w:rFonts w:asciiTheme="majorHAnsi" w:hAnsiTheme="majorHAnsi"/>
          <w:sz w:val="20"/>
          <w:szCs w:val="20"/>
          <w:lang w:val="en-GB"/>
        </w:rPr>
        <w:t>as</w:t>
      </w:r>
      <w:r w:rsidR="0003124F" w:rsidRPr="00E10F48">
        <w:rPr>
          <w:rFonts w:asciiTheme="majorHAnsi" w:hAnsiTheme="majorHAnsi"/>
          <w:sz w:val="20"/>
          <w:szCs w:val="20"/>
          <w:lang w:val="en-GB"/>
        </w:rPr>
        <w:t xml:space="preserve"> needed</w:t>
      </w:r>
      <w:r w:rsidR="00962543">
        <w:rPr>
          <w:rFonts w:asciiTheme="majorHAnsi" w:hAnsiTheme="majorHAnsi"/>
          <w:sz w:val="20"/>
          <w:szCs w:val="20"/>
          <w:lang w:val="en-GB"/>
        </w:rPr>
        <w:t>;</w:t>
      </w:r>
    </w:p>
    <w:p w14:paraId="362308F3" w14:textId="1078FCF6" w:rsidR="00507E0F" w:rsidRPr="008C571D" w:rsidRDefault="001F1462" w:rsidP="00EE0E00">
      <w:pPr>
        <w:pStyle w:val="ListParagraph"/>
        <w:numPr>
          <w:ilvl w:val="0"/>
          <w:numId w:val="32"/>
        </w:numPr>
        <w:tabs>
          <w:tab w:val="left" w:pos="144"/>
        </w:tabs>
        <w:jc w:val="both"/>
        <w:rPr>
          <w:rFonts w:asciiTheme="majorHAnsi" w:hAnsiTheme="majorHAnsi"/>
          <w:sz w:val="20"/>
          <w:szCs w:val="20"/>
        </w:rPr>
      </w:pPr>
      <w:r w:rsidRPr="00FB46EB">
        <w:rPr>
          <w:rStyle w:val="CommentReference"/>
          <w:rFonts w:asciiTheme="majorHAnsi" w:hAnsiTheme="majorHAnsi"/>
          <w:sz w:val="20"/>
          <w:szCs w:val="20"/>
        </w:rPr>
        <w:t xml:space="preserve">Updating </w:t>
      </w:r>
      <w:r w:rsidR="008C3B00" w:rsidRPr="00FB46EB">
        <w:rPr>
          <w:rStyle w:val="CommentReference"/>
          <w:rFonts w:asciiTheme="majorHAnsi" w:hAnsiTheme="majorHAnsi"/>
          <w:sz w:val="20"/>
          <w:szCs w:val="20"/>
        </w:rPr>
        <w:t xml:space="preserve">leasing </w:t>
      </w:r>
      <w:r w:rsidRPr="002F6486">
        <w:rPr>
          <w:rStyle w:val="CommentReference"/>
          <w:rFonts w:asciiTheme="majorHAnsi" w:hAnsiTheme="majorHAnsi"/>
          <w:sz w:val="20"/>
          <w:szCs w:val="20"/>
        </w:rPr>
        <w:t>rules and guidelines for new tourism infrastructure to ensure ecologically sensitive development and practices and for meeting zoning requirements, as well as ensuring environmental friendly practices for existing tourism facilities</w:t>
      </w:r>
      <w:r w:rsidR="00962543">
        <w:rPr>
          <w:rStyle w:val="CommentReference"/>
          <w:rFonts w:asciiTheme="majorHAnsi" w:hAnsiTheme="majorHAnsi"/>
          <w:sz w:val="20"/>
          <w:szCs w:val="20"/>
        </w:rPr>
        <w:t>;</w:t>
      </w:r>
      <w:r w:rsidRPr="002F6486">
        <w:rPr>
          <w:rStyle w:val="CommentReference"/>
          <w:rFonts w:asciiTheme="majorHAnsi" w:hAnsiTheme="majorHAnsi"/>
          <w:sz w:val="20"/>
          <w:szCs w:val="20"/>
        </w:rPr>
        <w:t xml:space="preserve"> </w:t>
      </w:r>
    </w:p>
    <w:p w14:paraId="1ED03F2A" w14:textId="0C8D2C95" w:rsidR="0003124F" w:rsidRPr="005722A6" w:rsidRDefault="0003124F" w:rsidP="00EE0E00">
      <w:pPr>
        <w:pStyle w:val="ListParagraph"/>
        <w:numPr>
          <w:ilvl w:val="0"/>
          <w:numId w:val="32"/>
        </w:numPr>
        <w:tabs>
          <w:tab w:val="left" w:pos="144"/>
        </w:tabs>
        <w:jc w:val="both"/>
        <w:rPr>
          <w:rFonts w:asciiTheme="majorHAnsi" w:hAnsiTheme="majorHAnsi"/>
          <w:sz w:val="20"/>
          <w:szCs w:val="20"/>
          <w:lang w:val="en-GB"/>
        </w:rPr>
      </w:pPr>
      <w:r w:rsidRPr="00203F78">
        <w:rPr>
          <w:rFonts w:asciiTheme="majorHAnsi" w:hAnsiTheme="majorHAnsi"/>
          <w:sz w:val="20"/>
          <w:szCs w:val="20"/>
          <w:lang w:val="en-GB"/>
        </w:rPr>
        <w:t>Development and implementation of strengthened protocols for preventing IAS introduction and spread through tourism and related sectors</w:t>
      </w:r>
      <w:r w:rsidR="00962543">
        <w:rPr>
          <w:rFonts w:asciiTheme="majorHAnsi" w:hAnsiTheme="majorHAnsi"/>
          <w:sz w:val="20"/>
          <w:szCs w:val="20"/>
          <w:lang w:val="en-GB"/>
        </w:rPr>
        <w:t>;</w:t>
      </w:r>
    </w:p>
    <w:p w14:paraId="1C5BBCC3" w14:textId="4E6090FE" w:rsidR="0003124F" w:rsidRPr="005722A6" w:rsidRDefault="0003124F" w:rsidP="00EE0E00">
      <w:pPr>
        <w:pStyle w:val="ListParagraph"/>
        <w:numPr>
          <w:ilvl w:val="0"/>
          <w:numId w:val="32"/>
        </w:numPr>
        <w:tabs>
          <w:tab w:val="left" w:pos="144"/>
        </w:tabs>
        <w:jc w:val="both"/>
        <w:rPr>
          <w:rFonts w:asciiTheme="majorHAnsi" w:hAnsiTheme="majorHAnsi"/>
          <w:sz w:val="20"/>
          <w:szCs w:val="20"/>
          <w:lang w:val="en-GB"/>
        </w:rPr>
      </w:pPr>
      <w:r w:rsidRPr="00FB46EB">
        <w:rPr>
          <w:rFonts w:asciiTheme="majorHAnsi" w:hAnsiTheme="majorHAnsi"/>
          <w:sz w:val="20"/>
          <w:szCs w:val="20"/>
          <w:lang w:val="en-GB"/>
        </w:rPr>
        <w:t>Development of improved business planning guidelines and tools to facilitate biodiversity-friendly business and technical support for piloting improved business planning processes</w:t>
      </w:r>
      <w:r w:rsidR="00962543">
        <w:rPr>
          <w:rFonts w:asciiTheme="majorHAnsi" w:hAnsiTheme="majorHAnsi"/>
          <w:sz w:val="20"/>
          <w:szCs w:val="20"/>
          <w:lang w:val="en-GB"/>
        </w:rPr>
        <w:t>;</w:t>
      </w:r>
    </w:p>
    <w:p w14:paraId="1B105B29" w14:textId="11D68783" w:rsidR="00482936" w:rsidRPr="005722A6" w:rsidRDefault="00482936" w:rsidP="00EE0E00">
      <w:pPr>
        <w:pStyle w:val="ListParagraph"/>
        <w:numPr>
          <w:ilvl w:val="0"/>
          <w:numId w:val="32"/>
        </w:numPr>
        <w:tabs>
          <w:tab w:val="left" w:pos="144"/>
        </w:tabs>
        <w:jc w:val="both"/>
        <w:rPr>
          <w:rFonts w:asciiTheme="majorHAnsi" w:hAnsiTheme="majorHAnsi"/>
          <w:sz w:val="20"/>
          <w:szCs w:val="20"/>
          <w:lang w:val="en-GB"/>
        </w:rPr>
      </w:pPr>
      <w:r w:rsidRPr="00FB46EB">
        <w:rPr>
          <w:rFonts w:asciiTheme="majorHAnsi" w:hAnsiTheme="majorHAnsi"/>
          <w:sz w:val="20"/>
          <w:szCs w:val="20"/>
          <w:lang w:val="en-GB"/>
        </w:rPr>
        <w:t xml:space="preserve">Supporting design and </w:t>
      </w:r>
      <w:r w:rsidR="008C3B00" w:rsidRPr="00FB46EB">
        <w:rPr>
          <w:rFonts w:asciiTheme="majorHAnsi" w:hAnsiTheme="majorHAnsi"/>
          <w:sz w:val="20"/>
          <w:szCs w:val="20"/>
          <w:lang w:val="en-GB"/>
        </w:rPr>
        <w:t xml:space="preserve">piloting of </w:t>
      </w:r>
      <w:r w:rsidRPr="002F6486">
        <w:rPr>
          <w:rFonts w:asciiTheme="majorHAnsi" w:hAnsiTheme="majorHAnsi"/>
          <w:sz w:val="20"/>
          <w:szCs w:val="20"/>
          <w:lang w:val="en-GB"/>
        </w:rPr>
        <w:t xml:space="preserve">biodiversity-friendly tourism products, such as trail setting and location, sign boarding, </w:t>
      </w:r>
      <w:r w:rsidR="00034F6E" w:rsidRPr="002F6486">
        <w:rPr>
          <w:rFonts w:asciiTheme="majorHAnsi" w:hAnsiTheme="majorHAnsi"/>
          <w:sz w:val="20"/>
          <w:szCs w:val="20"/>
          <w:lang w:val="en-GB"/>
        </w:rPr>
        <w:t>interpretation, improved visitor experience, etc.</w:t>
      </w:r>
      <w:r w:rsidR="00962543">
        <w:rPr>
          <w:rFonts w:asciiTheme="majorHAnsi" w:hAnsiTheme="majorHAnsi"/>
          <w:sz w:val="20"/>
          <w:szCs w:val="20"/>
          <w:lang w:val="en-GB"/>
        </w:rPr>
        <w:t>;</w:t>
      </w:r>
      <w:r w:rsidR="00034F6E" w:rsidRPr="002F6486">
        <w:rPr>
          <w:rFonts w:asciiTheme="majorHAnsi" w:hAnsiTheme="majorHAnsi"/>
          <w:sz w:val="20"/>
          <w:szCs w:val="20"/>
          <w:lang w:val="en-GB"/>
        </w:rPr>
        <w:t xml:space="preserve"> </w:t>
      </w:r>
    </w:p>
    <w:p w14:paraId="6F8C17B2" w14:textId="58F0271C" w:rsidR="0003124F" w:rsidRPr="005722A6" w:rsidRDefault="0003124F" w:rsidP="00EE0E00">
      <w:pPr>
        <w:pStyle w:val="ListParagraph"/>
        <w:numPr>
          <w:ilvl w:val="0"/>
          <w:numId w:val="32"/>
        </w:numPr>
        <w:tabs>
          <w:tab w:val="left" w:pos="144"/>
        </w:tabs>
        <w:jc w:val="both"/>
        <w:rPr>
          <w:rFonts w:asciiTheme="majorHAnsi" w:hAnsiTheme="majorHAnsi"/>
          <w:sz w:val="20"/>
          <w:szCs w:val="20"/>
          <w:lang w:val="en-GB"/>
        </w:rPr>
      </w:pPr>
      <w:r w:rsidRPr="00FB46EB">
        <w:rPr>
          <w:rFonts w:asciiTheme="majorHAnsi" w:hAnsiTheme="majorHAnsi"/>
          <w:sz w:val="20"/>
          <w:szCs w:val="20"/>
          <w:lang w:val="en-GB"/>
        </w:rPr>
        <w:t xml:space="preserve">Development </w:t>
      </w:r>
      <w:r w:rsidR="008C3B00" w:rsidRPr="00FB46EB">
        <w:rPr>
          <w:rFonts w:asciiTheme="majorHAnsi" w:hAnsiTheme="majorHAnsi"/>
          <w:sz w:val="20"/>
          <w:szCs w:val="20"/>
          <w:lang w:val="en-GB"/>
        </w:rPr>
        <w:t xml:space="preserve">and piloting </w:t>
      </w:r>
      <w:r w:rsidRPr="002F6486">
        <w:rPr>
          <w:rFonts w:asciiTheme="majorHAnsi" w:hAnsiTheme="majorHAnsi"/>
          <w:sz w:val="20"/>
          <w:szCs w:val="20"/>
          <w:lang w:val="en-GB"/>
        </w:rPr>
        <w:t xml:space="preserve">of best practice guidelines for biodiversity-friendly landscaping </w:t>
      </w:r>
      <w:r w:rsidR="008C3B00" w:rsidRPr="002F6486">
        <w:rPr>
          <w:rFonts w:asciiTheme="majorHAnsi" w:hAnsiTheme="majorHAnsi"/>
          <w:sz w:val="20"/>
          <w:szCs w:val="20"/>
          <w:lang w:val="en-GB"/>
        </w:rPr>
        <w:t xml:space="preserve">in tourism resorts; </w:t>
      </w:r>
    </w:p>
    <w:p w14:paraId="389CB51B" w14:textId="28D8D451" w:rsidR="0003124F" w:rsidRPr="005722A6" w:rsidRDefault="005E2BD5" w:rsidP="00EE0E00">
      <w:pPr>
        <w:pStyle w:val="ListParagraph"/>
        <w:numPr>
          <w:ilvl w:val="0"/>
          <w:numId w:val="32"/>
        </w:numPr>
        <w:tabs>
          <w:tab w:val="left" w:pos="144"/>
        </w:tabs>
        <w:jc w:val="both"/>
        <w:rPr>
          <w:rFonts w:asciiTheme="majorHAnsi" w:hAnsiTheme="majorHAnsi"/>
          <w:sz w:val="20"/>
          <w:szCs w:val="20"/>
          <w:lang w:val="en-GB"/>
        </w:rPr>
      </w:pPr>
      <w:r w:rsidRPr="00FB46EB">
        <w:rPr>
          <w:rFonts w:asciiTheme="majorHAnsi" w:hAnsiTheme="majorHAnsi"/>
          <w:sz w:val="20"/>
          <w:szCs w:val="20"/>
          <w:lang w:val="en-GB"/>
        </w:rPr>
        <w:t xml:space="preserve">Piloting private-community partnerships for conservation and restoration of mangrove forests, </w:t>
      </w:r>
      <w:r w:rsidR="008C3B00" w:rsidRPr="00FB46EB">
        <w:rPr>
          <w:rFonts w:asciiTheme="majorHAnsi" w:hAnsiTheme="majorHAnsi"/>
          <w:sz w:val="20"/>
          <w:szCs w:val="20"/>
          <w:lang w:val="en-GB"/>
        </w:rPr>
        <w:t xml:space="preserve">as </w:t>
      </w:r>
      <w:r w:rsidRPr="002F6486">
        <w:rPr>
          <w:rFonts w:asciiTheme="majorHAnsi" w:hAnsiTheme="majorHAnsi"/>
          <w:sz w:val="20"/>
          <w:szCs w:val="20"/>
          <w:lang w:val="en-GB"/>
        </w:rPr>
        <w:t>against the current practice of mangrove clearanc</w:t>
      </w:r>
      <w:r w:rsidR="00BD76DE">
        <w:rPr>
          <w:rFonts w:asciiTheme="majorHAnsi" w:hAnsiTheme="majorHAnsi"/>
          <w:sz w:val="20"/>
          <w:szCs w:val="20"/>
          <w:lang w:val="en-GB"/>
        </w:rPr>
        <w:t>e</w:t>
      </w:r>
      <w:r w:rsidR="00962543">
        <w:rPr>
          <w:rFonts w:asciiTheme="majorHAnsi" w:hAnsiTheme="majorHAnsi"/>
          <w:sz w:val="20"/>
          <w:szCs w:val="20"/>
          <w:lang w:val="en-GB"/>
        </w:rPr>
        <w:t>;</w:t>
      </w:r>
    </w:p>
    <w:p w14:paraId="5BB92F85" w14:textId="666B776F" w:rsidR="00482936" w:rsidRPr="002F6486" w:rsidRDefault="00482936" w:rsidP="00EE0E00">
      <w:pPr>
        <w:pStyle w:val="ListParagraph"/>
        <w:numPr>
          <w:ilvl w:val="0"/>
          <w:numId w:val="32"/>
        </w:numPr>
        <w:jc w:val="both"/>
        <w:rPr>
          <w:rFonts w:asciiTheme="majorHAnsi" w:hAnsiTheme="majorHAnsi"/>
          <w:sz w:val="20"/>
          <w:szCs w:val="20"/>
        </w:rPr>
      </w:pPr>
      <w:r w:rsidRPr="00FB46EB">
        <w:rPr>
          <w:rFonts w:asciiTheme="majorHAnsi" w:hAnsiTheme="majorHAnsi"/>
          <w:sz w:val="20"/>
          <w:szCs w:val="20"/>
        </w:rPr>
        <w:t xml:space="preserve">Trialing of strengthened green certification program for tour operators (developed under Output 1.2), </w:t>
      </w:r>
      <w:r w:rsidR="008C3B00" w:rsidRPr="00FB46EB">
        <w:rPr>
          <w:rFonts w:asciiTheme="majorHAnsi" w:hAnsiTheme="majorHAnsi"/>
          <w:sz w:val="20"/>
          <w:szCs w:val="20"/>
        </w:rPr>
        <w:t xml:space="preserve">for </w:t>
      </w:r>
      <w:r w:rsidR="00034F6E" w:rsidRPr="002F6486">
        <w:rPr>
          <w:rFonts w:asciiTheme="majorHAnsi" w:hAnsiTheme="majorHAnsi"/>
          <w:sz w:val="20"/>
          <w:szCs w:val="20"/>
        </w:rPr>
        <w:t xml:space="preserve">possible scaling up nationwide; </w:t>
      </w:r>
    </w:p>
    <w:p w14:paraId="684864E2" w14:textId="3EFD4C38" w:rsidR="00034F6E" w:rsidRPr="00E10F48" w:rsidRDefault="00034F6E" w:rsidP="00EE0E00">
      <w:pPr>
        <w:pStyle w:val="ListParagraph"/>
        <w:numPr>
          <w:ilvl w:val="0"/>
          <w:numId w:val="32"/>
        </w:numPr>
        <w:jc w:val="both"/>
        <w:rPr>
          <w:rFonts w:asciiTheme="majorHAnsi" w:hAnsiTheme="majorHAnsi"/>
          <w:sz w:val="20"/>
          <w:szCs w:val="20"/>
        </w:rPr>
      </w:pPr>
      <w:r w:rsidRPr="008C571D">
        <w:rPr>
          <w:rFonts w:asciiTheme="majorHAnsi" w:hAnsiTheme="majorHAnsi"/>
          <w:sz w:val="20"/>
          <w:szCs w:val="20"/>
        </w:rPr>
        <w:t>Encouraging tou</w:t>
      </w:r>
      <w:r w:rsidRPr="00203F78">
        <w:rPr>
          <w:rFonts w:asciiTheme="majorHAnsi" w:hAnsiTheme="majorHAnsi"/>
          <w:sz w:val="20"/>
          <w:szCs w:val="20"/>
        </w:rPr>
        <w:t xml:space="preserve">rist resort participation in </w:t>
      </w:r>
      <w:r w:rsidR="008C3B00" w:rsidRPr="00203F78">
        <w:rPr>
          <w:rFonts w:asciiTheme="majorHAnsi" w:hAnsiTheme="majorHAnsi"/>
          <w:sz w:val="20"/>
          <w:szCs w:val="20"/>
        </w:rPr>
        <w:t xml:space="preserve">marine </w:t>
      </w:r>
      <w:r w:rsidRPr="00203F78">
        <w:rPr>
          <w:rFonts w:asciiTheme="majorHAnsi" w:hAnsiTheme="majorHAnsi"/>
          <w:sz w:val="20"/>
          <w:szCs w:val="20"/>
        </w:rPr>
        <w:t>conservation best practices</w:t>
      </w:r>
      <w:r w:rsidR="008C3B00" w:rsidRPr="00FF745E">
        <w:rPr>
          <w:rFonts w:asciiTheme="majorHAnsi" w:hAnsiTheme="majorHAnsi"/>
          <w:sz w:val="20"/>
          <w:szCs w:val="20"/>
        </w:rPr>
        <w:t>; a</w:t>
      </w:r>
      <w:r w:rsidR="008C3B00" w:rsidRPr="00E10F48">
        <w:rPr>
          <w:rFonts w:asciiTheme="majorHAnsi" w:hAnsiTheme="majorHAnsi"/>
          <w:sz w:val="20"/>
          <w:szCs w:val="20"/>
        </w:rPr>
        <w:t xml:space="preserve">nd </w:t>
      </w:r>
      <w:r w:rsidRPr="00E10F48">
        <w:rPr>
          <w:rFonts w:asciiTheme="majorHAnsi" w:hAnsiTheme="majorHAnsi"/>
          <w:sz w:val="20"/>
          <w:szCs w:val="20"/>
        </w:rPr>
        <w:t xml:space="preserve"> </w:t>
      </w:r>
    </w:p>
    <w:p w14:paraId="2EF0E400" w14:textId="38FD276A" w:rsidR="00AF031D" w:rsidRPr="00E96B53" w:rsidRDefault="00AF031D" w:rsidP="00EE0E00">
      <w:pPr>
        <w:pStyle w:val="ListParagraph"/>
        <w:numPr>
          <w:ilvl w:val="0"/>
          <w:numId w:val="32"/>
        </w:numPr>
        <w:jc w:val="both"/>
        <w:rPr>
          <w:rFonts w:asciiTheme="majorHAnsi" w:hAnsiTheme="majorHAnsi"/>
          <w:sz w:val="20"/>
          <w:szCs w:val="20"/>
        </w:rPr>
      </w:pPr>
      <w:r w:rsidRPr="00E96B53">
        <w:rPr>
          <w:rFonts w:asciiTheme="majorHAnsi" w:hAnsiTheme="majorHAnsi"/>
          <w:sz w:val="20"/>
          <w:szCs w:val="20"/>
        </w:rPr>
        <w:t>For Peleliu, supporting implementation of Best Practices that are in line with its fledgling tourism sector through the project’s direct financing mechanism.</w:t>
      </w:r>
    </w:p>
    <w:p w14:paraId="513C4DE6" w14:textId="77777777" w:rsidR="00B87774" w:rsidRPr="005722A6" w:rsidRDefault="00B87774" w:rsidP="00B87774">
      <w:pPr>
        <w:tabs>
          <w:tab w:val="left" w:pos="144"/>
        </w:tabs>
        <w:rPr>
          <w:rFonts w:asciiTheme="majorHAnsi" w:hAnsiTheme="majorHAnsi"/>
          <w:b/>
          <w:i/>
          <w:sz w:val="20"/>
          <w:szCs w:val="20"/>
        </w:rPr>
      </w:pPr>
    </w:p>
    <w:p w14:paraId="1185459A" w14:textId="4C9A9D14" w:rsidR="00B87774" w:rsidRPr="005722A6" w:rsidRDefault="00B87774" w:rsidP="00B87774">
      <w:pPr>
        <w:tabs>
          <w:tab w:val="left" w:pos="144"/>
        </w:tabs>
        <w:rPr>
          <w:rFonts w:asciiTheme="majorHAnsi" w:hAnsiTheme="majorHAnsi"/>
          <w:b/>
          <w:i/>
          <w:sz w:val="20"/>
          <w:szCs w:val="20"/>
        </w:rPr>
      </w:pPr>
      <w:r w:rsidRPr="005722A6">
        <w:rPr>
          <w:rFonts w:asciiTheme="majorHAnsi" w:hAnsiTheme="majorHAnsi"/>
          <w:b/>
          <w:i/>
          <w:sz w:val="20"/>
          <w:szCs w:val="20"/>
        </w:rPr>
        <w:t>Output 3.</w:t>
      </w:r>
      <w:r w:rsidR="003D1546" w:rsidRPr="005722A6">
        <w:rPr>
          <w:rFonts w:asciiTheme="majorHAnsi" w:hAnsiTheme="majorHAnsi"/>
          <w:b/>
          <w:i/>
          <w:sz w:val="20"/>
          <w:szCs w:val="20"/>
        </w:rPr>
        <w:t>3</w:t>
      </w:r>
      <w:r w:rsidRPr="005722A6">
        <w:rPr>
          <w:rFonts w:asciiTheme="majorHAnsi" w:hAnsiTheme="majorHAnsi"/>
          <w:b/>
          <w:i/>
          <w:sz w:val="20"/>
          <w:szCs w:val="20"/>
        </w:rPr>
        <w:t>:  Improved surveillance and enforcement for tourism, fisheries and aquaculture sectors</w:t>
      </w:r>
    </w:p>
    <w:p w14:paraId="7B454A5B" w14:textId="77777777" w:rsidR="00AB23B1" w:rsidRPr="005722A6" w:rsidRDefault="00AB23B1" w:rsidP="00AB23B1">
      <w:pPr>
        <w:spacing w:after="0"/>
        <w:rPr>
          <w:rFonts w:asciiTheme="majorHAnsi" w:hAnsiTheme="majorHAnsi"/>
          <w:sz w:val="20"/>
          <w:szCs w:val="20"/>
        </w:rPr>
      </w:pPr>
    </w:p>
    <w:p w14:paraId="2C426C63" w14:textId="1C21EA70" w:rsidR="00AB23B1" w:rsidRPr="005722A6" w:rsidRDefault="00AB23B1" w:rsidP="00AB23B1">
      <w:pPr>
        <w:spacing w:after="0"/>
        <w:rPr>
          <w:rFonts w:asciiTheme="majorHAnsi" w:hAnsiTheme="majorHAnsi"/>
          <w:sz w:val="20"/>
          <w:szCs w:val="20"/>
        </w:rPr>
      </w:pPr>
      <w:r w:rsidRPr="005722A6">
        <w:rPr>
          <w:rFonts w:asciiTheme="majorHAnsi" w:hAnsiTheme="majorHAnsi"/>
          <w:sz w:val="20"/>
          <w:szCs w:val="20"/>
        </w:rPr>
        <w:t xml:space="preserve">The monitoring, surveillance and compliance systems </w:t>
      </w:r>
      <w:r w:rsidR="0017224D">
        <w:rPr>
          <w:rFonts w:asciiTheme="majorHAnsi" w:hAnsiTheme="majorHAnsi"/>
          <w:sz w:val="20"/>
          <w:szCs w:val="20"/>
        </w:rPr>
        <w:t>developed under Output 1.4 will</w:t>
      </w:r>
      <w:r w:rsidRPr="005722A6">
        <w:rPr>
          <w:rFonts w:asciiTheme="majorHAnsi" w:hAnsiTheme="majorHAnsi"/>
          <w:sz w:val="20"/>
          <w:szCs w:val="20"/>
        </w:rPr>
        <w:t xml:space="preserve"> be trialed in the Southern </w:t>
      </w:r>
      <w:r w:rsidR="00E4734F" w:rsidRPr="005722A6">
        <w:rPr>
          <w:rFonts w:asciiTheme="majorHAnsi" w:hAnsiTheme="majorHAnsi"/>
          <w:sz w:val="20"/>
          <w:szCs w:val="20"/>
        </w:rPr>
        <w:t>L</w:t>
      </w:r>
      <w:r w:rsidRPr="005722A6">
        <w:rPr>
          <w:rFonts w:asciiTheme="majorHAnsi" w:hAnsiTheme="majorHAnsi"/>
          <w:sz w:val="20"/>
          <w:szCs w:val="20"/>
        </w:rPr>
        <w:t>agoon States (initially in Koror) in collaboration with DFWP, BMR, BOA</w:t>
      </w:r>
      <w:r w:rsidR="00E4734F" w:rsidRPr="005722A6">
        <w:rPr>
          <w:rFonts w:asciiTheme="majorHAnsi" w:hAnsiTheme="majorHAnsi"/>
          <w:sz w:val="20"/>
          <w:szCs w:val="20"/>
        </w:rPr>
        <w:t>, BD</w:t>
      </w:r>
      <w:r w:rsidRPr="005722A6">
        <w:rPr>
          <w:rFonts w:asciiTheme="majorHAnsi" w:hAnsiTheme="majorHAnsi"/>
          <w:sz w:val="20"/>
          <w:szCs w:val="20"/>
        </w:rPr>
        <w:t xml:space="preserve"> and other regulatory entities, as well as </w:t>
      </w:r>
      <w:r w:rsidR="00373429">
        <w:rPr>
          <w:rFonts w:asciiTheme="majorHAnsi" w:hAnsiTheme="majorHAnsi"/>
          <w:sz w:val="20"/>
          <w:szCs w:val="20"/>
        </w:rPr>
        <w:t>N</w:t>
      </w:r>
      <w:r w:rsidRPr="005722A6">
        <w:rPr>
          <w:rFonts w:asciiTheme="majorHAnsi" w:hAnsiTheme="majorHAnsi"/>
          <w:sz w:val="20"/>
          <w:szCs w:val="20"/>
        </w:rPr>
        <w:t xml:space="preserve">ISC and </w:t>
      </w:r>
      <w:r w:rsidR="00E4734F" w:rsidRPr="005722A6">
        <w:rPr>
          <w:rFonts w:asciiTheme="majorHAnsi" w:hAnsiTheme="majorHAnsi"/>
          <w:sz w:val="20"/>
          <w:szCs w:val="20"/>
        </w:rPr>
        <w:t>NISCO</w:t>
      </w:r>
      <w:r w:rsidR="00194AA1">
        <w:rPr>
          <w:rFonts w:asciiTheme="majorHAnsi" w:hAnsiTheme="majorHAnsi"/>
          <w:sz w:val="20"/>
          <w:szCs w:val="20"/>
        </w:rPr>
        <w:t xml:space="preserve">. </w:t>
      </w:r>
      <w:r w:rsidR="00222277" w:rsidRPr="005722A6">
        <w:rPr>
          <w:rFonts w:asciiTheme="majorHAnsi" w:hAnsiTheme="majorHAnsi"/>
          <w:sz w:val="20"/>
          <w:szCs w:val="20"/>
        </w:rPr>
        <w:t xml:space="preserve">This </w:t>
      </w:r>
      <w:r w:rsidR="0017224D">
        <w:rPr>
          <w:rFonts w:asciiTheme="majorHAnsi" w:hAnsiTheme="majorHAnsi"/>
          <w:sz w:val="20"/>
          <w:szCs w:val="20"/>
        </w:rPr>
        <w:t>will</w:t>
      </w:r>
      <w:r w:rsidR="0017224D" w:rsidRPr="005722A6">
        <w:rPr>
          <w:rFonts w:asciiTheme="majorHAnsi" w:hAnsiTheme="majorHAnsi"/>
          <w:sz w:val="20"/>
          <w:szCs w:val="20"/>
        </w:rPr>
        <w:t xml:space="preserve"> </w:t>
      </w:r>
      <w:r w:rsidR="00222277" w:rsidRPr="005722A6">
        <w:rPr>
          <w:rFonts w:asciiTheme="majorHAnsi" w:hAnsiTheme="majorHAnsi"/>
          <w:sz w:val="20"/>
          <w:szCs w:val="20"/>
        </w:rPr>
        <w:t xml:space="preserve">be covered </w:t>
      </w:r>
      <w:r w:rsidR="00962543">
        <w:rPr>
          <w:rFonts w:asciiTheme="majorHAnsi" w:hAnsiTheme="majorHAnsi"/>
          <w:sz w:val="20"/>
          <w:szCs w:val="20"/>
        </w:rPr>
        <w:t>by</w:t>
      </w:r>
      <w:r w:rsidR="00962543" w:rsidRPr="005722A6">
        <w:rPr>
          <w:rFonts w:asciiTheme="majorHAnsi" w:hAnsiTheme="majorHAnsi"/>
          <w:sz w:val="20"/>
          <w:szCs w:val="20"/>
        </w:rPr>
        <w:t xml:space="preserve"> </w:t>
      </w:r>
      <w:r w:rsidR="00222277" w:rsidRPr="005722A6">
        <w:rPr>
          <w:rFonts w:asciiTheme="majorHAnsi" w:hAnsiTheme="majorHAnsi"/>
          <w:sz w:val="20"/>
          <w:szCs w:val="20"/>
        </w:rPr>
        <w:t xml:space="preserve">two aspects, </w:t>
      </w:r>
      <w:r w:rsidR="0017224D" w:rsidRPr="005722A6">
        <w:rPr>
          <w:rFonts w:asciiTheme="majorHAnsi" w:hAnsiTheme="majorHAnsi"/>
          <w:sz w:val="20"/>
          <w:szCs w:val="20"/>
        </w:rPr>
        <w:t>in particular</w:t>
      </w:r>
      <w:r w:rsidR="0017224D">
        <w:rPr>
          <w:rFonts w:asciiTheme="majorHAnsi" w:hAnsiTheme="majorHAnsi"/>
          <w:sz w:val="20"/>
          <w:szCs w:val="20"/>
        </w:rPr>
        <w:t>:</w:t>
      </w:r>
      <w:r w:rsidR="0017224D" w:rsidRPr="005722A6">
        <w:rPr>
          <w:rFonts w:asciiTheme="majorHAnsi" w:hAnsiTheme="majorHAnsi"/>
          <w:sz w:val="20"/>
          <w:szCs w:val="20"/>
        </w:rPr>
        <w:t xml:space="preserve"> </w:t>
      </w:r>
      <w:r w:rsidR="00222277" w:rsidRPr="005722A6">
        <w:rPr>
          <w:rFonts w:asciiTheme="majorHAnsi" w:hAnsiTheme="majorHAnsi"/>
          <w:sz w:val="20"/>
          <w:szCs w:val="20"/>
        </w:rPr>
        <w:t xml:space="preserve">surveillance </w:t>
      </w:r>
      <w:r w:rsidR="00F002AF">
        <w:rPr>
          <w:rFonts w:asciiTheme="majorHAnsi" w:hAnsiTheme="majorHAnsi"/>
          <w:sz w:val="20"/>
          <w:szCs w:val="20"/>
        </w:rPr>
        <w:t xml:space="preserve">of </w:t>
      </w:r>
      <w:r w:rsidR="00F002AF" w:rsidRPr="005722A6">
        <w:rPr>
          <w:rFonts w:asciiTheme="majorHAnsi" w:hAnsiTheme="majorHAnsi"/>
          <w:sz w:val="20"/>
          <w:szCs w:val="20"/>
        </w:rPr>
        <w:t xml:space="preserve">non-compliance </w:t>
      </w:r>
      <w:r w:rsidR="00222277" w:rsidRPr="005722A6">
        <w:rPr>
          <w:rFonts w:asciiTheme="majorHAnsi" w:hAnsiTheme="majorHAnsi"/>
          <w:sz w:val="20"/>
          <w:szCs w:val="20"/>
        </w:rPr>
        <w:t xml:space="preserve">and enforcement in </w:t>
      </w:r>
      <w:r w:rsidR="00F002AF">
        <w:rPr>
          <w:rFonts w:asciiTheme="majorHAnsi" w:hAnsiTheme="majorHAnsi"/>
          <w:sz w:val="20"/>
          <w:szCs w:val="20"/>
        </w:rPr>
        <w:t xml:space="preserve">(i) </w:t>
      </w:r>
      <w:r w:rsidR="00222277" w:rsidRPr="005722A6">
        <w:rPr>
          <w:rFonts w:asciiTheme="majorHAnsi" w:hAnsiTheme="majorHAnsi"/>
          <w:sz w:val="20"/>
          <w:szCs w:val="20"/>
        </w:rPr>
        <w:t xml:space="preserve">the tourism, fisheries and aquaculture sectors and </w:t>
      </w:r>
      <w:r w:rsidR="00F002AF" w:rsidRPr="005722A6">
        <w:rPr>
          <w:rFonts w:asciiTheme="majorHAnsi" w:hAnsiTheme="majorHAnsi"/>
          <w:sz w:val="20"/>
          <w:szCs w:val="20"/>
        </w:rPr>
        <w:t>in relation to</w:t>
      </w:r>
      <w:r w:rsidR="00F002AF">
        <w:rPr>
          <w:rFonts w:asciiTheme="majorHAnsi" w:hAnsiTheme="majorHAnsi"/>
          <w:sz w:val="20"/>
          <w:szCs w:val="20"/>
        </w:rPr>
        <w:t xml:space="preserve"> (ii)</w:t>
      </w:r>
      <w:r w:rsidR="00222277" w:rsidRPr="005722A6">
        <w:rPr>
          <w:rFonts w:asciiTheme="majorHAnsi" w:hAnsiTheme="majorHAnsi"/>
          <w:sz w:val="20"/>
          <w:szCs w:val="20"/>
        </w:rPr>
        <w:t xml:space="preserve"> implementation of domestic biosecurity actions. </w:t>
      </w:r>
      <w:r w:rsidR="00F002AF">
        <w:rPr>
          <w:rFonts w:asciiTheme="majorHAnsi" w:hAnsiTheme="majorHAnsi"/>
          <w:sz w:val="20"/>
          <w:szCs w:val="20"/>
        </w:rPr>
        <w:t>T</w:t>
      </w:r>
      <w:r w:rsidR="001A251B" w:rsidRPr="005722A6">
        <w:rPr>
          <w:rFonts w:asciiTheme="majorHAnsi" w:hAnsiTheme="majorHAnsi"/>
          <w:sz w:val="20"/>
          <w:szCs w:val="20"/>
        </w:rPr>
        <w:t xml:space="preserve">his Output is </w:t>
      </w:r>
      <w:r w:rsidR="00F002AF">
        <w:rPr>
          <w:rFonts w:asciiTheme="majorHAnsi" w:hAnsiTheme="majorHAnsi"/>
          <w:sz w:val="20"/>
          <w:szCs w:val="20"/>
        </w:rPr>
        <w:t>inten</w:t>
      </w:r>
      <w:r w:rsidR="006A5F19">
        <w:rPr>
          <w:rFonts w:asciiTheme="majorHAnsi" w:hAnsiTheme="majorHAnsi"/>
          <w:sz w:val="20"/>
          <w:szCs w:val="20"/>
        </w:rPr>
        <w:t>d</w:t>
      </w:r>
      <w:r w:rsidR="00F002AF">
        <w:rPr>
          <w:rFonts w:asciiTheme="majorHAnsi" w:hAnsiTheme="majorHAnsi"/>
          <w:sz w:val="20"/>
          <w:szCs w:val="20"/>
        </w:rPr>
        <w:t xml:space="preserve">ed </w:t>
      </w:r>
      <w:r w:rsidR="001A251B" w:rsidRPr="005722A6">
        <w:rPr>
          <w:rFonts w:asciiTheme="majorHAnsi" w:hAnsiTheme="majorHAnsi"/>
          <w:sz w:val="20"/>
          <w:szCs w:val="20"/>
        </w:rPr>
        <w:t xml:space="preserve">to </w:t>
      </w:r>
      <w:r w:rsidR="00F002AF">
        <w:rPr>
          <w:rFonts w:asciiTheme="majorHAnsi" w:hAnsiTheme="majorHAnsi"/>
          <w:sz w:val="20"/>
          <w:szCs w:val="20"/>
        </w:rPr>
        <w:t>pilot</w:t>
      </w:r>
      <w:r w:rsidR="001A251B" w:rsidRPr="005722A6">
        <w:rPr>
          <w:rFonts w:asciiTheme="majorHAnsi" w:hAnsiTheme="majorHAnsi"/>
          <w:sz w:val="20"/>
          <w:szCs w:val="20"/>
        </w:rPr>
        <w:t xml:space="preserve"> specific surveillance and enforcement mechanisms that could be scaled up nationally later. </w:t>
      </w:r>
      <w:r w:rsidR="00222277" w:rsidRPr="005722A6">
        <w:rPr>
          <w:rFonts w:asciiTheme="majorHAnsi" w:hAnsiTheme="majorHAnsi"/>
          <w:sz w:val="20"/>
          <w:szCs w:val="20"/>
        </w:rPr>
        <w:t xml:space="preserve">This Output will cover the following key activities: </w:t>
      </w:r>
    </w:p>
    <w:p w14:paraId="5A8319E5" w14:textId="77777777" w:rsidR="00222277" w:rsidRPr="005722A6" w:rsidRDefault="00222277" w:rsidP="00AB23B1">
      <w:pPr>
        <w:spacing w:after="0"/>
        <w:rPr>
          <w:rFonts w:asciiTheme="majorHAnsi" w:hAnsiTheme="majorHAnsi"/>
          <w:sz w:val="20"/>
          <w:szCs w:val="20"/>
        </w:rPr>
      </w:pPr>
    </w:p>
    <w:p w14:paraId="3442C9C7" w14:textId="67DF3996" w:rsidR="001F1462" w:rsidRPr="00203F78" w:rsidRDefault="00F002AF" w:rsidP="00EE0E00">
      <w:pPr>
        <w:pStyle w:val="ListParagraph"/>
        <w:numPr>
          <w:ilvl w:val="0"/>
          <w:numId w:val="32"/>
        </w:numPr>
        <w:tabs>
          <w:tab w:val="left" w:pos="144"/>
        </w:tabs>
        <w:jc w:val="both"/>
        <w:rPr>
          <w:rStyle w:val="CommentReference"/>
          <w:rFonts w:asciiTheme="majorHAnsi" w:hAnsiTheme="majorHAnsi"/>
          <w:sz w:val="20"/>
          <w:szCs w:val="20"/>
        </w:rPr>
      </w:pPr>
      <w:r>
        <w:rPr>
          <w:rStyle w:val="CommentReference"/>
          <w:rFonts w:asciiTheme="majorHAnsi" w:hAnsiTheme="majorHAnsi"/>
          <w:sz w:val="20"/>
          <w:szCs w:val="20"/>
        </w:rPr>
        <w:t>Piloting</w:t>
      </w:r>
      <w:r w:rsidR="00222277" w:rsidRPr="00FB46EB">
        <w:rPr>
          <w:rStyle w:val="CommentReference"/>
          <w:rFonts w:asciiTheme="majorHAnsi" w:hAnsiTheme="majorHAnsi"/>
          <w:sz w:val="20"/>
          <w:szCs w:val="20"/>
        </w:rPr>
        <w:t xml:space="preserve"> of updated system of rules and regulations (developed under Output 3.</w:t>
      </w:r>
      <w:r w:rsidR="0061437C" w:rsidRPr="00FB46EB">
        <w:rPr>
          <w:rStyle w:val="CommentReference"/>
          <w:rFonts w:asciiTheme="majorHAnsi" w:hAnsiTheme="majorHAnsi"/>
          <w:sz w:val="20"/>
          <w:szCs w:val="20"/>
        </w:rPr>
        <w:t>2</w:t>
      </w:r>
      <w:r w:rsidR="00222277" w:rsidRPr="002F6486">
        <w:rPr>
          <w:rStyle w:val="CommentReference"/>
          <w:rFonts w:asciiTheme="majorHAnsi" w:hAnsiTheme="majorHAnsi"/>
          <w:sz w:val="20"/>
          <w:szCs w:val="20"/>
        </w:rPr>
        <w:t>) for enforcement and penalties for violations and misconduct in tourism, fisheries and aquaculture sectors</w:t>
      </w:r>
      <w:r>
        <w:rPr>
          <w:rStyle w:val="CommentReference"/>
          <w:rFonts w:asciiTheme="majorHAnsi" w:hAnsiTheme="majorHAnsi"/>
          <w:sz w:val="20"/>
          <w:szCs w:val="20"/>
        </w:rPr>
        <w:t>.</w:t>
      </w:r>
    </w:p>
    <w:p w14:paraId="061D4233" w14:textId="79B10F2C" w:rsidR="00222277" w:rsidRPr="00E96B53" w:rsidRDefault="001F1462" w:rsidP="00EE0E00">
      <w:pPr>
        <w:pStyle w:val="ListParagraph"/>
        <w:numPr>
          <w:ilvl w:val="0"/>
          <w:numId w:val="32"/>
        </w:numPr>
        <w:tabs>
          <w:tab w:val="left" w:pos="144"/>
        </w:tabs>
        <w:jc w:val="both"/>
        <w:rPr>
          <w:rStyle w:val="CommentReference"/>
          <w:rFonts w:asciiTheme="majorHAnsi" w:hAnsiTheme="majorHAnsi"/>
          <w:sz w:val="20"/>
          <w:szCs w:val="20"/>
        </w:rPr>
      </w:pPr>
      <w:r w:rsidRPr="00FF745E">
        <w:rPr>
          <w:rStyle w:val="CommentReference"/>
          <w:rFonts w:asciiTheme="majorHAnsi" w:hAnsiTheme="majorHAnsi"/>
          <w:sz w:val="20"/>
          <w:szCs w:val="20"/>
        </w:rPr>
        <w:t>Trialing of domestic/state level biosec</w:t>
      </w:r>
      <w:r w:rsidRPr="00E10F48">
        <w:rPr>
          <w:rStyle w:val="CommentReference"/>
          <w:rFonts w:asciiTheme="majorHAnsi" w:hAnsiTheme="majorHAnsi"/>
          <w:sz w:val="20"/>
          <w:szCs w:val="20"/>
        </w:rPr>
        <w:t>urity actions (in consultation with national partners) through air and sea craft inspections, quarantine and treatment within state boundaries</w:t>
      </w:r>
      <w:r w:rsidR="00F002AF">
        <w:rPr>
          <w:rStyle w:val="CommentReference"/>
          <w:rFonts w:asciiTheme="majorHAnsi" w:hAnsiTheme="majorHAnsi"/>
          <w:sz w:val="20"/>
          <w:szCs w:val="20"/>
        </w:rPr>
        <w:t>.</w:t>
      </w:r>
    </w:p>
    <w:p w14:paraId="4D188657" w14:textId="18A00977" w:rsidR="001F1462" w:rsidRPr="005722A6" w:rsidRDefault="00F002AF" w:rsidP="00EE0E00">
      <w:pPr>
        <w:pStyle w:val="ListParagraph"/>
        <w:numPr>
          <w:ilvl w:val="0"/>
          <w:numId w:val="32"/>
        </w:numPr>
        <w:tabs>
          <w:tab w:val="left" w:pos="144"/>
        </w:tabs>
        <w:jc w:val="both"/>
        <w:rPr>
          <w:rStyle w:val="CommentReference"/>
          <w:rFonts w:asciiTheme="majorHAnsi" w:hAnsiTheme="majorHAnsi"/>
          <w:sz w:val="20"/>
          <w:szCs w:val="20"/>
        </w:rPr>
      </w:pPr>
      <w:r>
        <w:rPr>
          <w:rStyle w:val="CommentReference"/>
          <w:rFonts w:asciiTheme="majorHAnsi" w:hAnsiTheme="majorHAnsi"/>
          <w:sz w:val="20"/>
          <w:szCs w:val="20"/>
        </w:rPr>
        <w:t xml:space="preserve">Develop capacities of </w:t>
      </w:r>
      <w:r w:rsidR="001F1462" w:rsidRPr="00627E17">
        <w:rPr>
          <w:rStyle w:val="CommentReference"/>
          <w:rFonts w:asciiTheme="majorHAnsi" w:hAnsiTheme="majorHAnsi"/>
          <w:sz w:val="20"/>
          <w:szCs w:val="20"/>
        </w:rPr>
        <w:t>domestic/state biosecurity staff and co-workers/community members for biosecurity and IAS management and training events through MNRET and/or NISCO and BD;</w:t>
      </w:r>
      <w:r w:rsidR="001A251B" w:rsidRPr="00F372D8">
        <w:rPr>
          <w:rStyle w:val="CommentReference"/>
          <w:rFonts w:asciiTheme="majorHAnsi" w:hAnsiTheme="majorHAnsi"/>
          <w:sz w:val="20"/>
          <w:szCs w:val="20"/>
        </w:rPr>
        <w:t xml:space="preserve"> </w:t>
      </w:r>
    </w:p>
    <w:p w14:paraId="0B92523A" w14:textId="06BFBEE1" w:rsidR="007A1BA8" w:rsidRPr="005722A6" w:rsidRDefault="001F1462" w:rsidP="00EE0E00">
      <w:pPr>
        <w:pStyle w:val="ListParagraph"/>
        <w:numPr>
          <w:ilvl w:val="0"/>
          <w:numId w:val="32"/>
        </w:numPr>
        <w:tabs>
          <w:tab w:val="left" w:pos="144"/>
        </w:tabs>
        <w:jc w:val="both"/>
        <w:rPr>
          <w:rStyle w:val="CommentReference"/>
          <w:rFonts w:asciiTheme="majorHAnsi" w:hAnsiTheme="majorHAnsi"/>
          <w:sz w:val="20"/>
          <w:szCs w:val="20"/>
        </w:rPr>
      </w:pPr>
      <w:r w:rsidRPr="005722A6">
        <w:rPr>
          <w:rStyle w:val="CommentReference"/>
          <w:rFonts w:asciiTheme="majorHAnsi" w:hAnsiTheme="majorHAnsi"/>
          <w:sz w:val="20"/>
          <w:szCs w:val="20"/>
        </w:rPr>
        <w:t>Improv</w:t>
      </w:r>
      <w:r w:rsidR="00F002AF">
        <w:rPr>
          <w:rStyle w:val="CommentReference"/>
          <w:rFonts w:asciiTheme="majorHAnsi" w:hAnsiTheme="majorHAnsi"/>
          <w:sz w:val="20"/>
          <w:szCs w:val="20"/>
        </w:rPr>
        <w:t>e</w:t>
      </w:r>
      <w:r w:rsidRPr="005722A6">
        <w:rPr>
          <w:rStyle w:val="CommentReference"/>
          <w:rFonts w:asciiTheme="majorHAnsi" w:hAnsiTheme="majorHAnsi"/>
          <w:sz w:val="20"/>
          <w:szCs w:val="20"/>
        </w:rPr>
        <w:t xml:space="preserve"> capacity of personnel for state level biosecurity and IAS management activities as directed by national/state planning strategies, utilizing existing biosecurity officers and/or recruit</w:t>
      </w:r>
      <w:r w:rsidR="00F002AF">
        <w:rPr>
          <w:rStyle w:val="CommentReference"/>
          <w:rFonts w:asciiTheme="majorHAnsi" w:hAnsiTheme="majorHAnsi"/>
          <w:sz w:val="20"/>
          <w:szCs w:val="20"/>
        </w:rPr>
        <w:t>ing</w:t>
      </w:r>
      <w:r w:rsidRPr="005722A6">
        <w:rPr>
          <w:rStyle w:val="CommentReference"/>
          <w:rFonts w:asciiTheme="majorHAnsi" w:hAnsiTheme="majorHAnsi"/>
          <w:sz w:val="20"/>
          <w:szCs w:val="20"/>
        </w:rPr>
        <w:t xml:space="preserve"> additional officers, if necessary, with the expectation that they will be funded through the cost-recover</w:t>
      </w:r>
      <w:r w:rsidR="001A251B" w:rsidRPr="005722A6">
        <w:rPr>
          <w:rStyle w:val="CommentReference"/>
          <w:rFonts w:asciiTheme="majorHAnsi" w:hAnsiTheme="majorHAnsi"/>
          <w:sz w:val="20"/>
          <w:szCs w:val="20"/>
        </w:rPr>
        <w:t>y system once it is established</w:t>
      </w:r>
      <w:r w:rsidR="00F002AF">
        <w:rPr>
          <w:rStyle w:val="CommentReference"/>
          <w:rFonts w:asciiTheme="majorHAnsi" w:hAnsiTheme="majorHAnsi"/>
          <w:sz w:val="20"/>
          <w:szCs w:val="20"/>
        </w:rPr>
        <w:t>.</w:t>
      </w:r>
    </w:p>
    <w:p w14:paraId="7F0D3E32" w14:textId="7B2D8D97" w:rsidR="00D052E8" w:rsidRPr="005722A6" w:rsidRDefault="00D052E8" w:rsidP="00EE0E00">
      <w:pPr>
        <w:pStyle w:val="ListParagraph"/>
        <w:numPr>
          <w:ilvl w:val="0"/>
          <w:numId w:val="32"/>
        </w:numPr>
        <w:tabs>
          <w:tab w:val="left" w:pos="144"/>
        </w:tabs>
        <w:jc w:val="both"/>
        <w:rPr>
          <w:rFonts w:asciiTheme="majorHAnsi" w:hAnsiTheme="majorHAnsi"/>
          <w:sz w:val="20"/>
          <w:szCs w:val="20"/>
        </w:rPr>
      </w:pPr>
      <w:r w:rsidRPr="005722A6">
        <w:rPr>
          <w:rStyle w:val="CommentReference"/>
          <w:rFonts w:asciiTheme="majorHAnsi" w:hAnsiTheme="majorHAnsi"/>
          <w:sz w:val="20"/>
          <w:szCs w:val="20"/>
        </w:rPr>
        <w:t>Train law enforcement rangers, police and other regulatory staff to improve checking of boats, vessel, etc.</w:t>
      </w:r>
    </w:p>
    <w:p w14:paraId="0769379E" w14:textId="77777777" w:rsidR="00B87774" w:rsidRDefault="00B87774" w:rsidP="00B87774">
      <w:pPr>
        <w:tabs>
          <w:tab w:val="left" w:pos="360"/>
        </w:tabs>
        <w:rPr>
          <w:rFonts w:asciiTheme="majorHAnsi" w:hAnsiTheme="majorHAnsi"/>
          <w:b/>
          <w:sz w:val="20"/>
          <w:szCs w:val="20"/>
        </w:rPr>
      </w:pPr>
    </w:p>
    <w:p w14:paraId="62A87E97" w14:textId="7EB237B1" w:rsidR="00442CCE" w:rsidRDefault="00442CCE" w:rsidP="00442CCE">
      <w:pPr>
        <w:rPr>
          <w:b/>
          <w:sz w:val="20"/>
          <w:szCs w:val="20"/>
        </w:rPr>
      </w:pPr>
      <w:r w:rsidRPr="00442CCE">
        <w:rPr>
          <w:b/>
          <w:sz w:val="20"/>
          <w:szCs w:val="20"/>
        </w:rPr>
        <w:t xml:space="preserve">Component </w:t>
      </w:r>
      <w:r>
        <w:rPr>
          <w:b/>
          <w:sz w:val="20"/>
          <w:szCs w:val="20"/>
        </w:rPr>
        <w:t>4:</w:t>
      </w:r>
      <w:r w:rsidRPr="00442CCE">
        <w:rPr>
          <w:b/>
          <w:sz w:val="20"/>
          <w:szCs w:val="20"/>
        </w:rPr>
        <w:t xml:space="preserve"> Gender mainstreaming, monitoring and evaluation</w:t>
      </w:r>
      <w:r>
        <w:rPr>
          <w:b/>
          <w:sz w:val="20"/>
          <w:szCs w:val="20"/>
        </w:rPr>
        <w:t>,</w:t>
      </w:r>
      <w:r w:rsidRPr="00442CCE">
        <w:rPr>
          <w:b/>
          <w:sz w:val="20"/>
          <w:szCs w:val="20"/>
        </w:rPr>
        <w:t xml:space="preserve"> and knowledge management</w:t>
      </w:r>
    </w:p>
    <w:p w14:paraId="750D5539" w14:textId="3D2CE2D0" w:rsidR="00442CCE" w:rsidRPr="00256B06" w:rsidRDefault="00442CCE" w:rsidP="00442CCE">
      <w:pPr>
        <w:spacing w:after="240"/>
        <w:rPr>
          <w:rFonts w:cs="Segoe UI"/>
          <w:color w:val="000000"/>
          <w:sz w:val="20"/>
          <w:szCs w:val="20"/>
        </w:rPr>
      </w:pPr>
      <w:r w:rsidRPr="00256B06">
        <w:rPr>
          <w:rFonts w:cstheme="minorBidi"/>
          <w:color w:val="000000" w:themeColor="text1"/>
          <w:sz w:val="20"/>
          <w:szCs w:val="20"/>
        </w:rPr>
        <w:t>Total Cost: US$</w:t>
      </w:r>
      <w:r w:rsidR="00F01DC8">
        <w:rPr>
          <w:rFonts w:cstheme="minorBidi"/>
          <w:color w:val="000000" w:themeColor="text1"/>
          <w:sz w:val="20"/>
          <w:szCs w:val="20"/>
        </w:rPr>
        <w:t>3,455,000</w:t>
      </w:r>
      <w:r w:rsidRPr="00256B06">
        <w:rPr>
          <w:rFonts w:cstheme="minorBidi"/>
          <w:color w:val="000000" w:themeColor="text1"/>
          <w:sz w:val="20"/>
          <w:szCs w:val="20"/>
        </w:rPr>
        <w:t>; GEF project grant requested: US$</w:t>
      </w:r>
      <w:r w:rsidR="00F01DC8">
        <w:rPr>
          <w:rFonts w:cstheme="minorBidi"/>
          <w:color w:val="000000" w:themeColor="text1"/>
          <w:sz w:val="20"/>
          <w:szCs w:val="20"/>
        </w:rPr>
        <w:t>630,000</w:t>
      </w:r>
      <w:r w:rsidRPr="00256B06">
        <w:rPr>
          <w:rFonts w:cstheme="minorBidi"/>
          <w:color w:val="000000" w:themeColor="text1"/>
          <w:sz w:val="20"/>
          <w:szCs w:val="20"/>
        </w:rPr>
        <w:t>; Co-financing: US$</w:t>
      </w:r>
      <w:r w:rsidR="00F01DC8">
        <w:rPr>
          <w:rFonts w:cstheme="minorBidi"/>
          <w:color w:val="000000" w:themeColor="text1"/>
          <w:sz w:val="20"/>
          <w:szCs w:val="20"/>
        </w:rPr>
        <w:t>2,825,000</w:t>
      </w:r>
      <w:r w:rsidRPr="00256B06">
        <w:rPr>
          <w:rFonts w:cstheme="minorBidi"/>
          <w:color w:val="000000" w:themeColor="text1"/>
          <w:sz w:val="20"/>
          <w:szCs w:val="20"/>
        </w:rPr>
        <w:t xml:space="preserve"> </w:t>
      </w:r>
    </w:p>
    <w:p w14:paraId="6A8752E1" w14:textId="171B91CD" w:rsidR="00B87774" w:rsidRPr="005722A6" w:rsidRDefault="00B87774" w:rsidP="00B87774">
      <w:pPr>
        <w:tabs>
          <w:tab w:val="left" w:pos="360"/>
        </w:tabs>
        <w:rPr>
          <w:rFonts w:asciiTheme="majorHAnsi" w:hAnsiTheme="majorHAnsi"/>
          <w:b/>
          <w:i/>
          <w:color w:val="000000"/>
          <w:sz w:val="20"/>
          <w:szCs w:val="20"/>
        </w:rPr>
      </w:pPr>
      <w:r w:rsidRPr="005722A6">
        <w:rPr>
          <w:rFonts w:asciiTheme="majorHAnsi" w:hAnsiTheme="majorHAnsi"/>
          <w:b/>
          <w:i/>
          <w:sz w:val="20"/>
          <w:szCs w:val="20"/>
        </w:rPr>
        <w:t xml:space="preserve">Outcome 4:  </w:t>
      </w:r>
      <w:r w:rsidRPr="005722A6">
        <w:rPr>
          <w:rFonts w:asciiTheme="majorHAnsi" w:hAnsiTheme="majorHAnsi"/>
          <w:b/>
          <w:i/>
          <w:color w:val="000000"/>
          <w:sz w:val="20"/>
          <w:szCs w:val="20"/>
        </w:rPr>
        <w:t>Knowledge management</w:t>
      </w:r>
      <w:r w:rsidR="006D63E5">
        <w:rPr>
          <w:rFonts w:asciiTheme="majorHAnsi" w:hAnsiTheme="majorHAnsi"/>
          <w:b/>
          <w:i/>
          <w:color w:val="000000"/>
          <w:sz w:val="20"/>
          <w:szCs w:val="20"/>
        </w:rPr>
        <w:t xml:space="preserve">, monitoring and evaluation support, </w:t>
      </w:r>
      <w:r w:rsidRPr="005722A6">
        <w:rPr>
          <w:rFonts w:asciiTheme="majorHAnsi" w:hAnsiTheme="majorHAnsi"/>
          <w:b/>
          <w:i/>
          <w:color w:val="000000"/>
          <w:sz w:val="20"/>
          <w:szCs w:val="20"/>
        </w:rPr>
        <w:t xml:space="preserve">equitable gender benefits and </w:t>
      </w:r>
      <w:r w:rsidR="006D63E5">
        <w:rPr>
          <w:rFonts w:asciiTheme="majorHAnsi" w:hAnsiTheme="majorHAnsi"/>
          <w:b/>
          <w:i/>
          <w:color w:val="000000"/>
          <w:sz w:val="20"/>
          <w:szCs w:val="20"/>
        </w:rPr>
        <w:t>biodiversity conservation in Palau</w:t>
      </w:r>
    </w:p>
    <w:p w14:paraId="64838190" w14:textId="77777777" w:rsidR="00B87774" w:rsidRPr="005722A6" w:rsidRDefault="00B87774" w:rsidP="00905AB8">
      <w:pPr>
        <w:tabs>
          <w:tab w:val="left" w:pos="144"/>
        </w:tabs>
        <w:spacing w:after="0"/>
        <w:rPr>
          <w:rFonts w:asciiTheme="majorHAnsi" w:hAnsiTheme="majorHAnsi"/>
          <w:sz w:val="20"/>
          <w:szCs w:val="20"/>
        </w:rPr>
      </w:pPr>
    </w:p>
    <w:p w14:paraId="240E6CDF" w14:textId="1D9DDC62" w:rsidR="00B87774" w:rsidRPr="005722A6" w:rsidRDefault="00B87774" w:rsidP="00B87774">
      <w:pPr>
        <w:spacing w:after="120" w:line="276" w:lineRule="auto"/>
        <w:rPr>
          <w:rFonts w:asciiTheme="majorHAnsi" w:hAnsiTheme="majorHAnsi"/>
          <w:i/>
          <w:sz w:val="20"/>
          <w:szCs w:val="20"/>
        </w:rPr>
      </w:pPr>
      <w:r w:rsidRPr="005722A6">
        <w:rPr>
          <w:rFonts w:asciiTheme="majorHAnsi" w:hAnsiTheme="majorHAnsi"/>
          <w:i/>
          <w:sz w:val="20"/>
          <w:szCs w:val="20"/>
        </w:rPr>
        <w:t>Baseline conditions (without GEF project):</w:t>
      </w:r>
    </w:p>
    <w:p w14:paraId="58736EA4" w14:textId="5D09F609" w:rsidR="00007EF0" w:rsidRPr="005722A6" w:rsidRDefault="00D9296D" w:rsidP="004F3FD2">
      <w:pPr>
        <w:spacing w:after="120"/>
        <w:rPr>
          <w:rFonts w:asciiTheme="majorHAnsi" w:hAnsiTheme="majorHAnsi"/>
          <w:sz w:val="20"/>
          <w:szCs w:val="20"/>
        </w:rPr>
      </w:pPr>
      <w:r w:rsidRPr="005722A6">
        <w:rPr>
          <w:rFonts w:asciiTheme="majorHAnsi" w:hAnsiTheme="majorHAnsi"/>
          <w:sz w:val="20"/>
          <w:szCs w:val="20"/>
        </w:rPr>
        <w:lastRenderedPageBreak/>
        <w:t xml:space="preserve">Many gender/vulnerable people inequities exist because of gaps in information sharing, knowledge, and attitudes. </w:t>
      </w:r>
      <w:r w:rsidR="00007EF0" w:rsidRPr="005722A6">
        <w:rPr>
          <w:rFonts w:asciiTheme="majorHAnsi" w:hAnsiTheme="majorHAnsi"/>
          <w:sz w:val="20"/>
          <w:szCs w:val="20"/>
        </w:rPr>
        <w:t xml:space="preserve">Traditional knowledge will likely continue to be guarded and segregated by gender, and while there is effort at sharing knowledge using a modern system of schooling, public media, and traditional face-to-face methods, this is likely to continue to advance at its own </w:t>
      </w:r>
      <w:r w:rsidR="00F75640" w:rsidRPr="005722A6">
        <w:rPr>
          <w:rFonts w:asciiTheme="majorHAnsi" w:hAnsiTheme="majorHAnsi"/>
          <w:sz w:val="20"/>
          <w:szCs w:val="20"/>
        </w:rPr>
        <w:t xml:space="preserve">slow </w:t>
      </w:r>
      <w:r w:rsidR="00007EF0" w:rsidRPr="005722A6">
        <w:rPr>
          <w:rFonts w:asciiTheme="majorHAnsi" w:hAnsiTheme="majorHAnsi"/>
          <w:sz w:val="20"/>
          <w:szCs w:val="20"/>
        </w:rPr>
        <w:t xml:space="preserve">pace. </w:t>
      </w:r>
      <w:r w:rsidR="00F75640" w:rsidRPr="005722A6">
        <w:rPr>
          <w:rFonts w:asciiTheme="majorHAnsi" w:hAnsiTheme="majorHAnsi"/>
          <w:sz w:val="20"/>
          <w:szCs w:val="20"/>
        </w:rPr>
        <w:t>K</w:t>
      </w:r>
      <w:r w:rsidR="00007EF0" w:rsidRPr="005722A6">
        <w:rPr>
          <w:rFonts w:asciiTheme="majorHAnsi" w:hAnsiTheme="majorHAnsi"/>
          <w:sz w:val="20"/>
          <w:szCs w:val="20"/>
        </w:rPr>
        <w:t>nowledge and understanding of marine biodiversity</w:t>
      </w:r>
      <w:r w:rsidR="00F75640" w:rsidRPr="005722A6">
        <w:rPr>
          <w:rFonts w:asciiTheme="majorHAnsi" w:hAnsiTheme="majorHAnsi"/>
          <w:sz w:val="20"/>
          <w:szCs w:val="20"/>
        </w:rPr>
        <w:t xml:space="preserve"> and protected areas</w:t>
      </w:r>
      <w:r w:rsidR="00007EF0" w:rsidRPr="005722A6">
        <w:rPr>
          <w:rFonts w:asciiTheme="majorHAnsi" w:hAnsiTheme="majorHAnsi"/>
          <w:sz w:val="20"/>
          <w:szCs w:val="20"/>
        </w:rPr>
        <w:t xml:space="preserve"> is high, </w:t>
      </w:r>
      <w:r w:rsidR="00F75640" w:rsidRPr="005722A6">
        <w:rPr>
          <w:rFonts w:asciiTheme="majorHAnsi" w:hAnsiTheme="majorHAnsi"/>
          <w:sz w:val="20"/>
          <w:szCs w:val="20"/>
        </w:rPr>
        <w:t>and marine</w:t>
      </w:r>
      <w:r w:rsidR="00007EF0" w:rsidRPr="005722A6">
        <w:rPr>
          <w:rFonts w:asciiTheme="majorHAnsi" w:hAnsiTheme="majorHAnsi"/>
          <w:sz w:val="20"/>
          <w:szCs w:val="20"/>
        </w:rPr>
        <w:t xml:space="preserve"> data </w:t>
      </w:r>
      <w:r w:rsidR="00F75640" w:rsidRPr="005722A6">
        <w:rPr>
          <w:rFonts w:asciiTheme="majorHAnsi" w:hAnsiTheme="majorHAnsi"/>
          <w:sz w:val="20"/>
          <w:szCs w:val="20"/>
        </w:rPr>
        <w:t>are</w:t>
      </w:r>
      <w:r w:rsidR="00007EF0" w:rsidRPr="005722A6">
        <w:rPr>
          <w:rFonts w:asciiTheme="majorHAnsi" w:hAnsiTheme="majorHAnsi"/>
          <w:sz w:val="20"/>
          <w:szCs w:val="20"/>
        </w:rPr>
        <w:t xml:space="preserve"> well managed</w:t>
      </w:r>
      <w:r w:rsidR="00F75640" w:rsidRPr="005722A6">
        <w:rPr>
          <w:rFonts w:asciiTheme="majorHAnsi" w:hAnsiTheme="majorHAnsi"/>
          <w:sz w:val="20"/>
          <w:szCs w:val="20"/>
        </w:rPr>
        <w:t xml:space="preserve"> and </w:t>
      </w:r>
      <w:r w:rsidR="00007EF0" w:rsidRPr="005722A6">
        <w:rPr>
          <w:rFonts w:asciiTheme="majorHAnsi" w:hAnsiTheme="majorHAnsi"/>
          <w:sz w:val="20"/>
          <w:szCs w:val="20"/>
        </w:rPr>
        <w:t>housed at PICRC</w:t>
      </w:r>
      <w:r w:rsidR="006035AF" w:rsidRPr="005722A6">
        <w:rPr>
          <w:rFonts w:asciiTheme="majorHAnsi" w:hAnsiTheme="majorHAnsi"/>
          <w:sz w:val="20"/>
          <w:szCs w:val="20"/>
        </w:rPr>
        <w:t>, but priorities for marine information collection have not and likely will not consider gender</w:t>
      </w:r>
      <w:r w:rsidR="00007EF0" w:rsidRPr="005722A6">
        <w:rPr>
          <w:rFonts w:asciiTheme="majorHAnsi" w:hAnsiTheme="majorHAnsi"/>
          <w:sz w:val="20"/>
          <w:szCs w:val="20"/>
        </w:rPr>
        <w:t>.</w:t>
      </w:r>
      <w:r w:rsidR="006035AF" w:rsidRPr="005722A6">
        <w:rPr>
          <w:rFonts w:asciiTheme="majorHAnsi" w:hAnsiTheme="majorHAnsi"/>
          <w:sz w:val="20"/>
          <w:szCs w:val="20"/>
        </w:rPr>
        <w:t xml:space="preserve"> </w:t>
      </w:r>
    </w:p>
    <w:p w14:paraId="5F687C4B" w14:textId="4BD9FDE6" w:rsidR="00007EF0" w:rsidRPr="005722A6" w:rsidRDefault="00F75640" w:rsidP="004F3FD2">
      <w:pPr>
        <w:spacing w:after="120"/>
        <w:rPr>
          <w:rFonts w:asciiTheme="majorHAnsi" w:hAnsiTheme="majorHAnsi"/>
          <w:sz w:val="20"/>
          <w:szCs w:val="20"/>
        </w:rPr>
      </w:pPr>
      <w:r w:rsidRPr="005722A6">
        <w:rPr>
          <w:rFonts w:asciiTheme="majorHAnsi" w:hAnsiTheme="majorHAnsi"/>
          <w:sz w:val="20"/>
          <w:szCs w:val="20"/>
        </w:rPr>
        <w:t xml:space="preserve">While every child </w:t>
      </w:r>
      <w:r w:rsidR="009F46DE">
        <w:rPr>
          <w:rFonts w:asciiTheme="majorHAnsi" w:hAnsiTheme="majorHAnsi"/>
          <w:sz w:val="20"/>
          <w:szCs w:val="20"/>
        </w:rPr>
        <w:t xml:space="preserve">is introduced to the </w:t>
      </w:r>
      <w:r w:rsidRPr="005722A6">
        <w:rPr>
          <w:rFonts w:asciiTheme="majorHAnsi" w:hAnsiTheme="majorHAnsi"/>
          <w:sz w:val="20"/>
          <w:szCs w:val="20"/>
        </w:rPr>
        <w:t xml:space="preserve">Ridge to Reef </w:t>
      </w:r>
      <w:r w:rsidR="00DB4CAD">
        <w:rPr>
          <w:rFonts w:asciiTheme="majorHAnsi" w:hAnsiTheme="majorHAnsi"/>
          <w:sz w:val="20"/>
          <w:szCs w:val="20"/>
        </w:rPr>
        <w:t xml:space="preserve">concept in their </w:t>
      </w:r>
      <w:r w:rsidRPr="005722A6">
        <w:rPr>
          <w:rFonts w:asciiTheme="majorHAnsi" w:hAnsiTheme="majorHAnsi"/>
          <w:sz w:val="20"/>
          <w:szCs w:val="20"/>
        </w:rPr>
        <w:t>5</w:t>
      </w:r>
      <w:r w:rsidRPr="005722A6">
        <w:rPr>
          <w:rFonts w:asciiTheme="majorHAnsi" w:hAnsiTheme="majorHAnsi"/>
          <w:sz w:val="20"/>
          <w:szCs w:val="20"/>
          <w:vertAlign w:val="superscript"/>
        </w:rPr>
        <w:t>th</w:t>
      </w:r>
      <w:r w:rsidRPr="005722A6">
        <w:rPr>
          <w:rFonts w:asciiTheme="majorHAnsi" w:hAnsiTheme="majorHAnsi"/>
          <w:sz w:val="20"/>
          <w:szCs w:val="20"/>
        </w:rPr>
        <w:t xml:space="preserve"> grade</w:t>
      </w:r>
      <w:r w:rsidR="00DB4CAD" w:rsidRPr="00DB4CAD">
        <w:rPr>
          <w:rFonts w:asciiTheme="majorHAnsi" w:hAnsiTheme="majorHAnsi"/>
          <w:sz w:val="20"/>
          <w:szCs w:val="20"/>
        </w:rPr>
        <w:t xml:space="preserve"> </w:t>
      </w:r>
      <w:r w:rsidR="00DB4CAD" w:rsidRPr="005722A6">
        <w:rPr>
          <w:rFonts w:asciiTheme="majorHAnsi" w:hAnsiTheme="majorHAnsi"/>
          <w:sz w:val="20"/>
          <w:szCs w:val="20"/>
        </w:rPr>
        <w:t>curriculum</w:t>
      </w:r>
      <w:r w:rsidRPr="005722A6">
        <w:rPr>
          <w:rFonts w:asciiTheme="majorHAnsi" w:hAnsiTheme="majorHAnsi"/>
          <w:sz w:val="20"/>
          <w:szCs w:val="20"/>
        </w:rPr>
        <w:t xml:space="preserve">, the ecosystem-based perspective does not continue beyond that grade. </w:t>
      </w:r>
      <w:r w:rsidR="00007EF0" w:rsidRPr="005722A6">
        <w:rPr>
          <w:rFonts w:asciiTheme="majorHAnsi" w:hAnsiTheme="majorHAnsi"/>
          <w:sz w:val="20"/>
          <w:szCs w:val="20"/>
        </w:rPr>
        <w:t>Conservation organizations will use newspapers to spread public messages because press releases are free</w:t>
      </w:r>
      <w:r w:rsidRPr="005722A6">
        <w:rPr>
          <w:rFonts w:asciiTheme="majorHAnsi" w:hAnsiTheme="majorHAnsi"/>
          <w:sz w:val="20"/>
          <w:szCs w:val="20"/>
        </w:rPr>
        <w:t>, even though they are not the most effective means of communication.</w:t>
      </w:r>
      <w:r w:rsidR="00007EF0" w:rsidRPr="005722A6">
        <w:rPr>
          <w:rFonts w:asciiTheme="majorHAnsi" w:hAnsiTheme="majorHAnsi"/>
          <w:sz w:val="20"/>
          <w:szCs w:val="20"/>
        </w:rPr>
        <w:t xml:space="preserve"> </w:t>
      </w:r>
      <w:r w:rsidRPr="005722A6">
        <w:rPr>
          <w:rFonts w:asciiTheme="majorHAnsi" w:hAnsiTheme="majorHAnsi"/>
          <w:sz w:val="20"/>
          <w:szCs w:val="20"/>
        </w:rPr>
        <w:t>Despite its growing use, communications will modernize only slowly (e.g. mak</w:t>
      </w:r>
      <w:r w:rsidR="00E04997">
        <w:rPr>
          <w:rFonts w:asciiTheme="majorHAnsi" w:hAnsiTheme="majorHAnsi"/>
          <w:sz w:val="20"/>
          <w:szCs w:val="20"/>
        </w:rPr>
        <w:t>ing</w:t>
      </w:r>
      <w:r w:rsidRPr="005722A6">
        <w:rPr>
          <w:rFonts w:asciiTheme="majorHAnsi" w:hAnsiTheme="majorHAnsi"/>
          <w:sz w:val="20"/>
          <w:szCs w:val="20"/>
        </w:rPr>
        <w:t xml:space="preserve"> use of online formats)</w:t>
      </w:r>
      <w:r w:rsidR="00007EF0" w:rsidRPr="005722A6">
        <w:rPr>
          <w:rFonts w:asciiTheme="majorHAnsi" w:hAnsiTheme="majorHAnsi"/>
          <w:sz w:val="20"/>
          <w:szCs w:val="20"/>
        </w:rPr>
        <w:t xml:space="preserve"> </w:t>
      </w:r>
      <w:r w:rsidR="00083AB4" w:rsidRPr="005722A6">
        <w:rPr>
          <w:rFonts w:asciiTheme="majorHAnsi" w:hAnsiTheme="majorHAnsi"/>
          <w:sz w:val="20"/>
          <w:szCs w:val="20"/>
        </w:rPr>
        <w:t>without the GEF increment</w:t>
      </w:r>
      <w:r w:rsidR="00083AB4">
        <w:rPr>
          <w:rFonts w:asciiTheme="majorHAnsi" w:hAnsiTheme="majorHAnsi"/>
          <w:sz w:val="20"/>
          <w:szCs w:val="20"/>
        </w:rPr>
        <w:t>.</w:t>
      </w:r>
      <w:r w:rsidR="00083AB4" w:rsidRPr="005722A6">
        <w:rPr>
          <w:rFonts w:asciiTheme="majorHAnsi" w:hAnsiTheme="majorHAnsi"/>
          <w:sz w:val="20"/>
          <w:szCs w:val="20"/>
        </w:rPr>
        <w:t xml:space="preserve"> </w:t>
      </w:r>
      <w:r w:rsidR="00007EF0" w:rsidRPr="005722A6">
        <w:rPr>
          <w:rFonts w:asciiTheme="majorHAnsi" w:hAnsiTheme="majorHAnsi"/>
          <w:sz w:val="20"/>
          <w:szCs w:val="20"/>
        </w:rPr>
        <w:t xml:space="preserve">While much information is generated </w:t>
      </w:r>
      <w:r w:rsidR="00083AB4">
        <w:rPr>
          <w:rFonts w:asciiTheme="majorHAnsi" w:hAnsiTheme="majorHAnsi"/>
          <w:sz w:val="20"/>
          <w:szCs w:val="20"/>
        </w:rPr>
        <w:t>by</w:t>
      </w:r>
      <w:r w:rsidR="00007EF0" w:rsidRPr="005722A6">
        <w:rPr>
          <w:rFonts w:asciiTheme="majorHAnsi" w:hAnsiTheme="majorHAnsi"/>
          <w:sz w:val="20"/>
          <w:szCs w:val="20"/>
        </w:rPr>
        <w:t xml:space="preserve"> </w:t>
      </w:r>
      <w:r w:rsidR="00083AB4">
        <w:rPr>
          <w:rFonts w:asciiTheme="majorHAnsi" w:hAnsiTheme="majorHAnsi"/>
          <w:sz w:val="20"/>
          <w:szCs w:val="20"/>
        </w:rPr>
        <w:t>‘</w:t>
      </w:r>
      <w:r w:rsidR="00007EF0" w:rsidRPr="005722A6">
        <w:rPr>
          <w:rFonts w:asciiTheme="majorHAnsi" w:hAnsiTheme="majorHAnsi"/>
          <w:sz w:val="20"/>
          <w:szCs w:val="20"/>
        </w:rPr>
        <w:t>projects</w:t>
      </w:r>
      <w:r w:rsidR="00083AB4">
        <w:rPr>
          <w:rFonts w:asciiTheme="majorHAnsi" w:hAnsiTheme="majorHAnsi"/>
          <w:sz w:val="20"/>
          <w:szCs w:val="20"/>
        </w:rPr>
        <w:t>’</w:t>
      </w:r>
      <w:r w:rsidR="00007EF0" w:rsidRPr="005722A6">
        <w:rPr>
          <w:rFonts w:asciiTheme="majorHAnsi" w:hAnsiTheme="majorHAnsi"/>
          <w:sz w:val="20"/>
          <w:szCs w:val="20"/>
        </w:rPr>
        <w:t xml:space="preserve">, this information is likely to continue to be compartmentalized and not widely shared </w:t>
      </w:r>
      <w:r w:rsidR="00083AB4">
        <w:rPr>
          <w:rFonts w:asciiTheme="majorHAnsi" w:hAnsiTheme="majorHAnsi"/>
          <w:sz w:val="20"/>
          <w:szCs w:val="20"/>
        </w:rPr>
        <w:t xml:space="preserve">beyond </w:t>
      </w:r>
      <w:r w:rsidR="00007EF0" w:rsidRPr="005722A6">
        <w:rPr>
          <w:rFonts w:asciiTheme="majorHAnsi" w:hAnsiTheme="majorHAnsi"/>
          <w:sz w:val="20"/>
          <w:szCs w:val="20"/>
        </w:rPr>
        <w:t xml:space="preserve">the </w:t>
      </w:r>
      <w:r w:rsidR="00083AB4">
        <w:rPr>
          <w:rFonts w:asciiTheme="majorHAnsi" w:hAnsiTheme="majorHAnsi"/>
          <w:sz w:val="20"/>
          <w:szCs w:val="20"/>
        </w:rPr>
        <w:t xml:space="preserve">sectors of the respective </w:t>
      </w:r>
      <w:r w:rsidR="00007EF0" w:rsidRPr="005722A6">
        <w:rPr>
          <w:rFonts w:asciiTheme="majorHAnsi" w:hAnsiTheme="majorHAnsi"/>
          <w:sz w:val="20"/>
          <w:szCs w:val="20"/>
        </w:rPr>
        <w:t xml:space="preserve">of project implementers. </w:t>
      </w:r>
    </w:p>
    <w:p w14:paraId="4675269B" w14:textId="04EE2EEF" w:rsidR="00007EF0" w:rsidRPr="005722A6" w:rsidRDefault="006035AF" w:rsidP="004F3FD2">
      <w:pPr>
        <w:spacing w:after="120"/>
        <w:rPr>
          <w:rFonts w:asciiTheme="majorHAnsi" w:hAnsiTheme="majorHAnsi"/>
          <w:sz w:val="20"/>
          <w:szCs w:val="20"/>
        </w:rPr>
      </w:pPr>
      <w:r w:rsidRPr="005722A6">
        <w:rPr>
          <w:rFonts w:asciiTheme="majorHAnsi" w:hAnsiTheme="majorHAnsi"/>
          <w:sz w:val="20"/>
          <w:szCs w:val="20"/>
        </w:rPr>
        <w:t>G</w:t>
      </w:r>
      <w:r w:rsidR="00007EF0" w:rsidRPr="005722A6">
        <w:rPr>
          <w:rFonts w:asciiTheme="majorHAnsi" w:hAnsiTheme="majorHAnsi"/>
          <w:sz w:val="20"/>
          <w:szCs w:val="20"/>
        </w:rPr>
        <w:t xml:space="preserve">ender </w:t>
      </w:r>
      <w:r w:rsidRPr="005722A6">
        <w:rPr>
          <w:rFonts w:asciiTheme="majorHAnsi" w:hAnsiTheme="majorHAnsi"/>
          <w:sz w:val="20"/>
          <w:szCs w:val="20"/>
        </w:rPr>
        <w:t xml:space="preserve">equity </w:t>
      </w:r>
      <w:r w:rsidR="00007EF0" w:rsidRPr="005722A6">
        <w:rPr>
          <w:rFonts w:asciiTheme="majorHAnsi" w:hAnsiTheme="majorHAnsi"/>
          <w:sz w:val="20"/>
          <w:szCs w:val="20"/>
        </w:rPr>
        <w:t>relat</w:t>
      </w:r>
      <w:r w:rsidR="004F3FD2" w:rsidRPr="005722A6">
        <w:rPr>
          <w:rFonts w:asciiTheme="majorHAnsi" w:hAnsiTheme="majorHAnsi"/>
          <w:sz w:val="20"/>
          <w:szCs w:val="20"/>
        </w:rPr>
        <w:t>ing</w:t>
      </w:r>
      <w:r w:rsidR="00007EF0" w:rsidRPr="005722A6">
        <w:rPr>
          <w:rFonts w:asciiTheme="majorHAnsi" w:hAnsiTheme="majorHAnsi"/>
          <w:sz w:val="20"/>
          <w:szCs w:val="20"/>
        </w:rPr>
        <w:t xml:space="preserve"> to knowledge and attitude </w:t>
      </w:r>
      <w:r w:rsidR="004F3FD2" w:rsidRPr="005722A6">
        <w:rPr>
          <w:rFonts w:asciiTheme="majorHAnsi" w:hAnsiTheme="majorHAnsi"/>
          <w:sz w:val="20"/>
          <w:szCs w:val="20"/>
        </w:rPr>
        <w:t>will continue</w:t>
      </w:r>
      <w:r w:rsidR="00F75640" w:rsidRPr="005722A6">
        <w:rPr>
          <w:rFonts w:asciiTheme="majorHAnsi" w:hAnsiTheme="majorHAnsi"/>
          <w:sz w:val="20"/>
          <w:szCs w:val="20"/>
        </w:rPr>
        <w:t xml:space="preserve"> </w:t>
      </w:r>
      <w:r w:rsidR="00007EF0" w:rsidRPr="005722A6">
        <w:rPr>
          <w:rFonts w:asciiTheme="majorHAnsi" w:hAnsiTheme="majorHAnsi"/>
          <w:sz w:val="20"/>
          <w:szCs w:val="20"/>
        </w:rPr>
        <w:t xml:space="preserve">as many national </w:t>
      </w:r>
      <w:r w:rsidR="00F75640" w:rsidRPr="005722A6">
        <w:rPr>
          <w:rFonts w:asciiTheme="majorHAnsi" w:hAnsiTheme="majorHAnsi"/>
          <w:sz w:val="20"/>
          <w:szCs w:val="20"/>
        </w:rPr>
        <w:t xml:space="preserve">capacity building and information management </w:t>
      </w:r>
      <w:r w:rsidR="00007EF0" w:rsidRPr="005722A6">
        <w:rPr>
          <w:rFonts w:asciiTheme="majorHAnsi" w:hAnsiTheme="majorHAnsi"/>
          <w:sz w:val="20"/>
          <w:szCs w:val="20"/>
        </w:rPr>
        <w:t>efforts in the past decade have focused on monitoring, enforcement, field</w:t>
      </w:r>
      <w:r w:rsidR="00E4734F" w:rsidRPr="005722A6">
        <w:rPr>
          <w:rFonts w:asciiTheme="majorHAnsi" w:hAnsiTheme="majorHAnsi"/>
          <w:sz w:val="20"/>
          <w:szCs w:val="20"/>
        </w:rPr>
        <w:t>-</w:t>
      </w:r>
      <w:r w:rsidR="00007EF0" w:rsidRPr="005722A6">
        <w:rPr>
          <w:rFonts w:asciiTheme="majorHAnsi" w:hAnsiTheme="majorHAnsi"/>
          <w:sz w:val="20"/>
          <w:szCs w:val="20"/>
        </w:rPr>
        <w:t>wor</w:t>
      </w:r>
      <w:r w:rsidR="004F3FD2" w:rsidRPr="005722A6">
        <w:rPr>
          <w:rFonts w:asciiTheme="majorHAnsi" w:hAnsiTheme="majorHAnsi"/>
          <w:sz w:val="20"/>
          <w:szCs w:val="20"/>
        </w:rPr>
        <w:t xml:space="preserve">k, and fisheries </w:t>
      </w:r>
      <w:r w:rsidRPr="005722A6">
        <w:rPr>
          <w:rFonts w:asciiTheme="majorHAnsi" w:hAnsiTheme="majorHAnsi"/>
          <w:sz w:val="20"/>
          <w:szCs w:val="20"/>
        </w:rPr>
        <w:t xml:space="preserve">sustainability; </w:t>
      </w:r>
      <w:r w:rsidR="004F3FD2" w:rsidRPr="005722A6">
        <w:rPr>
          <w:rFonts w:asciiTheme="majorHAnsi" w:hAnsiTheme="majorHAnsi"/>
          <w:sz w:val="20"/>
          <w:szCs w:val="20"/>
        </w:rPr>
        <w:t>th</w:t>
      </w:r>
      <w:r w:rsidRPr="005722A6">
        <w:rPr>
          <w:rFonts w:asciiTheme="majorHAnsi" w:hAnsiTheme="majorHAnsi"/>
          <w:sz w:val="20"/>
          <w:szCs w:val="20"/>
        </w:rPr>
        <w:t>ese</w:t>
      </w:r>
      <w:r w:rsidR="004F3FD2" w:rsidRPr="005722A6">
        <w:rPr>
          <w:rFonts w:asciiTheme="majorHAnsi" w:hAnsiTheme="majorHAnsi"/>
          <w:sz w:val="20"/>
          <w:szCs w:val="20"/>
        </w:rPr>
        <w:t xml:space="preserve"> mostly involve</w:t>
      </w:r>
      <w:r w:rsidRPr="005722A6">
        <w:rPr>
          <w:rFonts w:asciiTheme="majorHAnsi" w:hAnsiTheme="majorHAnsi"/>
          <w:sz w:val="20"/>
          <w:szCs w:val="20"/>
        </w:rPr>
        <w:t>d</w:t>
      </w:r>
      <w:r w:rsidR="004F3FD2" w:rsidRPr="005722A6">
        <w:rPr>
          <w:rFonts w:asciiTheme="majorHAnsi" w:hAnsiTheme="majorHAnsi"/>
          <w:sz w:val="20"/>
          <w:szCs w:val="20"/>
        </w:rPr>
        <w:t xml:space="preserve"> </w:t>
      </w:r>
      <w:r w:rsidR="00F75640" w:rsidRPr="005722A6">
        <w:rPr>
          <w:rFonts w:asciiTheme="majorHAnsi" w:hAnsiTheme="majorHAnsi"/>
          <w:sz w:val="20"/>
          <w:szCs w:val="20"/>
        </w:rPr>
        <w:t>men</w:t>
      </w:r>
      <w:r w:rsidR="004F3FD2" w:rsidRPr="005722A6">
        <w:rPr>
          <w:rFonts w:asciiTheme="majorHAnsi" w:hAnsiTheme="majorHAnsi"/>
          <w:sz w:val="20"/>
          <w:szCs w:val="20"/>
        </w:rPr>
        <w:t xml:space="preserve">. </w:t>
      </w:r>
      <w:r w:rsidR="00007EF0" w:rsidRPr="005722A6">
        <w:rPr>
          <w:rFonts w:asciiTheme="majorHAnsi" w:hAnsiTheme="majorHAnsi"/>
          <w:sz w:val="20"/>
          <w:szCs w:val="20"/>
        </w:rPr>
        <w:t xml:space="preserve">There </w:t>
      </w:r>
      <w:r w:rsidR="004F3FD2" w:rsidRPr="005722A6">
        <w:rPr>
          <w:rFonts w:asciiTheme="majorHAnsi" w:hAnsiTheme="majorHAnsi"/>
          <w:sz w:val="20"/>
          <w:szCs w:val="20"/>
        </w:rPr>
        <w:t xml:space="preserve">will continue to be the lack of gender-disaggregated data that would make it </w:t>
      </w:r>
      <w:r w:rsidR="00007EF0" w:rsidRPr="005722A6">
        <w:rPr>
          <w:rFonts w:asciiTheme="majorHAnsi" w:hAnsiTheme="majorHAnsi"/>
          <w:sz w:val="20"/>
          <w:szCs w:val="20"/>
        </w:rPr>
        <w:t>difficult to evaluate and plan for gender-based improvements</w:t>
      </w:r>
      <w:r w:rsidR="00194AA1">
        <w:rPr>
          <w:rFonts w:asciiTheme="majorHAnsi" w:hAnsiTheme="majorHAnsi"/>
          <w:sz w:val="20"/>
          <w:szCs w:val="20"/>
        </w:rPr>
        <w:t xml:space="preserve">. </w:t>
      </w:r>
      <w:r w:rsidR="00007EF0" w:rsidRPr="005722A6">
        <w:rPr>
          <w:rFonts w:asciiTheme="majorHAnsi" w:hAnsiTheme="majorHAnsi"/>
          <w:sz w:val="20"/>
          <w:szCs w:val="20"/>
        </w:rPr>
        <w:t xml:space="preserve">Although there have been some efforts, </w:t>
      </w:r>
      <w:r w:rsidR="004F3FD2" w:rsidRPr="005722A6">
        <w:rPr>
          <w:rFonts w:asciiTheme="majorHAnsi" w:hAnsiTheme="majorHAnsi"/>
          <w:sz w:val="20"/>
          <w:szCs w:val="20"/>
        </w:rPr>
        <w:t>there will likely be</w:t>
      </w:r>
      <w:r w:rsidR="00007EF0" w:rsidRPr="005722A6">
        <w:rPr>
          <w:rFonts w:asciiTheme="majorHAnsi" w:hAnsiTheme="majorHAnsi"/>
          <w:sz w:val="20"/>
          <w:szCs w:val="20"/>
        </w:rPr>
        <w:t xml:space="preserve"> little success in working with foreign </w:t>
      </w:r>
      <w:r w:rsidR="00083AB4">
        <w:rPr>
          <w:rFonts w:asciiTheme="majorHAnsi" w:hAnsiTheme="majorHAnsi"/>
          <w:sz w:val="20"/>
          <w:szCs w:val="20"/>
        </w:rPr>
        <w:t>experts</w:t>
      </w:r>
      <w:r w:rsidR="00007EF0" w:rsidRPr="005722A6">
        <w:rPr>
          <w:rFonts w:asciiTheme="majorHAnsi" w:hAnsiTheme="majorHAnsi"/>
          <w:sz w:val="20"/>
          <w:szCs w:val="20"/>
        </w:rPr>
        <w:t xml:space="preserve"> to implement best practices in tourism and agriculture. Thus, problems </w:t>
      </w:r>
      <w:r w:rsidR="004F3FD2" w:rsidRPr="005722A6">
        <w:rPr>
          <w:rFonts w:asciiTheme="majorHAnsi" w:hAnsiTheme="majorHAnsi"/>
          <w:sz w:val="20"/>
          <w:szCs w:val="20"/>
        </w:rPr>
        <w:t>relating to degradation of marine habitat</w:t>
      </w:r>
      <w:r w:rsidR="001D1FEB" w:rsidRPr="005722A6">
        <w:rPr>
          <w:rFonts w:asciiTheme="majorHAnsi" w:hAnsiTheme="majorHAnsi"/>
          <w:sz w:val="20"/>
          <w:szCs w:val="20"/>
        </w:rPr>
        <w:t>s</w:t>
      </w:r>
      <w:r w:rsidR="00007EF0" w:rsidRPr="005722A6">
        <w:rPr>
          <w:rFonts w:asciiTheme="majorHAnsi" w:hAnsiTheme="majorHAnsi"/>
          <w:sz w:val="20"/>
          <w:szCs w:val="20"/>
        </w:rPr>
        <w:t>, use of non-native species for agriculture, and use of pesticides</w:t>
      </w:r>
      <w:r w:rsidR="004F3FD2" w:rsidRPr="005722A6">
        <w:rPr>
          <w:rFonts w:asciiTheme="majorHAnsi" w:hAnsiTheme="majorHAnsi"/>
          <w:sz w:val="20"/>
          <w:szCs w:val="20"/>
        </w:rPr>
        <w:t xml:space="preserve"> will continue</w:t>
      </w:r>
      <w:r w:rsidRPr="005722A6">
        <w:rPr>
          <w:rFonts w:asciiTheme="majorHAnsi" w:hAnsiTheme="majorHAnsi"/>
          <w:sz w:val="20"/>
          <w:szCs w:val="20"/>
        </w:rPr>
        <w:t xml:space="preserve"> without the GEF’s investment in communications</w:t>
      </w:r>
      <w:r w:rsidR="001D1FEB" w:rsidRPr="005722A6">
        <w:rPr>
          <w:rFonts w:asciiTheme="majorHAnsi" w:hAnsiTheme="majorHAnsi"/>
          <w:sz w:val="20"/>
          <w:szCs w:val="20"/>
        </w:rPr>
        <w:t>.</w:t>
      </w:r>
      <w:r w:rsidR="00007EF0" w:rsidRPr="005722A6">
        <w:rPr>
          <w:rFonts w:asciiTheme="majorHAnsi" w:hAnsiTheme="majorHAnsi"/>
          <w:sz w:val="20"/>
          <w:szCs w:val="20"/>
        </w:rPr>
        <w:t xml:space="preserve"> </w:t>
      </w:r>
    </w:p>
    <w:p w14:paraId="1756EE97" w14:textId="79A0B437" w:rsidR="00B87774" w:rsidRPr="005722A6" w:rsidRDefault="004F3FD2" w:rsidP="00B87774">
      <w:pPr>
        <w:spacing w:after="180"/>
        <w:rPr>
          <w:rFonts w:asciiTheme="majorHAnsi" w:hAnsiTheme="majorHAnsi"/>
          <w:sz w:val="20"/>
          <w:szCs w:val="20"/>
        </w:rPr>
      </w:pPr>
      <w:r w:rsidRPr="005722A6">
        <w:rPr>
          <w:rFonts w:asciiTheme="majorHAnsi" w:hAnsiTheme="majorHAnsi"/>
          <w:sz w:val="20"/>
          <w:szCs w:val="20"/>
        </w:rPr>
        <w:t xml:space="preserve">In terms of IAS, the absence of a </w:t>
      </w:r>
      <w:r w:rsidR="00007EF0" w:rsidRPr="005722A6">
        <w:rPr>
          <w:rFonts w:asciiTheme="majorHAnsi" w:hAnsiTheme="majorHAnsi"/>
          <w:sz w:val="20"/>
          <w:szCs w:val="20"/>
        </w:rPr>
        <w:t>comprehensive IAS information source at national or state levels</w:t>
      </w:r>
      <w:r w:rsidRPr="005722A6">
        <w:rPr>
          <w:rFonts w:asciiTheme="majorHAnsi" w:hAnsiTheme="majorHAnsi"/>
          <w:sz w:val="20"/>
          <w:szCs w:val="20"/>
        </w:rPr>
        <w:t xml:space="preserve"> </w:t>
      </w:r>
      <w:r w:rsidR="006035AF" w:rsidRPr="005722A6">
        <w:rPr>
          <w:rFonts w:asciiTheme="majorHAnsi" w:hAnsiTheme="majorHAnsi"/>
          <w:sz w:val="20"/>
          <w:szCs w:val="20"/>
        </w:rPr>
        <w:t>will hinder</w:t>
      </w:r>
      <w:r w:rsidR="00007EF0" w:rsidRPr="005722A6">
        <w:rPr>
          <w:rFonts w:asciiTheme="majorHAnsi" w:hAnsiTheme="majorHAnsi"/>
          <w:sz w:val="20"/>
          <w:szCs w:val="20"/>
        </w:rPr>
        <w:t xml:space="preserve"> </w:t>
      </w:r>
      <w:r w:rsidR="00083AB4" w:rsidRPr="005722A6">
        <w:rPr>
          <w:rFonts w:asciiTheme="majorHAnsi" w:hAnsiTheme="majorHAnsi"/>
          <w:sz w:val="20"/>
          <w:szCs w:val="20"/>
        </w:rPr>
        <w:t xml:space="preserve">IAS </w:t>
      </w:r>
      <w:r w:rsidR="00007EF0" w:rsidRPr="005722A6">
        <w:rPr>
          <w:rFonts w:asciiTheme="majorHAnsi" w:hAnsiTheme="majorHAnsi"/>
          <w:sz w:val="20"/>
          <w:szCs w:val="20"/>
        </w:rPr>
        <w:t>prevention, management and awareness</w:t>
      </w:r>
      <w:r w:rsidR="00194AA1">
        <w:rPr>
          <w:rFonts w:asciiTheme="majorHAnsi" w:hAnsiTheme="majorHAnsi"/>
          <w:sz w:val="20"/>
          <w:szCs w:val="20"/>
        </w:rPr>
        <w:t xml:space="preserve">. </w:t>
      </w:r>
      <w:r w:rsidR="00007EF0" w:rsidRPr="005722A6">
        <w:rPr>
          <w:rFonts w:asciiTheme="majorHAnsi" w:hAnsiTheme="majorHAnsi"/>
          <w:sz w:val="20"/>
          <w:szCs w:val="20"/>
        </w:rPr>
        <w:t>IAS management</w:t>
      </w:r>
      <w:r w:rsidR="00083AB4">
        <w:rPr>
          <w:rFonts w:asciiTheme="majorHAnsi" w:hAnsiTheme="majorHAnsi"/>
          <w:sz w:val="20"/>
          <w:szCs w:val="20"/>
        </w:rPr>
        <w:t>,</w:t>
      </w:r>
      <w:r w:rsidR="00007EF0" w:rsidRPr="005722A6">
        <w:rPr>
          <w:rFonts w:asciiTheme="majorHAnsi" w:hAnsiTheme="majorHAnsi"/>
          <w:sz w:val="20"/>
          <w:szCs w:val="20"/>
        </w:rPr>
        <w:t xml:space="preserve"> biosecurity outreach</w:t>
      </w:r>
      <w:r w:rsidR="006035AF" w:rsidRPr="005722A6">
        <w:rPr>
          <w:rFonts w:asciiTheme="majorHAnsi" w:hAnsiTheme="majorHAnsi"/>
          <w:sz w:val="20"/>
          <w:szCs w:val="20"/>
        </w:rPr>
        <w:t xml:space="preserve"> and public engagement</w:t>
      </w:r>
      <w:r w:rsidR="00007EF0" w:rsidRPr="005722A6">
        <w:rPr>
          <w:rFonts w:asciiTheme="majorHAnsi" w:hAnsiTheme="majorHAnsi"/>
          <w:sz w:val="20"/>
          <w:szCs w:val="20"/>
        </w:rPr>
        <w:t xml:space="preserve"> will remain </w:t>
      </w:r>
      <w:r w:rsidR="006035AF" w:rsidRPr="005722A6">
        <w:rPr>
          <w:rFonts w:asciiTheme="majorHAnsi" w:hAnsiTheme="majorHAnsi"/>
          <w:sz w:val="20"/>
          <w:szCs w:val="20"/>
        </w:rPr>
        <w:t xml:space="preserve">limited </w:t>
      </w:r>
      <w:r w:rsidR="00007EF0" w:rsidRPr="005722A6">
        <w:rPr>
          <w:rFonts w:asciiTheme="majorHAnsi" w:hAnsiTheme="majorHAnsi"/>
          <w:sz w:val="20"/>
          <w:szCs w:val="20"/>
        </w:rPr>
        <w:t>with</w:t>
      </w:r>
      <w:r w:rsidR="006035AF" w:rsidRPr="005722A6">
        <w:rPr>
          <w:rFonts w:asciiTheme="majorHAnsi" w:hAnsiTheme="majorHAnsi"/>
          <w:sz w:val="20"/>
          <w:szCs w:val="20"/>
        </w:rPr>
        <w:t xml:space="preserve">out a </w:t>
      </w:r>
      <w:r w:rsidR="00007EF0" w:rsidRPr="005722A6">
        <w:rPr>
          <w:rFonts w:asciiTheme="majorHAnsi" w:hAnsiTheme="majorHAnsi"/>
          <w:sz w:val="20"/>
          <w:szCs w:val="20"/>
        </w:rPr>
        <w:t xml:space="preserve">coordinated programmatic approach. </w:t>
      </w:r>
    </w:p>
    <w:p w14:paraId="7D0BC801" w14:textId="252EA8C7" w:rsidR="00B87774" w:rsidRPr="005722A6" w:rsidRDefault="00B87774" w:rsidP="00B87774">
      <w:pPr>
        <w:spacing w:after="120" w:line="276" w:lineRule="auto"/>
        <w:rPr>
          <w:rFonts w:asciiTheme="majorHAnsi" w:hAnsiTheme="majorHAnsi"/>
          <w:i/>
          <w:sz w:val="20"/>
          <w:szCs w:val="20"/>
        </w:rPr>
      </w:pPr>
      <w:r w:rsidRPr="005722A6">
        <w:rPr>
          <w:rFonts w:asciiTheme="majorHAnsi" w:hAnsiTheme="majorHAnsi"/>
          <w:i/>
          <w:sz w:val="20"/>
          <w:szCs w:val="20"/>
        </w:rPr>
        <w:t>Alternative (with GEF project):</w:t>
      </w:r>
    </w:p>
    <w:p w14:paraId="4804D48F" w14:textId="47475F51" w:rsidR="00321158" w:rsidRPr="005722A6" w:rsidRDefault="00083AB4" w:rsidP="00321158">
      <w:pPr>
        <w:widowControl w:val="0"/>
        <w:autoSpaceDE w:val="0"/>
        <w:autoSpaceDN w:val="0"/>
        <w:adjustRightInd w:val="0"/>
        <w:spacing w:after="0"/>
        <w:rPr>
          <w:rFonts w:asciiTheme="majorHAnsi" w:hAnsiTheme="majorHAnsi"/>
          <w:sz w:val="20"/>
          <w:szCs w:val="20"/>
        </w:rPr>
      </w:pPr>
      <w:r>
        <w:rPr>
          <w:rFonts w:asciiTheme="majorHAnsi" w:hAnsiTheme="majorHAnsi"/>
          <w:sz w:val="20"/>
          <w:szCs w:val="20"/>
        </w:rPr>
        <w:t>Component</w:t>
      </w:r>
      <w:r w:rsidR="00B87774" w:rsidRPr="005722A6">
        <w:rPr>
          <w:rFonts w:asciiTheme="majorHAnsi" w:hAnsiTheme="majorHAnsi"/>
          <w:sz w:val="20"/>
          <w:szCs w:val="20"/>
        </w:rPr>
        <w:t xml:space="preserve"> 4 </w:t>
      </w:r>
      <w:r>
        <w:rPr>
          <w:rFonts w:asciiTheme="majorHAnsi" w:hAnsiTheme="majorHAnsi"/>
          <w:sz w:val="20"/>
          <w:szCs w:val="20"/>
        </w:rPr>
        <w:t>will focus on</w:t>
      </w:r>
      <w:r w:rsidR="00B87774" w:rsidRPr="005722A6">
        <w:rPr>
          <w:rFonts w:asciiTheme="majorHAnsi" w:hAnsiTheme="majorHAnsi"/>
          <w:sz w:val="20"/>
          <w:szCs w:val="20"/>
        </w:rPr>
        <w:t xml:space="preserve"> </w:t>
      </w:r>
      <w:r w:rsidR="00EB5C3F" w:rsidRPr="005722A6">
        <w:rPr>
          <w:rFonts w:asciiTheme="majorHAnsi" w:hAnsiTheme="majorHAnsi"/>
          <w:sz w:val="20"/>
          <w:szCs w:val="20"/>
        </w:rPr>
        <w:t xml:space="preserve">(i) </w:t>
      </w:r>
      <w:r w:rsidR="00B87774" w:rsidRPr="005722A6">
        <w:rPr>
          <w:rFonts w:asciiTheme="majorHAnsi" w:hAnsiTheme="majorHAnsi"/>
          <w:sz w:val="20"/>
          <w:szCs w:val="20"/>
        </w:rPr>
        <w:t>improv</w:t>
      </w:r>
      <w:r>
        <w:rPr>
          <w:rFonts w:asciiTheme="majorHAnsi" w:hAnsiTheme="majorHAnsi"/>
          <w:sz w:val="20"/>
          <w:szCs w:val="20"/>
        </w:rPr>
        <w:t>ing</w:t>
      </w:r>
      <w:r w:rsidR="00B87774" w:rsidRPr="005722A6">
        <w:rPr>
          <w:rFonts w:asciiTheme="majorHAnsi" w:hAnsiTheme="majorHAnsi"/>
          <w:sz w:val="20"/>
          <w:szCs w:val="20"/>
        </w:rPr>
        <w:t xml:space="preserve"> knowledge and information </w:t>
      </w:r>
      <w:r w:rsidR="004F3FD2" w:rsidRPr="005722A6">
        <w:rPr>
          <w:rFonts w:asciiTheme="majorHAnsi" w:hAnsiTheme="majorHAnsi"/>
          <w:sz w:val="20"/>
          <w:szCs w:val="20"/>
        </w:rPr>
        <w:t xml:space="preserve">collection and management </w:t>
      </w:r>
      <w:r w:rsidR="00B87774" w:rsidRPr="005722A6">
        <w:rPr>
          <w:rFonts w:asciiTheme="majorHAnsi" w:hAnsiTheme="majorHAnsi"/>
          <w:sz w:val="20"/>
          <w:szCs w:val="20"/>
        </w:rPr>
        <w:t xml:space="preserve">systems to enhance awareness </w:t>
      </w:r>
      <w:r w:rsidR="004F3FD2" w:rsidRPr="005722A6">
        <w:rPr>
          <w:rFonts w:asciiTheme="majorHAnsi" w:hAnsiTheme="majorHAnsi"/>
          <w:sz w:val="20"/>
          <w:szCs w:val="20"/>
        </w:rPr>
        <w:t>a</w:t>
      </w:r>
      <w:r>
        <w:rPr>
          <w:rFonts w:asciiTheme="majorHAnsi" w:hAnsiTheme="majorHAnsi"/>
          <w:sz w:val="20"/>
          <w:szCs w:val="20"/>
        </w:rPr>
        <w:t>bout</w:t>
      </w:r>
      <w:r w:rsidR="00B87774" w:rsidRPr="005722A6">
        <w:rPr>
          <w:rFonts w:asciiTheme="majorHAnsi" w:hAnsiTheme="majorHAnsi"/>
          <w:sz w:val="20"/>
          <w:szCs w:val="20"/>
        </w:rPr>
        <w:t xml:space="preserve"> </w:t>
      </w:r>
      <w:r w:rsidR="00EE0E00" w:rsidRPr="005722A6">
        <w:rPr>
          <w:rFonts w:asciiTheme="majorHAnsi" w:hAnsiTheme="majorHAnsi"/>
          <w:sz w:val="20"/>
          <w:szCs w:val="20"/>
        </w:rPr>
        <w:t>conservat</w:t>
      </w:r>
      <w:r w:rsidR="00EE0E00">
        <w:rPr>
          <w:rFonts w:asciiTheme="majorHAnsi" w:hAnsiTheme="majorHAnsi"/>
          <w:sz w:val="20"/>
          <w:szCs w:val="20"/>
        </w:rPr>
        <w:t>ion of</w:t>
      </w:r>
      <w:r w:rsidR="00EE0E00" w:rsidRPr="005722A6">
        <w:rPr>
          <w:rFonts w:asciiTheme="majorHAnsi" w:hAnsiTheme="majorHAnsi"/>
          <w:sz w:val="20"/>
          <w:szCs w:val="20"/>
        </w:rPr>
        <w:t xml:space="preserve"> </w:t>
      </w:r>
      <w:r w:rsidR="00B87774" w:rsidRPr="005722A6">
        <w:rPr>
          <w:rFonts w:asciiTheme="majorHAnsi" w:hAnsiTheme="majorHAnsi"/>
          <w:sz w:val="20"/>
          <w:szCs w:val="20"/>
        </w:rPr>
        <w:t>land and seascapes and their associated biodiversity and ecosystems</w:t>
      </w:r>
      <w:r w:rsidR="00BD3BCB">
        <w:rPr>
          <w:rFonts w:asciiTheme="majorHAnsi" w:hAnsiTheme="majorHAnsi"/>
          <w:sz w:val="20"/>
          <w:szCs w:val="20"/>
        </w:rPr>
        <w:t>;</w:t>
      </w:r>
      <w:r w:rsidR="00B87774" w:rsidRPr="005722A6">
        <w:rPr>
          <w:rFonts w:asciiTheme="majorHAnsi" w:hAnsiTheme="majorHAnsi"/>
          <w:sz w:val="20"/>
          <w:szCs w:val="20"/>
        </w:rPr>
        <w:t xml:space="preserve"> </w:t>
      </w:r>
      <w:r w:rsidR="00EB5C3F" w:rsidRPr="005722A6">
        <w:rPr>
          <w:rFonts w:asciiTheme="majorHAnsi" w:hAnsiTheme="majorHAnsi"/>
          <w:sz w:val="20"/>
          <w:szCs w:val="20"/>
        </w:rPr>
        <w:t xml:space="preserve">(ii) </w:t>
      </w:r>
      <w:r>
        <w:rPr>
          <w:rFonts w:asciiTheme="majorHAnsi" w:hAnsiTheme="majorHAnsi"/>
          <w:sz w:val="20"/>
          <w:szCs w:val="20"/>
        </w:rPr>
        <w:t>strengthening</w:t>
      </w:r>
      <w:r w:rsidR="00B87774" w:rsidRPr="005722A6">
        <w:rPr>
          <w:rFonts w:asciiTheme="majorHAnsi" w:hAnsiTheme="majorHAnsi"/>
          <w:sz w:val="20"/>
          <w:szCs w:val="20"/>
        </w:rPr>
        <w:t xml:space="preserve"> policies that support conservation and sustainable use</w:t>
      </w:r>
      <w:r w:rsidR="00BD3BCB">
        <w:rPr>
          <w:rFonts w:asciiTheme="majorHAnsi" w:hAnsiTheme="majorHAnsi"/>
          <w:sz w:val="20"/>
          <w:szCs w:val="20"/>
        </w:rPr>
        <w:t>; (iii) ensur</w:t>
      </w:r>
      <w:r>
        <w:rPr>
          <w:rFonts w:asciiTheme="majorHAnsi" w:hAnsiTheme="majorHAnsi"/>
          <w:sz w:val="20"/>
          <w:szCs w:val="20"/>
        </w:rPr>
        <w:t>ing</w:t>
      </w:r>
      <w:r w:rsidR="00BD3BCB">
        <w:rPr>
          <w:rFonts w:asciiTheme="majorHAnsi" w:hAnsiTheme="majorHAnsi"/>
          <w:sz w:val="20"/>
          <w:szCs w:val="20"/>
        </w:rPr>
        <w:t xml:space="preserve"> gender consideration</w:t>
      </w:r>
      <w:r>
        <w:rPr>
          <w:rFonts w:asciiTheme="majorHAnsi" w:hAnsiTheme="majorHAnsi"/>
          <w:sz w:val="20"/>
          <w:szCs w:val="20"/>
        </w:rPr>
        <w:t>s</w:t>
      </w:r>
      <w:r w:rsidR="00BD3BCB">
        <w:rPr>
          <w:rFonts w:asciiTheme="majorHAnsi" w:hAnsiTheme="majorHAnsi"/>
          <w:sz w:val="20"/>
          <w:szCs w:val="20"/>
        </w:rPr>
        <w:t xml:space="preserve"> </w:t>
      </w:r>
      <w:r>
        <w:rPr>
          <w:rFonts w:asciiTheme="majorHAnsi" w:hAnsiTheme="majorHAnsi"/>
          <w:sz w:val="20"/>
          <w:szCs w:val="20"/>
        </w:rPr>
        <w:t xml:space="preserve">are mainstreamed </w:t>
      </w:r>
      <w:r w:rsidR="00BD3BCB">
        <w:rPr>
          <w:rFonts w:asciiTheme="majorHAnsi" w:hAnsiTheme="majorHAnsi"/>
          <w:sz w:val="20"/>
          <w:szCs w:val="20"/>
        </w:rPr>
        <w:t>into natural resources planning and management; and (iv) monitor and evaluate project investments to ensure that these are meeting project outcomes</w:t>
      </w:r>
      <w:r w:rsidR="00194AA1">
        <w:rPr>
          <w:rFonts w:asciiTheme="majorHAnsi" w:hAnsiTheme="majorHAnsi"/>
          <w:sz w:val="20"/>
          <w:szCs w:val="20"/>
        </w:rPr>
        <w:t xml:space="preserve">. </w:t>
      </w:r>
      <w:r w:rsidR="00EB5C3F" w:rsidRPr="005722A6">
        <w:rPr>
          <w:rFonts w:asciiTheme="majorHAnsi" w:hAnsiTheme="majorHAnsi"/>
          <w:sz w:val="20"/>
          <w:szCs w:val="20"/>
        </w:rPr>
        <w:t xml:space="preserve">An underlying goal of the GEF </w:t>
      </w:r>
      <w:r w:rsidR="00321158" w:rsidRPr="005722A6">
        <w:rPr>
          <w:rFonts w:asciiTheme="majorHAnsi" w:hAnsiTheme="majorHAnsi"/>
          <w:sz w:val="20"/>
          <w:szCs w:val="20"/>
        </w:rPr>
        <w:t>alternative</w:t>
      </w:r>
      <w:r w:rsidR="00EB5C3F" w:rsidRPr="005722A6">
        <w:rPr>
          <w:rFonts w:asciiTheme="majorHAnsi" w:hAnsiTheme="majorHAnsi"/>
          <w:sz w:val="20"/>
          <w:szCs w:val="20"/>
        </w:rPr>
        <w:t xml:space="preserve"> is to ensure that it does not contribute further to gender inequities but </w:t>
      </w:r>
      <w:r w:rsidR="00716C30">
        <w:rPr>
          <w:rFonts w:asciiTheme="majorHAnsi" w:hAnsiTheme="majorHAnsi"/>
          <w:sz w:val="20"/>
          <w:szCs w:val="20"/>
        </w:rPr>
        <w:t xml:space="preserve">addresses some of </w:t>
      </w:r>
      <w:r w:rsidR="00EB5C3F" w:rsidRPr="005722A6">
        <w:rPr>
          <w:rFonts w:asciiTheme="majorHAnsi" w:hAnsiTheme="majorHAnsi"/>
          <w:sz w:val="20"/>
          <w:szCs w:val="20"/>
        </w:rPr>
        <w:t xml:space="preserve">the challenges facing women and vulnerable </w:t>
      </w:r>
      <w:r w:rsidR="00716C30">
        <w:rPr>
          <w:rFonts w:asciiTheme="majorHAnsi" w:hAnsiTheme="majorHAnsi"/>
          <w:sz w:val="20"/>
          <w:szCs w:val="20"/>
        </w:rPr>
        <w:t>members of communities</w:t>
      </w:r>
      <w:r w:rsidR="00194AA1">
        <w:rPr>
          <w:rFonts w:asciiTheme="majorHAnsi" w:hAnsiTheme="majorHAnsi"/>
          <w:sz w:val="20"/>
          <w:szCs w:val="20"/>
        </w:rPr>
        <w:t xml:space="preserve">. </w:t>
      </w:r>
      <w:r w:rsidR="00321158" w:rsidRPr="005722A6">
        <w:rPr>
          <w:rFonts w:asciiTheme="majorHAnsi" w:hAnsiTheme="majorHAnsi"/>
          <w:sz w:val="20"/>
          <w:szCs w:val="20"/>
        </w:rPr>
        <w:t xml:space="preserve">The GEF alternative offers the opportunity to transform thinking about biodiversity planning </w:t>
      </w:r>
      <w:r w:rsidR="00716C30">
        <w:rPr>
          <w:rFonts w:asciiTheme="majorHAnsi" w:hAnsiTheme="majorHAnsi"/>
          <w:sz w:val="20"/>
          <w:szCs w:val="20"/>
        </w:rPr>
        <w:t xml:space="preserve">and management </w:t>
      </w:r>
      <w:r w:rsidR="00321158" w:rsidRPr="005722A6">
        <w:rPr>
          <w:rFonts w:asciiTheme="majorHAnsi" w:hAnsiTheme="majorHAnsi"/>
          <w:sz w:val="20"/>
          <w:szCs w:val="20"/>
        </w:rPr>
        <w:t xml:space="preserve">such that it mainstreams gender </w:t>
      </w:r>
      <w:r w:rsidR="00716C30">
        <w:rPr>
          <w:rFonts w:asciiTheme="majorHAnsi" w:hAnsiTheme="majorHAnsi"/>
          <w:sz w:val="20"/>
          <w:szCs w:val="20"/>
        </w:rPr>
        <w:t xml:space="preserve">and other social inclusion </w:t>
      </w:r>
      <w:r w:rsidR="00321158" w:rsidRPr="005722A6">
        <w:rPr>
          <w:rFonts w:asciiTheme="majorHAnsi" w:hAnsiTheme="majorHAnsi"/>
          <w:sz w:val="20"/>
          <w:szCs w:val="20"/>
        </w:rPr>
        <w:t xml:space="preserve">considerations, </w:t>
      </w:r>
      <w:r w:rsidR="00716C30">
        <w:rPr>
          <w:rFonts w:asciiTheme="majorHAnsi" w:hAnsiTheme="majorHAnsi"/>
          <w:sz w:val="20"/>
          <w:szCs w:val="20"/>
        </w:rPr>
        <w:t>thereby</w:t>
      </w:r>
      <w:r w:rsidR="00321158" w:rsidRPr="005722A6">
        <w:rPr>
          <w:rFonts w:asciiTheme="majorHAnsi" w:hAnsiTheme="majorHAnsi"/>
          <w:sz w:val="20"/>
          <w:szCs w:val="20"/>
        </w:rPr>
        <w:t xml:space="preserve"> remov</w:t>
      </w:r>
      <w:r w:rsidR="00716C30">
        <w:rPr>
          <w:rFonts w:asciiTheme="majorHAnsi" w:hAnsiTheme="majorHAnsi"/>
          <w:sz w:val="20"/>
          <w:szCs w:val="20"/>
        </w:rPr>
        <w:t>ing</w:t>
      </w:r>
      <w:r w:rsidR="00321158" w:rsidRPr="005722A6">
        <w:rPr>
          <w:rFonts w:asciiTheme="majorHAnsi" w:hAnsiTheme="majorHAnsi"/>
          <w:sz w:val="20"/>
          <w:szCs w:val="20"/>
        </w:rPr>
        <w:t xml:space="preserve"> barriers to environmental and social improvement. Expanding the role of </w:t>
      </w:r>
      <w:r w:rsidR="00716C30">
        <w:rPr>
          <w:rFonts w:asciiTheme="majorHAnsi" w:hAnsiTheme="majorHAnsi"/>
          <w:sz w:val="20"/>
          <w:szCs w:val="20"/>
        </w:rPr>
        <w:t>k</w:t>
      </w:r>
      <w:r w:rsidR="00321158" w:rsidRPr="005722A6">
        <w:rPr>
          <w:rFonts w:asciiTheme="majorHAnsi" w:hAnsiTheme="majorHAnsi"/>
          <w:sz w:val="20"/>
          <w:szCs w:val="20"/>
        </w:rPr>
        <w:t>nowledge</w:t>
      </w:r>
      <w:r w:rsidR="00716C30">
        <w:rPr>
          <w:rFonts w:asciiTheme="majorHAnsi" w:hAnsiTheme="majorHAnsi"/>
          <w:sz w:val="20"/>
          <w:szCs w:val="20"/>
        </w:rPr>
        <w:t xml:space="preserve"> m</w:t>
      </w:r>
      <w:r w:rsidR="00321158" w:rsidRPr="005722A6">
        <w:rPr>
          <w:rFonts w:asciiTheme="majorHAnsi" w:hAnsiTheme="majorHAnsi"/>
          <w:sz w:val="20"/>
          <w:szCs w:val="20"/>
        </w:rPr>
        <w:t xml:space="preserve">anagement is key to moving towards parity. </w:t>
      </w:r>
    </w:p>
    <w:p w14:paraId="7C5B5813" w14:textId="77777777" w:rsidR="008B1B87" w:rsidRPr="005722A6" w:rsidRDefault="008B1B87" w:rsidP="00B87774">
      <w:pPr>
        <w:widowControl w:val="0"/>
        <w:autoSpaceDE w:val="0"/>
        <w:autoSpaceDN w:val="0"/>
        <w:adjustRightInd w:val="0"/>
        <w:spacing w:after="0"/>
        <w:rPr>
          <w:rFonts w:asciiTheme="majorHAnsi" w:hAnsiTheme="majorHAnsi"/>
          <w:sz w:val="20"/>
          <w:szCs w:val="20"/>
        </w:rPr>
      </w:pPr>
    </w:p>
    <w:p w14:paraId="574EC0D8" w14:textId="269FD3C1" w:rsidR="00321158" w:rsidRPr="005722A6" w:rsidRDefault="00D757AB" w:rsidP="00B602A0">
      <w:pPr>
        <w:widowControl w:val="0"/>
        <w:tabs>
          <w:tab w:val="left" w:pos="3969"/>
        </w:tabs>
        <w:autoSpaceDE w:val="0"/>
        <w:autoSpaceDN w:val="0"/>
        <w:adjustRightInd w:val="0"/>
        <w:spacing w:after="0"/>
        <w:rPr>
          <w:rFonts w:asciiTheme="majorHAnsi" w:hAnsiTheme="majorHAnsi"/>
          <w:sz w:val="20"/>
          <w:szCs w:val="20"/>
        </w:rPr>
      </w:pPr>
      <w:r w:rsidRPr="005722A6">
        <w:rPr>
          <w:rFonts w:asciiTheme="majorHAnsi" w:hAnsiTheme="majorHAnsi"/>
          <w:sz w:val="20"/>
          <w:szCs w:val="20"/>
        </w:rPr>
        <w:t xml:space="preserve">This </w:t>
      </w:r>
      <w:r w:rsidR="00B602A0">
        <w:rPr>
          <w:rFonts w:asciiTheme="majorHAnsi" w:hAnsiTheme="majorHAnsi"/>
          <w:sz w:val="20"/>
          <w:szCs w:val="20"/>
        </w:rPr>
        <w:t>p</w:t>
      </w:r>
      <w:r w:rsidRPr="005722A6">
        <w:rPr>
          <w:rFonts w:asciiTheme="majorHAnsi" w:hAnsiTheme="majorHAnsi"/>
          <w:sz w:val="20"/>
          <w:szCs w:val="20"/>
        </w:rPr>
        <w:t xml:space="preserve">roject will be one of the first </w:t>
      </w:r>
      <w:r w:rsidR="00716C30">
        <w:rPr>
          <w:rFonts w:asciiTheme="majorHAnsi" w:hAnsiTheme="majorHAnsi"/>
          <w:sz w:val="20"/>
          <w:szCs w:val="20"/>
        </w:rPr>
        <w:t>n</w:t>
      </w:r>
      <w:r w:rsidRPr="005722A6">
        <w:rPr>
          <w:rFonts w:asciiTheme="majorHAnsi" w:hAnsiTheme="majorHAnsi"/>
          <w:sz w:val="20"/>
          <w:szCs w:val="20"/>
        </w:rPr>
        <w:t xml:space="preserve">ational, multi-sector projects to </w:t>
      </w:r>
      <w:r w:rsidR="00716C30">
        <w:rPr>
          <w:rFonts w:asciiTheme="majorHAnsi" w:hAnsiTheme="majorHAnsi"/>
          <w:sz w:val="20"/>
          <w:szCs w:val="20"/>
        </w:rPr>
        <w:t>apply</w:t>
      </w:r>
      <w:r w:rsidRPr="005722A6">
        <w:rPr>
          <w:rFonts w:asciiTheme="majorHAnsi" w:hAnsiTheme="majorHAnsi"/>
          <w:sz w:val="20"/>
          <w:szCs w:val="20"/>
        </w:rPr>
        <w:t xml:space="preserve"> </w:t>
      </w:r>
      <w:r w:rsidR="00716C30">
        <w:rPr>
          <w:rFonts w:asciiTheme="majorHAnsi" w:hAnsiTheme="majorHAnsi"/>
          <w:sz w:val="20"/>
          <w:szCs w:val="20"/>
        </w:rPr>
        <w:t>g</w:t>
      </w:r>
      <w:r w:rsidRPr="005722A6">
        <w:rPr>
          <w:rFonts w:asciiTheme="majorHAnsi" w:hAnsiTheme="majorHAnsi"/>
          <w:sz w:val="20"/>
          <w:szCs w:val="20"/>
        </w:rPr>
        <w:t xml:space="preserve">ender and </w:t>
      </w:r>
      <w:r w:rsidR="00716C30">
        <w:rPr>
          <w:rFonts w:asciiTheme="majorHAnsi" w:hAnsiTheme="majorHAnsi"/>
          <w:sz w:val="20"/>
          <w:szCs w:val="20"/>
        </w:rPr>
        <w:t>s</w:t>
      </w:r>
      <w:r w:rsidRPr="005722A6">
        <w:rPr>
          <w:rFonts w:asciiTheme="majorHAnsi" w:hAnsiTheme="majorHAnsi"/>
          <w:sz w:val="20"/>
          <w:szCs w:val="20"/>
        </w:rPr>
        <w:t xml:space="preserve">ocially </w:t>
      </w:r>
      <w:r w:rsidR="00716C30">
        <w:rPr>
          <w:rFonts w:asciiTheme="majorHAnsi" w:hAnsiTheme="majorHAnsi"/>
          <w:sz w:val="20"/>
          <w:szCs w:val="20"/>
        </w:rPr>
        <w:t>i</w:t>
      </w:r>
      <w:r w:rsidRPr="005722A6">
        <w:rPr>
          <w:rFonts w:asciiTheme="majorHAnsi" w:hAnsiTheme="majorHAnsi"/>
          <w:sz w:val="20"/>
          <w:szCs w:val="20"/>
        </w:rPr>
        <w:t xml:space="preserve">nclusive </w:t>
      </w:r>
      <w:r w:rsidR="00E04997">
        <w:rPr>
          <w:rFonts w:asciiTheme="majorHAnsi" w:hAnsiTheme="majorHAnsi"/>
          <w:sz w:val="20"/>
          <w:szCs w:val="20"/>
        </w:rPr>
        <w:t>m</w:t>
      </w:r>
      <w:r w:rsidRPr="005722A6">
        <w:rPr>
          <w:rFonts w:asciiTheme="majorHAnsi" w:hAnsiTheme="majorHAnsi"/>
          <w:sz w:val="20"/>
          <w:szCs w:val="20"/>
        </w:rPr>
        <w:t xml:space="preserve">ainstreaming. </w:t>
      </w:r>
      <w:r w:rsidR="00321158" w:rsidRPr="005722A6">
        <w:rPr>
          <w:rFonts w:asciiTheme="majorHAnsi" w:hAnsiTheme="majorHAnsi"/>
          <w:sz w:val="20"/>
          <w:szCs w:val="20"/>
        </w:rPr>
        <w:t>The GEF alternative will enable a gender-equ</w:t>
      </w:r>
      <w:r w:rsidR="009665A4">
        <w:rPr>
          <w:rFonts w:asciiTheme="majorHAnsi" w:hAnsiTheme="majorHAnsi"/>
          <w:sz w:val="20"/>
          <w:szCs w:val="20"/>
        </w:rPr>
        <w:t>ity</w:t>
      </w:r>
      <w:r w:rsidR="00321158" w:rsidRPr="005722A6">
        <w:rPr>
          <w:rFonts w:asciiTheme="majorHAnsi" w:hAnsiTheme="majorHAnsi"/>
          <w:sz w:val="20"/>
          <w:szCs w:val="20"/>
        </w:rPr>
        <w:t xml:space="preserve"> perspective and analysis of the way that information is prioritized, collected, shared, communicated, and used within the realms of land/seascape planning, tourism development, and biosecurity/IAS management, according to the Gender Analysis and </w:t>
      </w:r>
      <w:r w:rsidR="00E94214">
        <w:rPr>
          <w:rFonts w:asciiTheme="majorHAnsi" w:hAnsiTheme="majorHAnsi"/>
          <w:sz w:val="20"/>
          <w:szCs w:val="20"/>
        </w:rPr>
        <w:t xml:space="preserve">Mainstreaming </w:t>
      </w:r>
      <w:r w:rsidR="00321158" w:rsidRPr="005722A6">
        <w:rPr>
          <w:rFonts w:asciiTheme="majorHAnsi" w:hAnsiTheme="majorHAnsi"/>
          <w:sz w:val="20"/>
          <w:szCs w:val="20"/>
        </w:rPr>
        <w:t xml:space="preserve">Action </w:t>
      </w:r>
      <w:r w:rsidR="00321158" w:rsidRPr="00667639">
        <w:rPr>
          <w:rFonts w:asciiTheme="majorHAnsi" w:hAnsiTheme="majorHAnsi"/>
          <w:sz w:val="20"/>
          <w:szCs w:val="20"/>
        </w:rPr>
        <w:t>Plan (</w:t>
      </w:r>
      <w:r w:rsidR="006035AF" w:rsidRPr="00B602A0">
        <w:rPr>
          <w:rFonts w:asciiTheme="majorHAnsi" w:hAnsiTheme="majorHAnsi"/>
          <w:b/>
          <w:sz w:val="20"/>
          <w:szCs w:val="20"/>
        </w:rPr>
        <w:t xml:space="preserve">Annex </w:t>
      </w:r>
      <w:r w:rsidR="000D2499" w:rsidRPr="00B602A0">
        <w:rPr>
          <w:rFonts w:asciiTheme="majorHAnsi" w:hAnsiTheme="majorHAnsi"/>
          <w:b/>
          <w:sz w:val="20"/>
          <w:szCs w:val="20"/>
        </w:rPr>
        <w:t>5</w:t>
      </w:r>
      <w:r w:rsidR="000D2499" w:rsidRPr="00667639">
        <w:rPr>
          <w:rFonts w:asciiTheme="majorHAnsi" w:hAnsiTheme="majorHAnsi"/>
          <w:sz w:val="20"/>
          <w:szCs w:val="20"/>
        </w:rPr>
        <w:t>).</w:t>
      </w:r>
      <w:r w:rsidR="00321158" w:rsidRPr="005722A6">
        <w:rPr>
          <w:rFonts w:asciiTheme="majorHAnsi" w:hAnsiTheme="majorHAnsi"/>
          <w:sz w:val="20"/>
          <w:szCs w:val="20"/>
        </w:rPr>
        <w:t xml:space="preserve"> Outcome </w:t>
      </w:r>
      <w:r w:rsidR="00B602A0">
        <w:rPr>
          <w:rFonts w:asciiTheme="majorHAnsi" w:hAnsiTheme="majorHAnsi"/>
          <w:sz w:val="20"/>
          <w:szCs w:val="20"/>
        </w:rPr>
        <w:t xml:space="preserve">4 </w:t>
      </w:r>
      <w:r w:rsidR="00321158" w:rsidRPr="005722A6">
        <w:rPr>
          <w:rFonts w:asciiTheme="majorHAnsi" w:hAnsiTheme="majorHAnsi"/>
          <w:sz w:val="20"/>
          <w:szCs w:val="20"/>
        </w:rPr>
        <w:t xml:space="preserve">will promote the following: </w:t>
      </w:r>
    </w:p>
    <w:p w14:paraId="2392A78B" w14:textId="440F10C7" w:rsidR="00321158" w:rsidRPr="00203F78" w:rsidRDefault="0061437C" w:rsidP="002030BF">
      <w:pPr>
        <w:pStyle w:val="ListParagraph"/>
        <w:widowControl w:val="0"/>
        <w:numPr>
          <w:ilvl w:val="0"/>
          <w:numId w:val="24"/>
        </w:numPr>
        <w:autoSpaceDE w:val="0"/>
        <w:autoSpaceDN w:val="0"/>
        <w:adjustRightInd w:val="0"/>
        <w:contextualSpacing/>
        <w:jc w:val="both"/>
        <w:rPr>
          <w:rFonts w:asciiTheme="majorHAnsi" w:hAnsiTheme="majorHAnsi"/>
          <w:sz w:val="20"/>
          <w:szCs w:val="20"/>
        </w:rPr>
      </w:pPr>
      <w:r w:rsidRPr="00FB46EB">
        <w:rPr>
          <w:rFonts w:asciiTheme="majorHAnsi" w:hAnsiTheme="majorHAnsi"/>
          <w:sz w:val="20"/>
          <w:szCs w:val="20"/>
        </w:rPr>
        <w:t>E</w:t>
      </w:r>
      <w:r w:rsidR="00321158" w:rsidRPr="00FB46EB">
        <w:rPr>
          <w:rFonts w:asciiTheme="majorHAnsi" w:hAnsiTheme="majorHAnsi"/>
          <w:sz w:val="20"/>
          <w:szCs w:val="20"/>
        </w:rPr>
        <w:t>mphasis on the importance of traditional k</w:t>
      </w:r>
      <w:r w:rsidR="00321158" w:rsidRPr="002F6486">
        <w:rPr>
          <w:rFonts w:asciiTheme="majorHAnsi" w:hAnsiTheme="majorHAnsi"/>
          <w:sz w:val="20"/>
          <w:szCs w:val="20"/>
        </w:rPr>
        <w:t xml:space="preserve">nowledge but with consideration of both genders and </w:t>
      </w:r>
      <w:r w:rsidR="00B57C8A">
        <w:rPr>
          <w:rFonts w:asciiTheme="majorHAnsi" w:hAnsiTheme="majorHAnsi"/>
          <w:sz w:val="20"/>
          <w:szCs w:val="20"/>
        </w:rPr>
        <w:t>marginalized</w:t>
      </w:r>
      <w:r w:rsidRPr="008C571D">
        <w:rPr>
          <w:rFonts w:asciiTheme="majorHAnsi" w:hAnsiTheme="majorHAnsi"/>
          <w:sz w:val="20"/>
          <w:szCs w:val="20"/>
        </w:rPr>
        <w:t xml:space="preserve"> groups; </w:t>
      </w:r>
      <w:r w:rsidR="00321158" w:rsidRPr="00203F78">
        <w:rPr>
          <w:rFonts w:asciiTheme="majorHAnsi" w:hAnsiTheme="majorHAnsi"/>
          <w:sz w:val="20"/>
          <w:szCs w:val="20"/>
        </w:rPr>
        <w:t xml:space="preserve"> </w:t>
      </w:r>
    </w:p>
    <w:p w14:paraId="4C3240E9" w14:textId="2B0FDF4B" w:rsidR="00321158" w:rsidRPr="00E96B53" w:rsidRDefault="00B602A0" w:rsidP="002030BF">
      <w:pPr>
        <w:pStyle w:val="ListParagraph"/>
        <w:widowControl w:val="0"/>
        <w:numPr>
          <w:ilvl w:val="0"/>
          <w:numId w:val="24"/>
        </w:numPr>
        <w:autoSpaceDE w:val="0"/>
        <w:autoSpaceDN w:val="0"/>
        <w:adjustRightInd w:val="0"/>
        <w:contextualSpacing/>
        <w:jc w:val="both"/>
        <w:rPr>
          <w:rFonts w:asciiTheme="majorHAnsi" w:hAnsiTheme="majorHAnsi"/>
          <w:sz w:val="20"/>
          <w:szCs w:val="20"/>
        </w:rPr>
      </w:pPr>
      <w:r>
        <w:rPr>
          <w:rFonts w:asciiTheme="majorHAnsi" w:hAnsiTheme="majorHAnsi"/>
          <w:sz w:val="20"/>
          <w:szCs w:val="20"/>
        </w:rPr>
        <w:t>U</w:t>
      </w:r>
      <w:r w:rsidR="00321158" w:rsidRPr="00FF745E">
        <w:rPr>
          <w:rFonts w:asciiTheme="majorHAnsi" w:hAnsiTheme="majorHAnsi"/>
          <w:sz w:val="20"/>
          <w:szCs w:val="20"/>
        </w:rPr>
        <w:t xml:space="preserve">nderstanding </w:t>
      </w:r>
      <w:r w:rsidR="0061437C" w:rsidRPr="00E10F48">
        <w:rPr>
          <w:rFonts w:asciiTheme="majorHAnsi" w:hAnsiTheme="majorHAnsi"/>
          <w:sz w:val="20"/>
          <w:szCs w:val="20"/>
        </w:rPr>
        <w:t xml:space="preserve">of </w:t>
      </w:r>
      <w:r>
        <w:rPr>
          <w:rFonts w:asciiTheme="majorHAnsi" w:hAnsiTheme="majorHAnsi"/>
          <w:sz w:val="20"/>
          <w:szCs w:val="20"/>
        </w:rPr>
        <w:t xml:space="preserve">the </w:t>
      </w:r>
      <w:r w:rsidR="0061437C" w:rsidRPr="00E10F48">
        <w:rPr>
          <w:rFonts w:asciiTheme="majorHAnsi" w:hAnsiTheme="majorHAnsi"/>
          <w:sz w:val="20"/>
          <w:szCs w:val="20"/>
        </w:rPr>
        <w:t>importance of</w:t>
      </w:r>
      <w:r w:rsidR="00321158" w:rsidRPr="00E10F48">
        <w:rPr>
          <w:rFonts w:asciiTheme="majorHAnsi" w:hAnsiTheme="majorHAnsi"/>
          <w:sz w:val="20"/>
          <w:szCs w:val="20"/>
        </w:rPr>
        <w:t xml:space="preserve"> biodiversity mainstreaming biosecurity, and land/seascape planning </w:t>
      </w:r>
      <w:r>
        <w:rPr>
          <w:rFonts w:asciiTheme="majorHAnsi" w:hAnsiTheme="majorHAnsi"/>
          <w:sz w:val="20"/>
          <w:szCs w:val="20"/>
        </w:rPr>
        <w:t xml:space="preserve">and management </w:t>
      </w:r>
      <w:r w:rsidR="00321158" w:rsidRPr="00E10F48">
        <w:rPr>
          <w:rFonts w:asciiTheme="majorHAnsi" w:hAnsiTheme="majorHAnsi"/>
          <w:sz w:val="20"/>
          <w:szCs w:val="20"/>
        </w:rPr>
        <w:t>from a gender</w:t>
      </w:r>
      <w:r w:rsidR="00B57C8A">
        <w:rPr>
          <w:rFonts w:asciiTheme="majorHAnsi" w:hAnsiTheme="majorHAnsi"/>
          <w:sz w:val="20"/>
          <w:szCs w:val="20"/>
        </w:rPr>
        <w:t xml:space="preserve"> equity perspective</w:t>
      </w:r>
      <w:r w:rsidR="00321158" w:rsidRPr="00E96B53">
        <w:rPr>
          <w:rFonts w:asciiTheme="majorHAnsi" w:hAnsiTheme="majorHAnsi"/>
          <w:sz w:val="20"/>
          <w:szCs w:val="20"/>
        </w:rPr>
        <w:t>; e.g. with explicit recognition of information gaps that are felt by women and vulnerable peoples</w:t>
      </w:r>
      <w:r w:rsidR="0061437C" w:rsidRPr="00E96B53">
        <w:rPr>
          <w:rFonts w:asciiTheme="majorHAnsi" w:hAnsiTheme="majorHAnsi"/>
          <w:sz w:val="20"/>
          <w:szCs w:val="20"/>
        </w:rPr>
        <w:t>;</w:t>
      </w:r>
    </w:p>
    <w:p w14:paraId="3EF10B14" w14:textId="60FCADA7" w:rsidR="00321158" w:rsidRPr="005722A6" w:rsidRDefault="00B57C8A" w:rsidP="002030BF">
      <w:pPr>
        <w:pStyle w:val="ListParagraph"/>
        <w:widowControl w:val="0"/>
        <w:numPr>
          <w:ilvl w:val="0"/>
          <w:numId w:val="24"/>
        </w:numPr>
        <w:autoSpaceDE w:val="0"/>
        <w:autoSpaceDN w:val="0"/>
        <w:adjustRightInd w:val="0"/>
        <w:contextualSpacing/>
        <w:jc w:val="both"/>
        <w:rPr>
          <w:rFonts w:asciiTheme="majorHAnsi" w:hAnsiTheme="majorHAnsi"/>
          <w:sz w:val="20"/>
          <w:szCs w:val="20"/>
        </w:rPr>
      </w:pPr>
      <w:r>
        <w:rPr>
          <w:rFonts w:asciiTheme="majorHAnsi" w:hAnsiTheme="majorHAnsi"/>
          <w:sz w:val="20"/>
          <w:szCs w:val="20"/>
        </w:rPr>
        <w:t>U</w:t>
      </w:r>
      <w:r w:rsidR="00321158" w:rsidRPr="00627E17">
        <w:rPr>
          <w:rFonts w:asciiTheme="majorHAnsi" w:hAnsiTheme="majorHAnsi"/>
          <w:sz w:val="20"/>
          <w:szCs w:val="20"/>
        </w:rPr>
        <w:t xml:space="preserve">nderstanding </w:t>
      </w:r>
      <w:r>
        <w:rPr>
          <w:rFonts w:asciiTheme="majorHAnsi" w:hAnsiTheme="majorHAnsi"/>
          <w:sz w:val="20"/>
          <w:szCs w:val="20"/>
        </w:rPr>
        <w:t xml:space="preserve">the interdependence </w:t>
      </w:r>
      <w:r w:rsidR="00C75C2C">
        <w:rPr>
          <w:rFonts w:asciiTheme="majorHAnsi" w:hAnsiTheme="majorHAnsi"/>
          <w:sz w:val="20"/>
          <w:szCs w:val="20"/>
        </w:rPr>
        <w:t>between</w:t>
      </w:r>
      <w:r w:rsidR="00321158" w:rsidRPr="00627E17">
        <w:rPr>
          <w:rFonts w:asciiTheme="majorHAnsi" w:hAnsiTheme="majorHAnsi"/>
          <w:sz w:val="20"/>
          <w:szCs w:val="20"/>
        </w:rPr>
        <w:t xml:space="preserve"> </w:t>
      </w:r>
      <w:r w:rsidR="00C75C2C" w:rsidRPr="00627E17">
        <w:rPr>
          <w:rFonts w:asciiTheme="majorHAnsi" w:hAnsiTheme="majorHAnsi"/>
          <w:sz w:val="20"/>
          <w:szCs w:val="20"/>
        </w:rPr>
        <w:t xml:space="preserve">livelihoods </w:t>
      </w:r>
      <w:r w:rsidR="00C75C2C">
        <w:rPr>
          <w:rFonts w:asciiTheme="majorHAnsi" w:hAnsiTheme="majorHAnsi"/>
          <w:sz w:val="20"/>
          <w:szCs w:val="20"/>
        </w:rPr>
        <w:t xml:space="preserve">from </w:t>
      </w:r>
      <w:r w:rsidRPr="00627E17">
        <w:rPr>
          <w:rFonts w:asciiTheme="majorHAnsi" w:hAnsiTheme="majorHAnsi"/>
          <w:sz w:val="20"/>
          <w:szCs w:val="20"/>
        </w:rPr>
        <w:t xml:space="preserve">seascapes and </w:t>
      </w:r>
      <w:r w:rsidR="00C75C2C">
        <w:rPr>
          <w:rFonts w:asciiTheme="majorHAnsi" w:hAnsiTheme="majorHAnsi"/>
          <w:sz w:val="20"/>
          <w:szCs w:val="20"/>
        </w:rPr>
        <w:t xml:space="preserve">their connectivity with </w:t>
      </w:r>
      <w:r w:rsidR="00321158" w:rsidRPr="00627E17">
        <w:rPr>
          <w:rFonts w:asciiTheme="majorHAnsi" w:hAnsiTheme="majorHAnsi"/>
          <w:sz w:val="20"/>
          <w:szCs w:val="20"/>
        </w:rPr>
        <w:t>terrestrial habitats and landscapes</w:t>
      </w:r>
      <w:r w:rsidR="0061437C" w:rsidRPr="00F372D8">
        <w:rPr>
          <w:rFonts w:asciiTheme="majorHAnsi" w:hAnsiTheme="majorHAnsi"/>
          <w:sz w:val="20"/>
          <w:szCs w:val="20"/>
        </w:rPr>
        <w:t>;</w:t>
      </w:r>
    </w:p>
    <w:p w14:paraId="4042CF57" w14:textId="7B947BE5" w:rsidR="00321158" w:rsidRPr="005722A6" w:rsidRDefault="00321158" w:rsidP="002030BF">
      <w:pPr>
        <w:pStyle w:val="ListParagraph"/>
        <w:widowControl w:val="0"/>
        <w:numPr>
          <w:ilvl w:val="0"/>
          <w:numId w:val="24"/>
        </w:numPr>
        <w:autoSpaceDE w:val="0"/>
        <w:autoSpaceDN w:val="0"/>
        <w:adjustRightInd w:val="0"/>
        <w:contextualSpacing/>
        <w:jc w:val="both"/>
        <w:rPr>
          <w:rFonts w:asciiTheme="majorHAnsi" w:hAnsiTheme="majorHAnsi"/>
          <w:sz w:val="20"/>
          <w:szCs w:val="20"/>
        </w:rPr>
      </w:pPr>
      <w:r w:rsidRPr="005722A6">
        <w:rPr>
          <w:rFonts w:asciiTheme="majorHAnsi" w:hAnsiTheme="majorHAnsi"/>
          <w:sz w:val="20"/>
          <w:szCs w:val="20"/>
        </w:rPr>
        <w:t>Modernization of information collection and sharing mechanisms that meet the needs of target audiences, recognizing th</w:t>
      </w:r>
      <w:r w:rsidR="00B57C8A">
        <w:rPr>
          <w:rFonts w:asciiTheme="majorHAnsi" w:hAnsiTheme="majorHAnsi"/>
          <w:sz w:val="20"/>
          <w:szCs w:val="20"/>
        </w:rPr>
        <w:t>at</w:t>
      </w:r>
      <w:r w:rsidRPr="005722A6">
        <w:rPr>
          <w:rFonts w:asciiTheme="majorHAnsi" w:hAnsiTheme="majorHAnsi"/>
          <w:sz w:val="20"/>
          <w:szCs w:val="20"/>
        </w:rPr>
        <w:t xml:space="preserve"> target audiences include women and </w:t>
      </w:r>
      <w:r w:rsidR="00B57C8A">
        <w:rPr>
          <w:rFonts w:asciiTheme="majorHAnsi" w:hAnsiTheme="majorHAnsi"/>
          <w:sz w:val="20"/>
          <w:szCs w:val="20"/>
        </w:rPr>
        <w:t>ma</w:t>
      </w:r>
      <w:r w:rsidR="00B32500">
        <w:rPr>
          <w:rFonts w:asciiTheme="majorHAnsi" w:hAnsiTheme="majorHAnsi"/>
          <w:sz w:val="20"/>
          <w:szCs w:val="20"/>
        </w:rPr>
        <w:t>r</w:t>
      </w:r>
      <w:r w:rsidR="00B57C8A">
        <w:rPr>
          <w:rFonts w:asciiTheme="majorHAnsi" w:hAnsiTheme="majorHAnsi"/>
          <w:sz w:val="20"/>
          <w:szCs w:val="20"/>
        </w:rPr>
        <w:t>ginalized</w:t>
      </w:r>
      <w:r w:rsidRPr="005722A6">
        <w:rPr>
          <w:rFonts w:asciiTheme="majorHAnsi" w:hAnsiTheme="majorHAnsi"/>
          <w:sz w:val="20"/>
          <w:szCs w:val="20"/>
        </w:rPr>
        <w:t xml:space="preserve"> people</w:t>
      </w:r>
      <w:r w:rsidR="0061437C" w:rsidRPr="005722A6">
        <w:rPr>
          <w:rFonts w:asciiTheme="majorHAnsi" w:hAnsiTheme="majorHAnsi"/>
          <w:sz w:val="20"/>
          <w:szCs w:val="20"/>
        </w:rPr>
        <w:t>;</w:t>
      </w:r>
      <w:r w:rsidRPr="005722A6">
        <w:rPr>
          <w:rFonts w:asciiTheme="majorHAnsi" w:hAnsiTheme="majorHAnsi"/>
          <w:sz w:val="20"/>
          <w:szCs w:val="20"/>
        </w:rPr>
        <w:t xml:space="preserve"> </w:t>
      </w:r>
    </w:p>
    <w:p w14:paraId="5E19049C" w14:textId="5CB9456A" w:rsidR="00321158" w:rsidRPr="005722A6" w:rsidRDefault="00B57C8A" w:rsidP="002030BF">
      <w:pPr>
        <w:pStyle w:val="ListParagraph"/>
        <w:widowControl w:val="0"/>
        <w:numPr>
          <w:ilvl w:val="0"/>
          <w:numId w:val="24"/>
        </w:numPr>
        <w:autoSpaceDE w:val="0"/>
        <w:autoSpaceDN w:val="0"/>
        <w:adjustRightInd w:val="0"/>
        <w:contextualSpacing/>
        <w:jc w:val="both"/>
        <w:rPr>
          <w:rFonts w:asciiTheme="majorHAnsi" w:hAnsiTheme="majorHAnsi"/>
          <w:sz w:val="20"/>
          <w:szCs w:val="20"/>
        </w:rPr>
      </w:pPr>
      <w:r>
        <w:rPr>
          <w:rFonts w:asciiTheme="majorHAnsi" w:hAnsiTheme="majorHAnsi"/>
          <w:sz w:val="20"/>
          <w:szCs w:val="20"/>
        </w:rPr>
        <w:t>I</w:t>
      </w:r>
      <w:r w:rsidR="00321158" w:rsidRPr="005722A6">
        <w:rPr>
          <w:rFonts w:asciiTheme="majorHAnsi" w:hAnsiTheme="majorHAnsi"/>
          <w:sz w:val="20"/>
          <w:szCs w:val="20"/>
        </w:rPr>
        <w:t xml:space="preserve">mproved awareness of the tools and methods available (and where to go) for individuals to </w:t>
      </w:r>
      <w:r>
        <w:rPr>
          <w:rFonts w:asciiTheme="majorHAnsi" w:hAnsiTheme="majorHAnsi"/>
          <w:sz w:val="20"/>
          <w:szCs w:val="20"/>
        </w:rPr>
        <w:t>establish</w:t>
      </w:r>
      <w:r w:rsidR="002030BF">
        <w:rPr>
          <w:rFonts w:asciiTheme="majorHAnsi" w:hAnsiTheme="majorHAnsi"/>
          <w:sz w:val="20"/>
          <w:szCs w:val="20"/>
        </w:rPr>
        <w:t xml:space="preserve"> </w:t>
      </w:r>
      <w:r w:rsidR="00321158" w:rsidRPr="005722A6">
        <w:rPr>
          <w:rFonts w:asciiTheme="majorHAnsi" w:hAnsiTheme="majorHAnsi"/>
          <w:sz w:val="20"/>
          <w:szCs w:val="20"/>
        </w:rPr>
        <w:t>sustainable businesses and other livelihood op</w:t>
      </w:r>
      <w:r>
        <w:rPr>
          <w:rFonts w:asciiTheme="majorHAnsi" w:hAnsiTheme="majorHAnsi"/>
          <w:sz w:val="20"/>
          <w:szCs w:val="20"/>
        </w:rPr>
        <w:t>tions</w:t>
      </w:r>
      <w:r w:rsidR="0061437C" w:rsidRPr="005722A6">
        <w:rPr>
          <w:rFonts w:asciiTheme="majorHAnsi" w:hAnsiTheme="majorHAnsi"/>
          <w:sz w:val="20"/>
          <w:szCs w:val="20"/>
        </w:rPr>
        <w:t>;</w:t>
      </w:r>
    </w:p>
    <w:p w14:paraId="00D2C3DF" w14:textId="5EA32D38" w:rsidR="00321158" w:rsidRPr="005722A6" w:rsidRDefault="00B57C8A" w:rsidP="002030BF">
      <w:pPr>
        <w:pStyle w:val="ListParagraph"/>
        <w:widowControl w:val="0"/>
        <w:numPr>
          <w:ilvl w:val="0"/>
          <w:numId w:val="24"/>
        </w:numPr>
        <w:autoSpaceDE w:val="0"/>
        <w:autoSpaceDN w:val="0"/>
        <w:adjustRightInd w:val="0"/>
        <w:contextualSpacing/>
        <w:jc w:val="both"/>
        <w:rPr>
          <w:rFonts w:asciiTheme="majorHAnsi" w:hAnsiTheme="majorHAnsi"/>
          <w:sz w:val="20"/>
          <w:szCs w:val="20"/>
        </w:rPr>
      </w:pPr>
      <w:r>
        <w:rPr>
          <w:rFonts w:asciiTheme="majorHAnsi" w:hAnsiTheme="majorHAnsi"/>
          <w:sz w:val="20"/>
          <w:szCs w:val="20"/>
        </w:rPr>
        <w:lastRenderedPageBreak/>
        <w:t>U</w:t>
      </w:r>
      <w:r w:rsidR="00321158" w:rsidRPr="005722A6">
        <w:rPr>
          <w:rFonts w:asciiTheme="majorHAnsi" w:hAnsiTheme="majorHAnsi"/>
          <w:sz w:val="20"/>
          <w:szCs w:val="20"/>
        </w:rPr>
        <w:t xml:space="preserve">nderstanding of concepts related to </w:t>
      </w:r>
      <w:r w:rsidR="00E04997">
        <w:rPr>
          <w:rFonts w:asciiTheme="majorHAnsi" w:hAnsiTheme="majorHAnsi"/>
          <w:sz w:val="20"/>
          <w:szCs w:val="20"/>
        </w:rPr>
        <w:t>s</w:t>
      </w:r>
      <w:r w:rsidR="00321158" w:rsidRPr="005722A6">
        <w:rPr>
          <w:rFonts w:asciiTheme="majorHAnsi" w:hAnsiTheme="majorHAnsi"/>
          <w:sz w:val="20"/>
          <w:szCs w:val="20"/>
        </w:rPr>
        <w:t xml:space="preserve">ustainable </w:t>
      </w:r>
      <w:r w:rsidR="00E04997">
        <w:rPr>
          <w:rFonts w:asciiTheme="majorHAnsi" w:hAnsiTheme="majorHAnsi"/>
          <w:sz w:val="20"/>
          <w:szCs w:val="20"/>
        </w:rPr>
        <w:t>t</w:t>
      </w:r>
      <w:r w:rsidR="00321158" w:rsidRPr="005722A6">
        <w:rPr>
          <w:rFonts w:asciiTheme="majorHAnsi" w:hAnsiTheme="majorHAnsi"/>
          <w:sz w:val="20"/>
          <w:szCs w:val="20"/>
        </w:rPr>
        <w:t>ourism, IAS and biosecurity</w:t>
      </w:r>
      <w:r w:rsidR="0061437C" w:rsidRPr="005722A6">
        <w:rPr>
          <w:rFonts w:asciiTheme="majorHAnsi" w:hAnsiTheme="majorHAnsi"/>
          <w:sz w:val="20"/>
          <w:szCs w:val="20"/>
        </w:rPr>
        <w:t>; and</w:t>
      </w:r>
    </w:p>
    <w:p w14:paraId="30B0E468" w14:textId="30AA7735" w:rsidR="00321158" w:rsidRPr="005722A6" w:rsidRDefault="00B57C8A" w:rsidP="002030BF">
      <w:pPr>
        <w:pStyle w:val="ListParagraph"/>
        <w:widowControl w:val="0"/>
        <w:numPr>
          <w:ilvl w:val="0"/>
          <w:numId w:val="24"/>
        </w:numPr>
        <w:autoSpaceDE w:val="0"/>
        <w:autoSpaceDN w:val="0"/>
        <w:adjustRightInd w:val="0"/>
        <w:contextualSpacing/>
        <w:jc w:val="both"/>
        <w:rPr>
          <w:rFonts w:asciiTheme="majorHAnsi" w:hAnsiTheme="majorHAnsi"/>
          <w:sz w:val="20"/>
          <w:szCs w:val="20"/>
        </w:rPr>
      </w:pPr>
      <w:r>
        <w:rPr>
          <w:rFonts w:asciiTheme="majorHAnsi" w:hAnsiTheme="majorHAnsi"/>
          <w:sz w:val="20"/>
          <w:szCs w:val="20"/>
        </w:rPr>
        <w:t>U</w:t>
      </w:r>
      <w:r w:rsidR="00321158" w:rsidRPr="005722A6">
        <w:rPr>
          <w:rFonts w:asciiTheme="majorHAnsi" w:hAnsiTheme="majorHAnsi"/>
          <w:sz w:val="20"/>
          <w:szCs w:val="20"/>
        </w:rPr>
        <w:t xml:space="preserve">nderstanding of the role and importance of women, men, </w:t>
      </w:r>
      <w:r>
        <w:rPr>
          <w:rFonts w:asciiTheme="majorHAnsi" w:hAnsiTheme="majorHAnsi"/>
          <w:sz w:val="20"/>
          <w:szCs w:val="20"/>
        </w:rPr>
        <w:t xml:space="preserve">marginalized </w:t>
      </w:r>
      <w:r w:rsidR="00321158" w:rsidRPr="005722A6">
        <w:rPr>
          <w:rFonts w:asciiTheme="majorHAnsi" w:hAnsiTheme="majorHAnsi"/>
          <w:sz w:val="20"/>
          <w:szCs w:val="20"/>
        </w:rPr>
        <w:t xml:space="preserve">people, and different sectors in land/seascape planning and </w:t>
      </w:r>
      <w:r>
        <w:rPr>
          <w:rFonts w:asciiTheme="majorHAnsi" w:hAnsiTheme="majorHAnsi"/>
          <w:sz w:val="20"/>
          <w:szCs w:val="20"/>
        </w:rPr>
        <w:t>management</w:t>
      </w:r>
      <w:r w:rsidR="00321158" w:rsidRPr="005722A6">
        <w:rPr>
          <w:rFonts w:asciiTheme="majorHAnsi" w:hAnsiTheme="majorHAnsi"/>
          <w:sz w:val="20"/>
          <w:szCs w:val="20"/>
        </w:rPr>
        <w:t>.</w:t>
      </w:r>
    </w:p>
    <w:p w14:paraId="0D372B93" w14:textId="77777777" w:rsidR="00321158" w:rsidRPr="005722A6" w:rsidRDefault="00321158" w:rsidP="00321158">
      <w:pPr>
        <w:widowControl w:val="0"/>
        <w:autoSpaceDE w:val="0"/>
        <w:autoSpaceDN w:val="0"/>
        <w:adjustRightInd w:val="0"/>
        <w:spacing w:after="0"/>
        <w:rPr>
          <w:rFonts w:asciiTheme="majorHAnsi" w:hAnsiTheme="majorHAnsi"/>
          <w:sz w:val="20"/>
          <w:szCs w:val="20"/>
        </w:rPr>
      </w:pPr>
    </w:p>
    <w:p w14:paraId="188F5174" w14:textId="48C72A3D" w:rsidR="00321158" w:rsidRPr="005722A6" w:rsidRDefault="00F75640" w:rsidP="00321158">
      <w:pPr>
        <w:widowControl w:val="0"/>
        <w:autoSpaceDE w:val="0"/>
        <w:autoSpaceDN w:val="0"/>
        <w:adjustRightInd w:val="0"/>
        <w:spacing w:after="0"/>
        <w:rPr>
          <w:rFonts w:asciiTheme="majorHAnsi" w:hAnsiTheme="majorHAnsi"/>
          <w:sz w:val="20"/>
          <w:szCs w:val="20"/>
        </w:rPr>
      </w:pPr>
      <w:r w:rsidRPr="005722A6">
        <w:rPr>
          <w:rFonts w:asciiTheme="majorHAnsi" w:hAnsiTheme="majorHAnsi"/>
          <w:sz w:val="20"/>
          <w:szCs w:val="20"/>
        </w:rPr>
        <w:t>The project will increase</w:t>
      </w:r>
      <w:r w:rsidR="00321158" w:rsidRPr="005722A6">
        <w:rPr>
          <w:rFonts w:asciiTheme="majorHAnsi" w:hAnsiTheme="majorHAnsi"/>
          <w:sz w:val="20"/>
          <w:szCs w:val="20"/>
        </w:rPr>
        <w:t xml:space="preserve"> public understanding</w:t>
      </w:r>
      <w:r w:rsidR="00004F57">
        <w:rPr>
          <w:rFonts w:asciiTheme="majorHAnsi" w:hAnsiTheme="majorHAnsi"/>
          <w:sz w:val="20"/>
          <w:szCs w:val="20"/>
        </w:rPr>
        <w:t xml:space="preserve">, </w:t>
      </w:r>
      <w:r w:rsidRPr="005722A6">
        <w:rPr>
          <w:rFonts w:asciiTheme="majorHAnsi" w:hAnsiTheme="majorHAnsi"/>
          <w:sz w:val="20"/>
          <w:szCs w:val="20"/>
        </w:rPr>
        <w:t>particularly in Babeldaob and the Southern Lagoon</w:t>
      </w:r>
      <w:r w:rsidR="00004F57">
        <w:rPr>
          <w:rFonts w:asciiTheme="majorHAnsi" w:hAnsiTheme="majorHAnsi"/>
          <w:sz w:val="20"/>
          <w:szCs w:val="20"/>
        </w:rPr>
        <w:t xml:space="preserve">, </w:t>
      </w:r>
      <w:r w:rsidR="00321158" w:rsidRPr="005722A6">
        <w:rPr>
          <w:rFonts w:asciiTheme="majorHAnsi" w:hAnsiTheme="majorHAnsi"/>
          <w:sz w:val="20"/>
          <w:szCs w:val="20"/>
        </w:rPr>
        <w:t>o</w:t>
      </w:r>
      <w:r w:rsidR="00004F57">
        <w:rPr>
          <w:rFonts w:asciiTheme="majorHAnsi" w:hAnsiTheme="majorHAnsi"/>
          <w:sz w:val="20"/>
          <w:szCs w:val="20"/>
        </w:rPr>
        <w:t>n</w:t>
      </w:r>
      <w:r w:rsidR="00321158" w:rsidRPr="005722A6">
        <w:rPr>
          <w:rFonts w:asciiTheme="majorHAnsi" w:hAnsiTheme="majorHAnsi"/>
          <w:sz w:val="20"/>
          <w:szCs w:val="20"/>
        </w:rPr>
        <w:t xml:space="preserve"> how ecosystems are linked and how actions on land and sea impact people and places. This knowledge</w:t>
      </w:r>
      <w:r w:rsidR="00004F57">
        <w:rPr>
          <w:rFonts w:asciiTheme="majorHAnsi" w:hAnsiTheme="majorHAnsi"/>
          <w:sz w:val="20"/>
          <w:szCs w:val="20"/>
        </w:rPr>
        <w:t>,</w:t>
      </w:r>
      <w:r w:rsidR="00321158" w:rsidRPr="005722A6">
        <w:rPr>
          <w:rFonts w:asciiTheme="majorHAnsi" w:hAnsiTheme="majorHAnsi"/>
          <w:sz w:val="20"/>
          <w:szCs w:val="20"/>
        </w:rPr>
        <w:t xml:space="preserve"> combined with </w:t>
      </w:r>
      <w:r w:rsidR="00004F57">
        <w:rPr>
          <w:rFonts w:asciiTheme="majorHAnsi" w:hAnsiTheme="majorHAnsi"/>
          <w:sz w:val="20"/>
          <w:szCs w:val="20"/>
        </w:rPr>
        <w:t xml:space="preserve">integrated </w:t>
      </w:r>
      <w:r w:rsidR="00321158" w:rsidRPr="005722A6">
        <w:rPr>
          <w:rFonts w:asciiTheme="majorHAnsi" w:hAnsiTheme="majorHAnsi"/>
          <w:sz w:val="20"/>
          <w:szCs w:val="20"/>
        </w:rPr>
        <w:t>land/seascape plans</w:t>
      </w:r>
      <w:r w:rsidR="00004F57">
        <w:rPr>
          <w:rFonts w:asciiTheme="majorHAnsi" w:hAnsiTheme="majorHAnsi"/>
          <w:sz w:val="20"/>
          <w:szCs w:val="20"/>
        </w:rPr>
        <w:t>,</w:t>
      </w:r>
      <w:r w:rsidR="00321158" w:rsidRPr="005722A6">
        <w:rPr>
          <w:rFonts w:asciiTheme="majorHAnsi" w:hAnsiTheme="majorHAnsi"/>
          <w:sz w:val="20"/>
          <w:szCs w:val="20"/>
        </w:rPr>
        <w:t xml:space="preserve"> should reduce negative </w:t>
      </w:r>
      <w:r w:rsidR="00004F57">
        <w:rPr>
          <w:rFonts w:asciiTheme="majorHAnsi" w:hAnsiTheme="majorHAnsi"/>
          <w:sz w:val="20"/>
          <w:szCs w:val="20"/>
        </w:rPr>
        <w:t>impacts on biodiversity</w:t>
      </w:r>
      <w:r w:rsidR="00321158" w:rsidRPr="005722A6">
        <w:rPr>
          <w:rFonts w:asciiTheme="majorHAnsi" w:hAnsiTheme="majorHAnsi"/>
          <w:sz w:val="20"/>
          <w:szCs w:val="20"/>
        </w:rPr>
        <w:t xml:space="preserve"> and increase the number of sustainable livelihood activities in Palau. Based on the current baseline and information needs, the Communications </w:t>
      </w:r>
      <w:r w:rsidR="00E94214">
        <w:rPr>
          <w:rFonts w:asciiTheme="majorHAnsi" w:hAnsiTheme="majorHAnsi"/>
          <w:sz w:val="20"/>
          <w:szCs w:val="20"/>
        </w:rPr>
        <w:t xml:space="preserve">and Knowledge Management </w:t>
      </w:r>
      <w:r w:rsidR="00321158" w:rsidRPr="005722A6">
        <w:rPr>
          <w:rFonts w:asciiTheme="majorHAnsi" w:hAnsiTheme="majorHAnsi"/>
          <w:sz w:val="20"/>
          <w:szCs w:val="20"/>
        </w:rPr>
        <w:t xml:space="preserve">Strategy </w:t>
      </w:r>
      <w:r w:rsidR="00321158" w:rsidRPr="00667639">
        <w:rPr>
          <w:rFonts w:asciiTheme="majorHAnsi" w:hAnsiTheme="majorHAnsi"/>
          <w:sz w:val="20"/>
          <w:szCs w:val="20"/>
        </w:rPr>
        <w:t>(</w:t>
      </w:r>
      <w:r w:rsidR="006035AF" w:rsidRPr="00004F57">
        <w:rPr>
          <w:rFonts w:asciiTheme="majorHAnsi" w:hAnsiTheme="majorHAnsi"/>
          <w:b/>
          <w:sz w:val="20"/>
          <w:szCs w:val="20"/>
        </w:rPr>
        <w:t xml:space="preserve">Annex </w:t>
      </w:r>
      <w:r w:rsidR="000D2499" w:rsidRPr="00004F57">
        <w:rPr>
          <w:rFonts w:asciiTheme="majorHAnsi" w:hAnsiTheme="majorHAnsi"/>
          <w:b/>
          <w:sz w:val="20"/>
          <w:szCs w:val="20"/>
        </w:rPr>
        <w:t>6</w:t>
      </w:r>
      <w:r w:rsidR="000D2499" w:rsidRPr="00667639">
        <w:rPr>
          <w:rFonts w:asciiTheme="majorHAnsi" w:hAnsiTheme="majorHAnsi"/>
          <w:sz w:val="20"/>
          <w:szCs w:val="20"/>
        </w:rPr>
        <w:t>)</w:t>
      </w:r>
      <w:r w:rsidR="000D2499" w:rsidRPr="005722A6">
        <w:rPr>
          <w:rFonts w:asciiTheme="majorHAnsi" w:hAnsiTheme="majorHAnsi"/>
          <w:sz w:val="20"/>
          <w:szCs w:val="20"/>
        </w:rPr>
        <w:t xml:space="preserve"> </w:t>
      </w:r>
      <w:r w:rsidR="00321158" w:rsidRPr="005722A6">
        <w:rPr>
          <w:rFonts w:asciiTheme="majorHAnsi" w:hAnsiTheme="majorHAnsi"/>
          <w:sz w:val="20"/>
          <w:szCs w:val="20"/>
        </w:rPr>
        <w:t>target</w:t>
      </w:r>
      <w:r w:rsidR="00004F57">
        <w:rPr>
          <w:rFonts w:asciiTheme="majorHAnsi" w:hAnsiTheme="majorHAnsi"/>
          <w:sz w:val="20"/>
          <w:szCs w:val="20"/>
        </w:rPr>
        <w:t>s</w:t>
      </w:r>
      <w:r w:rsidR="00321158" w:rsidRPr="005722A6">
        <w:rPr>
          <w:rFonts w:asciiTheme="majorHAnsi" w:hAnsiTheme="majorHAnsi"/>
          <w:sz w:val="20"/>
          <w:szCs w:val="20"/>
        </w:rPr>
        <w:t xml:space="preserve"> actions for biodiversity mainstreaming and sustainable livelihood development, includ</w:t>
      </w:r>
      <w:r w:rsidR="00004F57">
        <w:rPr>
          <w:rFonts w:asciiTheme="majorHAnsi" w:hAnsiTheme="majorHAnsi"/>
          <w:sz w:val="20"/>
          <w:szCs w:val="20"/>
        </w:rPr>
        <w:t>ing</w:t>
      </w:r>
      <w:r w:rsidR="00321158" w:rsidRPr="005722A6">
        <w:rPr>
          <w:rFonts w:asciiTheme="majorHAnsi" w:hAnsiTheme="majorHAnsi"/>
          <w:sz w:val="20"/>
          <w:szCs w:val="20"/>
        </w:rPr>
        <w:t xml:space="preserve"> broad public outreach on IAS</w:t>
      </w:r>
      <w:r w:rsidR="00004F57" w:rsidRPr="00004F57">
        <w:rPr>
          <w:rFonts w:asciiTheme="majorHAnsi" w:hAnsiTheme="majorHAnsi"/>
          <w:sz w:val="20"/>
          <w:szCs w:val="20"/>
        </w:rPr>
        <w:t xml:space="preserve"> </w:t>
      </w:r>
      <w:r w:rsidR="00004F57" w:rsidRPr="005722A6">
        <w:rPr>
          <w:rFonts w:asciiTheme="majorHAnsi" w:hAnsiTheme="majorHAnsi"/>
          <w:sz w:val="20"/>
          <w:szCs w:val="20"/>
        </w:rPr>
        <w:t>and biosecurity</w:t>
      </w:r>
      <w:r w:rsidR="00321158" w:rsidRPr="005722A6">
        <w:rPr>
          <w:rFonts w:asciiTheme="majorHAnsi" w:hAnsiTheme="majorHAnsi"/>
          <w:sz w:val="20"/>
          <w:szCs w:val="20"/>
        </w:rPr>
        <w:t>.</w:t>
      </w:r>
    </w:p>
    <w:p w14:paraId="4D347CF5" w14:textId="77777777" w:rsidR="00B87774" w:rsidRPr="005722A6" w:rsidRDefault="00B87774" w:rsidP="00B87774">
      <w:pPr>
        <w:spacing w:after="0"/>
        <w:rPr>
          <w:rFonts w:asciiTheme="majorHAnsi" w:hAnsiTheme="majorHAnsi"/>
          <w:b/>
          <w:i/>
          <w:sz w:val="20"/>
          <w:szCs w:val="20"/>
        </w:rPr>
      </w:pPr>
    </w:p>
    <w:p w14:paraId="71AAB2D5" w14:textId="1BAC4F83" w:rsidR="00D7208E" w:rsidRPr="005722A6" w:rsidRDefault="00B87774" w:rsidP="00D7208E">
      <w:pPr>
        <w:rPr>
          <w:rFonts w:asciiTheme="majorHAnsi" w:hAnsiTheme="majorHAnsi"/>
          <w:b/>
          <w:i/>
          <w:sz w:val="20"/>
          <w:szCs w:val="20"/>
        </w:rPr>
      </w:pPr>
      <w:r w:rsidRPr="005722A6">
        <w:rPr>
          <w:rFonts w:asciiTheme="majorHAnsi" w:hAnsiTheme="majorHAnsi" w:cs="Segoe UI"/>
          <w:b/>
          <w:i/>
          <w:color w:val="000000"/>
          <w:sz w:val="20"/>
          <w:szCs w:val="20"/>
        </w:rPr>
        <w:t xml:space="preserve">Output 4.1: </w:t>
      </w:r>
      <w:r w:rsidRPr="005722A6">
        <w:rPr>
          <w:rFonts w:asciiTheme="majorHAnsi" w:hAnsiTheme="majorHAnsi"/>
          <w:b/>
          <w:i/>
          <w:sz w:val="20"/>
          <w:szCs w:val="20"/>
        </w:rPr>
        <w:t xml:space="preserve">Communications </w:t>
      </w:r>
      <w:r w:rsidR="0058616F" w:rsidRPr="005722A6">
        <w:rPr>
          <w:rFonts w:asciiTheme="majorHAnsi" w:hAnsiTheme="majorHAnsi"/>
          <w:b/>
          <w:i/>
          <w:sz w:val="20"/>
          <w:szCs w:val="20"/>
        </w:rPr>
        <w:t xml:space="preserve">and </w:t>
      </w:r>
      <w:r w:rsidR="00B577F6">
        <w:rPr>
          <w:rFonts w:asciiTheme="majorHAnsi" w:hAnsiTheme="majorHAnsi"/>
          <w:b/>
          <w:i/>
          <w:sz w:val="20"/>
          <w:szCs w:val="20"/>
        </w:rPr>
        <w:t>g</w:t>
      </w:r>
      <w:r w:rsidR="00D757AB" w:rsidRPr="005722A6">
        <w:rPr>
          <w:rFonts w:asciiTheme="majorHAnsi" w:hAnsiTheme="majorHAnsi"/>
          <w:b/>
          <w:i/>
          <w:sz w:val="20"/>
          <w:szCs w:val="20"/>
        </w:rPr>
        <w:t xml:space="preserve">ender </w:t>
      </w:r>
      <w:r w:rsidRPr="005722A6">
        <w:rPr>
          <w:rFonts w:asciiTheme="majorHAnsi" w:hAnsiTheme="majorHAnsi"/>
          <w:b/>
          <w:i/>
          <w:sz w:val="20"/>
          <w:szCs w:val="20"/>
        </w:rPr>
        <w:t>strateg</w:t>
      </w:r>
      <w:r w:rsidR="00D757AB" w:rsidRPr="005722A6">
        <w:rPr>
          <w:rFonts w:asciiTheme="majorHAnsi" w:hAnsiTheme="majorHAnsi"/>
          <w:b/>
          <w:i/>
          <w:sz w:val="20"/>
          <w:szCs w:val="20"/>
        </w:rPr>
        <w:t>ies</w:t>
      </w:r>
      <w:r w:rsidRPr="005722A6">
        <w:rPr>
          <w:rFonts w:asciiTheme="majorHAnsi" w:hAnsiTheme="majorHAnsi"/>
          <w:b/>
          <w:i/>
          <w:sz w:val="20"/>
          <w:szCs w:val="20"/>
        </w:rPr>
        <w:t xml:space="preserve"> developed and implemented</w:t>
      </w:r>
    </w:p>
    <w:p w14:paraId="3C9B8639" w14:textId="77777777" w:rsidR="00D7208E" w:rsidRPr="005722A6" w:rsidRDefault="00D7208E" w:rsidP="00D7208E">
      <w:pPr>
        <w:spacing w:after="0"/>
        <w:rPr>
          <w:rFonts w:asciiTheme="majorHAnsi" w:hAnsiTheme="majorHAnsi"/>
          <w:sz w:val="20"/>
          <w:szCs w:val="20"/>
        </w:rPr>
      </w:pPr>
    </w:p>
    <w:p w14:paraId="35790177" w14:textId="5F350A6D" w:rsidR="00D7208E" w:rsidRPr="005722A6" w:rsidRDefault="00B577F6" w:rsidP="00D7208E">
      <w:pPr>
        <w:spacing w:after="0"/>
        <w:rPr>
          <w:rFonts w:asciiTheme="majorHAnsi" w:hAnsiTheme="majorHAnsi"/>
          <w:sz w:val="20"/>
          <w:szCs w:val="20"/>
        </w:rPr>
      </w:pPr>
      <w:r>
        <w:rPr>
          <w:rFonts w:asciiTheme="majorHAnsi" w:hAnsiTheme="majorHAnsi"/>
          <w:sz w:val="20"/>
          <w:szCs w:val="20"/>
        </w:rPr>
        <w:t>The c</w:t>
      </w:r>
      <w:r w:rsidR="00D9296D" w:rsidRPr="005722A6">
        <w:rPr>
          <w:rFonts w:asciiTheme="majorHAnsi" w:hAnsiTheme="majorHAnsi"/>
          <w:sz w:val="20"/>
          <w:szCs w:val="20"/>
        </w:rPr>
        <w:t xml:space="preserve">omplementary Communication and Knowledge Management </w:t>
      </w:r>
      <w:r w:rsidR="00E94214">
        <w:rPr>
          <w:rFonts w:asciiTheme="majorHAnsi" w:hAnsiTheme="majorHAnsi"/>
          <w:sz w:val="20"/>
          <w:szCs w:val="20"/>
        </w:rPr>
        <w:t xml:space="preserve">Strategy </w:t>
      </w:r>
      <w:r w:rsidR="00D9296D" w:rsidRPr="005722A6">
        <w:rPr>
          <w:rFonts w:asciiTheme="majorHAnsi" w:hAnsiTheme="majorHAnsi"/>
          <w:sz w:val="20"/>
          <w:szCs w:val="20"/>
        </w:rPr>
        <w:t>(</w:t>
      </w:r>
      <w:r w:rsidR="00D9296D" w:rsidRPr="00B577F6">
        <w:rPr>
          <w:rFonts w:asciiTheme="majorHAnsi" w:hAnsiTheme="majorHAnsi"/>
          <w:b/>
          <w:sz w:val="20"/>
          <w:szCs w:val="20"/>
        </w:rPr>
        <w:t xml:space="preserve">Annex </w:t>
      </w:r>
      <w:r w:rsidR="00E94214" w:rsidRPr="00B577F6">
        <w:rPr>
          <w:rFonts w:asciiTheme="majorHAnsi" w:hAnsiTheme="majorHAnsi"/>
          <w:b/>
          <w:sz w:val="20"/>
          <w:szCs w:val="20"/>
        </w:rPr>
        <w:t>6</w:t>
      </w:r>
      <w:r w:rsidR="00E94214" w:rsidRPr="005722A6">
        <w:rPr>
          <w:rFonts w:asciiTheme="majorHAnsi" w:hAnsiTheme="majorHAnsi"/>
          <w:sz w:val="20"/>
          <w:szCs w:val="20"/>
        </w:rPr>
        <w:t xml:space="preserve">) </w:t>
      </w:r>
      <w:r w:rsidR="00D9296D" w:rsidRPr="005722A6">
        <w:rPr>
          <w:rFonts w:asciiTheme="majorHAnsi" w:hAnsiTheme="majorHAnsi"/>
          <w:sz w:val="20"/>
          <w:szCs w:val="20"/>
        </w:rPr>
        <w:t xml:space="preserve">and Gender </w:t>
      </w:r>
      <w:r w:rsidR="00E94214">
        <w:rPr>
          <w:rFonts w:asciiTheme="majorHAnsi" w:hAnsiTheme="majorHAnsi"/>
          <w:sz w:val="20"/>
          <w:szCs w:val="20"/>
        </w:rPr>
        <w:t xml:space="preserve">Analysis and </w:t>
      </w:r>
      <w:r w:rsidR="00D9296D" w:rsidRPr="005722A6">
        <w:rPr>
          <w:rFonts w:asciiTheme="majorHAnsi" w:hAnsiTheme="majorHAnsi"/>
          <w:sz w:val="20"/>
          <w:szCs w:val="20"/>
        </w:rPr>
        <w:t xml:space="preserve">Mainstreaming </w:t>
      </w:r>
      <w:r w:rsidR="00E94214">
        <w:rPr>
          <w:rFonts w:asciiTheme="majorHAnsi" w:hAnsiTheme="majorHAnsi"/>
          <w:sz w:val="20"/>
          <w:szCs w:val="20"/>
        </w:rPr>
        <w:t xml:space="preserve">Action Plan </w:t>
      </w:r>
      <w:r w:rsidR="00D9296D" w:rsidRPr="005722A6">
        <w:rPr>
          <w:rFonts w:asciiTheme="majorHAnsi" w:hAnsiTheme="majorHAnsi"/>
          <w:sz w:val="20"/>
          <w:szCs w:val="20"/>
        </w:rPr>
        <w:t>(</w:t>
      </w:r>
      <w:r w:rsidR="00D9296D" w:rsidRPr="00B577F6">
        <w:rPr>
          <w:rFonts w:asciiTheme="majorHAnsi" w:hAnsiTheme="majorHAnsi"/>
          <w:b/>
          <w:sz w:val="20"/>
          <w:szCs w:val="20"/>
        </w:rPr>
        <w:t xml:space="preserve">Annex </w:t>
      </w:r>
      <w:r w:rsidR="00E94214" w:rsidRPr="00B577F6">
        <w:rPr>
          <w:rFonts w:asciiTheme="majorHAnsi" w:hAnsiTheme="majorHAnsi"/>
          <w:b/>
          <w:sz w:val="20"/>
          <w:szCs w:val="20"/>
        </w:rPr>
        <w:t>5</w:t>
      </w:r>
      <w:r w:rsidR="00E94214" w:rsidRPr="005722A6">
        <w:rPr>
          <w:rFonts w:asciiTheme="majorHAnsi" w:hAnsiTheme="majorHAnsi"/>
          <w:sz w:val="20"/>
          <w:szCs w:val="20"/>
        </w:rPr>
        <w:t xml:space="preserve">) </w:t>
      </w:r>
      <w:r w:rsidR="00D9296D" w:rsidRPr="005722A6">
        <w:rPr>
          <w:rFonts w:asciiTheme="majorHAnsi" w:hAnsiTheme="majorHAnsi"/>
          <w:sz w:val="20"/>
          <w:szCs w:val="20"/>
        </w:rPr>
        <w:t>have been developed to c</w:t>
      </w:r>
      <w:r w:rsidR="00D7208E" w:rsidRPr="005722A6">
        <w:rPr>
          <w:rFonts w:asciiTheme="majorHAnsi" w:hAnsiTheme="majorHAnsi"/>
          <w:sz w:val="20"/>
          <w:szCs w:val="20"/>
        </w:rPr>
        <w:t>reat</w:t>
      </w:r>
      <w:r w:rsidR="00D9296D" w:rsidRPr="005722A6">
        <w:rPr>
          <w:rFonts w:asciiTheme="majorHAnsi" w:hAnsiTheme="majorHAnsi"/>
          <w:sz w:val="20"/>
          <w:szCs w:val="20"/>
        </w:rPr>
        <w:t>e</w:t>
      </w:r>
      <w:r w:rsidR="00D7208E" w:rsidRPr="005722A6">
        <w:rPr>
          <w:rFonts w:asciiTheme="majorHAnsi" w:hAnsiTheme="majorHAnsi"/>
          <w:sz w:val="20"/>
          <w:szCs w:val="20"/>
        </w:rPr>
        <w:t xml:space="preserve"> bridges between the stakeholders </w:t>
      </w:r>
      <w:r w:rsidR="00F7479A" w:rsidRPr="005722A6">
        <w:rPr>
          <w:rFonts w:asciiTheme="majorHAnsi" w:hAnsiTheme="majorHAnsi"/>
          <w:sz w:val="20"/>
          <w:szCs w:val="20"/>
        </w:rPr>
        <w:t>at</w:t>
      </w:r>
      <w:r w:rsidR="00D7208E" w:rsidRPr="005722A6">
        <w:rPr>
          <w:rFonts w:asciiTheme="majorHAnsi" w:hAnsiTheme="majorHAnsi"/>
          <w:sz w:val="20"/>
          <w:szCs w:val="20"/>
        </w:rPr>
        <w:t xml:space="preserve"> national, state and local levels. The </w:t>
      </w:r>
      <w:r>
        <w:rPr>
          <w:rFonts w:asciiTheme="majorHAnsi" w:hAnsiTheme="majorHAnsi"/>
          <w:sz w:val="20"/>
          <w:szCs w:val="20"/>
        </w:rPr>
        <w:t>C</w:t>
      </w:r>
      <w:r w:rsidR="00D7208E" w:rsidRPr="005722A6">
        <w:rPr>
          <w:rFonts w:asciiTheme="majorHAnsi" w:hAnsiTheme="majorHAnsi"/>
          <w:sz w:val="20"/>
          <w:szCs w:val="20"/>
        </w:rPr>
        <w:t xml:space="preserve">ommunication </w:t>
      </w:r>
      <w:r>
        <w:rPr>
          <w:rFonts w:asciiTheme="majorHAnsi" w:hAnsiTheme="majorHAnsi"/>
          <w:sz w:val="20"/>
          <w:szCs w:val="20"/>
        </w:rPr>
        <w:t>S</w:t>
      </w:r>
      <w:r w:rsidR="00D7208E" w:rsidRPr="005722A6">
        <w:rPr>
          <w:rFonts w:asciiTheme="majorHAnsi" w:hAnsiTheme="majorHAnsi"/>
          <w:sz w:val="20"/>
          <w:szCs w:val="20"/>
        </w:rPr>
        <w:t xml:space="preserve">trategy is aimed at making </w:t>
      </w:r>
      <w:r w:rsidR="00F7479A" w:rsidRPr="005722A6">
        <w:rPr>
          <w:rFonts w:asciiTheme="majorHAnsi" w:hAnsiTheme="majorHAnsi"/>
          <w:sz w:val="20"/>
          <w:szCs w:val="20"/>
        </w:rPr>
        <w:t>gender</w:t>
      </w:r>
      <w:r>
        <w:rPr>
          <w:rFonts w:asciiTheme="majorHAnsi" w:hAnsiTheme="majorHAnsi"/>
          <w:sz w:val="20"/>
          <w:szCs w:val="20"/>
        </w:rPr>
        <w:t>/</w:t>
      </w:r>
      <w:r w:rsidRPr="005722A6">
        <w:rPr>
          <w:rFonts w:asciiTheme="majorHAnsi" w:hAnsiTheme="majorHAnsi"/>
          <w:sz w:val="20"/>
          <w:szCs w:val="20"/>
        </w:rPr>
        <w:t>social</w:t>
      </w:r>
      <w:r>
        <w:rPr>
          <w:rFonts w:asciiTheme="majorHAnsi" w:hAnsiTheme="majorHAnsi"/>
          <w:sz w:val="20"/>
          <w:szCs w:val="20"/>
        </w:rPr>
        <w:t xml:space="preserve"> equity</w:t>
      </w:r>
      <w:r w:rsidR="00D757AB" w:rsidRPr="005722A6">
        <w:rPr>
          <w:rFonts w:asciiTheme="majorHAnsi" w:hAnsiTheme="majorHAnsi"/>
          <w:sz w:val="20"/>
          <w:szCs w:val="20"/>
        </w:rPr>
        <w:t xml:space="preserve"> and  </w:t>
      </w:r>
      <w:r>
        <w:rPr>
          <w:rFonts w:asciiTheme="majorHAnsi" w:hAnsiTheme="majorHAnsi"/>
          <w:sz w:val="20"/>
          <w:szCs w:val="20"/>
        </w:rPr>
        <w:t>‘</w:t>
      </w:r>
      <w:r w:rsidR="00D7208E" w:rsidRPr="005722A6">
        <w:rPr>
          <w:rFonts w:asciiTheme="majorHAnsi" w:hAnsiTheme="majorHAnsi"/>
          <w:sz w:val="20"/>
          <w:szCs w:val="20"/>
        </w:rPr>
        <w:t>Ridge to Reef</w:t>
      </w:r>
      <w:r>
        <w:rPr>
          <w:rFonts w:asciiTheme="majorHAnsi" w:hAnsiTheme="majorHAnsi"/>
          <w:sz w:val="20"/>
          <w:szCs w:val="20"/>
        </w:rPr>
        <w:t>’</w:t>
      </w:r>
      <w:r w:rsidR="00D757AB" w:rsidRPr="005722A6">
        <w:rPr>
          <w:rFonts w:asciiTheme="majorHAnsi" w:hAnsiTheme="majorHAnsi"/>
          <w:sz w:val="20"/>
          <w:szCs w:val="20"/>
        </w:rPr>
        <w:t xml:space="preserve"> concepts</w:t>
      </w:r>
      <w:r w:rsidR="00D7208E" w:rsidRPr="005722A6">
        <w:rPr>
          <w:rFonts w:asciiTheme="majorHAnsi" w:hAnsiTheme="majorHAnsi"/>
          <w:sz w:val="20"/>
          <w:szCs w:val="20"/>
        </w:rPr>
        <w:t xml:space="preserve"> a national priority through a </w:t>
      </w:r>
      <w:r w:rsidR="00F7479A" w:rsidRPr="005722A6">
        <w:rPr>
          <w:rFonts w:asciiTheme="majorHAnsi" w:hAnsiTheme="majorHAnsi"/>
          <w:sz w:val="20"/>
          <w:szCs w:val="20"/>
        </w:rPr>
        <w:t>targeted</w:t>
      </w:r>
      <w:r w:rsidR="00D7208E" w:rsidRPr="005722A6">
        <w:rPr>
          <w:rFonts w:asciiTheme="majorHAnsi" w:hAnsiTheme="majorHAnsi"/>
          <w:sz w:val="20"/>
          <w:szCs w:val="20"/>
        </w:rPr>
        <w:t xml:space="preserve"> program</w:t>
      </w:r>
      <w:r w:rsidR="00D9296D" w:rsidRPr="005722A6">
        <w:rPr>
          <w:rFonts w:asciiTheme="majorHAnsi" w:hAnsiTheme="majorHAnsi"/>
          <w:sz w:val="20"/>
          <w:szCs w:val="20"/>
        </w:rPr>
        <w:t xml:space="preserve"> of</w:t>
      </w:r>
      <w:r w:rsidR="00D7208E" w:rsidRPr="005722A6">
        <w:rPr>
          <w:rFonts w:asciiTheme="majorHAnsi" w:hAnsiTheme="majorHAnsi"/>
          <w:sz w:val="20"/>
          <w:szCs w:val="20"/>
        </w:rPr>
        <w:t xml:space="preserve"> </w:t>
      </w:r>
      <w:r w:rsidRPr="005722A6">
        <w:rPr>
          <w:rFonts w:asciiTheme="majorHAnsi" w:hAnsiTheme="majorHAnsi"/>
          <w:sz w:val="20"/>
          <w:szCs w:val="20"/>
        </w:rPr>
        <w:t>outreach and awareness</w:t>
      </w:r>
      <w:r>
        <w:rPr>
          <w:rFonts w:asciiTheme="majorHAnsi" w:hAnsiTheme="majorHAnsi"/>
          <w:sz w:val="20"/>
          <w:szCs w:val="20"/>
        </w:rPr>
        <w:t xml:space="preserve"> raising,</w:t>
      </w:r>
      <w:r w:rsidRPr="005722A6">
        <w:rPr>
          <w:rFonts w:asciiTheme="majorHAnsi" w:hAnsiTheme="majorHAnsi"/>
          <w:sz w:val="20"/>
          <w:szCs w:val="20"/>
        </w:rPr>
        <w:t xml:space="preserve"> </w:t>
      </w:r>
      <w:r w:rsidR="00D7208E" w:rsidRPr="005722A6">
        <w:rPr>
          <w:rFonts w:asciiTheme="majorHAnsi" w:hAnsiTheme="majorHAnsi"/>
          <w:sz w:val="20"/>
          <w:szCs w:val="20"/>
        </w:rPr>
        <w:t>consultations</w:t>
      </w:r>
      <w:r>
        <w:rPr>
          <w:rFonts w:asciiTheme="majorHAnsi" w:hAnsiTheme="majorHAnsi"/>
          <w:sz w:val="20"/>
          <w:szCs w:val="20"/>
        </w:rPr>
        <w:t xml:space="preserve"> and</w:t>
      </w:r>
      <w:r w:rsidR="00D7208E" w:rsidRPr="005722A6">
        <w:rPr>
          <w:rFonts w:asciiTheme="majorHAnsi" w:hAnsiTheme="majorHAnsi"/>
          <w:sz w:val="20"/>
          <w:szCs w:val="20"/>
        </w:rPr>
        <w:t xml:space="preserve"> brand building. </w:t>
      </w:r>
      <w:r w:rsidR="00D9296D" w:rsidRPr="005722A6">
        <w:rPr>
          <w:rFonts w:asciiTheme="majorHAnsi" w:hAnsiTheme="majorHAnsi"/>
          <w:sz w:val="20"/>
          <w:szCs w:val="20"/>
        </w:rPr>
        <w:t xml:space="preserve">The project will also support a broader IAS and </w:t>
      </w:r>
      <w:r w:rsidR="00E04997">
        <w:rPr>
          <w:rFonts w:asciiTheme="majorHAnsi" w:hAnsiTheme="majorHAnsi"/>
          <w:sz w:val="20"/>
          <w:szCs w:val="20"/>
        </w:rPr>
        <w:t>b</w:t>
      </w:r>
      <w:r w:rsidR="00D9296D" w:rsidRPr="005722A6">
        <w:rPr>
          <w:rFonts w:asciiTheme="majorHAnsi" w:hAnsiTheme="majorHAnsi"/>
          <w:sz w:val="20"/>
          <w:szCs w:val="20"/>
        </w:rPr>
        <w:t>iosecurity public awareness campaign.</w:t>
      </w:r>
      <w:r w:rsidR="00D7208E" w:rsidRPr="005722A6">
        <w:rPr>
          <w:rFonts w:asciiTheme="majorHAnsi" w:hAnsiTheme="majorHAnsi"/>
          <w:sz w:val="20"/>
          <w:szCs w:val="20"/>
        </w:rPr>
        <w:t xml:space="preserve"> The intent of the </w:t>
      </w:r>
      <w:r w:rsidR="00E94214">
        <w:rPr>
          <w:rFonts w:asciiTheme="majorHAnsi" w:hAnsiTheme="majorHAnsi"/>
          <w:sz w:val="20"/>
          <w:szCs w:val="20"/>
        </w:rPr>
        <w:t>G</w:t>
      </w:r>
      <w:r w:rsidR="00D7208E" w:rsidRPr="005722A6">
        <w:rPr>
          <w:rFonts w:asciiTheme="majorHAnsi" w:hAnsiTheme="majorHAnsi"/>
          <w:sz w:val="20"/>
          <w:szCs w:val="20"/>
        </w:rPr>
        <w:t xml:space="preserve">ender </w:t>
      </w:r>
      <w:r w:rsidR="00E94214">
        <w:rPr>
          <w:rFonts w:asciiTheme="majorHAnsi" w:hAnsiTheme="majorHAnsi"/>
          <w:sz w:val="20"/>
          <w:szCs w:val="20"/>
        </w:rPr>
        <w:t>Analysis an</w:t>
      </w:r>
      <w:r w:rsidR="00E04997">
        <w:rPr>
          <w:rFonts w:asciiTheme="majorHAnsi" w:hAnsiTheme="majorHAnsi"/>
          <w:sz w:val="20"/>
          <w:szCs w:val="20"/>
        </w:rPr>
        <w:t xml:space="preserve">d </w:t>
      </w:r>
      <w:r w:rsidR="00E94214">
        <w:rPr>
          <w:rFonts w:asciiTheme="majorHAnsi" w:hAnsiTheme="majorHAnsi"/>
          <w:sz w:val="20"/>
          <w:szCs w:val="20"/>
        </w:rPr>
        <w:t>M</w:t>
      </w:r>
      <w:r w:rsidR="00D7208E" w:rsidRPr="005722A6">
        <w:rPr>
          <w:rFonts w:asciiTheme="majorHAnsi" w:hAnsiTheme="majorHAnsi"/>
          <w:sz w:val="20"/>
          <w:szCs w:val="20"/>
        </w:rPr>
        <w:t xml:space="preserve">ainstreaming </w:t>
      </w:r>
      <w:r w:rsidR="00E94214">
        <w:rPr>
          <w:rFonts w:asciiTheme="majorHAnsi" w:hAnsiTheme="majorHAnsi"/>
          <w:sz w:val="20"/>
          <w:szCs w:val="20"/>
        </w:rPr>
        <w:t>A</w:t>
      </w:r>
      <w:r w:rsidR="00D7208E" w:rsidRPr="005722A6">
        <w:rPr>
          <w:rFonts w:asciiTheme="majorHAnsi" w:hAnsiTheme="majorHAnsi"/>
          <w:sz w:val="20"/>
          <w:szCs w:val="20"/>
        </w:rPr>
        <w:t xml:space="preserve">ction </w:t>
      </w:r>
      <w:r w:rsidR="00E94214">
        <w:rPr>
          <w:rFonts w:asciiTheme="majorHAnsi" w:hAnsiTheme="majorHAnsi"/>
          <w:sz w:val="20"/>
          <w:szCs w:val="20"/>
        </w:rPr>
        <w:t>P</w:t>
      </w:r>
      <w:r w:rsidR="00D7208E" w:rsidRPr="005722A6">
        <w:rPr>
          <w:rFonts w:asciiTheme="majorHAnsi" w:hAnsiTheme="majorHAnsi"/>
          <w:sz w:val="20"/>
          <w:szCs w:val="20"/>
        </w:rPr>
        <w:t xml:space="preserve">lan </w:t>
      </w:r>
      <w:r w:rsidR="00D7208E" w:rsidRPr="00667639">
        <w:rPr>
          <w:rFonts w:asciiTheme="majorHAnsi" w:hAnsiTheme="majorHAnsi"/>
          <w:sz w:val="20"/>
          <w:szCs w:val="20"/>
        </w:rPr>
        <w:t>(</w:t>
      </w:r>
      <w:r w:rsidR="00D7208E" w:rsidRPr="00B32500">
        <w:rPr>
          <w:rFonts w:asciiTheme="majorHAnsi" w:hAnsiTheme="majorHAnsi"/>
          <w:b/>
          <w:sz w:val="20"/>
          <w:szCs w:val="20"/>
        </w:rPr>
        <w:t xml:space="preserve">Annex </w:t>
      </w:r>
      <w:r w:rsidR="000D2499" w:rsidRPr="00B32500">
        <w:rPr>
          <w:rFonts w:asciiTheme="majorHAnsi" w:hAnsiTheme="majorHAnsi"/>
          <w:b/>
          <w:sz w:val="20"/>
          <w:szCs w:val="20"/>
        </w:rPr>
        <w:t>5</w:t>
      </w:r>
      <w:r w:rsidR="00D7208E" w:rsidRPr="00667639">
        <w:rPr>
          <w:rFonts w:asciiTheme="majorHAnsi" w:hAnsiTheme="majorHAnsi"/>
          <w:sz w:val="20"/>
          <w:szCs w:val="20"/>
        </w:rPr>
        <w:t>)</w:t>
      </w:r>
      <w:r w:rsidR="00D7208E" w:rsidRPr="005722A6">
        <w:rPr>
          <w:rFonts w:asciiTheme="majorHAnsi" w:hAnsiTheme="majorHAnsi"/>
          <w:sz w:val="20"/>
          <w:szCs w:val="20"/>
        </w:rPr>
        <w:t xml:space="preserve"> is to enhance the role </w:t>
      </w:r>
      <w:r w:rsidR="00D9296D" w:rsidRPr="005722A6">
        <w:rPr>
          <w:rFonts w:asciiTheme="majorHAnsi" w:hAnsiTheme="majorHAnsi"/>
          <w:sz w:val="20"/>
          <w:szCs w:val="20"/>
        </w:rPr>
        <w:t xml:space="preserve">and secure livelihood concerns </w:t>
      </w:r>
      <w:r w:rsidR="00D7208E" w:rsidRPr="005722A6">
        <w:rPr>
          <w:rFonts w:asciiTheme="majorHAnsi" w:hAnsiTheme="majorHAnsi"/>
          <w:sz w:val="20"/>
          <w:szCs w:val="20"/>
        </w:rPr>
        <w:t xml:space="preserve">of </w:t>
      </w:r>
      <w:r w:rsidR="00D9296D" w:rsidRPr="005722A6">
        <w:rPr>
          <w:rFonts w:asciiTheme="majorHAnsi" w:hAnsiTheme="majorHAnsi"/>
          <w:sz w:val="20"/>
          <w:szCs w:val="20"/>
        </w:rPr>
        <w:t xml:space="preserve">both genders and </w:t>
      </w:r>
      <w:r w:rsidR="00B32500">
        <w:rPr>
          <w:rFonts w:asciiTheme="majorHAnsi" w:hAnsiTheme="majorHAnsi"/>
          <w:sz w:val="20"/>
          <w:szCs w:val="20"/>
        </w:rPr>
        <w:t>marginalized</w:t>
      </w:r>
      <w:r w:rsidR="00D9296D" w:rsidRPr="005722A6">
        <w:rPr>
          <w:rFonts w:asciiTheme="majorHAnsi" w:hAnsiTheme="majorHAnsi"/>
          <w:sz w:val="20"/>
          <w:szCs w:val="20"/>
        </w:rPr>
        <w:t xml:space="preserve"> people in resulting landscape/seascape plans and actions.</w:t>
      </w:r>
    </w:p>
    <w:p w14:paraId="7E39F404" w14:textId="77777777" w:rsidR="00D7208E" w:rsidRPr="005722A6" w:rsidRDefault="00D7208E" w:rsidP="00D7208E">
      <w:pPr>
        <w:pStyle w:val="Default"/>
        <w:jc w:val="both"/>
        <w:rPr>
          <w:rFonts w:asciiTheme="majorHAnsi" w:hAnsiTheme="majorHAnsi" w:cs="Times New Roman"/>
          <w:sz w:val="20"/>
          <w:szCs w:val="20"/>
        </w:rPr>
      </w:pPr>
    </w:p>
    <w:p w14:paraId="105329BA" w14:textId="456204D1" w:rsidR="00D7208E" w:rsidRPr="005722A6" w:rsidRDefault="00D7208E" w:rsidP="00D7208E">
      <w:pPr>
        <w:pStyle w:val="Default"/>
        <w:jc w:val="both"/>
        <w:rPr>
          <w:rFonts w:asciiTheme="majorHAnsi" w:hAnsiTheme="majorHAnsi" w:cs="Times New Roman"/>
          <w:sz w:val="20"/>
          <w:szCs w:val="20"/>
        </w:rPr>
      </w:pPr>
      <w:r w:rsidRPr="005722A6">
        <w:rPr>
          <w:rFonts w:asciiTheme="majorHAnsi" w:hAnsiTheme="majorHAnsi" w:cs="Times New Roman"/>
          <w:sz w:val="20"/>
          <w:szCs w:val="20"/>
        </w:rPr>
        <w:t>This Output w</w:t>
      </w:r>
      <w:r w:rsidR="00B32500">
        <w:rPr>
          <w:rFonts w:asciiTheme="majorHAnsi" w:hAnsiTheme="majorHAnsi" w:cs="Times New Roman"/>
          <w:sz w:val="20"/>
          <w:szCs w:val="20"/>
        </w:rPr>
        <w:t>ill</w:t>
      </w:r>
      <w:r w:rsidRPr="005722A6">
        <w:rPr>
          <w:rFonts w:asciiTheme="majorHAnsi" w:hAnsiTheme="majorHAnsi" w:cs="Times New Roman"/>
          <w:sz w:val="20"/>
          <w:szCs w:val="20"/>
        </w:rPr>
        <w:t xml:space="preserve"> support the following activities:</w:t>
      </w:r>
    </w:p>
    <w:p w14:paraId="4EE5D6BC" w14:textId="10DDF21C" w:rsidR="00D7208E" w:rsidRPr="005722A6" w:rsidRDefault="00D9296D" w:rsidP="00F44F91">
      <w:pPr>
        <w:pStyle w:val="Default"/>
        <w:numPr>
          <w:ilvl w:val="0"/>
          <w:numId w:val="23"/>
        </w:numPr>
        <w:jc w:val="both"/>
        <w:rPr>
          <w:rFonts w:asciiTheme="majorHAnsi" w:hAnsiTheme="majorHAnsi" w:cs="Times New Roman"/>
          <w:sz w:val="20"/>
          <w:szCs w:val="20"/>
        </w:rPr>
      </w:pPr>
      <w:r w:rsidRPr="005722A6">
        <w:rPr>
          <w:rFonts w:asciiTheme="majorHAnsi" w:hAnsiTheme="majorHAnsi" w:cs="Times New Roman"/>
          <w:sz w:val="20"/>
          <w:szCs w:val="20"/>
        </w:rPr>
        <w:t>Implementation of the Communication</w:t>
      </w:r>
      <w:r w:rsidR="008547EC" w:rsidRPr="005722A6">
        <w:rPr>
          <w:rFonts w:asciiTheme="majorHAnsi" w:hAnsiTheme="majorHAnsi" w:cs="Times New Roman"/>
          <w:sz w:val="20"/>
          <w:szCs w:val="20"/>
        </w:rPr>
        <w:t xml:space="preserve"> and Knowledge Management</w:t>
      </w:r>
      <w:r w:rsidRPr="005722A6">
        <w:rPr>
          <w:rFonts w:asciiTheme="majorHAnsi" w:hAnsiTheme="majorHAnsi" w:cs="Times New Roman"/>
          <w:sz w:val="20"/>
          <w:szCs w:val="20"/>
        </w:rPr>
        <w:t xml:space="preserve"> Strategy, so that</w:t>
      </w:r>
      <w:r w:rsidR="00B32500">
        <w:rPr>
          <w:rFonts w:asciiTheme="majorHAnsi" w:hAnsiTheme="majorHAnsi" w:cs="Times New Roman"/>
          <w:sz w:val="20"/>
          <w:szCs w:val="20"/>
        </w:rPr>
        <w:t>:</w:t>
      </w:r>
      <w:r w:rsidRPr="005722A6">
        <w:rPr>
          <w:rFonts w:asciiTheme="majorHAnsi" w:hAnsiTheme="majorHAnsi" w:cs="Times New Roman"/>
          <w:sz w:val="20"/>
          <w:szCs w:val="20"/>
        </w:rPr>
        <w:t xml:space="preserve"> </w:t>
      </w:r>
      <w:r w:rsidR="00E94214">
        <w:rPr>
          <w:rFonts w:asciiTheme="majorHAnsi" w:hAnsiTheme="majorHAnsi" w:cs="Times New Roman"/>
          <w:sz w:val="20"/>
          <w:szCs w:val="20"/>
        </w:rPr>
        <w:t xml:space="preserve">(i) </w:t>
      </w:r>
      <w:r w:rsidR="00D757AB" w:rsidRPr="005722A6">
        <w:rPr>
          <w:rFonts w:asciiTheme="majorHAnsi" w:hAnsiTheme="majorHAnsi" w:cs="Times New Roman"/>
          <w:sz w:val="20"/>
          <w:szCs w:val="20"/>
        </w:rPr>
        <w:t xml:space="preserve">the </w:t>
      </w:r>
      <w:r w:rsidR="00B32500">
        <w:rPr>
          <w:rFonts w:asciiTheme="majorHAnsi" w:hAnsiTheme="majorHAnsi" w:cs="Times New Roman"/>
          <w:sz w:val="20"/>
          <w:szCs w:val="20"/>
        </w:rPr>
        <w:t>p</w:t>
      </w:r>
      <w:r w:rsidRPr="005722A6">
        <w:rPr>
          <w:rFonts w:asciiTheme="majorHAnsi" w:hAnsiTheme="majorHAnsi" w:cs="Times New Roman"/>
          <w:sz w:val="20"/>
          <w:szCs w:val="20"/>
        </w:rPr>
        <w:t>roject is well understood</w:t>
      </w:r>
      <w:r w:rsidR="00D757AB" w:rsidRPr="005722A6">
        <w:rPr>
          <w:rFonts w:asciiTheme="majorHAnsi" w:hAnsiTheme="majorHAnsi" w:cs="Times New Roman"/>
          <w:sz w:val="20"/>
          <w:szCs w:val="20"/>
        </w:rPr>
        <w:t>, accepted,</w:t>
      </w:r>
      <w:r w:rsidRPr="005722A6">
        <w:rPr>
          <w:rFonts w:asciiTheme="majorHAnsi" w:hAnsiTheme="majorHAnsi" w:cs="Times New Roman"/>
          <w:sz w:val="20"/>
          <w:szCs w:val="20"/>
        </w:rPr>
        <w:t xml:space="preserve"> and implemented effectively</w:t>
      </w:r>
      <w:r w:rsidR="00D757AB" w:rsidRPr="005722A6">
        <w:rPr>
          <w:rFonts w:asciiTheme="majorHAnsi" w:hAnsiTheme="majorHAnsi" w:cs="Times New Roman"/>
          <w:sz w:val="20"/>
          <w:szCs w:val="20"/>
        </w:rPr>
        <w:t xml:space="preserve"> and equitably;</w:t>
      </w:r>
      <w:r w:rsidRPr="005722A6">
        <w:rPr>
          <w:rFonts w:asciiTheme="majorHAnsi" w:hAnsiTheme="majorHAnsi" w:cs="Times New Roman"/>
          <w:sz w:val="20"/>
          <w:szCs w:val="20"/>
        </w:rPr>
        <w:t xml:space="preserve"> </w:t>
      </w:r>
      <w:r w:rsidR="00E94214">
        <w:rPr>
          <w:rFonts w:asciiTheme="majorHAnsi" w:hAnsiTheme="majorHAnsi" w:cs="Times New Roman"/>
          <w:sz w:val="20"/>
          <w:szCs w:val="20"/>
        </w:rPr>
        <w:t>(ii</w:t>
      </w:r>
      <w:r w:rsidRPr="005722A6">
        <w:rPr>
          <w:rFonts w:asciiTheme="majorHAnsi" w:hAnsiTheme="majorHAnsi" w:cs="Times New Roman"/>
          <w:sz w:val="20"/>
          <w:szCs w:val="20"/>
        </w:rPr>
        <w:t>) knowledge management products are shared and used</w:t>
      </w:r>
      <w:r w:rsidR="00B32500">
        <w:rPr>
          <w:rFonts w:asciiTheme="majorHAnsi" w:hAnsiTheme="majorHAnsi" w:cs="Times New Roman"/>
          <w:sz w:val="20"/>
          <w:szCs w:val="20"/>
        </w:rPr>
        <w:t>;</w:t>
      </w:r>
      <w:r w:rsidRPr="005722A6">
        <w:rPr>
          <w:rFonts w:asciiTheme="majorHAnsi" w:hAnsiTheme="majorHAnsi" w:cs="Times New Roman"/>
          <w:sz w:val="20"/>
          <w:szCs w:val="20"/>
        </w:rPr>
        <w:t xml:space="preserve"> </w:t>
      </w:r>
      <w:r w:rsidR="00E94214">
        <w:rPr>
          <w:rFonts w:asciiTheme="majorHAnsi" w:hAnsiTheme="majorHAnsi" w:cs="Times New Roman"/>
          <w:sz w:val="20"/>
          <w:szCs w:val="20"/>
        </w:rPr>
        <w:t>(iii</w:t>
      </w:r>
      <w:r w:rsidRPr="005722A6">
        <w:rPr>
          <w:rFonts w:asciiTheme="majorHAnsi" w:hAnsiTheme="majorHAnsi" w:cs="Times New Roman"/>
          <w:sz w:val="20"/>
          <w:szCs w:val="20"/>
        </w:rPr>
        <w:t xml:space="preserve">) </w:t>
      </w:r>
      <w:r w:rsidR="00D757AB" w:rsidRPr="005722A6">
        <w:rPr>
          <w:rFonts w:asciiTheme="majorHAnsi" w:hAnsiTheme="majorHAnsi" w:cs="Times New Roman"/>
          <w:sz w:val="20"/>
          <w:szCs w:val="20"/>
        </w:rPr>
        <w:t>understanding of land/seascape planning</w:t>
      </w:r>
      <w:r w:rsidR="00B32500">
        <w:rPr>
          <w:rFonts w:asciiTheme="majorHAnsi" w:hAnsiTheme="majorHAnsi" w:cs="Times New Roman"/>
          <w:sz w:val="20"/>
          <w:szCs w:val="20"/>
        </w:rPr>
        <w:t xml:space="preserve"> and man</w:t>
      </w:r>
      <w:r w:rsidR="00F44F91">
        <w:rPr>
          <w:rFonts w:asciiTheme="majorHAnsi" w:hAnsiTheme="majorHAnsi" w:cs="Times New Roman"/>
          <w:sz w:val="20"/>
          <w:szCs w:val="20"/>
        </w:rPr>
        <w:t>a</w:t>
      </w:r>
      <w:r w:rsidR="00B32500">
        <w:rPr>
          <w:rFonts w:asciiTheme="majorHAnsi" w:hAnsiTheme="majorHAnsi" w:cs="Times New Roman"/>
          <w:sz w:val="20"/>
          <w:szCs w:val="20"/>
        </w:rPr>
        <w:t>gement</w:t>
      </w:r>
      <w:r w:rsidR="00D757AB" w:rsidRPr="005722A6">
        <w:rPr>
          <w:rFonts w:asciiTheme="majorHAnsi" w:hAnsiTheme="majorHAnsi" w:cs="Times New Roman"/>
          <w:sz w:val="20"/>
          <w:szCs w:val="20"/>
        </w:rPr>
        <w:t xml:space="preserve"> is increased; </w:t>
      </w:r>
      <w:r w:rsidR="00E94214">
        <w:rPr>
          <w:rFonts w:asciiTheme="majorHAnsi" w:hAnsiTheme="majorHAnsi" w:cs="Times New Roman"/>
          <w:sz w:val="20"/>
          <w:szCs w:val="20"/>
        </w:rPr>
        <w:t>(iv)</w:t>
      </w:r>
      <w:r w:rsidR="00D757AB" w:rsidRPr="005722A6">
        <w:rPr>
          <w:rFonts w:asciiTheme="majorHAnsi" w:hAnsiTheme="majorHAnsi" w:cs="Times New Roman"/>
          <w:sz w:val="20"/>
          <w:szCs w:val="20"/>
        </w:rPr>
        <w:t xml:space="preserve"> understanding and implementation of best practices is improved; and </w:t>
      </w:r>
      <w:r w:rsidR="00E94214">
        <w:rPr>
          <w:rFonts w:asciiTheme="majorHAnsi" w:hAnsiTheme="majorHAnsi" w:cs="Times New Roman"/>
          <w:sz w:val="20"/>
          <w:szCs w:val="20"/>
        </w:rPr>
        <w:t>(v)</w:t>
      </w:r>
      <w:r w:rsidR="00D757AB" w:rsidRPr="005722A6">
        <w:rPr>
          <w:rFonts w:asciiTheme="majorHAnsi" w:hAnsiTheme="majorHAnsi" w:cs="Times New Roman"/>
          <w:sz w:val="20"/>
          <w:szCs w:val="20"/>
        </w:rPr>
        <w:t xml:space="preserve"> the public has an increased understanding of IAS</w:t>
      </w:r>
      <w:r w:rsidR="00B32500" w:rsidRPr="00B32500">
        <w:rPr>
          <w:rFonts w:asciiTheme="majorHAnsi" w:hAnsiTheme="majorHAnsi" w:cs="Times New Roman"/>
          <w:sz w:val="20"/>
          <w:szCs w:val="20"/>
        </w:rPr>
        <w:t xml:space="preserve"> </w:t>
      </w:r>
      <w:r w:rsidR="00B32500">
        <w:rPr>
          <w:rFonts w:asciiTheme="majorHAnsi" w:hAnsiTheme="majorHAnsi" w:cs="Times New Roman"/>
          <w:sz w:val="20"/>
          <w:szCs w:val="20"/>
        </w:rPr>
        <w:t xml:space="preserve">and </w:t>
      </w:r>
      <w:r w:rsidR="00B32500" w:rsidRPr="005722A6">
        <w:rPr>
          <w:rFonts w:asciiTheme="majorHAnsi" w:hAnsiTheme="majorHAnsi" w:cs="Times New Roman"/>
          <w:sz w:val="20"/>
          <w:szCs w:val="20"/>
        </w:rPr>
        <w:t>biosecurity</w:t>
      </w:r>
      <w:r w:rsidR="00B32500">
        <w:rPr>
          <w:rFonts w:asciiTheme="majorHAnsi" w:hAnsiTheme="majorHAnsi" w:cs="Times New Roman"/>
          <w:sz w:val="20"/>
          <w:szCs w:val="20"/>
        </w:rPr>
        <w:t>.</w:t>
      </w:r>
    </w:p>
    <w:p w14:paraId="626BC3D6" w14:textId="296F1214" w:rsidR="00D7208E" w:rsidRPr="005722A6" w:rsidRDefault="00D7208E" w:rsidP="00F44F91">
      <w:pPr>
        <w:pStyle w:val="Default"/>
        <w:numPr>
          <w:ilvl w:val="0"/>
          <w:numId w:val="23"/>
        </w:numPr>
        <w:jc w:val="both"/>
        <w:rPr>
          <w:rFonts w:asciiTheme="majorHAnsi" w:hAnsiTheme="majorHAnsi" w:cs="Times New Roman"/>
          <w:sz w:val="20"/>
          <w:szCs w:val="20"/>
        </w:rPr>
      </w:pPr>
      <w:r w:rsidRPr="005722A6">
        <w:rPr>
          <w:rFonts w:asciiTheme="majorHAnsi" w:hAnsiTheme="majorHAnsi" w:cs="Times New Roman"/>
          <w:sz w:val="20"/>
          <w:szCs w:val="20"/>
        </w:rPr>
        <w:t xml:space="preserve">Implementation </w:t>
      </w:r>
      <w:r w:rsidR="00D757AB" w:rsidRPr="005722A6">
        <w:rPr>
          <w:rFonts w:asciiTheme="majorHAnsi" w:hAnsiTheme="majorHAnsi" w:cs="Times New Roman"/>
          <w:sz w:val="20"/>
          <w:szCs w:val="20"/>
        </w:rPr>
        <w:t>of the Gender Mainstreaming Action Plan (</w:t>
      </w:r>
      <w:r w:rsidR="00B32500">
        <w:rPr>
          <w:rFonts w:asciiTheme="majorHAnsi" w:hAnsiTheme="majorHAnsi" w:cs="Times New Roman"/>
          <w:sz w:val="20"/>
          <w:szCs w:val="20"/>
        </w:rPr>
        <w:t xml:space="preserve">including </w:t>
      </w:r>
      <w:r w:rsidR="00D757AB" w:rsidRPr="005722A6">
        <w:rPr>
          <w:rFonts w:asciiTheme="majorHAnsi" w:hAnsiTheme="majorHAnsi" w:cs="Times New Roman"/>
          <w:sz w:val="20"/>
          <w:szCs w:val="20"/>
        </w:rPr>
        <w:t xml:space="preserve">other </w:t>
      </w:r>
      <w:r w:rsidR="00B32500">
        <w:rPr>
          <w:rFonts w:asciiTheme="majorHAnsi" w:hAnsiTheme="majorHAnsi" w:cs="Times New Roman"/>
          <w:sz w:val="20"/>
          <w:szCs w:val="20"/>
        </w:rPr>
        <w:t>marginalized people</w:t>
      </w:r>
      <w:r w:rsidR="00D757AB" w:rsidRPr="005722A6">
        <w:rPr>
          <w:rFonts w:asciiTheme="majorHAnsi" w:hAnsiTheme="majorHAnsi" w:cs="Times New Roman"/>
          <w:sz w:val="20"/>
          <w:szCs w:val="20"/>
        </w:rPr>
        <w:t>) so that</w:t>
      </w:r>
      <w:r w:rsidR="00B32500">
        <w:rPr>
          <w:rFonts w:asciiTheme="majorHAnsi" w:hAnsiTheme="majorHAnsi" w:cs="Times New Roman"/>
          <w:sz w:val="20"/>
          <w:szCs w:val="20"/>
        </w:rPr>
        <w:t>:</w:t>
      </w:r>
      <w:r w:rsidR="00D757AB" w:rsidRPr="005722A6">
        <w:rPr>
          <w:rFonts w:asciiTheme="majorHAnsi" w:hAnsiTheme="majorHAnsi" w:cs="Times New Roman"/>
          <w:sz w:val="20"/>
          <w:szCs w:val="20"/>
        </w:rPr>
        <w:t xml:space="preserve"> </w:t>
      </w:r>
      <w:r w:rsidR="00E94214">
        <w:rPr>
          <w:rFonts w:asciiTheme="majorHAnsi" w:hAnsiTheme="majorHAnsi" w:cs="Times New Roman"/>
          <w:sz w:val="20"/>
          <w:szCs w:val="20"/>
        </w:rPr>
        <w:t xml:space="preserve">(i) </w:t>
      </w:r>
      <w:r w:rsidR="00D757AB" w:rsidRPr="005722A6">
        <w:rPr>
          <w:rFonts w:asciiTheme="majorHAnsi" w:hAnsiTheme="majorHAnsi" w:cs="Times New Roman"/>
          <w:sz w:val="20"/>
          <w:szCs w:val="20"/>
        </w:rPr>
        <w:t xml:space="preserve">a gender and socially inclusive perspective is applied to every set of activities; </w:t>
      </w:r>
      <w:r w:rsidR="00E94214">
        <w:rPr>
          <w:rFonts w:asciiTheme="majorHAnsi" w:hAnsiTheme="majorHAnsi" w:cs="Times New Roman"/>
          <w:sz w:val="20"/>
          <w:szCs w:val="20"/>
        </w:rPr>
        <w:t xml:space="preserve">(ii) </w:t>
      </w:r>
      <w:r w:rsidR="00D757AB" w:rsidRPr="005722A6">
        <w:rPr>
          <w:rFonts w:asciiTheme="majorHAnsi" w:hAnsiTheme="majorHAnsi" w:cs="Times New Roman"/>
          <w:sz w:val="20"/>
          <w:szCs w:val="20"/>
        </w:rPr>
        <w:t>research on gender and social roles in land/seascape</w:t>
      </w:r>
      <w:r w:rsidR="00B32500">
        <w:rPr>
          <w:rFonts w:asciiTheme="majorHAnsi" w:hAnsiTheme="majorHAnsi" w:cs="Times New Roman"/>
          <w:sz w:val="20"/>
          <w:szCs w:val="20"/>
        </w:rPr>
        <w:t>s</w:t>
      </w:r>
      <w:r w:rsidR="00D757AB" w:rsidRPr="005722A6">
        <w:rPr>
          <w:rFonts w:asciiTheme="majorHAnsi" w:hAnsiTheme="majorHAnsi" w:cs="Times New Roman"/>
          <w:sz w:val="20"/>
          <w:szCs w:val="20"/>
        </w:rPr>
        <w:t xml:space="preserve"> informs resulting plans and ensures equitable distribution of benefits; and </w:t>
      </w:r>
      <w:r w:rsidR="00E94214">
        <w:rPr>
          <w:rFonts w:asciiTheme="majorHAnsi" w:hAnsiTheme="majorHAnsi" w:cs="Times New Roman"/>
          <w:sz w:val="20"/>
          <w:szCs w:val="20"/>
        </w:rPr>
        <w:t>(iii)</w:t>
      </w:r>
      <w:r w:rsidR="00D757AB" w:rsidRPr="005722A6">
        <w:rPr>
          <w:rFonts w:asciiTheme="majorHAnsi" w:hAnsiTheme="majorHAnsi" w:cs="Times New Roman"/>
          <w:sz w:val="20"/>
          <w:szCs w:val="20"/>
        </w:rPr>
        <w:t xml:space="preserve"> information is collected and shared across gender and social </w:t>
      </w:r>
      <w:r w:rsidR="00B32500">
        <w:rPr>
          <w:rFonts w:asciiTheme="majorHAnsi" w:hAnsiTheme="majorHAnsi" w:cs="Times New Roman"/>
          <w:sz w:val="20"/>
          <w:szCs w:val="20"/>
        </w:rPr>
        <w:t>divides.</w:t>
      </w:r>
    </w:p>
    <w:p w14:paraId="5B44C4E7" w14:textId="38C91AFD" w:rsidR="00D7208E" w:rsidRPr="00FB46EB" w:rsidRDefault="00D7208E" w:rsidP="00F44F91">
      <w:pPr>
        <w:pStyle w:val="Default"/>
        <w:numPr>
          <w:ilvl w:val="0"/>
          <w:numId w:val="23"/>
        </w:numPr>
        <w:jc w:val="both"/>
        <w:rPr>
          <w:rFonts w:asciiTheme="majorHAnsi" w:hAnsiTheme="majorHAnsi" w:cs="Times New Roman"/>
          <w:sz w:val="20"/>
          <w:szCs w:val="20"/>
        </w:rPr>
      </w:pPr>
      <w:r w:rsidRPr="005722A6">
        <w:rPr>
          <w:rFonts w:asciiTheme="majorHAnsi" w:hAnsiTheme="majorHAnsi" w:cs="Times New Roman"/>
          <w:sz w:val="20"/>
          <w:szCs w:val="20"/>
        </w:rPr>
        <w:t>National and state workshops to disseminat</w:t>
      </w:r>
      <w:r w:rsidR="00B32500">
        <w:rPr>
          <w:rFonts w:asciiTheme="majorHAnsi" w:hAnsiTheme="majorHAnsi" w:cs="Times New Roman"/>
          <w:sz w:val="20"/>
          <w:szCs w:val="20"/>
        </w:rPr>
        <w:t>e</w:t>
      </w:r>
      <w:r w:rsidRPr="005722A6">
        <w:rPr>
          <w:rFonts w:asciiTheme="majorHAnsi" w:hAnsiTheme="majorHAnsi" w:cs="Times New Roman"/>
          <w:sz w:val="20"/>
          <w:szCs w:val="20"/>
        </w:rPr>
        <w:t xml:space="preserve"> field lessons and inform legal and policy reform relevant to land and seascape conservation practice</w:t>
      </w:r>
      <w:r w:rsidR="00194AA1">
        <w:rPr>
          <w:rFonts w:asciiTheme="majorHAnsi" w:hAnsiTheme="majorHAnsi" w:cs="Times New Roman"/>
          <w:sz w:val="20"/>
          <w:szCs w:val="20"/>
        </w:rPr>
        <w:t xml:space="preserve">. </w:t>
      </w:r>
      <w:r w:rsidRPr="005722A6">
        <w:rPr>
          <w:rFonts w:asciiTheme="majorHAnsi" w:hAnsiTheme="majorHAnsi" w:cs="Times New Roman"/>
          <w:sz w:val="20"/>
          <w:szCs w:val="20"/>
        </w:rPr>
        <w:t>Specific topics of learning and success evolv</w:t>
      </w:r>
      <w:r w:rsidR="00F82F3E">
        <w:rPr>
          <w:rFonts w:asciiTheme="majorHAnsi" w:hAnsiTheme="majorHAnsi" w:cs="Times New Roman"/>
          <w:sz w:val="20"/>
          <w:szCs w:val="20"/>
        </w:rPr>
        <w:t>ing</w:t>
      </w:r>
      <w:r w:rsidRPr="005722A6">
        <w:rPr>
          <w:rFonts w:asciiTheme="majorHAnsi" w:hAnsiTheme="majorHAnsi" w:cs="Times New Roman"/>
          <w:sz w:val="20"/>
          <w:szCs w:val="20"/>
        </w:rPr>
        <w:t xml:space="preserve"> from the pilot sites might include participatory sustainable fisheries</w:t>
      </w:r>
      <w:r w:rsidR="00D757AB" w:rsidRPr="005722A6">
        <w:rPr>
          <w:rFonts w:asciiTheme="majorHAnsi" w:hAnsiTheme="majorHAnsi" w:cs="Times New Roman"/>
          <w:sz w:val="20"/>
          <w:szCs w:val="20"/>
        </w:rPr>
        <w:t xml:space="preserve"> or</w:t>
      </w:r>
      <w:r w:rsidRPr="005722A6">
        <w:rPr>
          <w:rFonts w:asciiTheme="majorHAnsi" w:hAnsiTheme="majorHAnsi" w:cs="Times New Roman"/>
          <w:sz w:val="20"/>
          <w:szCs w:val="20"/>
        </w:rPr>
        <w:t xml:space="preserve"> agriculture, sustainable tourism, livelihood improvement, planning, outcomes or impacts of sector specific actions, resilient agriculture development and participatory monitoring, as well integration of livelihood development planning, soil, land and water management. The initial documentation of these lessons will be included as part of the participatory monitoring process</w:t>
      </w:r>
      <w:r w:rsidR="00F82F3E">
        <w:rPr>
          <w:rFonts w:asciiTheme="majorHAnsi" w:hAnsiTheme="majorHAnsi" w:cs="Times New Roman"/>
          <w:sz w:val="20"/>
          <w:szCs w:val="20"/>
        </w:rPr>
        <w:t>;</w:t>
      </w:r>
      <w:r w:rsidRPr="005722A6">
        <w:rPr>
          <w:rFonts w:asciiTheme="majorHAnsi" w:hAnsiTheme="majorHAnsi" w:cs="Times New Roman"/>
          <w:sz w:val="20"/>
          <w:szCs w:val="20"/>
        </w:rPr>
        <w:t xml:space="preserve"> that w</w:t>
      </w:r>
      <w:r w:rsidR="00F82F3E">
        <w:rPr>
          <w:rFonts w:asciiTheme="majorHAnsi" w:hAnsiTheme="majorHAnsi" w:cs="Times New Roman"/>
          <w:sz w:val="20"/>
          <w:szCs w:val="20"/>
        </w:rPr>
        <w:t>ill</w:t>
      </w:r>
      <w:r w:rsidRPr="005722A6">
        <w:rPr>
          <w:rFonts w:asciiTheme="majorHAnsi" w:hAnsiTheme="majorHAnsi" w:cs="Times New Roman"/>
          <w:sz w:val="20"/>
          <w:szCs w:val="20"/>
        </w:rPr>
        <w:t xml:space="preserve"> be complemented by additional national technical support to distil and document lessons and experiences</w:t>
      </w:r>
      <w:r w:rsidR="00194AA1">
        <w:rPr>
          <w:rFonts w:asciiTheme="majorHAnsi" w:hAnsiTheme="majorHAnsi" w:cs="Times New Roman"/>
          <w:sz w:val="20"/>
          <w:szCs w:val="20"/>
        </w:rPr>
        <w:t xml:space="preserve">. </w:t>
      </w:r>
      <w:r w:rsidRPr="005722A6">
        <w:rPr>
          <w:rFonts w:asciiTheme="majorHAnsi" w:hAnsiTheme="majorHAnsi" w:cs="Times New Roman"/>
          <w:sz w:val="20"/>
          <w:szCs w:val="20"/>
        </w:rPr>
        <w:t xml:space="preserve">The project will support regular workshops at the </w:t>
      </w:r>
      <w:r w:rsidR="00C81799" w:rsidRPr="005722A6">
        <w:rPr>
          <w:rFonts w:asciiTheme="majorHAnsi" w:hAnsiTheme="majorHAnsi" w:cs="Times New Roman"/>
          <w:sz w:val="20"/>
          <w:szCs w:val="20"/>
        </w:rPr>
        <w:t xml:space="preserve">national and </w:t>
      </w:r>
      <w:r w:rsidRPr="005722A6">
        <w:rPr>
          <w:rFonts w:asciiTheme="majorHAnsi" w:hAnsiTheme="majorHAnsi" w:cs="Times New Roman"/>
          <w:sz w:val="20"/>
          <w:szCs w:val="20"/>
        </w:rPr>
        <w:t xml:space="preserve">regional level (Year 3 onwards) to share lessons and experiences and a national workshop at the end of Year </w:t>
      </w:r>
      <w:r w:rsidR="00D757AB" w:rsidRPr="005722A6">
        <w:rPr>
          <w:rFonts w:asciiTheme="majorHAnsi" w:hAnsiTheme="majorHAnsi" w:cs="Times New Roman"/>
          <w:sz w:val="20"/>
          <w:szCs w:val="20"/>
        </w:rPr>
        <w:t xml:space="preserve">6 </w:t>
      </w:r>
      <w:r w:rsidRPr="005722A6">
        <w:rPr>
          <w:rFonts w:asciiTheme="majorHAnsi" w:hAnsiTheme="majorHAnsi" w:cs="Times New Roman"/>
          <w:sz w:val="20"/>
          <w:szCs w:val="20"/>
        </w:rPr>
        <w:t>to facilitate the sharing of lessons more widely</w:t>
      </w:r>
      <w:r w:rsidR="00D757AB" w:rsidRPr="005722A6">
        <w:rPr>
          <w:rFonts w:asciiTheme="majorHAnsi" w:hAnsiTheme="majorHAnsi" w:cs="Times New Roman"/>
          <w:sz w:val="20"/>
          <w:szCs w:val="20"/>
        </w:rPr>
        <w:t xml:space="preserve"> </w:t>
      </w:r>
      <w:r w:rsidR="00F82F3E">
        <w:rPr>
          <w:rFonts w:asciiTheme="majorHAnsi" w:hAnsiTheme="majorHAnsi" w:cs="Times New Roman"/>
          <w:sz w:val="20"/>
          <w:szCs w:val="20"/>
        </w:rPr>
        <w:t xml:space="preserve">for </w:t>
      </w:r>
      <w:r w:rsidRPr="005722A6">
        <w:rPr>
          <w:rFonts w:asciiTheme="majorHAnsi" w:hAnsiTheme="majorHAnsi" w:cs="Times New Roman"/>
          <w:sz w:val="20"/>
          <w:szCs w:val="20"/>
        </w:rPr>
        <w:t>replication nationally</w:t>
      </w:r>
      <w:r w:rsidR="00F82F3E">
        <w:rPr>
          <w:rFonts w:asciiTheme="majorHAnsi" w:hAnsiTheme="majorHAnsi" w:cs="Times New Roman"/>
          <w:sz w:val="20"/>
          <w:szCs w:val="20"/>
        </w:rPr>
        <w:t>.</w:t>
      </w:r>
    </w:p>
    <w:p w14:paraId="4247058F" w14:textId="68F61A31" w:rsidR="00960E85" w:rsidRPr="00905AB8" w:rsidRDefault="00A67C90" w:rsidP="00F44F91">
      <w:pPr>
        <w:pStyle w:val="Default"/>
        <w:numPr>
          <w:ilvl w:val="0"/>
          <w:numId w:val="23"/>
        </w:numPr>
        <w:jc w:val="both"/>
        <w:rPr>
          <w:rFonts w:asciiTheme="majorHAnsi" w:eastAsia="Times New Roman" w:hAnsiTheme="majorHAnsi"/>
          <w:sz w:val="20"/>
          <w:szCs w:val="20"/>
        </w:rPr>
      </w:pPr>
      <w:r w:rsidRPr="002F6486">
        <w:rPr>
          <w:rFonts w:asciiTheme="majorHAnsi" w:hAnsiTheme="majorHAnsi" w:cs="Times New Roman"/>
          <w:sz w:val="20"/>
          <w:szCs w:val="20"/>
        </w:rPr>
        <w:t>National a</w:t>
      </w:r>
      <w:r w:rsidR="0058616F" w:rsidRPr="002F6486">
        <w:rPr>
          <w:rFonts w:asciiTheme="majorHAnsi" w:hAnsiTheme="majorHAnsi" w:cs="Times New Roman"/>
          <w:sz w:val="20"/>
          <w:szCs w:val="20"/>
        </w:rPr>
        <w:t>wareness campaigns developed and implemented at national and state levels to inform policy makers, public and private sector entities</w:t>
      </w:r>
      <w:r w:rsidR="0061437C" w:rsidRPr="008C571D">
        <w:rPr>
          <w:rFonts w:asciiTheme="majorHAnsi" w:hAnsiTheme="majorHAnsi" w:cs="Times New Roman"/>
          <w:sz w:val="20"/>
          <w:szCs w:val="20"/>
        </w:rPr>
        <w:t>, visitors</w:t>
      </w:r>
      <w:r w:rsidR="0058616F" w:rsidRPr="00203F78">
        <w:rPr>
          <w:rFonts w:asciiTheme="majorHAnsi" w:hAnsiTheme="majorHAnsi" w:cs="Times New Roman"/>
          <w:sz w:val="20"/>
          <w:szCs w:val="20"/>
        </w:rPr>
        <w:t xml:space="preserve"> and local communities</w:t>
      </w:r>
      <w:r w:rsidRPr="00FF745E">
        <w:rPr>
          <w:rFonts w:asciiTheme="majorHAnsi" w:hAnsiTheme="majorHAnsi" w:cs="Times New Roman"/>
          <w:sz w:val="20"/>
          <w:szCs w:val="20"/>
        </w:rPr>
        <w:t xml:space="preserve">, </w:t>
      </w:r>
      <w:r w:rsidR="00D757AB" w:rsidRPr="00E10F48">
        <w:rPr>
          <w:rFonts w:asciiTheme="majorHAnsi" w:hAnsiTheme="majorHAnsi" w:cs="Times New Roman"/>
          <w:sz w:val="20"/>
          <w:szCs w:val="20"/>
        </w:rPr>
        <w:t xml:space="preserve">particularly on </w:t>
      </w:r>
      <w:r w:rsidRPr="00E10F48">
        <w:rPr>
          <w:rFonts w:asciiTheme="majorHAnsi" w:hAnsiTheme="majorHAnsi" w:cs="Times New Roman"/>
          <w:sz w:val="20"/>
          <w:szCs w:val="20"/>
        </w:rPr>
        <w:t>IAS and biosecurity</w:t>
      </w:r>
      <w:r w:rsidR="008534B9" w:rsidRPr="00E96B53">
        <w:rPr>
          <w:rFonts w:asciiTheme="majorHAnsi" w:hAnsiTheme="majorHAnsi" w:cs="Times New Roman"/>
          <w:sz w:val="20"/>
          <w:szCs w:val="20"/>
        </w:rPr>
        <w:t xml:space="preserve">. </w:t>
      </w:r>
    </w:p>
    <w:p w14:paraId="39AD12F2" w14:textId="786A8684" w:rsidR="00960E85" w:rsidRPr="005722A6" w:rsidRDefault="00960E85" w:rsidP="00960E85">
      <w:pPr>
        <w:spacing w:before="100" w:beforeAutospacing="1" w:after="0"/>
        <w:rPr>
          <w:rFonts w:asciiTheme="majorHAnsi" w:hAnsiTheme="majorHAnsi"/>
          <w:sz w:val="20"/>
          <w:szCs w:val="20"/>
        </w:rPr>
      </w:pPr>
      <w:r w:rsidRPr="005722A6">
        <w:rPr>
          <w:rFonts w:asciiTheme="majorHAnsi" w:hAnsiTheme="majorHAnsi"/>
          <w:b/>
          <w:bCs/>
          <w:i/>
          <w:iCs/>
          <w:color w:val="000000"/>
          <w:sz w:val="20"/>
          <w:szCs w:val="20"/>
        </w:rPr>
        <w:t>Output 4.2: Enhance</w:t>
      </w:r>
      <w:r w:rsidR="00E028C4" w:rsidRPr="005722A6">
        <w:rPr>
          <w:rFonts w:asciiTheme="majorHAnsi" w:hAnsiTheme="majorHAnsi"/>
          <w:b/>
          <w:bCs/>
          <w:i/>
          <w:iCs/>
          <w:color w:val="000000"/>
          <w:sz w:val="20"/>
          <w:szCs w:val="20"/>
        </w:rPr>
        <w:t>d</w:t>
      </w:r>
      <w:r w:rsidRPr="005722A6">
        <w:rPr>
          <w:rFonts w:asciiTheme="majorHAnsi" w:hAnsiTheme="majorHAnsi"/>
          <w:b/>
          <w:bCs/>
          <w:i/>
          <w:iCs/>
          <w:color w:val="000000"/>
          <w:sz w:val="20"/>
          <w:szCs w:val="20"/>
        </w:rPr>
        <w:t xml:space="preserve"> school curriculum to inclu</w:t>
      </w:r>
      <w:r w:rsidR="00F82F3E">
        <w:rPr>
          <w:rFonts w:asciiTheme="majorHAnsi" w:hAnsiTheme="majorHAnsi"/>
          <w:b/>
          <w:bCs/>
          <w:i/>
          <w:iCs/>
          <w:color w:val="000000"/>
          <w:sz w:val="20"/>
          <w:szCs w:val="20"/>
        </w:rPr>
        <w:t>de</w:t>
      </w:r>
      <w:r w:rsidRPr="005722A6">
        <w:rPr>
          <w:rFonts w:asciiTheme="majorHAnsi" w:hAnsiTheme="majorHAnsi"/>
          <w:b/>
          <w:bCs/>
          <w:i/>
          <w:iCs/>
          <w:color w:val="000000"/>
          <w:sz w:val="20"/>
          <w:szCs w:val="20"/>
        </w:rPr>
        <w:t xml:space="preserve"> IAS prevention and management</w:t>
      </w:r>
    </w:p>
    <w:p w14:paraId="575A8321" w14:textId="0E36DF3A" w:rsidR="00960E85" w:rsidRPr="005722A6" w:rsidRDefault="00960E85" w:rsidP="00960E85">
      <w:pPr>
        <w:spacing w:before="100" w:beforeAutospacing="1" w:after="0"/>
        <w:rPr>
          <w:rFonts w:asciiTheme="majorHAnsi" w:hAnsiTheme="majorHAnsi"/>
          <w:sz w:val="20"/>
          <w:szCs w:val="20"/>
        </w:rPr>
      </w:pPr>
      <w:r w:rsidRPr="005722A6">
        <w:rPr>
          <w:rFonts w:asciiTheme="majorHAnsi" w:hAnsiTheme="majorHAnsi"/>
          <w:color w:val="000000"/>
          <w:sz w:val="20"/>
          <w:szCs w:val="20"/>
        </w:rPr>
        <w:t>The Ministry of Education (MOE), in partnership with the Palau Conservation Society (PCS) has implemented a comprehensive Ridge to Reef curriculum for 5</w:t>
      </w:r>
      <w:r w:rsidRPr="005722A6">
        <w:rPr>
          <w:rFonts w:asciiTheme="majorHAnsi" w:hAnsiTheme="majorHAnsi"/>
          <w:color w:val="000000"/>
          <w:sz w:val="20"/>
          <w:szCs w:val="20"/>
          <w:vertAlign w:val="superscript"/>
        </w:rPr>
        <w:t>th</w:t>
      </w:r>
      <w:r w:rsidRPr="005722A6">
        <w:rPr>
          <w:rFonts w:asciiTheme="majorHAnsi" w:hAnsiTheme="majorHAnsi"/>
          <w:color w:val="000000"/>
          <w:sz w:val="20"/>
          <w:szCs w:val="20"/>
        </w:rPr>
        <w:t> grade. The curriculum focuses on biodiversity</w:t>
      </w:r>
      <w:r w:rsidR="00E4734F" w:rsidRPr="005722A6">
        <w:rPr>
          <w:rFonts w:asciiTheme="majorHAnsi" w:hAnsiTheme="majorHAnsi"/>
          <w:color w:val="000000"/>
          <w:sz w:val="20"/>
          <w:szCs w:val="20"/>
        </w:rPr>
        <w:t xml:space="preserve"> and </w:t>
      </w:r>
      <w:r w:rsidRPr="005722A6">
        <w:rPr>
          <w:rFonts w:asciiTheme="majorHAnsi" w:hAnsiTheme="majorHAnsi"/>
          <w:color w:val="000000"/>
          <w:sz w:val="20"/>
          <w:szCs w:val="20"/>
        </w:rPr>
        <w:t xml:space="preserve">watersheds. The year-long curriculum includes a textbook, one-time use workbooks for each child, teaching training materials and </w:t>
      </w:r>
      <w:r w:rsidR="00F44F91" w:rsidRPr="00EA4043">
        <w:rPr>
          <w:rFonts w:asciiTheme="majorHAnsi" w:hAnsiTheme="majorHAnsi"/>
          <w:color w:val="000000"/>
          <w:sz w:val="20"/>
          <w:szCs w:val="20"/>
        </w:rPr>
        <w:t>teach</w:t>
      </w:r>
      <w:r w:rsidR="00F44F91" w:rsidRPr="00F44F91">
        <w:rPr>
          <w:rFonts w:asciiTheme="majorHAnsi" w:hAnsiTheme="majorHAnsi"/>
          <w:color w:val="000000"/>
          <w:sz w:val="20"/>
          <w:szCs w:val="20"/>
        </w:rPr>
        <w:t>er</w:t>
      </w:r>
      <w:r w:rsidR="00F44F91" w:rsidRPr="005722A6">
        <w:rPr>
          <w:rFonts w:asciiTheme="majorHAnsi" w:hAnsiTheme="majorHAnsi"/>
          <w:color w:val="000000"/>
          <w:sz w:val="20"/>
          <w:szCs w:val="20"/>
        </w:rPr>
        <w:t xml:space="preserve"> </w:t>
      </w:r>
      <w:r w:rsidRPr="005722A6">
        <w:rPr>
          <w:rFonts w:asciiTheme="majorHAnsi" w:hAnsiTheme="majorHAnsi"/>
          <w:color w:val="000000"/>
          <w:sz w:val="20"/>
          <w:szCs w:val="20"/>
        </w:rPr>
        <w:t>training workshops, guest appearances during the year, and printed teaching materials (such as posters). Long-term goals include expanding the curriculum to c</w:t>
      </w:r>
      <w:r w:rsidR="00F82F3E">
        <w:rPr>
          <w:rFonts w:asciiTheme="majorHAnsi" w:hAnsiTheme="majorHAnsi"/>
          <w:color w:val="000000"/>
          <w:sz w:val="20"/>
          <w:szCs w:val="20"/>
        </w:rPr>
        <w:t>over</w:t>
      </w:r>
      <w:r w:rsidRPr="005722A6">
        <w:rPr>
          <w:rFonts w:asciiTheme="majorHAnsi" w:hAnsiTheme="majorHAnsi"/>
          <w:color w:val="000000"/>
          <w:sz w:val="20"/>
          <w:szCs w:val="20"/>
        </w:rPr>
        <w:t xml:space="preserve"> grades 5-8. The GEF increment will facilitate the </w:t>
      </w:r>
      <w:r w:rsidRPr="005722A6">
        <w:rPr>
          <w:rFonts w:asciiTheme="majorHAnsi" w:hAnsiTheme="majorHAnsi"/>
          <w:color w:val="000000"/>
          <w:sz w:val="20"/>
          <w:szCs w:val="20"/>
        </w:rPr>
        <w:lastRenderedPageBreak/>
        <w:t>incorporation of IAS and biosecurity into this and other existing school programs through providing specific lesson plans for a variety of grade levels and activities</w:t>
      </w:r>
      <w:r w:rsidR="00194AA1">
        <w:rPr>
          <w:rFonts w:asciiTheme="majorHAnsi" w:hAnsiTheme="majorHAnsi"/>
          <w:color w:val="000000"/>
          <w:sz w:val="20"/>
          <w:szCs w:val="20"/>
        </w:rPr>
        <w:t xml:space="preserve">. </w:t>
      </w:r>
      <w:r w:rsidRPr="005722A6">
        <w:rPr>
          <w:rFonts w:asciiTheme="majorHAnsi" w:hAnsiTheme="majorHAnsi"/>
          <w:color w:val="000000"/>
          <w:sz w:val="20"/>
          <w:szCs w:val="20"/>
        </w:rPr>
        <w:t xml:space="preserve">Lesson plans </w:t>
      </w:r>
      <w:r w:rsidR="00E4734F" w:rsidRPr="005722A6">
        <w:rPr>
          <w:rFonts w:asciiTheme="majorHAnsi" w:hAnsiTheme="majorHAnsi"/>
          <w:color w:val="000000"/>
          <w:sz w:val="20"/>
          <w:szCs w:val="20"/>
        </w:rPr>
        <w:t xml:space="preserve">will provide </w:t>
      </w:r>
      <w:r w:rsidRPr="005722A6">
        <w:rPr>
          <w:rFonts w:asciiTheme="majorHAnsi" w:hAnsiTheme="majorHAnsi"/>
          <w:color w:val="000000"/>
          <w:sz w:val="20"/>
          <w:szCs w:val="20"/>
        </w:rPr>
        <w:t xml:space="preserve">awareness </w:t>
      </w:r>
      <w:r w:rsidR="003548BE">
        <w:rPr>
          <w:rFonts w:asciiTheme="majorHAnsi" w:hAnsiTheme="majorHAnsi"/>
          <w:color w:val="000000"/>
          <w:sz w:val="20"/>
          <w:szCs w:val="20"/>
        </w:rPr>
        <w:t>raising about</w:t>
      </w:r>
      <w:r w:rsidRPr="005722A6">
        <w:rPr>
          <w:rFonts w:asciiTheme="majorHAnsi" w:hAnsiTheme="majorHAnsi"/>
          <w:color w:val="000000"/>
          <w:sz w:val="20"/>
          <w:szCs w:val="20"/>
        </w:rPr>
        <w:t xml:space="preserve"> the cross-sectorial threats </w:t>
      </w:r>
      <w:r w:rsidR="003548BE" w:rsidRPr="005722A6">
        <w:rPr>
          <w:rFonts w:asciiTheme="majorHAnsi" w:hAnsiTheme="majorHAnsi"/>
          <w:color w:val="000000"/>
          <w:sz w:val="20"/>
          <w:szCs w:val="20"/>
        </w:rPr>
        <w:t xml:space="preserve">and impacts </w:t>
      </w:r>
      <w:r w:rsidR="00E4734F" w:rsidRPr="005722A6">
        <w:rPr>
          <w:rFonts w:asciiTheme="majorHAnsi" w:hAnsiTheme="majorHAnsi"/>
          <w:color w:val="000000"/>
          <w:sz w:val="20"/>
          <w:szCs w:val="20"/>
        </w:rPr>
        <w:t xml:space="preserve">posed by </w:t>
      </w:r>
      <w:r w:rsidRPr="005722A6">
        <w:rPr>
          <w:rFonts w:asciiTheme="majorHAnsi" w:hAnsiTheme="majorHAnsi"/>
          <w:color w:val="000000"/>
          <w:sz w:val="20"/>
          <w:szCs w:val="20"/>
        </w:rPr>
        <w:t>IAS</w:t>
      </w:r>
      <w:r w:rsidR="00194AA1">
        <w:rPr>
          <w:rFonts w:asciiTheme="majorHAnsi" w:hAnsiTheme="majorHAnsi"/>
          <w:color w:val="000000"/>
          <w:sz w:val="20"/>
          <w:szCs w:val="20"/>
        </w:rPr>
        <w:t xml:space="preserve">. </w:t>
      </w:r>
      <w:r w:rsidR="00E4734F" w:rsidRPr="005722A6">
        <w:rPr>
          <w:rFonts w:asciiTheme="majorHAnsi" w:hAnsiTheme="majorHAnsi"/>
          <w:color w:val="000000"/>
          <w:sz w:val="20"/>
          <w:szCs w:val="20"/>
        </w:rPr>
        <w:t xml:space="preserve">Lessons will be </w:t>
      </w:r>
      <w:r w:rsidRPr="005722A6">
        <w:rPr>
          <w:rFonts w:asciiTheme="majorHAnsi" w:hAnsiTheme="majorHAnsi"/>
          <w:color w:val="000000"/>
          <w:sz w:val="20"/>
          <w:szCs w:val="20"/>
        </w:rPr>
        <w:t>incorporated into a variety of subject matters</w:t>
      </w:r>
      <w:r w:rsidR="003548BE">
        <w:rPr>
          <w:rFonts w:asciiTheme="majorHAnsi" w:hAnsiTheme="majorHAnsi"/>
          <w:color w:val="000000"/>
          <w:sz w:val="20"/>
          <w:szCs w:val="20"/>
        </w:rPr>
        <w:t>,</w:t>
      </w:r>
      <w:r w:rsidRPr="005722A6">
        <w:rPr>
          <w:rFonts w:asciiTheme="majorHAnsi" w:hAnsiTheme="majorHAnsi"/>
          <w:color w:val="000000"/>
          <w:sz w:val="20"/>
          <w:szCs w:val="20"/>
        </w:rPr>
        <w:t xml:space="preserve"> such as biology, geography, history and economic</w:t>
      </w:r>
      <w:r w:rsidR="00E4734F" w:rsidRPr="005722A6">
        <w:rPr>
          <w:rFonts w:asciiTheme="majorHAnsi" w:hAnsiTheme="majorHAnsi"/>
          <w:color w:val="000000"/>
          <w:sz w:val="20"/>
          <w:szCs w:val="20"/>
        </w:rPr>
        <w:t>s</w:t>
      </w:r>
      <w:r w:rsidRPr="005722A6">
        <w:rPr>
          <w:rFonts w:asciiTheme="majorHAnsi" w:hAnsiTheme="majorHAnsi"/>
          <w:color w:val="000000"/>
          <w:sz w:val="20"/>
          <w:szCs w:val="20"/>
        </w:rPr>
        <w:t>. This output will specifically support the following activities:</w:t>
      </w:r>
    </w:p>
    <w:p w14:paraId="5A0CD969" w14:textId="329336BB" w:rsidR="00960E85" w:rsidRPr="002F6486" w:rsidRDefault="00960E85" w:rsidP="00F44F91">
      <w:pPr>
        <w:pStyle w:val="ListParagraph"/>
        <w:numPr>
          <w:ilvl w:val="0"/>
          <w:numId w:val="81"/>
        </w:numPr>
        <w:spacing w:before="60"/>
        <w:ind w:left="714" w:hanging="357"/>
        <w:rPr>
          <w:rFonts w:asciiTheme="majorHAnsi" w:hAnsiTheme="majorHAnsi"/>
          <w:sz w:val="20"/>
          <w:szCs w:val="20"/>
        </w:rPr>
      </w:pPr>
      <w:r w:rsidRPr="00FB46EB">
        <w:rPr>
          <w:rFonts w:asciiTheme="majorHAnsi" w:hAnsiTheme="majorHAnsi"/>
          <w:color w:val="000000"/>
          <w:sz w:val="20"/>
          <w:szCs w:val="20"/>
        </w:rPr>
        <w:t>Develop a package of teaching materials/lessons which can be applied to various subjects and grade</w:t>
      </w:r>
      <w:r w:rsidR="003548BE">
        <w:rPr>
          <w:rFonts w:asciiTheme="majorHAnsi" w:hAnsiTheme="majorHAnsi"/>
          <w:color w:val="000000"/>
          <w:sz w:val="20"/>
          <w:szCs w:val="20"/>
        </w:rPr>
        <w:t>s</w:t>
      </w:r>
      <w:r w:rsidRPr="00FB46EB">
        <w:rPr>
          <w:rFonts w:asciiTheme="majorHAnsi" w:hAnsiTheme="majorHAnsi"/>
          <w:color w:val="000000"/>
          <w:sz w:val="20"/>
          <w:szCs w:val="20"/>
        </w:rPr>
        <w:t xml:space="preserve"> in the context of existing curricul</w:t>
      </w:r>
      <w:r w:rsidR="003548BE">
        <w:rPr>
          <w:rFonts w:asciiTheme="majorHAnsi" w:hAnsiTheme="majorHAnsi"/>
          <w:color w:val="000000"/>
          <w:sz w:val="20"/>
          <w:szCs w:val="20"/>
        </w:rPr>
        <w:t>a</w:t>
      </w:r>
      <w:r w:rsidRPr="00FB46EB">
        <w:rPr>
          <w:rFonts w:asciiTheme="majorHAnsi" w:hAnsiTheme="majorHAnsi"/>
          <w:color w:val="000000"/>
          <w:sz w:val="20"/>
          <w:szCs w:val="20"/>
        </w:rPr>
        <w:t xml:space="preserve"> </w:t>
      </w:r>
      <w:r w:rsidR="003548BE">
        <w:rPr>
          <w:rFonts w:asciiTheme="majorHAnsi" w:hAnsiTheme="majorHAnsi"/>
          <w:color w:val="000000"/>
          <w:sz w:val="20"/>
          <w:szCs w:val="20"/>
        </w:rPr>
        <w:t>that</w:t>
      </w:r>
      <w:r w:rsidRPr="00FB46EB">
        <w:rPr>
          <w:rFonts w:asciiTheme="majorHAnsi" w:hAnsiTheme="majorHAnsi"/>
          <w:color w:val="000000"/>
          <w:sz w:val="20"/>
          <w:szCs w:val="20"/>
        </w:rPr>
        <w:t xml:space="preserve"> support awareness development of IAS prevention and managem</w:t>
      </w:r>
      <w:r w:rsidRPr="002F6486">
        <w:rPr>
          <w:rFonts w:asciiTheme="majorHAnsi" w:hAnsiTheme="majorHAnsi"/>
          <w:color w:val="000000"/>
          <w:sz w:val="20"/>
          <w:szCs w:val="20"/>
        </w:rPr>
        <w:t>ent;</w:t>
      </w:r>
    </w:p>
    <w:p w14:paraId="172A17BC" w14:textId="37D8EEE1" w:rsidR="00960E85" w:rsidRPr="00FF745E" w:rsidRDefault="00960E85" w:rsidP="00F44F91">
      <w:pPr>
        <w:pStyle w:val="ListParagraph"/>
        <w:numPr>
          <w:ilvl w:val="0"/>
          <w:numId w:val="81"/>
        </w:numPr>
        <w:spacing w:before="100" w:beforeAutospacing="1"/>
        <w:rPr>
          <w:rFonts w:asciiTheme="majorHAnsi" w:hAnsiTheme="majorHAnsi"/>
          <w:sz w:val="20"/>
          <w:szCs w:val="20"/>
        </w:rPr>
      </w:pPr>
      <w:r w:rsidRPr="008C571D">
        <w:rPr>
          <w:rFonts w:asciiTheme="majorHAnsi" w:hAnsiTheme="majorHAnsi"/>
          <w:color w:val="000000"/>
          <w:sz w:val="20"/>
          <w:szCs w:val="20"/>
        </w:rPr>
        <w:t xml:space="preserve">Train teachers to utilize these training materials through </w:t>
      </w:r>
      <w:r w:rsidRPr="00203F78">
        <w:rPr>
          <w:rFonts w:asciiTheme="majorHAnsi" w:hAnsiTheme="majorHAnsi"/>
          <w:color w:val="000000"/>
          <w:sz w:val="20"/>
          <w:szCs w:val="20"/>
        </w:rPr>
        <w:t>country-wide teacher training workshops; and</w:t>
      </w:r>
    </w:p>
    <w:p w14:paraId="44DD32D5" w14:textId="18510256" w:rsidR="00960E85" w:rsidRPr="00E10F48" w:rsidRDefault="00960E85" w:rsidP="00F44F91">
      <w:pPr>
        <w:pStyle w:val="ListParagraph"/>
        <w:numPr>
          <w:ilvl w:val="0"/>
          <w:numId w:val="81"/>
        </w:numPr>
        <w:spacing w:before="100" w:beforeAutospacing="1"/>
        <w:rPr>
          <w:rFonts w:asciiTheme="majorHAnsi" w:hAnsiTheme="majorHAnsi"/>
          <w:sz w:val="20"/>
          <w:szCs w:val="20"/>
        </w:rPr>
      </w:pPr>
      <w:r w:rsidRPr="00E10F48">
        <w:rPr>
          <w:rFonts w:asciiTheme="majorHAnsi" w:hAnsiTheme="majorHAnsi"/>
          <w:color w:val="000000"/>
          <w:sz w:val="20"/>
          <w:szCs w:val="20"/>
        </w:rPr>
        <w:t>Utiliz</w:t>
      </w:r>
      <w:r w:rsidR="003548BE">
        <w:rPr>
          <w:rFonts w:asciiTheme="majorHAnsi" w:hAnsiTheme="majorHAnsi"/>
          <w:color w:val="000000"/>
          <w:sz w:val="20"/>
          <w:szCs w:val="20"/>
        </w:rPr>
        <w:t>e</w:t>
      </w:r>
      <w:r w:rsidRPr="00E10F48">
        <w:rPr>
          <w:rFonts w:asciiTheme="majorHAnsi" w:hAnsiTheme="majorHAnsi"/>
          <w:color w:val="000000"/>
          <w:sz w:val="20"/>
          <w:szCs w:val="20"/>
        </w:rPr>
        <w:t xml:space="preserve"> teaching materials produced within schools throughout the country.</w:t>
      </w:r>
    </w:p>
    <w:p w14:paraId="427928B6" w14:textId="77777777" w:rsidR="003905CA" w:rsidRPr="005722A6" w:rsidRDefault="003905CA" w:rsidP="00B87774">
      <w:pPr>
        <w:jc w:val="left"/>
        <w:rPr>
          <w:rFonts w:asciiTheme="majorHAnsi" w:hAnsiTheme="majorHAnsi"/>
          <w:b/>
          <w:i/>
          <w:sz w:val="20"/>
          <w:szCs w:val="20"/>
        </w:rPr>
      </w:pPr>
    </w:p>
    <w:p w14:paraId="51E8FD7D" w14:textId="2436CFBC" w:rsidR="00A67C90" w:rsidRPr="005722A6" w:rsidRDefault="00B87774" w:rsidP="00B87774">
      <w:pPr>
        <w:jc w:val="left"/>
        <w:rPr>
          <w:rFonts w:asciiTheme="majorHAnsi" w:hAnsiTheme="majorHAnsi"/>
          <w:b/>
          <w:i/>
          <w:sz w:val="20"/>
          <w:szCs w:val="20"/>
        </w:rPr>
      </w:pPr>
      <w:r w:rsidRPr="005722A6">
        <w:rPr>
          <w:rFonts w:asciiTheme="majorHAnsi" w:hAnsiTheme="majorHAnsi"/>
          <w:b/>
          <w:i/>
          <w:sz w:val="20"/>
          <w:szCs w:val="20"/>
        </w:rPr>
        <w:t>Output 4.</w:t>
      </w:r>
      <w:r w:rsidR="008534B9" w:rsidRPr="005722A6">
        <w:rPr>
          <w:rFonts w:asciiTheme="majorHAnsi" w:hAnsiTheme="majorHAnsi"/>
          <w:b/>
          <w:i/>
          <w:sz w:val="20"/>
          <w:szCs w:val="20"/>
        </w:rPr>
        <w:t>3</w:t>
      </w:r>
      <w:r w:rsidRPr="005722A6">
        <w:rPr>
          <w:rFonts w:asciiTheme="majorHAnsi" w:hAnsiTheme="majorHAnsi"/>
          <w:b/>
          <w:i/>
          <w:sz w:val="20"/>
          <w:szCs w:val="20"/>
        </w:rPr>
        <w:t xml:space="preserve">: </w:t>
      </w:r>
      <w:r w:rsidR="00DB7660" w:rsidRPr="005722A6">
        <w:rPr>
          <w:rFonts w:asciiTheme="majorHAnsi" w:hAnsiTheme="majorHAnsi"/>
          <w:b/>
          <w:i/>
          <w:sz w:val="20"/>
          <w:szCs w:val="20"/>
        </w:rPr>
        <w:t xml:space="preserve">Improved </w:t>
      </w:r>
      <w:r w:rsidR="003548BE">
        <w:rPr>
          <w:rFonts w:asciiTheme="majorHAnsi" w:hAnsiTheme="majorHAnsi"/>
          <w:b/>
          <w:i/>
          <w:sz w:val="20"/>
          <w:szCs w:val="20"/>
        </w:rPr>
        <w:t>k</w:t>
      </w:r>
      <w:r w:rsidR="00DB7660" w:rsidRPr="005722A6">
        <w:rPr>
          <w:rFonts w:asciiTheme="majorHAnsi" w:hAnsiTheme="majorHAnsi"/>
          <w:b/>
          <w:i/>
          <w:sz w:val="20"/>
          <w:szCs w:val="20"/>
        </w:rPr>
        <w:t xml:space="preserve">nowledge </w:t>
      </w:r>
      <w:r w:rsidR="003548BE">
        <w:rPr>
          <w:rFonts w:asciiTheme="majorHAnsi" w:hAnsiTheme="majorHAnsi"/>
          <w:b/>
          <w:i/>
          <w:sz w:val="20"/>
          <w:szCs w:val="20"/>
        </w:rPr>
        <w:t>m</w:t>
      </w:r>
      <w:r w:rsidR="00DB7660" w:rsidRPr="005722A6">
        <w:rPr>
          <w:rFonts w:asciiTheme="majorHAnsi" w:hAnsiTheme="majorHAnsi"/>
          <w:b/>
          <w:i/>
          <w:sz w:val="20"/>
          <w:szCs w:val="20"/>
        </w:rPr>
        <w:t>anagement</w:t>
      </w:r>
      <w:r w:rsidRPr="005722A6">
        <w:rPr>
          <w:rFonts w:asciiTheme="majorHAnsi" w:hAnsiTheme="majorHAnsi"/>
          <w:b/>
          <w:i/>
          <w:sz w:val="20"/>
          <w:szCs w:val="20"/>
        </w:rPr>
        <w:t xml:space="preserve"> </w:t>
      </w:r>
      <w:r w:rsidR="001441D9" w:rsidRPr="005722A6">
        <w:rPr>
          <w:rFonts w:asciiTheme="majorHAnsi" w:hAnsiTheme="majorHAnsi"/>
          <w:b/>
          <w:i/>
          <w:sz w:val="20"/>
          <w:szCs w:val="20"/>
        </w:rPr>
        <w:t>programs developed and implemented</w:t>
      </w:r>
    </w:p>
    <w:p w14:paraId="7FF5B392" w14:textId="72CA6681" w:rsidR="008547EC" w:rsidRPr="005722A6" w:rsidRDefault="003548BE" w:rsidP="00F4406A">
      <w:pPr>
        <w:rPr>
          <w:rFonts w:asciiTheme="majorHAnsi" w:hAnsiTheme="majorHAnsi"/>
          <w:sz w:val="20"/>
          <w:szCs w:val="20"/>
        </w:rPr>
      </w:pPr>
      <w:r>
        <w:rPr>
          <w:rFonts w:asciiTheme="majorHAnsi" w:hAnsiTheme="majorHAnsi"/>
          <w:sz w:val="20"/>
          <w:szCs w:val="20"/>
        </w:rPr>
        <w:t>I</w:t>
      </w:r>
      <w:r w:rsidR="008547EC" w:rsidRPr="005722A6">
        <w:rPr>
          <w:rFonts w:asciiTheme="majorHAnsi" w:hAnsiTheme="majorHAnsi"/>
          <w:sz w:val="20"/>
          <w:szCs w:val="20"/>
        </w:rPr>
        <w:t xml:space="preserve">mplementing the Communication and Knowledge Management Strategy </w:t>
      </w:r>
      <w:r w:rsidR="000D2499" w:rsidRPr="005722A6">
        <w:rPr>
          <w:rFonts w:asciiTheme="majorHAnsi" w:hAnsiTheme="majorHAnsi"/>
          <w:sz w:val="20"/>
          <w:szCs w:val="20"/>
        </w:rPr>
        <w:t>(</w:t>
      </w:r>
      <w:r w:rsidR="000D2499" w:rsidRPr="003548BE">
        <w:rPr>
          <w:rFonts w:asciiTheme="majorHAnsi" w:hAnsiTheme="majorHAnsi"/>
          <w:b/>
          <w:sz w:val="20"/>
          <w:szCs w:val="20"/>
        </w:rPr>
        <w:t>Annex 6</w:t>
      </w:r>
      <w:r w:rsidR="000D2499" w:rsidRPr="005722A6">
        <w:rPr>
          <w:rFonts w:asciiTheme="majorHAnsi" w:hAnsiTheme="majorHAnsi"/>
          <w:sz w:val="20"/>
          <w:szCs w:val="20"/>
        </w:rPr>
        <w:t xml:space="preserve">) </w:t>
      </w:r>
      <w:r w:rsidR="008547EC" w:rsidRPr="005722A6">
        <w:rPr>
          <w:rFonts w:asciiTheme="majorHAnsi" w:hAnsiTheme="majorHAnsi"/>
          <w:sz w:val="20"/>
          <w:szCs w:val="20"/>
        </w:rPr>
        <w:t>the project will ensure that best practices are captured and shared widely</w:t>
      </w:r>
      <w:r>
        <w:rPr>
          <w:rFonts w:asciiTheme="majorHAnsi" w:hAnsiTheme="majorHAnsi"/>
          <w:sz w:val="20"/>
          <w:szCs w:val="20"/>
        </w:rPr>
        <w:t xml:space="preserve"> and, in the context of </w:t>
      </w:r>
      <w:r w:rsidR="008547EC" w:rsidRPr="005722A6">
        <w:rPr>
          <w:rFonts w:asciiTheme="majorHAnsi" w:hAnsiTheme="majorHAnsi"/>
          <w:sz w:val="20"/>
          <w:szCs w:val="20"/>
        </w:rPr>
        <w:t xml:space="preserve">the Gender </w:t>
      </w:r>
      <w:r w:rsidR="00E94214">
        <w:rPr>
          <w:rFonts w:asciiTheme="majorHAnsi" w:hAnsiTheme="majorHAnsi"/>
          <w:sz w:val="20"/>
          <w:szCs w:val="20"/>
        </w:rPr>
        <w:t xml:space="preserve">Analysis and </w:t>
      </w:r>
      <w:r w:rsidR="008547EC" w:rsidRPr="005722A6">
        <w:rPr>
          <w:rFonts w:asciiTheme="majorHAnsi" w:hAnsiTheme="majorHAnsi"/>
          <w:sz w:val="20"/>
          <w:szCs w:val="20"/>
        </w:rPr>
        <w:t xml:space="preserve">Mainstreaming </w:t>
      </w:r>
      <w:r w:rsidR="00E94214">
        <w:rPr>
          <w:rFonts w:asciiTheme="majorHAnsi" w:hAnsiTheme="majorHAnsi"/>
          <w:sz w:val="20"/>
          <w:szCs w:val="20"/>
        </w:rPr>
        <w:t>Action Plan (</w:t>
      </w:r>
      <w:r w:rsidR="00E94214" w:rsidRPr="003548BE">
        <w:rPr>
          <w:rFonts w:asciiTheme="majorHAnsi" w:hAnsiTheme="majorHAnsi"/>
          <w:b/>
          <w:sz w:val="20"/>
          <w:szCs w:val="20"/>
        </w:rPr>
        <w:t>Annex 5</w:t>
      </w:r>
      <w:r w:rsidR="00E94214">
        <w:rPr>
          <w:rFonts w:asciiTheme="majorHAnsi" w:hAnsiTheme="majorHAnsi"/>
          <w:sz w:val="20"/>
          <w:szCs w:val="20"/>
        </w:rPr>
        <w:t>)</w:t>
      </w:r>
      <w:r w:rsidR="008547EC" w:rsidRPr="005722A6">
        <w:rPr>
          <w:rFonts w:asciiTheme="majorHAnsi" w:hAnsiTheme="majorHAnsi"/>
          <w:sz w:val="20"/>
          <w:szCs w:val="20"/>
        </w:rPr>
        <w:t xml:space="preserve">, </w:t>
      </w:r>
      <w:r>
        <w:rPr>
          <w:rFonts w:asciiTheme="majorHAnsi" w:hAnsiTheme="majorHAnsi"/>
          <w:sz w:val="20"/>
          <w:szCs w:val="20"/>
        </w:rPr>
        <w:t>inclusively</w:t>
      </w:r>
      <w:r w:rsidR="008547EC" w:rsidRPr="005722A6">
        <w:rPr>
          <w:rFonts w:asciiTheme="majorHAnsi" w:hAnsiTheme="majorHAnsi"/>
          <w:sz w:val="20"/>
          <w:szCs w:val="20"/>
        </w:rPr>
        <w:t>. The Project will make good use of mo</w:t>
      </w:r>
      <w:r>
        <w:rPr>
          <w:rFonts w:asciiTheme="majorHAnsi" w:hAnsiTheme="majorHAnsi"/>
          <w:sz w:val="20"/>
          <w:szCs w:val="20"/>
        </w:rPr>
        <w:t>dern</w:t>
      </w:r>
      <w:r w:rsidR="008547EC" w:rsidRPr="005722A6">
        <w:rPr>
          <w:rFonts w:asciiTheme="majorHAnsi" w:hAnsiTheme="majorHAnsi"/>
          <w:sz w:val="20"/>
          <w:szCs w:val="20"/>
        </w:rPr>
        <w:t xml:space="preserve"> </w:t>
      </w:r>
      <w:r>
        <w:rPr>
          <w:rFonts w:asciiTheme="majorHAnsi" w:hAnsiTheme="majorHAnsi"/>
          <w:sz w:val="20"/>
          <w:szCs w:val="20"/>
        </w:rPr>
        <w:t>multi-media</w:t>
      </w:r>
      <w:r w:rsidR="008547EC" w:rsidRPr="005722A6">
        <w:rPr>
          <w:rFonts w:asciiTheme="majorHAnsi" w:hAnsiTheme="majorHAnsi"/>
          <w:sz w:val="20"/>
          <w:szCs w:val="20"/>
        </w:rPr>
        <w:t xml:space="preserve"> for knowledge management, including sharing via web-based platforms. Knowledge </w:t>
      </w:r>
      <w:r>
        <w:rPr>
          <w:rFonts w:asciiTheme="majorHAnsi" w:hAnsiTheme="majorHAnsi"/>
          <w:sz w:val="20"/>
          <w:szCs w:val="20"/>
        </w:rPr>
        <w:t>m</w:t>
      </w:r>
      <w:r w:rsidR="008547EC" w:rsidRPr="005722A6">
        <w:rPr>
          <w:rFonts w:asciiTheme="majorHAnsi" w:hAnsiTheme="majorHAnsi"/>
          <w:sz w:val="20"/>
          <w:szCs w:val="20"/>
        </w:rPr>
        <w:t xml:space="preserve">anagement will prioritize spatial knowledge arising from the land/seascape planning process, written and oral knowledge </w:t>
      </w:r>
      <w:r>
        <w:rPr>
          <w:rFonts w:asciiTheme="majorHAnsi" w:hAnsiTheme="majorHAnsi"/>
          <w:sz w:val="20"/>
          <w:szCs w:val="20"/>
        </w:rPr>
        <w:t>about</w:t>
      </w:r>
      <w:r w:rsidR="008547EC" w:rsidRPr="005722A6">
        <w:rPr>
          <w:rFonts w:asciiTheme="majorHAnsi" w:hAnsiTheme="majorHAnsi"/>
          <w:sz w:val="20"/>
          <w:szCs w:val="20"/>
        </w:rPr>
        <w:t xml:space="preserve"> best practices, and a wide range of mapped, written, and traditional knowledge o</w:t>
      </w:r>
      <w:r>
        <w:rPr>
          <w:rFonts w:asciiTheme="majorHAnsi" w:hAnsiTheme="majorHAnsi"/>
          <w:sz w:val="20"/>
          <w:szCs w:val="20"/>
        </w:rPr>
        <w:t>n</w:t>
      </w:r>
      <w:r w:rsidR="008547EC" w:rsidRPr="005722A6">
        <w:rPr>
          <w:rFonts w:asciiTheme="majorHAnsi" w:hAnsiTheme="majorHAnsi"/>
          <w:sz w:val="20"/>
          <w:szCs w:val="20"/>
        </w:rPr>
        <w:t xml:space="preserve"> </w:t>
      </w:r>
      <w:r>
        <w:rPr>
          <w:rFonts w:asciiTheme="majorHAnsi" w:hAnsiTheme="majorHAnsi"/>
          <w:sz w:val="20"/>
          <w:szCs w:val="20"/>
        </w:rPr>
        <w:t xml:space="preserve">IAS and </w:t>
      </w:r>
      <w:r w:rsidR="008547EC" w:rsidRPr="005722A6">
        <w:rPr>
          <w:rFonts w:asciiTheme="majorHAnsi" w:hAnsiTheme="majorHAnsi"/>
          <w:sz w:val="20"/>
          <w:szCs w:val="20"/>
        </w:rPr>
        <w:t>biosecurity.</w:t>
      </w:r>
    </w:p>
    <w:p w14:paraId="49713D00" w14:textId="39B5CED6" w:rsidR="00E4734F" w:rsidRPr="005722A6" w:rsidRDefault="008547EC" w:rsidP="00F4406A">
      <w:pPr>
        <w:rPr>
          <w:rFonts w:asciiTheme="majorHAnsi" w:hAnsiTheme="majorHAnsi"/>
          <w:sz w:val="20"/>
          <w:szCs w:val="20"/>
        </w:rPr>
      </w:pPr>
      <w:r w:rsidRPr="005722A6">
        <w:rPr>
          <w:rFonts w:asciiTheme="majorHAnsi" w:hAnsiTheme="majorHAnsi"/>
          <w:sz w:val="20"/>
          <w:szCs w:val="20"/>
        </w:rPr>
        <w:t xml:space="preserve">There are numerous databases </w:t>
      </w:r>
      <w:r w:rsidR="003548BE" w:rsidRPr="005722A6">
        <w:rPr>
          <w:rFonts w:asciiTheme="majorHAnsi" w:hAnsiTheme="majorHAnsi"/>
          <w:sz w:val="20"/>
          <w:szCs w:val="20"/>
        </w:rPr>
        <w:t xml:space="preserve">and information sharing platforms </w:t>
      </w:r>
      <w:r w:rsidRPr="005722A6">
        <w:rPr>
          <w:rFonts w:asciiTheme="majorHAnsi" w:hAnsiTheme="majorHAnsi"/>
          <w:sz w:val="20"/>
          <w:szCs w:val="20"/>
        </w:rPr>
        <w:t>in Palau</w:t>
      </w:r>
      <w:r w:rsidR="003548BE">
        <w:rPr>
          <w:rFonts w:asciiTheme="majorHAnsi" w:hAnsiTheme="majorHAnsi"/>
          <w:sz w:val="20"/>
          <w:szCs w:val="20"/>
        </w:rPr>
        <w:t xml:space="preserve"> to which</w:t>
      </w:r>
      <w:r w:rsidRPr="005722A6">
        <w:rPr>
          <w:rFonts w:asciiTheme="majorHAnsi" w:hAnsiTheme="majorHAnsi"/>
          <w:sz w:val="20"/>
          <w:szCs w:val="20"/>
        </w:rPr>
        <w:t xml:space="preserve"> </w:t>
      </w:r>
      <w:r w:rsidR="00E04997" w:rsidRPr="005722A6">
        <w:rPr>
          <w:rFonts w:asciiTheme="majorHAnsi" w:hAnsiTheme="majorHAnsi"/>
          <w:sz w:val="20"/>
          <w:szCs w:val="20"/>
        </w:rPr>
        <w:t>th</w:t>
      </w:r>
      <w:r w:rsidR="00E04997">
        <w:rPr>
          <w:rFonts w:asciiTheme="majorHAnsi" w:hAnsiTheme="majorHAnsi"/>
          <w:sz w:val="20"/>
          <w:szCs w:val="20"/>
        </w:rPr>
        <w:t>e</w:t>
      </w:r>
      <w:r w:rsidR="00E04997" w:rsidRPr="005722A6">
        <w:rPr>
          <w:rFonts w:asciiTheme="majorHAnsi" w:hAnsiTheme="majorHAnsi"/>
          <w:sz w:val="20"/>
          <w:szCs w:val="20"/>
        </w:rPr>
        <w:t xml:space="preserve"> </w:t>
      </w:r>
      <w:r w:rsidRPr="005722A6">
        <w:rPr>
          <w:rFonts w:asciiTheme="majorHAnsi" w:hAnsiTheme="majorHAnsi"/>
          <w:sz w:val="20"/>
          <w:szCs w:val="20"/>
        </w:rPr>
        <w:t>project will contribute. Data collection for land/seascape planning will be integrated with the national GIS database housed at PALARIS. Standards developed in Outcome 1 and implemented in Outcomes 2 and 3 will include transferring all information into a digital format that is compatible with PALARIS, as well as establishing regular periods for information transfer</w:t>
      </w:r>
      <w:r w:rsidR="00194AA1">
        <w:rPr>
          <w:rFonts w:asciiTheme="majorHAnsi" w:hAnsiTheme="majorHAnsi"/>
          <w:sz w:val="20"/>
          <w:szCs w:val="20"/>
        </w:rPr>
        <w:t xml:space="preserve">. </w:t>
      </w:r>
      <w:r w:rsidR="00E4734F" w:rsidRPr="005722A6">
        <w:rPr>
          <w:rFonts w:asciiTheme="majorHAnsi" w:hAnsiTheme="majorHAnsi"/>
          <w:sz w:val="20"/>
          <w:szCs w:val="20"/>
        </w:rPr>
        <w:t>A database will be developed for the biosecurity division that is comprehensive of their needs</w:t>
      </w:r>
      <w:r w:rsidR="00703D9C">
        <w:rPr>
          <w:rFonts w:asciiTheme="majorHAnsi" w:hAnsiTheme="majorHAnsi"/>
          <w:sz w:val="20"/>
          <w:szCs w:val="20"/>
        </w:rPr>
        <w:t>,</w:t>
      </w:r>
      <w:r w:rsidR="00E4734F" w:rsidRPr="005722A6">
        <w:rPr>
          <w:rFonts w:asciiTheme="majorHAnsi" w:hAnsiTheme="majorHAnsi"/>
          <w:sz w:val="20"/>
          <w:szCs w:val="20"/>
        </w:rPr>
        <w:t xml:space="preserve"> supersed</w:t>
      </w:r>
      <w:r w:rsidR="00703D9C">
        <w:rPr>
          <w:rFonts w:asciiTheme="majorHAnsi" w:hAnsiTheme="majorHAnsi"/>
          <w:sz w:val="20"/>
          <w:szCs w:val="20"/>
        </w:rPr>
        <w:t>ing</w:t>
      </w:r>
      <w:r w:rsidR="00E4734F" w:rsidRPr="005722A6">
        <w:rPr>
          <w:rFonts w:asciiTheme="majorHAnsi" w:hAnsiTheme="majorHAnsi"/>
          <w:sz w:val="20"/>
          <w:szCs w:val="20"/>
        </w:rPr>
        <w:t xml:space="preserve"> the current outdated and non-comprehensive system </w:t>
      </w:r>
      <w:r w:rsidR="00703D9C">
        <w:rPr>
          <w:rFonts w:asciiTheme="majorHAnsi" w:hAnsiTheme="majorHAnsi"/>
          <w:sz w:val="20"/>
          <w:szCs w:val="20"/>
        </w:rPr>
        <w:t>in operation</w:t>
      </w:r>
      <w:r w:rsidR="00194AA1">
        <w:rPr>
          <w:rFonts w:asciiTheme="majorHAnsi" w:hAnsiTheme="majorHAnsi"/>
          <w:sz w:val="20"/>
          <w:szCs w:val="20"/>
        </w:rPr>
        <w:t xml:space="preserve">. </w:t>
      </w:r>
      <w:r w:rsidR="00E4734F" w:rsidRPr="005722A6">
        <w:rPr>
          <w:rFonts w:asciiTheme="majorHAnsi" w:hAnsiTheme="majorHAnsi"/>
          <w:sz w:val="20"/>
          <w:szCs w:val="20"/>
        </w:rPr>
        <w:t xml:space="preserve">This database will support the collection of detailed information on IAS management and biosecurity </w:t>
      </w:r>
      <w:r w:rsidR="00703D9C">
        <w:rPr>
          <w:rFonts w:asciiTheme="majorHAnsi" w:hAnsiTheme="majorHAnsi"/>
          <w:sz w:val="20"/>
          <w:szCs w:val="20"/>
        </w:rPr>
        <w:t>interventions</w:t>
      </w:r>
      <w:r w:rsidR="00E4734F" w:rsidRPr="005722A6">
        <w:rPr>
          <w:rFonts w:asciiTheme="majorHAnsi" w:hAnsiTheme="majorHAnsi"/>
          <w:sz w:val="20"/>
          <w:szCs w:val="20"/>
        </w:rPr>
        <w:t>, ultimately improving the capacity of the Biosecurity Division and their ability to target risks. The biosecurity database will be aligned with all reporting documents for the EDRR and NISSAP</w:t>
      </w:r>
      <w:r w:rsidR="00703D9C">
        <w:rPr>
          <w:rFonts w:asciiTheme="majorHAnsi" w:hAnsiTheme="majorHAnsi"/>
          <w:sz w:val="20"/>
          <w:szCs w:val="20"/>
        </w:rPr>
        <w:t>,</w:t>
      </w:r>
      <w:r w:rsidR="00E4734F" w:rsidRPr="005722A6">
        <w:rPr>
          <w:rFonts w:asciiTheme="majorHAnsi" w:hAnsiTheme="majorHAnsi"/>
          <w:sz w:val="20"/>
          <w:szCs w:val="20"/>
        </w:rPr>
        <w:t xml:space="preserve"> incorporat</w:t>
      </w:r>
      <w:r w:rsidR="00703D9C">
        <w:rPr>
          <w:rFonts w:asciiTheme="majorHAnsi" w:hAnsiTheme="majorHAnsi"/>
          <w:sz w:val="20"/>
          <w:szCs w:val="20"/>
        </w:rPr>
        <w:t>ing</w:t>
      </w:r>
      <w:r w:rsidR="00E4734F" w:rsidRPr="005722A6">
        <w:rPr>
          <w:rFonts w:asciiTheme="majorHAnsi" w:hAnsiTheme="majorHAnsi"/>
          <w:sz w:val="20"/>
          <w:szCs w:val="20"/>
        </w:rPr>
        <w:t xml:space="preserve"> these elements into its analytical capabilities</w:t>
      </w:r>
      <w:r w:rsidR="00194AA1">
        <w:rPr>
          <w:rFonts w:asciiTheme="majorHAnsi" w:hAnsiTheme="majorHAnsi"/>
          <w:sz w:val="20"/>
          <w:szCs w:val="20"/>
        </w:rPr>
        <w:t xml:space="preserve">. </w:t>
      </w:r>
    </w:p>
    <w:p w14:paraId="193B2AC1" w14:textId="20C11FE5" w:rsidR="00E4734F" w:rsidRPr="005722A6" w:rsidRDefault="00E4734F" w:rsidP="00E4734F">
      <w:pPr>
        <w:rPr>
          <w:rFonts w:asciiTheme="majorHAnsi" w:hAnsiTheme="majorHAnsi"/>
          <w:sz w:val="20"/>
          <w:szCs w:val="20"/>
        </w:rPr>
      </w:pPr>
      <w:r w:rsidRPr="005722A6">
        <w:rPr>
          <w:rFonts w:asciiTheme="majorHAnsi" w:hAnsiTheme="majorHAnsi"/>
          <w:sz w:val="20"/>
          <w:szCs w:val="20"/>
        </w:rPr>
        <w:t>A process for inputting, uploading and sharing information will also be developed and housed in an IAS public clearing house</w:t>
      </w:r>
      <w:r w:rsidR="00703D9C">
        <w:rPr>
          <w:rFonts w:asciiTheme="majorHAnsi" w:hAnsiTheme="majorHAnsi"/>
          <w:sz w:val="20"/>
          <w:szCs w:val="20"/>
        </w:rPr>
        <w:t>,</w:t>
      </w:r>
      <w:r w:rsidRPr="005722A6">
        <w:rPr>
          <w:rFonts w:asciiTheme="majorHAnsi" w:hAnsiTheme="majorHAnsi"/>
          <w:sz w:val="20"/>
          <w:szCs w:val="20"/>
        </w:rPr>
        <w:t xml:space="preserve"> with the suggested name of PalauPestOnline. This site will link to (or incorporate) other existing sites such as the NISC website and a Biosecurity Division site or page to make one comprehensive online platform for Palau IAS information. Starting in GEF5 and continuing in </w:t>
      </w:r>
      <w:r w:rsidR="001D1FEB" w:rsidRPr="005722A6">
        <w:rPr>
          <w:rFonts w:asciiTheme="majorHAnsi" w:hAnsiTheme="majorHAnsi"/>
          <w:sz w:val="20"/>
          <w:szCs w:val="20"/>
        </w:rPr>
        <w:t xml:space="preserve">the current </w:t>
      </w:r>
      <w:r w:rsidRPr="005722A6">
        <w:rPr>
          <w:rFonts w:asciiTheme="majorHAnsi" w:hAnsiTheme="majorHAnsi"/>
          <w:sz w:val="20"/>
          <w:szCs w:val="20"/>
        </w:rPr>
        <w:t xml:space="preserve">GEF6, the project will catalog best practices and make them available via the web. For all categories (landscape/seascape plans, biosecurity/IAS, and best practices), efforts will also be made to collect the </w:t>
      </w:r>
      <w:r w:rsidR="00703D9C">
        <w:rPr>
          <w:rFonts w:asciiTheme="majorHAnsi" w:hAnsiTheme="majorHAnsi"/>
          <w:sz w:val="20"/>
          <w:szCs w:val="20"/>
        </w:rPr>
        <w:t xml:space="preserve">many </w:t>
      </w:r>
      <w:r w:rsidRPr="005722A6">
        <w:rPr>
          <w:rFonts w:asciiTheme="majorHAnsi" w:hAnsiTheme="majorHAnsi"/>
          <w:sz w:val="20"/>
          <w:szCs w:val="20"/>
        </w:rPr>
        <w:t>discrete packages of information that are scattered throughout the country</w:t>
      </w:r>
      <w:r w:rsidR="00F44F91">
        <w:rPr>
          <w:rFonts w:asciiTheme="majorHAnsi" w:hAnsiTheme="majorHAnsi"/>
          <w:sz w:val="20"/>
          <w:szCs w:val="20"/>
        </w:rPr>
        <w:t xml:space="preserve">.  </w:t>
      </w:r>
      <w:r w:rsidRPr="005722A6">
        <w:rPr>
          <w:rFonts w:asciiTheme="majorHAnsi" w:hAnsiTheme="majorHAnsi"/>
          <w:sz w:val="20"/>
          <w:szCs w:val="20"/>
        </w:rPr>
        <w:t>Output 4.3 will support the following activities:</w:t>
      </w:r>
    </w:p>
    <w:p w14:paraId="502C3A3B" w14:textId="50D076D4" w:rsidR="008547EC" w:rsidRPr="00E10F48" w:rsidRDefault="008547EC" w:rsidP="00F44F91">
      <w:pPr>
        <w:pStyle w:val="ListParagraph"/>
        <w:numPr>
          <w:ilvl w:val="0"/>
          <w:numId w:val="33"/>
        </w:numPr>
        <w:jc w:val="both"/>
        <w:rPr>
          <w:rFonts w:asciiTheme="majorHAnsi" w:hAnsiTheme="majorHAnsi"/>
          <w:sz w:val="20"/>
          <w:szCs w:val="20"/>
        </w:rPr>
      </w:pPr>
      <w:r w:rsidRPr="00FB46EB">
        <w:rPr>
          <w:rFonts w:asciiTheme="majorHAnsi" w:hAnsiTheme="majorHAnsi"/>
          <w:sz w:val="20"/>
          <w:szCs w:val="20"/>
        </w:rPr>
        <w:t>Setting up information collection standards that are</w:t>
      </w:r>
      <w:r w:rsidR="00703D9C">
        <w:rPr>
          <w:rFonts w:asciiTheme="majorHAnsi" w:hAnsiTheme="majorHAnsi"/>
          <w:sz w:val="20"/>
          <w:szCs w:val="20"/>
        </w:rPr>
        <w:t>:</w:t>
      </w:r>
      <w:r w:rsidRPr="00FB46EB">
        <w:rPr>
          <w:rFonts w:asciiTheme="majorHAnsi" w:hAnsiTheme="majorHAnsi"/>
          <w:sz w:val="20"/>
          <w:szCs w:val="20"/>
        </w:rPr>
        <w:t xml:space="preserve"> gender and socially inclusive</w:t>
      </w:r>
      <w:r w:rsidR="00703D9C">
        <w:rPr>
          <w:rFonts w:asciiTheme="majorHAnsi" w:hAnsiTheme="majorHAnsi"/>
          <w:sz w:val="20"/>
          <w:szCs w:val="20"/>
        </w:rPr>
        <w:t xml:space="preserve">; </w:t>
      </w:r>
      <w:r w:rsidRPr="00FB46EB">
        <w:rPr>
          <w:rFonts w:asciiTheme="majorHAnsi" w:hAnsiTheme="majorHAnsi"/>
          <w:sz w:val="20"/>
          <w:szCs w:val="20"/>
        </w:rPr>
        <w:t xml:space="preserve">facilitate </w:t>
      </w:r>
      <w:r w:rsidR="00854554" w:rsidRPr="002F6486">
        <w:rPr>
          <w:rFonts w:asciiTheme="majorHAnsi" w:hAnsiTheme="majorHAnsi"/>
          <w:sz w:val="20"/>
          <w:szCs w:val="20"/>
        </w:rPr>
        <w:t>standardized inputting and recording of information</w:t>
      </w:r>
      <w:r w:rsidR="00703D9C">
        <w:rPr>
          <w:rFonts w:asciiTheme="majorHAnsi" w:hAnsiTheme="majorHAnsi"/>
          <w:sz w:val="20"/>
          <w:szCs w:val="20"/>
        </w:rPr>
        <w:t>; and provide for</w:t>
      </w:r>
      <w:r w:rsidR="00854554" w:rsidRPr="002F6486">
        <w:rPr>
          <w:rFonts w:asciiTheme="majorHAnsi" w:hAnsiTheme="majorHAnsi"/>
          <w:sz w:val="20"/>
          <w:szCs w:val="20"/>
        </w:rPr>
        <w:t xml:space="preserve"> </w:t>
      </w:r>
      <w:r w:rsidRPr="008C571D">
        <w:rPr>
          <w:rFonts w:asciiTheme="majorHAnsi" w:hAnsiTheme="majorHAnsi"/>
          <w:sz w:val="20"/>
          <w:szCs w:val="20"/>
        </w:rPr>
        <w:t>digital access</w:t>
      </w:r>
      <w:r w:rsidR="00703D9C" w:rsidRPr="00703D9C">
        <w:rPr>
          <w:rFonts w:asciiTheme="majorHAnsi" w:hAnsiTheme="majorHAnsi"/>
          <w:sz w:val="20"/>
          <w:szCs w:val="20"/>
        </w:rPr>
        <w:t xml:space="preserve"> </w:t>
      </w:r>
      <w:r w:rsidR="00703D9C" w:rsidRPr="008C571D">
        <w:rPr>
          <w:rFonts w:asciiTheme="majorHAnsi" w:hAnsiTheme="majorHAnsi"/>
          <w:sz w:val="20"/>
          <w:szCs w:val="20"/>
        </w:rPr>
        <w:t>and</w:t>
      </w:r>
      <w:r w:rsidR="00703D9C" w:rsidRPr="00703D9C">
        <w:rPr>
          <w:rFonts w:asciiTheme="majorHAnsi" w:hAnsiTheme="majorHAnsi"/>
          <w:sz w:val="20"/>
          <w:szCs w:val="20"/>
        </w:rPr>
        <w:t xml:space="preserve"> </w:t>
      </w:r>
      <w:r w:rsidR="00703D9C" w:rsidRPr="008C571D">
        <w:rPr>
          <w:rFonts w:asciiTheme="majorHAnsi" w:hAnsiTheme="majorHAnsi"/>
          <w:sz w:val="20"/>
          <w:szCs w:val="20"/>
        </w:rPr>
        <w:t>sharing</w:t>
      </w:r>
      <w:r w:rsidRPr="008C571D">
        <w:rPr>
          <w:rFonts w:asciiTheme="majorHAnsi" w:hAnsiTheme="majorHAnsi"/>
          <w:sz w:val="20"/>
          <w:szCs w:val="20"/>
        </w:rPr>
        <w:t>, including compatibility with existing databases</w:t>
      </w:r>
      <w:r w:rsidR="00854554" w:rsidRPr="00203F78">
        <w:rPr>
          <w:rFonts w:asciiTheme="majorHAnsi" w:hAnsiTheme="majorHAnsi"/>
          <w:sz w:val="20"/>
          <w:szCs w:val="20"/>
        </w:rPr>
        <w:t xml:space="preserve"> </w:t>
      </w:r>
      <w:r w:rsidR="00E4734F" w:rsidRPr="00FF745E">
        <w:rPr>
          <w:rFonts w:asciiTheme="majorHAnsi" w:hAnsiTheme="majorHAnsi"/>
          <w:sz w:val="20"/>
          <w:szCs w:val="20"/>
        </w:rPr>
        <w:t>as feasible</w:t>
      </w:r>
      <w:r w:rsidR="00703D9C">
        <w:rPr>
          <w:rFonts w:asciiTheme="majorHAnsi" w:hAnsiTheme="majorHAnsi"/>
          <w:sz w:val="20"/>
          <w:szCs w:val="20"/>
        </w:rPr>
        <w:t>.</w:t>
      </w:r>
    </w:p>
    <w:p w14:paraId="02E6D77D" w14:textId="7FBA238B" w:rsidR="00854554" w:rsidRPr="00627E17" w:rsidRDefault="00854554" w:rsidP="00F44F91">
      <w:pPr>
        <w:pStyle w:val="ListParagraph"/>
        <w:numPr>
          <w:ilvl w:val="0"/>
          <w:numId w:val="33"/>
        </w:numPr>
        <w:jc w:val="both"/>
        <w:rPr>
          <w:rFonts w:asciiTheme="majorHAnsi" w:hAnsiTheme="majorHAnsi"/>
          <w:sz w:val="20"/>
          <w:szCs w:val="20"/>
        </w:rPr>
      </w:pPr>
      <w:r w:rsidRPr="00E96B53">
        <w:rPr>
          <w:rFonts w:asciiTheme="majorHAnsi" w:hAnsiTheme="majorHAnsi"/>
          <w:sz w:val="20"/>
          <w:szCs w:val="20"/>
        </w:rPr>
        <w:t xml:space="preserve">A cross-agency and cross-sector effort to collect and </w:t>
      </w:r>
      <w:r w:rsidR="00703D9C">
        <w:rPr>
          <w:rFonts w:asciiTheme="majorHAnsi" w:hAnsiTheme="majorHAnsi"/>
          <w:sz w:val="20"/>
          <w:szCs w:val="20"/>
        </w:rPr>
        <w:t xml:space="preserve">digitally </w:t>
      </w:r>
      <w:r w:rsidRPr="00E96B53">
        <w:rPr>
          <w:rFonts w:asciiTheme="majorHAnsi" w:hAnsiTheme="majorHAnsi"/>
          <w:sz w:val="20"/>
          <w:szCs w:val="20"/>
        </w:rPr>
        <w:t>catalog existing information on landscape/seascape planning, IAS/biosecurity and best practices</w:t>
      </w:r>
      <w:r w:rsidR="00703D9C">
        <w:rPr>
          <w:rFonts w:asciiTheme="majorHAnsi" w:hAnsiTheme="majorHAnsi"/>
          <w:sz w:val="20"/>
          <w:szCs w:val="20"/>
        </w:rPr>
        <w:t>.</w:t>
      </w:r>
    </w:p>
    <w:p w14:paraId="3CEEB558" w14:textId="63D751AC" w:rsidR="00F4406A" w:rsidRPr="005722A6" w:rsidRDefault="00F4406A" w:rsidP="00F44F91">
      <w:pPr>
        <w:pStyle w:val="ListParagraph"/>
        <w:numPr>
          <w:ilvl w:val="0"/>
          <w:numId w:val="33"/>
        </w:numPr>
        <w:jc w:val="both"/>
        <w:rPr>
          <w:rFonts w:asciiTheme="majorHAnsi" w:hAnsiTheme="majorHAnsi"/>
          <w:sz w:val="20"/>
          <w:szCs w:val="20"/>
        </w:rPr>
      </w:pPr>
      <w:r w:rsidRPr="00F372D8">
        <w:rPr>
          <w:rFonts w:asciiTheme="majorHAnsi" w:hAnsiTheme="majorHAnsi"/>
          <w:sz w:val="20"/>
          <w:szCs w:val="20"/>
        </w:rPr>
        <w:t>Develop a biosecurity database</w:t>
      </w:r>
      <w:r w:rsidR="00854554" w:rsidRPr="005722A6">
        <w:rPr>
          <w:rFonts w:asciiTheme="majorHAnsi" w:hAnsiTheme="majorHAnsi"/>
          <w:sz w:val="20"/>
          <w:szCs w:val="20"/>
        </w:rPr>
        <w:t xml:space="preserve"> that is aligned with EDRR and NISSAP, </w:t>
      </w:r>
      <w:r w:rsidRPr="005722A6">
        <w:rPr>
          <w:rFonts w:asciiTheme="majorHAnsi" w:hAnsiTheme="majorHAnsi"/>
          <w:sz w:val="20"/>
          <w:szCs w:val="20"/>
        </w:rPr>
        <w:t xml:space="preserve">and </w:t>
      </w:r>
      <w:r w:rsidR="00854554" w:rsidRPr="005722A6">
        <w:rPr>
          <w:rFonts w:asciiTheme="majorHAnsi" w:hAnsiTheme="majorHAnsi"/>
          <w:sz w:val="20"/>
          <w:szCs w:val="20"/>
        </w:rPr>
        <w:t xml:space="preserve">associated </w:t>
      </w:r>
      <w:r w:rsidRPr="005722A6">
        <w:rPr>
          <w:rFonts w:asciiTheme="majorHAnsi" w:hAnsiTheme="majorHAnsi"/>
          <w:sz w:val="20"/>
          <w:szCs w:val="20"/>
        </w:rPr>
        <w:t>training</w:t>
      </w:r>
      <w:r w:rsidR="00194AA1">
        <w:rPr>
          <w:rFonts w:asciiTheme="majorHAnsi" w:hAnsiTheme="majorHAnsi"/>
          <w:sz w:val="20"/>
          <w:szCs w:val="20"/>
        </w:rPr>
        <w:t xml:space="preserve">. </w:t>
      </w:r>
      <w:r w:rsidRPr="005722A6">
        <w:rPr>
          <w:rFonts w:asciiTheme="majorHAnsi" w:hAnsiTheme="majorHAnsi"/>
          <w:sz w:val="20"/>
          <w:szCs w:val="20"/>
        </w:rPr>
        <w:t xml:space="preserve">The database will be designed to support basic information gathering and </w:t>
      </w:r>
      <w:r w:rsidR="00703D9C">
        <w:rPr>
          <w:rFonts w:asciiTheme="majorHAnsi" w:hAnsiTheme="majorHAnsi"/>
          <w:sz w:val="20"/>
          <w:szCs w:val="20"/>
        </w:rPr>
        <w:t>storage,</w:t>
      </w:r>
      <w:r w:rsidRPr="005722A6">
        <w:rPr>
          <w:rFonts w:asciiTheme="majorHAnsi" w:hAnsiTheme="majorHAnsi"/>
          <w:sz w:val="20"/>
          <w:szCs w:val="20"/>
        </w:rPr>
        <w:t xml:space="preserve"> as well as support data analysis to improve biodiversity mainstreaming and biosecurity procedures and actions over time</w:t>
      </w:r>
      <w:r w:rsidR="00703D9C">
        <w:rPr>
          <w:rFonts w:asciiTheme="majorHAnsi" w:hAnsiTheme="majorHAnsi"/>
          <w:sz w:val="20"/>
          <w:szCs w:val="20"/>
        </w:rPr>
        <w:t>.</w:t>
      </w:r>
    </w:p>
    <w:p w14:paraId="48DF7DB3" w14:textId="566529DF" w:rsidR="001D1FEB" w:rsidRPr="005722A6" w:rsidRDefault="00854554" w:rsidP="00F44F91">
      <w:pPr>
        <w:pStyle w:val="ListParagraph"/>
        <w:numPr>
          <w:ilvl w:val="0"/>
          <w:numId w:val="33"/>
        </w:numPr>
        <w:jc w:val="both"/>
        <w:rPr>
          <w:rFonts w:asciiTheme="majorHAnsi" w:hAnsiTheme="majorHAnsi"/>
          <w:sz w:val="20"/>
          <w:szCs w:val="20"/>
        </w:rPr>
      </w:pPr>
      <w:r w:rsidRPr="005722A6">
        <w:rPr>
          <w:rFonts w:asciiTheme="majorHAnsi" w:hAnsiTheme="majorHAnsi"/>
          <w:sz w:val="20"/>
          <w:szCs w:val="20"/>
        </w:rPr>
        <w:t xml:space="preserve">Inclusion of public engagement pages on the </w:t>
      </w:r>
      <w:r w:rsidR="00703D9C">
        <w:rPr>
          <w:rFonts w:asciiTheme="majorHAnsi" w:hAnsiTheme="majorHAnsi"/>
          <w:sz w:val="20"/>
          <w:szCs w:val="20"/>
        </w:rPr>
        <w:t>n</w:t>
      </w:r>
      <w:r w:rsidRPr="005722A6">
        <w:rPr>
          <w:rFonts w:asciiTheme="majorHAnsi" w:hAnsiTheme="majorHAnsi"/>
          <w:sz w:val="20"/>
          <w:szCs w:val="20"/>
        </w:rPr>
        <w:t>ational government, NISC, MNRET, and other web</w:t>
      </w:r>
      <w:r w:rsidR="00703D9C">
        <w:rPr>
          <w:rFonts w:asciiTheme="majorHAnsi" w:hAnsiTheme="majorHAnsi"/>
          <w:sz w:val="20"/>
          <w:szCs w:val="20"/>
        </w:rPr>
        <w:t>sites</w:t>
      </w:r>
      <w:r w:rsidRPr="005722A6">
        <w:rPr>
          <w:rFonts w:asciiTheme="majorHAnsi" w:hAnsiTheme="majorHAnsi"/>
          <w:sz w:val="20"/>
          <w:szCs w:val="20"/>
        </w:rPr>
        <w:t>pages that link to information about the project and its products</w:t>
      </w:r>
      <w:r w:rsidR="00E4734F" w:rsidRPr="005722A6">
        <w:rPr>
          <w:rFonts w:asciiTheme="majorHAnsi" w:hAnsiTheme="majorHAnsi"/>
          <w:sz w:val="20"/>
          <w:szCs w:val="20"/>
        </w:rPr>
        <w:t>, including development of a specific PalauPestOnline public information sharing platform.</w:t>
      </w:r>
    </w:p>
    <w:p w14:paraId="69632F89" w14:textId="77777777" w:rsidR="00B87774" w:rsidRPr="005722A6" w:rsidRDefault="00B87774" w:rsidP="001D1FEB">
      <w:pPr>
        <w:pStyle w:val="ListParagraph"/>
        <w:jc w:val="both"/>
        <w:rPr>
          <w:rFonts w:asciiTheme="majorHAnsi" w:hAnsiTheme="majorHAnsi" w:cs="Segoe UI"/>
          <w:b/>
          <w:i/>
          <w:color w:val="000000"/>
          <w:sz w:val="20"/>
          <w:szCs w:val="20"/>
        </w:rPr>
      </w:pPr>
    </w:p>
    <w:p w14:paraId="1D2389BE" w14:textId="77777777" w:rsidR="00B87774" w:rsidRPr="0061283E" w:rsidRDefault="00B87774" w:rsidP="00B02352">
      <w:pPr>
        <w:numPr>
          <w:ilvl w:val="0"/>
          <w:numId w:val="9"/>
        </w:numPr>
        <w:spacing w:after="0"/>
        <w:jc w:val="left"/>
        <w:rPr>
          <w:rFonts w:asciiTheme="majorHAnsi" w:hAnsiTheme="majorHAnsi" w:cs="Segoe UI"/>
          <w:b/>
          <w:color w:val="000000"/>
          <w:sz w:val="20"/>
          <w:szCs w:val="20"/>
        </w:rPr>
      </w:pPr>
      <w:r w:rsidRPr="0061283E">
        <w:rPr>
          <w:rFonts w:asciiTheme="majorHAnsi" w:hAnsiTheme="majorHAnsi"/>
          <w:b/>
          <w:sz w:val="20"/>
          <w:szCs w:val="20"/>
          <w:u w:val="single"/>
        </w:rPr>
        <w:t>Partnerships</w:t>
      </w:r>
      <w:r w:rsidRPr="0061283E">
        <w:rPr>
          <w:rFonts w:asciiTheme="majorHAnsi" w:hAnsiTheme="majorHAnsi"/>
          <w:b/>
          <w:sz w:val="20"/>
          <w:szCs w:val="20"/>
        </w:rPr>
        <w:t>:</w:t>
      </w:r>
      <w:r w:rsidRPr="0061283E">
        <w:rPr>
          <w:rFonts w:asciiTheme="majorHAnsi" w:hAnsiTheme="majorHAnsi"/>
          <w:b/>
          <w:i/>
          <w:sz w:val="20"/>
          <w:szCs w:val="20"/>
        </w:rPr>
        <w:t xml:space="preserve"> </w:t>
      </w:r>
    </w:p>
    <w:p w14:paraId="7767F1DF" w14:textId="77777777" w:rsidR="00B87774" w:rsidRPr="005722A6" w:rsidRDefault="00B87774" w:rsidP="00B87774">
      <w:pPr>
        <w:spacing w:after="0"/>
        <w:jc w:val="left"/>
        <w:rPr>
          <w:rFonts w:asciiTheme="majorHAnsi" w:hAnsiTheme="majorHAnsi"/>
          <w:sz w:val="20"/>
          <w:szCs w:val="20"/>
          <w:u w:val="single"/>
        </w:rPr>
      </w:pPr>
    </w:p>
    <w:p w14:paraId="2CFC7960" w14:textId="689C5C11" w:rsidR="00254D1B" w:rsidRDefault="00254D1B" w:rsidP="00063680">
      <w:pPr>
        <w:widowControl w:val="0"/>
        <w:autoSpaceDE w:val="0"/>
        <w:autoSpaceDN w:val="0"/>
        <w:adjustRightInd w:val="0"/>
        <w:spacing w:after="0"/>
        <w:rPr>
          <w:rFonts w:asciiTheme="majorHAnsi" w:hAnsiTheme="majorHAnsi"/>
          <w:color w:val="000000"/>
          <w:sz w:val="20"/>
          <w:szCs w:val="20"/>
        </w:rPr>
      </w:pPr>
      <w:r w:rsidRPr="005722A6">
        <w:rPr>
          <w:rFonts w:asciiTheme="majorHAnsi" w:hAnsiTheme="majorHAnsi"/>
          <w:color w:val="000000"/>
          <w:sz w:val="20"/>
          <w:szCs w:val="20"/>
        </w:rPr>
        <w:t xml:space="preserve">Several related projects were described in the Baseline Scenario and Associated Baseline Projects. The </w:t>
      </w:r>
      <w:r>
        <w:rPr>
          <w:rFonts w:asciiTheme="majorHAnsi" w:hAnsiTheme="majorHAnsi"/>
          <w:color w:val="000000"/>
          <w:sz w:val="20"/>
          <w:szCs w:val="20"/>
        </w:rPr>
        <w:t xml:space="preserve">proposed </w:t>
      </w:r>
      <w:r w:rsidRPr="005722A6">
        <w:rPr>
          <w:rFonts w:asciiTheme="majorHAnsi" w:hAnsiTheme="majorHAnsi"/>
          <w:color w:val="000000"/>
          <w:sz w:val="20"/>
          <w:szCs w:val="20"/>
        </w:rPr>
        <w:t>GEF</w:t>
      </w:r>
      <w:r>
        <w:rPr>
          <w:rFonts w:asciiTheme="majorHAnsi" w:hAnsiTheme="majorHAnsi"/>
          <w:color w:val="000000"/>
          <w:sz w:val="20"/>
          <w:szCs w:val="20"/>
        </w:rPr>
        <w:t xml:space="preserve"> </w:t>
      </w:r>
      <w:r w:rsidRPr="005722A6">
        <w:rPr>
          <w:rFonts w:asciiTheme="majorHAnsi" w:hAnsiTheme="majorHAnsi"/>
          <w:color w:val="000000"/>
          <w:sz w:val="20"/>
          <w:szCs w:val="20"/>
        </w:rPr>
        <w:t xml:space="preserve">6 project will partner very closely with the </w:t>
      </w:r>
      <w:r>
        <w:rPr>
          <w:rFonts w:asciiTheme="majorHAnsi" w:hAnsiTheme="majorHAnsi"/>
          <w:color w:val="000000"/>
          <w:sz w:val="20"/>
          <w:szCs w:val="20"/>
        </w:rPr>
        <w:t xml:space="preserve">ongoing </w:t>
      </w:r>
      <w:r w:rsidRPr="005722A6">
        <w:rPr>
          <w:rFonts w:asciiTheme="majorHAnsi" w:hAnsiTheme="majorHAnsi"/>
          <w:color w:val="000000"/>
          <w:sz w:val="20"/>
          <w:szCs w:val="20"/>
        </w:rPr>
        <w:t>GEF</w:t>
      </w:r>
      <w:r>
        <w:rPr>
          <w:rFonts w:asciiTheme="majorHAnsi" w:hAnsiTheme="majorHAnsi"/>
          <w:color w:val="000000"/>
          <w:sz w:val="20"/>
          <w:szCs w:val="20"/>
        </w:rPr>
        <w:t xml:space="preserve"> </w:t>
      </w:r>
      <w:r w:rsidRPr="005722A6">
        <w:rPr>
          <w:rFonts w:asciiTheme="majorHAnsi" w:hAnsiTheme="majorHAnsi"/>
          <w:color w:val="000000"/>
          <w:sz w:val="20"/>
          <w:szCs w:val="20"/>
        </w:rPr>
        <w:t xml:space="preserve">5 UNEP project. The Proposed Governance and Management arrangements </w:t>
      </w:r>
      <w:r w:rsidRPr="00E04997">
        <w:rPr>
          <w:rFonts w:asciiTheme="majorHAnsi" w:hAnsiTheme="majorHAnsi"/>
          <w:color w:val="000000"/>
          <w:sz w:val="20"/>
          <w:szCs w:val="20"/>
        </w:rPr>
        <w:t>(</w:t>
      </w:r>
      <w:r w:rsidRPr="00905AB8">
        <w:rPr>
          <w:rFonts w:asciiTheme="majorHAnsi" w:hAnsiTheme="majorHAnsi"/>
          <w:color w:val="000000"/>
          <w:sz w:val="20"/>
          <w:szCs w:val="20"/>
        </w:rPr>
        <w:t>Section VIII</w:t>
      </w:r>
      <w:r w:rsidRPr="00E04997">
        <w:rPr>
          <w:rFonts w:asciiTheme="majorHAnsi" w:hAnsiTheme="majorHAnsi"/>
          <w:color w:val="000000"/>
          <w:sz w:val="20"/>
          <w:szCs w:val="20"/>
        </w:rPr>
        <w:t>)</w:t>
      </w:r>
      <w:r w:rsidRPr="005722A6">
        <w:rPr>
          <w:rFonts w:asciiTheme="majorHAnsi" w:hAnsiTheme="majorHAnsi"/>
          <w:color w:val="000000"/>
          <w:sz w:val="20"/>
          <w:szCs w:val="20"/>
        </w:rPr>
        <w:t xml:space="preserve"> include direct consideration of the GEF 5 UNEP project and its challenges and successes. For instance, the GEF 5 Project Manager ha</w:t>
      </w:r>
      <w:r>
        <w:rPr>
          <w:rFonts w:asciiTheme="majorHAnsi" w:hAnsiTheme="majorHAnsi"/>
          <w:color w:val="000000"/>
          <w:sz w:val="20"/>
          <w:szCs w:val="20"/>
        </w:rPr>
        <w:t>s</w:t>
      </w:r>
      <w:r w:rsidRPr="005722A6">
        <w:rPr>
          <w:rFonts w:asciiTheme="majorHAnsi" w:hAnsiTheme="majorHAnsi"/>
          <w:color w:val="000000"/>
          <w:sz w:val="20"/>
          <w:szCs w:val="20"/>
        </w:rPr>
        <w:t xml:space="preserve"> been directly supervised by the Minister of MNRET. While such high level supervision has been politically advantageous, it does mean that attention to the project has </w:t>
      </w:r>
      <w:r w:rsidRPr="005722A6">
        <w:rPr>
          <w:rFonts w:asciiTheme="majorHAnsi" w:hAnsiTheme="majorHAnsi"/>
          <w:color w:val="000000"/>
          <w:sz w:val="20"/>
          <w:szCs w:val="20"/>
        </w:rPr>
        <w:lastRenderedPageBreak/>
        <w:t>been limited</w:t>
      </w:r>
      <w:r>
        <w:rPr>
          <w:rFonts w:asciiTheme="majorHAnsi" w:hAnsiTheme="majorHAnsi"/>
          <w:color w:val="000000"/>
          <w:sz w:val="20"/>
          <w:szCs w:val="20"/>
        </w:rPr>
        <w:t xml:space="preserve">. </w:t>
      </w:r>
      <w:r w:rsidRPr="005722A6">
        <w:rPr>
          <w:rFonts w:asciiTheme="majorHAnsi" w:hAnsiTheme="majorHAnsi"/>
          <w:color w:val="000000"/>
          <w:sz w:val="20"/>
          <w:szCs w:val="20"/>
        </w:rPr>
        <w:t>Thus, through</w:t>
      </w:r>
      <w:r>
        <w:rPr>
          <w:rFonts w:asciiTheme="majorHAnsi" w:hAnsiTheme="majorHAnsi"/>
          <w:color w:val="000000"/>
          <w:sz w:val="20"/>
          <w:szCs w:val="20"/>
        </w:rPr>
        <w:t xml:space="preserve"> this</w:t>
      </w:r>
      <w:r w:rsidRPr="005722A6">
        <w:rPr>
          <w:rFonts w:asciiTheme="majorHAnsi" w:hAnsiTheme="majorHAnsi"/>
          <w:color w:val="000000"/>
          <w:sz w:val="20"/>
          <w:szCs w:val="20"/>
        </w:rPr>
        <w:t xml:space="preserve"> proposed GEF</w:t>
      </w:r>
      <w:r>
        <w:rPr>
          <w:rFonts w:asciiTheme="majorHAnsi" w:hAnsiTheme="majorHAnsi"/>
          <w:color w:val="000000"/>
          <w:sz w:val="20"/>
          <w:szCs w:val="20"/>
        </w:rPr>
        <w:t xml:space="preserve"> 6</w:t>
      </w:r>
      <w:r w:rsidRPr="005722A6">
        <w:rPr>
          <w:rFonts w:asciiTheme="majorHAnsi" w:hAnsiTheme="majorHAnsi"/>
          <w:color w:val="000000"/>
          <w:sz w:val="20"/>
          <w:szCs w:val="20"/>
        </w:rPr>
        <w:t xml:space="preserve"> project, MNRET will hire </w:t>
      </w:r>
      <w:r>
        <w:rPr>
          <w:rFonts w:asciiTheme="majorHAnsi" w:hAnsiTheme="majorHAnsi"/>
          <w:color w:val="000000"/>
          <w:sz w:val="20"/>
          <w:szCs w:val="20"/>
        </w:rPr>
        <w:t xml:space="preserve">a </w:t>
      </w:r>
      <w:r w:rsidRPr="005722A6">
        <w:rPr>
          <w:rFonts w:asciiTheme="majorHAnsi" w:hAnsiTheme="majorHAnsi"/>
          <w:color w:val="000000"/>
          <w:sz w:val="20"/>
          <w:szCs w:val="20"/>
        </w:rPr>
        <w:t>high-level intermediary supervisor to oversee large projects</w:t>
      </w:r>
      <w:r>
        <w:rPr>
          <w:rFonts w:asciiTheme="majorHAnsi" w:hAnsiTheme="majorHAnsi"/>
          <w:color w:val="000000"/>
          <w:sz w:val="20"/>
          <w:szCs w:val="20"/>
        </w:rPr>
        <w:t>; apply strategic planning and coordination to MNRET and cross-sector activities; and ensure mainstreaming and alignment with high level policies. The function of the EPU will be one of high-level planning for MNRET given national biodiversity priorities; the function of the Project Managers will be to implement specific (aligned) projects. This is part of MNRET’s long-term goal to eventually create a Bureau of Environment. In the short-term, as the basis for the Bureau of Environment, this project will establish an Environmental Planning Unit (EPU) and hire an EPU Coordinator</w:t>
      </w:r>
      <w:r w:rsidRPr="005722A6">
        <w:rPr>
          <w:rFonts w:asciiTheme="majorHAnsi" w:hAnsiTheme="majorHAnsi"/>
          <w:color w:val="000000"/>
          <w:sz w:val="20"/>
          <w:szCs w:val="20"/>
        </w:rPr>
        <w:t xml:space="preserve">. The Project Managers for both </w:t>
      </w:r>
      <w:r>
        <w:rPr>
          <w:rFonts w:asciiTheme="majorHAnsi" w:hAnsiTheme="majorHAnsi"/>
          <w:color w:val="000000"/>
          <w:sz w:val="20"/>
          <w:szCs w:val="20"/>
        </w:rPr>
        <w:t xml:space="preserve">GEF </w:t>
      </w:r>
      <w:r w:rsidRPr="005722A6">
        <w:rPr>
          <w:rFonts w:asciiTheme="majorHAnsi" w:hAnsiTheme="majorHAnsi"/>
          <w:color w:val="000000"/>
          <w:sz w:val="20"/>
          <w:szCs w:val="20"/>
        </w:rPr>
        <w:t xml:space="preserve">projects will </w:t>
      </w:r>
      <w:r>
        <w:rPr>
          <w:rFonts w:asciiTheme="majorHAnsi" w:hAnsiTheme="majorHAnsi"/>
          <w:color w:val="000000"/>
          <w:sz w:val="20"/>
          <w:szCs w:val="20"/>
        </w:rPr>
        <w:t>be under the EPU</w:t>
      </w:r>
      <w:r w:rsidRPr="005722A6">
        <w:rPr>
          <w:rFonts w:asciiTheme="majorHAnsi" w:hAnsiTheme="majorHAnsi"/>
          <w:color w:val="000000"/>
          <w:sz w:val="20"/>
          <w:szCs w:val="20"/>
        </w:rPr>
        <w:t xml:space="preserve"> </w:t>
      </w:r>
      <w:r>
        <w:rPr>
          <w:rFonts w:asciiTheme="majorHAnsi" w:hAnsiTheme="majorHAnsi"/>
          <w:color w:val="000000"/>
          <w:sz w:val="20"/>
          <w:szCs w:val="20"/>
        </w:rPr>
        <w:t>(</w:t>
      </w:r>
      <w:r w:rsidRPr="005722A6">
        <w:rPr>
          <w:rFonts w:asciiTheme="majorHAnsi" w:hAnsiTheme="majorHAnsi"/>
          <w:color w:val="000000"/>
          <w:sz w:val="20"/>
          <w:szCs w:val="20"/>
        </w:rPr>
        <w:t>and then eventually the Bureau of Environment</w:t>
      </w:r>
      <w:r>
        <w:rPr>
          <w:rFonts w:asciiTheme="majorHAnsi" w:hAnsiTheme="majorHAnsi"/>
          <w:color w:val="000000"/>
          <w:sz w:val="20"/>
          <w:szCs w:val="20"/>
        </w:rPr>
        <w:t xml:space="preserve">) </w:t>
      </w:r>
      <w:r w:rsidRPr="005722A6">
        <w:rPr>
          <w:rFonts w:asciiTheme="majorHAnsi" w:hAnsiTheme="majorHAnsi"/>
          <w:color w:val="000000"/>
          <w:sz w:val="20"/>
          <w:szCs w:val="20"/>
        </w:rPr>
        <w:t xml:space="preserve">and will be supervised by an EPU Coordinator (funded jointly by both </w:t>
      </w:r>
      <w:r>
        <w:rPr>
          <w:rFonts w:asciiTheme="majorHAnsi" w:hAnsiTheme="majorHAnsi"/>
          <w:color w:val="000000"/>
          <w:sz w:val="20"/>
          <w:szCs w:val="20"/>
        </w:rPr>
        <w:t xml:space="preserve">GEF </w:t>
      </w:r>
      <w:r w:rsidRPr="005722A6">
        <w:rPr>
          <w:rFonts w:asciiTheme="majorHAnsi" w:hAnsiTheme="majorHAnsi"/>
          <w:color w:val="000000"/>
          <w:sz w:val="20"/>
          <w:szCs w:val="20"/>
        </w:rPr>
        <w:t>projects). This will allow for daily interaction between the projects; regular discussion about each project, and regular staff meeting, etc</w:t>
      </w:r>
      <w:r>
        <w:rPr>
          <w:rFonts w:asciiTheme="majorHAnsi" w:hAnsiTheme="majorHAnsi"/>
          <w:color w:val="000000"/>
          <w:sz w:val="20"/>
          <w:szCs w:val="20"/>
        </w:rPr>
        <w:t xml:space="preserve">. </w:t>
      </w:r>
      <w:r w:rsidRPr="005722A6">
        <w:rPr>
          <w:rFonts w:asciiTheme="majorHAnsi" w:hAnsiTheme="majorHAnsi"/>
          <w:color w:val="000000"/>
          <w:sz w:val="20"/>
          <w:szCs w:val="20"/>
        </w:rPr>
        <w:t>Annual work planning will be coordinated so that there is discussion and collaboration between the two projects</w:t>
      </w:r>
      <w:r>
        <w:rPr>
          <w:rFonts w:asciiTheme="majorHAnsi" w:hAnsiTheme="majorHAnsi"/>
          <w:color w:val="000000"/>
          <w:sz w:val="20"/>
          <w:szCs w:val="20"/>
        </w:rPr>
        <w:t xml:space="preserve">. </w:t>
      </w:r>
      <w:r w:rsidRPr="005722A6">
        <w:rPr>
          <w:rFonts w:asciiTheme="majorHAnsi" w:hAnsiTheme="majorHAnsi"/>
          <w:color w:val="000000"/>
          <w:sz w:val="20"/>
          <w:szCs w:val="20"/>
        </w:rPr>
        <w:t xml:space="preserve">The GEF-funded </w:t>
      </w:r>
      <w:r>
        <w:rPr>
          <w:rFonts w:asciiTheme="majorHAnsi" w:hAnsiTheme="majorHAnsi"/>
          <w:color w:val="000000"/>
          <w:sz w:val="20"/>
          <w:szCs w:val="20"/>
        </w:rPr>
        <w:t xml:space="preserve">Pacific Ridge to Reef </w:t>
      </w:r>
      <w:r w:rsidRPr="005722A6">
        <w:rPr>
          <w:rFonts w:asciiTheme="majorHAnsi" w:hAnsiTheme="majorHAnsi"/>
          <w:color w:val="000000"/>
          <w:sz w:val="20"/>
          <w:szCs w:val="20"/>
        </w:rPr>
        <w:t xml:space="preserve">Project will also be placed under the </w:t>
      </w:r>
      <w:r>
        <w:rPr>
          <w:rFonts w:asciiTheme="majorHAnsi" w:hAnsiTheme="majorHAnsi"/>
          <w:color w:val="000000"/>
          <w:sz w:val="20"/>
          <w:szCs w:val="20"/>
        </w:rPr>
        <w:t>E</w:t>
      </w:r>
      <w:r w:rsidRPr="005722A6">
        <w:rPr>
          <w:rFonts w:asciiTheme="majorHAnsi" w:hAnsiTheme="majorHAnsi"/>
          <w:color w:val="000000"/>
          <w:sz w:val="20"/>
          <w:szCs w:val="20"/>
        </w:rPr>
        <w:t>PU</w:t>
      </w:r>
      <w:r>
        <w:rPr>
          <w:rFonts w:asciiTheme="majorHAnsi" w:hAnsiTheme="majorHAnsi"/>
          <w:color w:val="000000"/>
          <w:sz w:val="20"/>
          <w:szCs w:val="20"/>
        </w:rPr>
        <w:t xml:space="preserve">. During the PPG, MNRET started taking steps to create the EPU, such as by training staff to think more strategically about cross-sector planning, and the </w:t>
      </w:r>
      <w:r w:rsidRPr="005722A6">
        <w:rPr>
          <w:rFonts w:asciiTheme="majorHAnsi" w:hAnsiTheme="majorHAnsi"/>
          <w:color w:val="000000"/>
          <w:sz w:val="20"/>
          <w:szCs w:val="20"/>
        </w:rPr>
        <w:t>GEF</w:t>
      </w:r>
      <w:r>
        <w:rPr>
          <w:rFonts w:asciiTheme="majorHAnsi" w:hAnsiTheme="majorHAnsi"/>
          <w:color w:val="000000"/>
          <w:sz w:val="20"/>
          <w:szCs w:val="20"/>
        </w:rPr>
        <w:t xml:space="preserve"> </w:t>
      </w:r>
      <w:r w:rsidRPr="005722A6">
        <w:rPr>
          <w:rFonts w:asciiTheme="majorHAnsi" w:hAnsiTheme="majorHAnsi"/>
          <w:color w:val="000000"/>
          <w:sz w:val="20"/>
          <w:szCs w:val="20"/>
        </w:rPr>
        <w:t>5 Project is currently training the GEF</w:t>
      </w:r>
      <w:r>
        <w:rPr>
          <w:rFonts w:asciiTheme="majorHAnsi" w:hAnsiTheme="majorHAnsi"/>
          <w:color w:val="000000"/>
          <w:sz w:val="20"/>
          <w:szCs w:val="20"/>
        </w:rPr>
        <w:t xml:space="preserve"> </w:t>
      </w:r>
      <w:r w:rsidRPr="005722A6">
        <w:rPr>
          <w:rFonts w:asciiTheme="majorHAnsi" w:hAnsiTheme="majorHAnsi"/>
          <w:color w:val="000000"/>
          <w:sz w:val="20"/>
          <w:szCs w:val="20"/>
        </w:rPr>
        <w:t>5 Project Assistant to take on Project management duties for the proposed GEF project</w:t>
      </w:r>
      <w:r>
        <w:rPr>
          <w:rFonts w:asciiTheme="majorHAnsi" w:hAnsiTheme="majorHAnsi"/>
          <w:color w:val="000000"/>
          <w:sz w:val="20"/>
          <w:szCs w:val="20"/>
        </w:rPr>
        <w:t>.</w:t>
      </w:r>
    </w:p>
    <w:p w14:paraId="600AFE45" w14:textId="77777777" w:rsidR="00063680" w:rsidRPr="005722A6" w:rsidRDefault="00063680" w:rsidP="00467181">
      <w:pPr>
        <w:widowControl w:val="0"/>
        <w:autoSpaceDE w:val="0"/>
        <w:autoSpaceDN w:val="0"/>
        <w:adjustRightInd w:val="0"/>
        <w:spacing w:after="0"/>
        <w:rPr>
          <w:rFonts w:asciiTheme="majorHAnsi" w:hAnsiTheme="majorHAnsi"/>
          <w:color w:val="000000"/>
          <w:sz w:val="20"/>
          <w:szCs w:val="20"/>
        </w:rPr>
      </w:pPr>
    </w:p>
    <w:p w14:paraId="0CD69C1C" w14:textId="767E4512" w:rsidR="00467181" w:rsidRPr="005722A6" w:rsidRDefault="00063680" w:rsidP="00467181">
      <w:pPr>
        <w:widowControl w:val="0"/>
        <w:autoSpaceDE w:val="0"/>
        <w:autoSpaceDN w:val="0"/>
        <w:adjustRightInd w:val="0"/>
        <w:spacing w:after="0"/>
        <w:rPr>
          <w:rFonts w:asciiTheme="majorHAnsi" w:hAnsiTheme="majorHAnsi"/>
          <w:color w:val="000000"/>
          <w:sz w:val="20"/>
          <w:szCs w:val="20"/>
        </w:rPr>
      </w:pPr>
      <w:r w:rsidRPr="005722A6">
        <w:rPr>
          <w:rFonts w:asciiTheme="majorHAnsi" w:hAnsiTheme="majorHAnsi"/>
          <w:color w:val="000000"/>
          <w:sz w:val="20"/>
          <w:szCs w:val="20"/>
        </w:rPr>
        <w:t>The GEF</w:t>
      </w:r>
      <w:r w:rsidR="008A53A7">
        <w:rPr>
          <w:rFonts w:asciiTheme="majorHAnsi" w:hAnsiTheme="majorHAnsi"/>
          <w:color w:val="000000"/>
          <w:sz w:val="20"/>
          <w:szCs w:val="20"/>
        </w:rPr>
        <w:t xml:space="preserve"> </w:t>
      </w:r>
      <w:r w:rsidRPr="005722A6">
        <w:rPr>
          <w:rFonts w:asciiTheme="majorHAnsi" w:hAnsiTheme="majorHAnsi"/>
          <w:color w:val="000000"/>
          <w:sz w:val="20"/>
          <w:szCs w:val="20"/>
        </w:rPr>
        <w:t>5 project is strengthening coordination between the PAN and SLM and identifying best practices for sustainable land management</w:t>
      </w:r>
      <w:r w:rsidR="009522A4" w:rsidRPr="005722A6">
        <w:rPr>
          <w:rFonts w:asciiTheme="majorHAnsi" w:hAnsiTheme="majorHAnsi"/>
          <w:color w:val="000000"/>
          <w:sz w:val="20"/>
          <w:szCs w:val="20"/>
        </w:rPr>
        <w:t>, and working with several states in Babeldaob to identify key development, land use, and economic strategies</w:t>
      </w:r>
      <w:r w:rsidRPr="005722A6">
        <w:rPr>
          <w:rFonts w:asciiTheme="majorHAnsi" w:hAnsiTheme="majorHAnsi"/>
          <w:color w:val="000000"/>
          <w:sz w:val="20"/>
          <w:szCs w:val="20"/>
        </w:rPr>
        <w:t>. These best practices will continue to inform the suite of best practices that states may implement under Outputs 2.</w:t>
      </w:r>
      <w:r w:rsidR="00283B42">
        <w:rPr>
          <w:rFonts w:asciiTheme="majorHAnsi" w:hAnsiTheme="majorHAnsi"/>
          <w:color w:val="000000"/>
          <w:sz w:val="20"/>
          <w:szCs w:val="20"/>
        </w:rPr>
        <w:t>2, 2.3, 2.</w:t>
      </w:r>
      <w:r w:rsidRPr="005722A6">
        <w:rPr>
          <w:rFonts w:asciiTheme="majorHAnsi" w:hAnsiTheme="majorHAnsi"/>
          <w:color w:val="000000"/>
          <w:sz w:val="20"/>
          <w:szCs w:val="20"/>
        </w:rPr>
        <w:t>4 and 3.2 (</w:t>
      </w:r>
      <w:r w:rsidRPr="00F55DCF">
        <w:rPr>
          <w:rFonts w:asciiTheme="majorHAnsi" w:hAnsiTheme="majorHAnsi"/>
          <w:color w:val="000000"/>
          <w:sz w:val="20"/>
          <w:szCs w:val="20"/>
        </w:rPr>
        <w:t>Annex</w:t>
      </w:r>
      <w:r w:rsidR="000C339E" w:rsidRPr="00F55DCF">
        <w:rPr>
          <w:rFonts w:asciiTheme="majorHAnsi" w:hAnsiTheme="majorHAnsi"/>
          <w:color w:val="000000"/>
          <w:sz w:val="20"/>
          <w:szCs w:val="20"/>
        </w:rPr>
        <w:t xml:space="preserve"> 4, Attachment 1</w:t>
      </w:r>
      <w:r w:rsidR="00FD6B43" w:rsidRPr="00F55DCF">
        <w:rPr>
          <w:rFonts w:asciiTheme="majorHAnsi" w:hAnsiTheme="majorHAnsi"/>
          <w:color w:val="000000"/>
          <w:sz w:val="20"/>
          <w:szCs w:val="20"/>
        </w:rPr>
        <w:t xml:space="preserve"> and</w:t>
      </w:r>
      <w:r w:rsidR="00FD6B43" w:rsidRPr="005722A6">
        <w:rPr>
          <w:rFonts w:asciiTheme="majorHAnsi" w:hAnsiTheme="majorHAnsi"/>
          <w:color w:val="000000"/>
          <w:sz w:val="20"/>
          <w:szCs w:val="20"/>
        </w:rPr>
        <w:t xml:space="preserve"> 2</w:t>
      </w:r>
      <w:r w:rsidRPr="005722A6">
        <w:rPr>
          <w:rFonts w:asciiTheme="majorHAnsi" w:hAnsiTheme="majorHAnsi"/>
          <w:color w:val="000000"/>
          <w:sz w:val="20"/>
          <w:szCs w:val="20"/>
        </w:rPr>
        <w:t>)</w:t>
      </w:r>
      <w:r w:rsidR="00283B42">
        <w:rPr>
          <w:rFonts w:asciiTheme="majorHAnsi" w:hAnsiTheme="majorHAnsi"/>
          <w:color w:val="000000"/>
          <w:sz w:val="20"/>
          <w:szCs w:val="20"/>
        </w:rPr>
        <w:t xml:space="preserve"> of the project</w:t>
      </w:r>
      <w:r w:rsidRPr="005722A6">
        <w:rPr>
          <w:rFonts w:asciiTheme="majorHAnsi" w:hAnsiTheme="majorHAnsi"/>
          <w:color w:val="000000"/>
          <w:sz w:val="20"/>
          <w:szCs w:val="20"/>
        </w:rPr>
        <w:t xml:space="preserve">. To build on GEF5 and the foundation it creates for Land Use Planning, </w:t>
      </w:r>
      <w:r w:rsidR="00467181" w:rsidRPr="005722A6">
        <w:rPr>
          <w:rFonts w:asciiTheme="majorHAnsi" w:hAnsiTheme="majorHAnsi"/>
          <w:color w:val="000000"/>
          <w:sz w:val="20"/>
          <w:szCs w:val="20"/>
        </w:rPr>
        <w:t xml:space="preserve">this project will </w:t>
      </w:r>
      <w:r w:rsidR="009522A4" w:rsidRPr="005722A6">
        <w:rPr>
          <w:rFonts w:asciiTheme="majorHAnsi" w:hAnsiTheme="majorHAnsi"/>
          <w:color w:val="000000"/>
          <w:sz w:val="20"/>
          <w:szCs w:val="20"/>
        </w:rPr>
        <w:t xml:space="preserve">invest in </w:t>
      </w:r>
      <w:r w:rsidRPr="005722A6">
        <w:rPr>
          <w:rFonts w:asciiTheme="majorHAnsi" w:hAnsiTheme="majorHAnsi"/>
          <w:color w:val="000000"/>
          <w:sz w:val="20"/>
          <w:szCs w:val="20"/>
        </w:rPr>
        <w:t xml:space="preserve">the next step: </w:t>
      </w:r>
      <w:r w:rsidR="00467181" w:rsidRPr="005722A6">
        <w:rPr>
          <w:rFonts w:asciiTheme="majorHAnsi" w:hAnsiTheme="majorHAnsi"/>
          <w:color w:val="000000"/>
          <w:sz w:val="20"/>
          <w:szCs w:val="20"/>
        </w:rPr>
        <w:t>broader scale “Integrated Land</w:t>
      </w:r>
      <w:r w:rsidR="00283B42">
        <w:rPr>
          <w:rFonts w:asciiTheme="majorHAnsi" w:hAnsiTheme="majorHAnsi"/>
          <w:color w:val="000000"/>
          <w:sz w:val="20"/>
          <w:szCs w:val="20"/>
        </w:rPr>
        <w:t>/</w:t>
      </w:r>
      <w:r w:rsidR="00467181" w:rsidRPr="005722A6">
        <w:rPr>
          <w:rFonts w:asciiTheme="majorHAnsi" w:hAnsiTheme="majorHAnsi"/>
          <w:color w:val="000000"/>
          <w:sz w:val="20"/>
          <w:szCs w:val="20"/>
        </w:rPr>
        <w:t>Seascape Management Plans</w:t>
      </w:r>
      <w:r w:rsidRPr="005722A6">
        <w:rPr>
          <w:rFonts w:asciiTheme="majorHAnsi" w:hAnsiTheme="majorHAnsi"/>
          <w:color w:val="000000"/>
          <w:sz w:val="20"/>
          <w:szCs w:val="20"/>
        </w:rPr>
        <w:t>.</w:t>
      </w:r>
      <w:r w:rsidR="00467181" w:rsidRPr="005722A6">
        <w:rPr>
          <w:rFonts w:asciiTheme="majorHAnsi" w:hAnsiTheme="majorHAnsi"/>
          <w:color w:val="000000"/>
          <w:sz w:val="20"/>
          <w:szCs w:val="20"/>
        </w:rPr>
        <w:t>”</w:t>
      </w:r>
      <w:r w:rsidRPr="005722A6">
        <w:rPr>
          <w:rFonts w:asciiTheme="majorHAnsi" w:hAnsiTheme="majorHAnsi"/>
          <w:color w:val="000000"/>
          <w:sz w:val="20"/>
          <w:szCs w:val="20"/>
        </w:rPr>
        <w:t xml:space="preserve"> </w:t>
      </w:r>
      <w:r w:rsidR="000C339E" w:rsidRPr="005722A6">
        <w:rPr>
          <w:rFonts w:asciiTheme="majorHAnsi" w:hAnsiTheme="majorHAnsi"/>
          <w:color w:val="000000"/>
          <w:sz w:val="20"/>
          <w:szCs w:val="20"/>
        </w:rPr>
        <w:t xml:space="preserve">The GEF increment </w:t>
      </w:r>
      <w:r w:rsidRPr="005722A6">
        <w:rPr>
          <w:rFonts w:asciiTheme="majorHAnsi" w:hAnsiTheme="majorHAnsi"/>
          <w:color w:val="000000"/>
          <w:sz w:val="20"/>
          <w:szCs w:val="20"/>
        </w:rPr>
        <w:t xml:space="preserve">will also bring in remaining states in Babeldaob so that plans have a </w:t>
      </w:r>
      <w:r w:rsidR="00467181" w:rsidRPr="005722A6">
        <w:rPr>
          <w:rFonts w:asciiTheme="majorHAnsi" w:hAnsiTheme="majorHAnsi"/>
          <w:color w:val="000000"/>
          <w:sz w:val="20"/>
          <w:szCs w:val="20"/>
        </w:rPr>
        <w:t>whole-island approach integrating biodiversity concerns and integrated sustainable land, forest, coastal and marine management principles (e.g. emphasizing connectivity, corridors and resilience to climate change)</w:t>
      </w:r>
      <w:r w:rsidR="00194AA1">
        <w:rPr>
          <w:rFonts w:asciiTheme="majorHAnsi" w:hAnsiTheme="majorHAnsi"/>
          <w:color w:val="000000"/>
          <w:sz w:val="20"/>
          <w:szCs w:val="20"/>
        </w:rPr>
        <w:t xml:space="preserve">. </w:t>
      </w:r>
      <w:r w:rsidRPr="005722A6">
        <w:rPr>
          <w:rFonts w:asciiTheme="majorHAnsi" w:hAnsiTheme="majorHAnsi"/>
          <w:color w:val="000000"/>
          <w:sz w:val="20"/>
          <w:szCs w:val="20"/>
        </w:rPr>
        <w:t xml:space="preserve">While GEF5 is focused almost entirely on building capacity in the National government (particularly MNRET), the </w:t>
      </w:r>
      <w:r w:rsidR="000C339E" w:rsidRPr="005722A6">
        <w:rPr>
          <w:rFonts w:asciiTheme="majorHAnsi" w:hAnsiTheme="majorHAnsi"/>
          <w:color w:val="000000"/>
          <w:sz w:val="20"/>
          <w:szCs w:val="20"/>
        </w:rPr>
        <w:t xml:space="preserve">proposed </w:t>
      </w:r>
      <w:r w:rsidRPr="005722A6">
        <w:rPr>
          <w:rFonts w:asciiTheme="majorHAnsi" w:hAnsiTheme="majorHAnsi"/>
          <w:color w:val="000000"/>
          <w:sz w:val="20"/>
          <w:szCs w:val="20"/>
        </w:rPr>
        <w:t>GEF project</w:t>
      </w:r>
      <w:r w:rsidR="000C339E" w:rsidRPr="005722A6">
        <w:rPr>
          <w:rFonts w:asciiTheme="majorHAnsi" w:hAnsiTheme="majorHAnsi"/>
          <w:color w:val="000000"/>
          <w:sz w:val="20"/>
          <w:szCs w:val="20"/>
        </w:rPr>
        <w:t xml:space="preserve"> will support</w:t>
      </w:r>
      <w:r w:rsidR="00467181" w:rsidRPr="005722A6">
        <w:rPr>
          <w:rFonts w:asciiTheme="majorHAnsi" w:hAnsiTheme="majorHAnsi"/>
          <w:color w:val="000000"/>
          <w:sz w:val="20"/>
          <w:szCs w:val="20"/>
        </w:rPr>
        <w:t>:</w:t>
      </w:r>
    </w:p>
    <w:p w14:paraId="6BA7D123" w14:textId="77777777" w:rsidR="00467181" w:rsidRPr="005722A6" w:rsidRDefault="00467181" w:rsidP="00B87774">
      <w:pPr>
        <w:widowControl w:val="0"/>
        <w:autoSpaceDE w:val="0"/>
        <w:autoSpaceDN w:val="0"/>
        <w:adjustRightInd w:val="0"/>
        <w:spacing w:after="0"/>
        <w:rPr>
          <w:rFonts w:asciiTheme="majorHAnsi" w:hAnsiTheme="majorHAnsi"/>
          <w:color w:val="000000"/>
          <w:sz w:val="20"/>
          <w:szCs w:val="20"/>
        </w:rPr>
      </w:pPr>
    </w:p>
    <w:p w14:paraId="3E0534C2" w14:textId="51C02388" w:rsidR="00467181" w:rsidRPr="005722A6" w:rsidRDefault="00B5399F" w:rsidP="00EA4043">
      <w:pPr>
        <w:widowControl w:val="0"/>
        <w:numPr>
          <w:ilvl w:val="0"/>
          <w:numId w:val="25"/>
        </w:numPr>
        <w:autoSpaceDE w:val="0"/>
        <w:autoSpaceDN w:val="0"/>
        <w:adjustRightInd w:val="0"/>
        <w:spacing w:after="0"/>
        <w:rPr>
          <w:rFonts w:asciiTheme="majorHAnsi" w:hAnsiTheme="majorHAnsi"/>
          <w:color w:val="000000"/>
          <w:sz w:val="20"/>
          <w:szCs w:val="20"/>
        </w:rPr>
      </w:pPr>
      <w:r w:rsidRPr="005722A6">
        <w:rPr>
          <w:rFonts w:asciiTheme="majorHAnsi" w:hAnsiTheme="majorHAnsi"/>
          <w:color w:val="000000"/>
          <w:sz w:val="20"/>
          <w:szCs w:val="20"/>
        </w:rPr>
        <w:t>Invest</w:t>
      </w:r>
      <w:r w:rsidR="000C339E" w:rsidRPr="005722A6">
        <w:rPr>
          <w:rFonts w:asciiTheme="majorHAnsi" w:hAnsiTheme="majorHAnsi"/>
          <w:color w:val="000000"/>
          <w:sz w:val="20"/>
          <w:szCs w:val="20"/>
        </w:rPr>
        <w:t>ment</w:t>
      </w:r>
      <w:r w:rsidRPr="005722A6">
        <w:rPr>
          <w:rFonts w:asciiTheme="majorHAnsi" w:hAnsiTheme="majorHAnsi"/>
          <w:color w:val="000000"/>
          <w:sz w:val="20"/>
          <w:szCs w:val="20"/>
        </w:rPr>
        <w:t xml:space="preserve">s </w:t>
      </w:r>
      <w:r w:rsidR="00467181" w:rsidRPr="005722A6">
        <w:rPr>
          <w:rFonts w:asciiTheme="majorHAnsi" w:hAnsiTheme="majorHAnsi"/>
          <w:color w:val="000000"/>
          <w:sz w:val="20"/>
          <w:szCs w:val="20"/>
        </w:rPr>
        <w:t>in the key steps of integrated ecosystem-based Land</w:t>
      </w:r>
      <w:r w:rsidR="00283B42">
        <w:rPr>
          <w:rFonts w:asciiTheme="majorHAnsi" w:hAnsiTheme="majorHAnsi"/>
          <w:color w:val="000000"/>
          <w:sz w:val="20"/>
          <w:szCs w:val="20"/>
        </w:rPr>
        <w:t>/</w:t>
      </w:r>
      <w:r w:rsidR="00467181" w:rsidRPr="005722A6">
        <w:rPr>
          <w:rFonts w:asciiTheme="majorHAnsi" w:hAnsiTheme="majorHAnsi"/>
          <w:color w:val="000000"/>
          <w:sz w:val="20"/>
          <w:szCs w:val="20"/>
        </w:rPr>
        <w:t>Seascape Planning and development of spatial maps necessary for achieving joint outcomes across state boundarie</w:t>
      </w:r>
      <w:r w:rsidR="00905AB8">
        <w:rPr>
          <w:rFonts w:asciiTheme="majorHAnsi" w:hAnsiTheme="majorHAnsi"/>
          <w:color w:val="000000"/>
          <w:sz w:val="20"/>
          <w:szCs w:val="20"/>
        </w:rPr>
        <w:t>s;</w:t>
      </w:r>
      <w:r w:rsidR="00467181" w:rsidRPr="005722A6">
        <w:rPr>
          <w:rFonts w:asciiTheme="majorHAnsi" w:hAnsiTheme="majorHAnsi"/>
          <w:color w:val="000000"/>
          <w:sz w:val="20"/>
          <w:szCs w:val="20"/>
        </w:rPr>
        <w:t xml:space="preserve"> </w:t>
      </w:r>
    </w:p>
    <w:p w14:paraId="68C5BCC2" w14:textId="53200247" w:rsidR="00467181" w:rsidRPr="005722A6" w:rsidRDefault="00B5399F" w:rsidP="00EA4043">
      <w:pPr>
        <w:widowControl w:val="0"/>
        <w:numPr>
          <w:ilvl w:val="0"/>
          <w:numId w:val="25"/>
        </w:numPr>
        <w:autoSpaceDE w:val="0"/>
        <w:autoSpaceDN w:val="0"/>
        <w:adjustRightInd w:val="0"/>
        <w:spacing w:after="0"/>
        <w:rPr>
          <w:rFonts w:asciiTheme="majorHAnsi" w:hAnsiTheme="majorHAnsi"/>
          <w:color w:val="000000"/>
          <w:sz w:val="20"/>
          <w:szCs w:val="20"/>
        </w:rPr>
      </w:pPr>
      <w:r w:rsidRPr="005722A6">
        <w:rPr>
          <w:rFonts w:asciiTheme="majorHAnsi" w:hAnsiTheme="majorHAnsi"/>
          <w:color w:val="000000"/>
          <w:sz w:val="20"/>
          <w:szCs w:val="20"/>
        </w:rPr>
        <w:t>Focus</w:t>
      </w:r>
      <w:r w:rsidR="00467181" w:rsidRPr="005722A6">
        <w:rPr>
          <w:rFonts w:asciiTheme="majorHAnsi" w:hAnsiTheme="majorHAnsi"/>
          <w:color w:val="000000"/>
          <w:sz w:val="20"/>
          <w:szCs w:val="20"/>
        </w:rPr>
        <w:t xml:space="preserve"> on building planning and implementation capacity at the State Government level</w:t>
      </w:r>
      <w:r w:rsidR="00905AB8">
        <w:rPr>
          <w:rFonts w:asciiTheme="majorHAnsi" w:hAnsiTheme="majorHAnsi"/>
          <w:color w:val="000000"/>
          <w:sz w:val="20"/>
          <w:szCs w:val="20"/>
        </w:rPr>
        <w:t>; and</w:t>
      </w:r>
    </w:p>
    <w:p w14:paraId="04E746DB" w14:textId="4AC63A39" w:rsidR="00467181" w:rsidRPr="005722A6" w:rsidRDefault="000C339E" w:rsidP="00EA4043">
      <w:pPr>
        <w:widowControl w:val="0"/>
        <w:numPr>
          <w:ilvl w:val="0"/>
          <w:numId w:val="25"/>
        </w:numPr>
        <w:autoSpaceDE w:val="0"/>
        <w:autoSpaceDN w:val="0"/>
        <w:adjustRightInd w:val="0"/>
        <w:spacing w:after="0"/>
        <w:rPr>
          <w:rFonts w:asciiTheme="majorHAnsi" w:hAnsiTheme="majorHAnsi"/>
          <w:color w:val="000000"/>
          <w:sz w:val="20"/>
          <w:szCs w:val="20"/>
        </w:rPr>
      </w:pPr>
      <w:r w:rsidRPr="005722A6">
        <w:rPr>
          <w:rFonts w:asciiTheme="majorHAnsi" w:hAnsiTheme="majorHAnsi"/>
          <w:color w:val="000000"/>
          <w:sz w:val="20"/>
          <w:szCs w:val="20"/>
        </w:rPr>
        <w:t xml:space="preserve">Support the implementation of </w:t>
      </w:r>
      <w:r w:rsidR="00467181" w:rsidRPr="005722A6">
        <w:rPr>
          <w:rFonts w:asciiTheme="majorHAnsi" w:hAnsiTheme="majorHAnsi"/>
          <w:color w:val="000000"/>
          <w:sz w:val="20"/>
          <w:szCs w:val="20"/>
        </w:rPr>
        <w:t xml:space="preserve">best practices identified </w:t>
      </w:r>
      <w:r w:rsidRPr="005722A6">
        <w:rPr>
          <w:rFonts w:asciiTheme="majorHAnsi" w:hAnsiTheme="majorHAnsi"/>
          <w:color w:val="000000"/>
          <w:sz w:val="20"/>
          <w:szCs w:val="20"/>
        </w:rPr>
        <w:t xml:space="preserve">in </w:t>
      </w:r>
      <w:r w:rsidR="00467181" w:rsidRPr="005722A6">
        <w:rPr>
          <w:rFonts w:asciiTheme="majorHAnsi" w:hAnsiTheme="majorHAnsi"/>
          <w:color w:val="000000"/>
          <w:sz w:val="20"/>
          <w:szCs w:val="20"/>
        </w:rPr>
        <w:t>the GEF 5</w:t>
      </w:r>
      <w:r w:rsidR="00001CB8" w:rsidRPr="005722A6">
        <w:rPr>
          <w:rFonts w:asciiTheme="majorHAnsi" w:hAnsiTheme="majorHAnsi"/>
          <w:color w:val="000000"/>
          <w:sz w:val="20"/>
          <w:szCs w:val="20"/>
        </w:rPr>
        <w:t xml:space="preserve"> UNEP </w:t>
      </w:r>
      <w:r w:rsidR="00467181" w:rsidRPr="005722A6">
        <w:rPr>
          <w:rFonts w:asciiTheme="majorHAnsi" w:hAnsiTheme="majorHAnsi"/>
          <w:color w:val="000000"/>
          <w:sz w:val="20"/>
          <w:szCs w:val="20"/>
        </w:rPr>
        <w:t xml:space="preserve">Project, combined with the Land/Seascape Plans developed in the early years of the </w:t>
      </w:r>
      <w:r w:rsidRPr="005722A6">
        <w:rPr>
          <w:rFonts w:asciiTheme="majorHAnsi" w:hAnsiTheme="majorHAnsi"/>
          <w:color w:val="000000"/>
          <w:sz w:val="20"/>
          <w:szCs w:val="20"/>
        </w:rPr>
        <w:t xml:space="preserve">proposed </w:t>
      </w:r>
      <w:r w:rsidR="00467181" w:rsidRPr="005722A6">
        <w:rPr>
          <w:rFonts w:asciiTheme="majorHAnsi" w:hAnsiTheme="majorHAnsi"/>
          <w:color w:val="000000"/>
          <w:sz w:val="20"/>
          <w:szCs w:val="20"/>
        </w:rPr>
        <w:t xml:space="preserve">GEF Project, will then be used to move States along their progression towards Land Use and Marine Spatial Plans. PAN Sites and </w:t>
      </w:r>
      <w:r w:rsidR="001170A3">
        <w:rPr>
          <w:rFonts w:asciiTheme="majorHAnsi" w:hAnsiTheme="majorHAnsi"/>
          <w:color w:val="000000"/>
          <w:sz w:val="20"/>
          <w:szCs w:val="20"/>
        </w:rPr>
        <w:t>S</w:t>
      </w:r>
      <w:r w:rsidR="00467181" w:rsidRPr="005722A6">
        <w:rPr>
          <w:rFonts w:asciiTheme="majorHAnsi" w:hAnsiTheme="majorHAnsi"/>
          <w:color w:val="000000"/>
          <w:sz w:val="20"/>
          <w:szCs w:val="20"/>
        </w:rPr>
        <w:t xml:space="preserve">LM Priorities from the GEF 5 project will be integrated into these eventual </w:t>
      </w:r>
      <w:r w:rsidRPr="005722A6">
        <w:rPr>
          <w:rFonts w:asciiTheme="majorHAnsi" w:hAnsiTheme="majorHAnsi"/>
          <w:color w:val="000000"/>
          <w:sz w:val="20"/>
          <w:szCs w:val="20"/>
        </w:rPr>
        <w:t>integrated land/seascape management p</w:t>
      </w:r>
      <w:r w:rsidR="00467181" w:rsidRPr="005722A6">
        <w:rPr>
          <w:rFonts w:asciiTheme="majorHAnsi" w:hAnsiTheme="majorHAnsi"/>
          <w:color w:val="000000"/>
          <w:sz w:val="20"/>
          <w:szCs w:val="20"/>
        </w:rPr>
        <w:t xml:space="preserve">lans. </w:t>
      </w:r>
    </w:p>
    <w:p w14:paraId="7F8AD9E8" w14:textId="77777777" w:rsidR="00467181" w:rsidRPr="005722A6" w:rsidRDefault="00467181" w:rsidP="00B87774">
      <w:pPr>
        <w:widowControl w:val="0"/>
        <w:autoSpaceDE w:val="0"/>
        <w:autoSpaceDN w:val="0"/>
        <w:adjustRightInd w:val="0"/>
        <w:spacing w:after="0"/>
        <w:rPr>
          <w:rFonts w:asciiTheme="majorHAnsi" w:hAnsiTheme="majorHAnsi"/>
          <w:color w:val="000000"/>
          <w:sz w:val="20"/>
          <w:szCs w:val="20"/>
        </w:rPr>
      </w:pPr>
    </w:p>
    <w:p w14:paraId="1A82B089" w14:textId="105745B7" w:rsidR="00B5399F" w:rsidRPr="005722A6" w:rsidRDefault="00B5399F" w:rsidP="00B5399F">
      <w:pPr>
        <w:widowControl w:val="0"/>
        <w:autoSpaceDE w:val="0"/>
        <w:autoSpaceDN w:val="0"/>
        <w:adjustRightInd w:val="0"/>
        <w:spacing w:after="0"/>
        <w:rPr>
          <w:rFonts w:asciiTheme="majorHAnsi" w:hAnsiTheme="majorHAnsi"/>
          <w:color w:val="000000"/>
          <w:sz w:val="20"/>
          <w:szCs w:val="20"/>
        </w:rPr>
      </w:pPr>
      <w:r w:rsidRPr="005722A6">
        <w:rPr>
          <w:rFonts w:asciiTheme="majorHAnsi" w:hAnsiTheme="majorHAnsi"/>
          <w:color w:val="000000"/>
          <w:sz w:val="20"/>
          <w:szCs w:val="20"/>
        </w:rPr>
        <w:t xml:space="preserve">In addition to Best Practice Guidance Manuals put out by GEF </w:t>
      </w:r>
      <w:r w:rsidR="00063680" w:rsidRPr="005722A6">
        <w:rPr>
          <w:rFonts w:asciiTheme="majorHAnsi" w:hAnsiTheme="majorHAnsi"/>
          <w:color w:val="000000"/>
          <w:sz w:val="20"/>
          <w:szCs w:val="20"/>
        </w:rPr>
        <w:t xml:space="preserve">5 </w:t>
      </w:r>
      <w:r w:rsidRPr="005722A6">
        <w:rPr>
          <w:rFonts w:asciiTheme="majorHAnsi" w:hAnsiTheme="majorHAnsi"/>
          <w:color w:val="000000"/>
          <w:sz w:val="20"/>
          <w:szCs w:val="20"/>
        </w:rPr>
        <w:t xml:space="preserve">(including but not limited to: Agriculture, Climate Change Adaptation, Land Use and Erosion Control, Fire Prevention, Forest Restoration and Rehabilitation, and Tourism), this project will continue or incorporate key outputs such as: monitoring tools, results of socioeconomic surveys, the eventual National SLM Action Plan, the eventual PAN Strategic and Communications Plans, and eventual Vulnerable Species Management Plans. This project is already aligned with the </w:t>
      </w:r>
      <w:r w:rsidR="00283B42">
        <w:rPr>
          <w:rFonts w:asciiTheme="majorHAnsi" w:hAnsiTheme="majorHAnsi"/>
          <w:color w:val="000000"/>
          <w:sz w:val="20"/>
          <w:szCs w:val="20"/>
        </w:rPr>
        <w:t>Responsible</w:t>
      </w:r>
      <w:r w:rsidR="00283B42" w:rsidRPr="005722A6">
        <w:rPr>
          <w:rFonts w:asciiTheme="majorHAnsi" w:hAnsiTheme="majorHAnsi"/>
          <w:color w:val="000000"/>
          <w:sz w:val="20"/>
          <w:szCs w:val="20"/>
        </w:rPr>
        <w:t xml:space="preserve"> </w:t>
      </w:r>
      <w:r w:rsidRPr="005722A6">
        <w:rPr>
          <w:rFonts w:asciiTheme="majorHAnsi" w:hAnsiTheme="majorHAnsi"/>
          <w:color w:val="000000"/>
          <w:sz w:val="20"/>
          <w:szCs w:val="20"/>
        </w:rPr>
        <w:t xml:space="preserve">Tourism Framework, which was developed in part through GEF </w:t>
      </w:r>
      <w:r w:rsidR="00063680" w:rsidRPr="005722A6">
        <w:rPr>
          <w:rFonts w:asciiTheme="majorHAnsi" w:hAnsiTheme="majorHAnsi"/>
          <w:color w:val="000000"/>
          <w:sz w:val="20"/>
          <w:szCs w:val="20"/>
        </w:rPr>
        <w:t>5</w:t>
      </w:r>
      <w:r w:rsidRPr="005722A6">
        <w:rPr>
          <w:rFonts w:asciiTheme="majorHAnsi" w:hAnsiTheme="majorHAnsi"/>
          <w:color w:val="000000"/>
          <w:sz w:val="20"/>
          <w:szCs w:val="20"/>
        </w:rPr>
        <w:t>.</w:t>
      </w:r>
      <w:r w:rsidR="009522A4" w:rsidRPr="005722A6">
        <w:rPr>
          <w:rFonts w:asciiTheme="majorHAnsi" w:hAnsiTheme="majorHAnsi"/>
          <w:color w:val="000000"/>
          <w:sz w:val="20"/>
          <w:szCs w:val="20"/>
        </w:rPr>
        <w:t xml:space="preserve"> GEF5 is investing in the creation of a broad, high-level Biosecurity Plan for the BOA, which will guide participation in the </w:t>
      </w:r>
      <w:r w:rsidR="000C339E" w:rsidRPr="005722A6">
        <w:rPr>
          <w:rFonts w:asciiTheme="majorHAnsi" w:hAnsiTheme="majorHAnsi"/>
          <w:color w:val="000000"/>
          <w:sz w:val="20"/>
          <w:szCs w:val="20"/>
        </w:rPr>
        <w:t xml:space="preserve">proposed GEF project </w:t>
      </w:r>
      <w:r w:rsidR="009522A4" w:rsidRPr="005722A6">
        <w:rPr>
          <w:rFonts w:asciiTheme="majorHAnsi" w:hAnsiTheme="majorHAnsi"/>
          <w:color w:val="000000"/>
          <w:sz w:val="20"/>
          <w:szCs w:val="20"/>
        </w:rPr>
        <w:t>to create the NISSAP and EDRR</w:t>
      </w:r>
      <w:r w:rsidR="00194AA1">
        <w:rPr>
          <w:rFonts w:asciiTheme="majorHAnsi" w:hAnsiTheme="majorHAnsi"/>
          <w:color w:val="000000"/>
          <w:sz w:val="20"/>
          <w:szCs w:val="20"/>
        </w:rPr>
        <w:t xml:space="preserve">. </w:t>
      </w:r>
      <w:r w:rsidR="009522A4" w:rsidRPr="005722A6">
        <w:rPr>
          <w:rFonts w:asciiTheme="majorHAnsi" w:hAnsiTheme="majorHAnsi"/>
          <w:color w:val="000000"/>
          <w:sz w:val="20"/>
          <w:szCs w:val="20"/>
        </w:rPr>
        <w:t xml:space="preserve">Through the GEF5 project communities are already sharing IAS and biosecurity priorities with MNRET. </w:t>
      </w:r>
      <w:r w:rsidR="00C22D0C" w:rsidRPr="005722A6">
        <w:rPr>
          <w:rFonts w:asciiTheme="majorHAnsi" w:hAnsiTheme="majorHAnsi"/>
          <w:color w:val="000000"/>
          <w:sz w:val="20"/>
          <w:szCs w:val="20"/>
        </w:rPr>
        <w:t xml:space="preserve">The </w:t>
      </w:r>
      <w:r w:rsidR="009522A4" w:rsidRPr="005722A6">
        <w:rPr>
          <w:rFonts w:asciiTheme="majorHAnsi" w:hAnsiTheme="majorHAnsi"/>
          <w:color w:val="000000"/>
          <w:sz w:val="20"/>
          <w:szCs w:val="20"/>
        </w:rPr>
        <w:t xml:space="preserve">GEF5 </w:t>
      </w:r>
      <w:r w:rsidR="000C339E" w:rsidRPr="005722A6">
        <w:rPr>
          <w:rFonts w:asciiTheme="majorHAnsi" w:hAnsiTheme="majorHAnsi"/>
          <w:color w:val="000000"/>
          <w:sz w:val="20"/>
          <w:szCs w:val="20"/>
        </w:rPr>
        <w:t xml:space="preserve">project </w:t>
      </w:r>
      <w:r w:rsidR="009522A4" w:rsidRPr="005722A6">
        <w:rPr>
          <w:rFonts w:asciiTheme="majorHAnsi" w:hAnsiTheme="majorHAnsi"/>
          <w:color w:val="000000"/>
          <w:sz w:val="20"/>
          <w:szCs w:val="20"/>
        </w:rPr>
        <w:t xml:space="preserve">is also helping the Division of Forestry update a Forest Action Plan </w:t>
      </w:r>
      <w:r w:rsidR="00C22D0C" w:rsidRPr="005722A6">
        <w:rPr>
          <w:rFonts w:asciiTheme="majorHAnsi" w:hAnsiTheme="majorHAnsi"/>
          <w:color w:val="000000"/>
          <w:sz w:val="20"/>
          <w:szCs w:val="20"/>
        </w:rPr>
        <w:t xml:space="preserve">that </w:t>
      </w:r>
      <w:r w:rsidR="009522A4" w:rsidRPr="005722A6">
        <w:rPr>
          <w:rFonts w:asciiTheme="majorHAnsi" w:hAnsiTheme="majorHAnsi"/>
          <w:color w:val="000000"/>
          <w:sz w:val="20"/>
          <w:szCs w:val="20"/>
        </w:rPr>
        <w:t>will also inform ILSMP</w:t>
      </w:r>
      <w:r w:rsidR="00316F64">
        <w:rPr>
          <w:rFonts w:asciiTheme="majorHAnsi" w:hAnsiTheme="majorHAnsi"/>
          <w:color w:val="000000"/>
          <w:sz w:val="20"/>
          <w:szCs w:val="20"/>
        </w:rPr>
        <w:t>s</w:t>
      </w:r>
      <w:r w:rsidR="009522A4" w:rsidRPr="005722A6">
        <w:rPr>
          <w:rFonts w:asciiTheme="majorHAnsi" w:hAnsiTheme="majorHAnsi"/>
          <w:color w:val="000000"/>
          <w:sz w:val="20"/>
          <w:szCs w:val="20"/>
        </w:rPr>
        <w:t xml:space="preserve"> for Babeldaob (Output 2.1).</w:t>
      </w:r>
    </w:p>
    <w:p w14:paraId="46E066CC" w14:textId="3952047B" w:rsidR="00467181" w:rsidRPr="005722A6" w:rsidRDefault="00467181" w:rsidP="00467181">
      <w:pPr>
        <w:widowControl w:val="0"/>
        <w:autoSpaceDE w:val="0"/>
        <w:autoSpaceDN w:val="0"/>
        <w:adjustRightInd w:val="0"/>
        <w:spacing w:after="0"/>
        <w:rPr>
          <w:rFonts w:asciiTheme="majorHAnsi" w:hAnsiTheme="majorHAnsi"/>
          <w:color w:val="000000"/>
          <w:sz w:val="20"/>
          <w:szCs w:val="20"/>
        </w:rPr>
      </w:pPr>
    </w:p>
    <w:p w14:paraId="34151EB1" w14:textId="2D223E2A" w:rsidR="00A9244B" w:rsidRPr="005722A6" w:rsidRDefault="00B87774" w:rsidP="00B5399F">
      <w:pPr>
        <w:widowControl w:val="0"/>
        <w:autoSpaceDE w:val="0"/>
        <w:autoSpaceDN w:val="0"/>
        <w:adjustRightInd w:val="0"/>
        <w:spacing w:after="0"/>
        <w:rPr>
          <w:rFonts w:asciiTheme="majorHAnsi" w:hAnsiTheme="majorHAnsi"/>
          <w:color w:val="000000"/>
          <w:sz w:val="20"/>
          <w:szCs w:val="20"/>
        </w:rPr>
      </w:pPr>
      <w:r w:rsidRPr="005722A6">
        <w:rPr>
          <w:rFonts w:asciiTheme="majorHAnsi" w:hAnsiTheme="majorHAnsi"/>
          <w:color w:val="000000"/>
          <w:sz w:val="20"/>
          <w:szCs w:val="20"/>
        </w:rPr>
        <w:t xml:space="preserve">The </w:t>
      </w:r>
      <w:r w:rsidRPr="005722A6">
        <w:rPr>
          <w:rFonts w:asciiTheme="majorHAnsi" w:hAnsiTheme="majorHAnsi"/>
          <w:i/>
          <w:iCs/>
          <w:color w:val="000000"/>
          <w:sz w:val="20"/>
          <w:szCs w:val="20"/>
        </w:rPr>
        <w:t>GEF Small Grants Program</w:t>
      </w:r>
      <w:r w:rsidR="00001CB8" w:rsidRPr="005722A6">
        <w:rPr>
          <w:rFonts w:asciiTheme="majorHAnsi" w:hAnsiTheme="majorHAnsi"/>
          <w:i/>
          <w:iCs/>
          <w:color w:val="000000"/>
          <w:sz w:val="20"/>
          <w:szCs w:val="20"/>
        </w:rPr>
        <w:t xml:space="preserve"> </w:t>
      </w:r>
      <w:r w:rsidR="00001CB8" w:rsidRPr="005722A6">
        <w:rPr>
          <w:rFonts w:asciiTheme="majorHAnsi" w:hAnsiTheme="majorHAnsi"/>
          <w:iCs/>
          <w:color w:val="000000"/>
          <w:sz w:val="20"/>
          <w:szCs w:val="20"/>
        </w:rPr>
        <w:t>(SGP)</w:t>
      </w:r>
      <w:r w:rsidRPr="005722A6">
        <w:rPr>
          <w:rFonts w:asciiTheme="majorHAnsi" w:hAnsiTheme="majorHAnsi"/>
          <w:i/>
          <w:iCs/>
          <w:color w:val="000000"/>
          <w:sz w:val="20"/>
          <w:szCs w:val="20"/>
        </w:rPr>
        <w:t xml:space="preserve"> </w:t>
      </w:r>
      <w:r w:rsidRPr="005722A6">
        <w:rPr>
          <w:rFonts w:asciiTheme="majorHAnsi" w:hAnsiTheme="majorHAnsi"/>
          <w:color w:val="000000"/>
          <w:sz w:val="20"/>
          <w:szCs w:val="20"/>
        </w:rPr>
        <w:t xml:space="preserve">is active in Palau and funds NGOs and CBOs. </w:t>
      </w:r>
      <w:r w:rsidR="00001CB8" w:rsidRPr="005722A6">
        <w:rPr>
          <w:rFonts w:asciiTheme="majorHAnsi" w:hAnsiTheme="majorHAnsi"/>
          <w:color w:val="000000"/>
          <w:sz w:val="20"/>
          <w:szCs w:val="20"/>
        </w:rPr>
        <w:t xml:space="preserve">The SGP program offers the opportunity to align and mainstream policies into activities on the ground. Priorities in the new OP 6 GEF SGP Strategy (launched in 2017) include food security (particularly agriculture on land) and sustainable tourism (outside of Koror). This project will </w:t>
      </w:r>
      <w:r w:rsidR="00A9244B" w:rsidRPr="005722A6">
        <w:rPr>
          <w:rFonts w:asciiTheme="majorHAnsi" w:hAnsiTheme="majorHAnsi"/>
          <w:color w:val="000000"/>
          <w:sz w:val="20"/>
          <w:szCs w:val="20"/>
        </w:rPr>
        <w:t xml:space="preserve">partner </w:t>
      </w:r>
      <w:r w:rsidR="00001CB8" w:rsidRPr="005722A6">
        <w:rPr>
          <w:rFonts w:asciiTheme="majorHAnsi" w:hAnsiTheme="majorHAnsi"/>
          <w:color w:val="000000"/>
          <w:sz w:val="20"/>
          <w:szCs w:val="20"/>
        </w:rPr>
        <w:t>with the GEF SGP to ensure that funded community projects are in line with the Land/Seascape Plans developed here</w:t>
      </w:r>
      <w:r w:rsidR="00A9244B" w:rsidRPr="005722A6">
        <w:rPr>
          <w:rFonts w:asciiTheme="majorHAnsi" w:hAnsiTheme="majorHAnsi"/>
          <w:color w:val="000000"/>
          <w:sz w:val="20"/>
          <w:szCs w:val="20"/>
        </w:rPr>
        <w:t xml:space="preserve">, and where possible to ensure consistency and share capacity building in the direct financing mechanism of the </w:t>
      </w:r>
      <w:r w:rsidR="00A92121">
        <w:rPr>
          <w:rFonts w:asciiTheme="majorHAnsi" w:hAnsiTheme="majorHAnsi"/>
          <w:color w:val="000000"/>
          <w:sz w:val="20"/>
          <w:szCs w:val="20"/>
        </w:rPr>
        <w:t xml:space="preserve">proposed </w:t>
      </w:r>
      <w:r w:rsidR="00A9244B" w:rsidRPr="005722A6">
        <w:rPr>
          <w:rFonts w:asciiTheme="majorHAnsi" w:hAnsiTheme="majorHAnsi"/>
          <w:color w:val="000000"/>
          <w:sz w:val="20"/>
          <w:szCs w:val="20"/>
        </w:rPr>
        <w:t>GEF</w:t>
      </w:r>
      <w:r w:rsidR="00A92121">
        <w:rPr>
          <w:rFonts w:asciiTheme="majorHAnsi" w:hAnsiTheme="majorHAnsi"/>
          <w:color w:val="000000"/>
          <w:sz w:val="20"/>
          <w:szCs w:val="20"/>
        </w:rPr>
        <w:t xml:space="preserve"> project</w:t>
      </w:r>
      <w:r w:rsidR="00A92121" w:rsidRPr="005722A6">
        <w:rPr>
          <w:rFonts w:asciiTheme="majorHAnsi" w:hAnsiTheme="majorHAnsi"/>
          <w:color w:val="000000"/>
          <w:sz w:val="20"/>
          <w:szCs w:val="20"/>
        </w:rPr>
        <w:t xml:space="preserve"> </w:t>
      </w:r>
      <w:r w:rsidR="00A9244B" w:rsidRPr="005722A6">
        <w:rPr>
          <w:rFonts w:asciiTheme="majorHAnsi" w:hAnsiTheme="majorHAnsi"/>
          <w:color w:val="000000"/>
          <w:sz w:val="20"/>
          <w:szCs w:val="20"/>
        </w:rPr>
        <w:t>and the SGP</w:t>
      </w:r>
      <w:r w:rsidR="00194AA1">
        <w:rPr>
          <w:rFonts w:asciiTheme="majorHAnsi" w:hAnsiTheme="majorHAnsi"/>
          <w:color w:val="000000"/>
          <w:sz w:val="20"/>
          <w:szCs w:val="20"/>
        </w:rPr>
        <w:t xml:space="preserve">. </w:t>
      </w:r>
    </w:p>
    <w:p w14:paraId="2D1B931B" w14:textId="77777777" w:rsidR="00A9244B" w:rsidRPr="005722A6" w:rsidRDefault="00A9244B" w:rsidP="00B5399F">
      <w:pPr>
        <w:widowControl w:val="0"/>
        <w:autoSpaceDE w:val="0"/>
        <w:autoSpaceDN w:val="0"/>
        <w:adjustRightInd w:val="0"/>
        <w:spacing w:after="0"/>
        <w:rPr>
          <w:rFonts w:asciiTheme="majorHAnsi" w:hAnsiTheme="majorHAnsi"/>
          <w:color w:val="000000"/>
          <w:sz w:val="20"/>
          <w:szCs w:val="20"/>
        </w:rPr>
      </w:pPr>
    </w:p>
    <w:p w14:paraId="2EBD15D5" w14:textId="38A35231" w:rsidR="00B87774" w:rsidRPr="0061283E" w:rsidRDefault="00B87774" w:rsidP="00B02352">
      <w:pPr>
        <w:numPr>
          <w:ilvl w:val="0"/>
          <w:numId w:val="9"/>
        </w:numPr>
        <w:spacing w:after="0"/>
        <w:jc w:val="left"/>
        <w:rPr>
          <w:rFonts w:asciiTheme="majorHAnsi" w:hAnsiTheme="majorHAnsi"/>
          <w:b/>
          <w:i/>
          <w:sz w:val="20"/>
          <w:szCs w:val="20"/>
        </w:rPr>
      </w:pPr>
      <w:r w:rsidRPr="0061283E">
        <w:rPr>
          <w:rFonts w:asciiTheme="majorHAnsi" w:hAnsiTheme="majorHAnsi"/>
          <w:b/>
          <w:sz w:val="20"/>
          <w:szCs w:val="20"/>
          <w:u w:val="single"/>
        </w:rPr>
        <w:t>Stakeholder engagement</w:t>
      </w:r>
      <w:r w:rsidRPr="0061283E">
        <w:rPr>
          <w:rFonts w:asciiTheme="majorHAnsi" w:hAnsiTheme="majorHAnsi"/>
          <w:b/>
          <w:i/>
          <w:sz w:val="20"/>
          <w:szCs w:val="20"/>
        </w:rPr>
        <w:t xml:space="preserve">: </w:t>
      </w:r>
    </w:p>
    <w:p w14:paraId="26603600" w14:textId="77777777" w:rsidR="00B0368D" w:rsidRPr="005722A6" w:rsidRDefault="00B0368D" w:rsidP="00B0368D">
      <w:pPr>
        <w:spacing w:after="0"/>
        <w:ind w:left="720"/>
        <w:jc w:val="left"/>
        <w:rPr>
          <w:rFonts w:asciiTheme="majorHAnsi" w:hAnsiTheme="majorHAnsi"/>
          <w:i/>
          <w:sz w:val="20"/>
          <w:szCs w:val="20"/>
        </w:rPr>
      </w:pPr>
    </w:p>
    <w:p w14:paraId="26FB6A31" w14:textId="41FDB1D3" w:rsidR="00B87774" w:rsidRPr="005722A6" w:rsidRDefault="00AB3CAE" w:rsidP="00B87774">
      <w:pPr>
        <w:widowControl w:val="0"/>
        <w:autoSpaceDE w:val="0"/>
        <w:autoSpaceDN w:val="0"/>
        <w:adjustRightInd w:val="0"/>
        <w:spacing w:after="240"/>
        <w:rPr>
          <w:rFonts w:asciiTheme="majorHAnsi" w:hAnsiTheme="majorHAnsi"/>
          <w:sz w:val="20"/>
          <w:szCs w:val="20"/>
        </w:rPr>
      </w:pPr>
      <w:r w:rsidRPr="005722A6">
        <w:rPr>
          <w:rFonts w:asciiTheme="majorHAnsi" w:hAnsiTheme="majorHAnsi"/>
          <w:sz w:val="20"/>
          <w:szCs w:val="20"/>
        </w:rPr>
        <w:t xml:space="preserve">As a national project, and because Palau is small, this project impacts all people in the country. </w:t>
      </w:r>
      <w:r w:rsidR="00B87774" w:rsidRPr="005722A6">
        <w:rPr>
          <w:rFonts w:asciiTheme="majorHAnsi" w:hAnsiTheme="majorHAnsi"/>
          <w:sz w:val="20"/>
          <w:szCs w:val="20"/>
        </w:rPr>
        <w:t>The project included a wide range of consultations during the PPG. Initial stakeholder analysis during the PIF stage was followed up with consultation during the PPG. T</w:t>
      </w:r>
      <w:r w:rsidRPr="005722A6">
        <w:rPr>
          <w:rFonts w:asciiTheme="majorHAnsi" w:hAnsiTheme="majorHAnsi"/>
          <w:sz w:val="20"/>
          <w:szCs w:val="20"/>
        </w:rPr>
        <w:t>hree</w:t>
      </w:r>
      <w:r w:rsidR="00B87774" w:rsidRPr="005722A6">
        <w:rPr>
          <w:rFonts w:asciiTheme="majorHAnsi" w:hAnsiTheme="majorHAnsi"/>
          <w:sz w:val="20"/>
          <w:szCs w:val="20"/>
        </w:rPr>
        <w:t xml:space="preserve"> stakeholder workshops were conducted, in February 2017</w:t>
      </w:r>
      <w:r w:rsidRPr="005722A6">
        <w:rPr>
          <w:rFonts w:asciiTheme="majorHAnsi" w:hAnsiTheme="majorHAnsi"/>
          <w:sz w:val="20"/>
          <w:szCs w:val="20"/>
        </w:rPr>
        <w:t xml:space="preserve">, May 2017 and </w:t>
      </w:r>
      <w:r w:rsidR="00B87774" w:rsidRPr="005722A6">
        <w:rPr>
          <w:rFonts w:asciiTheme="majorHAnsi" w:hAnsiTheme="majorHAnsi"/>
          <w:sz w:val="20"/>
          <w:szCs w:val="20"/>
        </w:rPr>
        <w:t>Ju</w:t>
      </w:r>
      <w:r w:rsidR="00A752A8" w:rsidRPr="005722A6">
        <w:rPr>
          <w:rFonts w:asciiTheme="majorHAnsi" w:hAnsiTheme="majorHAnsi"/>
          <w:sz w:val="20"/>
          <w:szCs w:val="20"/>
        </w:rPr>
        <w:t>ne</w:t>
      </w:r>
      <w:r w:rsidR="00B87774" w:rsidRPr="005722A6">
        <w:rPr>
          <w:rFonts w:asciiTheme="majorHAnsi" w:hAnsiTheme="majorHAnsi"/>
          <w:sz w:val="20"/>
          <w:szCs w:val="20"/>
        </w:rPr>
        <w:t xml:space="preserve"> 2017</w:t>
      </w:r>
      <w:r w:rsidR="00194AA1">
        <w:rPr>
          <w:rFonts w:asciiTheme="majorHAnsi" w:hAnsiTheme="majorHAnsi"/>
          <w:sz w:val="20"/>
          <w:szCs w:val="20"/>
        </w:rPr>
        <w:t xml:space="preserve">. </w:t>
      </w:r>
      <w:r w:rsidRPr="005722A6">
        <w:rPr>
          <w:rFonts w:asciiTheme="majorHAnsi" w:hAnsiTheme="majorHAnsi"/>
          <w:sz w:val="20"/>
          <w:szCs w:val="20"/>
        </w:rPr>
        <w:t>The May workshop included state-based discussions to prioritize sites for landscape planning based on existing capacity, while the Ju</w:t>
      </w:r>
      <w:r w:rsidR="00A752A8" w:rsidRPr="005722A6">
        <w:rPr>
          <w:rFonts w:asciiTheme="majorHAnsi" w:hAnsiTheme="majorHAnsi"/>
          <w:sz w:val="20"/>
          <w:szCs w:val="20"/>
        </w:rPr>
        <w:t>ne</w:t>
      </w:r>
      <w:r w:rsidRPr="005722A6">
        <w:rPr>
          <w:rFonts w:asciiTheme="majorHAnsi" w:hAnsiTheme="majorHAnsi"/>
          <w:sz w:val="20"/>
          <w:szCs w:val="20"/>
        </w:rPr>
        <w:t xml:space="preserve"> workshop </w:t>
      </w:r>
      <w:r w:rsidR="00B87774" w:rsidRPr="005722A6">
        <w:rPr>
          <w:rFonts w:asciiTheme="majorHAnsi" w:hAnsiTheme="majorHAnsi"/>
          <w:sz w:val="20"/>
          <w:szCs w:val="20"/>
        </w:rPr>
        <w:t>reach</w:t>
      </w:r>
      <w:r w:rsidR="00A752A8" w:rsidRPr="005722A6">
        <w:rPr>
          <w:rFonts w:asciiTheme="majorHAnsi" w:hAnsiTheme="majorHAnsi"/>
          <w:sz w:val="20"/>
          <w:szCs w:val="20"/>
        </w:rPr>
        <w:t>ed</w:t>
      </w:r>
      <w:r w:rsidR="00B87774" w:rsidRPr="005722A6">
        <w:rPr>
          <w:rFonts w:asciiTheme="majorHAnsi" w:hAnsiTheme="majorHAnsi"/>
          <w:sz w:val="20"/>
          <w:szCs w:val="20"/>
        </w:rPr>
        <w:t xml:space="preserve"> general consensus on project outcomes, outputs, activities and institutional arrangements for the project. The list of stakeholders consulted </w:t>
      </w:r>
      <w:r w:rsidR="00905AB8">
        <w:rPr>
          <w:rFonts w:asciiTheme="majorHAnsi" w:hAnsiTheme="majorHAnsi"/>
          <w:sz w:val="20"/>
          <w:szCs w:val="20"/>
        </w:rPr>
        <w:t xml:space="preserve">is provided in Annex 22 and </w:t>
      </w:r>
      <w:r w:rsidR="00B87774" w:rsidRPr="008508CE">
        <w:rPr>
          <w:rFonts w:asciiTheme="majorHAnsi" w:hAnsiTheme="majorHAnsi"/>
          <w:sz w:val="20"/>
          <w:szCs w:val="20"/>
        </w:rPr>
        <w:t>downloaded in P</w:t>
      </w:r>
      <w:r w:rsidR="001170A3" w:rsidRPr="008508CE">
        <w:rPr>
          <w:rFonts w:asciiTheme="majorHAnsi" w:hAnsiTheme="majorHAnsi"/>
          <w:sz w:val="20"/>
          <w:szCs w:val="20"/>
        </w:rPr>
        <w:t>roject Information Management System (P</w:t>
      </w:r>
      <w:r w:rsidR="00B87774" w:rsidRPr="008508CE">
        <w:rPr>
          <w:rFonts w:asciiTheme="majorHAnsi" w:hAnsiTheme="majorHAnsi"/>
          <w:sz w:val="20"/>
          <w:szCs w:val="20"/>
        </w:rPr>
        <w:t>IMS</w:t>
      </w:r>
      <w:r w:rsidR="001170A3" w:rsidRPr="00BA2749">
        <w:rPr>
          <w:rFonts w:asciiTheme="majorHAnsi" w:hAnsiTheme="majorHAnsi"/>
          <w:sz w:val="20"/>
          <w:szCs w:val="20"/>
        </w:rPr>
        <w:t>)</w:t>
      </w:r>
      <w:r w:rsidR="00B87774" w:rsidRPr="00BA2749">
        <w:rPr>
          <w:rFonts w:asciiTheme="majorHAnsi" w:hAnsiTheme="majorHAnsi"/>
          <w:sz w:val="20"/>
          <w:szCs w:val="20"/>
        </w:rPr>
        <w:t>.</w:t>
      </w:r>
    </w:p>
    <w:p w14:paraId="16259D2A" w14:textId="73236B4E" w:rsidR="00B87774" w:rsidRPr="005722A6" w:rsidRDefault="00B87774" w:rsidP="00B87774">
      <w:pPr>
        <w:spacing w:before="120" w:after="120"/>
        <w:rPr>
          <w:rFonts w:asciiTheme="majorHAnsi" w:hAnsiTheme="majorHAnsi"/>
          <w:color w:val="000000"/>
          <w:sz w:val="20"/>
          <w:szCs w:val="20"/>
        </w:rPr>
      </w:pPr>
      <w:r w:rsidRPr="005722A6">
        <w:rPr>
          <w:rFonts w:asciiTheme="majorHAnsi" w:hAnsiTheme="majorHAnsi"/>
          <w:color w:val="000000"/>
          <w:sz w:val="20"/>
          <w:szCs w:val="20"/>
        </w:rPr>
        <w:t xml:space="preserve">The purpose of </w:t>
      </w:r>
      <w:r w:rsidR="00AB3CAE" w:rsidRPr="005722A6">
        <w:rPr>
          <w:rFonts w:asciiTheme="majorHAnsi" w:hAnsiTheme="majorHAnsi"/>
          <w:color w:val="000000"/>
          <w:sz w:val="20"/>
          <w:szCs w:val="20"/>
        </w:rPr>
        <w:t xml:space="preserve">the </w:t>
      </w:r>
      <w:r w:rsidRPr="005722A6">
        <w:rPr>
          <w:rFonts w:asciiTheme="majorHAnsi" w:hAnsiTheme="majorHAnsi"/>
          <w:color w:val="000000"/>
          <w:sz w:val="20"/>
          <w:szCs w:val="20"/>
        </w:rPr>
        <w:t>Stakeholder Involvement Plan (SIP) for the project is the long-term sustainability of the project achievements, based on transparency and the effective participation of the key stakeholders. The objective</w:t>
      </w:r>
      <w:r w:rsidR="00905AB8">
        <w:rPr>
          <w:rFonts w:asciiTheme="majorHAnsi" w:hAnsiTheme="majorHAnsi"/>
          <w:color w:val="000000"/>
          <w:sz w:val="20"/>
          <w:szCs w:val="20"/>
        </w:rPr>
        <w:t xml:space="preserve"> of the SIL</w:t>
      </w:r>
      <w:r w:rsidRPr="005722A6">
        <w:rPr>
          <w:rFonts w:asciiTheme="majorHAnsi" w:hAnsiTheme="majorHAnsi"/>
          <w:color w:val="000000"/>
          <w:sz w:val="20"/>
          <w:szCs w:val="20"/>
        </w:rPr>
        <w:t xml:space="preserve"> include</w:t>
      </w:r>
      <w:r w:rsidR="00905AB8">
        <w:rPr>
          <w:rFonts w:asciiTheme="majorHAnsi" w:hAnsiTheme="majorHAnsi"/>
          <w:color w:val="000000"/>
          <w:sz w:val="20"/>
          <w:szCs w:val="20"/>
        </w:rPr>
        <w:t>s</w:t>
      </w:r>
      <w:r w:rsidRPr="005722A6">
        <w:rPr>
          <w:rFonts w:asciiTheme="majorHAnsi" w:hAnsiTheme="majorHAnsi"/>
          <w:color w:val="000000"/>
          <w:sz w:val="20"/>
          <w:szCs w:val="20"/>
        </w:rPr>
        <w:t xml:space="preserve"> the following: (a) to identify the main stakeholders of the project and their basic roles and responsibilities in relation to the project; and (b) to take advantage of the experience and skills of the main stakeholders and safeguard their active participation in different activities of the project to reduce obstacles in its implementation and sustainability after completion of the project.</w:t>
      </w:r>
      <w:r w:rsidRPr="005722A6">
        <w:rPr>
          <w:rFonts w:asciiTheme="majorHAnsi" w:hAnsiTheme="majorHAnsi"/>
          <w:sz w:val="20"/>
          <w:szCs w:val="20"/>
        </w:rPr>
        <w:t xml:space="preserve"> The approach is based on the principles of fairness and transparency in selection of stakeholders, ensuring consultation, engagement and empowerment of relevant stakeholders comprehensively for better coordination between them from planning to monitoring and assessment of project interventions; access of information and results to relevant persons; accountability of stakeholders; implementing grievances redress mechanism and ensuring sustainability of project interventions after its completion.</w:t>
      </w:r>
    </w:p>
    <w:p w14:paraId="0FE69572" w14:textId="77777777" w:rsidR="00B87774" w:rsidRPr="005722A6" w:rsidRDefault="00B87774" w:rsidP="00B87774">
      <w:pPr>
        <w:spacing w:before="120" w:after="120"/>
        <w:rPr>
          <w:rFonts w:asciiTheme="majorHAnsi" w:hAnsiTheme="majorHAnsi"/>
          <w:b/>
          <w:sz w:val="20"/>
          <w:szCs w:val="20"/>
        </w:rPr>
      </w:pPr>
      <w:r w:rsidRPr="005722A6">
        <w:rPr>
          <w:rFonts w:asciiTheme="majorHAnsi" w:hAnsiTheme="majorHAnsi"/>
          <w:b/>
          <w:sz w:val="20"/>
          <w:szCs w:val="20"/>
        </w:rPr>
        <w:t>Identification of Potential Stakeholders</w:t>
      </w:r>
    </w:p>
    <w:p w14:paraId="7C667328" w14:textId="3D4517D8" w:rsidR="00630DE3" w:rsidRDefault="000D2499" w:rsidP="00B87774">
      <w:pPr>
        <w:spacing w:before="120" w:after="120"/>
        <w:rPr>
          <w:rFonts w:asciiTheme="majorHAnsi" w:hAnsiTheme="majorHAnsi"/>
          <w:b/>
          <w:sz w:val="20"/>
          <w:szCs w:val="20"/>
        </w:rPr>
      </w:pPr>
      <w:r w:rsidRPr="00630DE3">
        <w:rPr>
          <w:rFonts w:asciiTheme="majorHAnsi" w:hAnsiTheme="majorHAnsi"/>
          <w:sz w:val="20"/>
          <w:szCs w:val="20"/>
        </w:rPr>
        <w:t>Annex 7</w:t>
      </w:r>
      <w:r w:rsidR="00C22D0C" w:rsidRPr="00630DE3">
        <w:rPr>
          <w:rFonts w:asciiTheme="majorHAnsi" w:hAnsiTheme="majorHAnsi"/>
          <w:sz w:val="20"/>
          <w:szCs w:val="20"/>
        </w:rPr>
        <w:t xml:space="preserve"> </w:t>
      </w:r>
      <w:r w:rsidR="00AC7C70" w:rsidRPr="00630DE3">
        <w:rPr>
          <w:rFonts w:asciiTheme="majorHAnsi" w:hAnsiTheme="majorHAnsi"/>
          <w:sz w:val="20"/>
          <w:szCs w:val="20"/>
        </w:rPr>
        <w:t xml:space="preserve">identifies stakeholders based on identifiable affiliations. </w:t>
      </w:r>
      <w:r w:rsidR="00B87774" w:rsidRPr="00630DE3">
        <w:rPr>
          <w:sz w:val="20"/>
          <w:szCs w:val="20"/>
        </w:rPr>
        <w:t xml:space="preserve">The SIP was prepared through the identification of the stakeholders that would be involved as partners in the project. </w:t>
      </w:r>
      <w:r w:rsidR="00AC7C70" w:rsidRPr="00630DE3">
        <w:rPr>
          <w:color w:val="000000"/>
          <w:sz w:val="20"/>
          <w:szCs w:val="20"/>
        </w:rPr>
        <w:t>The SIP includes stakeholders who have not always been part of environmental projects as part of the proposed project is to completely transform the way that land and marine resources are used</w:t>
      </w:r>
      <w:r w:rsidR="00194AA1">
        <w:rPr>
          <w:color w:val="000000"/>
          <w:sz w:val="20"/>
          <w:szCs w:val="20"/>
        </w:rPr>
        <w:t xml:space="preserve">. </w:t>
      </w:r>
    </w:p>
    <w:p w14:paraId="426690E4" w14:textId="77777777" w:rsidR="00B87774" w:rsidRPr="005722A6" w:rsidRDefault="00B87774" w:rsidP="00B87774">
      <w:pPr>
        <w:spacing w:before="120" w:after="120"/>
        <w:rPr>
          <w:rFonts w:asciiTheme="majorHAnsi" w:hAnsiTheme="majorHAnsi"/>
          <w:b/>
          <w:sz w:val="20"/>
          <w:szCs w:val="20"/>
        </w:rPr>
      </w:pPr>
      <w:r w:rsidRPr="005722A6">
        <w:rPr>
          <w:rFonts w:asciiTheme="majorHAnsi" w:hAnsiTheme="majorHAnsi"/>
          <w:b/>
          <w:sz w:val="20"/>
          <w:szCs w:val="20"/>
        </w:rPr>
        <w:t>Role and responsibilities of key stakeholders and their Involvement Mechanisms and Strategies</w:t>
      </w:r>
    </w:p>
    <w:p w14:paraId="1A1A8FEC" w14:textId="1062C385" w:rsidR="00B87774" w:rsidRPr="005722A6" w:rsidRDefault="00B87774" w:rsidP="00A752A8">
      <w:pPr>
        <w:spacing w:after="0"/>
        <w:rPr>
          <w:rFonts w:asciiTheme="majorHAnsi" w:hAnsiTheme="majorHAnsi" w:cs="Segoe UI"/>
          <w:color w:val="000000"/>
          <w:sz w:val="20"/>
          <w:szCs w:val="20"/>
        </w:rPr>
      </w:pPr>
      <w:r w:rsidRPr="00667639">
        <w:rPr>
          <w:rFonts w:asciiTheme="majorHAnsi" w:hAnsiTheme="majorHAnsi"/>
          <w:sz w:val="20"/>
          <w:szCs w:val="20"/>
        </w:rPr>
        <w:t xml:space="preserve">Roles and responsibilities of main stakeholders of the project are </w:t>
      </w:r>
      <w:r w:rsidR="00123AA4" w:rsidRPr="00667639">
        <w:rPr>
          <w:rFonts w:asciiTheme="majorHAnsi" w:hAnsiTheme="majorHAnsi"/>
          <w:sz w:val="20"/>
          <w:szCs w:val="20"/>
        </w:rPr>
        <w:t xml:space="preserve">in Annex </w:t>
      </w:r>
      <w:r w:rsidR="000D2499" w:rsidRPr="00667639">
        <w:rPr>
          <w:rFonts w:asciiTheme="majorHAnsi" w:hAnsiTheme="majorHAnsi"/>
          <w:sz w:val="20"/>
          <w:szCs w:val="20"/>
        </w:rPr>
        <w:t>7.</w:t>
      </w:r>
      <w:r w:rsidR="000D2499" w:rsidRPr="005722A6">
        <w:rPr>
          <w:rFonts w:asciiTheme="majorHAnsi" w:hAnsiTheme="majorHAnsi"/>
          <w:sz w:val="20"/>
          <w:szCs w:val="20"/>
        </w:rPr>
        <w:t xml:space="preserve"> </w:t>
      </w:r>
    </w:p>
    <w:p w14:paraId="08101466" w14:textId="77777777" w:rsidR="00B87774" w:rsidRPr="005722A6" w:rsidRDefault="00B87774" w:rsidP="00B87774">
      <w:pPr>
        <w:spacing w:before="120" w:after="120"/>
        <w:rPr>
          <w:rFonts w:asciiTheme="majorHAnsi" w:hAnsiTheme="majorHAnsi"/>
          <w:color w:val="000000"/>
          <w:sz w:val="20"/>
          <w:szCs w:val="20"/>
        </w:rPr>
      </w:pPr>
      <w:r w:rsidRPr="005722A6">
        <w:rPr>
          <w:rFonts w:asciiTheme="majorHAnsi" w:hAnsiTheme="majorHAnsi"/>
          <w:color w:val="000000"/>
          <w:sz w:val="20"/>
          <w:szCs w:val="20"/>
        </w:rPr>
        <w:t>The following initiatives would be taken to ensure participation of stakeholders in project activities:</w:t>
      </w:r>
    </w:p>
    <w:p w14:paraId="6BEB415A" w14:textId="77777777" w:rsidR="00B87774" w:rsidRPr="005722A6" w:rsidRDefault="00B87774" w:rsidP="00B87774">
      <w:pPr>
        <w:spacing w:before="120" w:after="120"/>
        <w:rPr>
          <w:rFonts w:asciiTheme="majorHAnsi" w:hAnsiTheme="majorHAnsi"/>
          <w:b/>
          <w:color w:val="000000"/>
          <w:sz w:val="20"/>
          <w:szCs w:val="20"/>
        </w:rPr>
      </w:pPr>
      <w:r w:rsidRPr="005722A6">
        <w:rPr>
          <w:rFonts w:asciiTheme="majorHAnsi" w:hAnsiTheme="majorHAnsi"/>
          <w:b/>
          <w:sz w:val="20"/>
          <w:szCs w:val="20"/>
          <w:lang w:val="en-ZA"/>
        </w:rPr>
        <w:t xml:space="preserve">Project inception workshop </w:t>
      </w:r>
    </w:p>
    <w:p w14:paraId="3B3711A8" w14:textId="635FAD6C" w:rsidR="00B87774" w:rsidRPr="005722A6" w:rsidRDefault="00B87774" w:rsidP="00B87774">
      <w:pPr>
        <w:spacing w:before="120" w:after="120"/>
        <w:rPr>
          <w:rFonts w:asciiTheme="majorHAnsi" w:hAnsiTheme="majorHAnsi"/>
          <w:color w:val="000000"/>
          <w:sz w:val="20"/>
          <w:szCs w:val="20"/>
        </w:rPr>
      </w:pPr>
      <w:r w:rsidRPr="005722A6">
        <w:rPr>
          <w:rFonts w:asciiTheme="majorHAnsi" w:hAnsiTheme="majorHAnsi"/>
          <w:color w:val="000000"/>
          <w:sz w:val="20"/>
          <w:szCs w:val="20"/>
        </w:rPr>
        <w:t xml:space="preserve">Project stakeholders would participate in the </w:t>
      </w:r>
      <w:r w:rsidRPr="005722A6">
        <w:rPr>
          <w:rFonts w:asciiTheme="majorHAnsi" w:hAnsiTheme="majorHAnsi"/>
          <w:sz w:val="20"/>
          <w:szCs w:val="20"/>
          <w:lang w:val="en-ZA"/>
        </w:rPr>
        <w:t xml:space="preserve">multi-stakeholder </w:t>
      </w:r>
      <w:r w:rsidRPr="005722A6">
        <w:rPr>
          <w:rFonts w:asciiTheme="majorHAnsi" w:hAnsiTheme="majorHAnsi"/>
          <w:color w:val="000000"/>
          <w:sz w:val="20"/>
          <w:szCs w:val="20"/>
        </w:rPr>
        <w:t xml:space="preserve">inception workshop within three months of the start of the project. The purpose of this workshop would be to create awareness amongst stakeholder of the objectives of the project and to define their individual roles and responsibilities in project planning, implementation and monitoring. </w:t>
      </w:r>
      <w:r w:rsidRPr="005722A6">
        <w:rPr>
          <w:rFonts w:asciiTheme="majorHAnsi" w:hAnsiTheme="majorHAnsi"/>
          <w:sz w:val="20"/>
          <w:szCs w:val="20"/>
        </w:rPr>
        <w:t xml:space="preserve">The workshop will be the first step in the process to build partnership with the range of project stakeholders and ensure that they have </w:t>
      </w:r>
      <w:r w:rsidRPr="005722A6">
        <w:rPr>
          <w:rFonts w:asciiTheme="majorHAnsi" w:hAnsiTheme="majorHAnsi"/>
          <w:color w:val="000000"/>
          <w:sz w:val="20"/>
          <w:szCs w:val="20"/>
        </w:rPr>
        <w:t xml:space="preserve">ownership of the project. </w:t>
      </w:r>
      <w:r w:rsidRPr="005722A6">
        <w:rPr>
          <w:rFonts w:asciiTheme="majorHAnsi" w:hAnsiTheme="majorHAnsi"/>
          <w:sz w:val="20"/>
          <w:szCs w:val="20"/>
        </w:rPr>
        <w:t xml:space="preserve">It will also establish a basis for further consultation as the project’s implementation commences. The inception workshop will address a number of key issues including: assisting all partners to fully understand and take ownership of the project; detail the roles, support services and complementary responsibilities of </w:t>
      </w:r>
      <w:r w:rsidR="00123AA4" w:rsidRPr="005722A6">
        <w:rPr>
          <w:rFonts w:asciiTheme="majorHAnsi" w:hAnsiTheme="majorHAnsi"/>
          <w:sz w:val="20"/>
          <w:szCs w:val="20"/>
        </w:rPr>
        <w:t>project partners</w:t>
      </w:r>
      <w:r w:rsidRPr="005722A6">
        <w:rPr>
          <w:rFonts w:asciiTheme="majorHAnsi" w:hAnsiTheme="majorHAnsi"/>
          <w:sz w:val="20"/>
          <w:szCs w:val="20"/>
        </w:rPr>
        <w:t xml:space="preserve"> in terms of implementation of sustainable landscape and seascape planning and management; and discussion of the roles, functions, and responsibilities within the project structure, including reporting and communication lines, monitoring and conflict resolution mechanisms. </w:t>
      </w:r>
    </w:p>
    <w:p w14:paraId="4AAD2C87" w14:textId="17C9EB17" w:rsidR="00B87774" w:rsidRPr="005722A6" w:rsidRDefault="00B87774" w:rsidP="00B87774">
      <w:pPr>
        <w:spacing w:before="120" w:after="120"/>
        <w:rPr>
          <w:rFonts w:asciiTheme="majorHAnsi" w:hAnsiTheme="majorHAnsi"/>
          <w:b/>
          <w:color w:val="000000"/>
          <w:sz w:val="20"/>
          <w:szCs w:val="20"/>
        </w:rPr>
      </w:pPr>
      <w:r w:rsidRPr="005722A6">
        <w:rPr>
          <w:rFonts w:asciiTheme="majorHAnsi" w:hAnsiTheme="majorHAnsi"/>
          <w:b/>
          <w:color w:val="000000"/>
          <w:sz w:val="20"/>
          <w:szCs w:val="20"/>
        </w:rPr>
        <w:t xml:space="preserve">Stakeholder </w:t>
      </w:r>
      <w:r w:rsidR="008835C9" w:rsidRPr="005722A6">
        <w:rPr>
          <w:rFonts w:asciiTheme="majorHAnsi" w:hAnsiTheme="majorHAnsi"/>
          <w:b/>
          <w:color w:val="000000"/>
          <w:sz w:val="20"/>
          <w:szCs w:val="20"/>
        </w:rPr>
        <w:t>Involvement Plan (SIP)</w:t>
      </w:r>
    </w:p>
    <w:p w14:paraId="4652C649" w14:textId="77A588A5" w:rsidR="00982532" w:rsidRPr="005722A6" w:rsidRDefault="00982532" w:rsidP="00982532">
      <w:pPr>
        <w:rPr>
          <w:rFonts w:asciiTheme="majorHAnsi" w:hAnsiTheme="majorHAnsi"/>
          <w:sz w:val="20"/>
          <w:szCs w:val="20"/>
        </w:rPr>
      </w:pPr>
      <w:r w:rsidRPr="005722A6">
        <w:rPr>
          <w:rFonts w:asciiTheme="majorHAnsi" w:hAnsiTheme="majorHAnsi" w:cs="Calibri"/>
          <w:sz w:val="20"/>
          <w:szCs w:val="20"/>
        </w:rPr>
        <w:t>The</w:t>
      </w:r>
      <w:r w:rsidR="00B87774" w:rsidRPr="005722A6">
        <w:rPr>
          <w:rFonts w:asciiTheme="majorHAnsi" w:hAnsiTheme="majorHAnsi" w:cs="Calibri"/>
          <w:sz w:val="20"/>
          <w:szCs w:val="20"/>
        </w:rPr>
        <w:t xml:space="preserve"> Communication</w:t>
      </w:r>
      <w:r w:rsidR="00B87774" w:rsidRPr="005722A6">
        <w:rPr>
          <w:rFonts w:asciiTheme="majorHAnsi" w:hAnsiTheme="majorHAnsi"/>
          <w:sz w:val="20"/>
          <w:szCs w:val="20"/>
        </w:rPr>
        <w:t xml:space="preserve"> </w:t>
      </w:r>
      <w:r w:rsidR="00123AA4" w:rsidRPr="005722A6">
        <w:rPr>
          <w:rFonts w:asciiTheme="majorHAnsi" w:hAnsiTheme="majorHAnsi"/>
          <w:sz w:val="20"/>
          <w:szCs w:val="20"/>
        </w:rPr>
        <w:t>and K</w:t>
      </w:r>
      <w:r w:rsidRPr="005722A6">
        <w:rPr>
          <w:rFonts w:asciiTheme="majorHAnsi" w:hAnsiTheme="majorHAnsi"/>
          <w:sz w:val="20"/>
          <w:szCs w:val="20"/>
        </w:rPr>
        <w:t xml:space="preserve">nowledge </w:t>
      </w:r>
      <w:r w:rsidR="00123AA4" w:rsidRPr="005722A6">
        <w:rPr>
          <w:rFonts w:asciiTheme="majorHAnsi" w:hAnsiTheme="majorHAnsi"/>
          <w:sz w:val="20"/>
          <w:szCs w:val="20"/>
        </w:rPr>
        <w:t>M</w:t>
      </w:r>
      <w:r w:rsidRPr="005722A6">
        <w:rPr>
          <w:rFonts w:asciiTheme="majorHAnsi" w:hAnsiTheme="majorHAnsi"/>
          <w:sz w:val="20"/>
          <w:szCs w:val="20"/>
        </w:rPr>
        <w:t xml:space="preserve">anagement </w:t>
      </w:r>
      <w:r w:rsidR="00123AA4" w:rsidRPr="00667639">
        <w:rPr>
          <w:rFonts w:asciiTheme="majorHAnsi" w:hAnsiTheme="majorHAnsi"/>
          <w:sz w:val="20"/>
          <w:szCs w:val="20"/>
        </w:rPr>
        <w:t>S</w:t>
      </w:r>
      <w:r w:rsidRPr="00667639">
        <w:rPr>
          <w:rFonts w:asciiTheme="majorHAnsi" w:hAnsiTheme="majorHAnsi"/>
          <w:sz w:val="20"/>
          <w:szCs w:val="20"/>
        </w:rPr>
        <w:t xml:space="preserve">trategy (Annex </w:t>
      </w:r>
      <w:r w:rsidR="000D2499" w:rsidRPr="00667639">
        <w:rPr>
          <w:rFonts w:asciiTheme="majorHAnsi" w:hAnsiTheme="majorHAnsi"/>
          <w:sz w:val="20"/>
          <w:szCs w:val="20"/>
        </w:rPr>
        <w:t>6</w:t>
      </w:r>
      <w:r w:rsidRPr="00667639">
        <w:rPr>
          <w:rFonts w:asciiTheme="majorHAnsi" w:hAnsiTheme="majorHAnsi"/>
          <w:sz w:val="20"/>
          <w:szCs w:val="20"/>
        </w:rPr>
        <w:t>)</w:t>
      </w:r>
      <w:r w:rsidRPr="005722A6">
        <w:rPr>
          <w:rFonts w:asciiTheme="majorHAnsi" w:hAnsiTheme="majorHAnsi"/>
          <w:sz w:val="20"/>
          <w:szCs w:val="20"/>
        </w:rPr>
        <w:t xml:space="preserve"> will </w:t>
      </w:r>
      <w:r w:rsidR="00B87774" w:rsidRPr="005722A6">
        <w:rPr>
          <w:rFonts w:asciiTheme="majorHAnsi" w:hAnsiTheme="majorHAnsi"/>
          <w:sz w:val="20"/>
          <w:szCs w:val="20"/>
        </w:rPr>
        <w:t xml:space="preserve">facilitate </w:t>
      </w:r>
      <w:r w:rsidRPr="005722A6">
        <w:rPr>
          <w:rFonts w:asciiTheme="majorHAnsi" w:hAnsiTheme="majorHAnsi"/>
          <w:sz w:val="20"/>
          <w:szCs w:val="20"/>
        </w:rPr>
        <w:t xml:space="preserve">improved </w:t>
      </w:r>
      <w:r w:rsidR="00B87774" w:rsidRPr="005722A6">
        <w:rPr>
          <w:rFonts w:asciiTheme="majorHAnsi" w:hAnsiTheme="majorHAnsi"/>
          <w:sz w:val="20"/>
          <w:szCs w:val="20"/>
        </w:rPr>
        <w:t>awareness</w:t>
      </w:r>
      <w:r w:rsidRPr="005722A6">
        <w:rPr>
          <w:rFonts w:asciiTheme="majorHAnsi" w:hAnsiTheme="majorHAnsi"/>
          <w:sz w:val="20"/>
          <w:szCs w:val="20"/>
        </w:rPr>
        <w:t xml:space="preserve"> of the project and its contents, and includes details on best practices to use with particular stakeholder groups. </w:t>
      </w:r>
      <w:r w:rsidR="00B87774" w:rsidRPr="005722A6">
        <w:rPr>
          <w:rFonts w:asciiTheme="majorHAnsi" w:hAnsiTheme="majorHAnsi"/>
          <w:sz w:val="20"/>
          <w:szCs w:val="20"/>
        </w:rPr>
        <w:t xml:space="preserve">The project will </w:t>
      </w:r>
      <w:r w:rsidRPr="005722A6">
        <w:rPr>
          <w:rFonts w:asciiTheme="majorHAnsi" w:hAnsiTheme="majorHAnsi"/>
          <w:sz w:val="20"/>
          <w:szCs w:val="20"/>
        </w:rPr>
        <w:t>regularly review and update the Communications and Knowledge M</w:t>
      </w:r>
      <w:r w:rsidR="00B87774" w:rsidRPr="005722A6">
        <w:rPr>
          <w:rFonts w:asciiTheme="majorHAnsi" w:hAnsiTheme="majorHAnsi"/>
          <w:sz w:val="20"/>
          <w:szCs w:val="20"/>
        </w:rPr>
        <w:t xml:space="preserve">anagement </w:t>
      </w:r>
      <w:r w:rsidRPr="005722A6">
        <w:rPr>
          <w:rFonts w:asciiTheme="majorHAnsi" w:hAnsiTheme="majorHAnsi"/>
          <w:sz w:val="20"/>
          <w:szCs w:val="20"/>
        </w:rPr>
        <w:t>Strategy</w:t>
      </w:r>
      <w:r w:rsidR="00B87774" w:rsidRPr="005722A6">
        <w:rPr>
          <w:rFonts w:asciiTheme="majorHAnsi" w:hAnsiTheme="majorHAnsi"/>
          <w:sz w:val="20"/>
          <w:szCs w:val="20"/>
        </w:rPr>
        <w:t xml:space="preserve"> to ensure that all stakeholders are informed on an ongoing basis about the project’s objectives</w:t>
      </w:r>
      <w:r w:rsidR="00123AA4" w:rsidRPr="005722A6">
        <w:rPr>
          <w:rFonts w:asciiTheme="majorHAnsi" w:hAnsiTheme="majorHAnsi"/>
          <w:sz w:val="20"/>
          <w:szCs w:val="20"/>
        </w:rPr>
        <w:t xml:space="preserve">, </w:t>
      </w:r>
      <w:r w:rsidR="00B87774" w:rsidRPr="005722A6">
        <w:rPr>
          <w:rFonts w:asciiTheme="majorHAnsi" w:hAnsiTheme="majorHAnsi"/>
          <w:sz w:val="20"/>
          <w:szCs w:val="20"/>
        </w:rPr>
        <w:t>activities</w:t>
      </w:r>
      <w:r w:rsidR="00123AA4" w:rsidRPr="005722A6">
        <w:rPr>
          <w:rFonts w:asciiTheme="majorHAnsi" w:hAnsiTheme="majorHAnsi"/>
          <w:sz w:val="20"/>
          <w:szCs w:val="20"/>
        </w:rPr>
        <w:t xml:space="preserve">, </w:t>
      </w:r>
      <w:r w:rsidR="00B87774" w:rsidRPr="005722A6">
        <w:rPr>
          <w:rFonts w:asciiTheme="majorHAnsi" w:hAnsiTheme="majorHAnsi"/>
          <w:sz w:val="20"/>
          <w:szCs w:val="20"/>
        </w:rPr>
        <w:t>progress</w:t>
      </w:r>
      <w:r w:rsidR="00123AA4" w:rsidRPr="005722A6">
        <w:rPr>
          <w:rFonts w:asciiTheme="majorHAnsi" w:hAnsiTheme="majorHAnsi"/>
          <w:sz w:val="20"/>
          <w:szCs w:val="20"/>
        </w:rPr>
        <w:t xml:space="preserve">, and </w:t>
      </w:r>
      <w:r w:rsidR="00B87774" w:rsidRPr="005722A6">
        <w:rPr>
          <w:rFonts w:asciiTheme="majorHAnsi" w:hAnsiTheme="majorHAnsi"/>
          <w:sz w:val="20"/>
          <w:szCs w:val="20"/>
        </w:rPr>
        <w:t>opportunities for involvement. Th</w:t>
      </w:r>
      <w:r w:rsidRPr="005722A6">
        <w:rPr>
          <w:rFonts w:asciiTheme="majorHAnsi" w:hAnsiTheme="majorHAnsi"/>
          <w:sz w:val="20"/>
          <w:szCs w:val="20"/>
        </w:rPr>
        <w:t xml:space="preserve">e project will develop and maintain web-based </w:t>
      </w:r>
      <w:r w:rsidR="00123AA4" w:rsidRPr="005722A6">
        <w:rPr>
          <w:rFonts w:asciiTheme="majorHAnsi" w:hAnsiTheme="majorHAnsi"/>
          <w:sz w:val="20"/>
          <w:szCs w:val="20"/>
        </w:rPr>
        <w:t xml:space="preserve">tools (Output 4.3) </w:t>
      </w:r>
      <w:r w:rsidR="00B87774" w:rsidRPr="005722A6">
        <w:rPr>
          <w:rFonts w:asciiTheme="majorHAnsi" w:hAnsiTheme="majorHAnsi"/>
          <w:sz w:val="20"/>
          <w:szCs w:val="20"/>
        </w:rPr>
        <w:t xml:space="preserve">for sharing and </w:t>
      </w:r>
      <w:r w:rsidR="00B87774" w:rsidRPr="005722A6">
        <w:rPr>
          <w:rFonts w:asciiTheme="majorHAnsi" w:hAnsiTheme="majorHAnsi"/>
          <w:sz w:val="20"/>
          <w:szCs w:val="20"/>
        </w:rPr>
        <w:lastRenderedPageBreak/>
        <w:t xml:space="preserve">disseminating information on biodiversity conservation, landscape and seascape planning and management, </w:t>
      </w:r>
      <w:r w:rsidR="00123AA4" w:rsidRPr="005722A6">
        <w:rPr>
          <w:rFonts w:asciiTheme="majorHAnsi" w:hAnsiTheme="majorHAnsi"/>
          <w:sz w:val="20"/>
          <w:szCs w:val="20"/>
        </w:rPr>
        <w:t>best practices</w:t>
      </w:r>
      <w:r w:rsidR="00B87774" w:rsidRPr="005722A6">
        <w:rPr>
          <w:rFonts w:asciiTheme="majorHAnsi" w:hAnsiTheme="majorHAnsi"/>
          <w:sz w:val="20"/>
          <w:szCs w:val="20"/>
        </w:rPr>
        <w:t>, IAS prevention and management and biosecurity</w:t>
      </w:r>
      <w:r w:rsidR="00194AA1">
        <w:rPr>
          <w:rFonts w:asciiTheme="majorHAnsi" w:hAnsiTheme="majorHAnsi"/>
          <w:sz w:val="20"/>
          <w:szCs w:val="20"/>
        </w:rPr>
        <w:t xml:space="preserve">. </w:t>
      </w:r>
      <w:r w:rsidR="00AC7C70" w:rsidRPr="005722A6">
        <w:rPr>
          <w:rFonts w:asciiTheme="majorHAnsi" w:hAnsiTheme="majorHAnsi"/>
          <w:sz w:val="20"/>
          <w:szCs w:val="20"/>
        </w:rPr>
        <w:t>The Project will also feed into existing databases at PALARIS and submit publications for sharing with libraries at PICRC, the National Library, and P</w:t>
      </w:r>
      <w:r w:rsidR="001170A3">
        <w:rPr>
          <w:rFonts w:asciiTheme="majorHAnsi" w:hAnsiTheme="majorHAnsi"/>
          <w:sz w:val="20"/>
          <w:szCs w:val="20"/>
        </w:rPr>
        <w:t>alau Community College (P</w:t>
      </w:r>
      <w:r w:rsidR="00AC7C70" w:rsidRPr="005722A6">
        <w:rPr>
          <w:rFonts w:asciiTheme="majorHAnsi" w:hAnsiTheme="majorHAnsi"/>
          <w:sz w:val="20"/>
          <w:szCs w:val="20"/>
        </w:rPr>
        <w:t>CC</w:t>
      </w:r>
      <w:r w:rsidR="001170A3">
        <w:rPr>
          <w:rFonts w:asciiTheme="majorHAnsi" w:hAnsiTheme="majorHAnsi"/>
          <w:sz w:val="20"/>
          <w:szCs w:val="20"/>
        </w:rPr>
        <w:t>)</w:t>
      </w:r>
      <w:r w:rsidR="00AC7C70" w:rsidRPr="005722A6">
        <w:rPr>
          <w:rFonts w:asciiTheme="majorHAnsi" w:hAnsiTheme="majorHAnsi"/>
          <w:sz w:val="20"/>
          <w:szCs w:val="20"/>
        </w:rPr>
        <w:t>.</w:t>
      </w:r>
      <w:r w:rsidRPr="005722A6">
        <w:rPr>
          <w:rFonts w:asciiTheme="majorHAnsi" w:hAnsiTheme="majorHAnsi"/>
          <w:sz w:val="20"/>
          <w:szCs w:val="20"/>
        </w:rPr>
        <w:t xml:space="preserve"> Activities in the Communication and Knowledge Management Strategy to engage stakeholders and stakeholder groups include:</w:t>
      </w:r>
    </w:p>
    <w:p w14:paraId="2E8A60AE" w14:textId="708DBDAD" w:rsidR="00B87774" w:rsidRPr="005722A6" w:rsidRDefault="00B87774" w:rsidP="00982532">
      <w:pPr>
        <w:rPr>
          <w:rFonts w:asciiTheme="majorHAnsi" w:hAnsiTheme="majorHAnsi"/>
          <w:b/>
          <w:color w:val="000000"/>
          <w:sz w:val="20"/>
          <w:szCs w:val="20"/>
        </w:rPr>
      </w:pPr>
      <w:r w:rsidRPr="005722A6">
        <w:rPr>
          <w:rFonts w:asciiTheme="majorHAnsi" w:hAnsiTheme="majorHAnsi"/>
          <w:b/>
          <w:color w:val="000000"/>
          <w:sz w:val="20"/>
          <w:szCs w:val="20"/>
        </w:rPr>
        <w:t>Quarterly Meetings with key stakeholders</w:t>
      </w:r>
    </w:p>
    <w:p w14:paraId="0DABC32A" w14:textId="436BC45A" w:rsidR="00B87774" w:rsidRPr="005722A6" w:rsidRDefault="00B87774" w:rsidP="00B87774">
      <w:pPr>
        <w:spacing w:before="120" w:after="120"/>
        <w:rPr>
          <w:rFonts w:asciiTheme="majorHAnsi" w:hAnsiTheme="majorHAnsi"/>
          <w:color w:val="000000"/>
          <w:sz w:val="20"/>
          <w:szCs w:val="20"/>
        </w:rPr>
      </w:pPr>
      <w:r w:rsidRPr="005722A6">
        <w:rPr>
          <w:rFonts w:asciiTheme="majorHAnsi" w:hAnsiTheme="majorHAnsi"/>
          <w:color w:val="000000"/>
          <w:sz w:val="20"/>
          <w:szCs w:val="20"/>
        </w:rPr>
        <w:t xml:space="preserve">On quarterly basis, </w:t>
      </w:r>
      <w:r w:rsidR="00123AA4" w:rsidRPr="005722A6">
        <w:rPr>
          <w:rFonts w:asciiTheme="majorHAnsi" w:hAnsiTheme="majorHAnsi"/>
          <w:color w:val="000000"/>
          <w:sz w:val="20"/>
          <w:szCs w:val="20"/>
        </w:rPr>
        <w:t xml:space="preserve">the </w:t>
      </w:r>
      <w:r w:rsidR="00905AB8">
        <w:rPr>
          <w:rFonts w:asciiTheme="majorHAnsi" w:hAnsiTheme="majorHAnsi"/>
          <w:color w:val="000000"/>
          <w:sz w:val="20"/>
          <w:szCs w:val="20"/>
        </w:rPr>
        <w:t>P</w:t>
      </w:r>
      <w:r w:rsidR="00123AA4" w:rsidRPr="005722A6">
        <w:rPr>
          <w:rFonts w:asciiTheme="majorHAnsi" w:hAnsiTheme="majorHAnsi"/>
          <w:color w:val="000000"/>
          <w:sz w:val="20"/>
          <w:szCs w:val="20"/>
        </w:rPr>
        <w:t xml:space="preserve">roject </w:t>
      </w:r>
      <w:r w:rsidR="00905AB8">
        <w:rPr>
          <w:rFonts w:asciiTheme="majorHAnsi" w:hAnsiTheme="majorHAnsi"/>
          <w:color w:val="000000"/>
          <w:sz w:val="20"/>
          <w:szCs w:val="20"/>
        </w:rPr>
        <w:t xml:space="preserve">Board </w:t>
      </w:r>
      <w:r w:rsidRPr="005722A6">
        <w:rPr>
          <w:rFonts w:asciiTheme="majorHAnsi" w:hAnsiTheme="majorHAnsi"/>
          <w:color w:val="000000"/>
          <w:sz w:val="20"/>
          <w:szCs w:val="20"/>
        </w:rPr>
        <w:t xml:space="preserve">will </w:t>
      </w:r>
      <w:r w:rsidR="00123AA4" w:rsidRPr="005722A6">
        <w:rPr>
          <w:rFonts w:asciiTheme="majorHAnsi" w:hAnsiTheme="majorHAnsi"/>
          <w:color w:val="000000"/>
          <w:sz w:val="20"/>
          <w:szCs w:val="20"/>
        </w:rPr>
        <w:t xml:space="preserve">hold </w:t>
      </w:r>
      <w:r w:rsidRPr="005722A6">
        <w:rPr>
          <w:rFonts w:asciiTheme="majorHAnsi" w:hAnsiTheme="majorHAnsi"/>
          <w:color w:val="000000"/>
          <w:sz w:val="20"/>
          <w:szCs w:val="20"/>
        </w:rPr>
        <w:t xml:space="preserve">meetings </w:t>
      </w:r>
      <w:r w:rsidR="00123AA4" w:rsidRPr="005722A6">
        <w:rPr>
          <w:rFonts w:asciiTheme="majorHAnsi" w:hAnsiTheme="majorHAnsi"/>
          <w:color w:val="000000"/>
          <w:sz w:val="20"/>
          <w:szCs w:val="20"/>
        </w:rPr>
        <w:t xml:space="preserve">that incorporate </w:t>
      </w:r>
      <w:r w:rsidRPr="005722A6">
        <w:rPr>
          <w:rFonts w:asciiTheme="majorHAnsi" w:hAnsiTheme="majorHAnsi"/>
          <w:color w:val="000000"/>
          <w:sz w:val="20"/>
          <w:szCs w:val="20"/>
        </w:rPr>
        <w:t xml:space="preserve">stakeholders </w:t>
      </w:r>
      <w:r w:rsidR="00123AA4" w:rsidRPr="005722A6">
        <w:rPr>
          <w:rFonts w:asciiTheme="majorHAnsi" w:hAnsiTheme="majorHAnsi"/>
          <w:color w:val="000000"/>
          <w:sz w:val="20"/>
          <w:szCs w:val="20"/>
        </w:rPr>
        <w:t>to discuss</w:t>
      </w:r>
      <w:r w:rsidRPr="005722A6">
        <w:rPr>
          <w:rFonts w:asciiTheme="majorHAnsi" w:hAnsiTheme="majorHAnsi"/>
          <w:color w:val="000000"/>
          <w:sz w:val="20"/>
          <w:szCs w:val="20"/>
        </w:rPr>
        <w:t xml:space="preserve"> achievements, challenges faced, corrective steps taken and future corrective actions needed for the implementation of planned activities. Result based management and reporting would consider inputs taken from stakeholders during such meetings.</w:t>
      </w:r>
    </w:p>
    <w:p w14:paraId="116ACE78" w14:textId="77777777" w:rsidR="00B87774" w:rsidRPr="005722A6" w:rsidRDefault="00B87774" w:rsidP="00B87774">
      <w:pPr>
        <w:spacing w:before="120" w:after="120"/>
        <w:rPr>
          <w:rFonts w:asciiTheme="majorHAnsi" w:hAnsiTheme="majorHAnsi"/>
          <w:b/>
          <w:color w:val="000000"/>
          <w:sz w:val="20"/>
          <w:szCs w:val="20"/>
        </w:rPr>
      </w:pPr>
      <w:r w:rsidRPr="005722A6">
        <w:rPr>
          <w:rFonts w:asciiTheme="majorHAnsi" w:hAnsiTheme="majorHAnsi"/>
          <w:b/>
          <w:color w:val="000000"/>
          <w:sz w:val="20"/>
          <w:szCs w:val="20"/>
        </w:rPr>
        <w:t>Sharing Progress reports and work-plans</w:t>
      </w:r>
    </w:p>
    <w:p w14:paraId="497F8B83" w14:textId="23F32ECC" w:rsidR="00B87774" w:rsidRPr="005722A6" w:rsidRDefault="00B87774" w:rsidP="00B87774">
      <w:pPr>
        <w:spacing w:before="120" w:after="120"/>
        <w:rPr>
          <w:rFonts w:asciiTheme="majorHAnsi" w:hAnsiTheme="majorHAnsi"/>
          <w:color w:val="000000"/>
          <w:sz w:val="20"/>
          <w:szCs w:val="20"/>
        </w:rPr>
      </w:pPr>
      <w:r w:rsidRPr="005722A6">
        <w:rPr>
          <w:rFonts w:asciiTheme="majorHAnsi" w:hAnsiTheme="majorHAnsi"/>
          <w:color w:val="000000"/>
          <w:sz w:val="20"/>
          <w:szCs w:val="20"/>
        </w:rPr>
        <w:t>Copies of the annual and quarterly progress reports and work plans would be circulated to main stakeholders to inform them about project implementation and planning and outcomes</w:t>
      </w:r>
      <w:r w:rsidR="00B61459" w:rsidRPr="005722A6">
        <w:rPr>
          <w:rFonts w:asciiTheme="majorHAnsi" w:hAnsiTheme="majorHAnsi"/>
          <w:color w:val="000000"/>
          <w:sz w:val="20"/>
          <w:szCs w:val="20"/>
        </w:rPr>
        <w:t xml:space="preserve">, as well as through public </w:t>
      </w:r>
      <w:r w:rsidR="00123AA4" w:rsidRPr="005722A6">
        <w:rPr>
          <w:rFonts w:asciiTheme="majorHAnsi" w:hAnsiTheme="majorHAnsi"/>
          <w:color w:val="000000"/>
          <w:sz w:val="20"/>
          <w:szCs w:val="20"/>
        </w:rPr>
        <w:t>forums, including web-based.</w:t>
      </w:r>
    </w:p>
    <w:p w14:paraId="3D180A17" w14:textId="77777777" w:rsidR="00B87774" w:rsidRPr="002F6486" w:rsidRDefault="00B87774" w:rsidP="00B87774">
      <w:pPr>
        <w:pStyle w:val="NumberedParas"/>
        <w:numPr>
          <w:ilvl w:val="0"/>
          <w:numId w:val="0"/>
        </w:numPr>
        <w:spacing w:before="120"/>
        <w:rPr>
          <w:rFonts w:asciiTheme="majorHAnsi" w:hAnsiTheme="majorHAnsi"/>
          <w:b/>
          <w:sz w:val="20"/>
          <w:szCs w:val="20"/>
          <w:lang w:val="en-ZA"/>
        </w:rPr>
      </w:pPr>
      <w:r w:rsidRPr="00FB46EB">
        <w:rPr>
          <w:rFonts w:asciiTheme="majorHAnsi" w:hAnsiTheme="majorHAnsi"/>
          <w:b/>
          <w:sz w:val="20"/>
          <w:szCs w:val="20"/>
          <w:lang w:val="en-ZA"/>
        </w:rPr>
        <w:t>Participatory approach for involving local communities</w:t>
      </w:r>
    </w:p>
    <w:p w14:paraId="5E47E49A" w14:textId="7089175A" w:rsidR="00B87774" w:rsidRPr="005722A6" w:rsidRDefault="00B87774" w:rsidP="00B87774">
      <w:pPr>
        <w:pStyle w:val="NumberedParas"/>
        <w:numPr>
          <w:ilvl w:val="0"/>
          <w:numId w:val="0"/>
        </w:numPr>
        <w:spacing w:before="120"/>
        <w:rPr>
          <w:rFonts w:asciiTheme="majorHAnsi" w:hAnsiTheme="majorHAnsi"/>
          <w:color w:val="000000"/>
          <w:sz w:val="20"/>
          <w:szCs w:val="20"/>
          <w:lang w:val="en-ZA"/>
        </w:rPr>
      </w:pPr>
      <w:r w:rsidRPr="008C571D">
        <w:rPr>
          <w:rFonts w:asciiTheme="majorHAnsi" w:hAnsiTheme="majorHAnsi"/>
          <w:color w:val="000000"/>
          <w:sz w:val="20"/>
          <w:szCs w:val="20"/>
        </w:rPr>
        <w:t>A participatory approach will be adopted to facilitate the involvement and participation of local communities, either as a group or through their CBOs, including men</w:t>
      </w:r>
      <w:r w:rsidR="00123AA4" w:rsidRPr="00203F78">
        <w:rPr>
          <w:rFonts w:asciiTheme="majorHAnsi" w:hAnsiTheme="majorHAnsi"/>
          <w:color w:val="000000"/>
          <w:sz w:val="20"/>
          <w:szCs w:val="20"/>
        </w:rPr>
        <w:t xml:space="preserve">’s, women’s, and youth groups </w:t>
      </w:r>
      <w:r w:rsidRPr="00FF745E">
        <w:rPr>
          <w:rFonts w:asciiTheme="majorHAnsi" w:hAnsiTheme="majorHAnsi"/>
          <w:color w:val="000000"/>
          <w:sz w:val="20"/>
          <w:szCs w:val="20"/>
        </w:rPr>
        <w:t xml:space="preserve">in the planning and implementation of the project activities. </w:t>
      </w:r>
      <w:r w:rsidR="00123AA4" w:rsidRPr="00E10F48">
        <w:rPr>
          <w:rFonts w:asciiTheme="majorHAnsi" w:hAnsiTheme="majorHAnsi"/>
          <w:color w:val="000000"/>
          <w:sz w:val="20"/>
          <w:szCs w:val="20"/>
        </w:rPr>
        <w:t>Facilitation training for state planning teams will be supported</w:t>
      </w:r>
      <w:r w:rsidRPr="00E10F48">
        <w:rPr>
          <w:rFonts w:asciiTheme="majorHAnsi" w:hAnsiTheme="majorHAnsi"/>
          <w:color w:val="000000"/>
          <w:sz w:val="20"/>
          <w:szCs w:val="20"/>
        </w:rPr>
        <w:t xml:space="preserve">. To ensure participation of local communities, the project would develop </w:t>
      </w:r>
      <w:r w:rsidR="00123AA4" w:rsidRPr="00E96B53">
        <w:rPr>
          <w:rFonts w:asciiTheme="majorHAnsi" w:hAnsiTheme="majorHAnsi"/>
          <w:color w:val="000000"/>
          <w:sz w:val="20"/>
          <w:szCs w:val="20"/>
        </w:rPr>
        <w:t>M</w:t>
      </w:r>
      <w:r w:rsidR="001170A3">
        <w:rPr>
          <w:rFonts w:asciiTheme="majorHAnsi" w:hAnsiTheme="majorHAnsi"/>
          <w:color w:val="000000"/>
          <w:sz w:val="20"/>
          <w:szCs w:val="20"/>
        </w:rPr>
        <w:t>emorundum of Understanding (M</w:t>
      </w:r>
      <w:r w:rsidR="00123AA4" w:rsidRPr="00E96B53">
        <w:rPr>
          <w:rFonts w:asciiTheme="majorHAnsi" w:hAnsiTheme="majorHAnsi"/>
          <w:color w:val="000000"/>
          <w:sz w:val="20"/>
          <w:szCs w:val="20"/>
        </w:rPr>
        <w:t>OU</w:t>
      </w:r>
      <w:r w:rsidR="001170A3">
        <w:rPr>
          <w:rFonts w:asciiTheme="majorHAnsi" w:hAnsiTheme="majorHAnsi"/>
          <w:color w:val="000000"/>
          <w:sz w:val="20"/>
          <w:szCs w:val="20"/>
        </w:rPr>
        <w:t>)</w:t>
      </w:r>
      <w:r w:rsidR="00B61459" w:rsidRPr="00E96B53">
        <w:rPr>
          <w:rFonts w:asciiTheme="majorHAnsi" w:hAnsiTheme="majorHAnsi"/>
          <w:color w:val="000000"/>
          <w:sz w:val="20"/>
          <w:szCs w:val="20"/>
        </w:rPr>
        <w:t xml:space="preserve"> with M</w:t>
      </w:r>
      <w:r w:rsidRPr="00627E17">
        <w:rPr>
          <w:rFonts w:asciiTheme="majorHAnsi" w:hAnsiTheme="majorHAnsi"/>
          <w:color w:val="000000"/>
          <w:sz w:val="20"/>
          <w:szCs w:val="20"/>
        </w:rPr>
        <w:t xml:space="preserve">NRET and local </w:t>
      </w:r>
      <w:r w:rsidR="00123AA4" w:rsidRPr="00627E17">
        <w:rPr>
          <w:rFonts w:asciiTheme="majorHAnsi" w:hAnsiTheme="majorHAnsi"/>
          <w:color w:val="000000"/>
          <w:sz w:val="20"/>
          <w:szCs w:val="20"/>
        </w:rPr>
        <w:t xml:space="preserve">states, teams, and </w:t>
      </w:r>
      <w:r w:rsidRPr="00F372D8">
        <w:rPr>
          <w:rFonts w:asciiTheme="majorHAnsi" w:hAnsiTheme="majorHAnsi"/>
          <w:color w:val="000000"/>
          <w:sz w:val="20"/>
          <w:szCs w:val="20"/>
        </w:rPr>
        <w:t>CBOs before implementation of main activities</w:t>
      </w:r>
      <w:r w:rsidRPr="005722A6">
        <w:rPr>
          <w:rFonts w:asciiTheme="majorHAnsi" w:hAnsiTheme="majorHAnsi"/>
          <w:color w:val="000000"/>
          <w:sz w:val="20"/>
          <w:szCs w:val="20"/>
        </w:rPr>
        <w:t xml:space="preserve"> of the project.</w:t>
      </w:r>
    </w:p>
    <w:p w14:paraId="64B9D89F" w14:textId="64D8C073" w:rsidR="00B87774" w:rsidRPr="005722A6" w:rsidRDefault="00B87774" w:rsidP="00B87774">
      <w:pPr>
        <w:rPr>
          <w:rFonts w:asciiTheme="majorHAnsi" w:hAnsiTheme="majorHAnsi"/>
          <w:b/>
          <w:sz w:val="20"/>
          <w:szCs w:val="20"/>
        </w:rPr>
      </w:pPr>
      <w:r w:rsidRPr="005722A6">
        <w:rPr>
          <w:rFonts w:asciiTheme="majorHAnsi" w:hAnsiTheme="majorHAnsi"/>
          <w:b/>
          <w:sz w:val="20"/>
          <w:szCs w:val="20"/>
        </w:rPr>
        <w:t>Stakeholder consultation and participation in project implementation</w:t>
      </w:r>
    </w:p>
    <w:p w14:paraId="746F37F4" w14:textId="2C531EC3" w:rsidR="00B87774" w:rsidRPr="005722A6" w:rsidRDefault="00FC283B" w:rsidP="00A92121">
      <w:pPr>
        <w:spacing w:after="240"/>
        <w:rPr>
          <w:rFonts w:asciiTheme="majorHAnsi" w:hAnsiTheme="majorHAnsi" w:cs="Segoe UI"/>
          <w:color w:val="000000"/>
          <w:sz w:val="20"/>
          <w:szCs w:val="20"/>
        </w:rPr>
      </w:pPr>
      <w:r w:rsidRPr="005722A6">
        <w:rPr>
          <w:rFonts w:asciiTheme="majorHAnsi" w:hAnsiTheme="majorHAnsi"/>
          <w:sz w:val="20"/>
          <w:szCs w:val="20"/>
        </w:rPr>
        <w:t>The SIP will be implemented immediately and reviewed at quarterly meetings</w:t>
      </w:r>
      <w:r w:rsidR="00194AA1">
        <w:rPr>
          <w:rFonts w:asciiTheme="majorHAnsi" w:hAnsiTheme="majorHAnsi"/>
          <w:sz w:val="20"/>
          <w:szCs w:val="20"/>
        </w:rPr>
        <w:t xml:space="preserve">. </w:t>
      </w:r>
    </w:p>
    <w:p w14:paraId="3323EFD2" w14:textId="3148A170" w:rsidR="00B0368D" w:rsidRPr="0061283E" w:rsidRDefault="00B87774" w:rsidP="00B02352">
      <w:pPr>
        <w:numPr>
          <w:ilvl w:val="0"/>
          <w:numId w:val="9"/>
        </w:numPr>
        <w:spacing w:after="0"/>
        <w:jc w:val="left"/>
        <w:rPr>
          <w:rFonts w:asciiTheme="majorHAnsi" w:hAnsiTheme="majorHAnsi"/>
          <w:b/>
          <w:i/>
          <w:sz w:val="20"/>
          <w:szCs w:val="20"/>
        </w:rPr>
      </w:pPr>
      <w:r w:rsidRPr="0061283E">
        <w:rPr>
          <w:rFonts w:asciiTheme="majorHAnsi" w:hAnsiTheme="majorHAnsi"/>
          <w:b/>
          <w:sz w:val="20"/>
          <w:szCs w:val="20"/>
          <w:u w:val="single"/>
        </w:rPr>
        <w:t>Mainstreaming gender</w:t>
      </w:r>
      <w:r w:rsidRPr="0061283E">
        <w:rPr>
          <w:rFonts w:asciiTheme="majorHAnsi" w:hAnsiTheme="majorHAnsi"/>
          <w:b/>
          <w:sz w:val="20"/>
          <w:szCs w:val="20"/>
        </w:rPr>
        <w:t>:</w:t>
      </w:r>
    </w:p>
    <w:p w14:paraId="5F83A689" w14:textId="52AF6BE2" w:rsidR="00B87774" w:rsidRPr="005722A6" w:rsidRDefault="00B87774" w:rsidP="00B0368D">
      <w:pPr>
        <w:spacing w:after="0"/>
        <w:ind w:left="720"/>
        <w:rPr>
          <w:rFonts w:asciiTheme="majorHAnsi" w:hAnsiTheme="majorHAnsi"/>
          <w:i/>
          <w:sz w:val="20"/>
          <w:szCs w:val="20"/>
        </w:rPr>
      </w:pPr>
      <w:r w:rsidRPr="005722A6">
        <w:rPr>
          <w:rFonts w:asciiTheme="majorHAnsi" w:hAnsiTheme="majorHAnsi"/>
          <w:i/>
          <w:sz w:val="20"/>
          <w:szCs w:val="20"/>
        </w:rPr>
        <w:t>.</w:t>
      </w:r>
    </w:p>
    <w:p w14:paraId="77593E4B" w14:textId="44C05A2B" w:rsidR="00E572FC" w:rsidRPr="005722A6" w:rsidRDefault="00B87774" w:rsidP="00B87774">
      <w:pPr>
        <w:spacing w:after="0"/>
        <w:rPr>
          <w:rFonts w:asciiTheme="majorHAnsi" w:hAnsiTheme="majorHAnsi"/>
          <w:sz w:val="20"/>
          <w:szCs w:val="20"/>
        </w:rPr>
      </w:pPr>
      <w:r w:rsidRPr="005722A6">
        <w:rPr>
          <w:rFonts w:asciiTheme="majorHAnsi" w:hAnsiTheme="majorHAnsi"/>
          <w:sz w:val="20"/>
          <w:szCs w:val="20"/>
        </w:rPr>
        <w:t xml:space="preserve">Gender </w:t>
      </w:r>
      <w:r w:rsidR="00E572FC" w:rsidRPr="005722A6">
        <w:rPr>
          <w:rFonts w:asciiTheme="majorHAnsi" w:hAnsiTheme="majorHAnsi"/>
          <w:sz w:val="20"/>
          <w:szCs w:val="20"/>
        </w:rPr>
        <w:t xml:space="preserve">and Social inclusion </w:t>
      </w:r>
      <w:r w:rsidRPr="005722A6">
        <w:rPr>
          <w:rFonts w:asciiTheme="majorHAnsi" w:hAnsiTheme="majorHAnsi"/>
          <w:sz w:val="20"/>
          <w:szCs w:val="20"/>
        </w:rPr>
        <w:t xml:space="preserve">considerations </w:t>
      </w:r>
      <w:r w:rsidR="00E572FC" w:rsidRPr="005722A6">
        <w:rPr>
          <w:rFonts w:asciiTheme="majorHAnsi" w:hAnsiTheme="majorHAnsi"/>
          <w:sz w:val="20"/>
          <w:szCs w:val="20"/>
        </w:rPr>
        <w:t>have been</w:t>
      </w:r>
      <w:r w:rsidRPr="005722A6">
        <w:rPr>
          <w:rFonts w:asciiTheme="majorHAnsi" w:hAnsiTheme="majorHAnsi"/>
          <w:sz w:val="20"/>
          <w:szCs w:val="20"/>
        </w:rPr>
        <w:t xml:space="preserve"> integrated into the project </w:t>
      </w:r>
      <w:r w:rsidR="00E572FC" w:rsidRPr="005722A6">
        <w:rPr>
          <w:rFonts w:asciiTheme="majorHAnsi" w:hAnsiTheme="majorHAnsi"/>
          <w:sz w:val="20"/>
          <w:szCs w:val="20"/>
        </w:rPr>
        <w:t xml:space="preserve">design </w:t>
      </w:r>
      <w:r w:rsidR="00A92121">
        <w:rPr>
          <w:rFonts w:asciiTheme="majorHAnsi" w:hAnsiTheme="majorHAnsi"/>
          <w:sz w:val="20"/>
          <w:szCs w:val="20"/>
        </w:rPr>
        <w:t xml:space="preserve">(under Output 4.1) following the development of the </w:t>
      </w:r>
      <w:r w:rsidR="00E572FC" w:rsidRPr="005722A6">
        <w:rPr>
          <w:rFonts w:asciiTheme="majorHAnsi" w:hAnsiTheme="majorHAnsi"/>
          <w:sz w:val="20"/>
          <w:szCs w:val="20"/>
        </w:rPr>
        <w:t xml:space="preserve">Gender </w:t>
      </w:r>
      <w:r w:rsidR="00A92121">
        <w:rPr>
          <w:rFonts w:asciiTheme="majorHAnsi" w:hAnsiTheme="majorHAnsi"/>
          <w:sz w:val="20"/>
          <w:szCs w:val="20"/>
        </w:rPr>
        <w:t xml:space="preserve">Analysis and </w:t>
      </w:r>
      <w:r w:rsidR="00E572FC" w:rsidRPr="005722A6">
        <w:rPr>
          <w:rFonts w:asciiTheme="majorHAnsi" w:hAnsiTheme="majorHAnsi"/>
          <w:sz w:val="20"/>
          <w:szCs w:val="20"/>
        </w:rPr>
        <w:t>Mainstreaming Action Plan</w:t>
      </w:r>
      <w:r w:rsidR="00A22E4D" w:rsidRPr="005722A6">
        <w:rPr>
          <w:rFonts w:asciiTheme="majorHAnsi" w:hAnsiTheme="majorHAnsi"/>
          <w:sz w:val="20"/>
          <w:szCs w:val="20"/>
        </w:rPr>
        <w:t xml:space="preserve"> (Annex 5).</w:t>
      </w:r>
      <w:r w:rsidR="00E572FC" w:rsidRPr="005722A6">
        <w:rPr>
          <w:rFonts w:asciiTheme="majorHAnsi" w:hAnsiTheme="majorHAnsi"/>
          <w:sz w:val="20"/>
          <w:szCs w:val="20"/>
        </w:rPr>
        <w:t xml:space="preserve"> This is the first large-scale multi-stakeholder project in the environment sector that has considered issues of gender and social inclusion. Rather than focus only on gender, the project adopts Palau’s Gender Division’s approach </w:t>
      </w:r>
      <w:r w:rsidR="00A92121">
        <w:rPr>
          <w:rFonts w:asciiTheme="majorHAnsi" w:hAnsiTheme="majorHAnsi"/>
          <w:sz w:val="20"/>
          <w:szCs w:val="20"/>
        </w:rPr>
        <w:t xml:space="preserve">and </w:t>
      </w:r>
      <w:r w:rsidR="00E572FC" w:rsidRPr="005722A6">
        <w:rPr>
          <w:rFonts w:asciiTheme="majorHAnsi" w:hAnsiTheme="majorHAnsi"/>
          <w:sz w:val="20"/>
          <w:szCs w:val="20"/>
        </w:rPr>
        <w:t xml:space="preserve">does not simply focus on </w:t>
      </w:r>
      <w:r w:rsidR="00E572FC" w:rsidRPr="005722A6">
        <w:rPr>
          <w:rFonts w:asciiTheme="majorHAnsi" w:hAnsiTheme="majorHAnsi"/>
          <w:i/>
          <w:sz w:val="20"/>
          <w:szCs w:val="20"/>
        </w:rPr>
        <w:t>women</w:t>
      </w:r>
      <w:r w:rsidR="00E572FC" w:rsidRPr="005722A6">
        <w:rPr>
          <w:rFonts w:asciiTheme="majorHAnsi" w:hAnsiTheme="majorHAnsi"/>
          <w:sz w:val="20"/>
          <w:szCs w:val="20"/>
        </w:rPr>
        <w:t xml:space="preserve">, but rather on overall </w:t>
      </w:r>
      <w:r w:rsidR="00E572FC" w:rsidRPr="005722A6">
        <w:rPr>
          <w:rFonts w:asciiTheme="majorHAnsi" w:hAnsiTheme="majorHAnsi"/>
          <w:i/>
          <w:sz w:val="20"/>
          <w:szCs w:val="20"/>
        </w:rPr>
        <w:t>inclusivity</w:t>
      </w:r>
      <w:r w:rsidR="00E572FC" w:rsidRPr="005722A6">
        <w:rPr>
          <w:rFonts w:asciiTheme="majorHAnsi" w:hAnsiTheme="majorHAnsi"/>
          <w:sz w:val="20"/>
          <w:szCs w:val="20"/>
        </w:rPr>
        <w:t xml:space="preserve"> and </w:t>
      </w:r>
      <w:r w:rsidR="00E572FC" w:rsidRPr="005722A6">
        <w:rPr>
          <w:rFonts w:asciiTheme="majorHAnsi" w:hAnsiTheme="majorHAnsi"/>
          <w:i/>
          <w:sz w:val="20"/>
          <w:szCs w:val="20"/>
        </w:rPr>
        <w:t>multiple vulnerable populations</w:t>
      </w:r>
      <w:r w:rsidR="00194AA1">
        <w:rPr>
          <w:rFonts w:asciiTheme="majorHAnsi" w:hAnsiTheme="majorHAnsi"/>
          <w:sz w:val="20"/>
          <w:szCs w:val="20"/>
        </w:rPr>
        <w:t xml:space="preserve">. </w:t>
      </w:r>
      <w:r w:rsidR="00E572FC" w:rsidRPr="005722A6">
        <w:rPr>
          <w:rFonts w:asciiTheme="majorHAnsi" w:hAnsiTheme="majorHAnsi"/>
          <w:sz w:val="20"/>
          <w:szCs w:val="20"/>
        </w:rPr>
        <w:t>The land/seascape planning component may have significant</w:t>
      </w:r>
      <w:r w:rsidR="002B08B4" w:rsidRPr="005722A6">
        <w:rPr>
          <w:rFonts w:asciiTheme="majorHAnsi" w:hAnsiTheme="majorHAnsi"/>
          <w:sz w:val="20"/>
          <w:szCs w:val="20"/>
        </w:rPr>
        <w:t xml:space="preserve"> long-term</w:t>
      </w:r>
      <w:r w:rsidR="00E572FC" w:rsidRPr="005722A6">
        <w:rPr>
          <w:rFonts w:asciiTheme="majorHAnsi" w:hAnsiTheme="majorHAnsi"/>
          <w:sz w:val="20"/>
          <w:szCs w:val="20"/>
        </w:rPr>
        <w:t xml:space="preserve"> impacts on both gender and social groups, and thus </w:t>
      </w:r>
      <w:r w:rsidR="002B08B4" w:rsidRPr="005722A6">
        <w:rPr>
          <w:rFonts w:asciiTheme="majorHAnsi" w:hAnsiTheme="majorHAnsi"/>
          <w:sz w:val="20"/>
          <w:szCs w:val="20"/>
        </w:rPr>
        <w:t xml:space="preserve">the Gender </w:t>
      </w:r>
      <w:r w:rsidR="00A92121">
        <w:rPr>
          <w:rFonts w:asciiTheme="majorHAnsi" w:hAnsiTheme="majorHAnsi"/>
          <w:sz w:val="20"/>
          <w:szCs w:val="20"/>
        </w:rPr>
        <w:t xml:space="preserve">Analysis and </w:t>
      </w:r>
      <w:r w:rsidR="002B08B4" w:rsidRPr="005722A6">
        <w:rPr>
          <w:rFonts w:asciiTheme="majorHAnsi" w:hAnsiTheme="majorHAnsi"/>
          <w:sz w:val="20"/>
          <w:szCs w:val="20"/>
        </w:rPr>
        <w:t>Mainstreaming Action Plan includes specific actions for applying a gender and socially inclusive lens to every decision, expanding representation, filling in gender and social-based research gaps, and investing in approaches to gather and share information among more groups. It is the intent of this project for it to become a model for improving gender and social mainstreaming into government and planning processes.</w:t>
      </w:r>
    </w:p>
    <w:p w14:paraId="755B2C9A" w14:textId="77777777" w:rsidR="008A688F" w:rsidRDefault="008A688F" w:rsidP="00B87774">
      <w:pPr>
        <w:spacing w:after="0"/>
        <w:rPr>
          <w:rFonts w:asciiTheme="majorHAnsi" w:hAnsiTheme="majorHAnsi"/>
          <w:sz w:val="20"/>
          <w:szCs w:val="20"/>
        </w:rPr>
      </w:pPr>
    </w:p>
    <w:p w14:paraId="19EA3FEC" w14:textId="5056636E" w:rsidR="008A688F" w:rsidRDefault="008A688F" w:rsidP="008A688F">
      <w:pPr>
        <w:spacing w:after="0"/>
        <w:rPr>
          <w:rFonts w:asciiTheme="majorHAnsi" w:hAnsiTheme="majorHAnsi"/>
          <w:sz w:val="20"/>
          <w:szCs w:val="20"/>
        </w:rPr>
      </w:pPr>
      <w:r>
        <w:rPr>
          <w:rFonts w:asciiTheme="majorHAnsi" w:hAnsiTheme="majorHAnsi"/>
          <w:sz w:val="20"/>
          <w:szCs w:val="20"/>
        </w:rPr>
        <w:t xml:space="preserve">Gender mainstreaming in the project would be addressed </w:t>
      </w:r>
      <w:r w:rsidR="00316F64">
        <w:rPr>
          <w:rFonts w:asciiTheme="majorHAnsi" w:hAnsiTheme="majorHAnsi"/>
          <w:sz w:val="20"/>
          <w:szCs w:val="20"/>
        </w:rPr>
        <w:t xml:space="preserve">(refer Annex 5) </w:t>
      </w:r>
      <w:r>
        <w:rPr>
          <w:rFonts w:asciiTheme="majorHAnsi" w:hAnsiTheme="majorHAnsi"/>
          <w:sz w:val="20"/>
          <w:szCs w:val="20"/>
        </w:rPr>
        <w:t>through the following actions:</w:t>
      </w:r>
    </w:p>
    <w:p w14:paraId="4AA3060B" w14:textId="77777777" w:rsidR="008A688F" w:rsidRDefault="008A688F" w:rsidP="00316F64">
      <w:pPr>
        <w:spacing w:after="0"/>
        <w:rPr>
          <w:rFonts w:asciiTheme="majorHAnsi" w:hAnsiTheme="majorHAnsi"/>
          <w:sz w:val="20"/>
          <w:szCs w:val="20"/>
        </w:rPr>
      </w:pPr>
    </w:p>
    <w:p w14:paraId="5255111F" w14:textId="3609113F" w:rsidR="008A688F" w:rsidRPr="00316F64" w:rsidRDefault="008A688F" w:rsidP="00EA4043">
      <w:pPr>
        <w:pStyle w:val="ListParagraph"/>
        <w:numPr>
          <w:ilvl w:val="0"/>
          <w:numId w:val="110"/>
        </w:numPr>
        <w:jc w:val="both"/>
        <w:rPr>
          <w:rFonts w:asciiTheme="majorHAnsi" w:hAnsiTheme="majorHAnsi"/>
          <w:sz w:val="20"/>
          <w:szCs w:val="20"/>
        </w:rPr>
      </w:pPr>
      <w:r w:rsidRPr="00316F64">
        <w:rPr>
          <w:rFonts w:asciiTheme="majorHAnsi" w:hAnsiTheme="majorHAnsi"/>
          <w:sz w:val="20"/>
          <w:szCs w:val="20"/>
        </w:rPr>
        <w:t>Ensuring that project materials, including meeting agendas, reporting templates, communications materials, and all written policies include gender and social mainstreaming.</w:t>
      </w:r>
    </w:p>
    <w:p w14:paraId="6F7C7B49" w14:textId="77777777" w:rsidR="008A688F" w:rsidRPr="00316F64" w:rsidRDefault="008A688F" w:rsidP="00EA4043">
      <w:pPr>
        <w:pStyle w:val="ListParagraph"/>
        <w:numPr>
          <w:ilvl w:val="0"/>
          <w:numId w:val="110"/>
        </w:numPr>
        <w:jc w:val="both"/>
        <w:rPr>
          <w:rFonts w:asciiTheme="majorHAnsi" w:hAnsiTheme="majorHAnsi"/>
          <w:sz w:val="20"/>
          <w:szCs w:val="20"/>
        </w:rPr>
      </w:pPr>
      <w:r w:rsidRPr="00316F64">
        <w:rPr>
          <w:rFonts w:asciiTheme="majorHAnsi" w:hAnsiTheme="majorHAnsi"/>
          <w:sz w:val="20"/>
          <w:szCs w:val="20"/>
        </w:rPr>
        <w:t xml:space="preserve">Create and require minimum standards for Planning Teams, including representation from multiple gender and social groups and/or tasking of Planning Team members to speak for vulnerable peoples </w:t>
      </w:r>
    </w:p>
    <w:p w14:paraId="30FCDB79" w14:textId="14E75BB5" w:rsidR="008A688F" w:rsidRPr="00316F64" w:rsidRDefault="008A688F" w:rsidP="00EA4043">
      <w:pPr>
        <w:pStyle w:val="ListParagraph"/>
        <w:numPr>
          <w:ilvl w:val="0"/>
          <w:numId w:val="110"/>
        </w:numPr>
        <w:jc w:val="both"/>
        <w:rPr>
          <w:rFonts w:asciiTheme="majorHAnsi" w:hAnsiTheme="majorHAnsi"/>
          <w:sz w:val="20"/>
          <w:szCs w:val="20"/>
        </w:rPr>
      </w:pPr>
      <w:r w:rsidRPr="00316F64">
        <w:rPr>
          <w:rFonts w:asciiTheme="majorHAnsi" w:hAnsiTheme="majorHAnsi"/>
          <w:sz w:val="20"/>
          <w:szCs w:val="20"/>
        </w:rPr>
        <w:t>Capacity Building and Training for Project Staff and Planning Team facilitators to include the input of multiple groups into resulting Plans</w:t>
      </w:r>
    </w:p>
    <w:p w14:paraId="0D246A44" w14:textId="743F8082" w:rsidR="008A688F" w:rsidRPr="00316F64" w:rsidRDefault="008A688F" w:rsidP="00EA4043">
      <w:pPr>
        <w:pStyle w:val="ListParagraph"/>
        <w:numPr>
          <w:ilvl w:val="0"/>
          <w:numId w:val="110"/>
        </w:numPr>
        <w:jc w:val="both"/>
        <w:rPr>
          <w:rFonts w:asciiTheme="majorHAnsi" w:hAnsiTheme="majorHAnsi"/>
          <w:sz w:val="20"/>
          <w:szCs w:val="20"/>
        </w:rPr>
      </w:pPr>
      <w:r w:rsidRPr="00316F64">
        <w:rPr>
          <w:rFonts w:asciiTheme="majorHAnsi" w:hAnsiTheme="majorHAnsi"/>
          <w:sz w:val="20"/>
          <w:szCs w:val="20"/>
        </w:rPr>
        <w:t xml:space="preserve">Support research and mapping of: (i) </w:t>
      </w:r>
      <w:r w:rsidRPr="008A688F">
        <w:rPr>
          <w:rFonts w:asciiTheme="majorHAnsi" w:hAnsiTheme="majorHAnsi"/>
          <w:sz w:val="20"/>
          <w:szCs w:val="20"/>
        </w:rPr>
        <w:t>c</w:t>
      </w:r>
      <w:r w:rsidRPr="00316F64">
        <w:rPr>
          <w:rFonts w:asciiTheme="majorHAnsi" w:hAnsiTheme="majorHAnsi"/>
          <w:sz w:val="20"/>
          <w:szCs w:val="20"/>
        </w:rPr>
        <w:t xml:space="preserve">urrent gender roles and how they have changed between generations in each of the 5 sectors; (ii) </w:t>
      </w:r>
      <w:r w:rsidRPr="008A688F">
        <w:rPr>
          <w:rFonts w:asciiTheme="majorHAnsi" w:hAnsiTheme="majorHAnsi"/>
          <w:sz w:val="20"/>
          <w:szCs w:val="20"/>
        </w:rPr>
        <w:t>g</w:t>
      </w:r>
      <w:r w:rsidRPr="00316F64">
        <w:rPr>
          <w:rFonts w:asciiTheme="majorHAnsi" w:hAnsiTheme="majorHAnsi"/>
          <w:sz w:val="20"/>
          <w:szCs w:val="20"/>
        </w:rPr>
        <w:t xml:space="preserve">ender and social group uses and use patterns of land and marine habitats; (iii) </w:t>
      </w:r>
      <w:r w:rsidRPr="008A688F">
        <w:rPr>
          <w:rFonts w:asciiTheme="majorHAnsi" w:hAnsiTheme="majorHAnsi"/>
          <w:sz w:val="20"/>
          <w:szCs w:val="20"/>
        </w:rPr>
        <w:t>m</w:t>
      </w:r>
      <w:r w:rsidRPr="00316F64">
        <w:rPr>
          <w:rFonts w:asciiTheme="majorHAnsi" w:hAnsiTheme="majorHAnsi"/>
          <w:sz w:val="20"/>
          <w:szCs w:val="20"/>
        </w:rPr>
        <w:t xml:space="preserve">arket access by gender; (iv) </w:t>
      </w:r>
      <w:r w:rsidRPr="008A688F">
        <w:rPr>
          <w:rFonts w:asciiTheme="majorHAnsi" w:hAnsiTheme="majorHAnsi"/>
          <w:sz w:val="20"/>
          <w:szCs w:val="20"/>
        </w:rPr>
        <w:t>m</w:t>
      </w:r>
      <w:r w:rsidRPr="00316F64">
        <w:rPr>
          <w:rFonts w:asciiTheme="majorHAnsi" w:hAnsiTheme="majorHAnsi"/>
          <w:sz w:val="20"/>
          <w:szCs w:val="20"/>
        </w:rPr>
        <w:t>apping of the tourism sector by gender and social group</w:t>
      </w:r>
      <w:r w:rsidRPr="008A688F">
        <w:rPr>
          <w:rFonts w:asciiTheme="majorHAnsi" w:hAnsiTheme="majorHAnsi"/>
          <w:sz w:val="20"/>
          <w:szCs w:val="20"/>
        </w:rPr>
        <w:t>; and (vi)</w:t>
      </w:r>
      <w:r w:rsidRPr="00316F64">
        <w:rPr>
          <w:rFonts w:asciiTheme="majorHAnsi" w:hAnsiTheme="majorHAnsi"/>
          <w:sz w:val="20"/>
          <w:szCs w:val="20"/>
        </w:rPr>
        <w:t xml:space="preserve"> </w:t>
      </w:r>
      <w:r w:rsidRPr="008A688F">
        <w:rPr>
          <w:rFonts w:asciiTheme="majorHAnsi" w:hAnsiTheme="majorHAnsi"/>
          <w:sz w:val="20"/>
          <w:szCs w:val="20"/>
        </w:rPr>
        <w:t>a</w:t>
      </w:r>
      <w:r w:rsidRPr="00316F64">
        <w:rPr>
          <w:rFonts w:asciiTheme="majorHAnsi" w:hAnsiTheme="majorHAnsi"/>
          <w:sz w:val="20"/>
          <w:szCs w:val="20"/>
        </w:rPr>
        <w:t>pply</w:t>
      </w:r>
      <w:r>
        <w:rPr>
          <w:rFonts w:asciiTheme="majorHAnsi" w:hAnsiTheme="majorHAnsi"/>
          <w:sz w:val="20"/>
          <w:szCs w:val="20"/>
        </w:rPr>
        <w:t>ing</w:t>
      </w:r>
      <w:r w:rsidRPr="00316F64">
        <w:rPr>
          <w:rFonts w:asciiTheme="majorHAnsi" w:hAnsiTheme="majorHAnsi"/>
          <w:sz w:val="20"/>
          <w:szCs w:val="20"/>
        </w:rPr>
        <w:t xml:space="preserve"> a gender and socially inclusive lens to all research plans and priorities to ensure that multiple groups’ data needs are filled.</w:t>
      </w:r>
    </w:p>
    <w:p w14:paraId="5240DA43" w14:textId="4AB700AA" w:rsidR="008A688F" w:rsidRPr="00316F64" w:rsidRDefault="008A688F" w:rsidP="00EA4043">
      <w:pPr>
        <w:pStyle w:val="ListParagraph"/>
        <w:numPr>
          <w:ilvl w:val="0"/>
          <w:numId w:val="110"/>
        </w:numPr>
        <w:jc w:val="both"/>
        <w:rPr>
          <w:rFonts w:asciiTheme="majorHAnsi" w:hAnsiTheme="majorHAnsi"/>
          <w:sz w:val="20"/>
          <w:szCs w:val="20"/>
        </w:rPr>
      </w:pPr>
      <w:r w:rsidRPr="00316F64">
        <w:rPr>
          <w:rFonts w:asciiTheme="majorHAnsi" w:hAnsiTheme="majorHAnsi"/>
          <w:sz w:val="20"/>
          <w:szCs w:val="20"/>
        </w:rPr>
        <w:lastRenderedPageBreak/>
        <w:t>Investing in staff to enable adequate connections with multiple groups. Instead of general community meetings, meetings with (i) Women’s Groups; (ii) Men’s Groups; (iii) Youth Groups; and (iv) Individuals with access to or influence over vulnerable people (e.g. landowners or church leaders)</w:t>
      </w:r>
    </w:p>
    <w:p w14:paraId="4165D292" w14:textId="24181549" w:rsidR="008A688F" w:rsidRPr="00316F64" w:rsidRDefault="008A688F" w:rsidP="00EA4043">
      <w:pPr>
        <w:pStyle w:val="ListParagraph"/>
        <w:numPr>
          <w:ilvl w:val="0"/>
          <w:numId w:val="110"/>
        </w:numPr>
        <w:jc w:val="both"/>
        <w:rPr>
          <w:rFonts w:asciiTheme="majorHAnsi" w:hAnsiTheme="majorHAnsi"/>
          <w:sz w:val="20"/>
          <w:szCs w:val="20"/>
        </w:rPr>
      </w:pPr>
      <w:r w:rsidRPr="00316F64">
        <w:rPr>
          <w:rFonts w:asciiTheme="majorHAnsi" w:hAnsiTheme="majorHAnsi"/>
          <w:sz w:val="20"/>
          <w:szCs w:val="20"/>
        </w:rPr>
        <w:t>Capacity Building and Training for Project Staff and Planning Team facilitators to better engage multiple gender and social groups</w:t>
      </w:r>
    </w:p>
    <w:p w14:paraId="1422FDCE" w14:textId="69A14E46" w:rsidR="008A688F" w:rsidRDefault="008A688F" w:rsidP="00EA4043">
      <w:pPr>
        <w:pStyle w:val="ListParagraph"/>
        <w:widowControl w:val="0"/>
        <w:numPr>
          <w:ilvl w:val="0"/>
          <w:numId w:val="110"/>
        </w:numPr>
        <w:autoSpaceDE w:val="0"/>
        <w:autoSpaceDN w:val="0"/>
        <w:adjustRightInd w:val="0"/>
        <w:jc w:val="both"/>
        <w:rPr>
          <w:rFonts w:asciiTheme="majorHAnsi" w:hAnsiTheme="majorHAnsi"/>
          <w:sz w:val="20"/>
          <w:szCs w:val="20"/>
        </w:rPr>
      </w:pPr>
      <w:r w:rsidRPr="00316F64">
        <w:rPr>
          <w:rFonts w:asciiTheme="majorHAnsi" w:hAnsiTheme="majorHAnsi"/>
          <w:sz w:val="20"/>
          <w:szCs w:val="20"/>
        </w:rPr>
        <w:t>Apply a Gender and Socially Inclusive Lens to every meeting, report, plan, and activity</w:t>
      </w:r>
    </w:p>
    <w:p w14:paraId="73D0C91C" w14:textId="30924F11" w:rsidR="00316F64" w:rsidRPr="00316F64" w:rsidRDefault="00316F64" w:rsidP="00EA4043">
      <w:pPr>
        <w:pStyle w:val="ListParagraph"/>
        <w:numPr>
          <w:ilvl w:val="0"/>
          <w:numId w:val="110"/>
        </w:numPr>
        <w:rPr>
          <w:rFonts w:asciiTheme="majorHAnsi" w:hAnsiTheme="majorHAnsi"/>
          <w:sz w:val="20"/>
          <w:szCs w:val="20"/>
        </w:rPr>
      </w:pPr>
      <w:r>
        <w:rPr>
          <w:rFonts w:asciiTheme="majorHAnsi" w:hAnsiTheme="majorHAnsi"/>
          <w:sz w:val="20"/>
          <w:szCs w:val="20"/>
        </w:rPr>
        <w:t>Applying g</w:t>
      </w:r>
      <w:r w:rsidRPr="00316F64">
        <w:rPr>
          <w:rFonts w:asciiTheme="majorHAnsi" w:hAnsiTheme="majorHAnsi"/>
          <w:sz w:val="20"/>
          <w:szCs w:val="20"/>
        </w:rPr>
        <w:t>ender disaggregated target and baseline have been established where appropriate as part of the project monitoring plan.</w:t>
      </w:r>
    </w:p>
    <w:p w14:paraId="0AE27A01" w14:textId="77777777" w:rsidR="008A688F" w:rsidRPr="00316F64" w:rsidRDefault="008A688F" w:rsidP="00EA4043">
      <w:pPr>
        <w:pStyle w:val="ListParagraph"/>
        <w:widowControl w:val="0"/>
        <w:numPr>
          <w:ilvl w:val="0"/>
          <w:numId w:val="110"/>
        </w:numPr>
        <w:autoSpaceDE w:val="0"/>
        <w:autoSpaceDN w:val="0"/>
        <w:adjustRightInd w:val="0"/>
        <w:jc w:val="both"/>
        <w:rPr>
          <w:rFonts w:asciiTheme="majorHAnsi" w:hAnsiTheme="majorHAnsi"/>
          <w:sz w:val="20"/>
          <w:szCs w:val="20"/>
        </w:rPr>
      </w:pPr>
      <w:r w:rsidRPr="00316F64">
        <w:rPr>
          <w:rFonts w:asciiTheme="majorHAnsi" w:hAnsiTheme="majorHAnsi"/>
          <w:sz w:val="20"/>
          <w:szCs w:val="20"/>
        </w:rPr>
        <w:t>Conduct Economic and Social Analyses of proposed Land/Seascape Plans resulting from the project, and all other outputs (such as proposed protected areas and implementation plans for Best Practices)</w:t>
      </w:r>
    </w:p>
    <w:p w14:paraId="3A815D69" w14:textId="1C0B2316" w:rsidR="008A688F" w:rsidRPr="00316F64" w:rsidRDefault="008A688F" w:rsidP="00EA4043">
      <w:pPr>
        <w:pStyle w:val="ListParagraph"/>
        <w:widowControl w:val="0"/>
        <w:numPr>
          <w:ilvl w:val="0"/>
          <w:numId w:val="110"/>
        </w:numPr>
        <w:autoSpaceDE w:val="0"/>
        <w:autoSpaceDN w:val="0"/>
        <w:adjustRightInd w:val="0"/>
        <w:jc w:val="both"/>
        <w:rPr>
          <w:rFonts w:asciiTheme="majorHAnsi" w:hAnsiTheme="majorHAnsi"/>
          <w:sz w:val="20"/>
          <w:szCs w:val="20"/>
        </w:rPr>
      </w:pPr>
      <w:r w:rsidRPr="00316F64">
        <w:rPr>
          <w:rFonts w:asciiTheme="majorHAnsi" w:hAnsiTheme="majorHAnsi"/>
          <w:sz w:val="20"/>
          <w:szCs w:val="20"/>
        </w:rPr>
        <w:t>Implement the Communications Strategy, including: holding multiple, targeted meetings by disaggregated group</w:t>
      </w:r>
    </w:p>
    <w:p w14:paraId="0E1D75A9" w14:textId="0FE96056" w:rsidR="008A688F" w:rsidRPr="00316F64" w:rsidRDefault="008A688F" w:rsidP="00EA4043">
      <w:pPr>
        <w:pStyle w:val="ListParagraph"/>
        <w:numPr>
          <w:ilvl w:val="0"/>
          <w:numId w:val="110"/>
        </w:numPr>
        <w:jc w:val="both"/>
        <w:rPr>
          <w:rFonts w:asciiTheme="majorHAnsi" w:hAnsiTheme="majorHAnsi"/>
          <w:sz w:val="20"/>
          <w:szCs w:val="20"/>
        </w:rPr>
      </w:pPr>
      <w:r w:rsidRPr="00316F64">
        <w:rPr>
          <w:rFonts w:asciiTheme="majorHAnsi" w:hAnsiTheme="majorHAnsi"/>
          <w:sz w:val="20"/>
          <w:szCs w:val="20"/>
        </w:rPr>
        <w:t>Making better use of digital platforms in order to create oral/audio content, with less emphasis on writing to better communicate with women and youth</w:t>
      </w:r>
    </w:p>
    <w:p w14:paraId="686F8911" w14:textId="11CE1D35" w:rsidR="008A688F" w:rsidRPr="00316F64" w:rsidRDefault="008A688F" w:rsidP="00EA4043">
      <w:pPr>
        <w:pStyle w:val="ListParagraph"/>
        <w:numPr>
          <w:ilvl w:val="0"/>
          <w:numId w:val="110"/>
        </w:numPr>
        <w:rPr>
          <w:rFonts w:asciiTheme="majorHAnsi" w:hAnsiTheme="majorHAnsi"/>
          <w:szCs w:val="20"/>
        </w:rPr>
      </w:pPr>
      <w:r w:rsidRPr="00316F64">
        <w:rPr>
          <w:rFonts w:asciiTheme="majorHAnsi" w:hAnsiTheme="majorHAnsi"/>
          <w:sz w:val="20"/>
          <w:szCs w:val="20"/>
        </w:rPr>
        <w:t>Incorporating gender and socially-sensitive indicators and collection of gender-disaggregated data for monitoring and evaluating project results</w:t>
      </w:r>
    </w:p>
    <w:p w14:paraId="74174B08" w14:textId="77777777" w:rsidR="00B87774" w:rsidRPr="00393350" w:rsidRDefault="00B87774" w:rsidP="00B87774">
      <w:pPr>
        <w:spacing w:after="0"/>
        <w:rPr>
          <w:i/>
          <w:szCs w:val="20"/>
        </w:rPr>
      </w:pPr>
    </w:p>
    <w:p w14:paraId="231888C2" w14:textId="24D53C5F" w:rsidR="002200BB" w:rsidRPr="0061283E" w:rsidRDefault="00B87774" w:rsidP="00B02352">
      <w:pPr>
        <w:numPr>
          <w:ilvl w:val="0"/>
          <w:numId w:val="10"/>
        </w:numPr>
        <w:spacing w:after="0"/>
        <w:ind w:left="720"/>
        <w:rPr>
          <w:b/>
          <w:i/>
          <w:sz w:val="20"/>
          <w:szCs w:val="20"/>
        </w:rPr>
      </w:pPr>
      <w:r w:rsidRPr="0061283E">
        <w:rPr>
          <w:b/>
          <w:bCs/>
          <w:sz w:val="20"/>
          <w:szCs w:val="20"/>
          <w:u w:val="single"/>
        </w:rPr>
        <w:t>South-South and Triangular Cooperation</w:t>
      </w:r>
      <w:r w:rsidRPr="0061283E">
        <w:rPr>
          <w:b/>
          <w:bCs/>
          <w:sz w:val="20"/>
          <w:szCs w:val="20"/>
        </w:rPr>
        <w:t xml:space="preserve"> (SSTrC): </w:t>
      </w:r>
    </w:p>
    <w:p w14:paraId="535A2C5E" w14:textId="77777777" w:rsidR="002200BB" w:rsidRDefault="002200BB" w:rsidP="00B27C1D">
      <w:pPr>
        <w:spacing w:after="0"/>
        <w:rPr>
          <w:bCs/>
          <w:i/>
          <w:sz w:val="20"/>
          <w:szCs w:val="20"/>
        </w:rPr>
      </w:pPr>
    </w:p>
    <w:p w14:paraId="41BC009C" w14:textId="2C2C7321" w:rsidR="008508CE" w:rsidRDefault="00BA2749" w:rsidP="008508CE">
      <w:pPr>
        <w:spacing w:after="0"/>
        <w:rPr>
          <w:bCs/>
          <w:sz w:val="20"/>
          <w:szCs w:val="20"/>
        </w:rPr>
      </w:pPr>
      <w:r w:rsidRPr="00B27C1D">
        <w:rPr>
          <w:rFonts w:asciiTheme="majorHAnsi" w:hAnsiTheme="majorHAnsi"/>
          <w:bCs/>
          <w:sz w:val="20"/>
          <w:szCs w:val="20"/>
        </w:rPr>
        <w:t xml:space="preserve">This project is specific to </w:t>
      </w:r>
      <w:r>
        <w:rPr>
          <w:rFonts w:asciiTheme="majorHAnsi" w:hAnsiTheme="majorHAnsi"/>
          <w:bCs/>
          <w:sz w:val="20"/>
          <w:szCs w:val="20"/>
        </w:rPr>
        <w:t>Palau</w:t>
      </w:r>
      <w:r w:rsidRPr="00B27C1D">
        <w:rPr>
          <w:rFonts w:asciiTheme="majorHAnsi" w:hAnsiTheme="majorHAnsi"/>
          <w:bCs/>
          <w:sz w:val="20"/>
          <w:szCs w:val="20"/>
        </w:rPr>
        <w:t xml:space="preserve">, but it has implications for the rest of the Pacific that is extremely </w:t>
      </w:r>
      <w:r>
        <w:rPr>
          <w:rFonts w:asciiTheme="majorHAnsi" w:hAnsiTheme="majorHAnsi"/>
          <w:bCs/>
          <w:sz w:val="20"/>
          <w:szCs w:val="20"/>
        </w:rPr>
        <w:t xml:space="preserve">useful in particular </w:t>
      </w:r>
      <w:r w:rsidR="008508CE">
        <w:rPr>
          <w:rFonts w:asciiTheme="majorHAnsi" w:hAnsiTheme="majorHAnsi"/>
          <w:bCs/>
          <w:sz w:val="20"/>
          <w:szCs w:val="20"/>
        </w:rPr>
        <w:t xml:space="preserve">are vulnerability to sea level rise and </w:t>
      </w:r>
      <w:r w:rsidRPr="00B27C1D">
        <w:rPr>
          <w:rFonts w:asciiTheme="majorHAnsi" w:hAnsiTheme="majorHAnsi"/>
          <w:bCs/>
          <w:sz w:val="20"/>
          <w:szCs w:val="20"/>
        </w:rPr>
        <w:t xml:space="preserve">introduction of IAS. </w:t>
      </w:r>
      <w:r w:rsidRPr="00B27C1D">
        <w:rPr>
          <w:rFonts w:asciiTheme="majorHAnsi" w:eastAsia="Times New Roman" w:hAnsiTheme="majorHAnsi"/>
          <w:sz w:val="20"/>
          <w:szCs w:val="20"/>
        </w:rPr>
        <w:t>The project will collaborate with a variety of other projects that are both on-going and yet to be initiated</w:t>
      </w:r>
      <w:r w:rsidR="00194AA1">
        <w:rPr>
          <w:rFonts w:asciiTheme="majorHAnsi" w:eastAsia="Times New Roman" w:hAnsiTheme="majorHAnsi"/>
          <w:sz w:val="20"/>
          <w:szCs w:val="20"/>
        </w:rPr>
        <w:t xml:space="preserve">. </w:t>
      </w:r>
      <w:r w:rsidRPr="00B27C1D">
        <w:rPr>
          <w:rFonts w:asciiTheme="majorHAnsi" w:eastAsia="Times New Roman" w:hAnsiTheme="majorHAnsi"/>
          <w:sz w:val="20"/>
          <w:szCs w:val="20"/>
        </w:rPr>
        <w:t xml:space="preserve">Collaboration, coordination and synergistic projects are expected to be critical elements of improving </w:t>
      </w:r>
      <w:r w:rsidR="008508CE">
        <w:rPr>
          <w:rFonts w:asciiTheme="majorHAnsi" w:eastAsia="Times New Roman" w:hAnsiTheme="majorHAnsi"/>
          <w:sz w:val="20"/>
          <w:szCs w:val="20"/>
        </w:rPr>
        <w:t xml:space="preserve">conservation outcomes, </w:t>
      </w:r>
      <w:r w:rsidRPr="00B27C1D">
        <w:rPr>
          <w:rFonts w:asciiTheme="majorHAnsi" w:eastAsia="Times New Roman" w:hAnsiTheme="majorHAnsi"/>
          <w:sz w:val="20"/>
          <w:szCs w:val="20"/>
        </w:rPr>
        <w:t xml:space="preserve">biosecurity and IAS protection within </w:t>
      </w:r>
      <w:r>
        <w:rPr>
          <w:rFonts w:asciiTheme="majorHAnsi" w:eastAsia="Times New Roman" w:hAnsiTheme="majorHAnsi"/>
          <w:sz w:val="20"/>
          <w:szCs w:val="20"/>
        </w:rPr>
        <w:t>Palau</w:t>
      </w:r>
      <w:r w:rsidRPr="00B27C1D">
        <w:rPr>
          <w:rFonts w:asciiTheme="majorHAnsi" w:eastAsia="Times New Roman" w:hAnsiTheme="majorHAnsi"/>
          <w:sz w:val="20"/>
          <w:szCs w:val="20"/>
        </w:rPr>
        <w:t xml:space="preserve"> and also regionally</w:t>
      </w:r>
      <w:r w:rsidR="00194AA1">
        <w:rPr>
          <w:rFonts w:asciiTheme="majorHAnsi" w:eastAsia="Times New Roman" w:hAnsiTheme="majorHAnsi"/>
          <w:sz w:val="20"/>
          <w:szCs w:val="20"/>
        </w:rPr>
        <w:t xml:space="preserve">. </w:t>
      </w:r>
      <w:r>
        <w:rPr>
          <w:bCs/>
          <w:sz w:val="20"/>
          <w:szCs w:val="20"/>
        </w:rPr>
        <w:t xml:space="preserve">The Project promotes an integrated land and seascape management approach to ensure the effective mainstreaming of biodiversity conservation into key development sectors in Palau that complements a number of other regional GEF “Reef-to-Ridge’ Initiatives including specifically in Fiji, FSM and Marshall Islands. </w:t>
      </w:r>
    </w:p>
    <w:p w14:paraId="64702FB8" w14:textId="77777777" w:rsidR="008508CE" w:rsidRPr="008508CE" w:rsidRDefault="008508CE" w:rsidP="008508CE">
      <w:pPr>
        <w:spacing w:after="0"/>
        <w:rPr>
          <w:bCs/>
          <w:sz w:val="20"/>
          <w:szCs w:val="20"/>
        </w:rPr>
      </w:pPr>
    </w:p>
    <w:p w14:paraId="4564EBD6" w14:textId="7F9CBA29" w:rsidR="002200BB" w:rsidRPr="00B27C1D" w:rsidRDefault="008508CE" w:rsidP="008508CE">
      <w:pPr>
        <w:spacing w:after="0"/>
        <w:rPr>
          <w:rFonts w:asciiTheme="majorHAnsi" w:hAnsiTheme="majorHAnsi"/>
          <w:bCs/>
          <w:sz w:val="20"/>
          <w:szCs w:val="20"/>
        </w:rPr>
      </w:pPr>
      <w:r>
        <w:rPr>
          <w:rFonts w:asciiTheme="majorHAnsi" w:hAnsiTheme="majorHAnsi"/>
          <w:bCs/>
          <w:sz w:val="20"/>
          <w:szCs w:val="20"/>
        </w:rPr>
        <w:t xml:space="preserve">In terms of IAS, </w:t>
      </w:r>
      <w:r>
        <w:rPr>
          <w:rFonts w:asciiTheme="majorHAnsi" w:eastAsia="Times New Roman" w:hAnsiTheme="majorHAnsi"/>
          <w:sz w:val="20"/>
          <w:szCs w:val="20"/>
        </w:rPr>
        <w:t>o</w:t>
      </w:r>
      <w:r w:rsidR="002200BB" w:rsidRPr="00B27C1D">
        <w:rPr>
          <w:rFonts w:asciiTheme="majorHAnsi" w:eastAsia="Times New Roman" w:hAnsiTheme="majorHAnsi"/>
          <w:sz w:val="20"/>
          <w:szCs w:val="20"/>
        </w:rPr>
        <w:t xml:space="preserve">n-going efforts that will specifically be linked with this project will include the Pacific Adaption to Climate Change which has a primary objective of developing crop resilience/food security within </w:t>
      </w:r>
      <w:r w:rsidR="00BA2749">
        <w:rPr>
          <w:rFonts w:asciiTheme="majorHAnsi" w:eastAsia="Times New Roman" w:hAnsiTheme="majorHAnsi"/>
          <w:sz w:val="20"/>
          <w:szCs w:val="20"/>
        </w:rPr>
        <w:t>Pacific Island  countries</w:t>
      </w:r>
      <w:r w:rsidR="002200BB" w:rsidRPr="00B27C1D">
        <w:rPr>
          <w:rFonts w:asciiTheme="majorHAnsi" w:eastAsia="Times New Roman" w:hAnsiTheme="majorHAnsi"/>
          <w:sz w:val="20"/>
          <w:szCs w:val="20"/>
        </w:rPr>
        <w:t xml:space="preserve"> and facilitating this work will require prevention of IAS incursions and managing a variety of existing IAS that impact crops. UNEP and SPREP regional IAS project</w:t>
      </w:r>
      <w:r w:rsidR="00BA2749">
        <w:rPr>
          <w:rFonts w:asciiTheme="majorHAnsi" w:eastAsia="Times New Roman" w:hAnsiTheme="majorHAnsi"/>
          <w:sz w:val="20"/>
          <w:szCs w:val="20"/>
        </w:rPr>
        <w:t xml:space="preserve">, </w:t>
      </w:r>
      <w:r w:rsidR="002200BB" w:rsidRPr="00B27C1D">
        <w:rPr>
          <w:rFonts w:asciiTheme="majorHAnsi" w:eastAsia="Times New Roman" w:hAnsiTheme="majorHAnsi"/>
          <w:sz w:val="20"/>
          <w:szCs w:val="20"/>
        </w:rPr>
        <w:t>UNDP</w:t>
      </w:r>
      <w:r>
        <w:rPr>
          <w:rFonts w:asciiTheme="majorHAnsi" w:eastAsia="Times New Roman" w:hAnsiTheme="majorHAnsi"/>
          <w:sz w:val="20"/>
          <w:szCs w:val="20"/>
        </w:rPr>
        <w:t>’s</w:t>
      </w:r>
      <w:r w:rsidR="002200BB" w:rsidRPr="00B27C1D">
        <w:rPr>
          <w:rFonts w:asciiTheme="majorHAnsi" w:eastAsia="Times New Roman" w:hAnsiTheme="majorHAnsi"/>
          <w:sz w:val="20"/>
          <w:szCs w:val="20"/>
        </w:rPr>
        <w:t xml:space="preserve"> Fiji IAS project </w:t>
      </w:r>
      <w:r w:rsidR="00BA2749">
        <w:rPr>
          <w:rFonts w:asciiTheme="majorHAnsi" w:eastAsia="Times New Roman" w:hAnsiTheme="majorHAnsi"/>
          <w:sz w:val="20"/>
          <w:szCs w:val="20"/>
        </w:rPr>
        <w:t xml:space="preserve">and the Palau project </w:t>
      </w:r>
      <w:r w:rsidR="002200BB" w:rsidRPr="00B27C1D">
        <w:rPr>
          <w:rFonts w:asciiTheme="majorHAnsi" w:eastAsia="Times New Roman" w:hAnsiTheme="majorHAnsi"/>
          <w:sz w:val="20"/>
          <w:szCs w:val="20"/>
        </w:rPr>
        <w:t xml:space="preserve">will also be linked and work collaboratively, as </w:t>
      </w:r>
      <w:r w:rsidR="00BA2749">
        <w:rPr>
          <w:rFonts w:asciiTheme="majorHAnsi" w:eastAsia="Times New Roman" w:hAnsiTheme="majorHAnsi"/>
          <w:sz w:val="20"/>
          <w:szCs w:val="20"/>
        </w:rPr>
        <w:t>these</w:t>
      </w:r>
      <w:r w:rsidR="00BA2749" w:rsidRPr="00B27C1D">
        <w:rPr>
          <w:rFonts w:asciiTheme="majorHAnsi" w:eastAsia="Times New Roman" w:hAnsiTheme="majorHAnsi"/>
          <w:sz w:val="20"/>
          <w:szCs w:val="20"/>
        </w:rPr>
        <w:t xml:space="preserve"> </w:t>
      </w:r>
      <w:r w:rsidR="002200BB" w:rsidRPr="00B27C1D">
        <w:rPr>
          <w:rFonts w:asciiTheme="majorHAnsi" w:eastAsia="Times New Roman" w:hAnsiTheme="majorHAnsi"/>
          <w:sz w:val="20"/>
          <w:szCs w:val="20"/>
        </w:rPr>
        <w:t>projects, are facilitating the improvement of biosecurity and IAS management within specific countries, which in many cases are trade partners and which already work collaboratively in a variety of IAS initiatives</w:t>
      </w:r>
      <w:r w:rsidR="00194AA1">
        <w:rPr>
          <w:rFonts w:asciiTheme="majorHAnsi" w:eastAsia="Times New Roman" w:hAnsiTheme="majorHAnsi"/>
          <w:sz w:val="20"/>
          <w:szCs w:val="20"/>
        </w:rPr>
        <w:t xml:space="preserve">. </w:t>
      </w:r>
      <w:r w:rsidR="002200BB" w:rsidRPr="00B27C1D">
        <w:rPr>
          <w:rFonts w:asciiTheme="majorHAnsi" w:eastAsia="Times New Roman" w:hAnsiTheme="majorHAnsi"/>
          <w:sz w:val="20"/>
          <w:szCs w:val="20"/>
        </w:rPr>
        <w:t>These efforts and others will only be enhanced with biosecurity and IAS management activity improvements at the country level, which in turn will foster regional improvements</w:t>
      </w:r>
      <w:r w:rsidR="00194AA1">
        <w:rPr>
          <w:rFonts w:asciiTheme="majorHAnsi" w:eastAsia="Times New Roman" w:hAnsiTheme="majorHAnsi"/>
          <w:sz w:val="20"/>
          <w:szCs w:val="20"/>
        </w:rPr>
        <w:t xml:space="preserve">. </w:t>
      </w:r>
      <w:r w:rsidR="002200BB" w:rsidRPr="00B27C1D">
        <w:rPr>
          <w:rFonts w:asciiTheme="majorHAnsi" w:eastAsia="Times New Roman" w:hAnsiTheme="majorHAnsi"/>
          <w:sz w:val="20"/>
          <w:szCs w:val="20"/>
        </w:rPr>
        <w:t xml:space="preserve">These are only three examples of specific projects that the biosecurity </w:t>
      </w:r>
      <w:r w:rsidR="00BA2749">
        <w:rPr>
          <w:rFonts w:asciiTheme="majorHAnsi" w:eastAsia="Times New Roman" w:hAnsiTheme="majorHAnsi"/>
          <w:sz w:val="20"/>
          <w:szCs w:val="20"/>
        </w:rPr>
        <w:t xml:space="preserve">components of the UNDP Palau </w:t>
      </w:r>
      <w:r w:rsidR="002200BB" w:rsidRPr="00B27C1D">
        <w:rPr>
          <w:rFonts w:asciiTheme="majorHAnsi" w:eastAsia="Times New Roman" w:hAnsiTheme="majorHAnsi"/>
          <w:sz w:val="20"/>
          <w:szCs w:val="20"/>
        </w:rPr>
        <w:t>project will be collaborating with, but there are numerous others</w:t>
      </w:r>
      <w:r w:rsidR="00194AA1">
        <w:rPr>
          <w:rFonts w:asciiTheme="majorHAnsi" w:eastAsia="Times New Roman" w:hAnsiTheme="majorHAnsi"/>
          <w:sz w:val="20"/>
          <w:szCs w:val="20"/>
        </w:rPr>
        <w:t xml:space="preserve">. </w:t>
      </w:r>
    </w:p>
    <w:p w14:paraId="4BB85AD7" w14:textId="77777777" w:rsidR="002200BB" w:rsidRPr="00B27C1D" w:rsidRDefault="002200BB" w:rsidP="008508CE">
      <w:pPr>
        <w:tabs>
          <w:tab w:val="left" w:pos="720"/>
        </w:tabs>
        <w:spacing w:after="0"/>
        <w:rPr>
          <w:rFonts w:asciiTheme="majorHAnsi" w:eastAsia="Times New Roman" w:hAnsiTheme="majorHAnsi"/>
          <w:sz w:val="20"/>
          <w:szCs w:val="20"/>
        </w:rPr>
      </w:pPr>
    </w:p>
    <w:p w14:paraId="7A81CBBC" w14:textId="289A69CD" w:rsidR="002200BB" w:rsidRPr="00B27C1D" w:rsidRDefault="002200BB" w:rsidP="008508CE">
      <w:pPr>
        <w:tabs>
          <w:tab w:val="left" w:pos="720"/>
        </w:tabs>
        <w:spacing w:after="0"/>
        <w:rPr>
          <w:rFonts w:asciiTheme="majorHAnsi" w:hAnsiTheme="majorHAnsi"/>
          <w:bCs/>
          <w:sz w:val="20"/>
          <w:szCs w:val="20"/>
        </w:rPr>
      </w:pPr>
      <w:r w:rsidRPr="00B27C1D">
        <w:rPr>
          <w:rFonts w:asciiTheme="majorHAnsi" w:eastAsia="Times New Roman" w:hAnsiTheme="majorHAnsi"/>
          <w:sz w:val="20"/>
          <w:szCs w:val="20"/>
        </w:rPr>
        <w:t xml:space="preserve">In terms of UNEP’s </w:t>
      </w:r>
      <w:r w:rsidR="00BA2749">
        <w:rPr>
          <w:rFonts w:asciiTheme="majorHAnsi" w:eastAsia="Times New Roman" w:hAnsiTheme="majorHAnsi"/>
          <w:sz w:val="20"/>
          <w:szCs w:val="20"/>
        </w:rPr>
        <w:t xml:space="preserve">and UNDP’s </w:t>
      </w:r>
      <w:r w:rsidRPr="00B27C1D">
        <w:rPr>
          <w:rFonts w:asciiTheme="majorHAnsi" w:eastAsia="Times New Roman" w:hAnsiTheme="majorHAnsi"/>
          <w:sz w:val="20"/>
          <w:szCs w:val="20"/>
        </w:rPr>
        <w:t>GEF project</w:t>
      </w:r>
      <w:r w:rsidR="00BA2749">
        <w:rPr>
          <w:rFonts w:asciiTheme="majorHAnsi" w:eastAsia="Times New Roman" w:hAnsiTheme="majorHAnsi"/>
          <w:sz w:val="20"/>
          <w:szCs w:val="20"/>
        </w:rPr>
        <w:t>s</w:t>
      </w:r>
      <w:r w:rsidRPr="00B27C1D">
        <w:rPr>
          <w:rFonts w:asciiTheme="majorHAnsi" w:eastAsia="Times New Roman" w:hAnsiTheme="majorHAnsi"/>
          <w:sz w:val="20"/>
          <w:szCs w:val="20"/>
        </w:rPr>
        <w:t xml:space="preserve"> for the Pacific, there are a number of activities that are directly relevant to the </w:t>
      </w:r>
      <w:r w:rsidR="00BA2749">
        <w:rPr>
          <w:rFonts w:asciiTheme="majorHAnsi" w:eastAsia="Times New Roman" w:hAnsiTheme="majorHAnsi"/>
          <w:sz w:val="20"/>
          <w:szCs w:val="20"/>
        </w:rPr>
        <w:t xml:space="preserve">Palau </w:t>
      </w:r>
      <w:r w:rsidRPr="00B27C1D">
        <w:rPr>
          <w:rFonts w:asciiTheme="majorHAnsi" w:eastAsia="Times New Roman" w:hAnsiTheme="majorHAnsi"/>
          <w:sz w:val="20"/>
          <w:szCs w:val="20"/>
        </w:rPr>
        <w:t xml:space="preserve">IAS project that will benefit IAS and biosecurity actions throughout the Pacific. Component 1 of UNEP’s </w:t>
      </w:r>
      <w:r w:rsidR="00BA2749">
        <w:rPr>
          <w:rFonts w:asciiTheme="majorHAnsi" w:eastAsia="Times New Roman" w:hAnsiTheme="majorHAnsi"/>
          <w:sz w:val="20"/>
          <w:szCs w:val="20"/>
        </w:rPr>
        <w:t xml:space="preserve">project </w:t>
      </w:r>
      <w:r w:rsidRPr="00B27C1D">
        <w:rPr>
          <w:rFonts w:asciiTheme="majorHAnsi" w:eastAsia="Times New Roman" w:hAnsiTheme="majorHAnsi"/>
          <w:sz w:val="20"/>
          <w:szCs w:val="20"/>
        </w:rPr>
        <w:t xml:space="preserve">seeks to strengthen IAS legislation, regulations and policies and development and updates of NISSAP that that are extremely relevant to the </w:t>
      </w:r>
      <w:r w:rsidR="00BA2749">
        <w:rPr>
          <w:rFonts w:asciiTheme="majorHAnsi" w:eastAsia="Times New Roman" w:hAnsiTheme="majorHAnsi"/>
          <w:sz w:val="20"/>
          <w:szCs w:val="20"/>
        </w:rPr>
        <w:t xml:space="preserve">Palau </w:t>
      </w:r>
      <w:r w:rsidRPr="00B27C1D">
        <w:rPr>
          <w:rFonts w:asciiTheme="majorHAnsi" w:eastAsia="Times New Roman" w:hAnsiTheme="majorHAnsi"/>
          <w:sz w:val="20"/>
          <w:szCs w:val="20"/>
        </w:rPr>
        <w:t>project as is Component 2 on risk assessment and baseline studies on IAS</w:t>
      </w:r>
      <w:r w:rsidR="00194AA1">
        <w:rPr>
          <w:rFonts w:asciiTheme="majorHAnsi" w:eastAsia="Times New Roman" w:hAnsiTheme="majorHAnsi"/>
          <w:sz w:val="20"/>
          <w:szCs w:val="20"/>
        </w:rPr>
        <w:t xml:space="preserve">. </w:t>
      </w:r>
      <w:r w:rsidRPr="00B27C1D">
        <w:rPr>
          <w:rFonts w:asciiTheme="majorHAnsi" w:eastAsia="Times New Roman" w:hAnsiTheme="majorHAnsi"/>
          <w:sz w:val="20"/>
          <w:szCs w:val="20"/>
        </w:rPr>
        <w:t>In addition Component 3 of the UNEP project focuses on EDRR protocols, risk mitigation measures and pilot eradication activities, while Component 4 deals with establishing a Pacific islands regional framework for IAS management, including establishing information systems for delivery of case studies, guidelines, operational procedures and tools for IAs management</w:t>
      </w:r>
      <w:r w:rsidR="00194AA1">
        <w:rPr>
          <w:rFonts w:asciiTheme="majorHAnsi" w:eastAsia="Times New Roman" w:hAnsiTheme="majorHAnsi"/>
          <w:sz w:val="20"/>
          <w:szCs w:val="20"/>
        </w:rPr>
        <w:t xml:space="preserve">. </w:t>
      </w:r>
      <w:r w:rsidRPr="00B27C1D">
        <w:rPr>
          <w:rFonts w:asciiTheme="majorHAnsi" w:eastAsia="Times New Roman" w:hAnsiTheme="majorHAnsi"/>
          <w:sz w:val="20"/>
          <w:szCs w:val="20"/>
        </w:rPr>
        <w:t xml:space="preserve">The </w:t>
      </w:r>
      <w:r w:rsidR="00BA2749">
        <w:rPr>
          <w:rFonts w:asciiTheme="majorHAnsi" w:eastAsia="Times New Roman" w:hAnsiTheme="majorHAnsi"/>
          <w:sz w:val="20"/>
          <w:szCs w:val="20"/>
        </w:rPr>
        <w:t>Palau</w:t>
      </w:r>
      <w:r w:rsidRPr="00B27C1D">
        <w:rPr>
          <w:rFonts w:asciiTheme="majorHAnsi" w:eastAsia="Times New Roman" w:hAnsiTheme="majorHAnsi"/>
          <w:sz w:val="20"/>
          <w:szCs w:val="20"/>
        </w:rPr>
        <w:t xml:space="preserve"> project will ensure close linkages with the </w:t>
      </w:r>
      <w:r w:rsidR="00BA2749" w:rsidRPr="00B27C1D">
        <w:rPr>
          <w:rFonts w:asciiTheme="majorHAnsi" w:eastAsia="Times New Roman" w:hAnsiTheme="majorHAnsi"/>
          <w:sz w:val="20"/>
          <w:szCs w:val="20"/>
        </w:rPr>
        <w:t>UN</w:t>
      </w:r>
      <w:r w:rsidR="00BA2749">
        <w:rPr>
          <w:rFonts w:asciiTheme="majorHAnsi" w:eastAsia="Times New Roman" w:hAnsiTheme="majorHAnsi"/>
          <w:sz w:val="20"/>
          <w:szCs w:val="20"/>
        </w:rPr>
        <w:t>E</w:t>
      </w:r>
      <w:r w:rsidR="00BA2749" w:rsidRPr="00B27C1D">
        <w:rPr>
          <w:rFonts w:asciiTheme="majorHAnsi" w:eastAsia="Times New Roman" w:hAnsiTheme="majorHAnsi"/>
          <w:sz w:val="20"/>
          <w:szCs w:val="20"/>
        </w:rPr>
        <w:t xml:space="preserve">P </w:t>
      </w:r>
      <w:r w:rsidRPr="00B27C1D">
        <w:rPr>
          <w:rFonts w:asciiTheme="majorHAnsi" w:eastAsia="Times New Roman" w:hAnsiTheme="majorHAnsi"/>
          <w:sz w:val="20"/>
          <w:szCs w:val="20"/>
        </w:rPr>
        <w:t xml:space="preserve">regional project and other Pacific initiatives to share information and best practices (as listed above), through participation in regional databases, regional workshops and lessons sharing events, ensure that Fiji biosecurity staff attend regional workshops and conferences to learn of experiences from other parts of the Pacific. In addition, UNDP </w:t>
      </w:r>
      <w:r w:rsidR="00BA2749">
        <w:rPr>
          <w:rFonts w:asciiTheme="majorHAnsi" w:eastAsia="Times New Roman" w:hAnsiTheme="majorHAnsi"/>
          <w:sz w:val="20"/>
          <w:szCs w:val="20"/>
        </w:rPr>
        <w:t xml:space="preserve">Palau </w:t>
      </w:r>
      <w:r w:rsidRPr="00B27C1D">
        <w:rPr>
          <w:rFonts w:asciiTheme="majorHAnsi" w:eastAsia="Times New Roman" w:hAnsiTheme="majorHAnsi"/>
          <w:sz w:val="20"/>
          <w:szCs w:val="20"/>
        </w:rPr>
        <w:t xml:space="preserve">will facilitate trading lessons regionally and globally via mechanisms such as UNEP Live and agencies such as </w:t>
      </w:r>
      <w:r w:rsidR="00BA2749">
        <w:rPr>
          <w:rFonts w:asciiTheme="majorHAnsi" w:eastAsia="Times New Roman" w:hAnsiTheme="majorHAnsi"/>
          <w:sz w:val="20"/>
          <w:szCs w:val="20"/>
        </w:rPr>
        <w:t>World Conservation Monitoring Center (</w:t>
      </w:r>
      <w:r w:rsidRPr="00B27C1D">
        <w:rPr>
          <w:rFonts w:asciiTheme="majorHAnsi" w:eastAsia="Times New Roman" w:hAnsiTheme="majorHAnsi"/>
          <w:sz w:val="20"/>
          <w:szCs w:val="20"/>
        </w:rPr>
        <w:t>WCMC</w:t>
      </w:r>
      <w:r w:rsidR="00BA2749">
        <w:rPr>
          <w:rFonts w:asciiTheme="majorHAnsi" w:eastAsia="Times New Roman" w:hAnsiTheme="majorHAnsi"/>
          <w:sz w:val="20"/>
          <w:szCs w:val="20"/>
        </w:rPr>
        <w:t>)</w:t>
      </w:r>
      <w:r w:rsidRPr="00B27C1D">
        <w:rPr>
          <w:rFonts w:asciiTheme="majorHAnsi" w:eastAsia="Times New Roman" w:hAnsiTheme="majorHAnsi"/>
          <w:sz w:val="20"/>
          <w:szCs w:val="20"/>
        </w:rPr>
        <w:t xml:space="preserve"> and </w:t>
      </w:r>
      <w:r w:rsidR="00BA2749">
        <w:rPr>
          <w:rFonts w:asciiTheme="majorHAnsi" w:eastAsia="Times New Roman" w:hAnsiTheme="majorHAnsi"/>
          <w:sz w:val="20"/>
          <w:szCs w:val="20"/>
        </w:rPr>
        <w:t>Secretariat of the Pacific Regional Environment Program, (</w:t>
      </w:r>
      <w:r w:rsidRPr="00B27C1D">
        <w:rPr>
          <w:rFonts w:asciiTheme="majorHAnsi" w:eastAsia="Times New Roman" w:hAnsiTheme="majorHAnsi"/>
          <w:sz w:val="20"/>
          <w:szCs w:val="20"/>
        </w:rPr>
        <w:t>SPREP</w:t>
      </w:r>
      <w:r w:rsidR="00BA2749">
        <w:rPr>
          <w:rFonts w:asciiTheme="majorHAnsi" w:eastAsia="Times New Roman" w:hAnsiTheme="majorHAnsi"/>
          <w:sz w:val="20"/>
          <w:szCs w:val="20"/>
        </w:rPr>
        <w:t>)</w:t>
      </w:r>
      <w:r w:rsidRPr="00B27C1D">
        <w:rPr>
          <w:rFonts w:asciiTheme="majorHAnsi" w:eastAsia="Times New Roman" w:hAnsiTheme="majorHAnsi"/>
          <w:sz w:val="20"/>
          <w:szCs w:val="20"/>
        </w:rPr>
        <w:t xml:space="preserve">. </w:t>
      </w:r>
      <w:r w:rsidRPr="00B27C1D">
        <w:rPr>
          <w:rFonts w:asciiTheme="majorHAnsi" w:hAnsiTheme="majorHAnsi"/>
          <w:bCs/>
          <w:sz w:val="20"/>
          <w:szCs w:val="20"/>
        </w:rPr>
        <w:t xml:space="preserve">The knowledge management component of the </w:t>
      </w:r>
      <w:r w:rsidR="00BA2749">
        <w:rPr>
          <w:rFonts w:asciiTheme="majorHAnsi" w:hAnsiTheme="majorHAnsi"/>
          <w:bCs/>
          <w:sz w:val="20"/>
          <w:szCs w:val="20"/>
        </w:rPr>
        <w:t>Palau</w:t>
      </w:r>
      <w:r w:rsidR="00BA2749" w:rsidRPr="00B27C1D">
        <w:rPr>
          <w:rFonts w:asciiTheme="majorHAnsi" w:hAnsiTheme="majorHAnsi"/>
          <w:bCs/>
          <w:sz w:val="20"/>
          <w:szCs w:val="20"/>
        </w:rPr>
        <w:t xml:space="preserve"> </w:t>
      </w:r>
      <w:r w:rsidRPr="00B27C1D">
        <w:rPr>
          <w:rFonts w:asciiTheme="majorHAnsi" w:hAnsiTheme="majorHAnsi"/>
          <w:bCs/>
          <w:sz w:val="20"/>
          <w:szCs w:val="20"/>
        </w:rPr>
        <w:t xml:space="preserve">IAS </w:t>
      </w:r>
      <w:r w:rsidR="00BA2749">
        <w:rPr>
          <w:rFonts w:asciiTheme="majorHAnsi" w:hAnsiTheme="majorHAnsi"/>
          <w:bCs/>
          <w:sz w:val="20"/>
          <w:szCs w:val="20"/>
        </w:rPr>
        <w:t xml:space="preserve">component </w:t>
      </w:r>
      <w:r w:rsidRPr="00B27C1D">
        <w:rPr>
          <w:rFonts w:asciiTheme="majorHAnsi" w:hAnsiTheme="majorHAnsi"/>
          <w:bCs/>
          <w:sz w:val="20"/>
          <w:szCs w:val="20"/>
        </w:rPr>
        <w:t xml:space="preserve">project intends to capture such </w:t>
      </w:r>
      <w:r w:rsidRPr="00B27C1D">
        <w:rPr>
          <w:rFonts w:asciiTheme="majorHAnsi" w:hAnsiTheme="majorHAnsi"/>
          <w:bCs/>
          <w:sz w:val="20"/>
          <w:szCs w:val="20"/>
        </w:rPr>
        <w:lastRenderedPageBreak/>
        <w:t>learning and experience that can be shared with other countries through regional networks, meetings, conferences and other sharing mechanisms.</w:t>
      </w:r>
    </w:p>
    <w:p w14:paraId="56D0C0CD" w14:textId="77777777" w:rsidR="00124EF1" w:rsidRPr="00E75926" w:rsidRDefault="00124EF1" w:rsidP="00B27C1D">
      <w:pPr>
        <w:spacing w:after="0"/>
        <w:rPr>
          <w:rStyle w:val="Hyperlink"/>
          <w:i/>
          <w:color w:val="auto"/>
          <w:szCs w:val="20"/>
          <w:u w:val="none"/>
        </w:rPr>
      </w:pPr>
    </w:p>
    <w:p w14:paraId="21814CB2" w14:textId="77777777" w:rsidR="00F75A9F" w:rsidRPr="008644B7" w:rsidRDefault="008C65EB" w:rsidP="004D38A5">
      <w:pPr>
        <w:pStyle w:val="Heading1"/>
        <w:spacing w:before="0" w:after="0"/>
        <w:rPr>
          <w:rFonts w:ascii="Calibri" w:hAnsi="Calibri"/>
          <w:szCs w:val="28"/>
        </w:rPr>
      </w:pPr>
      <w:bookmarkStart w:id="9" w:name="_Toc443050757"/>
      <w:bookmarkStart w:id="10" w:name="_Toc207800912"/>
      <w:r w:rsidRPr="008644B7">
        <w:rPr>
          <w:rFonts w:ascii="Calibri" w:hAnsi="Calibri"/>
          <w:szCs w:val="28"/>
        </w:rPr>
        <w:t>F</w:t>
      </w:r>
      <w:r w:rsidR="00F75A9F" w:rsidRPr="008644B7">
        <w:rPr>
          <w:rFonts w:ascii="Calibri" w:hAnsi="Calibri"/>
          <w:szCs w:val="28"/>
        </w:rPr>
        <w:t>easibility</w:t>
      </w:r>
      <w:bookmarkEnd w:id="9"/>
    </w:p>
    <w:p w14:paraId="7F6966E0" w14:textId="77777777" w:rsidR="003723DF" w:rsidRDefault="003723DF" w:rsidP="004D38A5">
      <w:pPr>
        <w:spacing w:after="0"/>
        <w:jc w:val="left"/>
        <w:rPr>
          <w:i/>
          <w:szCs w:val="20"/>
        </w:rPr>
      </w:pPr>
    </w:p>
    <w:p w14:paraId="082A1EE4" w14:textId="77777777" w:rsidR="009E61C4" w:rsidRDefault="00774618" w:rsidP="00B02352">
      <w:pPr>
        <w:pStyle w:val="ListParagraph"/>
        <w:numPr>
          <w:ilvl w:val="0"/>
          <w:numId w:val="8"/>
        </w:numPr>
        <w:ind w:left="90" w:firstLine="270"/>
        <w:jc w:val="both"/>
        <w:rPr>
          <w:rFonts w:ascii="Calibri" w:hAnsi="Calibri" w:cs="Arial"/>
          <w:i/>
          <w:noProof/>
          <w:sz w:val="20"/>
          <w:szCs w:val="20"/>
          <w:lang w:eastAsia="zh-CN"/>
        </w:rPr>
      </w:pPr>
      <w:r w:rsidRPr="0003763F">
        <w:rPr>
          <w:rFonts w:ascii="Calibri" w:hAnsi="Calibri" w:cs="Arial"/>
          <w:noProof/>
          <w:sz w:val="20"/>
          <w:szCs w:val="20"/>
          <w:u w:val="single"/>
          <w:lang w:eastAsia="zh-CN"/>
        </w:rPr>
        <w:t>Cost efficiency and effectiveness</w:t>
      </w:r>
      <w:r w:rsidRPr="0003763F">
        <w:rPr>
          <w:rFonts w:ascii="Calibri" w:hAnsi="Calibri" w:cs="Arial"/>
          <w:i/>
          <w:noProof/>
          <w:sz w:val="20"/>
          <w:szCs w:val="20"/>
          <w:lang w:eastAsia="zh-CN"/>
        </w:rPr>
        <w:t xml:space="preserve">: </w:t>
      </w:r>
    </w:p>
    <w:p w14:paraId="66F3876B" w14:textId="77777777" w:rsidR="009E61C4" w:rsidRDefault="009E61C4" w:rsidP="009E61C4">
      <w:pPr>
        <w:rPr>
          <w:rFonts w:cs="Arial"/>
          <w:i/>
          <w:noProof/>
          <w:sz w:val="20"/>
          <w:szCs w:val="20"/>
          <w:lang w:eastAsia="zh-CN"/>
        </w:rPr>
      </w:pPr>
    </w:p>
    <w:p w14:paraId="5BE55601" w14:textId="28437648" w:rsidR="009E61C4" w:rsidRPr="0099724B" w:rsidRDefault="009E61C4" w:rsidP="009E61C4">
      <w:pPr>
        <w:rPr>
          <w:rFonts w:asciiTheme="majorHAnsi" w:hAnsiTheme="majorHAnsi"/>
          <w:sz w:val="20"/>
          <w:szCs w:val="20"/>
        </w:rPr>
      </w:pPr>
      <w:r w:rsidRPr="0099724B">
        <w:rPr>
          <w:rFonts w:asciiTheme="majorHAnsi" w:hAnsiTheme="majorHAnsi"/>
          <w:sz w:val="20"/>
          <w:szCs w:val="20"/>
        </w:rPr>
        <w:t>The project has been designed to reflect the most cost-effective approach. A number of strategies were evaluated during the project formulation stage to identify those strategies and activities that demonstrate this cost-effective approach</w:t>
      </w:r>
      <w:r w:rsidR="00194AA1">
        <w:rPr>
          <w:rFonts w:asciiTheme="majorHAnsi" w:hAnsiTheme="majorHAnsi"/>
          <w:sz w:val="20"/>
          <w:szCs w:val="20"/>
        </w:rPr>
        <w:t xml:space="preserve">. </w:t>
      </w:r>
      <w:r w:rsidRPr="0099724B">
        <w:rPr>
          <w:rFonts w:asciiTheme="majorHAnsi" w:hAnsiTheme="majorHAnsi"/>
          <w:sz w:val="20"/>
          <w:szCs w:val="20"/>
        </w:rPr>
        <w:t>The cost-effective approaches that have been applied to the project are the following:</w:t>
      </w:r>
    </w:p>
    <w:p w14:paraId="08214FF7" w14:textId="77777777" w:rsidR="009E61C4" w:rsidRPr="0099724B" w:rsidRDefault="009E61C4" w:rsidP="009E61C4">
      <w:pPr>
        <w:rPr>
          <w:rFonts w:asciiTheme="majorHAnsi" w:hAnsiTheme="majorHAnsi"/>
          <w:sz w:val="20"/>
          <w:szCs w:val="20"/>
        </w:rPr>
      </w:pPr>
      <w:r w:rsidRPr="0099724B">
        <w:rPr>
          <w:rFonts w:asciiTheme="majorHAnsi" w:hAnsiTheme="majorHAnsi"/>
          <w:i/>
          <w:sz w:val="20"/>
          <w:szCs w:val="20"/>
        </w:rPr>
        <w:t xml:space="preserve">Defining a holistic approach to project formulation: </w:t>
      </w:r>
      <w:r w:rsidRPr="0099724B">
        <w:rPr>
          <w:rFonts w:asciiTheme="majorHAnsi" w:hAnsiTheme="majorHAnsi"/>
          <w:sz w:val="20"/>
          <w:szCs w:val="20"/>
        </w:rPr>
        <w:t>The project adopts a ‘ridge-to-reef’ approach that connects landscape and seascapes and their various interactions to maximize opportunities for synergies, such that selected actions and interventions generate multiple benefits. This is accomplished through development and implementation of well-designed conservation actions (‘set-asides’ and forest restoration) and community resource management and livelihood measures in agriculture, aquaculture, fisheries and tourism that incorporate mainstreamed biodiversity policies and best practices in terms of carbon sequestration, improved food security and more resilience to climate events, whilst improving livelihood benefits, biodiversity conservation and ecosystem services.</w:t>
      </w:r>
    </w:p>
    <w:p w14:paraId="010563EB" w14:textId="5651C829" w:rsidR="009E61C4" w:rsidRPr="0099724B" w:rsidRDefault="009E61C4" w:rsidP="009E61C4">
      <w:pPr>
        <w:rPr>
          <w:rFonts w:asciiTheme="majorHAnsi" w:hAnsiTheme="majorHAnsi"/>
          <w:sz w:val="20"/>
          <w:szCs w:val="20"/>
        </w:rPr>
      </w:pPr>
      <w:r w:rsidRPr="0099724B">
        <w:rPr>
          <w:rFonts w:asciiTheme="majorHAnsi" w:hAnsiTheme="majorHAnsi"/>
          <w:i/>
          <w:sz w:val="20"/>
          <w:szCs w:val="20"/>
        </w:rPr>
        <w:t xml:space="preserve">Sequencing of activities: </w:t>
      </w:r>
      <w:r w:rsidRPr="0099724B">
        <w:rPr>
          <w:rFonts w:asciiTheme="majorHAnsi" w:eastAsia="Times New Roman" w:hAnsiTheme="majorHAnsi"/>
          <w:sz w:val="20"/>
          <w:szCs w:val="20"/>
          <w:lang w:val="en-GB"/>
        </w:rPr>
        <w:t>Project design and sequencing of project activities ensures that foundational activities are completed first, such as (i) establishing functional governance and coordinating mechanisms at the national and provincial levels; (ii) legislative and regulatory changes clarifying responsibilities of land/seascape planning, management and oversight; legislative and regulatory changes to facilitate to mainstreaming biodiversity into sector and environmental planning; and (iii) capacity improvements are developed to provide the necessary groundwork for later demonstration of best practices under Outcomes 2 and 3. The project includes subsequent documentation, dissemination of best practices for scaling up under Outcome 4.</w:t>
      </w:r>
    </w:p>
    <w:p w14:paraId="46D6CFCA" w14:textId="07A438AC" w:rsidR="009E61C4" w:rsidRPr="0099724B" w:rsidRDefault="009E61C4" w:rsidP="009E61C4">
      <w:pPr>
        <w:rPr>
          <w:rStyle w:val="CommentReference"/>
          <w:rFonts w:asciiTheme="majorHAnsi" w:hAnsiTheme="majorHAnsi"/>
          <w:sz w:val="20"/>
          <w:szCs w:val="20"/>
        </w:rPr>
      </w:pPr>
      <w:r w:rsidRPr="0099724B">
        <w:rPr>
          <w:rFonts w:asciiTheme="majorHAnsi" w:hAnsiTheme="majorHAnsi"/>
          <w:i/>
          <w:sz w:val="20"/>
          <w:szCs w:val="20"/>
        </w:rPr>
        <w:t xml:space="preserve">Models to demonstrate benefits: </w:t>
      </w:r>
      <w:r w:rsidRPr="0099724B">
        <w:rPr>
          <w:rFonts w:asciiTheme="majorHAnsi" w:hAnsiTheme="majorHAnsi"/>
          <w:sz w:val="20"/>
          <w:szCs w:val="20"/>
        </w:rPr>
        <w:t xml:space="preserve"> Project design ensures selectivity in the identification and development of on-the-ground demons</w:t>
      </w:r>
      <w:r>
        <w:rPr>
          <w:rFonts w:asciiTheme="majorHAnsi" w:hAnsiTheme="majorHAnsi"/>
          <w:sz w:val="20"/>
          <w:szCs w:val="20"/>
        </w:rPr>
        <w:t>tration models (Outcome 2 focus</w:t>
      </w:r>
      <w:r w:rsidRPr="0099724B">
        <w:rPr>
          <w:rFonts w:asciiTheme="majorHAnsi" w:hAnsiTheme="majorHAnsi"/>
          <w:sz w:val="20"/>
          <w:szCs w:val="20"/>
        </w:rPr>
        <w:t xml:space="preserve">ing mainly on trialing of forest and land restoration, sustainable natural resources management and livelihood best practices and Outcome 3 on trialing of ecotourism best practices and </w:t>
      </w:r>
      <w:r w:rsidRPr="0099724B">
        <w:rPr>
          <w:rStyle w:val="CommentReference"/>
          <w:rFonts w:asciiTheme="majorHAnsi" w:hAnsiTheme="majorHAnsi"/>
          <w:sz w:val="20"/>
          <w:szCs w:val="20"/>
        </w:rPr>
        <w:t>updated system of rules and regulations for enforcement and penalties for violations and misconduct in tourism, fisheries and aquaculture sectors, so as to ensure cost-effectiv</w:t>
      </w:r>
      <w:r>
        <w:rPr>
          <w:rStyle w:val="CommentReference"/>
          <w:rFonts w:asciiTheme="majorHAnsi" w:hAnsiTheme="majorHAnsi"/>
          <w:sz w:val="20"/>
          <w:szCs w:val="20"/>
        </w:rPr>
        <w:t>eness</w:t>
      </w:r>
      <w:r w:rsidRPr="0099724B">
        <w:rPr>
          <w:rStyle w:val="CommentReference"/>
          <w:rFonts w:asciiTheme="majorHAnsi" w:hAnsiTheme="majorHAnsi"/>
          <w:sz w:val="20"/>
          <w:szCs w:val="20"/>
        </w:rPr>
        <w:t xml:space="preserve"> in terms of avoiding duplication and ineffective spread of activities. </w:t>
      </w:r>
    </w:p>
    <w:p w14:paraId="39EE52AC" w14:textId="512A1024" w:rsidR="009E61C4" w:rsidRPr="0099724B" w:rsidRDefault="009E61C4" w:rsidP="009E61C4">
      <w:pPr>
        <w:rPr>
          <w:rFonts w:asciiTheme="majorHAnsi" w:hAnsiTheme="majorHAnsi" w:cs="Arial"/>
          <w:noProof/>
          <w:sz w:val="20"/>
          <w:szCs w:val="20"/>
          <w:lang w:eastAsia="zh-CN"/>
        </w:rPr>
      </w:pPr>
      <w:r w:rsidRPr="0099724B">
        <w:rPr>
          <w:rFonts w:asciiTheme="majorHAnsi" w:hAnsiTheme="majorHAnsi"/>
          <w:i/>
          <w:noProof/>
          <w:sz w:val="20"/>
          <w:szCs w:val="20"/>
          <w:lang w:eastAsia="zh-CN"/>
        </w:rPr>
        <w:t xml:space="preserve">Building on existing lessons and best practices: </w:t>
      </w:r>
      <w:r w:rsidRPr="0099724B">
        <w:rPr>
          <w:rFonts w:asciiTheme="majorHAnsi" w:hAnsiTheme="majorHAnsi"/>
          <w:noProof/>
          <w:sz w:val="20"/>
          <w:szCs w:val="20"/>
          <w:lang w:eastAsia="zh-CN"/>
        </w:rPr>
        <w:t>As a measure to ensure cost-effectivity, project design focuses on use of available resource to the extent possible, building on the land use planning foundation being established and the information collected under the ongoing UNEP GEF 5 project. Rather than invest in extensive Land Use Plans that cannot be implemented without high levels of zoning and urban land planning expertise, this project will invest in broader land/seascape plans both for their resulting maps and for the capacity they will build. The process for land/seascape planning advocated here is both effective and cost-efficient</w:t>
      </w:r>
      <w:r w:rsidR="00194AA1">
        <w:rPr>
          <w:rFonts w:asciiTheme="majorHAnsi" w:hAnsiTheme="majorHAnsi"/>
          <w:noProof/>
          <w:sz w:val="20"/>
          <w:szCs w:val="20"/>
          <w:lang w:eastAsia="zh-CN"/>
        </w:rPr>
        <w:t xml:space="preserve">. </w:t>
      </w:r>
      <w:r w:rsidRPr="0099724B">
        <w:rPr>
          <w:rFonts w:asciiTheme="majorHAnsi" w:hAnsiTheme="majorHAnsi"/>
          <w:noProof/>
          <w:sz w:val="20"/>
          <w:szCs w:val="20"/>
          <w:lang w:eastAsia="zh-CN"/>
        </w:rPr>
        <w:t>Rather than hire expensive external consultants, local planning teams will make use of available information to develop plans that follow the “No Regrets” principle adopted by national policies. This results in plans that have higher levels of participation and buy-in. While they may be simpler than plans drafted by external experts, they would be more likely to be implemented</w:t>
      </w:r>
      <w:r w:rsidR="00194AA1">
        <w:rPr>
          <w:rFonts w:asciiTheme="majorHAnsi" w:hAnsiTheme="majorHAnsi"/>
          <w:noProof/>
          <w:sz w:val="20"/>
          <w:szCs w:val="20"/>
          <w:lang w:eastAsia="zh-CN"/>
        </w:rPr>
        <w:t xml:space="preserve">. </w:t>
      </w:r>
    </w:p>
    <w:p w14:paraId="37F8B931" w14:textId="606D616D" w:rsidR="009E61C4" w:rsidRPr="009E61C4" w:rsidRDefault="009E61C4" w:rsidP="009E61C4">
      <w:pPr>
        <w:rPr>
          <w:rFonts w:cs="Arial"/>
          <w:i/>
          <w:noProof/>
          <w:sz w:val="20"/>
          <w:szCs w:val="20"/>
          <w:lang w:eastAsia="zh-CN"/>
        </w:rPr>
      </w:pPr>
      <w:r w:rsidRPr="0099724B">
        <w:rPr>
          <w:rFonts w:asciiTheme="majorHAnsi" w:hAnsiTheme="majorHAnsi"/>
          <w:i/>
          <w:noProof/>
          <w:sz w:val="20"/>
          <w:szCs w:val="20"/>
          <w:lang w:eastAsia="zh-CN"/>
        </w:rPr>
        <w:t xml:space="preserve">Data management systems: </w:t>
      </w:r>
      <w:r w:rsidRPr="0099724B">
        <w:rPr>
          <w:rFonts w:asciiTheme="majorHAnsi" w:hAnsiTheme="majorHAnsi"/>
          <w:noProof/>
          <w:sz w:val="20"/>
          <w:szCs w:val="20"/>
          <w:lang w:eastAsia="zh-CN"/>
        </w:rPr>
        <w:t xml:space="preserve">Adding to existing databases in country and focusing on the development of standardized but simple information collection and databases is also a proven and effective way to collect and share data. The Communication and Knowledge Management Strategy in particular makes use of free and widely available forms of communication (particularly online) and capitalizes on the expected 2018 introduction of broadband internet to the country. The excitement of that will likely prompt wide use of the internet, thereby spreading the web presence of the project. All biosecurity efforts will capitalize on the recent passage of the Biosecurity Act and the completion of the </w:t>
      </w:r>
      <w:r w:rsidRPr="0099724B">
        <w:rPr>
          <w:rFonts w:asciiTheme="majorHAnsi" w:hAnsiTheme="majorHAnsi"/>
          <w:sz w:val="20"/>
          <w:szCs w:val="20"/>
        </w:rPr>
        <w:t>Regional Biosecurity Plan for Micronesia and Hawaii (RBP), thereby capturing existing momentum</w:t>
      </w:r>
      <w:r w:rsidR="00194AA1">
        <w:rPr>
          <w:rFonts w:asciiTheme="majorHAnsi" w:hAnsiTheme="majorHAnsi"/>
          <w:sz w:val="20"/>
          <w:szCs w:val="20"/>
        </w:rPr>
        <w:t xml:space="preserve">. </w:t>
      </w:r>
      <w:r w:rsidRPr="0099724B">
        <w:rPr>
          <w:rFonts w:asciiTheme="majorHAnsi" w:hAnsiTheme="majorHAnsi"/>
          <w:sz w:val="20"/>
          <w:szCs w:val="20"/>
        </w:rPr>
        <w:t>The mapping processes in Outcomes 2 and 3 will incorporate and make use of the extensive data that has already been collected.</w:t>
      </w:r>
    </w:p>
    <w:p w14:paraId="59383BC9" w14:textId="77777777" w:rsidR="00393350" w:rsidRPr="00393350" w:rsidRDefault="00393350" w:rsidP="006F1074">
      <w:pPr>
        <w:pStyle w:val="ListParagraph"/>
        <w:ind w:left="90" w:firstLine="270"/>
        <w:jc w:val="both"/>
        <w:rPr>
          <w:rFonts w:ascii="Calibri" w:hAnsi="Calibri" w:cs="Segoe UI"/>
          <w:color w:val="000000"/>
          <w:sz w:val="20"/>
          <w:szCs w:val="20"/>
        </w:rPr>
      </w:pPr>
    </w:p>
    <w:p w14:paraId="75DF31EA" w14:textId="216BDCA0" w:rsidR="005B5B2E" w:rsidRDefault="00F75A9F" w:rsidP="00B02352">
      <w:pPr>
        <w:pStyle w:val="ListParagraph"/>
        <w:numPr>
          <w:ilvl w:val="0"/>
          <w:numId w:val="8"/>
        </w:numPr>
        <w:ind w:left="90" w:firstLine="270"/>
        <w:jc w:val="both"/>
        <w:rPr>
          <w:rFonts w:asciiTheme="majorHAnsi" w:hAnsiTheme="majorHAnsi" w:cs="Arial"/>
          <w:noProof/>
          <w:sz w:val="20"/>
          <w:szCs w:val="20"/>
          <w:lang w:eastAsia="zh-CN"/>
        </w:rPr>
      </w:pPr>
      <w:r w:rsidRPr="006F1074">
        <w:rPr>
          <w:rFonts w:asciiTheme="majorHAnsi" w:hAnsiTheme="majorHAnsi"/>
          <w:sz w:val="20"/>
          <w:szCs w:val="20"/>
          <w:u w:val="single"/>
        </w:rPr>
        <w:t>Risk Management</w:t>
      </w:r>
      <w:r w:rsidRPr="006F1074">
        <w:rPr>
          <w:rFonts w:asciiTheme="majorHAnsi" w:hAnsiTheme="majorHAnsi"/>
          <w:i/>
          <w:sz w:val="20"/>
          <w:szCs w:val="20"/>
        </w:rPr>
        <w:t xml:space="preserve">: </w:t>
      </w:r>
      <w:r w:rsidR="00FD1890" w:rsidRPr="006F1074">
        <w:rPr>
          <w:rFonts w:asciiTheme="majorHAnsi" w:hAnsiTheme="majorHAnsi" w:cs="Arial"/>
          <w:noProof/>
          <w:sz w:val="20"/>
          <w:szCs w:val="20"/>
          <w:lang w:eastAsia="zh-CN"/>
        </w:rPr>
        <w:t xml:space="preserve">As per standard UNDP requirements, </w:t>
      </w:r>
      <w:r w:rsidR="009A496C" w:rsidRPr="006F1074">
        <w:rPr>
          <w:rFonts w:asciiTheme="majorHAnsi" w:hAnsiTheme="majorHAnsi" w:cs="Arial"/>
          <w:noProof/>
          <w:sz w:val="20"/>
          <w:szCs w:val="20"/>
          <w:lang w:eastAsia="zh-CN"/>
        </w:rPr>
        <w:t>the</w:t>
      </w:r>
      <w:r w:rsidR="00774618" w:rsidRPr="006F1074">
        <w:rPr>
          <w:rFonts w:asciiTheme="majorHAnsi" w:hAnsiTheme="majorHAnsi" w:cs="Arial"/>
          <w:noProof/>
          <w:sz w:val="20"/>
          <w:szCs w:val="20"/>
          <w:lang w:eastAsia="zh-CN"/>
        </w:rPr>
        <w:t xml:space="preserve"> Project Manager will </w:t>
      </w:r>
      <w:r w:rsidR="001310FB" w:rsidRPr="006F1074">
        <w:rPr>
          <w:rFonts w:asciiTheme="majorHAnsi" w:hAnsiTheme="majorHAnsi" w:cs="Arial"/>
          <w:noProof/>
          <w:sz w:val="20"/>
          <w:szCs w:val="20"/>
          <w:lang w:eastAsia="zh-CN"/>
        </w:rPr>
        <w:t>monitor risks quarterly and report on the status of risks</w:t>
      </w:r>
      <w:r w:rsidR="00774618" w:rsidRPr="006F1074">
        <w:rPr>
          <w:rFonts w:asciiTheme="majorHAnsi" w:hAnsiTheme="majorHAnsi" w:cs="Arial"/>
          <w:noProof/>
          <w:sz w:val="20"/>
          <w:szCs w:val="20"/>
          <w:lang w:eastAsia="zh-CN"/>
        </w:rPr>
        <w:t xml:space="preserve"> to </w:t>
      </w:r>
      <w:r w:rsidR="00FD1890" w:rsidRPr="006F1074">
        <w:rPr>
          <w:rFonts w:asciiTheme="majorHAnsi" w:hAnsiTheme="majorHAnsi" w:cs="Arial"/>
          <w:noProof/>
          <w:sz w:val="20"/>
          <w:szCs w:val="20"/>
          <w:lang w:eastAsia="zh-CN"/>
        </w:rPr>
        <w:t>the UNDP Country Office</w:t>
      </w:r>
      <w:r w:rsidR="001310FB" w:rsidRPr="006F1074">
        <w:rPr>
          <w:rFonts w:asciiTheme="majorHAnsi" w:hAnsiTheme="majorHAnsi" w:cs="Arial"/>
          <w:noProof/>
          <w:sz w:val="20"/>
          <w:szCs w:val="20"/>
          <w:lang w:eastAsia="zh-CN"/>
        </w:rPr>
        <w:t xml:space="preserve">. The UNDP Country Office </w:t>
      </w:r>
      <w:r w:rsidR="00774618" w:rsidRPr="006F1074">
        <w:rPr>
          <w:rFonts w:asciiTheme="majorHAnsi" w:hAnsiTheme="majorHAnsi" w:cs="Arial"/>
          <w:noProof/>
          <w:sz w:val="20"/>
          <w:szCs w:val="20"/>
          <w:lang w:eastAsia="zh-CN"/>
        </w:rPr>
        <w:t xml:space="preserve">will record progress </w:t>
      </w:r>
      <w:r w:rsidR="00FD1890" w:rsidRPr="006F1074">
        <w:rPr>
          <w:rFonts w:asciiTheme="majorHAnsi" w:hAnsiTheme="majorHAnsi" w:cs="Arial"/>
          <w:noProof/>
          <w:sz w:val="20"/>
          <w:szCs w:val="20"/>
          <w:lang w:eastAsia="zh-CN"/>
        </w:rPr>
        <w:t>in the UNDP ATLAS risk log</w:t>
      </w:r>
      <w:r w:rsidR="00194AA1">
        <w:rPr>
          <w:rFonts w:asciiTheme="majorHAnsi" w:hAnsiTheme="majorHAnsi" w:cs="Arial"/>
          <w:noProof/>
          <w:sz w:val="20"/>
          <w:szCs w:val="20"/>
          <w:lang w:eastAsia="zh-CN"/>
        </w:rPr>
        <w:t xml:space="preserve">. </w:t>
      </w:r>
      <w:r w:rsidR="00CB1142" w:rsidRPr="006F1074">
        <w:rPr>
          <w:rFonts w:asciiTheme="majorHAnsi" w:hAnsiTheme="majorHAnsi" w:cs="Arial"/>
          <w:noProof/>
          <w:sz w:val="20"/>
          <w:szCs w:val="20"/>
          <w:lang w:eastAsia="zh-CN"/>
        </w:rPr>
        <w:t>Risks will be reported as critical when the impact and probablity are high</w:t>
      </w:r>
      <w:r w:rsidR="00774618" w:rsidRPr="006F1074">
        <w:rPr>
          <w:rFonts w:asciiTheme="majorHAnsi" w:hAnsiTheme="majorHAnsi" w:cs="Arial"/>
          <w:noProof/>
          <w:sz w:val="20"/>
          <w:szCs w:val="20"/>
          <w:lang w:eastAsia="zh-CN"/>
        </w:rPr>
        <w:t xml:space="preserve"> (i.e.</w:t>
      </w:r>
      <w:r w:rsidR="009A496C" w:rsidRPr="006F1074">
        <w:rPr>
          <w:rFonts w:asciiTheme="majorHAnsi" w:hAnsiTheme="majorHAnsi" w:cs="Arial"/>
          <w:noProof/>
          <w:sz w:val="20"/>
          <w:szCs w:val="20"/>
          <w:lang w:eastAsia="zh-CN"/>
        </w:rPr>
        <w:t xml:space="preserve"> when</w:t>
      </w:r>
      <w:r w:rsidR="00774618" w:rsidRPr="006F1074">
        <w:rPr>
          <w:rFonts w:asciiTheme="majorHAnsi" w:hAnsiTheme="majorHAnsi" w:cs="Arial"/>
          <w:noProof/>
          <w:sz w:val="20"/>
          <w:szCs w:val="20"/>
          <w:lang w:eastAsia="zh-CN"/>
        </w:rPr>
        <w:t xml:space="preserve"> </w:t>
      </w:r>
      <w:r w:rsidR="001310FB" w:rsidRPr="006F1074">
        <w:rPr>
          <w:rFonts w:asciiTheme="majorHAnsi" w:hAnsiTheme="majorHAnsi" w:cs="Arial"/>
          <w:noProof/>
          <w:sz w:val="20"/>
          <w:szCs w:val="20"/>
          <w:lang w:eastAsia="zh-CN"/>
        </w:rPr>
        <w:t xml:space="preserve">impact is rated as 5, </w:t>
      </w:r>
      <w:r w:rsidR="009A496C" w:rsidRPr="006F1074">
        <w:rPr>
          <w:rFonts w:asciiTheme="majorHAnsi" w:hAnsiTheme="majorHAnsi" w:cs="Arial"/>
          <w:noProof/>
          <w:sz w:val="20"/>
          <w:szCs w:val="20"/>
          <w:lang w:eastAsia="zh-CN"/>
        </w:rPr>
        <w:t>and when impac</w:t>
      </w:r>
      <w:r w:rsidR="001310FB" w:rsidRPr="006F1074">
        <w:rPr>
          <w:rFonts w:asciiTheme="majorHAnsi" w:hAnsiTheme="majorHAnsi" w:cs="Arial"/>
          <w:noProof/>
          <w:sz w:val="20"/>
          <w:szCs w:val="20"/>
          <w:lang w:eastAsia="zh-CN"/>
        </w:rPr>
        <w:t xml:space="preserve">t is rated as 4 and probability </w:t>
      </w:r>
      <w:r w:rsidR="009A496C" w:rsidRPr="006F1074">
        <w:rPr>
          <w:rFonts w:asciiTheme="majorHAnsi" w:hAnsiTheme="majorHAnsi" w:cs="Arial"/>
          <w:noProof/>
          <w:sz w:val="20"/>
          <w:szCs w:val="20"/>
          <w:lang w:eastAsia="zh-CN"/>
        </w:rPr>
        <w:t xml:space="preserve">is rated </w:t>
      </w:r>
      <w:r w:rsidR="00D122DD" w:rsidRPr="006F1074">
        <w:rPr>
          <w:rFonts w:asciiTheme="majorHAnsi" w:hAnsiTheme="majorHAnsi" w:cs="Arial"/>
          <w:noProof/>
          <w:sz w:val="20"/>
          <w:szCs w:val="20"/>
          <w:lang w:eastAsia="zh-CN"/>
        </w:rPr>
        <w:t>at 3 or higher</w:t>
      </w:r>
      <w:r w:rsidR="00774618" w:rsidRPr="006F1074">
        <w:rPr>
          <w:rFonts w:asciiTheme="majorHAnsi" w:hAnsiTheme="majorHAnsi" w:cs="Arial"/>
          <w:noProof/>
          <w:sz w:val="20"/>
          <w:szCs w:val="20"/>
          <w:lang w:eastAsia="zh-CN"/>
        </w:rPr>
        <w:t>)</w:t>
      </w:r>
      <w:r w:rsidR="005B5B2E" w:rsidRPr="006F1074">
        <w:rPr>
          <w:rFonts w:asciiTheme="majorHAnsi" w:hAnsiTheme="majorHAnsi" w:cs="Arial"/>
          <w:noProof/>
          <w:sz w:val="20"/>
          <w:szCs w:val="20"/>
          <w:lang w:eastAsia="zh-CN"/>
        </w:rPr>
        <w:t xml:space="preserve">. </w:t>
      </w:r>
      <w:r w:rsidR="00CB1142" w:rsidRPr="006F1074">
        <w:rPr>
          <w:rFonts w:asciiTheme="majorHAnsi" w:hAnsiTheme="majorHAnsi" w:cs="Arial"/>
          <w:noProof/>
          <w:sz w:val="20"/>
          <w:szCs w:val="20"/>
          <w:lang w:eastAsia="zh-CN"/>
        </w:rPr>
        <w:t>Management responses to critical risks will also be reported to the GEF in the annual PIR.</w:t>
      </w:r>
      <w:r w:rsidR="00842DCB">
        <w:rPr>
          <w:rFonts w:asciiTheme="majorHAnsi" w:hAnsiTheme="majorHAnsi" w:cs="Arial"/>
          <w:noProof/>
          <w:sz w:val="20"/>
          <w:szCs w:val="20"/>
          <w:lang w:eastAsia="zh-CN"/>
        </w:rPr>
        <w:t xml:space="preserve"> </w:t>
      </w:r>
    </w:p>
    <w:p w14:paraId="4477812E" w14:textId="77777777" w:rsidR="00F9777B" w:rsidRPr="006F1074" w:rsidRDefault="00F9777B" w:rsidP="00F9777B">
      <w:pPr>
        <w:pStyle w:val="ListParagraph"/>
        <w:ind w:left="360"/>
        <w:jc w:val="both"/>
        <w:rPr>
          <w:rFonts w:asciiTheme="majorHAnsi" w:hAnsiTheme="majorHAnsi" w:cs="Arial"/>
          <w:noProof/>
          <w:sz w:val="20"/>
          <w:szCs w:val="20"/>
          <w:lang w:eastAsia="zh-CN"/>
        </w:rPr>
      </w:pPr>
    </w:p>
    <w:p w14:paraId="0E8ACF87" w14:textId="6A6DA5B6" w:rsidR="005B5B2E" w:rsidRDefault="00C835CC" w:rsidP="00C835CC">
      <w:pPr>
        <w:spacing w:after="0"/>
        <w:jc w:val="left"/>
        <w:rPr>
          <w:b/>
          <w:sz w:val="20"/>
          <w:szCs w:val="20"/>
          <w:u w:val="single"/>
        </w:rPr>
      </w:pPr>
      <w:r w:rsidRPr="00C835CC">
        <w:rPr>
          <w:b/>
          <w:sz w:val="20"/>
          <w:szCs w:val="20"/>
          <w:u w:val="single"/>
        </w:rPr>
        <w:t>Table 2: Risk Table</w:t>
      </w:r>
    </w:p>
    <w:p w14:paraId="37A39A0D" w14:textId="77777777" w:rsidR="00F9777B" w:rsidRPr="00C835CC" w:rsidRDefault="00F9777B" w:rsidP="00C835CC">
      <w:pPr>
        <w:spacing w:after="0"/>
        <w:jc w:val="left"/>
        <w:rPr>
          <w:b/>
          <w:sz w:val="20"/>
          <w:szCs w:val="20"/>
          <w:u w:val="single"/>
        </w:rPr>
      </w:pPr>
    </w:p>
    <w:tbl>
      <w:tblPr>
        <w:tblW w:w="933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080"/>
        <w:gridCol w:w="1890"/>
        <w:gridCol w:w="3600"/>
        <w:gridCol w:w="1147"/>
      </w:tblGrid>
      <w:tr w:rsidR="00667639" w:rsidRPr="008644B7" w14:paraId="23B1AE8A" w14:textId="77777777" w:rsidTr="00667639">
        <w:trPr>
          <w:tblHeader/>
        </w:trPr>
        <w:tc>
          <w:tcPr>
            <w:tcW w:w="1620" w:type="dxa"/>
            <w:shd w:val="clear" w:color="auto" w:fill="FFCC00"/>
          </w:tcPr>
          <w:p w14:paraId="32D8C4F4" w14:textId="77777777" w:rsidR="00946D85" w:rsidRPr="008644B7" w:rsidRDefault="00946D85" w:rsidP="003B2A79">
            <w:pPr>
              <w:rPr>
                <w:rFonts w:cs="Arial"/>
                <w:b/>
                <w:sz w:val="18"/>
                <w:szCs w:val="18"/>
              </w:rPr>
            </w:pPr>
            <w:r w:rsidRPr="008644B7">
              <w:rPr>
                <w:rFonts w:cs="Arial"/>
                <w:b/>
                <w:sz w:val="18"/>
                <w:szCs w:val="18"/>
              </w:rPr>
              <w:t>Description</w:t>
            </w:r>
          </w:p>
        </w:tc>
        <w:tc>
          <w:tcPr>
            <w:tcW w:w="1080" w:type="dxa"/>
            <w:shd w:val="clear" w:color="auto" w:fill="FFCC00"/>
          </w:tcPr>
          <w:p w14:paraId="41089E68" w14:textId="77777777" w:rsidR="00946D85" w:rsidRPr="008644B7" w:rsidRDefault="00946D85" w:rsidP="003B2A79">
            <w:pPr>
              <w:rPr>
                <w:rFonts w:cs="Arial"/>
                <w:b/>
                <w:sz w:val="18"/>
                <w:szCs w:val="18"/>
              </w:rPr>
            </w:pPr>
            <w:r w:rsidRPr="008644B7">
              <w:rPr>
                <w:rFonts w:cs="Arial"/>
                <w:b/>
                <w:sz w:val="18"/>
                <w:szCs w:val="18"/>
              </w:rPr>
              <w:t>Type</w:t>
            </w:r>
          </w:p>
        </w:tc>
        <w:tc>
          <w:tcPr>
            <w:tcW w:w="1890" w:type="dxa"/>
            <w:shd w:val="clear" w:color="auto" w:fill="FFCC00"/>
          </w:tcPr>
          <w:p w14:paraId="02B1C67D" w14:textId="77777777" w:rsidR="00946D85" w:rsidRPr="008644B7" w:rsidRDefault="00946D85" w:rsidP="003B2A79">
            <w:pPr>
              <w:rPr>
                <w:rFonts w:cs="Arial"/>
                <w:b/>
                <w:sz w:val="18"/>
                <w:szCs w:val="18"/>
              </w:rPr>
            </w:pPr>
            <w:r w:rsidRPr="008644B7">
              <w:rPr>
                <w:rFonts w:cs="Arial"/>
                <w:b/>
                <w:sz w:val="18"/>
                <w:szCs w:val="18"/>
              </w:rPr>
              <w:t>Impact &amp;</w:t>
            </w:r>
          </w:p>
          <w:p w14:paraId="7918608E" w14:textId="77777777" w:rsidR="00946D85" w:rsidRPr="008644B7" w:rsidRDefault="00946D85" w:rsidP="003B2A79">
            <w:pPr>
              <w:rPr>
                <w:rFonts w:cs="Arial"/>
                <w:b/>
                <w:sz w:val="18"/>
                <w:szCs w:val="18"/>
              </w:rPr>
            </w:pPr>
            <w:r w:rsidRPr="008644B7">
              <w:rPr>
                <w:rFonts w:cs="Arial"/>
                <w:b/>
                <w:sz w:val="18"/>
                <w:szCs w:val="18"/>
              </w:rPr>
              <w:t>Probability</w:t>
            </w:r>
          </w:p>
        </w:tc>
        <w:tc>
          <w:tcPr>
            <w:tcW w:w="3600" w:type="dxa"/>
            <w:shd w:val="clear" w:color="auto" w:fill="FFCC00"/>
          </w:tcPr>
          <w:p w14:paraId="373D1BCE" w14:textId="77777777" w:rsidR="00946D85" w:rsidRPr="008644B7" w:rsidRDefault="00946D85" w:rsidP="003B2A79">
            <w:pPr>
              <w:rPr>
                <w:rFonts w:cs="Arial"/>
                <w:b/>
                <w:sz w:val="18"/>
                <w:szCs w:val="18"/>
              </w:rPr>
            </w:pPr>
            <w:r w:rsidRPr="008644B7">
              <w:rPr>
                <w:rFonts w:cs="Arial"/>
                <w:b/>
                <w:sz w:val="18"/>
                <w:szCs w:val="18"/>
              </w:rPr>
              <w:t>Mitigation Measures</w:t>
            </w:r>
          </w:p>
        </w:tc>
        <w:tc>
          <w:tcPr>
            <w:tcW w:w="1147" w:type="dxa"/>
            <w:shd w:val="clear" w:color="auto" w:fill="FFCC00"/>
          </w:tcPr>
          <w:p w14:paraId="3E606DC0" w14:textId="77777777" w:rsidR="00946D85" w:rsidRPr="008644B7" w:rsidRDefault="00946D85" w:rsidP="003B2A79">
            <w:pPr>
              <w:rPr>
                <w:rFonts w:cs="Arial"/>
                <w:b/>
                <w:sz w:val="18"/>
                <w:szCs w:val="18"/>
              </w:rPr>
            </w:pPr>
            <w:r w:rsidRPr="008644B7">
              <w:rPr>
                <w:rFonts w:cs="Arial"/>
                <w:b/>
                <w:sz w:val="18"/>
                <w:szCs w:val="18"/>
              </w:rPr>
              <w:t>Owner</w:t>
            </w:r>
          </w:p>
        </w:tc>
      </w:tr>
      <w:tr w:rsidR="00667639" w:rsidRPr="008644B7" w14:paraId="7E4C24A9" w14:textId="77777777" w:rsidTr="00667639">
        <w:tc>
          <w:tcPr>
            <w:tcW w:w="1620" w:type="dxa"/>
          </w:tcPr>
          <w:p w14:paraId="28E1B33D" w14:textId="2433B105" w:rsidR="00946D85" w:rsidRPr="0099724B" w:rsidRDefault="00946D85" w:rsidP="009040C6">
            <w:pPr>
              <w:spacing w:after="0"/>
              <w:jc w:val="left"/>
              <w:rPr>
                <w:rFonts w:asciiTheme="majorHAnsi" w:hAnsiTheme="majorHAnsi" w:cs="Arial"/>
                <w:sz w:val="18"/>
                <w:szCs w:val="18"/>
              </w:rPr>
            </w:pPr>
            <w:r w:rsidRPr="0099724B">
              <w:rPr>
                <w:rFonts w:asciiTheme="majorHAnsi" w:hAnsiTheme="majorHAnsi"/>
                <w:color w:val="000000"/>
                <w:sz w:val="18"/>
                <w:szCs w:val="18"/>
              </w:rPr>
              <w:t>Conflicts</w:t>
            </w:r>
            <w:r>
              <w:rPr>
                <w:rFonts w:asciiTheme="majorHAnsi" w:hAnsiTheme="majorHAnsi"/>
                <w:color w:val="000000"/>
                <w:sz w:val="18"/>
                <w:szCs w:val="18"/>
              </w:rPr>
              <w:t xml:space="preserve"> of interest, misunderstanding</w:t>
            </w:r>
            <w:r w:rsidR="00667639">
              <w:rPr>
                <w:rFonts w:asciiTheme="majorHAnsi" w:hAnsiTheme="majorHAnsi"/>
                <w:color w:val="000000"/>
                <w:sz w:val="18"/>
                <w:szCs w:val="18"/>
              </w:rPr>
              <w:t xml:space="preserve"> </w:t>
            </w:r>
            <w:r w:rsidRPr="0099724B">
              <w:rPr>
                <w:rFonts w:asciiTheme="majorHAnsi" w:hAnsiTheme="majorHAnsi"/>
                <w:color w:val="000000"/>
                <w:sz w:val="18"/>
                <w:szCs w:val="18"/>
              </w:rPr>
              <w:t>different priorities and sensitivi</w:t>
            </w:r>
            <w:r>
              <w:rPr>
                <w:rFonts w:asciiTheme="majorHAnsi" w:hAnsiTheme="majorHAnsi"/>
                <w:color w:val="000000"/>
                <w:sz w:val="18"/>
                <w:szCs w:val="18"/>
              </w:rPr>
              <w:t>ti</w:t>
            </w:r>
            <w:r w:rsidRPr="0099724B">
              <w:rPr>
                <w:rFonts w:asciiTheme="majorHAnsi" w:hAnsiTheme="majorHAnsi"/>
                <w:color w:val="000000"/>
                <w:sz w:val="18"/>
                <w:szCs w:val="18"/>
              </w:rPr>
              <w:t xml:space="preserve">es of stakeholders constrain implementation of activities </w:t>
            </w:r>
          </w:p>
          <w:p w14:paraId="75A5E7B3" w14:textId="77777777" w:rsidR="00946D85" w:rsidRPr="0099724B" w:rsidRDefault="00946D85" w:rsidP="009040C6">
            <w:pPr>
              <w:spacing w:after="0"/>
              <w:jc w:val="left"/>
              <w:rPr>
                <w:rFonts w:asciiTheme="majorHAnsi" w:hAnsiTheme="majorHAnsi" w:cs="Arial"/>
                <w:sz w:val="18"/>
                <w:szCs w:val="18"/>
              </w:rPr>
            </w:pPr>
          </w:p>
          <w:p w14:paraId="527CEA13" w14:textId="77777777" w:rsidR="00946D85" w:rsidRPr="009040C6" w:rsidRDefault="00946D85" w:rsidP="009040C6">
            <w:pPr>
              <w:spacing w:after="0"/>
              <w:jc w:val="left"/>
              <w:rPr>
                <w:rFonts w:asciiTheme="majorHAnsi" w:hAnsiTheme="majorHAnsi" w:cs="Arial"/>
                <w:sz w:val="18"/>
                <w:szCs w:val="18"/>
              </w:rPr>
            </w:pPr>
          </w:p>
        </w:tc>
        <w:tc>
          <w:tcPr>
            <w:tcW w:w="1080" w:type="dxa"/>
          </w:tcPr>
          <w:p w14:paraId="1D2CC5C1" w14:textId="68B27442" w:rsidR="00946D85" w:rsidRPr="009040C6" w:rsidRDefault="00946D85" w:rsidP="009040C6">
            <w:pPr>
              <w:spacing w:after="0"/>
              <w:jc w:val="left"/>
              <w:rPr>
                <w:rFonts w:asciiTheme="majorHAnsi" w:hAnsiTheme="majorHAnsi" w:cs="Arial"/>
                <w:sz w:val="18"/>
                <w:szCs w:val="18"/>
              </w:rPr>
            </w:pPr>
            <w:r>
              <w:rPr>
                <w:rFonts w:asciiTheme="majorHAnsi" w:hAnsiTheme="majorHAnsi" w:cs="Arial"/>
                <w:sz w:val="18"/>
                <w:szCs w:val="18"/>
              </w:rPr>
              <w:t>Social</w:t>
            </w:r>
          </w:p>
        </w:tc>
        <w:tc>
          <w:tcPr>
            <w:tcW w:w="1890" w:type="dxa"/>
          </w:tcPr>
          <w:p w14:paraId="1453BEB4" w14:textId="77777777" w:rsidR="00946D85" w:rsidRPr="0099724B" w:rsidRDefault="00946D85" w:rsidP="009040C6">
            <w:pPr>
              <w:spacing w:after="0"/>
              <w:jc w:val="left"/>
              <w:rPr>
                <w:rFonts w:asciiTheme="majorHAnsi" w:hAnsiTheme="majorHAnsi" w:cs="Arial"/>
                <w:sz w:val="18"/>
                <w:szCs w:val="18"/>
              </w:rPr>
            </w:pPr>
            <w:r w:rsidRPr="0099724B">
              <w:rPr>
                <w:rFonts w:asciiTheme="majorHAnsi" w:hAnsiTheme="majorHAnsi" w:cs="Arial"/>
                <w:sz w:val="18"/>
                <w:szCs w:val="18"/>
              </w:rPr>
              <w:t>This could derail the project schedule and minimize the utility of landscape / seascape plans</w:t>
            </w:r>
          </w:p>
          <w:p w14:paraId="59AB3156" w14:textId="0463108E" w:rsidR="00946D85" w:rsidRPr="009040C6" w:rsidRDefault="00946D85" w:rsidP="00F9777B">
            <w:pPr>
              <w:spacing w:after="0"/>
              <w:jc w:val="left"/>
              <w:rPr>
                <w:rFonts w:asciiTheme="majorHAnsi" w:hAnsiTheme="majorHAnsi" w:cs="Arial"/>
                <w:sz w:val="18"/>
                <w:szCs w:val="18"/>
              </w:rPr>
            </w:pPr>
            <w:r w:rsidRPr="0099724B">
              <w:rPr>
                <w:rFonts w:asciiTheme="majorHAnsi" w:hAnsiTheme="majorHAnsi" w:cs="Arial"/>
                <w:sz w:val="18"/>
                <w:szCs w:val="18"/>
              </w:rPr>
              <w:t xml:space="preserve">P = </w:t>
            </w:r>
            <w:r w:rsidR="00F9777B">
              <w:rPr>
                <w:rFonts w:asciiTheme="majorHAnsi" w:hAnsiTheme="majorHAnsi" w:cs="Arial"/>
                <w:sz w:val="18"/>
                <w:szCs w:val="18"/>
              </w:rPr>
              <w:t>2</w:t>
            </w:r>
            <w:r w:rsidR="00667639">
              <w:rPr>
                <w:rFonts w:asciiTheme="majorHAnsi" w:hAnsiTheme="majorHAnsi" w:cs="Arial"/>
                <w:sz w:val="18"/>
                <w:szCs w:val="18"/>
              </w:rPr>
              <w:t xml:space="preserve">, </w:t>
            </w:r>
            <w:r w:rsidRPr="0099724B">
              <w:rPr>
                <w:rFonts w:asciiTheme="majorHAnsi" w:hAnsiTheme="majorHAnsi" w:cs="Arial"/>
                <w:sz w:val="18"/>
                <w:szCs w:val="18"/>
              </w:rPr>
              <w:t>I = 3</w:t>
            </w:r>
          </w:p>
        </w:tc>
        <w:tc>
          <w:tcPr>
            <w:tcW w:w="3600" w:type="dxa"/>
          </w:tcPr>
          <w:p w14:paraId="615CEFB9" w14:textId="77777777" w:rsidR="00F9777B" w:rsidRPr="00F9777B" w:rsidRDefault="00F9777B" w:rsidP="00F9777B">
            <w:pPr>
              <w:spacing w:after="0"/>
              <w:jc w:val="left"/>
              <w:rPr>
                <w:rFonts w:asciiTheme="majorHAnsi" w:hAnsiTheme="majorHAnsi"/>
                <w:color w:val="000000"/>
                <w:sz w:val="18"/>
                <w:szCs w:val="18"/>
              </w:rPr>
            </w:pPr>
            <w:r w:rsidRPr="00F9777B">
              <w:rPr>
                <w:rFonts w:asciiTheme="majorHAnsi" w:hAnsiTheme="majorHAnsi"/>
                <w:sz w:val="18"/>
                <w:szCs w:val="18"/>
              </w:rPr>
              <w:t>Specific approaches will be taken to ensure that project activities are detailed in collaboration with States and local communities, so that extensive consultation including all affected groups is undertaken prior to delineation of areas to be set asides (</w:t>
            </w:r>
            <w:r w:rsidRPr="00F9777B">
              <w:rPr>
                <w:rFonts w:asciiTheme="majorHAnsi" w:hAnsiTheme="majorHAnsi"/>
                <w:b/>
                <w:sz w:val="18"/>
                <w:szCs w:val="18"/>
              </w:rPr>
              <w:t>See Annex 4 of UNDP Project Document</w:t>
            </w:r>
            <w:r w:rsidRPr="00F9777B">
              <w:rPr>
                <w:rFonts w:asciiTheme="majorHAnsi" w:hAnsiTheme="majorHAnsi"/>
                <w:sz w:val="18"/>
                <w:szCs w:val="18"/>
              </w:rPr>
              <w:t xml:space="preserve">). </w:t>
            </w:r>
            <w:r w:rsidRPr="00F9777B">
              <w:rPr>
                <w:rFonts w:asciiTheme="majorHAnsi" w:hAnsiTheme="majorHAnsi"/>
                <w:color w:val="000000"/>
                <w:sz w:val="18"/>
                <w:szCs w:val="18"/>
              </w:rPr>
              <w:t xml:space="preserve">Needs and priorities of stakeholders will be identified, and constructive dialogue, joint planning and problem solving will be promoted through the coordination platform, which will provide a mechanism for sharing information and consultation to achieve buy-in for project goals. </w:t>
            </w:r>
          </w:p>
          <w:p w14:paraId="1790A13D" w14:textId="4565734F" w:rsidR="00946D85" w:rsidRPr="009040C6" w:rsidRDefault="00F9777B" w:rsidP="00F9777B">
            <w:pPr>
              <w:spacing w:after="0"/>
              <w:jc w:val="left"/>
              <w:rPr>
                <w:rFonts w:asciiTheme="majorHAnsi" w:hAnsiTheme="majorHAnsi" w:cs="Arial"/>
                <w:sz w:val="18"/>
                <w:szCs w:val="18"/>
              </w:rPr>
            </w:pPr>
            <w:r w:rsidRPr="00F9777B">
              <w:rPr>
                <w:rFonts w:asciiTheme="majorHAnsi" w:hAnsiTheme="majorHAnsi"/>
                <w:sz w:val="18"/>
                <w:szCs w:val="18"/>
              </w:rPr>
              <w:t xml:space="preserve">-A </w:t>
            </w:r>
            <w:r w:rsidRPr="00F9777B">
              <w:rPr>
                <w:rFonts w:asciiTheme="majorHAnsi" w:hAnsiTheme="majorHAnsi"/>
                <w:b/>
                <w:sz w:val="18"/>
                <w:szCs w:val="18"/>
              </w:rPr>
              <w:t>grievance redressal system (Annex 8 of UNDP Project Document)</w:t>
            </w:r>
            <w:r w:rsidRPr="00F9777B">
              <w:rPr>
                <w:rFonts w:asciiTheme="majorHAnsi" w:hAnsiTheme="majorHAnsi"/>
                <w:sz w:val="18"/>
                <w:szCs w:val="18"/>
              </w:rPr>
              <w:t xml:space="preserve"> provides a mechanism to address any specific community concerns.</w:t>
            </w:r>
          </w:p>
        </w:tc>
        <w:tc>
          <w:tcPr>
            <w:tcW w:w="1147" w:type="dxa"/>
          </w:tcPr>
          <w:p w14:paraId="50E251AE" w14:textId="5BC6C2F5" w:rsidR="00946D85" w:rsidRPr="0099724B" w:rsidRDefault="00946D85" w:rsidP="009040C6">
            <w:pPr>
              <w:spacing w:after="0"/>
              <w:jc w:val="left"/>
              <w:rPr>
                <w:rFonts w:asciiTheme="majorHAnsi" w:hAnsiTheme="majorHAnsi" w:cs="Arial"/>
                <w:sz w:val="18"/>
                <w:szCs w:val="18"/>
              </w:rPr>
            </w:pPr>
            <w:r>
              <w:rPr>
                <w:rFonts w:asciiTheme="majorHAnsi" w:hAnsiTheme="majorHAnsi" w:cs="Arial"/>
                <w:sz w:val="18"/>
                <w:szCs w:val="18"/>
              </w:rPr>
              <w:t>EPU Coordinator</w:t>
            </w:r>
          </w:p>
          <w:p w14:paraId="15646764" w14:textId="77777777" w:rsidR="00946D85" w:rsidRPr="0099724B" w:rsidRDefault="00946D85" w:rsidP="009040C6">
            <w:pPr>
              <w:spacing w:after="0"/>
              <w:jc w:val="left"/>
              <w:rPr>
                <w:rFonts w:asciiTheme="majorHAnsi" w:hAnsiTheme="majorHAnsi" w:cs="Arial"/>
                <w:sz w:val="18"/>
                <w:szCs w:val="18"/>
              </w:rPr>
            </w:pPr>
          </w:p>
          <w:p w14:paraId="22865157" w14:textId="77777777" w:rsidR="00946D85" w:rsidRPr="009040C6" w:rsidRDefault="00946D85" w:rsidP="009040C6">
            <w:pPr>
              <w:spacing w:after="0"/>
              <w:jc w:val="left"/>
              <w:rPr>
                <w:rFonts w:asciiTheme="majorHAnsi" w:hAnsiTheme="majorHAnsi" w:cs="Arial"/>
                <w:sz w:val="18"/>
                <w:szCs w:val="18"/>
              </w:rPr>
            </w:pPr>
          </w:p>
        </w:tc>
      </w:tr>
      <w:tr w:rsidR="00667639" w:rsidRPr="008644B7" w14:paraId="6250E553" w14:textId="77777777" w:rsidTr="00667639">
        <w:tc>
          <w:tcPr>
            <w:tcW w:w="1620" w:type="dxa"/>
          </w:tcPr>
          <w:p w14:paraId="590370B8" w14:textId="2D4CC760" w:rsidR="00946D85" w:rsidRPr="00C115DC" w:rsidRDefault="00946D85" w:rsidP="008D0FF4">
            <w:pPr>
              <w:spacing w:after="0"/>
              <w:jc w:val="left"/>
              <w:rPr>
                <w:rFonts w:asciiTheme="majorHAnsi" w:hAnsiTheme="majorHAnsi" w:cs="Arial"/>
                <w:sz w:val="18"/>
                <w:szCs w:val="18"/>
              </w:rPr>
            </w:pPr>
            <w:r>
              <w:rPr>
                <w:sz w:val="18"/>
                <w:szCs w:val="18"/>
              </w:rPr>
              <w:t xml:space="preserve">There could be </w:t>
            </w:r>
            <w:r w:rsidRPr="00C97C18">
              <w:rPr>
                <w:sz w:val="18"/>
                <w:szCs w:val="18"/>
              </w:rPr>
              <w:t>potential restrict</w:t>
            </w:r>
            <w:r>
              <w:rPr>
                <w:sz w:val="18"/>
                <w:szCs w:val="18"/>
              </w:rPr>
              <w:t>ion on the</w:t>
            </w:r>
            <w:r w:rsidRPr="00C97C18">
              <w:rPr>
                <w:sz w:val="18"/>
                <w:szCs w:val="18"/>
              </w:rPr>
              <w:t xml:space="preserve"> availability, quality of</w:t>
            </w:r>
            <w:r>
              <w:rPr>
                <w:sz w:val="18"/>
                <w:szCs w:val="18"/>
              </w:rPr>
              <w:t>,</w:t>
            </w:r>
            <w:r w:rsidRPr="00C97C18">
              <w:rPr>
                <w:sz w:val="18"/>
                <w:szCs w:val="18"/>
              </w:rPr>
              <w:t xml:space="preserve"> and access to resources or basic services, in particular to marginalized individuals or groups?</w:t>
            </w:r>
          </w:p>
        </w:tc>
        <w:tc>
          <w:tcPr>
            <w:tcW w:w="1080" w:type="dxa"/>
          </w:tcPr>
          <w:p w14:paraId="740822F9" w14:textId="75896D73" w:rsidR="00946D85" w:rsidRPr="00C115DC" w:rsidRDefault="00946D85" w:rsidP="00C115DC">
            <w:pPr>
              <w:spacing w:after="0"/>
              <w:jc w:val="left"/>
              <w:rPr>
                <w:rFonts w:asciiTheme="majorHAnsi" w:hAnsiTheme="majorHAnsi" w:cs="Arial"/>
                <w:sz w:val="18"/>
                <w:szCs w:val="18"/>
              </w:rPr>
            </w:pPr>
            <w:r>
              <w:rPr>
                <w:rFonts w:asciiTheme="majorHAnsi" w:hAnsiTheme="majorHAnsi" w:cs="Arial"/>
                <w:sz w:val="18"/>
                <w:szCs w:val="18"/>
              </w:rPr>
              <w:t>Social</w:t>
            </w:r>
          </w:p>
        </w:tc>
        <w:tc>
          <w:tcPr>
            <w:tcW w:w="1890" w:type="dxa"/>
          </w:tcPr>
          <w:p w14:paraId="16A0357B" w14:textId="18DA7507" w:rsidR="00946D85" w:rsidRDefault="00946D85" w:rsidP="008D0FF4">
            <w:pPr>
              <w:spacing w:after="0"/>
              <w:jc w:val="left"/>
              <w:rPr>
                <w:rFonts w:cs="Minion Pro"/>
                <w:sz w:val="18"/>
                <w:szCs w:val="18"/>
              </w:rPr>
            </w:pPr>
            <w:r>
              <w:rPr>
                <w:sz w:val="18"/>
                <w:szCs w:val="18"/>
              </w:rPr>
              <w:t>The</w:t>
            </w:r>
            <w:r w:rsidRPr="00C97C18">
              <w:rPr>
                <w:sz w:val="18"/>
                <w:szCs w:val="18"/>
              </w:rPr>
              <w:t xml:space="preserve"> creation of new set asides of High Conservation Value Forests on Babeldaob and zoning of the seascape of Southern Lagoon States of Koror and Peleliu for multiple different uses, community rights of access may be restricted in specific areas.</w:t>
            </w:r>
          </w:p>
          <w:p w14:paraId="7732AC61" w14:textId="10E05ACF" w:rsidR="00946D85" w:rsidRPr="00C115DC" w:rsidRDefault="00946D85" w:rsidP="00F9777B">
            <w:pPr>
              <w:spacing w:after="0"/>
              <w:jc w:val="left"/>
              <w:rPr>
                <w:rFonts w:asciiTheme="majorHAnsi" w:hAnsiTheme="majorHAnsi" w:cs="Arial"/>
                <w:sz w:val="18"/>
                <w:szCs w:val="18"/>
              </w:rPr>
            </w:pPr>
            <w:r w:rsidRPr="00C97C18">
              <w:rPr>
                <w:rFonts w:cs="Minion Pro"/>
                <w:sz w:val="18"/>
                <w:szCs w:val="18"/>
              </w:rPr>
              <w:t>P=</w:t>
            </w:r>
            <w:r w:rsidR="00F9777B">
              <w:rPr>
                <w:rFonts w:cs="Minion Pro"/>
                <w:sz w:val="18"/>
                <w:szCs w:val="18"/>
              </w:rPr>
              <w:t>3</w:t>
            </w:r>
            <w:r w:rsidR="00667639" w:rsidRPr="00667639">
              <w:rPr>
                <w:rFonts w:cs="Minion Pro"/>
                <w:sz w:val="18"/>
                <w:szCs w:val="18"/>
              </w:rPr>
              <w:t xml:space="preserve">, </w:t>
            </w:r>
            <w:r w:rsidR="00667639" w:rsidRPr="00667639">
              <w:rPr>
                <w:rFonts w:cs="Segoe UI"/>
                <w:color w:val="000000"/>
                <w:sz w:val="18"/>
                <w:szCs w:val="18"/>
              </w:rPr>
              <w:t>I-</w:t>
            </w:r>
            <w:r w:rsidR="00F9777B">
              <w:rPr>
                <w:rFonts w:cs="Segoe UI"/>
                <w:color w:val="000000"/>
                <w:sz w:val="18"/>
                <w:szCs w:val="18"/>
              </w:rPr>
              <w:t>2</w:t>
            </w:r>
          </w:p>
        </w:tc>
        <w:tc>
          <w:tcPr>
            <w:tcW w:w="3600" w:type="dxa"/>
          </w:tcPr>
          <w:p w14:paraId="674F2CAC" w14:textId="77777777" w:rsidR="00F9777B" w:rsidRPr="00F9777B" w:rsidRDefault="00F9777B" w:rsidP="00F9777B">
            <w:pPr>
              <w:spacing w:after="0"/>
              <w:jc w:val="left"/>
              <w:rPr>
                <w:rFonts w:asciiTheme="majorHAnsi" w:hAnsiTheme="majorHAnsi"/>
                <w:sz w:val="18"/>
                <w:szCs w:val="18"/>
              </w:rPr>
            </w:pPr>
            <w:r w:rsidRPr="00F9777B">
              <w:rPr>
                <w:rFonts w:asciiTheme="majorHAnsi" w:hAnsiTheme="majorHAnsi"/>
                <w:sz w:val="18"/>
                <w:szCs w:val="18"/>
              </w:rPr>
              <w:t>-Specific approaches will be taken to ensure that project activities are detailed in collaboration with States and local communities, so that extensive consultation including all affected groups is undertaken prior to delineation of areas to be set asides (</w:t>
            </w:r>
            <w:r w:rsidRPr="00F9777B">
              <w:rPr>
                <w:rFonts w:asciiTheme="majorHAnsi" w:hAnsiTheme="majorHAnsi"/>
                <w:b/>
                <w:sz w:val="18"/>
                <w:szCs w:val="18"/>
              </w:rPr>
              <w:t>See Annex 4 of UNDP Project Document</w:t>
            </w:r>
            <w:r w:rsidRPr="00F9777B">
              <w:rPr>
                <w:rFonts w:asciiTheme="majorHAnsi" w:hAnsiTheme="majorHAnsi"/>
                <w:sz w:val="18"/>
                <w:szCs w:val="18"/>
              </w:rPr>
              <w:t xml:space="preserve">). </w:t>
            </w:r>
          </w:p>
          <w:p w14:paraId="6371BC64" w14:textId="77777777" w:rsidR="00F9777B" w:rsidRPr="00F9777B" w:rsidRDefault="00F9777B" w:rsidP="00F9777B">
            <w:pPr>
              <w:spacing w:after="0"/>
              <w:jc w:val="left"/>
              <w:rPr>
                <w:rFonts w:asciiTheme="majorHAnsi" w:hAnsiTheme="majorHAnsi"/>
                <w:sz w:val="18"/>
                <w:szCs w:val="18"/>
              </w:rPr>
            </w:pPr>
            <w:r w:rsidRPr="00F9777B">
              <w:rPr>
                <w:rFonts w:asciiTheme="majorHAnsi" w:hAnsiTheme="majorHAnsi"/>
                <w:sz w:val="18"/>
                <w:szCs w:val="18"/>
              </w:rPr>
              <w:t>-Project investments would be screened to ensure that they comply with sound social and environmental principles and are sustainable, including avoidance of restriction in access to the extent feasible (</w:t>
            </w:r>
            <w:r w:rsidRPr="00F9777B">
              <w:rPr>
                <w:rFonts w:asciiTheme="majorHAnsi" w:hAnsiTheme="majorHAnsi"/>
                <w:b/>
                <w:sz w:val="18"/>
                <w:szCs w:val="18"/>
              </w:rPr>
              <w:t>Annex 4 of UNDP Project Document)</w:t>
            </w:r>
            <w:r w:rsidRPr="00F9777B">
              <w:rPr>
                <w:rFonts w:asciiTheme="majorHAnsi" w:hAnsiTheme="majorHAnsi"/>
                <w:sz w:val="18"/>
                <w:szCs w:val="18"/>
              </w:rPr>
              <w:t xml:space="preserve">. </w:t>
            </w:r>
          </w:p>
          <w:p w14:paraId="1D55367A" w14:textId="77777777" w:rsidR="00F9777B" w:rsidRPr="00F9777B" w:rsidRDefault="00F9777B" w:rsidP="00F9777B">
            <w:pPr>
              <w:spacing w:after="0"/>
              <w:jc w:val="left"/>
              <w:rPr>
                <w:rFonts w:asciiTheme="majorHAnsi" w:hAnsiTheme="majorHAnsi"/>
                <w:sz w:val="18"/>
                <w:szCs w:val="18"/>
              </w:rPr>
            </w:pPr>
            <w:r w:rsidRPr="00F9777B">
              <w:rPr>
                <w:rFonts w:asciiTheme="majorHAnsi" w:hAnsiTheme="majorHAnsi"/>
                <w:sz w:val="18"/>
                <w:szCs w:val="18"/>
              </w:rPr>
              <w:t xml:space="preserve">-Decisions regarding restrictions, if any, on resource use will not be imposed, but will involve through an informed, transparent and consultative community consensus building process </w:t>
            </w:r>
            <w:r w:rsidRPr="00F9777B">
              <w:rPr>
                <w:rFonts w:asciiTheme="majorHAnsi" w:hAnsiTheme="majorHAnsi"/>
                <w:b/>
                <w:sz w:val="18"/>
                <w:szCs w:val="18"/>
              </w:rPr>
              <w:t>(refer Annex 4)</w:t>
            </w:r>
            <w:r w:rsidRPr="00F9777B">
              <w:rPr>
                <w:rFonts w:asciiTheme="majorHAnsi" w:hAnsiTheme="majorHAnsi"/>
                <w:sz w:val="18"/>
                <w:szCs w:val="18"/>
              </w:rPr>
              <w:t xml:space="preserve">, and any restrictions, if any will be adequately compensated to match or exceed loss of incomes or livelihoods (an </w:t>
            </w:r>
            <w:r w:rsidRPr="00F9777B">
              <w:rPr>
                <w:rFonts w:asciiTheme="majorHAnsi" w:hAnsiTheme="majorHAnsi"/>
                <w:b/>
                <w:sz w:val="18"/>
                <w:szCs w:val="18"/>
              </w:rPr>
              <w:t>alternative livelihood development plan</w:t>
            </w:r>
            <w:r w:rsidRPr="00F9777B">
              <w:rPr>
                <w:rFonts w:asciiTheme="majorHAnsi" w:hAnsiTheme="majorHAnsi"/>
                <w:sz w:val="18"/>
                <w:szCs w:val="18"/>
              </w:rPr>
              <w:t xml:space="preserve"> will be prepared early in project for any households that are likely to be denied access to resources or current livelihood practice. </w:t>
            </w:r>
          </w:p>
          <w:p w14:paraId="6E0C043D" w14:textId="69179A3E" w:rsidR="00946D85" w:rsidRPr="00C115DC" w:rsidRDefault="00F9777B" w:rsidP="00F9777B">
            <w:pPr>
              <w:spacing w:after="0"/>
              <w:jc w:val="left"/>
              <w:rPr>
                <w:rFonts w:asciiTheme="majorHAnsi" w:hAnsiTheme="majorHAnsi" w:cs="Arial"/>
                <w:sz w:val="18"/>
                <w:szCs w:val="18"/>
              </w:rPr>
            </w:pPr>
            <w:r w:rsidRPr="00F9777B">
              <w:rPr>
                <w:rFonts w:asciiTheme="majorHAnsi" w:hAnsiTheme="majorHAnsi"/>
                <w:sz w:val="18"/>
                <w:szCs w:val="18"/>
              </w:rPr>
              <w:t xml:space="preserve">-A </w:t>
            </w:r>
            <w:r w:rsidRPr="00F9777B">
              <w:rPr>
                <w:rFonts w:asciiTheme="majorHAnsi" w:hAnsiTheme="majorHAnsi"/>
                <w:b/>
                <w:sz w:val="18"/>
                <w:szCs w:val="18"/>
              </w:rPr>
              <w:t>grievance redressal system (Annex 8)</w:t>
            </w:r>
            <w:r w:rsidRPr="00F9777B">
              <w:rPr>
                <w:rFonts w:asciiTheme="majorHAnsi" w:hAnsiTheme="majorHAnsi"/>
                <w:sz w:val="18"/>
                <w:szCs w:val="18"/>
              </w:rPr>
              <w:t xml:space="preserve"> provides a mechanism to address any specific community concerns.</w:t>
            </w:r>
          </w:p>
        </w:tc>
        <w:tc>
          <w:tcPr>
            <w:tcW w:w="1147" w:type="dxa"/>
          </w:tcPr>
          <w:p w14:paraId="5E0B93DE" w14:textId="1CA1A0C5" w:rsidR="00946D85" w:rsidRPr="00C115DC" w:rsidRDefault="00946D85" w:rsidP="00C115DC">
            <w:pPr>
              <w:spacing w:after="0"/>
              <w:jc w:val="left"/>
              <w:rPr>
                <w:rFonts w:asciiTheme="majorHAnsi" w:hAnsiTheme="majorHAnsi" w:cs="Arial"/>
                <w:sz w:val="18"/>
                <w:szCs w:val="18"/>
              </w:rPr>
            </w:pPr>
            <w:r>
              <w:rPr>
                <w:rFonts w:asciiTheme="majorHAnsi" w:hAnsiTheme="majorHAnsi" w:cs="Arial"/>
                <w:sz w:val="18"/>
                <w:szCs w:val="18"/>
              </w:rPr>
              <w:t>EPU Coordinator</w:t>
            </w:r>
          </w:p>
        </w:tc>
      </w:tr>
      <w:tr w:rsidR="00667639" w:rsidRPr="008644B7" w14:paraId="007E41DC" w14:textId="77777777" w:rsidTr="00667639">
        <w:tc>
          <w:tcPr>
            <w:tcW w:w="1620" w:type="dxa"/>
          </w:tcPr>
          <w:p w14:paraId="3427C524" w14:textId="537ADA26" w:rsidR="00946D85" w:rsidRPr="00C115DC" w:rsidRDefault="00946D85" w:rsidP="00C115DC">
            <w:pPr>
              <w:spacing w:after="0"/>
              <w:jc w:val="left"/>
              <w:rPr>
                <w:rFonts w:asciiTheme="majorHAnsi" w:hAnsiTheme="majorHAnsi" w:cs="Arial"/>
                <w:sz w:val="18"/>
                <w:szCs w:val="18"/>
              </w:rPr>
            </w:pPr>
            <w:r w:rsidRPr="00C115DC">
              <w:rPr>
                <w:rFonts w:asciiTheme="majorHAnsi" w:hAnsiTheme="majorHAnsi" w:cs="Arial"/>
                <w:sz w:val="18"/>
                <w:szCs w:val="18"/>
              </w:rPr>
              <w:lastRenderedPageBreak/>
              <w:t>States, Private sector, resource owners, and resource users not engaged</w:t>
            </w:r>
            <w:r>
              <w:rPr>
                <w:rFonts w:asciiTheme="majorHAnsi" w:hAnsiTheme="majorHAnsi" w:cs="Arial"/>
                <w:sz w:val="18"/>
                <w:szCs w:val="18"/>
              </w:rPr>
              <w:t xml:space="preserve"> and do not </w:t>
            </w:r>
            <w:r w:rsidRPr="00C115DC">
              <w:rPr>
                <w:rFonts w:asciiTheme="majorHAnsi" w:hAnsiTheme="majorHAnsi" w:cs="Arial"/>
                <w:sz w:val="18"/>
                <w:szCs w:val="18"/>
              </w:rPr>
              <w:t>participate</w:t>
            </w:r>
            <w:r>
              <w:rPr>
                <w:rFonts w:asciiTheme="majorHAnsi" w:hAnsiTheme="majorHAnsi" w:cs="Arial"/>
                <w:sz w:val="18"/>
                <w:szCs w:val="18"/>
              </w:rPr>
              <w:t xml:space="preserve"> and follow resultant plan activities </w:t>
            </w:r>
            <w:r w:rsidRPr="00C115DC">
              <w:rPr>
                <w:rFonts w:asciiTheme="majorHAnsi" w:hAnsiTheme="majorHAnsi" w:cs="Arial"/>
                <w:sz w:val="18"/>
                <w:szCs w:val="18"/>
              </w:rPr>
              <w:t xml:space="preserve"> </w:t>
            </w:r>
          </w:p>
          <w:p w14:paraId="74C2D6A8" w14:textId="77777777" w:rsidR="00946D85" w:rsidRPr="00C115DC" w:rsidRDefault="00946D85" w:rsidP="00C115DC">
            <w:pPr>
              <w:spacing w:after="0"/>
              <w:jc w:val="left"/>
              <w:rPr>
                <w:rFonts w:asciiTheme="majorHAnsi" w:hAnsiTheme="majorHAnsi" w:cs="Arial"/>
                <w:sz w:val="18"/>
                <w:szCs w:val="18"/>
              </w:rPr>
            </w:pPr>
          </w:p>
          <w:p w14:paraId="71B1F067" w14:textId="77777777" w:rsidR="00946D85" w:rsidRPr="00C115DC" w:rsidRDefault="00946D85" w:rsidP="00C115DC">
            <w:pPr>
              <w:spacing w:after="0"/>
              <w:jc w:val="left"/>
              <w:rPr>
                <w:rFonts w:asciiTheme="majorHAnsi" w:hAnsiTheme="majorHAnsi" w:cs="Arial"/>
                <w:sz w:val="18"/>
                <w:szCs w:val="18"/>
              </w:rPr>
            </w:pPr>
          </w:p>
          <w:p w14:paraId="5260858B" w14:textId="77777777" w:rsidR="00946D85" w:rsidRPr="00C115DC" w:rsidRDefault="00946D85" w:rsidP="00C115DC">
            <w:pPr>
              <w:spacing w:after="0"/>
              <w:jc w:val="left"/>
              <w:rPr>
                <w:rFonts w:asciiTheme="majorHAnsi" w:hAnsiTheme="majorHAnsi" w:cs="Arial"/>
                <w:i/>
                <w:sz w:val="18"/>
                <w:szCs w:val="18"/>
              </w:rPr>
            </w:pPr>
          </w:p>
        </w:tc>
        <w:tc>
          <w:tcPr>
            <w:tcW w:w="1080" w:type="dxa"/>
          </w:tcPr>
          <w:p w14:paraId="5BF01583" w14:textId="77777777" w:rsidR="00946D85" w:rsidRPr="00C115DC" w:rsidRDefault="00946D85" w:rsidP="00C115DC">
            <w:pPr>
              <w:spacing w:after="0"/>
              <w:jc w:val="left"/>
              <w:rPr>
                <w:rFonts w:asciiTheme="majorHAnsi" w:hAnsiTheme="majorHAnsi" w:cs="Arial"/>
                <w:sz w:val="18"/>
                <w:szCs w:val="18"/>
              </w:rPr>
            </w:pPr>
            <w:r w:rsidRPr="00C115DC">
              <w:rPr>
                <w:rFonts w:asciiTheme="majorHAnsi" w:hAnsiTheme="majorHAnsi" w:cs="Arial"/>
                <w:sz w:val="18"/>
                <w:szCs w:val="18"/>
              </w:rPr>
              <w:t>Political</w:t>
            </w:r>
          </w:p>
          <w:p w14:paraId="247631A3" w14:textId="77777777" w:rsidR="00946D85" w:rsidRPr="00C115DC" w:rsidRDefault="00946D85" w:rsidP="00C115DC">
            <w:pPr>
              <w:spacing w:after="0"/>
              <w:jc w:val="left"/>
              <w:rPr>
                <w:rFonts w:asciiTheme="majorHAnsi" w:hAnsiTheme="majorHAnsi" w:cs="Arial"/>
                <w:i/>
                <w:sz w:val="18"/>
                <w:szCs w:val="18"/>
              </w:rPr>
            </w:pPr>
          </w:p>
        </w:tc>
        <w:tc>
          <w:tcPr>
            <w:tcW w:w="1890" w:type="dxa"/>
          </w:tcPr>
          <w:p w14:paraId="6D77244C" w14:textId="7A4C57F0" w:rsidR="00946D85" w:rsidRPr="00C115DC" w:rsidRDefault="00946D85" w:rsidP="00C115DC">
            <w:pPr>
              <w:spacing w:after="0"/>
              <w:jc w:val="left"/>
              <w:rPr>
                <w:rFonts w:asciiTheme="majorHAnsi" w:hAnsiTheme="majorHAnsi" w:cs="Arial"/>
                <w:sz w:val="18"/>
                <w:szCs w:val="18"/>
              </w:rPr>
            </w:pPr>
            <w:r w:rsidRPr="00C115DC">
              <w:rPr>
                <w:rFonts w:asciiTheme="majorHAnsi" w:hAnsiTheme="majorHAnsi" w:cs="Arial"/>
                <w:sz w:val="18"/>
                <w:szCs w:val="18"/>
              </w:rPr>
              <w:t xml:space="preserve">This is a key risk and must be overcome for the project to be successful. All planning processes are moot if the resource users and owners are not willing to participate and follow best practices. </w:t>
            </w:r>
          </w:p>
          <w:p w14:paraId="2567E53C" w14:textId="52BEFE75" w:rsidR="00946D85" w:rsidRPr="00C115DC" w:rsidRDefault="00946D85" w:rsidP="00F9777B">
            <w:pPr>
              <w:spacing w:after="0"/>
              <w:jc w:val="left"/>
              <w:rPr>
                <w:rFonts w:asciiTheme="majorHAnsi" w:hAnsiTheme="majorHAnsi" w:cs="Arial"/>
                <w:sz w:val="18"/>
                <w:szCs w:val="18"/>
              </w:rPr>
            </w:pPr>
            <w:r w:rsidRPr="00C115DC">
              <w:rPr>
                <w:rFonts w:asciiTheme="majorHAnsi" w:hAnsiTheme="majorHAnsi" w:cs="Arial"/>
                <w:sz w:val="18"/>
                <w:szCs w:val="18"/>
              </w:rPr>
              <w:t xml:space="preserve">P = </w:t>
            </w:r>
            <w:r w:rsidR="00F9777B">
              <w:rPr>
                <w:rFonts w:asciiTheme="majorHAnsi" w:hAnsiTheme="majorHAnsi" w:cs="Arial"/>
                <w:sz w:val="18"/>
                <w:szCs w:val="18"/>
              </w:rPr>
              <w:t>2</w:t>
            </w:r>
            <w:r w:rsidR="00667639">
              <w:rPr>
                <w:rFonts w:asciiTheme="majorHAnsi" w:hAnsiTheme="majorHAnsi" w:cs="Arial"/>
                <w:sz w:val="18"/>
                <w:szCs w:val="18"/>
              </w:rPr>
              <w:t>, I</w:t>
            </w:r>
            <w:r w:rsidRPr="00C115DC">
              <w:rPr>
                <w:rFonts w:asciiTheme="majorHAnsi" w:hAnsiTheme="majorHAnsi" w:cs="Arial"/>
                <w:sz w:val="18"/>
                <w:szCs w:val="18"/>
              </w:rPr>
              <w:t xml:space="preserve"> = </w:t>
            </w:r>
            <w:r w:rsidR="00F9777B">
              <w:rPr>
                <w:rFonts w:asciiTheme="majorHAnsi" w:hAnsiTheme="majorHAnsi" w:cs="Arial"/>
                <w:sz w:val="18"/>
                <w:szCs w:val="18"/>
              </w:rPr>
              <w:t>3</w:t>
            </w:r>
          </w:p>
        </w:tc>
        <w:tc>
          <w:tcPr>
            <w:tcW w:w="3600" w:type="dxa"/>
          </w:tcPr>
          <w:p w14:paraId="1DD20498" w14:textId="0E532D11" w:rsidR="00946D85" w:rsidRPr="00C115DC" w:rsidRDefault="00946D85" w:rsidP="00C115DC">
            <w:pPr>
              <w:spacing w:after="0"/>
              <w:jc w:val="left"/>
              <w:rPr>
                <w:rFonts w:asciiTheme="majorHAnsi" w:hAnsiTheme="majorHAnsi" w:cs="Arial"/>
                <w:sz w:val="18"/>
                <w:szCs w:val="18"/>
              </w:rPr>
            </w:pPr>
            <w:r w:rsidRPr="00F9777B">
              <w:rPr>
                <w:rFonts w:asciiTheme="majorHAnsi" w:hAnsiTheme="majorHAnsi" w:cs="Arial"/>
                <w:b/>
                <w:sz w:val="18"/>
                <w:szCs w:val="18"/>
              </w:rPr>
              <w:t>Outcome 1</w:t>
            </w:r>
            <w:r w:rsidRPr="00C115DC">
              <w:rPr>
                <w:rFonts w:asciiTheme="majorHAnsi" w:hAnsiTheme="majorHAnsi" w:cs="Arial"/>
                <w:sz w:val="18"/>
                <w:szCs w:val="18"/>
              </w:rPr>
              <w:t xml:space="preserve"> will be prioritized and individual actions (including one-on-one meetings) to bring in these key stakeholders</w:t>
            </w:r>
            <w:r>
              <w:rPr>
                <w:rFonts w:asciiTheme="majorHAnsi" w:hAnsiTheme="majorHAnsi" w:cs="Arial"/>
                <w:sz w:val="18"/>
                <w:szCs w:val="18"/>
              </w:rPr>
              <w:t xml:space="preserve"> to a common platform. </w:t>
            </w:r>
            <w:r w:rsidRPr="00C115DC">
              <w:rPr>
                <w:rFonts w:asciiTheme="majorHAnsi" w:hAnsiTheme="majorHAnsi" w:cs="Arial"/>
                <w:sz w:val="18"/>
                <w:szCs w:val="18"/>
              </w:rPr>
              <w:t xml:space="preserve">. </w:t>
            </w:r>
            <w:r>
              <w:rPr>
                <w:rFonts w:asciiTheme="majorHAnsi" w:hAnsiTheme="majorHAnsi" w:cs="Arial"/>
                <w:sz w:val="18"/>
                <w:szCs w:val="18"/>
              </w:rPr>
              <w:t xml:space="preserve">Capacity building and awareness are aimed at enhancing participation </w:t>
            </w:r>
          </w:p>
          <w:p w14:paraId="1D06EDDF" w14:textId="77777777" w:rsidR="00946D85" w:rsidRPr="00C115DC" w:rsidRDefault="00946D85" w:rsidP="00C115DC">
            <w:pPr>
              <w:spacing w:after="0"/>
              <w:jc w:val="left"/>
              <w:rPr>
                <w:rFonts w:asciiTheme="majorHAnsi" w:hAnsiTheme="majorHAnsi" w:cs="Arial"/>
                <w:sz w:val="18"/>
                <w:szCs w:val="18"/>
              </w:rPr>
            </w:pPr>
          </w:p>
          <w:p w14:paraId="2DE055C3" w14:textId="77777777" w:rsidR="00946D85" w:rsidRPr="00C115DC" w:rsidRDefault="00946D85" w:rsidP="00C115DC">
            <w:pPr>
              <w:spacing w:after="0"/>
              <w:jc w:val="left"/>
              <w:rPr>
                <w:rFonts w:asciiTheme="majorHAnsi" w:hAnsiTheme="majorHAnsi" w:cs="Arial"/>
                <w:i/>
                <w:sz w:val="18"/>
                <w:szCs w:val="18"/>
              </w:rPr>
            </w:pPr>
          </w:p>
        </w:tc>
        <w:tc>
          <w:tcPr>
            <w:tcW w:w="1147" w:type="dxa"/>
          </w:tcPr>
          <w:p w14:paraId="1246D3D6" w14:textId="733223F1" w:rsidR="00946D85" w:rsidRPr="00C115DC" w:rsidRDefault="00946D85" w:rsidP="00C115DC">
            <w:pPr>
              <w:spacing w:after="0"/>
              <w:jc w:val="left"/>
              <w:rPr>
                <w:rFonts w:asciiTheme="majorHAnsi" w:hAnsiTheme="majorHAnsi" w:cs="Arial"/>
                <w:sz w:val="18"/>
                <w:szCs w:val="18"/>
              </w:rPr>
            </w:pPr>
            <w:r w:rsidRPr="00C115DC">
              <w:rPr>
                <w:rFonts w:asciiTheme="majorHAnsi" w:hAnsiTheme="majorHAnsi" w:cs="Arial"/>
                <w:sz w:val="18"/>
                <w:szCs w:val="18"/>
              </w:rPr>
              <w:t>EPU Coordinator</w:t>
            </w:r>
          </w:p>
          <w:p w14:paraId="423982D9" w14:textId="77777777" w:rsidR="00946D85" w:rsidRPr="00C115DC" w:rsidRDefault="00946D85" w:rsidP="00C115DC">
            <w:pPr>
              <w:spacing w:after="0"/>
              <w:jc w:val="left"/>
              <w:rPr>
                <w:rFonts w:asciiTheme="majorHAnsi" w:hAnsiTheme="majorHAnsi" w:cs="Arial"/>
                <w:sz w:val="18"/>
                <w:szCs w:val="18"/>
              </w:rPr>
            </w:pPr>
          </w:p>
          <w:p w14:paraId="335D8AF6" w14:textId="77777777" w:rsidR="00946D85" w:rsidRPr="00C115DC" w:rsidRDefault="00946D85" w:rsidP="00C115DC">
            <w:pPr>
              <w:spacing w:after="0"/>
              <w:jc w:val="left"/>
              <w:rPr>
                <w:rFonts w:asciiTheme="majorHAnsi" w:hAnsiTheme="majorHAnsi" w:cs="Arial"/>
                <w:i/>
                <w:sz w:val="18"/>
                <w:szCs w:val="18"/>
              </w:rPr>
            </w:pPr>
          </w:p>
        </w:tc>
      </w:tr>
      <w:tr w:rsidR="00667639" w:rsidRPr="008644B7" w14:paraId="4F84C49C" w14:textId="77777777" w:rsidTr="00667639">
        <w:tc>
          <w:tcPr>
            <w:tcW w:w="1620" w:type="dxa"/>
          </w:tcPr>
          <w:p w14:paraId="6A54DCB2" w14:textId="1FEF11CC" w:rsidR="00946D85" w:rsidRPr="00C115DC" w:rsidRDefault="00946D85" w:rsidP="00C115DC">
            <w:pPr>
              <w:spacing w:after="0"/>
              <w:jc w:val="left"/>
              <w:rPr>
                <w:rFonts w:asciiTheme="majorHAnsi" w:hAnsiTheme="majorHAnsi" w:cs="Arial"/>
                <w:sz w:val="18"/>
                <w:szCs w:val="18"/>
              </w:rPr>
            </w:pPr>
            <w:r w:rsidRPr="00C115DC">
              <w:rPr>
                <w:rFonts w:asciiTheme="majorHAnsi" w:hAnsiTheme="majorHAnsi" w:cs="Arial"/>
                <w:sz w:val="18"/>
                <w:szCs w:val="18"/>
              </w:rPr>
              <w:t xml:space="preserve">Land/Seascape Plans </w:t>
            </w:r>
            <w:r>
              <w:rPr>
                <w:rFonts w:asciiTheme="majorHAnsi" w:hAnsiTheme="majorHAnsi" w:cs="Arial"/>
                <w:sz w:val="18"/>
                <w:szCs w:val="18"/>
              </w:rPr>
              <w:t xml:space="preserve">will likely </w:t>
            </w:r>
            <w:r w:rsidRPr="00C115DC">
              <w:rPr>
                <w:rFonts w:asciiTheme="majorHAnsi" w:hAnsiTheme="majorHAnsi" w:cs="Arial"/>
                <w:sz w:val="18"/>
                <w:szCs w:val="18"/>
              </w:rPr>
              <w:t>benefit the wealthy at the disadvantage of women and vulnerable groups</w:t>
            </w:r>
          </w:p>
          <w:p w14:paraId="54A37EF1" w14:textId="77777777" w:rsidR="00946D85" w:rsidRPr="00C115DC" w:rsidRDefault="00946D85" w:rsidP="00C115DC">
            <w:pPr>
              <w:spacing w:after="0"/>
              <w:jc w:val="left"/>
              <w:rPr>
                <w:rFonts w:asciiTheme="majorHAnsi" w:hAnsiTheme="majorHAnsi" w:cs="Arial"/>
                <w:sz w:val="18"/>
                <w:szCs w:val="18"/>
              </w:rPr>
            </w:pPr>
          </w:p>
          <w:p w14:paraId="6A9A5B02" w14:textId="77777777" w:rsidR="00946D85" w:rsidRPr="00C115DC" w:rsidRDefault="00946D85" w:rsidP="00C115DC">
            <w:pPr>
              <w:spacing w:after="0"/>
              <w:jc w:val="left"/>
              <w:rPr>
                <w:rFonts w:asciiTheme="majorHAnsi" w:hAnsiTheme="majorHAnsi" w:cs="Arial"/>
                <w:i/>
                <w:sz w:val="18"/>
                <w:szCs w:val="18"/>
              </w:rPr>
            </w:pPr>
          </w:p>
        </w:tc>
        <w:tc>
          <w:tcPr>
            <w:tcW w:w="1080" w:type="dxa"/>
          </w:tcPr>
          <w:p w14:paraId="3EA241C8" w14:textId="77777777" w:rsidR="00946D85" w:rsidRPr="00C115DC" w:rsidRDefault="00946D85" w:rsidP="00C115DC">
            <w:pPr>
              <w:spacing w:after="0"/>
              <w:jc w:val="left"/>
              <w:rPr>
                <w:rFonts w:asciiTheme="majorHAnsi" w:hAnsiTheme="majorHAnsi" w:cs="Arial"/>
                <w:sz w:val="18"/>
                <w:szCs w:val="18"/>
              </w:rPr>
            </w:pPr>
            <w:r w:rsidRPr="00C115DC">
              <w:rPr>
                <w:rFonts w:asciiTheme="majorHAnsi" w:hAnsiTheme="majorHAnsi" w:cs="Arial"/>
                <w:sz w:val="18"/>
                <w:szCs w:val="18"/>
              </w:rPr>
              <w:t>Political</w:t>
            </w:r>
          </w:p>
          <w:p w14:paraId="71C25844" w14:textId="77777777" w:rsidR="00946D85" w:rsidRPr="00C115DC" w:rsidRDefault="00946D85" w:rsidP="00C115DC">
            <w:pPr>
              <w:spacing w:after="0"/>
              <w:jc w:val="left"/>
              <w:rPr>
                <w:rFonts w:asciiTheme="majorHAnsi" w:hAnsiTheme="majorHAnsi" w:cs="Arial"/>
                <w:i/>
                <w:sz w:val="18"/>
                <w:szCs w:val="18"/>
              </w:rPr>
            </w:pPr>
          </w:p>
        </w:tc>
        <w:tc>
          <w:tcPr>
            <w:tcW w:w="1890" w:type="dxa"/>
          </w:tcPr>
          <w:p w14:paraId="554BA07B" w14:textId="319BB290" w:rsidR="00946D85" w:rsidRPr="00C115DC" w:rsidRDefault="00946D85" w:rsidP="00C115DC">
            <w:pPr>
              <w:spacing w:after="0"/>
              <w:jc w:val="left"/>
              <w:rPr>
                <w:rFonts w:asciiTheme="majorHAnsi" w:hAnsiTheme="majorHAnsi" w:cs="Arial"/>
                <w:sz w:val="18"/>
                <w:szCs w:val="18"/>
              </w:rPr>
            </w:pPr>
            <w:r w:rsidRPr="00C115DC">
              <w:rPr>
                <w:rFonts w:asciiTheme="majorHAnsi" w:hAnsiTheme="majorHAnsi" w:cs="Arial"/>
                <w:sz w:val="18"/>
                <w:szCs w:val="18"/>
              </w:rPr>
              <w:t>If stakeholders are dominated by the private sector and private interests, and the Gender Mainstreaming Action Plan is ignored, this will occur.</w:t>
            </w:r>
          </w:p>
          <w:p w14:paraId="53BB6C95" w14:textId="758F4E17" w:rsidR="00946D85" w:rsidRPr="00C115DC" w:rsidRDefault="00946D85" w:rsidP="00F9777B">
            <w:pPr>
              <w:spacing w:after="0"/>
              <w:jc w:val="left"/>
              <w:rPr>
                <w:rFonts w:asciiTheme="majorHAnsi" w:hAnsiTheme="majorHAnsi" w:cs="Arial"/>
                <w:sz w:val="18"/>
                <w:szCs w:val="18"/>
              </w:rPr>
            </w:pPr>
            <w:r w:rsidRPr="00C115DC">
              <w:rPr>
                <w:rFonts w:asciiTheme="majorHAnsi" w:hAnsiTheme="majorHAnsi" w:cs="Arial"/>
                <w:sz w:val="18"/>
                <w:szCs w:val="18"/>
              </w:rPr>
              <w:t xml:space="preserve">P = </w:t>
            </w:r>
            <w:r w:rsidR="00F9777B">
              <w:rPr>
                <w:rFonts w:asciiTheme="majorHAnsi" w:hAnsiTheme="majorHAnsi" w:cs="Arial"/>
                <w:sz w:val="18"/>
                <w:szCs w:val="18"/>
              </w:rPr>
              <w:t>1</w:t>
            </w:r>
            <w:r w:rsidR="00667639">
              <w:rPr>
                <w:rFonts w:asciiTheme="majorHAnsi" w:hAnsiTheme="majorHAnsi" w:cs="Arial"/>
                <w:sz w:val="18"/>
                <w:szCs w:val="18"/>
              </w:rPr>
              <w:t xml:space="preserve">, </w:t>
            </w:r>
            <w:r w:rsidRPr="00C115DC">
              <w:rPr>
                <w:rFonts w:asciiTheme="majorHAnsi" w:hAnsiTheme="majorHAnsi" w:cs="Arial"/>
                <w:sz w:val="18"/>
                <w:szCs w:val="18"/>
              </w:rPr>
              <w:t>I = 3</w:t>
            </w:r>
          </w:p>
        </w:tc>
        <w:tc>
          <w:tcPr>
            <w:tcW w:w="3600" w:type="dxa"/>
          </w:tcPr>
          <w:p w14:paraId="39E617E1" w14:textId="77777777" w:rsidR="00F9777B" w:rsidRPr="00F9777B" w:rsidRDefault="00F9777B" w:rsidP="00F9777B">
            <w:pPr>
              <w:spacing w:after="0"/>
              <w:jc w:val="left"/>
              <w:rPr>
                <w:rFonts w:asciiTheme="majorHAnsi" w:hAnsiTheme="majorHAnsi"/>
                <w:sz w:val="18"/>
                <w:szCs w:val="18"/>
              </w:rPr>
            </w:pPr>
            <w:r w:rsidRPr="00F9777B">
              <w:rPr>
                <w:rFonts w:asciiTheme="majorHAnsi" w:hAnsiTheme="majorHAnsi"/>
                <w:sz w:val="18"/>
                <w:szCs w:val="18"/>
              </w:rPr>
              <w:t>-</w:t>
            </w:r>
            <w:r w:rsidRPr="00F9777B">
              <w:rPr>
                <w:rFonts w:asciiTheme="majorHAnsi" w:hAnsiTheme="majorHAnsi"/>
                <w:b/>
                <w:sz w:val="18"/>
                <w:szCs w:val="18"/>
              </w:rPr>
              <w:t xml:space="preserve"> </w:t>
            </w:r>
            <w:r w:rsidRPr="00F9777B">
              <w:rPr>
                <w:rFonts w:asciiTheme="majorHAnsi" w:hAnsiTheme="majorHAnsi"/>
                <w:sz w:val="18"/>
                <w:szCs w:val="18"/>
              </w:rPr>
              <w:t>Application of “Gender Analysis and Mainstreaming Action Plan”</w:t>
            </w:r>
            <w:r w:rsidRPr="00F9777B">
              <w:rPr>
                <w:rFonts w:asciiTheme="majorHAnsi" w:hAnsiTheme="majorHAnsi"/>
                <w:b/>
                <w:sz w:val="18"/>
                <w:szCs w:val="18"/>
              </w:rPr>
              <w:t xml:space="preserve"> (Annex 5 of UNDP Project Document)</w:t>
            </w:r>
            <w:r w:rsidRPr="00F9777B">
              <w:rPr>
                <w:rFonts w:asciiTheme="majorHAnsi" w:hAnsiTheme="majorHAnsi"/>
                <w:sz w:val="18"/>
                <w:szCs w:val="18"/>
              </w:rPr>
              <w:t xml:space="preserve"> including monitoring of specific indicators (Annex 12 of </w:t>
            </w:r>
            <w:r w:rsidRPr="00F9777B">
              <w:rPr>
                <w:rFonts w:asciiTheme="majorHAnsi" w:hAnsiTheme="majorHAnsi"/>
                <w:b/>
                <w:sz w:val="18"/>
                <w:szCs w:val="18"/>
              </w:rPr>
              <w:t>UNDP Project Document)</w:t>
            </w:r>
            <w:r w:rsidRPr="00F9777B">
              <w:rPr>
                <w:rFonts w:asciiTheme="majorHAnsi" w:hAnsiTheme="majorHAnsi"/>
                <w:sz w:val="18"/>
                <w:szCs w:val="18"/>
              </w:rPr>
              <w:t xml:space="preserve"> to ensure that women and vulnerable groups participate and benefit from the project investments </w:t>
            </w:r>
          </w:p>
          <w:p w14:paraId="2B0EC5F8" w14:textId="77777777" w:rsidR="00946D85" w:rsidRPr="00C115DC" w:rsidRDefault="00946D85" w:rsidP="00C115DC">
            <w:pPr>
              <w:spacing w:after="0"/>
              <w:jc w:val="left"/>
              <w:rPr>
                <w:rFonts w:asciiTheme="majorHAnsi" w:hAnsiTheme="majorHAnsi" w:cs="Arial"/>
                <w:i/>
                <w:sz w:val="18"/>
                <w:szCs w:val="18"/>
              </w:rPr>
            </w:pPr>
          </w:p>
        </w:tc>
        <w:tc>
          <w:tcPr>
            <w:tcW w:w="1147" w:type="dxa"/>
          </w:tcPr>
          <w:p w14:paraId="70CD924F" w14:textId="6599C6D1" w:rsidR="00946D85" w:rsidRPr="00C115DC" w:rsidRDefault="00946D85" w:rsidP="00C115DC">
            <w:pPr>
              <w:spacing w:after="0"/>
              <w:jc w:val="left"/>
              <w:rPr>
                <w:rFonts w:asciiTheme="majorHAnsi" w:hAnsiTheme="majorHAnsi" w:cs="Arial"/>
                <w:sz w:val="18"/>
                <w:szCs w:val="18"/>
              </w:rPr>
            </w:pPr>
            <w:r w:rsidRPr="00C115DC">
              <w:rPr>
                <w:rFonts w:asciiTheme="majorHAnsi" w:hAnsiTheme="majorHAnsi" w:cs="Arial"/>
                <w:sz w:val="18"/>
                <w:szCs w:val="18"/>
              </w:rPr>
              <w:t>EPU Coordinator</w:t>
            </w:r>
          </w:p>
          <w:p w14:paraId="1972CB06" w14:textId="77777777" w:rsidR="00946D85" w:rsidRPr="00C115DC" w:rsidRDefault="00946D85" w:rsidP="00C115DC">
            <w:pPr>
              <w:spacing w:after="0"/>
              <w:jc w:val="left"/>
              <w:rPr>
                <w:rFonts w:asciiTheme="majorHAnsi" w:hAnsiTheme="majorHAnsi" w:cs="Arial"/>
                <w:sz w:val="18"/>
                <w:szCs w:val="18"/>
              </w:rPr>
            </w:pPr>
          </w:p>
          <w:p w14:paraId="72C006CB" w14:textId="74B3EF3B" w:rsidR="00946D85" w:rsidRPr="00C115DC" w:rsidRDefault="00946D85" w:rsidP="00C115DC">
            <w:pPr>
              <w:spacing w:after="0"/>
              <w:jc w:val="left"/>
              <w:rPr>
                <w:rFonts w:asciiTheme="majorHAnsi" w:hAnsiTheme="majorHAnsi" w:cs="Arial"/>
                <w:i/>
                <w:sz w:val="18"/>
                <w:szCs w:val="18"/>
              </w:rPr>
            </w:pPr>
            <w:r w:rsidRPr="00C115DC">
              <w:rPr>
                <w:rFonts w:asciiTheme="majorHAnsi" w:hAnsiTheme="majorHAnsi" w:cs="Arial"/>
                <w:sz w:val="18"/>
                <w:szCs w:val="18"/>
              </w:rPr>
              <w:t>Yearly analysis by the Gender Division</w:t>
            </w:r>
          </w:p>
        </w:tc>
      </w:tr>
      <w:tr w:rsidR="00667639" w:rsidRPr="008644B7" w14:paraId="13C9F60C" w14:textId="77777777" w:rsidTr="00667639">
        <w:tc>
          <w:tcPr>
            <w:tcW w:w="1620" w:type="dxa"/>
          </w:tcPr>
          <w:p w14:paraId="3AAB4693" w14:textId="6DCDBB01" w:rsidR="00946D85" w:rsidRPr="00C115DC" w:rsidRDefault="00946D85" w:rsidP="00C115DC">
            <w:pPr>
              <w:spacing w:after="0"/>
              <w:jc w:val="left"/>
              <w:rPr>
                <w:rFonts w:asciiTheme="majorHAnsi" w:hAnsiTheme="majorHAnsi" w:cs="Arial"/>
                <w:sz w:val="18"/>
                <w:szCs w:val="18"/>
              </w:rPr>
            </w:pPr>
            <w:r w:rsidRPr="00C115DC">
              <w:rPr>
                <w:rFonts w:asciiTheme="majorHAnsi" w:hAnsiTheme="majorHAnsi" w:cs="Arial"/>
                <w:sz w:val="18"/>
                <w:szCs w:val="18"/>
              </w:rPr>
              <w:t>Biosecurity Efforts are ineffective</w:t>
            </w:r>
            <w:r>
              <w:rPr>
                <w:rFonts w:asciiTheme="majorHAnsi" w:hAnsiTheme="majorHAnsi" w:cs="Arial"/>
                <w:sz w:val="18"/>
                <w:szCs w:val="18"/>
              </w:rPr>
              <w:t xml:space="preserve"> resulting in lack of management effort to prevent the introduction IAS and its spread throughout the country</w:t>
            </w:r>
          </w:p>
          <w:p w14:paraId="57BF4A5F" w14:textId="77777777" w:rsidR="00946D85" w:rsidRPr="00C115DC" w:rsidRDefault="00946D85" w:rsidP="00C115DC">
            <w:pPr>
              <w:spacing w:after="0"/>
              <w:jc w:val="left"/>
              <w:rPr>
                <w:rFonts w:asciiTheme="majorHAnsi" w:hAnsiTheme="majorHAnsi" w:cs="Arial"/>
                <w:sz w:val="18"/>
                <w:szCs w:val="18"/>
              </w:rPr>
            </w:pPr>
          </w:p>
          <w:p w14:paraId="6094F79A" w14:textId="77777777" w:rsidR="00946D85" w:rsidRPr="00C115DC" w:rsidRDefault="00946D85" w:rsidP="00C115DC">
            <w:pPr>
              <w:spacing w:after="0"/>
              <w:jc w:val="left"/>
              <w:rPr>
                <w:rFonts w:asciiTheme="majorHAnsi" w:hAnsiTheme="majorHAnsi" w:cs="Arial"/>
                <w:sz w:val="18"/>
                <w:szCs w:val="18"/>
              </w:rPr>
            </w:pPr>
          </w:p>
          <w:p w14:paraId="4DEBA7A9" w14:textId="77777777" w:rsidR="00946D85" w:rsidRPr="00C115DC" w:rsidRDefault="00946D85" w:rsidP="00C115DC">
            <w:pPr>
              <w:spacing w:after="0"/>
              <w:jc w:val="left"/>
              <w:rPr>
                <w:rFonts w:asciiTheme="majorHAnsi" w:hAnsiTheme="majorHAnsi" w:cs="Arial"/>
                <w:i/>
                <w:sz w:val="18"/>
                <w:szCs w:val="18"/>
              </w:rPr>
            </w:pPr>
          </w:p>
        </w:tc>
        <w:tc>
          <w:tcPr>
            <w:tcW w:w="1080" w:type="dxa"/>
          </w:tcPr>
          <w:p w14:paraId="648BDAA1" w14:textId="77777777" w:rsidR="00946D85" w:rsidRPr="00C115DC" w:rsidRDefault="00946D85" w:rsidP="00C115DC">
            <w:pPr>
              <w:spacing w:after="0"/>
              <w:jc w:val="left"/>
              <w:rPr>
                <w:rFonts w:asciiTheme="majorHAnsi" w:hAnsiTheme="majorHAnsi" w:cs="Arial"/>
                <w:sz w:val="18"/>
                <w:szCs w:val="18"/>
              </w:rPr>
            </w:pPr>
            <w:r w:rsidRPr="00C115DC">
              <w:rPr>
                <w:rFonts w:asciiTheme="majorHAnsi" w:hAnsiTheme="majorHAnsi" w:cs="Arial"/>
                <w:sz w:val="18"/>
                <w:szCs w:val="18"/>
              </w:rPr>
              <w:t>Environmental</w:t>
            </w:r>
          </w:p>
          <w:p w14:paraId="644F4354" w14:textId="77777777" w:rsidR="00946D85" w:rsidRPr="00C115DC" w:rsidRDefault="00946D85" w:rsidP="00C115DC">
            <w:pPr>
              <w:spacing w:after="0"/>
              <w:jc w:val="left"/>
              <w:rPr>
                <w:rFonts w:asciiTheme="majorHAnsi" w:hAnsiTheme="majorHAnsi" w:cs="Arial"/>
                <w:i/>
                <w:sz w:val="18"/>
                <w:szCs w:val="18"/>
              </w:rPr>
            </w:pPr>
          </w:p>
        </w:tc>
        <w:tc>
          <w:tcPr>
            <w:tcW w:w="1890" w:type="dxa"/>
          </w:tcPr>
          <w:p w14:paraId="4FD6DC7C" w14:textId="77777777" w:rsidR="00946D85" w:rsidRPr="00C115DC" w:rsidRDefault="00946D85" w:rsidP="00C115DC">
            <w:pPr>
              <w:spacing w:after="0"/>
              <w:jc w:val="left"/>
              <w:rPr>
                <w:rFonts w:asciiTheme="majorHAnsi" w:hAnsiTheme="majorHAnsi" w:cs="Arial"/>
                <w:sz w:val="18"/>
                <w:szCs w:val="18"/>
              </w:rPr>
            </w:pPr>
            <w:r w:rsidRPr="00C115DC">
              <w:rPr>
                <w:rFonts w:asciiTheme="majorHAnsi" w:hAnsiTheme="majorHAnsi" w:cs="Arial"/>
                <w:sz w:val="18"/>
                <w:szCs w:val="18"/>
              </w:rPr>
              <w:t>The NISSAP and EDRR must be developed based on best available knowledge and cannot wait for much additional research. Thus new and unexpected IAS may be missed. Or, the protocols advocated may be inadequate.</w:t>
            </w:r>
          </w:p>
          <w:p w14:paraId="672F918F" w14:textId="61B69FF3" w:rsidR="00946D85" w:rsidRPr="00C115DC" w:rsidRDefault="00946D85" w:rsidP="00C115DC">
            <w:pPr>
              <w:spacing w:after="0"/>
              <w:jc w:val="left"/>
              <w:rPr>
                <w:rFonts w:asciiTheme="majorHAnsi" w:hAnsiTheme="majorHAnsi" w:cs="Arial"/>
                <w:sz w:val="18"/>
                <w:szCs w:val="18"/>
              </w:rPr>
            </w:pPr>
            <w:r w:rsidRPr="00C115DC">
              <w:rPr>
                <w:rFonts w:asciiTheme="majorHAnsi" w:hAnsiTheme="majorHAnsi" w:cs="Arial"/>
                <w:sz w:val="18"/>
                <w:szCs w:val="18"/>
              </w:rPr>
              <w:t>P = 2</w:t>
            </w:r>
            <w:r w:rsidR="00667639">
              <w:rPr>
                <w:rFonts w:asciiTheme="majorHAnsi" w:hAnsiTheme="majorHAnsi" w:cs="Arial"/>
                <w:sz w:val="18"/>
                <w:szCs w:val="18"/>
              </w:rPr>
              <w:t xml:space="preserve">, </w:t>
            </w:r>
            <w:r w:rsidRPr="00C115DC">
              <w:rPr>
                <w:rFonts w:asciiTheme="majorHAnsi" w:hAnsiTheme="majorHAnsi" w:cs="Arial"/>
                <w:sz w:val="18"/>
                <w:szCs w:val="18"/>
              </w:rPr>
              <w:t>I = 3</w:t>
            </w:r>
          </w:p>
        </w:tc>
        <w:tc>
          <w:tcPr>
            <w:tcW w:w="3600" w:type="dxa"/>
          </w:tcPr>
          <w:p w14:paraId="619B6937" w14:textId="3471B5C6" w:rsidR="00946D85" w:rsidRPr="00F9777B" w:rsidRDefault="00F9777B" w:rsidP="00F9777B">
            <w:pPr>
              <w:spacing w:after="0"/>
              <w:jc w:val="left"/>
              <w:rPr>
                <w:rFonts w:asciiTheme="majorHAnsi" w:hAnsiTheme="majorHAnsi" w:cs="Arial"/>
                <w:sz w:val="18"/>
                <w:szCs w:val="18"/>
              </w:rPr>
            </w:pPr>
            <w:r>
              <w:rPr>
                <w:rFonts w:asciiTheme="majorHAnsi" w:hAnsiTheme="majorHAnsi" w:cs="Arial"/>
                <w:sz w:val="18"/>
                <w:szCs w:val="18"/>
              </w:rPr>
              <w:t>-</w:t>
            </w:r>
            <w:r>
              <w:rPr>
                <w:rFonts w:asciiTheme="majorHAnsi" w:hAnsiTheme="majorHAnsi" w:cs="Arial"/>
                <w:b/>
                <w:sz w:val="18"/>
                <w:szCs w:val="18"/>
              </w:rPr>
              <w:t xml:space="preserve">Outcome 1 </w:t>
            </w:r>
            <w:r w:rsidR="00946D85" w:rsidRPr="00F9777B">
              <w:rPr>
                <w:rFonts w:asciiTheme="majorHAnsi" w:hAnsiTheme="majorHAnsi" w:cs="Arial"/>
                <w:sz w:val="18"/>
                <w:szCs w:val="18"/>
              </w:rPr>
              <w:t>Biosecurity Division, NISCO and NISC must be properly capacitated and will be seen as valuable partner</w:t>
            </w:r>
            <w:r w:rsidRPr="00F9777B">
              <w:rPr>
                <w:rFonts w:asciiTheme="majorHAnsi" w:hAnsiTheme="majorHAnsi" w:cs="Arial"/>
                <w:sz w:val="18"/>
                <w:szCs w:val="18"/>
              </w:rPr>
              <w:t>s in IAS control and management.</w:t>
            </w:r>
          </w:p>
          <w:p w14:paraId="26EFF68D" w14:textId="4B53E43E" w:rsidR="00F9777B" w:rsidRPr="00C115DC" w:rsidRDefault="00F9777B" w:rsidP="00F9777B">
            <w:pPr>
              <w:spacing w:after="0"/>
              <w:jc w:val="left"/>
              <w:rPr>
                <w:rFonts w:asciiTheme="majorHAnsi" w:hAnsiTheme="majorHAnsi" w:cs="Arial"/>
                <w:i/>
                <w:sz w:val="18"/>
                <w:szCs w:val="18"/>
              </w:rPr>
            </w:pPr>
            <w:r w:rsidRPr="00F9777B">
              <w:rPr>
                <w:rFonts w:asciiTheme="majorHAnsi" w:hAnsiTheme="majorHAnsi"/>
                <w:sz w:val="18"/>
                <w:szCs w:val="18"/>
              </w:rPr>
              <w:t xml:space="preserve">-The Communications and Knowledge Management Strategy </w:t>
            </w:r>
            <w:r w:rsidRPr="00F9777B">
              <w:rPr>
                <w:rFonts w:asciiTheme="majorHAnsi" w:hAnsiTheme="majorHAnsi"/>
                <w:b/>
                <w:sz w:val="18"/>
                <w:szCs w:val="18"/>
              </w:rPr>
              <w:t>(Annex 6 of UNDP Project Document)</w:t>
            </w:r>
            <w:r w:rsidRPr="00F9777B">
              <w:rPr>
                <w:rFonts w:asciiTheme="majorHAnsi" w:hAnsiTheme="majorHAnsi"/>
                <w:sz w:val="18"/>
                <w:szCs w:val="18"/>
              </w:rPr>
              <w:t xml:space="preserve"> will be implemented to increase awareness of the threat of IAS</w:t>
            </w:r>
          </w:p>
        </w:tc>
        <w:tc>
          <w:tcPr>
            <w:tcW w:w="1147" w:type="dxa"/>
          </w:tcPr>
          <w:p w14:paraId="5ED2480D" w14:textId="77777777" w:rsidR="00946D85" w:rsidRPr="00C115DC" w:rsidRDefault="00946D85" w:rsidP="00C115DC">
            <w:pPr>
              <w:spacing w:after="0"/>
              <w:jc w:val="left"/>
              <w:rPr>
                <w:rFonts w:asciiTheme="majorHAnsi" w:hAnsiTheme="majorHAnsi" w:cs="Arial"/>
                <w:sz w:val="18"/>
                <w:szCs w:val="18"/>
              </w:rPr>
            </w:pPr>
            <w:r w:rsidRPr="00C115DC">
              <w:rPr>
                <w:rFonts w:asciiTheme="majorHAnsi" w:hAnsiTheme="majorHAnsi" w:cs="Arial"/>
                <w:sz w:val="18"/>
                <w:szCs w:val="18"/>
              </w:rPr>
              <w:t>NISC</w:t>
            </w:r>
          </w:p>
          <w:p w14:paraId="092E651B" w14:textId="77777777" w:rsidR="00946D85" w:rsidRPr="00C115DC" w:rsidRDefault="00946D85" w:rsidP="00C115DC">
            <w:pPr>
              <w:spacing w:after="0"/>
              <w:jc w:val="left"/>
              <w:rPr>
                <w:rFonts w:asciiTheme="majorHAnsi" w:hAnsiTheme="majorHAnsi" w:cs="Arial"/>
                <w:sz w:val="18"/>
                <w:szCs w:val="18"/>
              </w:rPr>
            </w:pPr>
            <w:r w:rsidRPr="00C115DC">
              <w:rPr>
                <w:rFonts w:asciiTheme="majorHAnsi" w:hAnsiTheme="majorHAnsi" w:cs="Arial"/>
                <w:sz w:val="18"/>
                <w:szCs w:val="18"/>
              </w:rPr>
              <w:t>NISCO</w:t>
            </w:r>
          </w:p>
          <w:p w14:paraId="442309D7" w14:textId="2A9CD4DC" w:rsidR="00946D85" w:rsidRPr="00C115DC" w:rsidRDefault="00946D85" w:rsidP="00C115DC">
            <w:pPr>
              <w:spacing w:after="0"/>
              <w:jc w:val="left"/>
              <w:rPr>
                <w:rFonts w:asciiTheme="majorHAnsi" w:hAnsiTheme="majorHAnsi" w:cs="Arial"/>
                <w:sz w:val="18"/>
                <w:szCs w:val="18"/>
              </w:rPr>
            </w:pPr>
            <w:r w:rsidRPr="00C115DC">
              <w:rPr>
                <w:rFonts w:asciiTheme="majorHAnsi" w:hAnsiTheme="majorHAnsi" w:cs="Arial"/>
                <w:sz w:val="18"/>
                <w:szCs w:val="18"/>
              </w:rPr>
              <w:t>Biosecurity Division</w:t>
            </w:r>
          </w:p>
          <w:p w14:paraId="0F3D6542" w14:textId="77777777" w:rsidR="00946D85" w:rsidRPr="00C115DC" w:rsidRDefault="00946D85" w:rsidP="00C115DC">
            <w:pPr>
              <w:spacing w:after="0"/>
              <w:jc w:val="left"/>
              <w:rPr>
                <w:rFonts w:asciiTheme="majorHAnsi" w:hAnsiTheme="majorHAnsi" w:cs="Arial"/>
                <w:sz w:val="18"/>
                <w:szCs w:val="18"/>
              </w:rPr>
            </w:pPr>
          </w:p>
          <w:p w14:paraId="41625AE3" w14:textId="77777777" w:rsidR="00946D85" w:rsidRPr="00C115DC" w:rsidRDefault="00946D85" w:rsidP="00C115DC">
            <w:pPr>
              <w:spacing w:after="0"/>
              <w:jc w:val="left"/>
              <w:rPr>
                <w:rFonts w:asciiTheme="majorHAnsi" w:hAnsiTheme="majorHAnsi" w:cs="Arial"/>
                <w:sz w:val="18"/>
                <w:szCs w:val="18"/>
              </w:rPr>
            </w:pPr>
          </w:p>
          <w:p w14:paraId="75457BFF" w14:textId="77777777" w:rsidR="00946D85" w:rsidRPr="00C115DC" w:rsidRDefault="00946D85" w:rsidP="00C115DC">
            <w:pPr>
              <w:spacing w:after="0"/>
              <w:jc w:val="left"/>
              <w:rPr>
                <w:rFonts w:asciiTheme="majorHAnsi" w:hAnsiTheme="majorHAnsi" w:cs="Arial"/>
                <w:i/>
                <w:sz w:val="18"/>
                <w:szCs w:val="18"/>
              </w:rPr>
            </w:pPr>
          </w:p>
        </w:tc>
      </w:tr>
      <w:tr w:rsidR="00667639" w:rsidRPr="008644B7" w14:paraId="43803A8B" w14:textId="77777777" w:rsidTr="00667639">
        <w:tc>
          <w:tcPr>
            <w:tcW w:w="1620" w:type="dxa"/>
          </w:tcPr>
          <w:p w14:paraId="1C4E1EA2" w14:textId="22204716" w:rsidR="00946D85" w:rsidRPr="009040C6" w:rsidRDefault="00946D85" w:rsidP="009040C6">
            <w:pPr>
              <w:spacing w:after="0"/>
              <w:jc w:val="left"/>
              <w:rPr>
                <w:rFonts w:asciiTheme="majorHAnsi" w:hAnsiTheme="majorHAnsi" w:cs="Arial"/>
                <w:i/>
                <w:sz w:val="18"/>
                <w:szCs w:val="18"/>
              </w:rPr>
            </w:pPr>
            <w:r w:rsidRPr="009040C6">
              <w:rPr>
                <w:rFonts w:asciiTheme="majorHAnsi" w:hAnsiTheme="majorHAnsi"/>
                <w:color w:val="000000"/>
                <w:sz w:val="18"/>
                <w:szCs w:val="18"/>
              </w:rPr>
              <w:t xml:space="preserve">Private sector is not willing to invest in biodiversity conservation partnerships or biodiversity friendly tourism services </w:t>
            </w:r>
          </w:p>
        </w:tc>
        <w:tc>
          <w:tcPr>
            <w:tcW w:w="1080" w:type="dxa"/>
          </w:tcPr>
          <w:p w14:paraId="7BF9F9A6" w14:textId="77777777" w:rsidR="00946D85" w:rsidRPr="009040C6" w:rsidRDefault="00946D85" w:rsidP="009040C6">
            <w:pPr>
              <w:spacing w:after="0"/>
              <w:jc w:val="left"/>
              <w:rPr>
                <w:rFonts w:asciiTheme="majorHAnsi" w:hAnsiTheme="majorHAnsi" w:cs="Arial"/>
                <w:sz w:val="18"/>
                <w:szCs w:val="18"/>
              </w:rPr>
            </w:pPr>
            <w:r w:rsidRPr="009040C6">
              <w:rPr>
                <w:rFonts w:asciiTheme="majorHAnsi" w:hAnsiTheme="majorHAnsi" w:cs="Arial"/>
                <w:sz w:val="18"/>
                <w:szCs w:val="18"/>
              </w:rPr>
              <w:t>Political</w:t>
            </w:r>
          </w:p>
          <w:p w14:paraId="3FEB5C7A" w14:textId="77777777" w:rsidR="00946D85" w:rsidRPr="009040C6" w:rsidRDefault="00946D85" w:rsidP="009040C6">
            <w:pPr>
              <w:spacing w:after="0"/>
              <w:jc w:val="left"/>
              <w:rPr>
                <w:rFonts w:asciiTheme="majorHAnsi" w:hAnsiTheme="majorHAnsi" w:cs="Arial"/>
                <w:i/>
                <w:sz w:val="18"/>
                <w:szCs w:val="18"/>
              </w:rPr>
            </w:pPr>
          </w:p>
        </w:tc>
        <w:tc>
          <w:tcPr>
            <w:tcW w:w="1890" w:type="dxa"/>
          </w:tcPr>
          <w:p w14:paraId="434781DF" w14:textId="64F5BAAF" w:rsidR="00946D85" w:rsidRPr="009040C6" w:rsidRDefault="00946D85" w:rsidP="009040C6">
            <w:pPr>
              <w:spacing w:after="0"/>
              <w:jc w:val="left"/>
              <w:rPr>
                <w:rFonts w:asciiTheme="majorHAnsi" w:hAnsiTheme="majorHAnsi" w:cs="Arial"/>
                <w:sz w:val="18"/>
                <w:szCs w:val="18"/>
              </w:rPr>
            </w:pPr>
            <w:r>
              <w:rPr>
                <w:rFonts w:asciiTheme="majorHAnsi" w:hAnsiTheme="majorHAnsi" w:cs="Arial"/>
                <w:sz w:val="18"/>
                <w:szCs w:val="18"/>
              </w:rPr>
              <w:t>If there is limited consideration and acknowledgement of role of the private sector in conservation, then it is unlikely that collaboration will be achieved</w:t>
            </w:r>
          </w:p>
          <w:p w14:paraId="088AA927" w14:textId="7C9D8FFC" w:rsidR="00946D85" w:rsidRPr="009040C6" w:rsidRDefault="00946D85" w:rsidP="00C115DC">
            <w:pPr>
              <w:spacing w:after="0"/>
              <w:jc w:val="left"/>
              <w:rPr>
                <w:rFonts w:asciiTheme="majorHAnsi" w:hAnsiTheme="majorHAnsi" w:cs="Arial"/>
                <w:sz w:val="18"/>
                <w:szCs w:val="18"/>
              </w:rPr>
            </w:pPr>
            <w:r w:rsidRPr="009040C6">
              <w:rPr>
                <w:rFonts w:asciiTheme="majorHAnsi" w:hAnsiTheme="majorHAnsi" w:cs="Arial"/>
                <w:sz w:val="18"/>
                <w:szCs w:val="18"/>
              </w:rPr>
              <w:t>P = 2</w:t>
            </w:r>
            <w:r w:rsidR="00667639">
              <w:rPr>
                <w:rFonts w:asciiTheme="majorHAnsi" w:hAnsiTheme="majorHAnsi" w:cs="Arial"/>
                <w:sz w:val="18"/>
                <w:szCs w:val="18"/>
              </w:rPr>
              <w:t xml:space="preserve">, </w:t>
            </w:r>
            <w:r w:rsidRPr="009040C6">
              <w:rPr>
                <w:rFonts w:asciiTheme="majorHAnsi" w:hAnsiTheme="majorHAnsi" w:cs="Arial"/>
                <w:sz w:val="18"/>
                <w:szCs w:val="18"/>
              </w:rPr>
              <w:t xml:space="preserve">I = </w:t>
            </w:r>
            <w:r>
              <w:rPr>
                <w:rFonts w:asciiTheme="majorHAnsi" w:hAnsiTheme="majorHAnsi" w:cs="Arial"/>
                <w:sz w:val="18"/>
                <w:szCs w:val="18"/>
              </w:rPr>
              <w:t>3</w:t>
            </w:r>
          </w:p>
        </w:tc>
        <w:tc>
          <w:tcPr>
            <w:tcW w:w="3600" w:type="dxa"/>
          </w:tcPr>
          <w:p w14:paraId="4A87E4A8" w14:textId="77777777" w:rsidR="00946D85" w:rsidRPr="009040C6" w:rsidRDefault="00946D85" w:rsidP="009040C6">
            <w:pPr>
              <w:spacing w:after="0"/>
              <w:jc w:val="left"/>
              <w:rPr>
                <w:rFonts w:asciiTheme="majorHAnsi" w:hAnsiTheme="majorHAnsi" w:cs="Arial"/>
                <w:i/>
                <w:sz w:val="18"/>
                <w:szCs w:val="18"/>
              </w:rPr>
            </w:pPr>
            <w:r w:rsidRPr="009040C6">
              <w:rPr>
                <w:rFonts w:asciiTheme="majorHAnsi" w:hAnsiTheme="majorHAnsi"/>
                <w:color w:val="000000"/>
                <w:sz w:val="18"/>
                <w:szCs w:val="18"/>
              </w:rPr>
              <w:t xml:space="preserve">The project will work through existing organizations in Palau that already have a good relationship with the private sector to foster collaboration and seek to achieve win-win conservation/economic outcomes. For example, where biodiversity serves as a foundation for diversification of the tourism sector, the project will identify, scope and provide concrete guidance and examples of how such opportunities can be harnessed. </w:t>
            </w:r>
          </w:p>
        </w:tc>
        <w:tc>
          <w:tcPr>
            <w:tcW w:w="1147" w:type="dxa"/>
          </w:tcPr>
          <w:p w14:paraId="5A5BD04E" w14:textId="25196F5A" w:rsidR="00946D85" w:rsidRPr="009040C6" w:rsidRDefault="00946D85" w:rsidP="009040C6">
            <w:pPr>
              <w:spacing w:after="0"/>
              <w:jc w:val="left"/>
              <w:rPr>
                <w:rFonts w:asciiTheme="majorHAnsi" w:hAnsiTheme="majorHAnsi" w:cs="Arial"/>
                <w:sz w:val="18"/>
                <w:szCs w:val="18"/>
              </w:rPr>
            </w:pPr>
            <w:r w:rsidRPr="009040C6">
              <w:rPr>
                <w:rFonts w:asciiTheme="majorHAnsi" w:hAnsiTheme="majorHAnsi" w:cs="Arial"/>
                <w:sz w:val="18"/>
                <w:szCs w:val="18"/>
              </w:rPr>
              <w:t xml:space="preserve">EPU </w:t>
            </w:r>
            <w:r>
              <w:rPr>
                <w:rFonts w:asciiTheme="majorHAnsi" w:hAnsiTheme="majorHAnsi" w:cs="Arial"/>
                <w:sz w:val="18"/>
                <w:szCs w:val="18"/>
              </w:rPr>
              <w:t>Coordinator</w:t>
            </w:r>
          </w:p>
          <w:p w14:paraId="0F5320EC" w14:textId="77777777" w:rsidR="00946D85" w:rsidRPr="009040C6" w:rsidRDefault="00946D85" w:rsidP="009040C6">
            <w:pPr>
              <w:spacing w:after="0"/>
              <w:jc w:val="left"/>
              <w:rPr>
                <w:rFonts w:asciiTheme="majorHAnsi" w:hAnsiTheme="majorHAnsi" w:cs="Arial"/>
                <w:sz w:val="18"/>
                <w:szCs w:val="18"/>
              </w:rPr>
            </w:pPr>
          </w:p>
          <w:p w14:paraId="0322B662" w14:textId="77777777" w:rsidR="00946D85" w:rsidRPr="009040C6" w:rsidRDefault="00946D85" w:rsidP="009040C6">
            <w:pPr>
              <w:spacing w:after="0"/>
              <w:jc w:val="left"/>
              <w:rPr>
                <w:rFonts w:asciiTheme="majorHAnsi" w:hAnsiTheme="majorHAnsi" w:cs="Arial"/>
                <w:sz w:val="18"/>
                <w:szCs w:val="18"/>
              </w:rPr>
            </w:pPr>
          </w:p>
          <w:p w14:paraId="65BB8D5D" w14:textId="77777777" w:rsidR="00946D85" w:rsidRPr="009040C6" w:rsidRDefault="00946D85" w:rsidP="009040C6">
            <w:pPr>
              <w:spacing w:after="0"/>
              <w:jc w:val="left"/>
              <w:rPr>
                <w:rFonts w:asciiTheme="majorHAnsi" w:hAnsiTheme="majorHAnsi" w:cs="Arial"/>
                <w:i/>
                <w:sz w:val="18"/>
                <w:szCs w:val="18"/>
              </w:rPr>
            </w:pPr>
          </w:p>
        </w:tc>
      </w:tr>
      <w:tr w:rsidR="00667639" w:rsidRPr="008644B7" w14:paraId="1A0F1605" w14:textId="77777777" w:rsidTr="00667639">
        <w:tc>
          <w:tcPr>
            <w:tcW w:w="1620" w:type="dxa"/>
          </w:tcPr>
          <w:p w14:paraId="2B891164" w14:textId="3176732B" w:rsidR="00946D85" w:rsidRPr="009040C6" w:rsidRDefault="00946D85" w:rsidP="0075744F">
            <w:pPr>
              <w:spacing w:after="0"/>
              <w:jc w:val="left"/>
              <w:rPr>
                <w:rFonts w:asciiTheme="majorHAnsi" w:hAnsiTheme="majorHAnsi" w:cs="Arial"/>
                <w:i/>
                <w:sz w:val="18"/>
                <w:szCs w:val="18"/>
              </w:rPr>
            </w:pPr>
            <w:r w:rsidRPr="009040C6">
              <w:rPr>
                <w:rFonts w:asciiTheme="majorHAnsi" w:hAnsiTheme="majorHAnsi"/>
                <w:color w:val="000000"/>
                <w:sz w:val="18"/>
                <w:szCs w:val="18"/>
              </w:rPr>
              <w:t xml:space="preserve">Insufficient funding to continue </w:t>
            </w:r>
            <w:r>
              <w:rPr>
                <w:rFonts w:asciiTheme="majorHAnsi" w:hAnsiTheme="majorHAnsi"/>
                <w:color w:val="000000"/>
                <w:sz w:val="18"/>
                <w:szCs w:val="18"/>
              </w:rPr>
              <w:t xml:space="preserve">scale up Integrated land/seascape planning after the project </w:t>
            </w:r>
          </w:p>
        </w:tc>
        <w:tc>
          <w:tcPr>
            <w:tcW w:w="1080" w:type="dxa"/>
          </w:tcPr>
          <w:p w14:paraId="446CE0ED" w14:textId="77777777" w:rsidR="00946D85" w:rsidRPr="009040C6" w:rsidRDefault="00946D85" w:rsidP="009040C6">
            <w:pPr>
              <w:spacing w:after="0"/>
              <w:jc w:val="left"/>
              <w:rPr>
                <w:rFonts w:asciiTheme="majorHAnsi" w:hAnsiTheme="majorHAnsi" w:cs="Arial"/>
                <w:sz w:val="18"/>
                <w:szCs w:val="18"/>
              </w:rPr>
            </w:pPr>
            <w:r w:rsidRPr="009040C6">
              <w:rPr>
                <w:rFonts w:asciiTheme="majorHAnsi" w:hAnsiTheme="majorHAnsi" w:cs="Arial"/>
                <w:sz w:val="18"/>
                <w:szCs w:val="18"/>
              </w:rPr>
              <w:t>Financial</w:t>
            </w:r>
          </w:p>
          <w:p w14:paraId="1FFDB566" w14:textId="77777777" w:rsidR="00946D85" w:rsidRPr="009040C6" w:rsidRDefault="00946D85" w:rsidP="009040C6">
            <w:pPr>
              <w:spacing w:after="0"/>
              <w:jc w:val="left"/>
              <w:rPr>
                <w:rFonts w:asciiTheme="majorHAnsi" w:hAnsiTheme="majorHAnsi" w:cs="Arial"/>
                <w:i/>
                <w:sz w:val="18"/>
                <w:szCs w:val="18"/>
              </w:rPr>
            </w:pPr>
          </w:p>
        </w:tc>
        <w:tc>
          <w:tcPr>
            <w:tcW w:w="1890" w:type="dxa"/>
          </w:tcPr>
          <w:p w14:paraId="6324C09A" w14:textId="50C055CC" w:rsidR="00946D85" w:rsidRPr="009040C6" w:rsidRDefault="00946D85" w:rsidP="009040C6">
            <w:pPr>
              <w:spacing w:after="0"/>
              <w:jc w:val="left"/>
              <w:rPr>
                <w:rFonts w:asciiTheme="majorHAnsi" w:hAnsiTheme="majorHAnsi" w:cs="Arial"/>
                <w:sz w:val="18"/>
                <w:szCs w:val="18"/>
              </w:rPr>
            </w:pPr>
            <w:r>
              <w:rPr>
                <w:rFonts w:asciiTheme="majorHAnsi" w:hAnsiTheme="majorHAnsi" w:cs="Arial"/>
                <w:sz w:val="18"/>
                <w:szCs w:val="18"/>
              </w:rPr>
              <w:t xml:space="preserve">Lack of funding support will have serious implications for building on the learning and experiences of the project and constraints efforts at ensuring a more integrated approach to national and state planning </w:t>
            </w:r>
          </w:p>
          <w:p w14:paraId="18480793" w14:textId="5F9B63AB" w:rsidR="00946D85" w:rsidRPr="009040C6" w:rsidRDefault="00946D85" w:rsidP="009040C6">
            <w:pPr>
              <w:spacing w:after="0"/>
              <w:jc w:val="left"/>
              <w:rPr>
                <w:rFonts w:asciiTheme="majorHAnsi" w:hAnsiTheme="majorHAnsi" w:cs="Arial"/>
                <w:sz w:val="18"/>
                <w:szCs w:val="18"/>
              </w:rPr>
            </w:pPr>
            <w:r w:rsidRPr="009040C6">
              <w:rPr>
                <w:rFonts w:asciiTheme="majorHAnsi" w:hAnsiTheme="majorHAnsi" w:cs="Arial"/>
                <w:sz w:val="18"/>
                <w:szCs w:val="18"/>
              </w:rPr>
              <w:t>P = 2</w:t>
            </w:r>
            <w:r w:rsidR="00667639">
              <w:rPr>
                <w:rFonts w:asciiTheme="majorHAnsi" w:hAnsiTheme="majorHAnsi" w:cs="Arial"/>
                <w:sz w:val="18"/>
                <w:szCs w:val="18"/>
              </w:rPr>
              <w:t xml:space="preserve">, </w:t>
            </w:r>
            <w:r w:rsidRPr="009040C6">
              <w:rPr>
                <w:rFonts w:asciiTheme="majorHAnsi" w:hAnsiTheme="majorHAnsi" w:cs="Arial"/>
                <w:sz w:val="18"/>
                <w:szCs w:val="18"/>
              </w:rPr>
              <w:t>I = 3</w:t>
            </w:r>
          </w:p>
        </w:tc>
        <w:tc>
          <w:tcPr>
            <w:tcW w:w="3600" w:type="dxa"/>
          </w:tcPr>
          <w:p w14:paraId="1E5740DC" w14:textId="6FC43223" w:rsidR="00946D85" w:rsidRPr="009040C6" w:rsidRDefault="00946D85" w:rsidP="009040C6">
            <w:pPr>
              <w:spacing w:after="0"/>
              <w:jc w:val="left"/>
              <w:rPr>
                <w:rFonts w:asciiTheme="majorHAnsi" w:hAnsiTheme="majorHAnsi" w:cs="Arial"/>
                <w:i/>
                <w:sz w:val="18"/>
                <w:szCs w:val="18"/>
              </w:rPr>
            </w:pPr>
            <w:r w:rsidRPr="009040C6">
              <w:rPr>
                <w:rFonts w:asciiTheme="majorHAnsi" w:hAnsiTheme="majorHAnsi"/>
                <w:color w:val="000000"/>
                <w:sz w:val="18"/>
                <w:szCs w:val="18"/>
              </w:rPr>
              <w:t>Governmental support for biosecurity, IAS, fisheries and forest management has increased in recent years. Many Palau</w:t>
            </w:r>
            <w:r w:rsidR="00905AB8">
              <w:rPr>
                <w:rFonts w:asciiTheme="majorHAnsi" w:hAnsiTheme="majorHAnsi"/>
                <w:color w:val="000000"/>
                <w:sz w:val="18"/>
                <w:szCs w:val="18"/>
              </w:rPr>
              <w:t>a</w:t>
            </w:r>
            <w:r w:rsidRPr="009040C6">
              <w:rPr>
                <w:rFonts w:asciiTheme="majorHAnsi" w:hAnsiTheme="majorHAnsi"/>
                <w:color w:val="000000"/>
                <w:sz w:val="18"/>
                <w:szCs w:val="18"/>
              </w:rPr>
              <w:t xml:space="preserve">ns are aware of the value of their outstanding natural resources and Palau has begun to develop systems to finance conservation efforts. This project will build on and take advantage of this to develop further tools to guide decision making on quality investments and raise awareness, such as by providing analysis of the overall cost of ecosystem degradation and impacts of IAS compared to enhanced management and prevention. It will </w:t>
            </w:r>
            <w:r w:rsidRPr="009040C6">
              <w:rPr>
                <w:rFonts w:asciiTheme="majorHAnsi" w:hAnsiTheme="majorHAnsi"/>
                <w:color w:val="000000"/>
                <w:sz w:val="18"/>
                <w:szCs w:val="18"/>
              </w:rPr>
              <w:lastRenderedPageBreak/>
              <w:t>also provide technical support to develop concrete cost-recovery systems through development and enhanced application of fees and taxes</w:t>
            </w:r>
            <w:r w:rsidR="00194AA1">
              <w:rPr>
                <w:rFonts w:asciiTheme="majorHAnsi" w:hAnsiTheme="majorHAnsi"/>
                <w:color w:val="000000"/>
                <w:sz w:val="18"/>
                <w:szCs w:val="18"/>
              </w:rPr>
              <w:t xml:space="preserve">. </w:t>
            </w:r>
            <w:r>
              <w:rPr>
                <w:rFonts w:asciiTheme="majorHAnsi" w:hAnsiTheme="majorHAnsi"/>
                <w:color w:val="000000"/>
                <w:sz w:val="18"/>
                <w:szCs w:val="18"/>
              </w:rPr>
              <w:t>The institutionalization of the JCB as the potential Bureau of Environment will trigger budgetary allocations from government.</w:t>
            </w:r>
          </w:p>
        </w:tc>
        <w:tc>
          <w:tcPr>
            <w:tcW w:w="1147" w:type="dxa"/>
          </w:tcPr>
          <w:p w14:paraId="14600314" w14:textId="77777777" w:rsidR="00946D85" w:rsidRPr="009040C6" w:rsidRDefault="00946D85" w:rsidP="009040C6">
            <w:pPr>
              <w:spacing w:after="0"/>
              <w:jc w:val="left"/>
              <w:rPr>
                <w:rFonts w:asciiTheme="majorHAnsi" w:hAnsiTheme="majorHAnsi" w:cs="Arial"/>
                <w:sz w:val="18"/>
                <w:szCs w:val="18"/>
              </w:rPr>
            </w:pPr>
            <w:r w:rsidRPr="009040C6">
              <w:rPr>
                <w:rFonts w:asciiTheme="majorHAnsi" w:hAnsiTheme="majorHAnsi" w:cs="Arial"/>
                <w:sz w:val="18"/>
                <w:szCs w:val="18"/>
              </w:rPr>
              <w:lastRenderedPageBreak/>
              <w:t>EPU and NISC</w:t>
            </w:r>
          </w:p>
          <w:p w14:paraId="4262D0DC" w14:textId="77777777" w:rsidR="00946D85" w:rsidRPr="009040C6" w:rsidRDefault="00946D85" w:rsidP="009040C6">
            <w:pPr>
              <w:spacing w:after="0"/>
              <w:jc w:val="left"/>
              <w:rPr>
                <w:rFonts w:asciiTheme="majorHAnsi" w:hAnsiTheme="majorHAnsi" w:cs="Arial"/>
                <w:sz w:val="18"/>
                <w:szCs w:val="18"/>
              </w:rPr>
            </w:pPr>
          </w:p>
          <w:p w14:paraId="63F36368" w14:textId="77777777" w:rsidR="00946D85" w:rsidRPr="009040C6" w:rsidRDefault="00946D85" w:rsidP="009040C6">
            <w:pPr>
              <w:spacing w:after="0"/>
              <w:jc w:val="left"/>
              <w:rPr>
                <w:rFonts w:asciiTheme="majorHAnsi" w:hAnsiTheme="majorHAnsi" w:cs="Arial"/>
                <w:sz w:val="18"/>
                <w:szCs w:val="18"/>
              </w:rPr>
            </w:pPr>
          </w:p>
          <w:p w14:paraId="0B3984AC" w14:textId="77777777" w:rsidR="00946D85" w:rsidRPr="009040C6" w:rsidRDefault="00946D85" w:rsidP="009040C6">
            <w:pPr>
              <w:spacing w:after="0"/>
              <w:jc w:val="left"/>
              <w:rPr>
                <w:rFonts w:asciiTheme="majorHAnsi" w:hAnsiTheme="majorHAnsi" w:cs="Arial"/>
                <w:i/>
                <w:sz w:val="18"/>
                <w:szCs w:val="18"/>
              </w:rPr>
            </w:pPr>
          </w:p>
        </w:tc>
      </w:tr>
      <w:tr w:rsidR="00667639" w:rsidRPr="008644B7" w14:paraId="79AB8D9F" w14:textId="77777777" w:rsidTr="00667639">
        <w:tc>
          <w:tcPr>
            <w:tcW w:w="1620" w:type="dxa"/>
          </w:tcPr>
          <w:p w14:paraId="305502A5" w14:textId="79E5C743" w:rsidR="00946D85" w:rsidRPr="00C115DC" w:rsidRDefault="00946D85" w:rsidP="003B2A79">
            <w:pPr>
              <w:jc w:val="left"/>
              <w:rPr>
                <w:rFonts w:asciiTheme="majorHAnsi" w:hAnsiTheme="majorHAnsi" w:cs="Arial"/>
                <w:i/>
                <w:sz w:val="18"/>
                <w:szCs w:val="18"/>
              </w:rPr>
            </w:pPr>
            <w:r w:rsidRPr="00C115DC">
              <w:rPr>
                <w:rFonts w:asciiTheme="majorHAnsi" w:hAnsiTheme="majorHAnsi"/>
                <w:color w:val="000000"/>
                <w:sz w:val="18"/>
                <w:szCs w:val="18"/>
              </w:rPr>
              <w:t xml:space="preserve">Climate change may alter the threats and risks associated with land degradation and IAS </w:t>
            </w:r>
          </w:p>
        </w:tc>
        <w:tc>
          <w:tcPr>
            <w:tcW w:w="1080" w:type="dxa"/>
          </w:tcPr>
          <w:p w14:paraId="295411A4" w14:textId="16999854" w:rsidR="00946D85" w:rsidRPr="00C115DC" w:rsidRDefault="00946D85" w:rsidP="003B2A79">
            <w:pPr>
              <w:jc w:val="left"/>
              <w:rPr>
                <w:rFonts w:asciiTheme="majorHAnsi" w:hAnsiTheme="majorHAnsi" w:cs="Arial"/>
                <w:sz w:val="18"/>
                <w:szCs w:val="18"/>
              </w:rPr>
            </w:pPr>
            <w:r w:rsidRPr="00C115DC">
              <w:rPr>
                <w:rFonts w:asciiTheme="majorHAnsi" w:hAnsiTheme="majorHAnsi" w:cs="Arial"/>
                <w:sz w:val="18"/>
                <w:szCs w:val="18"/>
              </w:rPr>
              <w:t>Environmental</w:t>
            </w:r>
          </w:p>
          <w:p w14:paraId="7F0DD7B0" w14:textId="77777777" w:rsidR="00946D85" w:rsidRPr="00C115DC" w:rsidRDefault="00946D85">
            <w:pPr>
              <w:jc w:val="left"/>
              <w:rPr>
                <w:rFonts w:asciiTheme="majorHAnsi" w:hAnsiTheme="majorHAnsi" w:cs="Arial"/>
                <w:i/>
                <w:sz w:val="18"/>
                <w:szCs w:val="18"/>
              </w:rPr>
            </w:pPr>
          </w:p>
        </w:tc>
        <w:tc>
          <w:tcPr>
            <w:tcW w:w="1890" w:type="dxa"/>
          </w:tcPr>
          <w:p w14:paraId="276FCE7B" w14:textId="77777777" w:rsidR="00946D85" w:rsidRDefault="00946D85" w:rsidP="003B2A79">
            <w:pPr>
              <w:jc w:val="left"/>
              <w:rPr>
                <w:rFonts w:asciiTheme="majorHAnsi" w:hAnsiTheme="majorHAnsi"/>
                <w:color w:val="000000"/>
                <w:sz w:val="18"/>
                <w:szCs w:val="18"/>
              </w:rPr>
            </w:pPr>
            <w:r w:rsidRPr="00C115DC">
              <w:rPr>
                <w:rFonts w:asciiTheme="majorHAnsi" w:hAnsiTheme="majorHAnsi"/>
                <w:color w:val="000000"/>
                <w:sz w:val="18"/>
                <w:szCs w:val="18"/>
              </w:rPr>
              <w:t xml:space="preserve">Climate change may raise the threat of IAS by increasing the frequency/severity of fires, floods, etc. and thereby decreasing ecosystem resilience and creating conditions where IAS can more easily become established. </w:t>
            </w:r>
          </w:p>
          <w:p w14:paraId="17A5B439" w14:textId="78291E7D" w:rsidR="00946D85" w:rsidRPr="00C115DC" w:rsidRDefault="00946D85" w:rsidP="00F9777B">
            <w:pPr>
              <w:spacing w:after="0"/>
              <w:jc w:val="left"/>
              <w:rPr>
                <w:rFonts w:asciiTheme="majorHAnsi" w:hAnsiTheme="majorHAnsi" w:cs="Arial"/>
                <w:sz w:val="18"/>
                <w:szCs w:val="18"/>
              </w:rPr>
            </w:pPr>
            <w:r w:rsidRPr="00C115DC">
              <w:rPr>
                <w:rFonts w:asciiTheme="majorHAnsi" w:hAnsiTheme="majorHAnsi" w:cs="Arial"/>
                <w:sz w:val="18"/>
                <w:szCs w:val="18"/>
              </w:rPr>
              <w:t>P = 2</w:t>
            </w:r>
            <w:r w:rsidR="00667639">
              <w:rPr>
                <w:rFonts w:asciiTheme="majorHAnsi" w:hAnsiTheme="majorHAnsi" w:cs="Arial"/>
                <w:sz w:val="18"/>
                <w:szCs w:val="18"/>
              </w:rPr>
              <w:t xml:space="preserve">, </w:t>
            </w:r>
            <w:r w:rsidRPr="00C115DC">
              <w:rPr>
                <w:rFonts w:asciiTheme="majorHAnsi" w:hAnsiTheme="majorHAnsi" w:cs="Arial"/>
                <w:sz w:val="18"/>
                <w:szCs w:val="18"/>
              </w:rPr>
              <w:t xml:space="preserve">I = </w:t>
            </w:r>
            <w:r w:rsidR="00F9777B">
              <w:rPr>
                <w:rFonts w:asciiTheme="majorHAnsi" w:hAnsiTheme="majorHAnsi" w:cs="Arial"/>
                <w:sz w:val="18"/>
                <w:szCs w:val="18"/>
              </w:rPr>
              <w:t>3</w:t>
            </w:r>
          </w:p>
        </w:tc>
        <w:tc>
          <w:tcPr>
            <w:tcW w:w="3600" w:type="dxa"/>
          </w:tcPr>
          <w:p w14:paraId="40E19586" w14:textId="77777777" w:rsidR="00F9777B" w:rsidRPr="00F9777B" w:rsidRDefault="00F9777B" w:rsidP="00F9777B">
            <w:pPr>
              <w:spacing w:after="0"/>
              <w:jc w:val="left"/>
              <w:rPr>
                <w:rFonts w:asciiTheme="majorHAnsi" w:hAnsiTheme="majorHAnsi"/>
                <w:sz w:val="18"/>
                <w:szCs w:val="18"/>
              </w:rPr>
            </w:pPr>
            <w:r w:rsidRPr="00F9777B">
              <w:rPr>
                <w:rFonts w:asciiTheme="majorHAnsi" w:hAnsiTheme="majorHAnsi"/>
                <w:color w:val="000000"/>
                <w:sz w:val="18"/>
                <w:szCs w:val="18"/>
              </w:rPr>
              <w:t>-</w:t>
            </w:r>
            <w:r w:rsidRPr="00F9777B">
              <w:rPr>
                <w:rFonts w:asciiTheme="majorHAnsi" w:hAnsiTheme="majorHAnsi"/>
                <w:b/>
                <w:sz w:val="18"/>
                <w:szCs w:val="18"/>
              </w:rPr>
              <w:t xml:space="preserve"> The IAS risk analyses and blacklist and whitelist</w:t>
            </w:r>
            <w:r w:rsidRPr="00F9777B">
              <w:rPr>
                <w:rFonts w:asciiTheme="majorHAnsi" w:hAnsiTheme="majorHAnsi"/>
                <w:sz w:val="18"/>
                <w:szCs w:val="18"/>
              </w:rPr>
              <w:t xml:space="preserve"> to be developed under the project will integrate climate considerations to consider risks from IAS under projected climate change.</w:t>
            </w:r>
          </w:p>
          <w:p w14:paraId="29320DCC" w14:textId="77777777" w:rsidR="00F9777B" w:rsidRPr="00F9777B" w:rsidRDefault="00F9777B" w:rsidP="00F9777B">
            <w:pPr>
              <w:spacing w:after="0"/>
              <w:jc w:val="left"/>
              <w:rPr>
                <w:rFonts w:asciiTheme="majorHAnsi" w:hAnsiTheme="majorHAnsi"/>
                <w:sz w:val="18"/>
                <w:szCs w:val="18"/>
              </w:rPr>
            </w:pPr>
            <w:r w:rsidRPr="00F9777B">
              <w:rPr>
                <w:rFonts w:asciiTheme="majorHAnsi" w:hAnsiTheme="majorHAnsi"/>
                <w:sz w:val="18"/>
                <w:szCs w:val="18"/>
              </w:rPr>
              <w:t xml:space="preserve"> -</w:t>
            </w:r>
            <w:r w:rsidRPr="00F9777B">
              <w:rPr>
                <w:rFonts w:asciiTheme="majorHAnsi" w:hAnsiTheme="majorHAnsi"/>
                <w:b/>
                <w:sz w:val="18"/>
                <w:szCs w:val="18"/>
              </w:rPr>
              <w:t>Implementation of Components 2 and 3</w:t>
            </w:r>
            <w:r w:rsidRPr="00F9777B">
              <w:rPr>
                <w:rFonts w:asciiTheme="majorHAnsi" w:hAnsiTheme="majorHAnsi"/>
                <w:sz w:val="18"/>
                <w:szCs w:val="18"/>
              </w:rPr>
              <w:t xml:space="preserve"> will be carried out ensuring that land and sea based activities are environmentally sustainable and supporting best practices in terrestrial and marine environments and managed for their climate risks.  </w:t>
            </w:r>
          </w:p>
          <w:p w14:paraId="6490CE8A" w14:textId="5C83A1C3" w:rsidR="00946D85" w:rsidRPr="00C115DC" w:rsidRDefault="00946D85" w:rsidP="003B2A79">
            <w:pPr>
              <w:jc w:val="left"/>
              <w:rPr>
                <w:rFonts w:asciiTheme="majorHAnsi" w:hAnsiTheme="majorHAnsi" w:cs="Arial"/>
                <w:i/>
                <w:sz w:val="18"/>
                <w:szCs w:val="18"/>
              </w:rPr>
            </w:pPr>
          </w:p>
        </w:tc>
        <w:tc>
          <w:tcPr>
            <w:tcW w:w="1147" w:type="dxa"/>
          </w:tcPr>
          <w:p w14:paraId="28C6B4AF" w14:textId="10069C22" w:rsidR="00946D85" w:rsidRPr="00C115DC" w:rsidRDefault="00946D85" w:rsidP="003B2A79">
            <w:pPr>
              <w:jc w:val="left"/>
              <w:rPr>
                <w:rFonts w:asciiTheme="majorHAnsi" w:hAnsiTheme="majorHAnsi" w:cs="Arial"/>
                <w:sz w:val="18"/>
                <w:szCs w:val="18"/>
              </w:rPr>
            </w:pPr>
            <w:r w:rsidRPr="00C115DC">
              <w:rPr>
                <w:rFonts w:asciiTheme="majorHAnsi" w:hAnsiTheme="majorHAnsi" w:cs="Arial"/>
                <w:sz w:val="18"/>
                <w:szCs w:val="18"/>
              </w:rPr>
              <w:t xml:space="preserve">EPU </w:t>
            </w:r>
            <w:r>
              <w:rPr>
                <w:rFonts w:asciiTheme="majorHAnsi" w:hAnsiTheme="majorHAnsi" w:cs="Arial"/>
                <w:sz w:val="18"/>
                <w:szCs w:val="18"/>
              </w:rPr>
              <w:t xml:space="preserve">Coordinator </w:t>
            </w:r>
            <w:r w:rsidRPr="00C115DC">
              <w:rPr>
                <w:rFonts w:asciiTheme="majorHAnsi" w:hAnsiTheme="majorHAnsi" w:cs="Arial"/>
                <w:sz w:val="18"/>
                <w:szCs w:val="18"/>
              </w:rPr>
              <w:t>and NISC</w:t>
            </w:r>
          </w:p>
          <w:p w14:paraId="3D671EF2" w14:textId="77777777" w:rsidR="00946D85" w:rsidRPr="00C115DC" w:rsidRDefault="00946D85" w:rsidP="003B2A79">
            <w:pPr>
              <w:jc w:val="left"/>
              <w:rPr>
                <w:rFonts w:asciiTheme="majorHAnsi" w:hAnsiTheme="majorHAnsi" w:cs="Arial"/>
                <w:sz w:val="18"/>
                <w:szCs w:val="18"/>
              </w:rPr>
            </w:pPr>
          </w:p>
          <w:p w14:paraId="01DE37DD" w14:textId="77777777" w:rsidR="00946D85" w:rsidRPr="00C115DC" w:rsidRDefault="00946D85" w:rsidP="003B2A79">
            <w:pPr>
              <w:jc w:val="left"/>
              <w:rPr>
                <w:rFonts w:asciiTheme="majorHAnsi" w:hAnsiTheme="majorHAnsi" w:cs="Arial"/>
                <w:sz w:val="18"/>
                <w:szCs w:val="18"/>
              </w:rPr>
            </w:pPr>
          </w:p>
          <w:p w14:paraId="4511CC16" w14:textId="77777777" w:rsidR="00946D85" w:rsidRPr="00C115DC" w:rsidRDefault="00946D85" w:rsidP="003B2A79">
            <w:pPr>
              <w:jc w:val="left"/>
              <w:rPr>
                <w:rFonts w:asciiTheme="majorHAnsi" w:hAnsiTheme="majorHAnsi" w:cs="Arial"/>
                <w:i/>
                <w:sz w:val="18"/>
                <w:szCs w:val="18"/>
              </w:rPr>
            </w:pPr>
          </w:p>
        </w:tc>
      </w:tr>
    </w:tbl>
    <w:p w14:paraId="28906B9F" w14:textId="77777777" w:rsidR="00B87774" w:rsidRPr="0003763F" w:rsidRDefault="00B87774" w:rsidP="003B2A79">
      <w:pPr>
        <w:jc w:val="left"/>
        <w:rPr>
          <w:rFonts w:cs="Arial"/>
          <w:i/>
          <w:noProof/>
          <w:szCs w:val="20"/>
          <w:u w:val="single"/>
          <w:lang w:eastAsia="zh-CN"/>
        </w:rPr>
      </w:pPr>
    </w:p>
    <w:p w14:paraId="13D2C1ED" w14:textId="6BA2DC32" w:rsidR="00AB4836" w:rsidRPr="00B0368D" w:rsidRDefault="005B5B2E" w:rsidP="00B02352">
      <w:pPr>
        <w:numPr>
          <w:ilvl w:val="0"/>
          <w:numId w:val="12"/>
        </w:numPr>
        <w:spacing w:after="0"/>
        <w:jc w:val="left"/>
        <w:rPr>
          <w:rFonts w:cs="Arial"/>
          <w:noProof/>
          <w:szCs w:val="20"/>
          <w:lang w:eastAsia="zh-CN"/>
        </w:rPr>
      </w:pPr>
      <w:r w:rsidRPr="00EA4A3B">
        <w:rPr>
          <w:sz w:val="20"/>
          <w:szCs w:val="20"/>
          <w:u w:val="single"/>
        </w:rPr>
        <w:t>Social and environmental safeguards</w:t>
      </w:r>
      <w:r w:rsidRPr="00EA4A3B">
        <w:rPr>
          <w:i/>
          <w:sz w:val="20"/>
          <w:szCs w:val="20"/>
          <w:u w:val="single"/>
        </w:rPr>
        <w:t>:</w:t>
      </w:r>
      <w:r w:rsidRPr="008644B7">
        <w:rPr>
          <w:i/>
          <w:szCs w:val="20"/>
        </w:rPr>
        <w:t xml:space="preserve"> </w:t>
      </w:r>
    </w:p>
    <w:p w14:paraId="070E29BD" w14:textId="77777777" w:rsidR="002C0FCE" w:rsidRPr="002C0FCE" w:rsidRDefault="002C0FCE" w:rsidP="002C0FCE">
      <w:pPr>
        <w:spacing w:after="0"/>
        <w:jc w:val="left"/>
        <w:rPr>
          <w:rFonts w:cs="Arial"/>
          <w:noProof/>
          <w:sz w:val="20"/>
          <w:szCs w:val="20"/>
          <w:lang w:eastAsia="zh-CN"/>
        </w:rPr>
      </w:pPr>
    </w:p>
    <w:p w14:paraId="241E1C73" w14:textId="683A5B23" w:rsidR="002C0FCE" w:rsidRPr="002C0FCE" w:rsidRDefault="002C0FCE" w:rsidP="002C0FCE">
      <w:pPr>
        <w:spacing w:after="0"/>
        <w:rPr>
          <w:color w:val="000000" w:themeColor="text1"/>
          <w:sz w:val="20"/>
          <w:szCs w:val="20"/>
        </w:rPr>
      </w:pPr>
      <w:r w:rsidRPr="002C0FCE">
        <w:rPr>
          <w:color w:val="000000" w:themeColor="text1"/>
          <w:sz w:val="20"/>
          <w:szCs w:val="20"/>
        </w:rPr>
        <w:t xml:space="preserve">On the basis of the Environmental and Social screening process undertaken during the design of the project (Part B, SESP attachment I), it is clear that the proposed project would not potentially cause adverse impacts to habitats and/or ecosystems and ecosystem services. Some project activities are likely to be undertaken within or adjacent to critical habitats and/or environmentally sensitive areas, including legally protected areas. However, these do not involve changes to the use of land and resources that may have adverse impacts on habitats, ecosystems, and/or livelihoods. The project activities would </w:t>
      </w:r>
      <w:r w:rsidR="00CE4FD1">
        <w:rPr>
          <w:color w:val="000000" w:themeColor="text1"/>
          <w:sz w:val="20"/>
          <w:szCs w:val="20"/>
        </w:rPr>
        <w:t xml:space="preserve">likely </w:t>
      </w:r>
      <w:r w:rsidRPr="002C0FCE">
        <w:rPr>
          <w:color w:val="000000" w:themeColor="text1"/>
          <w:sz w:val="20"/>
          <w:szCs w:val="20"/>
        </w:rPr>
        <w:t xml:space="preserve">not pose risks to endangered species and introduction of invasive alien species. Specific efforts would be made on evaluating the condition of resources that would be used in livelihood and </w:t>
      </w:r>
      <w:r>
        <w:rPr>
          <w:color w:val="000000" w:themeColor="text1"/>
          <w:sz w:val="20"/>
          <w:szCs w:val="20"/>
        </w:rPr>
        <w:t xml:space="preserve">sustainable natural resource use </w:t>
      </w:r>
      <w:r w:rsidRPr="002C0FCE">
        <w:rPr>
          <w:color w:val="000000" w:themeColor="text1"/>
          <w:sz w:val="20"/>
          <w:szCs w:val="20"/>
        </w:rPr>
        <w:t>programs to ensure that extraction is within sustainable limits. Existing harvest of non-timber forest products (mushrooms, medicinal plants and other products) would be undertaken in an ecologically friendly and sustainable manner, including defining specific areas and harvest rates on the basis of internationally acceptable criteria, based on scientific information and closely monitored. The project does not entail the harvesting of natural forests, plantation development, or reforestation</w:t>
      </w:r>
      <w:r>
        <w:rPr>
          <w:color w:val="000000" w:themeColor="text1"/>
          <w:sz w:val="20"/>
          <w:szCs w:val="20"/>
        </w:rPr>
        <w:t>, although some assisted natural forest regeneration activities would be supported.</w:t>
      </w:r>
      <w:r w:rsidRPr="002C0FCE">
        <w:rPr>
          <w:color w:val="000000" w:themeColor="text1"/>
          <w:sz w:val="20"/>
          <w:szCs w:val="20"/>
        </w:rPr>
        <w:t xml:space="preserve"> It also does not involve significant extraction, diversion or containment of surface or ground water. The Project would not generate potential adverse trans-boundary or global environmental concerns and would not result in secondary or consequential development activities that could lead to adverse social and environmental effects, nor would it generate cumulative impacts with other known existing or planned activities in the area.</w:t>
      </w:r>
    </w:p>
    <w:p w14:paraId="32363B66" w14:textId="77777777" w:rsidR="002C0FCE" w:rsidRPr="002C0FCE" w:rsidRDefault="002C0FCE" w:rsidP="002C0FCE">
      <w:pPr>
        <w:spacing w:after="0"/>
        <w:rPr>
          <w:color w:val="000000" w:themeColor="text1"/>
          <w:sz w:val="20"/>
          <w:szCs w:val="20"/>
        </w:rPr>
      </w:pPr>
    </w:p>
    <w:p w14:paraId="659186CD" w14:textId="5C1EB26F" w:rsidR="002C0FCE" w:rsidRPr="00C16E55" w:rsidRDefault="002C0FCE" w:rsidP="002C0FCE">
      <w:pPr>
        <w:spacing w:after="0"/>
        <w:rPr>
          <w:rFonts w:asciiTheme="majorHAnsi" w:hAnsiTheme="majorHAnsi" w:cs="Calibri"/>
          <w:sz w:val="20"/>
          <w:szCs w:val="20"/>
        </w:rPr>
      </w:pPr>
      <w:r w:rsidRPr="002C0FCE">
        <w:rPr>
          <w:color w:val="000000" w:themeColor="text1"/>
          <w:sz w:val="20"/>
          <w:szCs w:val="20"/>
        </w:rPr>
        <w:t xml:space="preserve">The proposed project will not result in significant greenhouse gas emissions nor would enhance climate change impacts. The project is not likely to directly or indirectly increase social and environmental vulnerability to climate change now or in the future. The project does not involve large-scale infrastructure development. The project will not involve support for employment or livelihoods that may pose a potential risk to health and safety of communities and/or individuals or to biodiversity and ecosystem functions. The project would not potentially involve temporary or permanent physical displacement, nor will there be the need for land acquisition or access restrictions – even in the absence of physical relocation. It would not exacerbate land tenure arrangements and/or community based property rights/customary rights to land, territories and/or resources. Any restrictions on access and use of natural resources would not be imposed by the </w:t>
      </w:r>
      <w:r>
        <w:rPr>
          <w:color w:val="000000" w:themeColor="text1"/>
          <w:sz w:val="20"/>
          <w:szCs w:val="20"/>
        </w:rPr>
        <w:t>project authorities</w:t>
      </w:r>
      <w:r w:rsidRPr="002C0FCE">
        <w:rPr>
          <w:color w:val="000000" w:themeColor="text1"/>
          <w:sz w:val="20"/>
          <w:szCs w:val="20"/>
        </w:rPr>
        <w:t xml:space="preserve">, but would evolve through a collective decision-making process amongst the community members and be supported by alternative livelihood and </w:t>
      </w:r>
      <w:r>
        <w:rPr>
          <w:color w:val="000000" w:themeColor="text1"/>
          <w:sz w:val="20"/>
          <w:szCs w:val="20"/>
        </w:rPr>
        <w:t xml:space="preserve">natural </w:t>
      </w:r>
      <w:r w:rsidRPr="002C0FCE">
        <w:rPr>
          <w:color w:val="000000" w:themeColor="text1"/>
          <w:sz w:val="20"/>
          <w:szCs w:val="20"/>
        </w:rPr>
        <w:t xml:space="preserve">resource </w:t>
      </w:r>
      <w:r>
        <w:rPr>
          <w:color w:val="000000" w:themeColor="text1"/>
          <w:sz w:val="20"/>
          <w:szCs w:val="20"/>
        </w:rPr>
        <w:t xml:space="preserve">management </w:t>
      </w:r>
      <w:r w:rsidRPr="002C0FCE">
        <w:rPr>
          <w:color w:val="000000" w:themeColor="text1"/>
          <w:sz w:val="20"/>
          <w:szCs w:val="20"/>
        </w:rPr>
        <w:t xml:space="preserve">measures that adequately compensate for any loss of income or resources. </w:t>
      </w:r>
      <w:r w:rsidR="00C16E55">
        <w:rPr>
          <w:color w:val="000000" w:themeColor="text1"/>
          <w:sz w:val="20"/>
          <w:szCs w:val="20"/>
        </w:rPr>
        <w:t xml:space="preserve">In </w:t>
      </w:r>
      <w:r w:rsidR="00C16E55">
        <w:rPr>
          <w:color w:val="000000" w:themeColor="text1"/>
          <w:sz w:val="20"/>
          <w:szCs w:val="20"/>
        </w:rPr>
        <w:lastRenderedPageBreak/>
        <w:t xml:space="preserve">cases where households are likely to be denied access to resources or livelihoods, either partially of wholly, a livelihood plan would be prepared and implemented for affected households to ensure adequate compensation and alternative livelihoods.   </w:t>
      </w:r>
      <w:r w:rsidRPr="002C0FCE">
        <w:rPr>
          <w:color w:val="000000" w:themeColor="text1"/>
          <w:sz w:val="20"/>
          <w:szCs w:val="20"/>
        </w:rPr>
        <w:t>Grievance redress mechanisms will facilitate the resolution of any conflict related to resource use and access</w:t>
      </w:r>
      <w:r w:rsidR="00194AA1">
        <w:rPr>
          <w:color w:val="000000" w:themeColor="text1"/>
          <w:sz w:val="20"/>
          <w:szCs w:val="20"/>
        </w:rPr>
        <w:t xml:space="preserve">. </w:t>
      </w:r>
      <w:r>
        <w:rPr>
          <w:color w:val="000000" w:themeColor="text1"/>
          <w:sz w:val="20"/>
          <w:szCs w:val="20"/>
        </w:rPr>
        <w:t>Women</w:t>
      </w:r>
      <w:r w:rsidRPr="002C0FCE">
        <w:rPr>
          <w:color w:val="000000" w:themeColor="text1"/>
          <w:sz w:val="20"/>
          <w:szCs w:val="20"/>
        </w:rPr>
        <w:t xml:space="preserve"> and vulnerable groups in the landscape would be fully involved in decision-making in terms of resource use, livelihood and income generation investments and conservation action through specific institutional and administrative arrangements that encourages active participation of all households in a village and capacity building programs. </w:t>
      </w:r>
      <w:r w:rsidR="00712F9D">
        <w:rPr>
          <w:rFonts w:asciiTheme="majorHAnsi" w:hAnsiTheme="majorHAnsi" w:cs="Calibri"/>
          <w:sz w:val="20"/>
          <w:szCs w:val="20"/>
        </w:rPr>
        <w:t xml:space="preserve">During early project implementation, the project will develop a checklist or questionnaire reflecting the criteria (as listed in Annex </w:t>
      </w:r>
      <w:r w:rsidR="00C16E55">
        <w:rPr>
          <w:rFonts w:asciiTheme="majorHAnsi" w:hAnsiTheme="majorHAnsi" w:cs="Calibri"/>
          <w:sz w:val="20"/>
          <w:szCs w:val="20"/>
        </w:rPr>
        <w:t>4 “</w:t>
      </w:r>
      <w:r w:rsidR="00C16E55" w:rsidRPr="00C16E55">
        <w:rPr>
          <w:rFonts w:asciiTheme="majorHAnsi" w:hAnsiTheme="majorHAnsi"/>
          <w:sz w:val="20"/>
          <w:szCs w:val="20"/>
        </w:rPr>
        <w:t>Framework for Participatory Land/Seascape Planning and Management</w:t>
      </w:r>
      <w:r w:rsidR="00C16E55">
        <w:rPr>
          <w:rFonts w:asciiTheme="majorHAnsi" w:hAnsiTheme="majorHAnsi"/>
          <w:sz w:val="20"/>
          <w:szCs w:val="20"/>
        </w:rPr>
        <w:t xml:space="preserve">”, Paragraph 9) </w:t>
      </w:r>
      <w:r w:rsidR="00712F9D" w:rsidRPr="006D63E5">
        <w:rPr>
          <w:rFonts w:asciiTheme="majorHAnsi" w:hAnsiTheme="majorHAnsi" w:cs="Calibri"/>
          <w:sz w:val="20"/>
          <w:szCs w:val="20"/>
        </w:rPr>
        <w:t>to screen requested investments to ensure that they are technically feasible, have positive environmental impact and comply with sound social and environmental principles and are sustainable</w:t>
      </w:r>
      <w:r w:rsidR="00712F9D">
        <w:rPr>
          <w:rFonts w:asciiTheme="majorHAnsi" w:hAnsiTheme="majorHAnsi" w:cs="Calibri"/>
          <w:sz w:val="20"/>
          <w:szCs w:val="20"/>
        </w:rPr>
        <w:t xml:space="preserve">. </w:t>
      </w:r>
      <w:r w:rsidRPr="002C0FCE">
        <w:rPr>
          <w:color w:val="000000" w:themeColor="text1"/>
          <w:sz w:val="20"/>
          <w:szCs w:val="20"/>
        </w:rPr>
        <w:t xml:space="preserve">For further information on social and environmental aspects and management measures refer UNDP SESP in Annex </w:t>
      </w:r>
      <w:r>
        <w:rPr>
          <w:color w:val="000000" w:themeColor="text1"/>
          <w:sz w:val="20"/>
          <w:szCs w:val="20"/>
        </w:rPr>
        <w:t>9</w:t>
      </w:r>
      <w:r w:rsidRPr="002C0FCE">
        <w:rPr>
          <w:color w:val="000000" w:themeColor="text1"/>
          <w:sz w:val="20"/>
          <w:szCs w:val="20"/>
        </w:rPr>
        <w:t>.</w:t>
      </w:r>
    </w:p>
    <w:p w14:paraId="4563E391" w14:textId="77777777" w:rsidR="002C0FCE" w:rsidRPr="0003763F" w:rsidRDefault="002C0FCE" w:rsidP="002C0FCE">
      <w:pPr>
        <w:spacing w:after="0"/>
        <w:jc w:val="left"/>
        <w:rPr>
          <w:rFonts w:cs="Arial"/>
          <w:noProof/>
          <w:szCs w:val="20"/>
          <w:lang w:eastAsia="zh-CN"/>
        </w:rPr>
      </w:pPr>
    </w:p>
    <w:p w14:paraId="176654A7" w14:textId="52068E86" w:rsidR="00D44C64" w:rsidRPr="00B87774" w:rsidRDefault="00AB4836" w:rsidP="00B02352">
      <w:pPr>
        <w:pStyle w:val="ListParagraph"/>
        <w:numPr>
          <w:ilvl w:val="0"/>
          <w:numId w:val="11"/>
        </w:numPr>
        <w:rPr>
          <w:rFonts w:ascii="Calibri" w:hAnsi="Calibri" w:cs="Calibri"/>
          <w:sz w:val="20"/>
          <w:szCs w:val="20"/>
        </w:rPr>
      </w:pPr>
      <w:r w:rsidRPr="005B5B2E">
        <w:rPr>
          <w:rFonts w:ascii="Calibri" w:hAnsi="Calibri" w:cs="Calibri"/>
          <w:sz w:val="20"/>
          <w:szCs w:val="20"/>
          <w:u w:val="single"/>
        </w:rPr>
        <w:t>Sustainability and Scaling Up</w:t>
      </w:r>
      <w:r w:rsidRPr="005B5B2E">
        <w:rPr>
          <w:rFonts w:ascii="Calibri" w:hAnsi="Calibri" w:cs="Calibri"/>
          <w:sz w:val="20"/>
          <w:szCs w:val="20"/>
        </w:rPr>
        <w:t xml:space="preserve">: </w:t>
      </w:r>
    </w:p>
    <w:p w14:paraId="4BCA3CF2" w14:textId="77777777" w:rsidR="00B87774" w:rsidRDefault="00B87774" w:rsidP="00B87774">
      <w:pPr>
        <w:pStyle w:val="ListParagraph"/>
        <w:rPr>
          <w:rFonts w:ascii="Calibri" w:hAnsi="Calibri" w:cs="Calibri"/>
          <w:sz w:val="20"/>
          <w:szCs w:val="20"/>
        </w:rPr>
      </w:pPr>
    </w:p>
    <w:p w14:paraId="29D78CAA" w14:textId="2E3045FC" w:rsidR="00EA4A3B" w:rsidRPr="00EA4A3B" w:rsidRDefault="00EA4A3B" w:rsidP="00EA4A3B">
      <w:pPr>
        <w:rPr>
          <w:rFonts w:asciiTheme="majorHAnsi" w:hAnsiTheme="majorHAnsi"/>
          <w:color w:val="000000"/>
          <w:sz w:val="20"/>
          <w:szCs w:val="20"/>
        </w:rPr>
      </w:pPr>
      <w:r w:rsidRPr="00EA4A3B">
        <w:rPr>
          <w:rFonts w:asciiTheme="majorHAnsi" w:hAnsiTheme="majorHAnsi"/>
          <w:i/>
          <w:sz w:val="20"/>
          <w:szCs w:val="20"/>
        </w:rPr>
        <w:t xml:space="preserve">Financial and Institutional Sustainability: </w:t>
      </w:r>
      <w:r w:rsidRPr="00EA4A3B">
        <w:rPr>
          <w:rFonts w:asciiTheme="majorHAnsi" w:hAnsiTheme="majorHAnsi"/>
          <w:sz w:val="20"/>
          <w:szCs w:val="20"/>
        </w:rPr>
        <w:t>The long-term commitment of the Government of Palau to protecting its natural endowments and biosecurity provides very positive signs for sustainability of project impact. This is further evidenced by the fact that the Government has established the National Environment Protection Council (NEPC) that is mandated to (i) identify and prioritize national environmental issues within the context of sustainable development; (ii) support the development of comprehensive sustainable management plans highlighting the national priorities and policies; (iii) establish clear, concise, documented and endorsed national guidelines for environmental programs and projects; (iv) comment on environmental aspects of public and private development projects to ensure environmental sustainability and integrity; a (v) propose legislation to protect the environment; and (vi) mobilize support and build consensus for environmental initiatives</w:t>
      </w:r>
      <w:r w:rsidR="00194AA1">
        <w:rPr>
          <w:rFonts w:asciiTheme="majorHAnsi" w:hAnsiTheme="majorHAnsi"/>
          <w:sz w:val="20"/>
          <w:szCs w:val="20"/>
        </w:rPr>
        <w:t xml:space="preserve">. </w:t>
      </w:r>
      <w:r w:rsidRPr="00EA4A3B">
        <w:rPr>
          <w:rFonts w:asciiTheme="majorHAnsi" w:hAnsiTheme="majorHAnsi"/>
          <w:sz w:val="20"/>
          <w:szCs w:val="20"/>
        </w:rPr>
        <w:t xml:space="preserve">The project’s institutional arrangements will further build on the existing structures and establish a Joint Coordination Body (JCB) under the NEPC </w:t>
      </w:r>
      <w:r w:rsidRPr="00EA4A3B">
        <w:rPr>
          <w:rFonts w:asciiTheme="majorHAnsi" w:hAnsiTheme="majorHAnsi"/>
          <w:color w:val="000000"/>
          <w:sz w:val="20"/>
          <w:szCs w:val="20"/>
        </w:rPr>
        <w:t>with representation from states and the private sector (in addition to national government and nonprofits) to implement joint seascape and landscape planning and to ensure that development plans mainstream biodiversity and biosecurity policies. The JCB will be initially establishing as an Ad-hoc Committee under NEPC, which has the authority to create such bodies</w:t>
      </w:r>
      <w:r w:rsidR="00194AA1">
        <w:rPr>
          <w:rFonts w:asciiTheme="majorHAnsi" w:hAnsiTheme="majorHAnsi"/>
          <w:color w:val="000000"/>
          <w:sz w:val="20"/>
          <w:szCs w:val="20"/>
        </w:rPr>
        <w:t xml:space="preserve">. </w:t>
      </w:r>
      <w:r w:rsidRPr="00EA4A3B">
        <w:rPr>
          <w:rFonts w:asciiTheme="majorHAnsi" w:hAnsiTheme="majorHAnsi"/>
          <w:sz w:val="20"/>
          <w:szCs w:val="20"/>
        </w:rPr>
        <w:t xml:space="preserve">The JCB will also monitor the implementation of best practices and adaptive feedback through a direct financing/sub-granting scheme (that would be agreed in Year 1). NEPC will have the </w:t>
      </w:r>
      <w:r w:rsidRPr="00EA4A3B">
        <w:rPr>
          <w:rFonts w:asciiTheme="majorHAnsi" w:hAnsiTheme="majorHAnsi"/>
          <w:color w:val="000000"/>
          <w:sz w:val="20"/>
          <w:szCs w:val="20"/>
        </w:rPr>
        <w:t>authority to guide the making of policy decisions based on the information provided by the JCB</w:t>
      </w:r>
      <w:r w:rsidR="00194AA1">
        <w:rPr>
          <w:rFonts w:asciiTheme="majorHAnsi" w:hAnsiTheme="majorHAnsi"/>
          <w:color w:val="000000"/>
          <w:sz w:val="20"/>
          <w:szCs w:val="20"/>
        </w:rPr>
        <w:t xml:space="preserve">. </w:t>
      </w:r>
      <w:r w:rsidRPr="00EA4A3B">
        <w:rPr>
          <w:rFonts w:asciiTheme="majorHAnsi" w:hAnsiTheme="majorHAnsi"/>
          <w:color w:val="000000"/>
          <w:sz w:val="20"/>
          <w:szCs w:val="20"/>
        </w:rPr>
        <w:t>To ensure sustainability of institutional arrangements for land/seascape planning and ensuring mainstreaming of biodiversity and biosecurity policies into development plans, the Government of Palau will institutionalize the JCB as a permanent Bureau of the Environment (BOE) within MNRET as a long-term goal. This is part of a long-term vision for MNRET that will include a Protected Areas Network Office that works with a Land Use Planning unit to streamline and support biodiversity goals. Formalization of the BOE as a government entity will trigger allocations of formal annual government budgets and manpower that will enable sustaining and scaling up of benefits of the project in terms of land/seascape planning and management and biodiversity mainstreaming.</w:t>
      </w:r>
    </w:p>
    <w:p w14:paraId="4D3C16B8" w14:textId="1F94EDAD" w:rsidR="00EA4A3B" w:rsidRPr="00EA4A3B" w:rsidRDefault="00EA4A3B" w:rsidP="00EA4A3B">
      <w:pPr>
        <w:rPr>
          <w:rFonts w:asciiTheme="majorHAnsi" w:hAnsiTheme="majorHAnsi"/>
          <w:color w:val="000000"/>
          <w:sz w:val="20"/>
          <w:szCs w:val="20"/>
        </w:rPr>
      </w:pPr>
      <w:r w:rsidRPr="00EA4A3B">
        <w:rPr>
          <w:rFonts w:asciiTheme="majorHAnsi" w:hAnsiTheme="majorHAnsi"/>
          <w:color w:val="000000"/>
          <w:sz w:val="20"/>
          <w:szCs w:val="20"/>
        </w:rPr>
        <w:t xml:space="preserve">In addition, the GEF increment complements existing government activities by helping build the capacity of existing public institutions, particularly that of the Ministry of Natural Resources, Environment and Tourism (MNRET), including its agencies such as the Bureau of Agriculture (BOA), Bureau of Marine Resources (BMR), Bureau of Tourism (BOT) and Division of Biosecurity, the Environmental Quality Protection Board (EQPB) and the Division of Fish and Wildlife Protection (DFWP) of the Ministry of Justice as well as State agencies and local communities to work in an integrated way to improve conservation outcomes and reduce the threat of IAS. The project will further strengthen existing alliances, and build new ones, for IAS exclusion, control and management and consequently the conservation of Palau’s rich biodiversity. </w:t>
      </w:r>
    </w:p>
    <w:p w14:paraId="15407D31" w14:textId="2F6EC84F" w:rsidR="00EA4A3B" w:rsidRPr="00EA4A3B" w:rsidRDefault="00EA4A3B" w:rsidP="00EA4A3B">
      <w:pPr>
        <w:rPr>
          <w:rFonts w:asciiTheme="majorHAnsi" w:hAnsiTheme="majorHAnsi"/>
          <w:color w:val="000000"/>
          <w:sz w:val="20"/>
          <w:szCs w:val="20"/>
        </w:rPr>
      </w:pPr>
      <w:r w:rsidRPr="00EA4A3B">
        <w:rPr>
          <w:rFonts w:asciiTheme="majorHAnsi" w:hAnsiTheme="majorHAnsi"/>
          <w:color w:val="000000"/>
          <w:sz w:val="20"/>
          <w:szCs w:val="20"/>
        </w:rPr>
        <w:t>To facilitate long-term sustainability</w:t>
      </w:r>
      <w:r>
        <w:rPr>
          <w:rFonts w:asciiTheme="majorHAnsi" w:hAnsiTheme="majorHAnsi"/>
          <w:color w:val="000000"/>
          <w:sz w:val="20"/>
          <w:szCs w:val="20"/>
        </w:rPr>
        <w:t xml:space="preserve"> </w:t>
      </w:r>
      <w:r w:rsidRPr="00EA4A3B">
        <w:rPr>
          <w:rFonts w:asciiTheme="majorHAnsi" w:hAnsiTheme="majorHAnsi"/>
          <w:color w:val="000000"/>
          <w:sz w:val="20"/>
          <w:szCs w:val="20"/>
        </w:rPr>
        <w:t>of existing biosecurity activities in the country, the project will ensure the following:</w:t>
      </w:r>
    </w:p>
    <w:p w14:paraId="660F8D4D" w14:textId="77777777" w:rsidR="00EA4A3B" w:rsidRPr="00EA4A3B" w:rsidRDefault="00EA4A3B" w:rsidP="00EA4043">
      <w:pPr>
        <w:pStyle w:val="LightGrid-Accent31"/>
        <w:numPr>
          <w:ilvl w:val="0"/>
          <w:numId w:val="111"/>
        </w:numPr>
        <w:jc w:val="both"/>
        <w:rPr>
          <w:rFonts w:asciiTheme="majorHAnsi" w:hAnsiTheme="majorHAnsi"/>
          <w:sz w:val="20"/>
          <w:szCs w:val="20"/>
        </w:rPr>
      </w:pPr>
      <w:r w:rsidRPr="00EA4A3B">
        <w:rPr>
          <w:rFonts w:asciiTheme="majorHAnsi" w:hAnsiTheme="majorHAnsi"/>
          <w:sz w:val="20"/>
          <w:szCs w:val="20"/>
        </w:rPr>
        <w:t>Tailored training and capacity-building to strengthen the functionality and capacities of Biosecurity Officers and national level IAS coordination;</w:t>
      </w:r>
    </w:p>
    <w:p w14:paraId="7DACAE44" w14:textId="77777777" w:rsidR="00EA4A3B" w:rsidRPr="00EA4A3B" w:rsidRDefault="00EA4A3B" w:rsidP="00EA4043">
      <w:pPr>
        <w:pStyle w:val="LightGrid-Accent31"/>
        <w:numPr>
          <w:ilvl w:val="0"/>
          <w:numId w:val="111"/>
        </w:numPr>
        <w:jc w:val="both"/>
        <w:rPr>
          <w:rFonts w:asciiTheme="majorHAnsi" w:hAnsiTheme="majorHAnsi"/>
          <w:sz w:val="20"/>
          <w:szCs w:val="20"/>
        </w:rPr>
      </w:pPr>
      <w:r w:rsidRPr="00EA4A3B">
        <w:rPr>
          <w:rFonts w:asciiTheme="majorHAnsi" w:hAnsiTheme="majorHAnsi"/>
          <w:sz w:val="20"/>
          <w:szCs w:val="20"/>
        </w:rPr>
        <w:t>The establishment of new and strengthened collaborations for comprehensive IAS management and control, including through strengthening of the National Invasive Species Committee and Biosecurity Division, preparation of NISSAP, risk assessment and data management and sharing;</w:t>
      </w:r>
    </w:p>
    <w:p w14:paraId="64A66B19" w14:textId="77777777" w:rsidR="00EA4A3B" w:rsidRPr="00EA4A3B" w:rsidRDefault="00EA4A3B" w:rsidP="00EA4043">
      <w:pPr>
        <w:pStyle w:val="LightGrid-Accent31"/>
        <w:numPr>
          <w:ilvl w:val="0"/>
          <w:numId w:val="111"/>
        </w:numPr>
        <w:ind w:left="714" w:hanging="357"/>
        <w:jc w:val="both"/>
        <w:rPr>
          <w:rFonts w:asciiTheme="majorHAnsi" w:hAnsiTheme="majorHAnsi"/>
          <w:sz w:val="20"/>
          <w:szCs w:val="20"/>
        </w:rPr>
      </w:pPr>
      <w:r w:rsidRPr="00EA4A3B">
        <w:rPr>
          <w:rFonts w:asciiTheme="majorHAnsi" w:hAnsiTheme="majorHAnsi"/>
          <w:sz w:val="20"/>
          <w:szCs w:val="20"/>
        </w:rPr>
        <w:lastRenderedPageBreak/>
        <w:t xml:space="preserve">Outreach and awareness programs delivered at national and state levels in parallel to build local community and stakeholder support for biosecurity and IAS eradication; and </w:t>
      </w:r>
    </w:p>
    <w:p w14:paraId="5F679CC9" w14:textId="77777777" w:rsidR="00EA4A3B" w:rsidRPr="00EA4A3B" w:rsidRDefault="00EA4A3B" w:rsidP="00EA4043">
      <w:pPr>
        <w:pStyle w:val="LightGrid-Accent31"/>
        <w:numPr>
          <w:ilvl w:val="0"/>
          <w:numId w:val="111"/>
        </w:numPr>
        <w:ind w:left="714" w:hanging="357"/>
        <w:jc w:val="both"/>
        <w:rPr>
          <w:rFonts w:asciiTheme="majorHAnsi" w:hAnsiTheme="majorHAnsi"/>
          <w:sz w:val="20"/>
          <w:szCs w:val="20"/>
        </w:rPr>
      </w:pPr>
      <w:r w:rsidRPr="00EA4A3B">
        <w:rPr>
          <w:rFonts w:asciiTheme="majorHAnsi" w:hAnsiTheme="majorHAnsi"/>
          <w:color w:val="000000"/>
          <w:sz w:val="20"/>
          <w:szCs w:val="20"/>
        </w:rPr>
        <w:t xml:space="preserve">Developing </w:t>
      </w:r>
      <w:r w:rsidRPr="00EA4A3B">
        <w:rPr>
          <w:rFonts w:asciiTheme="majorHAnsi" w:hAnsiTheme="majorHAnsi"/>
          <w:sz w:val="20"/>
          <w:szCs w:val="20"/>
        </w:rPr>
        <w:t>cost-recovery systems to support biosecurity</w:t>
      </w:r>
      <w:r w:rsidRPr="00EA4A3B">
        <w:rPr>
          <w:rFonts w:asciiTheme="majorHAnsi" w:hAnsiTheme="majorHAnsi"/>
          <w:color w:val="000000"/>
          <w:sz w:val="20"/>
          <w:szCs w:val="20"/>
        </w:rPr>
        <w:t>.</w:t>
      </w:r>
    </w:p>
    <w:p w14:paraId="17476AC4" w14:textId="77777777" w:rsidR="00EA4A3B" w:rsidRDefault="00EA4A3B" w:rsidP="00B87774">
      <w:pPr>
        <w:widowControl w:val="0"/>
        <w:autoSpaceDE w:val="0"/>
        <w:autoSpaceDN w:val="0"/>
        <w:adjustRightInd w:val="0"/>
        <w:spacing w:after="0"/>
        <w:rPr>
          <w:i/>
          <w:iCs/>
          <w:color w:val="000000"/>
          <w:sz w:val="20"/>
          <w:szCs w:val="20"/>
        </w:rPr>
      </w:pPr>
    </w:p>
    <w:p w14:paraId="2890E52F" w14:textId="0B9BF438" w:rsidR="00B87774" w:rsidRPr="005722A6" w:rsidRDefault="00B87774" w:rsidP="00EA4A3B">
      <w:pPr>
        <w:rPr>
          <w:color w:val="000000"/>
          <w:sz w:val="20"/>
          <w:szCs w:val="20"/>
        </w:rPr>
      </w:pPr>
      <w:r w:rsidRPr="005722A6">
        <w:rPr>
          <w:i/>
          <w:iCs/>
          <w:color w:val="000000"/>
          <w:sz w:val="20"/>
          <w:szCs w:val="20"/>
        </w:rPr>
        <w:t xml:space="preserve">Innovation: </w:t>
      </w:r>
      <w:r w:rsidR="00EA4A3B" w:rsidRPr="00EA4A3B">
        <w:rPr>
          <w:rFonts w:asciiTheme="majorHAnsi" w:hAnsiTheme="majorHAnsi"/>
          <w:sz w:val="20"/>
          <w:szCs w:val="20"/>
        </w:rPr>
        <w:t xml:space="preserve">The project will build on, and try to replicate proven “best practices” from the country and region </w:t>
      </w:r>
      <w:r w:rsidR="00EA4A3B" w:rsidRPr="00667639">
        <w:rPr>
          <w:rFonts w:asciiTheme="majorHAnsi" w:hAnsiTheme="majorHAnsi"/>
          <w:sz w:val="20"/>
          <w:szCs w:val="20"/>
        </w:rPr>
        <w:t>(Annex 4, Attachment 1 and 2)</w:t>
      </w:r>
      <w:r w:rsidR="00194AA1">
        <w:rPr>
          <w:rFonts w:asciiTheme="majorHAnsi" w:hAnsiTheme="majorHAnsi"/>
          <w:sz w:val="20"/>
          <w:szCs w:val="20"/>
        </w:rPr>
        <w:t xml:space="preserve">. </w:t>
      </w:r>
      <w:r w:rsidR="00EA4A3B" w:rsidRPr="00EA4A3B">
        <w:rPr>
          <w:rFonts w:asciiTheme="majorHAnsi" w:hAnsiTheme="majorHAnsi"/>
          <w:sz w:val="20"/>
          <w:szCs w:val="20"/>
        </w:rPr>
        <w:t>Palau’s move from a land-use planning approach that is largely generic in nature and lacking obligations and commitments to its execution and limited multi-level integration to a more holistic land/seascape approach is an innovative and modern approach to mainstreaming biodiversity and biosecurity that is rarely seen in the developing world. It is also innovative in that it facilitates effective ecological networking between the Protected Area Network (PAN) sites and the implementation of conservation policies at a land/seascape scale and can guarantee the long-term conservation of biodiversity and ecosystem services for the country, and not just the PAN sites. It is new to Palau, in that the EIA and EIS processes will enable a more harmonic sustainable development of the country and an effective assessment of cumulative environmental impacts coming from the different projects, works and development initiatives</w:t>
      </w:r>
      <w:r w:rsidR="00194AA1">
        <w:rPr>
          <w:rFonts w:asciiTheme="majorHAnsi" w:hAnsiTheme="majorHAnsi"/>
          <w:sz w:val="20"/>
          <w:szCs w:val="20"/>
        </w:rPr>
        <w:t xml:space="preserve">. </w:t>
      </w:r>
      <w:r w:rsidR="00EA4A3B" w:rsidRPr="00EA4A3B">
        <w:rPr>
          <w:rFonts w:asciiTheme="majorHAnsi" w:hAnsiTheme="majorHAnsi"/>
          <w:sz w:val="20"/>
          <w:szCs w:val="20"/>
        </w:rPr>
        <w:t>The creation of a national multi-stakeholder and multi-sector coordination mechanism for biodiversity conservation and biosecurity activities will ensure that resources and capacity are being used as effectively as possible, innovative for Palau is the inclusion of state governments and private businesses in this coordination mechanism.</w:t>
      </w:r>
    </w:p>
    <w:p w14:paraId="59B50AAC" w14:textId="77777777" w:rsidR="00B87774" w:rsidRPr="005722A6" w:rsidRDefault="00B87774" w:rsidP="00B87774">
      <w:pPr>
        <w:widowControl w:val="0"/>
        <w:autoSpaceDE w:val="0"/>
        <w:autoSpaceDN w:val="0"/>
        <w:adjustRightInd w:val="0"/>
        <w:spacing w:after="0"/>
        <w:rPr>
          <w:color w:val="000000"/>
          <w:sz w:val="20"/>
          <w:szCs w:val="20"/>
        </w:rPr>
      </w:pPr>
    </w:p>
    <w:p w14:paraId="4CA4FFA1" w14:textId="60ED0C6A" w:rsidR="00EA4A3B" w:rsidRPr="0099724B" w:rsidRDefault="00B87774" w:rsidP="00EA4A3B">
      <w:pPr>
        <w:rPr>
          <w:rFonts w:asciiTheme="majorHAnsi" w:hAnsiTheme="majorHAnsi"/>
          <w:sz w:val="20"/>
          <w:szCs w:val="20"/>
        </w:rPr>
      </w:pPr>
      <w:r w:rsidRPr="005722A6">
        <w:rPr>
          <w:i/>
          <w:iCs/>
          <w:color w:val="000000"/>
          <w:sz w:val="20"/>
          <w:szCs w:val="20"/>
        </w:rPr>
        <w:t xml:space="preserve">Potential for scaling up: </w:t>
      </w:r>
      <w:r w:rsidR="00EA4A3B" w:rsidRPr="0099724B">
        <w:rPr>
          <w:rFonts w:asciiTheme="majorHAnsi" w:hAnsiTheme="majorHAnsi"/>
          <w:sz w:val="20"/>
          <w:szCs w:val="20"/>
        </w:rPr>
        <w:t>The project is designed to provide demonstration models for up-scaling in Palau. In particular, the capacity building and the development of guidelines and regulations for each aspect of the project will strongly support up-scaling. Ensuring that activities, impacts and lessons learnt from the demonstration sites are disseminated widely helps generate a bottom-up demand for similar activities throughout the country. The Project’s investment component will seek to develop synergies among rural development actors and programs with an objective of raising additional investments that will fund and expand models of resource use and alternative livelihood activities within and outside of the targeted landscapes</w:t>
      </w:r>
      <w:r w:rsidR="00194AA1">
        <w:rPr>
          <w:rFonts w:asciiTheme="majorHAnsi" w:hAnsiTheme="majorHAnsi"/>
          <w:sz w:val="20"/>
          <w:szCs w:val="20"/>
        </w:rPr>
        <w:t xml:space="preserve">. </w:t>
      </w:r>
      <w:r w:rsidR="00EA4A3B" w:rsidRPr="0099724B">
        <w:rPr>
          <w:rFonts w:asciiTheme="majorHAnsi" w:hAnsiTheme="majorHAnsi"/>
          <w:sz w:val="20"/>
          <w:szCs w:val="20"/>
        </w:rPr>
        <w:t>This component will also seek to catalyze a process whereby regional and local NGOs, CBOs and development agencies seek to obtain commitments from state budgets for sustainable resource management and related community actions.</w:t>
      </w:r>
    </w:p>
    <w:p w14:paraId="70EFB201" w14:textId="77777777" w:rsidR="00EA4A3B" w:rsidRPr="0099724B" w:rsidRDefault="00EA4A3B" w:rsidP="00EA4A3B">
      <w:pPr>
        <w:spacing w:after="0"/>
        <w:rPr>
          <w:rFonts w:asciiTheme="majorHAnsi" w:hAnsiTheme="majorHAnsi"/>
          <w:sz w:val="20"/>
          <w:szCs w:val="20"/>
        </w:rPr>
      </w:pPr>
      <w:r w:rsidRPr="0099724B">
        <w:rPr>
          <w:rFonts w:asciiTheme="majorHAnsi" w:hAnsiTheme="majorHAnsi"/>
          <w:sz w:val="20"/>
          <w:szCs w:val="20"/>
        </w:rPr>
        <w:t xml:space="preserve">In terms of IAS and biosecurity, the development of a national-state EDRR strategy with a functional reporting system and capacity to conduct EDRR activities will enable its trialing and expansion through the country. Lessons learned from demonstrating the EDRR system and IAS management will be captured into the biosecurity information management systems, and the sharing the results nationally can help promote replication during and after the project. In addition, the project will address measures to reduce or eliminate risky practices in key pathway sectors and will develop practical experience for IAS management by implementing IAS strategic programs at selected sites in the Southern lagoon encompassing high-priority ecosystems. These will enable the Government of Palau to determine cost effective IAS management practices over the long-term and provide models for replication. </w:t>
      </w:r>
    </w:p>
    <w:p w14:paraId="368CCD7F" w14:textId="77777777" w:rsidR="00EA4A3B" w:rsidRPr="0099724B" w:rsidRDefault="00EA4A3B" w:rsidP="00EA4A3B">
      <w:pPr>
        <w:spacing w:after="0"/>
        <w:rPr>
          <w:rFonts w:asciiTheme="majorHAnsi" w:hAnsiTheme="majorHAnsi"/>
          <w:b/>
          <w:i/>
          <w:sz w:val="20"/>
          <w:szCs w:val="20"/>
        </w:rPr>
      </w:pPr>
    </w:p>
    <w:p w14:paraId="52B441CD" w14:textId="77777777" w:rsidR="00EA4A3B" w:rsidRPr="0099724B" w:rsidRDefault="00EA4A3B" w:rsidP="00EA4A3B">
      <w:pPr>
        <w:spacing w:after="0"/>
        <w:rPr>
          <w:rFonts w:asciiTheme="majorHAnsi" w:hAnsiTheme="majorHAnsi"/>
          <w:sz w:val="20"/>
          <w:szCs w:val="20"/>
        </w:rPr>
      </w:pPr>
      <w:r w:rsidRPr="0099724B">
        <w:rPr>
          <w:rFonts w:asciiTheme="majorHAnsi" w:hAnsiTheme="majorHAnsi"/>
          <w:sz w:val="20"/>
          <w:szCs w:val="20"/>
        </w:rPr>
        <w:t>Capacity building of the National Invasive Species Committee and Biosecurity Division, the development of the NISSAP, and outreach programs will strongly support further up-scaling. The involvement of NGOs, private businesses and local communities is also expected to lead to further support and commitment to up-scaling of the project’s actions and successes. Improvement in capacity, awareness and regulatory frameworks will ensure post-project sustainability and encourage investments from public and private sector in biosecurity control and management, also contributing to up-scaling.</w:t>
      </w:r>
    </w:p>
    <w:p w14:paraId="78FE2762" w14:textId="77777777" w:rsidR="00B87774" w:rsidRPr="00627E17" w:rsidRDefault="00B87774" w:rsidP="00EA4A3B">
      <w:pPr>
        <w:widowControl w:val="0"/>
        <w:autoSpaceDE w:val="0"/>
        <w:autoSpaceDN w:val="0"/>
        <w:adjustRightInd w:val="0"/>
        <w:spacing w:after="0"/>
        <w:rPr>
          <w:rFonts w:cs="Calibri"/>
        </w:rPr>
      </w:pPr>
    </w:p>
    <w:p w14:paraId="4939E2AC" w14:textId="77777777" w:rsidR="005B5B2E" w:rsidRPr="00F372D8" w:rsidRDefault="005B5B2E" w:rsidP="005B5B2E">
      <w:pPr>
        <w:pStyle w:val="ListParagraph"/>
        <w:rPr>
          <w:rFonts w:ascii="Calibri" w:hAnsi="Calibri" w:cs="Calibri"/>
          <w:sz w:val="20"/>
          <w:szCs w:val="20"/>
        </w:rPr>
      </w:pPr>
    </w:p>
    <w:p w14:paraId="170FEC58" w14:textId="7AC712A3" w:rsidR="009F19D4" w:rsidRPr="005722A6" w:rsidRDefault="00690B13" w:rsidP="00B02352">
      <w:pPr>
        <w:pStyle w:val="ListParagraph"/>
        <w:numPr>
          <w:ilvl w:val="0"/>
          <w:numId w:val="13"/>
        </w:numPr>
        <w:rPr>
          <w:rFonts w:cs="Segoe UI"/>
          <w:color w:val="000000"/>
          <w:sz w:val="20"/>
          <w:szCs w:val="20"/>
        </w:rPr>
      </w:pPr>
      <w:r w:rsidRPr="00F372D8">
        <w:rPr>
          <w:rFonts w:ascii="Calibri" w:hAnsi="Calibri" w:cs="Calibri"/>
          <w:sz w:val="20"/>
          <w:szCs w:val="20"/>
          <w:u w:val="single"/>
        </w:rPr>
        <w:t>Eco</w:t>
      </w:r>
      <w:r w:rsidR="00774618" w:rsidRPr="00F372D8">
        <w:rPr>
          <w:rFonts w:ascii="Calibri" w:hAnsi="Calibri" w:cs="Calibri"/>
          <w:sz w:val="20"/>
          <w:szCs w:val="20"/>
          <w:u w:val="single"/>
        </w:rPr>
        <w:t>nomic and/or financial analysis</w:t>
      </w:r>
      <w:r w:rsidR="00993697" w:rsidRPr="005722A6">
        <w:rPr>
          <w:rFonts w:ascii="Calibri" w:hAnsi="Calibri" w:cs="Calibri"/>
          <w:sz w:val="20"/>
          <w:szCs w:val="20"/>
        </w:rPr>
        <w:t xml:space="preserve">: </w:t>
      </w:r>
    </w:p>
    <w:p w14:paraId="58EABA58" w14:textId="77777777" w:rsidR="00B87774" w:rsidRPr="005722A6" w:rsidRDefault="00B87774" w:rsidP="00124EF1">
      <w:pPr>
        <w:ind w:left="360"/>
        <w:jc w:val="left"/>
        <w:rPr>
          <w:rFonts w:cs="Segoe UI"/>
          <w:color w:val="000000"/>
          <w:sz w:val="20"/>
          <w:szCs w:val="20"/>
        </w:rPr>
      </w:pPr>
    </w:p>
    <w:p w14:paraId="3FFB9BA9" w14:textId="77777777" w:rsidR="00B87774" w:rsidRPr="0003763F" w:rsidRDefault="00B87774" w:rsidP="00124EF1">
      <w:pPr>
        <w:ind w:left="360"/>
        <w:jc w:val="left"/>
        <w:rPr>
          <w:rFonts w:cs="Segoe UI"/>
          <w:color w:val="000000"/>
          <w:szCs w:val="20"/>
        </w:rPr>
        <w:sectPr w:rsidR="00B87774" w:rsidRPr="0003763F" w:rsidSect="00D210D8">
          <w:pgSz w:w="12240" w:h="15840" w:code="1"/>
          <w:pgMar w:top="1440" w:right="1440" w:bottom="1440" w:left="1440" w:header="720" w:footer="432" w:gutter="0"/>
          <w:cols w:space="708"/>
          <w:titlePg/>
          <w:docGrid w:linePitch="360"/>
        </w:sectPr>
      </w:pPr>
      <w:r w:rsidRPr="005722A6">
        <w:rPr>
          <w:rFonts w:cs="Segoe UI"/>
          <w:color w:val="000000"/>
          <w:sz w:val="20"/>
          <w:szCs w:val="20"/>
        </w:rPr>
        <w:t>Not applicable</w:t>
      </w:r>
    </w:p>
    <w:p w14:paraId="40D55E3D" w14:textId="07AB5041" w:rsidR="00415B14" w:rsidRPr="00454AAD" w:rsidRDefault="0053408E" w:rsidP="006D4FA7">
      <w:pPr>
        <w:pStyle w:val="Heading1"/>
        <w:spacing w:before="0" w:after="60"/>
        <w:jc w:val="left"/>
        <w:rPr>
          <w:i/>
        </w:rPr>
      </w:pPr>
      <w:bookmarkStart w:id="11" w:name="_Toc443050758"/>
      <w:r w:rsidRPr="006D4FA7">
        <w:rPr>
          <w:rFonts w:ascii="Calibri" w:hAnsi="Calibri"/>
          <w:szCs w:val="28"/>
        </w:rPr>
        <w:lastRenderedPageBreak/>
        <w:t>Project Results Framework</w:t>
      </w:r>
      <w:bookmarkEnd w:id="11"/>
      <w:r w:rsidR="00842DCB" w:rsidRPr="006D4FA7">
        <w:rPr>
          <w:rFonts w:ascii="Calibri" w:hAnsi="Calibri"/>
          <w:szCs w:val="28"/>
        </w:rPr>
        <w:t xml:space="preserve"> </w:t>
      </w:r>
      <w:r w:rsidR="00415B14" w:rsidRPr="00556A64">
        <w:rPr>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3595"/>
        <w:gridCol w:w="1558"/>
        <w:gridCol w:w="2020"/>
        <w:gridCol w:w="1795"/>
        <w:gridCol w:w="2817"/>
      </w:tblGrid>
      <w:tr w:rsidR="00415B14" w:rsidRPr="00CF4212" w14:paraId="449CB1D4" w14:textId="77777777" w:rsidTr="00194AA1">
        <w:trPr>
          <w:trHeight w:val="305"/>
        </w:trPr>
        <w:tc>
          <w:tcPr>
            <w:tcW w:w="14390" w:type="dxa"/>
            <w:gridSpan w:val="6"/>
            <w:shd w:val="pct12" w:color="auto" w:fill="auto"/>
            <w:tcMar>
              <w:left w:w="28" w:type="dxa"/>
              <w:right w:w="28" w:type="dxa"/>
            </w:tcMar>
          </w:tcPr>
          <w:p w14:paraId="548D1CF4" w14:textId="27CD944C" w:rsidR="00415B14" w:rsidRPr="009D08C5" w:rsidRDefault="00415B14" w:rsidP="001A16F2">
            <w:pPr>
              <w:rPr>
                <w:sz w:val="18"/>
                <w:szCs w:val="18"/>
              </w:rPr>
            </w:pPr>
            <w:r w:rsidRPr="009D08C5">
              <w:rPr>
                <w:b/>
                <w:sz w:val="18"/>
                <w:szCs w:val="18"/>
              </w:rPr>
              <w:t xml:space="preserve">This project will contribute to the following Sustainable Development Goal (s):  </w:t>
            </w:r>
            <w:r w:rsidR="00AC630C" w:rsidRPr="00AC630C">
              <w:rPr>
                <w:rFonts w:asciiTheme="majorHAnsi" w:hAnsiTheme="majorHAnsi"/>
                <w:sz w:val="18"/>
                <w:szCs w:val="18"/>
              </w:rPr>
              <w:t>Strategic Goal C (To improve the status of biodiversity by safeguarding ecosystems, species and genetic diversity), and Target 12 (By 2020, the extinction of known threatened species has been prevented and their conservation status, particularly of those most in decline, has improved and sustained).</w:t>
            </w:r>
          </w:p>
        </w:tc>
      </w:tr>
      <w:tr w:rsidR="00415B14" w:rsidRPr="0003763F" w14:paraId="37097C8A" w14:textId="77777777" w:rsidTr="00194AA1">
        <w:trPr>
          <w:trHeight w:val="287"/>
        </w:trPr>
        <w:tc>
          <w:tcPr>
            <w:tcW w:w="14390" w:type="dxa"/>
            <w:gridSpan w:val="6"/>
            <w:shd w:val="pct12" w:color="auto" w:fill="auto"/>
            <w:tcMar>
              <w:left w:w="28" w:type="dxa"/>
              <w:right w:w="28" w:type="dxa"/>
            </w:tcMar>
          </w:tcPr>
          <w:p w14:paraId="4A5EEF27" w14:textId="52040E94" w:rsidR="00415B14" w:rsidRPr="009D08C5" w:rsidRDefault="00415B14" w:rsidP="00AE234B">
            <w:pPr>
              <w:rPr>
                <w:b/>
                <w:szCs w:val="20"/>
              </w:rPr>
            </w:pPr>
            <w:r>
              <w:rPr>
                <w:b/>
                <w:bCs/>
                <w:sz w:val="18"/>
                <w:szCs w:val="18"/>
              </w:rPr>
              <w:t>This project will contribute to the following country outcome included in the</w:t>
            </w:r>
            <w:r w:rsidRPr="002E4F8C">
              <w:rPr>
                <w:b/>
                <w:bCs/>
                <w:sz w:val="18"/>
                <w:szCs w:val="18"/>
              </w:rPr>
              <w:t xml:space="preserve"> UNDAF/Country Program </w:t>
            </w:r>
            <w:r>
              <w:rPr>
                <w:b/>
                <w:bCs/>
                <w:sz w:val="18"/>
                <w:szCs w:val="18"/>
              </w:rPr>
              <w:t>Document</w:t>
            </w:r>
            <w:r w:rsidRPr="002E4F8C">
              <w:rPr>
                <w:b/>
                <w:bCs/>
                <w:sz w:val="18"/>
                <w:szCs w:val="18"/>
              </w:rPr>
              <w:t>:</w:t>
            </w:r>
            <w:r>
              <w:rPr>
                <w:b/>
                <w:bCs/>
                <w:sz w:val="18"/>
                <w:szCs w:val="18"/>
              </w:rPr>
              <w:t xml:space="preserve"> </w:t>
            </w:r>
            <w:r w:rsidR="00502AB8" w:rsidRPr="00AE234B">
              <w:rPr>
                <w:bCs/>
                <w:sz w:val="18"/>
                <w:szCs w:val="18"/>
              </w:rPr>
              <w:t>Outcome 1.1 Improved resilience</w:t>
            </w:r>
            <w:r w:rsidR="00AE234B" w:rsidRPr="00AE234B">
              <w:rPr>
                <w:bCs/>
                <w:sz w:val="18"/>
                <w:szCs w:val="18"/>
              </w:rPr>
              <w:t>, with particular focus on communities, through integrated implementation of sustainable environmental management, climate change adaptation/mitigation and disaster risk management</w:t>
            </w:r>
            <w:r w:rsidR="00AE234B">
              <w:rPr>
                <w:b/>
                <w:bCs/>
                <w:sz w:val="18"/>
                <w:szCs w:val="18"/>
              </w:rPr>
              <w:t xml:space="preserve"> </w:t>
            </w:r>
          </w:p>
        </w:tc>
      </w:tr>
      <w:tr w:rsidR="00415B14" w:rsidRPr="009D08C5" w14:paraId="6424D06B" w14:textId="77777777" w:rsidTr="00194AA1">
        <w:trPr>
          <w:trHeight w:val="544"/>
        </w:trPr>
        <w:tc>
          <w:tcPr>
            <w:tcW w:w="14390" w:type="dxa"/>
            <w:gridSpan w:val="6"/>
            <w:shd w:val="pct12" w:color="auto" w:fill="auto"/>
            <w:tcMar>
              <w:left w:w="28" w:type="dxa"/>
              <w:right w:w="28" w:type="dxa"/>
            </w:tcMar>
          </w:tcPr>
          <w:p w14:paraId="01FB9E04" w14:textId="5D3C04C8" w:rsidR="00415B14" w:rsidRPr="009C32DB" w:rsidRDefault="00415B14" w:rsidP="001C203A">
            <w:pPr>
              <w:spacing w:after="0"/>
              <w:jc w:val="left"/>
              <w:rPr>
                <w:b/>
                <w:bCs/>
                <w:sz w:val="18"/>
                <w:szCs w:val="18"/>
              </w:rPr>
            </w:pPr>
            <w:r w:rsidRPr="009D08C5">
              <w:rPr>
                <w:b/>
                <w:bCs/>
                <w:sz w:val="18"/>
                <w:szCs w:val="18"/>
              </w:rPr>
              <w:t>This project will be linked to the following output of the UNDP Strategic Plan:</w:t>
            </w:r>
          </w:p>
          <w:p w14:paraId="46847FBA" w14:textId="32F6BCA2" w:rsidR="00415B14" w:rsidRPr="009D08C5" w:rsidRDefault="00415B14" w:rsidP="009C32DB">
            <w:pPr>
              <w:spacing w:after="0"/>
              <w:jc w:val="left"/>
              <w:rPr>
                <w:rFonts w:cs="Arial"/>
                <w:i/>
                <w:sz w:val="18"/>
                <w:szCs w:val="18"/>
              </w:rPr>
            </w:pPr>
            <w:r w:rsidRPr="009D08C5">
              <w:rPr>
                <w:rFonts w:cs="Arial"/>
                <w:sz w:val="18"/>
                <w:szCs w:val="18"/>
              </w:rPr>
              <w:t>Output 1.3:  Solutions developed at national and sub-national levels for sustainable management of natural resources, ecosystem services, chemicals and waste.</w:t>
            </w:r>
          </w:p>
        </w:tc>
      </w:tr>
      <w:tr w:rsidR="00415B14" w:rsidRPr="0003763F" w14:paraId="40B0EED6" w14:textId="77777777" w:rsidTr="00194AA1">
        <w:trPr>
          <w:trHeight w:val="242"/>
        </w:trPr>
        <w:tc>
          <w:tcPr>
            <w:tcW w:w="2605" w:type="dxa"/>
            <w:shd w:val="pct12" w:color="auto" w:fill="auto"/>
            <w:tcMar>
              <w:left w:w="28" w:type="dxa"/>
              <w:right w:w="28" w:type="dxa"/>
            </w:tcMar>
          </w:tcPr>
          <w:p w14:paraId="735C8E81" w14:textId="77777777" w:rsidR="00415B14" w:rsidRPr="0003763F" w:rsidRDefault="00415B14" w:rsidP="00AE234B">
            <w:pPr>
              <w:spacing w:after="0"/>
              <w:jc w:val="center"/>
              <w:rPr>
                <w:rFonts w:ascii="Times New Roman" w:hAnsi="Times New Roman"/>
                <w:b/>
                <w:bCs/>
                <w:sz w:val="18"/>
                <w:szCs w:val="18"/>
              </w:rPr>
            </w:pPr>
          </w:p>
        </w:tc>
        <w:tc>
          <w:tcPr>
            <w:tcW w:w="3595" w:type="dxa"/>
            <w:shd w:val="pct12" w:color="auto" w:fill="auto"/>
            <w:tcMar>
              <w:left w:w="28" w:type="dxa"/>
              <w:right w:w="28" w:type="dxa"/>
            </w:tcMar>
          </w:tcPr>
          <w:p w14:paraId="1DF07149" w14:textId="12E24C34" w:rsidR="00415B14" w:rsidRPr="00520A61" w:rsidRDefault="00415B14" w:rsidP="00AE234B">
            <w:pPr>
              <w:spacing w:after="0"/>
              <w:jc w:val="center"/>
              <w:rPr>
                <w:b/>
                <w:bCs/>
                <w:sz w:val="18"/>
                <w:szCs w:val="18"/>
              </w:rPr>
            </w:pPr>
            <w:r w:rsidRPr="00520A61">
              <w:rPr>
                <w:b/>
                <w:bCs/>
                <w:sz w:val="18"/>
                <w:szCs w:val="18"/>
              </w:rPr>
              <w:t>Objective and Outcome Indicators</w:t>
            </w:r>
            <w:r w:rsidR="00E54698">
              <w:rPr>
                <w:rStyle w:val="FootnoteReference"/>
                <w:b/>
                <w:bCs/>
                <w:szCs w:val="18"/>
              </w:rPr>
              <w:footnoteReference w:id="14"/>
            </w:r>
          </w:p>
        </w:tc>
        <w:tc>
          <w:tcPr>
            <w:tcW w:w="1558" w:type="dxa"/>
            <w:shd w:val="pct12" w:color="auto" w:fill="auto"/>
            <w:tcMar>
              <w:left w:w="28" w:type="dxa"/>
              <w:right w:w="28" w:type="dxa"/>
            </w:tcMar>
          </w:tcPr>
          <w:p w14:paraId="4C13B712" w14:textId="46F349AB" w:rsidR="00415B14" w:rsidRPr="00520A61" w:rsidRDefault="00415B14" w:rsidP="00AE234B">
            <w:pPr>
              <w:spacing w:after="0"/>
              <w:jc w:val="center"/>
              <w:rPr>
                <w:b/>
                <w:bCs/>
                <w:sz w:val="18"/>
                <w:szCs w:val="18"/>
              </w:rPr>
            </w:pPr>
            <w:r w:rsidRPr="00520A61">
              <w:rPr>
                <w:b/>
                <w:bCs/>
                <w:sz w:val="18"/>
                <w:szCs w:val="18"/>
              </w:rPr>
              <w:t>Baseline</w:t>
            </w:r>
            <w:r w:rsidRPr="00520A61">
              <w:rPr>
                <w:rStyle w:val="FootnoteReference"/>
                <w:rFonts w:ascii="Calibri" w:hAnsi="Calibri"/>
                <w:b/>
                <w:bCs/>
                <w:szCs w:val="18"/>
              </w:rPr>
              <w:footnoteReference w:id="15"/>
            </w:r>
            <w:r w:rsidRPr="00520A61">
              <w:rPr>
                <w:b/>
                <w:bCs/>
                <w:sz w:val="18"/>
                <w:szCs w:val="18"/>
              </w:rPr>
              <w:t xml:space="preserve"> </w:t>
            </w:r>
          </w:p>
        </w:tc>
        <w:tc>
          <w:tcPr>
            <w:tcW w:w="2020" w:type="dxa"/>
            <w:shd w:val="pct12" w:color="auto" w:fill="auto"/>
            <w:tcMar>
              <w:left w:w="28" w:type="dxa"/>
              <w:right w:w="28" w:type="dxa"/>
            </w:tcMar>
          </w:tcPr>
          <w:p w14:paraId="134F6CB2" w14:textId="7E5E101D" w:rsidR="00415B14" w:rsidRPr="00520A61" w:rsidRDefault="00415B14" w:rsidP="00AE234B">
            <w:pPr>
              <w:spacing w:after="0"/>
              <w:jc w:val="center"/>
              <w:rPr>
                <w:b/>
                <w:bCs/>
                <w:sz w:val="18"/>
                <w:szCs w:val="18"/>
              </w:rPr>
            </w:pPr>
            <w:r w:rsidRPr="00520A61">
              <w:rPr>
                <w:b/>
                <w:bCs/>
                <w:sz w:val="18"/>
                <w:szCs w:val="18"/>
              </w:rPr>
              <w:t>Mid-term Target</w:t>
            </w:r>
            <w:r w:rsidRPr="00520A61">
              <w:rPr>
                <w:rStyle w:val="FootnoteReference"/>
                <w:rFonts w:ascii="Calibri" w:hAnsi="Calibri"/>
                <w:b/>
                <w:bCs/>
                <w:szCs w:val="18"/>
              </w:rPr>
              <w:footnoteReference w:id="16"/>
            </w:r>
          </w:p>
        </w:tc>
        <w:tc>
          <w:tcPr>
            <w:tcW w:w="1795" w:type="dxa"/>
            <w:shd w:val="pct12" w:color="auto" w:fill="auto"/>
            <w:tcMar>
              <w:left w:w="28" w:type="dxa"/>
              <w:right w:w="28" w:type="dxa"/>
            </w:tcMar>
          </w:tcPr>
          <w:p w14:paraId="30F44009" w14:textId="799D376C" w:rsidR="00415B14" w:rsidRPr="00520A61" w:rsidRDefault="00415B14" w:rsidP="00AE234B">
            <w:pPr>
              <w:spacing w:after="0"/>
              <w:jc w:val="center"/>
              <w:rPr>
                <w:b/>
                <w:bCs/>
                <w:sz w:val="18"/>
                <w:szCs w:val="18"/>
              </w:rPr>
            </w:pPr>
            <w:r w:rsidRPr="00520A61">
              <w:rPr>
                <w:b/>
                <w:bCs/>
                <w:sz w:val="18"/>
                <w:szCs w:val="18"/>
              </w:rPr>
              <w:t>End of Project Target</w:t>
            </w:r>
          </w:p>
        </w:tc>
        <w:tc>
          <w:tcPr>
            <w:tcW w:w="2817" w:type="dxa"/>
            <w:shd w:val="pct12" w:color="auto" w:fill="auto"/>
            <w:tcMar>
              <w:left w:w="28" w:type="dxa"/>
              <w:right w:w="28" w:type="dxa"/>
            </w:tcMar>
          </w:tcPr>
          <w:p w14:paraId="0C47FC91" w14:textId="1F641310" w:rsidR="00415B14" w:rsidRPr="00520A61" w:rsidRDefault="00415B14" w:rsidP="00AE234B">
            <w:pPr>
              <w:spacing w:after="0"/>
              <w:jc w:val="center"/>
              <w:rPr>
                <w:b/>
                <w:bCs/>
                <w:sz w:val="18"/>
                <w:szCs w:val="18"/>
              </w:rPr>
            </w:pPr>
            <w:r w:rsidRPr="00520A61">
              <w:rPr>
                <w:b/>
                <w:bCs/>
                <w:sz w:val="18"/>
                <w:szCs w:val="18"/>
              </w:rPr>
              <w:t>Assumptions</w:t>
            </w:r>
            <w:r w:rsidRPr="00520A61">
              <w:rPr>
                <w:rStyle w:val="FootnoteReference"/>
                <w:rFonts w:ascii="Calibri" w:hAnsi="Calibri"/>
                <w:b/>
                <w:bCs/>
                <w:szCs w:val="18"/>
              </w:rPr>
              <w:footnoteReference w:id="17"/>
            </w:r>
          </w:p>
        </w:tc>
      </w:tr>
      <w:tr w:rsidR="00267BE5" w:rsidRPr="0003763F" w14:paraId="57714388" w14:textId="77777777" w:rsidTr="00194AA1">
        <w:trPr>
          <w:trHeight w:val="458"/>
        </w:trPr>
        <w:tc>
          <w:tcPr>
            <w:tcW w:w="2605" w:type="dxa"/>
            <w:vMerge w:val="restart"/>
            <w:shd w:val="pct12" w:color="auto" w:fill="auto"/>
            <w:tcMar>
              <w:left w:w="28" w:type="dxa"/>
              <w:right w:w="28" w:type="dxa"/>
            </w:tcMar>
          </w:tcPr>
          <w:p w14:paraId="5EC76F5E" w14:textId="77777777" w:rsidR="00267BE5" w:rsidRPr="0003763F" w:rsidRDefault="00267BE5" w:rsidP="001A16F2">
            <w:pPr>
              <w:jc w:val="left"/>
              <w:rPr>
                <w:rFonts w:ascii="Times New Roman" w:hAnsi="Times New Roman"/>
                <w:b/>
                <w:bCs/>
                <w:sz w:val="18"/>
                <w:szCs w:val="18"/>
              </w:rPr>
            </w:pPr>
            <w:r w:rsidRPr="0003763F">
              <w:rPr>
                <w:rFonts w:ascii="Times New Roman" w:hAnsi="Times New Roman"/>
                <w:b/>
                <w:bCs/>
                <w:sz w:val="18"/>
                <w:szCs w:val="18"/>
              </w:rPr>
              <w:t>Project Objective:</w:t>
            </w:r>
          </w:p>
          <w:p w14:paraId="24084B02" w14:textId="77777777" w:rsidR="00267BE5" w:rsidRPr="00532DA4" w:rsidRDefault="00267BE5" w:rsidP="001A16F2">
            <w:pPr>
              <w:jc w:val="left"/>
              <w:rPr>
                <w:rFonts w:ascii="Times New Roman" w:hAnsi="Times New Roman"/>
                <w:bCs/>
                <w:i/>
                <w:sz w:val="18"/>
                <w:szCs w:val="18"/>
              </w:rPr>
            </w:pPr>
            <w:r w:rsidRPr="007D2278">
              <w:rPr>
                <w:bCs/>
                <w:sz w:val="18"/>
                <w:szCs w:val="18"/>
              </w:rPr>
              <w:t>To m</w:t>
            </w:r>
            <w:r w:rsidRPr="00A04AB5">
              <w:rPr>
                <w:sz w:val="18"/>
                <w:szCs w:val="18"/>
              </w:rPr>
              <w:t>ainstream</w:t>
            </w:r>
            <w:r w:rsidRPr="005C3E66">
              <w:rPr>
                <w:sz w:val="18"/>
                <w:szCs w:val="18"/>
              </w:rPr>
              <w:t xml:space="preserve"> biodiversity conservation into integrated land and seascape governance, planning and management in Palau</w:t>
            </w:r>
            <w:r w:rsidRPr="00532DA4">
              <w:rPr>
                <w:sz w:val="18"/>
                <w:szCs w:val="18"/>
              </w:rPr>
              <w:t>.</w:t>
            </w:r>
          </w:p>
          <w:p w14:paraId="6D3247BE" w14:textId="77777777" w:rsidR="00267BE5" w:rsidRPr="0003763F" w:rsidRDefault="00267BE5" w:rsidP="001A16F2">
            <w:pPr>
              <w:jc w:val="left"/>
              <w:rPr>
                <w:rFonts w:ascii="Times New Roman" w:hAnsi="Times New Roman"/>
                <w:b/>
                <w:bCs/>
                <w:i/>
                <w:sz w:val="18"/>
                <w:szCs w:val="18"/>
              </w:rPr>
            </w:pPr>
          </w:p>
        </w:tc>
        <w:tc>
          <w:tcPr>
            <w:tcW w:w="3595" w:type="dxa"/>
            <w:tcMar>
              <w:left w:w="28" w:type="dxa"/>
              <w:right w:w="28" w:type="dxa"/>
            </w:tcMar>
          </w:tcPr>
          <w:p w14:paraId="3CF730D2" w14:textId="77777777" w:rsidR="00267BE5" w:rsidRPr="005C3E66" w:rsidRDefault="00267BE5" w:rsidP="001A16F2">
            <w:pPr>
              <w:jc w:val="left"/>
              <w:rPr>
                <w:bCs/>
                <w:sz w:val="18"/>
                <w:szCs w:val="18"/>
              </w:rPr>
            </w:pPr>
            <w:r w:rsidRPr="005C3E66">
              <w:rPr>
                <w:bCs/>
                <w:sz w:val="18"/>
                <w:szCs w:val="18"/>
              </w:rPr>
              <w:t>Mandatory Indicator 1.3.1 Area of sustainable management solutions at sub-national level for conservation of biodiversity and ecosystem services that benefit from integrated landscape and seascape planning and management approaches</w:t>
            </w:r>
          </w:p>
        </w:tc>
        <w:tc>
          <w:tcPr>
            <w:tcW w:w="1558" w:type="dxa"/>
            <w:tcMar>
              <w:left w:w="28" w:type="dxa"/>
              <w:right w:w="28" w:type="dxa"/>
            </w:tcMar>
          </w:tcPr>
          <w:p w14:paraId="7218B83C" w14:textId="57CF3114" w:rsidR="00267BE5" w:rsidRPr="00BB74DC" w:rsidRDefault="00267BE5" w:rsidP="007B45D2">
            <w:pPr>
              <w:jc w:val="left"/>
              <w:rPr>
                <w:bCs/>
                <w:i/>
                <w:sz w:val="18"/>
                <w:szCs w:val="18"/>
              </w:rPr>
            </w:pPr>
            <w:r w:rsidRPr="00BB74DC">
              <w:rPr>
                <w:bCs/>
                <w:i/>
                <w:sz w:val="18"/>
                <w:szCs w:val="18"/>
              </w:rPr>
              <w:t xml:space="preserve">Approximately </w:t>
            </w:r>
            <w:r w:rsidR="005B7336">
              <w:rPr>
                <w:bCs/>
                <w:i/>
                <w:sz w:val="18"/>
                <w:szCs w:val="18"/>
              </w:rPr>
              <w:t xml:space="preserve">115,000 </w:t>
            </w:r>
            <w:r w:rsidRPr="00BB74DC">
              <w:rPr>
                <w:bCs/>
                <w:i/>
                <w:sz w:val="18"/>
                <w:szCs w:val="18"/>
              </w:rPr>
              <w:t>hectares (managed effectively)</w:t>
            </w:r>
            <w:r w:rsidR="00A57F29">
              <w:rPr>
                <w:rStyle w:val="FootnoteReference"/>
                <w:bCs/>
                <w:i/>
                <w:szCs w:val="18"/>
              </w:rPr>
              <w:footnoteReference w:id="18"/>
            </w:r>
          </w:p>
        </w:tc>
        <w:tc>
          <w:tcPr>
            <w:tcW w:w="2020" w:type="dxa"/>
            <w:tcMar>
              <w:left w:w="28" w:type="dxa"/>
              <w:right w:w="28" w:type="dxa"/>
            </w:tcMar>
          </w:tcPr>
          <w:p w14:paraId="3960CEBB" w14:textId="0043F55E" w:rsidR="00267BE5" w:rsidRPr="00041F97" w:rsidRDefault="00A57F29" w:rsidP="00FA196A">
            <w:pPr>
              <w:jc w:val="left"/>
              <w:rPr>
                <w:bCs/>
                <w:i/>
                <w:sz w:val="18"/>
                <w:szCs w:val="18"/>
              </w:rPr>
            </w:pPr>
            <w:r>
              <w:rPr>
                <w:bCs/>
                <w:i/>
                <w:sz w:val="18"/>
                <w:szCs w:val="18"/>
              </w:rPr>
              <w:t xml:space="preserve">At least </w:t>
            </w:r>
            <w:r w:rsidR="00FA196A">
              <w:rPr>
                <w:bCs/>
                <w:i/>
                <w:sz w:val="18"/>
                <w:szCs w:val="18"/>
              </w:rPr>
              <w:t>130</w:t>
            </w:r>
            <w:r>
              <w:rPr>
                <w:bCs/>
                <w:i/>
                <w:sz w:val="18"/>
                <w:szCs w:val="18"/>
              </w:rPr>
              <w:t xml:space="preserve">,000 hectares of </w:t>
            </w:r>
            <w:r w:rsidRPr="00041F97">
              <w:rPr>
                <w:bCs/>
                <w:i/>
                <w:sz w:val="18"/>
                <w:szCs w:val="18"/>
              </w:rPr>
              <w:t>seascapes and landscapes effectively managed through participatory approaches</w:t>
            </w:r>
          </w:p>
        </w:tc>
        <w:tc>
          <w:tcPr>
            <w:tcW w:w="1795" w:type="dxa"/>
            <w:tcMar>
              <w:left w:w="28" w:type="dxa"/>
              <w:right w:w="28" w:type="dxa"/>
            </w:tcMar>
          </w:tcPr>
          <w:p w14:paraId="51E7BC5E" w14:textId="25A9DB04" w:rsidR="00267BE5" w:rsidRPr="00041F97" w:rsidRDefault="00267BE5" w:rsidP="00FA196A">
            <w:pPr>
              <w:jc w:val="left"/>
              <w:rPr>
                <w:b/>
                <w:bCs/>
                <w:sz w:val="18"/>
                <w:szCs w:val="18"/>
              </w:rPr>
            </w:pPr>
            <w:r w:rsidRPr="00041F97">
              <w:rPr>
                <w:bCs/>
                <w:i/>
                <w:sz w:val="18"/>
                <w:szCs w:val="18"/>
              </w:rPr>
              <w:t xml:space="preserve">At least </w:t>
            </w:r>
            <w:r w:rsidR="00A57F29">
              <w:rPr>
                <w:bCs/>
                <w:i/>
                <w:sz w:val="18"/>
                <w:szCs w:val="18"/>
              </w:rPr>
              <w:t xml:space="preserve">a total of </w:t>
            </w:r>
            <w:r w:rsidR="00FA196A">
              <w:rPr>
                <w:bCs/>
                <w:i/>
                <w:sz w:val="18"/>
                <w:szCs w:val="18"/>
              </w:rPr>
              <w:t>240,000</w:t>
            </w:r>
            <w:r w:rsidR="0022163F">
              <w:rPr>
                <w:rStyle w:val="FootnoteReference"/>
                <w:bCs/>
                <w:i/>
                <w:szCs w:val="18"/>
              </w:rPr>
              <w:footnoteReference w:id="19"/>
            </w:r>
            <w:r w:rsidRPr="00041F97">
              <w:rPr>
                <w:bCs/>
                <w:i/>
                <w:sz w:val="18"/>
                <w:szCs w:val="18"/>
              </w:rPr>
              <w:t xml:space="preserve"> hectares of seascapes and landscapes effectively managed through participatory approaches</w:t>
            </w:r>
          </w:p>
        </w:tc>
        <w:tc>
          <w:tcPr>
            <w:tcW w:w="2817" w:type="dxa"/>
            <w:vMerge w:val="restart"/>
            <w:tcMar>
              <w:left w:w="28" w:type="dxa"/>
              <w:right w:w="28" w:type="dxa"/>
            </w:tcMar>
          </w:tcPr>
          <w:p w14:paraId="42323339" w14:textId="77777777" w:rsidR="00A54679" w:rsidRPr="00041F97" w:rsidRDefault="00267BE5" w:rsidP="00C10353">
            <w:pPr>
              <w:spacing w:after="0"/>
              <w:jc w:val="left"/>
              <w:rPr>
                <w:bCs/>
                <w:i/>
                <w:sz w:val="18"/>
                <w:szCs w:val="18"/>
              </w:rPr>
            </w:pPr>
            <w:r w:rsidRPr="00041F97">
              <w:rPr>
                <w:bCs/>
                <w:i/>
                <w:sz w:val="18"/>
                <w:szCs w:val="18"/>
                <w:u w:val="single"/>
              </w:rPr>
              <w:t xml:space="preserve">Assumptions: </w:t>
            </w:r>
            <w:r w:rsidRPr="00041F97">
              <w:rPr>
                <w:bCs/>
                <w:i/>
                <w:sz w:val="18"/>
                <w:szCs w:val="18"/>
              </w:rPr>
              <w:t xml:space="preserve"> </w:t>
            </w:r>
          </w:p>
          <w:p w14:paraId="1AE3D9B7" w14:textId="79A6BB93" w:rsidR="00267BE5" w:rsidRPr="00041F97" w:rsidRDefault="00A54679" w:rsidP="00C10353">
            <w:pPr>
              <w:spacing w:after="0"/>
              <w:jc w:val="left"/>
              <w:rPr>
                <w:bCs/>
                <w:i/>
                <w:sz w:val="18"/>
                <w:szCs w:val="18"/>
              </w:rPr>
            </w:pPr>
            <w:r w:rsidRPr="00041F97">
              <w:rPr>
                <w:bCs/>
                <w:i/>
                <w:sz w:val="18"/>
                <w:szCs w:val="18"/>
              </w:rPr>
              <w:t>-</w:t>
            </w:r>
            <w:r w:rsidR="00267BE5" w:rsidRPr="00041F97">
              <w:rPr>
                <w:bCs/>
                <w:i/>
                <w:sz w:val="18"/>
                <w:szCs w:val="18"/>
              </w:rPr>
              <w:t xml:space="preserve">Local communities </w:t>
            </w:r>
            <w:r w:rsidR="00347DBE">
              <w:rPr>
                <w:bCs/>
                <w:i/>
                <w:sz w:val="18"/>
                <w:szCs w:val="18"/>
              </w:rPr>
              <w:t xml:space="preserve">and state governments </w:t>
            </w:r>
            <w:r w:rsidR="00267BE5" w:rsidRPr="00041F97">
              <w:rPr>
                <w:bCs/>
                <w:i/>
                <w:sz w:val="18"/>
                <w:szCs w:val="18"/>
              </w:rPr>
              <w:t xml:space="preserve">understand livelihood benefits and ecological security </w:t>
            </w:r>
            <w:r w:rsidR="004840B6">
              <w:rPr>
                <w:bCs/>
                <w:i/>
                <w:sz w:val="18"/>
                <w:szCs w:val="18"/>
              </w:rPr>
              <w:t>and participate</w:t>
            </w:r>
            <w:r w:rsidR="00267BE5" w:rsidRPr="00041F97">
              <w:rPr>
                <w:bCs/>
                <w:i/>
                <w:sz w:val="18"/>
                <w:szCs w:val="18"/>
              </w:rPr>
              <w:t xml:space="preserve"> </w:t>
            </w:r>
            <w:r w:rsidR="004840B6">
              <w:rPr>
                <w:bCs/>
                <w:i/>
                <w:sz w:val="18"/>
                <w:szCs w:val="18"/>
              </w:rPr>
              <w:t>in</w:t>
            </w:r>
            <w:r w:rsidR="00267BE5" w:rsidRPr="00041F97">
              <w:rPr>
                <w:bCs/>
                <w:i/>
                <w:sz w:val="18"/>
                <w:szCs w:val="18"/>
              </w:rPr>
              <w:t xml:space="preserve"> land</w:t>
            </w:r>
            <w:r w:rsidR="004840B6">
              <w:rPr>
                <w:bCs/>
                <w:i/>
                <w:sz w:val="18"/>
                <w:szCs w:val="18"/>
              </w:rPr>
              <w:t>/planning and management</w:t>
            </w:r>
            <w:r w:rsidR="00267BE5" w:rsidRPr="00041F97">
              <w:rPr>
                <w:bCs/>
                <w:i/>
                <w:sz w:val="18"/>
                <w:szCs w:val="18"/>
              </w:rPr>
              <w:t xml:space="preserve">. </w:t>
            </w:r>
          </w:p>
          <w:p w14:paraId="32240A50" w14:textId="408B0A0C" w:rsidR="00267BE5" w:rsidRPr="00041F97" w:rsidRDefault="00A54679" w:rsidP="00C10353">
            <w:pPr>
              <w:spacing w:after="0"/>
              <w:jc w:val="left"/>
              <w:rPr>
                <w:bCs/>
                <w:i/>
                <w:sz w:val="18"/>
                <w:szCs w:val="18"/>
              </w:rPr>
            </w:pPr>
            <w:r w:rsidRPr="00041F97">
              <w:rPr>
                <w:bCs/>
                <w:i/>
                <w:sz w:val="18"/>
                <w:szCs w:val="18"/>
              </w:rPr>
              <w:t>-</w:t>
            </w:r>
            <w:r w:rsidR="00267BE5" w:rsidRPr="00041F97">
              <w:rPr>
                <w:bCs/>
                <w:i/>
                <w:sz w:val="18"/>
                <w:szCs w:val="18"/>
              </w:rPr>
              <w:t>The</w:t>
            </w:r>
            <w:r w:rsidRPr="00041F97">
              <w:rPr>
                <w:bCs/>
                <w:i/>
                <w:sz w:val="18"/>
                <w:szCs w:val="18"/>
              </w:rPr>
              <w:t xml:space="preserve"> National and</w:t>
            </w:r>
            <w:r w:rsidR="00267BE5" w:rsidRPr="00041F97">
              <w:rPr>
                <w:bCs/>
                <w:i/>
                <w:sz w:val="18"/>
                <w:szCs w:val="18"/>
              </w:rPr>
              <w:t xml:space="preserve"> State</w:t>
            </w:r>
            <w:r w:rsidRPr="00041F97">
              <w:rPr>
                <w:bCs/>
                <w:i/>
                <w:sz w:val="18"/>
                <w:szCs w:val="18"/>
              </w:rPr>
              <w:t xml:space="preserve"> Governments </w:t>
            </w:r>
            <w:r w:rsidR="00267BE5" w:rsidRPr="00041F97">
              <w:rPr>
                <w:bCs/>
                <w:i/>
                <w:sz w:val="18"/>
                <w:szCs w:val="18"/>
              </w:rPr>
              <w:t>consider it their priority to support integrated planning of its land</w:t>
            </w:r>
            <w:r w:rsidR="004840B6">
              <w:rPr>
                <w:bCs/>
                <w:i/>
                <w:sz w:val="18"/>
                <w:szCs w:val="18"/>
              </w:rPr>
              <w:t>/</w:t>
            </w:r>
            <w:r w:rsidR="00267BE5" w:rsidRPr="00041F97">
              <w:rPr>
                <w:bCs/>
                <w:i/>
                <w:sz w:val="18"/>
                <w:szCs w:val="18"/>
              </w:rPr>
              <w:t>seascape</w:t>
            </w:r>
            <w:r w:rsidR="004840B6">
              <w:rPr>
                <w:bCs/>
                <w:i/>
                <w:sz w:val="18"/>
                <w:szCs w:val="18"/>
              </w:rPr>
              <w:t>s</w:t>
            </w:r>
            <w:r w:rsidR="00267BE5" w:rsidRPr="00041F97">
              <w:rPr>
                <w:bCs/>
                <w:i/>
                <w:sz w:val="18"/>
                <w:szCs w:val="18"/>
              </w:rPr>
              <w:t xml:space="preserve"> and implement target oriented activities with local communities to improve conservation and sustainable use of such resources. </w:t>
            </w:r>
          </w:p>
          <w:p w14:paraId="2BAC67D2" w14:textId="1E50C6B8" w:rsidR="00267BE5" w:rsidRPr="00041F97" w:rsidRDefault="00A54679" w:rsidP="00C10353">
            <w:pPr>
              <w:spacing w:after="0"/>
              <w:jc w:val="left"/>
              <w:rPr>
                <w:bCs/>
                <w:i/>
                <w:sz w:val="18"/>
                <w:szCs w:val="18"/>
              </w:rPr>
            </w:pPr>
            <w:r w:rsidRPr="00041F97">
              <w:rPr>
                <w:bCs/>
                <w:i/>
                <w:sz w:val="18"/>
                <w:szCs w:val="18"/>
              </w:rPr>
              <w:t>-</w:t>
            </w:r>
            <w:r w:rsidR="00267BE5" w:rsidRPr="00041F97">
              <w:rPr>
                <w:bCs/>
                <w:i/>
                <w:sz w:val="18"/>
                <w:szCs w:val="18"/>
              </w:rPr>
              <w:t>The State</w:t>
            </w:r>
            <w:r w:rsidRPr="00041F97">
              <w:rPr>
                <w:bCs/>
                <w:i/>
                <w:sz w:val="18"/>
                <w:szCs w:val="18"/>
              </w:rPr>
              <w:t>s, CBOs</w:t>
            </w:r>
            <w:r w:rsidR="00347DBE">
              <w:rPr>
                <w:bCs/>
                <w:i/>
                <w:sz w:val="18"/>
                <w:szCs w:val="18"/>
              </w:rPr>
              <w:t>, private sector</w:t>
            </w:r>
            <w:r w:rsidR="00267BE5" w:rsidRPr="00041F97">
              <w:rPr>
                <w:bCs/>
                <w:i/>
                <w:sz w:val="18"/>
                <w:szCs w:val="18"/>
              </w:rPr>
              <w:t xml:space="preserve"> and communities work in close collaboration for preparation of land</w:t>
            </w:r>
            <w:r w:rsidR="004840B6">
              <w:rPr>
                <w:bCs/>
                <w:i/>
                <w:sz w:val="18"/>
                <w:szCs w:val="18"/>
              </w:rPr>
              <w:t>/</w:t>
            </w:r>
            <w:r w:rsidR="00267BE5" w:rsidRPr="00041F97">
              <w:rPr>
                <w:bCs/>
                <w:i/>
                <w:sz w:val="18"/>
                <w:szCs w:val="18"/>
              </w:rPr>
              <w:t xml:space="preserve">seascape </w:t>
            </w:r>
            <w:r w:rsidR="004840B6">
              <w:rPr>
                <w:bCs/>
                <w:i/>
                <w:sz w:val="18"/>
                <w:szCs w:val="18"/>
              </w:rPr>
              <w:t>plans</w:t>
            </w:r>
          </w:p>
          <w:p w14:paraId="1017A514" w14:textId="77777777" w:rsidR="00A54679" w:rsidRPr="00041F97" w:rsidRDefault="00267BE5" w:rsidP="00C10353">
            <w:pPr>
              <w:spacing w:after="0"/>
              <w:jc w:val="left"/>
              <w:rPr>
                <w:bCs/>
                <w:i/>
                <w:sz w:val="18"/>
                <w:szCs w:val="18"/>
              </w:rPr>
            </w:pPr>
            <w:r w:rsidRPr="00041F97">
              <w:rPr>
                <w:bCs/>
                <w:i/>
                <w:sz w:val="18"/>
                <w:szCs w:val="18"/>
                <w:u w:val="single"/>
              </w:rPr>
              <w:t>Risks:</w:t>
            </w:r>
            <w:r w:rsidRPr="00041F97">
              <w:rPr>
                <w:bCs/>
                <w:i/>
                <w:sz w:val="18"/>
                <w:szCs w:val="18"/>
              </w:rPr>
              <w:t xml:space="preserve"> </w:t>
            </w:r>
          </w:p>
          <w:p w14:paraId="7624B62C" w14:textId="3EC822EF" w:rsidR="00267BE5" w:rsidRPr="00041F97" w:rsidRDefault="00A54679" w:rsidP="00C10353">
            <w:pPr>
              <w:spacing w:after="0"/>
              <w:jc w:val="left"/>
              <w:rPr>
                <w:bCs/>
                <w:i/>
                <w:sz w:val="18"/>
                <w:szCs w:val="18"/>
              </w:rPr>
            </w:pPr>
            <w:r w:rsidRPr="00041F97">
              <w:rPr>
                <w:bCs/>
                <w:i/>
                <w:sz w:val="18"/>
                <w:szCs w:val="18"/>
              </w:rPr>
              <w:t>-</w:t>
            </w:r>
            <w:r w:rsidR="00267BE5" w:rsidRPr="00041F97">
              <w:rPr>
                <w:bCs/>
                <w:i/>
                <w:sz w:val="18"/>
                <w:szCs w:val="18"/>
              </w:rPr>
              <w:t>Natural disaster</w:t>
            </w:r>
            <w:r w:rsidR="00347DBE">
              <w:rPr>
                <w:bCs/>
                <w:i/>
                <w:sz w:val="18"/>
                <w:szCs w:val="18"/>
              </w:rPr>
              <w:t>/climate change</w:t>
            </w:r>
            <w:r w:rsidR="00267BE5" w:rsidRPr="00041F97">
              <w:rPr>
                <w:bCs/>
                <w:i/>
                <w:sz w:val="18"/>
                <w:szCs w:val="18"/>
              </w:rPr>
              <w:t xml:space="preserve"> may affect the restoration work.</w:t>
            </w:r>
          </w:p>
          <w:p w14:paraId="796DA1E1" w14:textId="77777777" w:rsidR="00267BE5" w:rsidRDefault="00A54679" w:rsidP="00C10353">
            <w:pPr>
              <w:spacing w:after="0"/>
              <w:jc w:val="left"/>
              <w:rPr>
                <w:i/>
                <w:sz w:val="18"/>
                <w:szCs w:val="18"/>
              </w:rPr>
            </w:pPr>
            <w:r w:rsidRPr="00041F97">
              <w:rPr>
                <w:i/>
                <w:sz w:val="18"/>
                <w:szCs w:val="18"/>
              </w:rPr>
              <w:lastRenderedPageBreak/>
              <w:t>-</w:t>
            </w:r>
            <w:r w:rsidR="00267BE5" w:rsidRPr="00041F97">
              <w:rPr>
                <w:i/>
                <w:sz w:val="18"/>
                <w:szCs w:val="18"/>
              </w:rPr>
              <w:t>Lack of capacity in government and communities to meet obligations related to project.</w:t>
            </w:r>
          </w:p>
          <w:p w14:paraId="1EF10BDC" w14:textId="5F5AE410" w:rsidR="00347DBE" w:rsidRPr="00041F97" w:rsidRDefault="004840B6" w:rsidP="00C10353">
            <w:pPr>
              <w:spacing w:after="0"/>
              <w:jc w:val="left"/>
              <w:rPr>
                <w:i/>
                <w:sz w:val="18"/>
                <w:szCs w:val="18"/>
              </w:rPr>
            </w:pPr>
            <w:r>
              <w:rPr>
                <w:i/>
                <w:sz w:val="18"/>
                <w:szCs w:val="18"/>
              </w:rPr>
              <w:t>-</w:t>
            </w:r>
            <w:r w:rsidR="00347DBE">
              <w:rPr>
                <w:i/>
                <w:sz w:val="18"/>
                <w:szCs w:val="18"/>
              </w:rPr>
              <w:t>Political transitions leave plans unused.</w:t>
            </w:r>
          </w:p>
          <w:p w14:paraId="7DE82427" w14:textId="1F52E176" w:rsidR="00267BE5" w:rsidRDefault="00A54679" w:rsidP="00A54679">
            <w:pPr>
              <w:spacing w:after="0"/>
              <w:jc w:val="left"/>
              <w:rPr>
                <w:i/>
                <w:sz w:val="18"/>
                <w:szCs w:val="18"/>
              </w:rPr>
            </w:pPr>
            <w:r w:rsidRPr="00041F97">
              <w:rPr>
                <w:i/>
                <w:sz w:val="18"/>
                <w:szCs w:val="18"/>
              </w:rPr>
              <w:t>-</w:t>
            </w:r>
            <w:r w:rsidR="00267BE5" w:rsidRPr="00041F97">
              <w:rPr>
                <w:i/>
                <w:sz w:val="18"/>
                <w:szCs w:val="18"/>
              </w:rPr>
              <w:t xml:space="preserve">Livelihood benefits from sustainable management may be </w:t>
            </w:r>
            <w:r w:rsidR="00347DBE">
              <w:rPr>
                <w:i/>
                <w:sz w:val="18"/>
                <w:szCs w:val="18"/>
              </w:rPr>
              <w:t>limited and s</w:t>
            </w:r>
            <w:r w:rsidR="00267BE5" w:rsidRPr="00041F97">
              <w:rPr>
                <w:i/>
                <w:sz w:val="18"/>
                <w:szCs w:val="18"/>
              </w:rPr>
              <w:t xml:space="preserve">low </w:t>
            </w:r>
            <w:r w:rsidR="004840B6">
              <w:rPr>
                <w:i/>
                <w:sz w:val="18"/>
                <w:szCs w:val="18"/>
              </w:rPr>
              <w:t>for</w:t>
            </w:r>
            <w:r w:rsidR="00347DBE">
              <w:rPr>
                <w:i/>
                <w:sz w:val="18"/>
                <w:szCs w:val="18"/>
              </w:rPr>
              <w:t xml:space="preserve"> communities to </w:t>
            </w:r>
            <w:r w:rsidR="00267BE5" w:rsidRPr="00041F97">
              <w:rPr>
                <w:i/>
                <w:sz w:val="18"/>
                <w:szCs w:val="18"/>
              </w:rPr>
              <w:t>give up current unsustainable practices</w:t>
            </w:r>
          </w:p>
          <w:p w14:paraId="7DCF3567" w14:textId="6FBEFAB4" w:rsidR="00347DBE" w:rsidRPr="00041F97" w:rsidRDefault="00347DBE" w:rsidP="00A54679">
            <w:pPr>
              <w:spacing w:after="0"/>
              <w:jc w:val="left"/>
              <w:rPr>
                <w:i/>
                <w:sz w:val="18"/>
                <w:szCs w:val="18"/>
              </w:rPr>
            </w:pPr>
            <w:r>
              <w:rPr>
                <w:i/>
                <w:sz w:val="18"/>
                <w:szCs w:val="18"/>
              </w:rPr>
              <w:t xml:space="preserve">- Lack of involvement from private sector and/or resource users (including vulnerable people) with continued </w:t>
            </w:r>
            <w:r w:rsidR="00796CB2">
              <w:rPr>
                <w:i/>
                <w:sz w:val="18"/>
                <w:szCs w:val="18"/>
              </w:rPr>
              <w:t xml:space="preserve">unsustainable </w:t>
            </w:r>
            <w:r>
              <w:rPr>
                <w:i/>
                <w:sz w:val="18"/>
                <w:szCs w:val="18"/>
              </w:rPr>
              <w:t>practices</w:t>
            </w:r>
          </w:p>
          <w:p w14:paraId="4DBFF044" w14:textId="77777777" w:rsidR="00267BE5" w:rsidRPr="00041F97" w:rsidRDefault="00A54679" w:rsidP="00B26636">
            <w:pPr>
              <w:jc w:val="left"/>
              <w:rPr>
                <w:bCs/>
                <w:i/>
                <w:sz w:val="18"/>
                <w:szCs w:val="18"/>
              </w:rPr>
            </w:pPr>
            <w:r w:rsidRPr="00041F97">
              <w:rPr>
                <w:i/>
                <w:sz w:val="18"/>
                <w:szCs w:val="18"/>
              </w:rPr>
              <w:t xml:space="preserve">-Conflicts over territorial </w:t>
            </w:r>
            <w:r w:rsidR="00B26636" w:rsidRPr="00041F97">
              <w:rPr>
                <w:i/>
                <w:sz w:val="18"/>
                <w:szCs w:val="18"/>
              </w:rPr>
              <w:t>issue</w:t>
            </w:r>
            <w:r w:rsidRPr="00041F97">
              <w:rPr>
                <w:i/>
                <w:sz w:val="18"/>
                <w:szCs w:val="18"/>
              </w:rPr>
              <w:t xml:space="preserve">s between state and national entities could undermine efforts at promoting integrated planning approaches. </w:t>
            </w:r>
          </w:p>
        </w:tc>
      </w:tr>
      <w:tr w:rsidR="00267BE5" w:rsidRPr="0003763F" w14:paraId="2F23EEA8" w14:textId="77777777" w:rsidTr="00194AA1">
        <w:trPr>
          <w:trHeight w:val="457"/>
        </w:trPr>
        <w:tc>
          <w:tcPr>
            <w:tcW w:w="2605" w:type="dxa"/>
            <w:vMerge/>
            <w:shd w:val="pct12" w:color="auto" w:fill="auto"/>
            <w:tcMar>
              <w:left w:w="28" w:type="dxa"/>
              <w:right w:w="28" w:type="dxa"/>
            </w:tcMar>
          </w:tcPr>
          <w:p w14:paraId="2F38A8A6" w14:textId="77777777" w:rsidR="00267BE5" w:rsidRPr="0003763F" w:rsidRDefault="00267BE5" w:rsidP="001A16F2">
            <w:pPr>
              <w:jc w:val="left"/>
              <w:rPr>
                <w:rFonts w:ascii="Times New Roman" w:hAnsi="Times New Roman"/>
                <w:b/>
                <w:bCs/>
                <w:sz w:val="18"/>
                <w:szCs w:val="18"/>
              </w:rPr>
            </w:pPr>
          </w:p>
        </w:tc>
        <w:tc>
          <w:tcPr>
            <w:tcW w:w="3595" w:type="dxa"/>
            <w:tcMar>
              <w:left w:w="28" w:type="dxa"/>
              <w:right w:w="28" w:type="dxa"/>
            </w:tcMar>
          </w:tcPr>
          <w:p w14:paraId="2BAAC5E4" w14:textId="529F71BF" w:rsidR="00267BE5" w:rsidRPr="005C3E66" w:rsidRDefault="00267BE5" w:rsidP="00245B34">
            <w:pPr>
              <w:jc w:val="left"/>
              <w:rPr>
                <w:bCs/>
                <w:sz w:val="18"/>
                <w:szCs w:val="18"/>
              </w:rPr>
            </w:pPr>
            <w:r w:rsidRPr="005C3E66">
              <w:rPr>
                <w:bCs/>
                <w:sz w:val="18"/>
                <w:szCs w:val="18"/>
              </w:rPr>
              <w:t xml:space="preserve">Mandatory Indicator 1.3.2 Number of </w:t>
            </w:r>
            <w:r w:rsidR="00DF29AB">
              <w:rPr>
                <w:bCs/>
                <w:sz w:val="18"/>
                <w:szCs w:val="18"/>
              </w:rPr>
              <w:t>households</w:t>
            </w:r>
            <w:r w:rsidR="00DF29AB" w:rsidRPr="005C3E66">
              <w:rPr>
                <w:bCs/>
                <w:sz w:val="18"/>
                <w:szCs w:val="18"/>
              </w:rPr>
              <w:t xml:space="preserve"> </w:t>
            </w:r>
            <w:r w:rsidRPr="005C3E66">
              <w:rPr>
                <w:bCs/>
                <w:sz w:val="18"/>
                <w:szCs w:val="18"/>
              </w:rPr>
              <w:t>benefiting from strengthened livelihoods through solutions for improved management of natural resources and provision of ecosystem services</w:t>
            </w:r>
          </w:p>
        </w:tc>
        <w:tc>
          <w:tcPr>
            <w:tcW w:w="1558" w:type="dxa"/>
            <w:tcMar>
              <w:left w:w="28" w:type="dxa"/>
              <w:right w:w="28" w:type="dxa"/>
            </w:tcMar>
          </w:tcPr>
          <w:p w14:paraId="517690A5" w14:textId="5160B48F" w:rsidR="00267BE5" w:rsidRPr="00041F97" w:rsidRDefault="00267BE5" w:rsidP="000437E6">
            <w:pPr>
              <w:jc w:val="left"/>
              <w:rPr>
                <w:bCs/>
                <w:i/>
                <w:sz w:val="18"/>
                <w:szCs w:val="18"/>
              </w:rPr>
            </w:pPr>
            <w:r w:rsidRPr="00041F97">
              <w:rPr>
                <w:bCs/>
                <w:i/>
                <w:sz w:val="18"/>
                <w:szCs w:val="18"/>
              </w:rPr>
              <w:t xml:space="preserve">Number of households </w:t>
            </w:r>
            <w:r w:rsidR="00A57F29">
              <w:rPr>
                <w:bCs/>
                <w:i/>
                <w:sz w:val="18"/>
                <w:szCs w:val="18"/>
              </w:rPr>
              <w:t xml:space="preserve">currently </w:t>
            </w:r>
            <w:r w:rsidRPr="00041F97">
              <w:rPr>
                <w:bCs/>
                <w:i/>
                <w:sz w:val="18"/>
                <w:szCs w:val="18"/>
              </w:rPr>
              <w:t>participating in sustainable resource management and best practice approaches</w:t>
            </w:r>
            <w:r w:rsidR="00A57F29">
              <w:rPr>
                <w:bCs/>
                <w:i/>
                <w:sz w:val="18"/>
                <w:szCs w:val="18"/>
              </w:rPr>
              <w:t xml:space="preserve"> </w:t>
            </w:r>
            <w:r w:rsidR="00347DBE">
              <w:rPr>
                <w:bCs/>
                <w:i/>
                <w:sz w:val="18"/>
                <w:szCs w:val="18"/>
              </w:rPr>
              <w:t xml:space="preserve">– </w:t>
            </w:r>
            <w:r w:rsidR="00245B34">
              <w:rPr>
                <w:bCs/>
                <w:i/>
                <w:sz w:val="18"/>
                <w:szCs w:val="18"/>
              </w:rPr>
              <w:t>39</w:t>
            </w:r>
            <w:r w:rsidR="00347DBE">
              <w:rPr>
                <w:bCs/>
                <w:i/>
                <w:sz w:val="18"/>
                <w:szCs w:val="18"/>
              </w:rPr>
              <w:t xml:space="preserve">% of </w:t>
            </w:r>
            <w:r w:rsidR="00245B34">
              <w:rPr>
                <w:bCs/>
                <w:i/>
                <w:sz w:val="18"/>
                <w:szCs w:val="18"/>
              </w:rPr>
              <w:t xml:space="preserve">HHs </w:t>
            </w:r>
            <w:r w:rsidR="00347DBE">
              <w:rPr>
                <w:bCs/>
                <w:i/>
                <w:sz w:val="18"/>
                <w:szCs w:val="18"/>
              </w:rPr>
              <w:t xml:space="preserve">(in 7 </w:t>
            </w:r>
            <w:r w:rsidR="000437E6">
              <w:rPr>
                <w:bCs/>
                <w:i/>
                <w:sz w:val="18"/>
                <w:szCs w:val="18"/>
              </w:rPr>
              <w:t>Babeldoab</w:t>
            </w:r>
            <w:r w:rsidR="008078D4">
              <w:rPr>
                <w:bCs/>
                <w:i/>
                <w:sz w:val="18"/>
                <w:szCs w:val="18"/>
              </w:rPr>
              <w:t xml:space="preserve"> </w:t>
            </w:r>
            <w:r w:rsidR="00347DBE">
              <w:rPr>
                <w:bCs/>
                <w:i/>
                <w:sz w:val="18"/>
                <w:szCs w:val="18"/>
              </w:rPr>
              <w:t>states and P</w:t>
            </w:r>
            <w:r w:rsidR="008078D4">
              <w:rPr>
                <w:bCs/>
                <w:i/>
                <w:sz w:val="18"/>
                <w:szCs w:val="18"/>
              </w:rPr>
              <w:t>e</w:t>
            </w:r>
            <w:r w:rsidR="00347DBE">
              <w:rPr>
                <w:bCs/>
                <w:i/>
                <w:sz w:val="18"/>
                <w:szCs w:val="18"/>
              </w:rPr>
              <w:t>leliu) in 2016 (300 HHs</w:t>
            </w:r>
            <w:r w:rsidR="00347DBE">
              <w:rPr>
                <w:rStyle w:val="FootnoteReference"/>
                <w:bCs/>
                <w:i/>
                <w:szCs w:val="18"/>
              </w:rPr>
              <w:footnoteReference w:id="20"/>
            </w:r>
            <w:r w:rsidR="00347DBE">
              <w:rPr>
                <w:bCs/>
                <w:i/>
                <w:sz w:val="18"/>
                <w:szCs w:val="18"/>
              </w:rPr>
              <w:t>)</w:t>
            </w:r>
            <w:r w:rsidR="00347DBE">
              <w:rPr>
                <w:rStyle w:val="FootnoteReference"/>
                <w:bCs/>
                <w:i/>
                <w:szCs w:val="18"/>
              </w:rPr>
              <w:footnoteReference w:id="21"/>
            </w:r>
            <w:r w:rsidR="00347DBE">
              <w:rPr>
                <w:bCs/>
                <w:i/>
                <w:sz w:val="18"/>
                <w:szCs w:val="18"/>
              </w:rPr>
              <w:t xml:space="preserve">. </w:t>
            </w:r>
            <w:r w:rsidR="00A57F29">
              <w:rPr>
                <w:bCs/>
                <w:i/>
                <w:sz w:val="18"/>
                <w:szCs w:val="18"/>
              </w:rPr>
              <w:t xml:space="preserve">(baseline to be </w:t>
            </w:r>
            <w:r w:rsidR="00156458">
              <w:rPr>
                <w:bCs/>
                <w:i/>
                <w:sz w:val="18"/>
                <w:szCs w:val="18"/>
              </w:rPr>
              <w:t xml:space="preserve">validated  </w:t>
            </w:r>
            <w:r w:rsidR="00A57F29">
              <w:rPr>
                <w:bCs/>
                <w:i/>
                <w:sz w:val="18"/>
                <w:szCs w:val="18"/>
              </w:rPr>
              <w:t>in Year 1)</w:t>
            </w:r>
          </w:p>
        </w:tc>
        <w:tc>
          <w:tcPr>
            <w:tcW w:w="2020" w:type="dxa"/>
            <w:tcMar>
              <w:left w:w="28" w:type="dxa"/>
              <w:right w:w="28" w:type="dxa"/>
            </w:tcMar>
          </w:tcPr>
          <w:p w14:paraId="4C97FB75" w14:textId="524DD3DD" w:rsidR="00267BE5" w:rsidRPr="005C3E66" w:rsidRDefault="00A57F29" w:rsidP="000437E6">
            <w:pPr>
              <w:jc w:val="left"/>
              <w:rPr>
                <w:bCs/>
                <w:i/>
                <w:sz w:val="18"/>
                <w:szCs w:val="18"/>
              </w:rPr>
            </w:pPr>
            <w:r>
              <w:rPr>
                <w:bCs/>
                <w:i/>
                <w:sz w:val="18"/>
                <w:szCs w:val="18"/>
              </w:rPr>
              <w:t xml:space="preserve">At least </w:t>
            </w:r>
            <w:r w:rsidR="00245B34">
              <w:rPr>
                <w:bCs/>
                <w:i/>
                <w:sz w:val="18"/>
                <w:szCs w:val="18"/>
              </w:rPr>
              <w:t>45</w:t>
            </w:r>
            <w:r>
              <w:rPr>
                <w:bCs/>
                <w:i/>
                <w:sz w:val="18"/>
                <w:szCs w:val="18"/>
              </w:rPr>
              <w:t xml:space="preserve">% of </w:t>
            </w:r>
            <w:r w:rsidR="00245B34">
              <w:rPr>
                <w:bCs/>
                <w:i/>
                <w:sz w:val="18"/>
                <w:szCs w:val="18"/>
              </w:rPr>
              <w:t xml:space="preserve">HHs </w:t>
            </w:r>
            <w:r>
              <w:rPr>
                <w:bCs/>
                <w:i/>
                <w:sz w:val="18"/>
                <w:szCs w:val="18"/>
              </w:rPr>
              <w:t xml:space="preserve">in </w:t>
            </w:r>
            <w:r w:rsidR="000437E6">
              <w:rPr>
                <w:bCs/>
                <w:i/>
                <w:sz w:val="18"/>
                <w:szCs w:val="18"/>
              </w:rPr>
              <w:t xml:space="preserve">Babeldoab </w:t>
            </w:r>
            <w:r w:rsidR="00245B34">
              <w:rPr>
                <w:bCs/>
                <w:i/>
                <w:sz w:val="18"/>
                <w:szCs w:val="18"/>
              </w:rPr>
              <w:t xml:space="preserve">states </w:t>
            </w:r>
            <w:r>
              <w:rPr>
                <w:bCs/>
                <w:i/>
                <w:sz w:val="18"/>
                <w:szCs w:val="18"/>
              </w:rPr>
              <w:t xml:space="preserve">and Peleliu </w:t>
            </w:r>
            <w:r w:rsidR="00347DBE">
              <w:rPr>
                <w:bCs/>
                <w:i/>
                <w:sz w:val="18"/>
                <w:szCs w:val="18"/>
              </w:rPr>
              <w:t xml:space="preserve">(at least </w:t>
            </w:r>
            <w:r w:rsidR="00245B34">
              <w:rPr>
                <w:bCs/>
                <w:i/>
                <w:sz w:val="18"/>
                <w:szCs w:val="18"/>
              </w:rPr>
              <w:t>340HHs</w:t>
            </w:r>
            <w:r w:rsidR="00347DBE">
              <w:rPr>
                <w:bCs/>
                <w:i/>
                <w:sz w:val="18"/>
                <w:szCs w:val="18"/>
              </w:rPr>
              <w:t xml:space="preserve">) </w:t>
            </w:r>
            <w:r w:rsidRPr="00041F97">
              <w:rPr>
                <w:i/>
                <w:iCs/>
                <w:sz w:val="18"/>
                <w:szCs w:val="18"/>
              </w:rPr>
              <w:t>directly benefit through sustainable</w:t>
            </w:r>
            <w:r>
              <w:rPr>
                <w:i/>
                <w:iCs/>
                <w:sz w:val="18"/>
                <w:szCs w:val="18"/>
              </w:rPr>
              <w:t xml:space="preserve"> resource management approaches</w:t>
            </w:r>
            <w:r w:rsidRPr="00041F97">
              <w:rPr>
                <w:i/>
                <w:iCs/>
                <w:sz w:val="18"/>
                <w:szCs w:val="18"/>
              </w:rPr>
              <w:t xml:space="preserve"> and incomes  (At least 50% of the beneficiaries would be women</w:t>
            </w:r>
            <w:r w:rsidR="00245B34">
              <w:rPr>
                <w:i/>
                <w:iCs/>
                <w:sz w:val="18"/>
                <w:szCs w:val="18"/>
              </w:rPr>
              <w:t xml:space="preserve"> inclusive HHs</w:t>
            </w:r>
            <w:r w:rsidRPr="00041F97">
              <w:rPr>
                <w:i/>
                <w:iCs/>
                <w:sz w:val="18"/>
                <w:szCs w:val="18"/>
              </w:rPr>
              <w:t>)</w:t>
            </w:r>
          </w:p>
        </w:tc>
        <w:tc>
          <w:tcPr>
            <w:tcW w:w="1795" w:type="dxa"/>
            <w:tcMar>
              <w:left w:w="28" w:type="dxa"/>
              <w:right w:w="28" w:type="dxa"/>
            </w:tcMar>
          </w:tcPr>
          <w:p w14:paraId="7D969875" w14:textId="3146922B" w:rsidR="00267BE5" w:rsidRPr="00041F97" w:rsidRDefault="00267BE5" w:rsidP="00C22D0C">
            <w:pPr>
              <w:jc w:val="left"/>
              <w:rPr>
                <w:bCs/>
                <w:i/>
                <w:sz w:val="18"/>
                <w:szCs w:val="18"/>
              </w:rPr>
            </w:pPr>
            <w:r w:rsidRPr="00041F97">
              <w:rPr>
                <w:bCs/>
                <w:i/>
                <w:sz w:val="18"/>
                <w:szCs w:val="18"/>
              </w:rPr>
              <w:t xml:space="preserve">At least </w:t>
            </w:r>
            <w:r w:rsidR="00245B34">
              <w:rPr>
                <w:bCs/>
                <w:i/>
                <w:sz w:val="18"/>
                <w:szCs w:val="18"/>
              </w:rPr>
              <w:t>55</w:t>
            </w:r>
            <w:r w:rsidR="00A57F29">
              <w:rPr>
                <w:bCs/>
                <w:i/>
                <w:sz w:val="18"/>
                <w:szCs w:val="18"/>
              </w:rPr>
              <w:t xml:space="preserve">% of </w:t>
            </w:r>
            <w:r w:rsidR="00C22D0C">
              <w:rPr>
                <w:bCs/>
                <w:i/>
                <w:sz w:val="18"/>
                <w:szCs w:val="18"/>
              </w:rPr>
              <w:t xml:space="preserve">HHs </w:t>
            </w:r>
            <w:r w:rsidR="00A57F29">
              <w:rPr>
                <w:bCs/>
                <w:i/>
                <w:sz w:val="18"/>
                <w:szCs w:val="18"/>
              </w:rPr>
              <w:t xml:space="preserve">in Babeldoah </w:t>
            </w:r>
            <w:r w:rsidR="00C22D0C">
              <w:rPr>
                <w:bCs/>
                <w:i/>
                <w:sz w:val="18"/>
                <w:szCs w:val="18"/>
              </w:rPr>
              <w:t xml:space="preserve">states </w:t>
            </w:r>
            <w:r w:rsidR="00A57F29">
              <w:rPr>
                <w:bCs/>
                <w:i/>
                <w:sz w:val="18"/>
                <w:szCs w:val="18"/>
              </w:rPr>
              <w:t xml:space="preserve">and Peleliu </w:t>
            </w:r>
            <w:r w:rsidR="00347DBE">
              <w:rPr>
                <w:bCs/>
                <w:i/>
                <w:sz w:val="18"/>
                <w:szCs w:val="18"/>
              </w:rPr>
              <w:t xml:space="preserve">(at least </w:t>
            </w:r>
            <w:r w:rsidR="00245B34">
              <w:rPr>
                <w:bCs/>
                <w:i/>
                <w:sz w:val="18"/>
                <w:szCs w:val="18"/>
              </w:rPr>
              <w:t>425HHs</w:t>
            </w:r>
            <w:r w:rsidR="00347DBE">
              <w:rPr>
                <w:bCs/>
                <w:i/>
                <w:sz w:val="18"/>
                <w:szCs w:val="18"/>
              </w:rPr>
              <w:t xml:space="preserve">) </w:t>
            </w:r>
            <w:r w:rsidRPr="00041F97">
              <w:rPr>
                <w:i/>
                <w:iCs/>
                <w:sz w:val="18"/>
                <w:szCs w:val="18"/>
              </w:rPr>
              <w:t>directly benefit through sustainable</w:t>
            </w:r>
            <w:r w:rsidR="00A57F29">
              <w:rPr>
                <w:i/>
                <w:iCs/>
                <w:sz w:val="18"/>
                <w:szCs w:val="18"/>
              </w:rPr>
              <w:t xml:space="preserve"> resource management approaches</w:t>
            </w:r>
            <w:r w:rsidRPr="00041F97">
              <w:rPr>
                <w:i/>
                <w:iCs/>
                <w:sz w:val="18"/>
                <w:szCs w:val="18"/>
              </w:rPr>
              <w:t xml:space="preserve"> and incomes  (At least 50% of the beneficiaries would be women</w:t>
            </w:r>
            <w:r w:rsidR="00245B34">
              <w:rPr>
                <w:i/>
                <w:iCs/>
                <w:sz w:val="18"/>
                <w:szCs w:val="18"/>
              </w:rPr>
              <w:t xml:space="preserve"> inclusive HHs</w:t>
            </w:r>
            <w:r w:rsidRPr="00041F97">
              <w:rPr>
                <w:i/>
                <w:iCs/>
                <w:sz w:val="18"/>
                <w:szCs w:val="18"/>
              </w:rPr>
              <w:t>)</w:t>
            </w:r>
          </w:p>
        </w:tc>
        <w:tc>
          <w:tcPr>
            <w:tcW w:w="2817" w:type="dxa"/>
            <w:vMerge/>
            <w:tcMar>
              <w:left w:w="28" w:type="dxa"/>
              <w:right w:w="28" w:type="dxa"/>
            </w:tcMar>
          </w:tcPr>
          <w:p w14:paraId="1563C25C" w14:textId="77777777" w:rsidR="00267BE5" w:rsidRPr="005C3E66" w:rsidRDefault="00267BE5" w:rsidP="001A16F2">
            <w:pPr>
              <w:jc w:val="left"/>
              <w:rPr>
                <w:bCs/>
                <w:i/>
                <w:sz w:val="18"/>
                <w:szCs w:val="18"/>
              </w:rPr>
            </w:pPr>
          </w:p>
        </w:tc>
      </w:tr>
      <w:tr w:rsidR="00267BE5" w:rsidRPr="0003763F" w14:paraId="59581ABB" w14:textId="77777777" w:rsidTr="00194AA1">
        <w:trPr>
          <w:trHeight w:val="377"/>
        </w:trPr>
        <w:tc>
          <w:tcPr>
            <w:tcW w:w="2605" w:type="dxa"/>
            <w:vMerge/>
            <w:shd w:val="pct12" w:color="auto" w:fill="auto"/>
            <w:tcMar>
              <w:left w:w="28" w:type="dxa"/>
              <w:right w:w="28" w:type="dxa"/>
            </w:tcMar>
          </w:tcPr>
          <w:p w14:paraId="10877575" w14:textId="77777777" w:rsidR="00267BE5" w:rsidRPr="0003763F" w:rsidRDefault="00267BE5" w:rsidP="001A16F2">
            <w:pPr>
              <w:jc w:val="left"/>
              <w:rPr>
                <w:rFonts w:ascii="Times New Roman" w:hAnsi="Times New Roman"/>
                <w:b/>
                <w:bCs/>
                <w:sz w:val="18"/>
                <w:szCs w:val="18"/>
              </w:rPr>
            </w:pPr>
          </w:p>
        </w:tc>
        <w:tc>
          <w:tcPr>
            <w:tcW w:w="3595" w:type="dxa"/>
            <w:tcMar>
              <w:left w:w="28" w:type="dxa"/>
              <w:right w:w="28" w:type="dxa"/>
            </w:tcMar>
          </w:tcPr>
          <w:p w14:paraId="37B1B57D" w14:textId="0CA4B591" w:rsidR="00267BE5" w:rsidRPr="005C3E66" w:rsidRDefault="00267BE5" w:rsidP="00796CB2">
            <w:pPr>
              <w:jc w:val="left"/>
              <w:rPr>
                <w:bCs/>
                <w:i/>
                <w:sz w:val="18"/>
                <w:szCs w:val="18"/>
              </w:rPr>
            </w:pPr>
            <w:r w:rsidRPr="005C3E66">
              <w:rPr>
                <w:bCs/>
                <w:sz w:val="18"/>
                <w:szCs w:val="18"/>
              </w:rPr>
              <w:t xml:space="preserve">Mandatory indicator 2.5.1 Extent to which Institutional frameworks are in place for </w:t>
            </w:r>
            <w:r>
              <w:rPr>
                <w:bCs/>
                <w:sz w:val="18"/>
                <w:szCs w:val="18"/>
              </w:rPr>
              <w:t xml:space="preserve">integration of </w:t>
            </w:r>
            <w:r w:rsidRPr="005C3E66">
              <w:rPr>
                <w:bCs/>
                <w:sz w:val="18"/>
                <w:szCs w:val="18"/>
              </w:rPr>
              <w:t>conservation, sustainable natural resource use, control and management of IAS, biodiversity and ecosystems and improved livelihoods</w:t>
            </w:r>
            <w:r>
              <w:rPr>
                <w:bCs/>
                <w:sz w:val="18"/>
                <w:szCs w:val="18"/>
              </w:rPr>
              <w:t xml:space="preserve"> into </w:t>
            </w:r>
            <w:r w:rsidR="00796CB2">
              <w:rPr>
                <w:bCs/>
                <w:sz w:val="18"/>
                <w:szCs w:val="18"/>
              </w:rPr>
              <w:t xml:space="preserve">integrated </w:t>
            </w:r>
            <w:r>
              <w:rPr>
                <w:bCs/>
                <w:sz w:val="18"/>
                <w:szCs w:val="18"/>
              </w:rPr>
              <w:t>land</w:t>
            </w:r>
            <w:r w:rsidR="00796CB2">
              <w:rPr>
                <w:bCs/>
                <w:sz w:val="18"/>
                <w:szCs w:val="18"/>
              </w:rPr>
              <w:t>/</w:t>
            </w:r>
            <w:r>
              <w:rPr>
                <w:bCs/>
                <w:sz w:val="18"/>
                <w:szCs w:val="18"/>
              </w:rPr>
              <w:t xml:space="preserve"> seascape planning and management</w:t>
            </w:r>
          </w:p>
        </w:tc>
        <w:tc>
          <w:tcPr>
            <w:tcW w:w="1558" w:type="dxa"/>
            <w:tcMar>
              <w:left w:w="28" w:type="dxa"/>
              <w:right w:w="28" w:type="dxa"/>
            </w:tcMar>
          </w:tcPr>
          <w:p w14:paraId="6135E68D" w14:textId="77777777" w:rsidR="00347DBE" w:rsidRDefault="00347DBE" w:rsidP="00347DBE">
            <w:pPr>
              <w:jc w:val="left"/>
              <w:rPr>
                <w:bCs/>
                <w:i/>
                <w:sz w:val="18"/>
                <w:szCs w:val="18"/>
              </w:rPr>
            </w:pPr>
            <w:r>
              <w:rPr>
                <w:bCs/>
                <w:i/>
                <w:sz w:val="18"/>
                <w:szCs w:val="18"/>
              </w:rPr>
              <w:t>No states have comprehensive landscape and seascape planning and management approaches; 4 of 16 states have partial plans or zones (Koror, Airai, Melekeok, Ngardmau)</w:t>
            </w:r>
          </w:p>
          <w:p w14:paraId="378C47CA" w14:textId="17812FCE" w:rsidR="00267BE5" w:rsidRPr="00041F97" w:rsidRDefault="00267BE5" w:rsidP="00B26636">
            <w:pPr>
              <w:jc w:val="left"/>
              <w:rPr>
                <w:bCs/>
                <w:i/>
                <w:sz w:val="18"/>
                <w:szCs w:val="18"/>
              </w:rPr>
            </w:pPr>
          </w:p>
        </w:tc>
        <w:tc>
          <w:tcPr>
            <w:tcW w:w="2020" w:type="dxa"/>
            <w:tcMar>
              <w:left w:w="28" w:type="dxa"/>
              <w:right w:w="28" w:type="dxa"/>
            </w:tcMar>
          </w:tcPr>
          <w:p w14:paraId="1BAADFE2" w14:textId="12AC3EDA" w:rsidR="00267BE5" w:rsidRPr="005C3E66" w:rsidRDefault="00796CB2" w:rsidP="00796CB2">
            <w:pPr>
              <w:jc w:val="left"/>
              <w:rPr>
                <w:bCs/>
                <w:i/>
                <w:sz w:val="18"/>
                <w:szCs w:val="18"/>
              </w:rPr>
            </w:pPr>
            <w:r>
              <w:rPr>
                <w:bCs/>
                <w:i/>
                <w:sz w:val="18"/>
                <w:szCs w:val="18"/>
              </w:rPr>
              <w:t xml:space="preserve">Integrated </w:t>
            </w:r>
            <w:r w:rsidR="00A57F29">
              <w:rPr>
                <w:bCs/>
                <w:i/>
                <w:sz w:val="18"/>
                <w:szCs w:val="18"/>
              </w:rPr>
              <w:t xml:space="preserve">Landscape/seascape </w:t>
            </w:r>
            <w:r w:rsidR="008D0098">
              <w:rPr>
                <w:bCs/>
                <w:i/>
                <w:sz w:val="18"/>
                <w:szCs w:val="18"/>
              </w:rPr>
              <w:t xml:space="preserve">management </w:t>
            </w:r>
            <w:r w:rsidR="00A57F29">
              <w:rPr>
                <w:bCs/>
                <w:i/>
                <w:sz w:val="18"/>
                <w:szCs w:val="18"/>
              </w:rPr>
              <w:t>“</w:t>
            </w:r>
            <w:r>
              <w:rPr>
                <w:bCs/>
                <w:i/>
                <w:sz w:val="18"/>
                <w:szCs w:val="18"/>
              </w:rPr>
              <w:t>strategy</w:t>
            </w:r>
            <w:r w:rsidR="00A57F29">
              <w:rPr>
                <w:bCs/>
                <w:i/>
                <w:sz w:val="18"/>
                <w:szCs w:val="18"/>
              </w:rPr>
              <w:t>”</w:t>
            </w:r>
            <w:r w:rsidR="008D0098">
              <w:rPr>
                <w:bCs/>
                <w:i/>
                <w:sz w:val="18"/>
                <w:szCs w:val="18"/>
              </w:rPr>
              <w:t xml:space="preserve"> for Babeldoab Island</w:t>
            </w:r>
            <w:r w:rsidR="00A57F29">
              <w:rPr>
                <w:bCs/>
                <w:i/>
                <w:sz w:val="18"/>
                <w:szCs w:val="18"/>
              </w:rPr>
              <w:t xml:space="preserve"> and </w:t>
            </w:r>
            <w:r>
              <w:rPr>
                <w:bCs/>
                <w:i/>
                <w:sz w:val="18"/>
                <w:szCs w:val="18"/>
              </w:rPr>
              <w:t xml:space="preserve">ILSMPs </w:t>
            </w:r>
            <w:r w:rsidR="00A57F29">
              <w:rPr>
                <w:bCs/>
                <w:i/>
                <w:sz w:val="18"/>
                <w:szCs w:val="18"/>
              </w:rPr>
              <w:t>developed for at least 3 states</w:t>
            </w:r>
          </w:p>
        </w:tc>
        <w:tc>
          <w:tcPr>
            <w:tcW w:w="1795" w:type="dxa"/>
            <w:tcMar>
              <w:left w:w="28" w:type="dxa"/>
              <w:right w:w="28" w:type="dxa"/>
            </w:tcMar>
          </w:tcPr>
          <w:p w14:paraId="055BB03B" w14:textId="6A098904" w:rsidR="00267BE5" w:rsidRPr="005C3E66" w:rsidRDefault="00B26636" w:rsidP="00A57F29">
            <w:pPr>
              <w:jc w:val="left"/>
              <w:rPr>
                <w:bCs/>
                <w:i/>
                <w:sz w:val="18"/>
                <w:szCs w:val="18"/>
              </w:rPr>
            </w:pPr>
            <w:r>
              <w:rPr>
                <w:bCs/>
                <w:i/>
                <w:sz w:val="18"/>
                <w:szCs w:val="18"/>
              </w:rPr>
              <w:t xml:space="preserve">Multiple use and sustainable landscape and seascape approaches institutionalized by </w:t>
            </w:r>
            <w:r w:rsidR="00C65AD3">
              <w:rPr>
                <w:bCs/>
                <w:i/>
                <w:sz w:val="18"/>
                <w:szCs w:val="18"/>
              </w:rPr>
              <w:t xml:space="preserve">national </w:t>
            </w:r>
            <w:r>
              <w:rPr>
                <w:bCs/>
                <w:i/>
                <w:sz w:val="18"/>
                <w:szCs w:val="18"/>
              </w:rPr>
              <w:t xml:space="preserve">legislative, policy, </w:t>
            </w:r>
            <w:r w:rsidR="00C65AD3">
              <w:rPr>
                <w:bCs/>
                <w:i/>
                <w:sz w:val="18"/>
                <w:szCs w:val="18"/>
              </w:rPr>
              <w:t xml:space="preserve">and institutional arrangements and </w:t>
            </w:r>
            <w:r>
              <w:rPr>
                <w:bCs/>
                <w:i/>
                <w:sz w:val="18"/>
                <w:szCs w:val="18"/>
              </w:rPr>
              <w:t xml:space="preserve">planning and </w:t>
            </w:r>
            <w:r w:rsidR="00C65AD3">
              <w:rPr>
                <w:bCs/>
                <w:i/>
                <w:sz w:val="18"/>
                <w:szCs w:val="18"/>
              </w:rPr>
              <w:t xml:space="preserve">practice effected in </w:t>
            </w:r>
            <w:r w:rsidR="00A57F29">
              <w:rPr>
                <w:bCs/>
                <w:i/>
                <w:sz w:val="18"/>
                <w:szCs w:val="18"/>
              </w:rPr>
              <w:t>9</w:t>
            </w:r>
            <w:r w:rsidR="00C65AD3">
              <w:rPr>
                <w:bCs/>
                <w:i/>
                <w:sz w:val="18"/>
                <w:szCs w:val="18"/>
              </w:rPr>
              <w:t xml:space="preserve"> states</w:t>
            </w:r>
          </w:p>
        </w:tc>
        <w:tc>
          <w:tcPr>
            <w:tcW w:w="2817" w:type="dxa"/>
            <w:vMerge/>
            <w:tcMar>
              <w:left w:w="28" w:type="dxa"/>
              <w:right w:w="28" w:type="dxa"/>
            </w:tcMar>
          </w:tcPr>
          <w:p w14:paraId="298473B8" w14:textId="77777777" w:rsidR="00267BE5" w:rsidRPr="005C3E66" w:rsidRDefault="00267BE5" w:rsidP="001A16F2">
            <w:pPr>
              <w:jc w:val="left"/>
              <w:rPr>
                <w:bCs/>
                <w:i/>
                <w:sz w:val="18"/>
                <w:szCs w:val="18"/>
              </w:rPr>
            </w:pPr>
          </w:p>
        </w:tc>
      </w:tr>
      <w:tr w:rsidR="00415B14" w:rsidRPr="0003763F" w14:paraId="085B4516" w14:textId="77777777" w:rsidTr="00194AA1">
        <w:trPr>
          <w:trHeight w:val="310"/>
        </w:trPr>
        <w:tc>
          <w:tcPr>
            <w:tcW w:w="2605" w:type="dxa"/>
            <w:vMerge w:val="restart"/>
            <w:shd w:val="pct12" w:color="auto" w:fill="auto"/>
            <w:tcMar>
              <w:left w:w="28" w:type="dxa"/>
              <w:right w:w="28" w:type="dxa"/>
            </w:tcMar>
          </w:tcPr>
          <w:p w14:paraId="24065D50" w14:textId="0EC5ABF1" w:rsidR="00415B14" w:rsidRPr="0003763F" w:rsidRDefault="00415B14" w:rsidP="001A16F2">
            <w:pPr>
              <w:jc w:val="left"/>
              <w:rPr>
                <w:rFonts w:ascii="Times New Roman" w:hAnsi="Times New Roman"/>
                <w:b/>
                <w:bCs/>
                <w:sz w:val="18"/>
                <w:szCs w:val="18"/>
              </w:rPr>
            </w:pPr>
            <w:r w:rsidRPr="0003763F">
              <w:rPr>
                <w:rFonts w:ascii="Times New Roman" w:hAnsi="Times New Roman"/>
                <w:b/>
                <w:bCs/>
                <w:sz w:val="18"/>
                <w:szCs w:val="18"/>
              </w:rPr>
              <w:t>Outcome</w:t>
            </w:r>
            <w:r>
              <w:rPr>
                <w:rStyle w:val="FootnoteReference"/>
                <w:b/>
                <w:bCs/>
                <w:szCs w:val="18"/>
              </w:rPr>
              <w:footnoteReference w:id="22"/>
            </w:r>
            <w:r w:rsidRPr="0003763F">
              <w:rPr>
                <w:rFonts w:ascii="Times New Roman" w:hAnsi="Times New Roman"/>
                <w:b/>
                <w:bCs/>
                <w:sz w:val="18"/>
                <w:szCs w:val="18"/>
              </w:rPr>
              <w:t xml:space="preserve"> 1</w:t>
            </w:r>
          </w:p>
          <w:p w14:paraId="233696B0" w14:textId="6AD854BF" w:rsidR="00415B14" w:rsidRPr="00F41624" w:rsidRDefault="001F10C9" w:rsidP="001F10C9">
            <w:pPr>
              <w:jc w:val="left"/>
              <w:rPr>
                <w:rFonts w:ascii="Times New Roman" w:hAnsi="Times New Roman"/>
                <w:bCs/>
                <w:sz w:val="18"/>
                <w:szCs w:val="18"/>
              </w:rPr>
            </w:pPr>
            <w:r>
              <w:rPr>
                <w:sz w:val="18"/>
                <w:szCs w:val="18"/>
              </w:rPr>
              <w:t>Enhanced n</w:t>
            </w:r>
            <w:r w:rsidR="00415B14" w:rsidRPr="00F41624">
              <w:rPr>
                <w:sz w:val="18"/>
                <w:szCs w:val="18"/>
              </w:rPr>
              <w:t>ational institutional framework for integrated planning and management of land and seascapes</w:t>
            </w:r>
          </w:p>
        </w:tc>
        <w:tc>
          <w:tcPr>
            <w:tcW w:w="3595" w:type="dxa"/>
            <w:tcMar>
              <w:left w:w="28" w:type="dxa"/>
              <w:right w:w="28" w:type="dxa"/>
            </w:tcMar>
          </w:tcPr>
          <w:p w14:paraId="003FA280" w14:textId="2714E33C" w:rsidR="00415B14" w:rsidRPr="005C3E66" w:rsidRDefault="00415B14" w:rsidP="00796CB2">
            <w:pPr>
              <w:jc w:val="left"/>
              <w:rPr>
                <w:bCs/>
                <w:sz w:val="18"/>
                <w:szCs w:val="18"/>
              </w:rPr>
            </w:pPr>
            <w:r w:rsidRPr="005C3E66">
              <w:rPr>
                <w:bCs/>
                <w:sz w:val="18"/>
                <w:szCs w:val="18"/>
              </w:rPr>
              <w:t xml:space="preserve">Indicator 5: </w:t>
            </w:r>
            <w:r w:rsidR="0091286E">
              <w:rPr>
                <w:bCs/>
                <w:sz w:val="18"/>
                <w:szCs w:val="18"/>
              </w:rPr>
              <w:t>Level of</w:t>
            </w:r>
            <w:r w:rsidRPr="005C3E66">
              <w:rPr>
                <w:bCs/>
                <w:sz w:val="18"/>
                <w:szCs w:val="18"/>
              </w:rPr>
              <w:t xml:space="preserve"> </w:t>
            </w:r>
            <w:r w:rsidRPr="005C3E66">
              <w:rPr>
                <w:sz w:val="18"/>
                <w:szCs w:val="18"/>
              </w:rPr>
              <w:t>institutional capacities for planning, implementation and monitoring integrated land</w:t>
            </w:r>
            <w:r w:rsidR="00796CB2">
              <w:rPr>
                <w:sz w:val="18"/>
                <w:szCs w:val="18"/>
              </w:rPr>
              <w:t>/</w:t>
            </w:r>
            <w:r w:rsidRPr="005C3E66">
              <w:rPr>
                <w:sz w:val="18"/>
                <w:szCs w:val="18"/>
              </w:rPr>
              <w:t xml:space="preserve">seascape </w:t>
            </w:r>
            <w:r w:rsidR="00796CB2">
              <w:rPr>
                <w:sz w:val="18"/>
                <w:szCs w:val="18"/>
              </w:rPr>
              <w:t xml:space="preserve">management </w:t>
            </w:r>
            <w:r w:rsidRPr="005C3E66">
              <w:rPr>
                <w:sz w:val="18"/>
                <w:szCs w:val="18"/>
              </w:rPr>
              <w:t>plans as measured by UNDP land</w:t>
            </w:r>
            <w:r w:rsidR="00796CB2">
              <w:rPr>
                <w:sz w:val="18"/>
                <w:szCs w:val="18"/>
              </w:rPr>
              <w:t>/</w:t>
            </w:r>
            <w:r w:rsidRPr="005C3E66">
              <w:rPr>
                <w:sz w:val="18"/>
                <w:szCs w:val="18"/>
              </w:rPr>
              <w:t xml:space="preserve">seascape management scorecard </w:t>
            </w:r>
          </w:p>
        </w:tc>
        <w:tc>
          <w:tcPr>
            <w:tcW w:w="1558" w:type="dxa"/>
            <w:tcMar>
              <w:left w:w="28" w:type="dxa"/>
              <w:right w:w="28" w:type="dxa"/>
            </w:tcMar>
          </w:tcPr>
          <w:p w14:paraId="25E955F7" w14:textId="675E43D8" w:rsidR="00415B14" w:rsidRDefault="0091286E" w:rsidP="00E701C2">
            <w:pPr>
              <w:jc w:val="left"/>
              <w:rPr>
                <w:bCs/>
                <w:i/>
                <w:sz w:val="18"/>
                <w:szCs w:val="18"/>
              </w:rPr>
            </w:pPr>
            <w:r w:rsidRPr="00041F97">
              <w:rPr>
                <w:bCs/>
                <w:i/>
                <w:sz w:val="18"/>
                <w:szCs w:val="18"/>
              </w:rPr>
              <w:t>Limited institutional capacities for planning, implementation and monitoring of multiple use landscape and seascape</w:t>
            </w:r>
            <w:r w:rsidR="00392B0A" w:rsidRPr="00041F97">
              <w:rPr>
                <w:bCs/>
                <w:i/>
                <w:sz w:val="18"/>
                <w:szCs w:val="18"/>
              </w:rPr>
              <w:t>s</w:t>
            </w:r>
            <w:r w:rsidRPr="00041F97">
              <w:rPr>
                <w:bCs/>
                <w:i/>
                <w:sz w:val="18"/>
                <w:szCs w:val="18"/>
              </w:rPr>
              <w:t xml:space="preserve"> </w:t>
            </w:r>
            <w:r w:rsidR="00A57F29">
              <w:rPr>
                <w:bCs/>
                <w:i/>
                <w:sz w:val="18"/>
                <w:szCs w:val="18"/>
              </w:rPr>
              <w:t xml:space="preserve">as measured by </w:t>
            </w:r>
            <w:r w:rsidR="00A57F29" w:rsidRPr="00041F97">
              <w:rPr>
                <w:bCs/>
                <w:i/>
                <w:sz w:val="18"/>
                <w:szCs w:val="18"/>
              </w:rPr>
              <w:t>UNDP Land</w:t>
            </w:r>
            <w:r w:rsidR="00796CB2">
              <w:rPr>
                <w:bCs/>
                <w:i/>
                <w:sz w:val="18"/>
                <w:szCs w:val="18"/>
              </w:rPr>
              <w:t>/</w:t>
            </w:r>
            <w:r w:rsidR="00A57F29" w:rsidRPr="00041F97">
              <w:rPr>
                <w:bCs/>
                <w:i/>
                <w:sz w:val="18"/>
                <w:szCs w:val="18"/>
              </w:rPr>
              <w:t xml:space="preserve"> Seascape Capacity Development Scorecard</w:t>
            </w:r>
            <w:r w:rsidR="00A57F29">
              <w:rPr>
                <w:bCs/>
                <w:i/>
                <w:sz w:val="18"/>
                <w:szCs w:val="18"/>
              </w:rPr>
              <w:t xml:space="preserve"> </w:t>
            </w:r>
            <w:r w:rsidR="00E701C2">
              <w:rPr>
                <w:bCs/>
                <w:i/>
                <w:sz w:val="18"/>
                <w:szCs w:val="18"/>
              </w:rPr>
              <w:t>baseline:</w:t>
            </w:r>
          </w:p>
          <w:p w14:paraId="434CB709" w14:textId="5AE7ED9F" w:rsidR="00E701C2" w:rsidRDefault="00E701C2" w:rsidP="00E701C2">
            <w:pPr>
              <w:jc w:val="left"/>
              <w:rPr>
                <w:bCs/>
                <w:i/>
                <w:sz w:val="18"/>
                <w:szCs w:val="18"/>
              </w:rPr>
            </w:pPr>
            <w:r>
              <w:rPr>
                <w:bCs/>
                <w:i/>
                <w:sz w:val="18"/>
                <w:szCs w:val="18"/>
              </w:rPr>
              <w:t xml:space="preserve">(i) National level </w:t>
            </w:r>
            <w:r w:rsidR="008F4D6F">
              <w:rPr>
                <w:bCs/>
                <w:i/>
                <w:sz w:val="18"/>
                <w:szCs w:val="18"/>
              </w:rPr>
              <w:t xml:space="preserve">landscape/seascape </w:t>
            </w:r>
            <w:r w:rsidR="00181820">
              <w:rPr>
                <w:bCs/>
                <w:i/>
                <w:sz w:val="18"/>
                <w:szCs w:val="18"/>
              </w:rPr>
              <w:t xml:space="preserve">capacity score </w:t>
            </w:r>
            <w:r w:rsidR="008F4D6F">
              <w:rPr>
                <w:bCs/>
                <w:i/>
                <w:sz w:val="18"/>
                <w:szCs w:val="18"/>
              </w:rPr>
              <w:t>16/63</w:t>
            </w:r>
          </w:p>
          <w:p w14:paraId="0B4A852F" w14:textId="0E93D37E" w:rsidR="008F4D6F" w:rsidRDefault="008F4D6F" w:rsidP="00E701C2">
            <w:pPr>
              <w:jc w:val="left"/>
              <w:rPr>
                <w:bCs/>
                <w:i/>
                <w:sz w:val="18"/>
                <w:szCs w:val="18"/>
              </w:rPr>
            </w:pPr>
            <w:r>
              <w:rPr>
                <w:bCs/>
                <w:i/>
                <w:sz w:val="18"/>
                <w:szCs w:val="18"/>
              </w:rPr>
              <w:t xml:space="preserve">(ii) State level average </w:t>
            </w:r>
            <w:r w:rsidR="00181820">
              <w:rPr>
                <w:bCs/>
                <w:i/>
                <w:sz w:val="18"/>
                <w:szCs w:val="18"/>
              </w:rPr>
              <w:t xml:space="preserve">score </w:t>
            </w:r>
            <w:r>
              <w:rPr>
                <w:bCs/>
                <w:i/>
                <w:sz w:val="18"/>
                <w:szCs w:val="18"/>
              </w:rPr>
              <w:t xml:space="preserve">landscape/seascape </w:t>
            </w:r>
            <w:r w:rsidR="00181820">
              <w:rPr>
                <w:bCs/>
                <w:i/>
                <w:sz w:val="18"/>
                <w:szCs w:val="18"/>
              </w:rPr>
              <w:t xml:space="preserve">capacity </w:t>
            </w:r>
            <w:r w:rsidR="00CE3A02">
              <w:rPr>
                <w:bCs/>
                <w:i/>
                <w:sz w:val="18"/>
                <w:szCs w:val="18"/>
              </w:rPr>
              <w:t>15</w:t>
            </w:r>
            <w:r>
              <w:rPr>
                <w:bCs/>
                <w:i/>
                <w:sz w:val="18"/>
                <w:szCs w:val="18"/>
              </w:rPr>
              <w:t xml:space="preserve">/60 </w:t>
            </w:r>
          </w:p>
          <w:p w14:paraId="734A102A" w14:textId="58253D5F" w:rsidR="008F4D6F" w:rsidRDefault="008F4D6F" w:rsidP="00E701C2">
            <w:pPr>
              <w:jc w:val="left"/>
              <w:rPr>
                <w:bCs/>
                <w:i/>
                <w:sz w:val="18"/>
                <w:szCs w:val="18"/>
              </w:rPr>
            </w:pPr>
            <w:r>
              <w:rPr>
                <w:bCs/>
                <w:i/>
                <w:sz w:val="18"/>
                <w:szCs w:val="18"/>
              </w:rPr>
              <w:t xml:space="preserve">(iii) National Environmental </w:t>
            </w:r>
            <w:r>
              <w:rPr>
                <w:bCs/>
                <w:i/>
                <w:sz w:val="18"/>
                <w:szCs w:val="18"/>
              </w:rPr>
              <w:lastRenderedPageBreak/>
              <w:t xml:space="preserve">Management </w:t>
            </w:r>
            <w:r w:rsidR="00181820">
              <w:rPr>
                <w:bCs/>
                <w:i/>
                <w:sz w:val="18"/>
                <w:szCs w:val="18"/>
              </w:rPr>
              <w:t xml:space="preserve">score </w:t>
            </w:r>
            <w:r>
              <w:rPr>
                <w:bCs/>
                <w:i/>
                <w:sz w:val="18"/>
                <w:szCs w:val="18"/>
              </w:rPr>
              <w:t>22/45</w:t>
            </w:r>
          </w:p>
          <w:p w14:paraId="2449C3B2" w14:textId="00321BE5" w:rsidR="00181820" w:rsidRPr="00041F97" w:rsidRDefault="00181820" w:rsidP="00E701C2">
            <w:pPr>
              <w:jc w:val="left"/>
              <w:rPr>
                <w:bCs/>
                <w:i/>
                <w:sz w:val="18"/>
                <w:szCs w:val="18"/>
              </w:rPr>
            </w:pPr>
            <w:r>
              <w:rPr>
                <w:bCs/>
                <w:i/>
                <w:sz w:val="18"/>
                <w:szCs w:val="18"/>
              </w:rPr>
              <w:t>(iv) National biosecurity capacity score 15/45</w:t>
            </w:r>
          </w:p>
        </w:tc>
        <w:tc>
          <w:tcPr>
            <w:tcW w:w="2020" w:type="dxa"/>
            <w:tcMar>
              <w:left w:w="28" w:type="dxa"/>
              <w:right w:w="28" w:type="dxa"/>
            </w:tcMar>
          </w:tcPr>
          <w:p w14:paraId="3CE54A2C" w14:textId="1B27073E" w:rsidR="00415B14" w:rsidRPr="005C3E66" w:rsidRDefault="00A57F29" w:rsidP="00CE3A02">
            <w:pPr>
              <w:jc w:val="left"/>
              <w:rPr>
                <w:bCs/>
                <w:i/>
                <w:sz w:val="18"/>
                <w:szCs w:val="18"/>
              </w:rPr>
            </w:pPr>
            <w:r w:rsidRPr="00041F97">
              <w:rPr>
                <w:bCs/>
                <w:i/>
                <w:sz w:val="18"/>
                <w:szCs w:val="18"/>
              </w:rPr>
              <w:lastRenderedPageBreak/>
              <w:t xml:space="preserve">Increase of institutional capacity as measured by a </w:t>
            </w:r>
            <w:r w:rsidR="00CE3A02">
              <w:rPr>
                <w:bCs/>
                <w:i/>
                <w:sz w:val="18"/>
                <w:szCs w:val="18"/>
              </w:rPr>
              <w:t>10</w:t>
            </w:r>
            <w:r w:rsidRPr="00041F97">
              <w:rPr>
                <w:bCs/>
                <w:i/>
                <w:sz w:val="18"/>
                <w:szCs w:val="18"/>
              </w:rPr>
              <w:t xml:space="preserve">% increase in UNDP Landscape and Seascape Capacity Development Scorecard </w:t>
            </w:r>
            <w:r w:rsidR="00CE3A02">
              <w:rPr>
                <w:bCs/>
                <w:i/>
                <w:sz w:val="18"/>
                <w:szCs w:val="18"/>
              </w:rPr>
              <w:t xml:space="preserve">and National Environmental Management </w:t>
            </w:r>
            <w:r w:rsidRPr="00041F97">
              <w:rPr>
                <w:bCs/>
                <w:i/>
                <w:sz w:val="18"/>
                <w:szCs w:val="18"/>
              </w:rPr>
              <w:t xml:space="preserve">baseline value </w:t>
            </w:r>
          </w:p>
        </w:tc>
        <w:tc>
          <w:tcPr>
            <w:tcW w:w="1795" w:type="dxa"/>
            <w:tcMar>
              <w:left w:w="28" w:type="dxa"/>
              <w:right w:w="28" w:type="dxa"/>
            </w:tcMar>
          </w:tcPr>
          <w:p w14:paraId="435B5F4A" w14:textId="000A93FF" w:rsidR="00415B14" w:rsidRPr="00041F97" w:rsidRDefault="00CE3A02" w:rsidP="00BD3BCB">
            <w:pPr>
              <w:spacing w:after="0"/>
              <w:jc w:val="left"/>
              <w:rPr>
                <w:bCs/>
                <w:i/>
                <w:sz w:val="18"/>
                <w:szCs w:val="18"/>
              </w:rPr>
            </w:pPr>
            <w:r>
              <w:rPr>
                <w:bCs/>
                <w:i/>
                <w:sz w:val="18"/>
                <w:szCs w:val="18"/>
              </w:rPr>
              <w:t xml:space="preserve">Average </w:t>
            </w:r>
            <w:r w:rsidR="0091286E" w:rsidRPr="00041F97">
              <w:rPr>
                <w:bCs/>
                <w:i/>
                <w:sz w:val="18"/>
                <w:szCs w:val="18"/>
              </w:rPr>
              <w:t xml:space="preserve">Increase of institutional capacity as measured by a </w:t>
            </w:r>
            <w:r w:rsidR="00A072C0">
              <w:rPr>
                <w:bCs/>
                <w:i/>
                <w:sz w:val="18"/>
                <w:szCs w:val="18"/>
              </w:rPr>
              <w:t>50</w:t>
            </w:r>
            <w:r w:rsidR="0091286E" w:rsidRPr="00041F97">
              <w:rPr>
                <w:bCs/>
                <w:i/>
                <w:sz w:val="18"/>
                <w:szCs w:val="18"/>
              </w:rPr>
              <w:t xml:space="preserve"> % increase in UNDP Landscape and Seascape Capacity Development Scorecard </w:t>
            </w:r>
            <w:r>
              <w:rPr>
                <w:bCs/>
                <w:i/>
                <w:sz w:val="18"/>
                <w:szCs w:val="18"/>
              </w:rPr>
              <w:t xml:space="preserve">and </w:t>
            </w:r>
            <w:r w:rsidR="00796CB2">
              <w:rPr>
                <w:bCs/>
                <w:i/>
                <w:sz w:val="18"/>
                <w:szCs w:val="18"/>
              </w:rPr>
              <w:t xml:space="preserve">in </w:t>
            </w:r>
            <w:r>
              <w:rPr>
                <w:bCs/>
                <w:i/>
                <w:sz w:val="18"/>
                <w:szCs w:val="18"/>
              </w:rPr>
              <w:t xml:space="preserve">National Environmental Management </w:t>
            </w:r>
            <w:r w:rsidR="0091286E" w:rsidRPr="00041F97">
              <w:rPr>
                <w:bCs/>
                <w:i/>
                <w:sz w:val="18"/>
                <w:szCs w:val="18"/>
              </w:rPr>
              <w:t xml:space="preserve">baseline value </w:t>
            </w:r>
          </w:p>
        </w:tc>
        <w:tc>
          <w:tcPr>
            <w:tcW w:w="2817" w:type="dxa"/>
            <w:tcMar>
              <w:left w:w="28" w:type="dxa"/>
              <w:right w:w="28" w:type="dxa"/>
            </w:tcMar>
          </w:tcPr>
          <w:p w14:paraId="2363638A" w14:textId="77777777" w:rsidR="00CD2EC5" w:rsidRPr="00041F97" w:rsidRDefault="00CD2EC5" w:rsidP="00BD3BCB">
            <w:pPr>
              <w:spacing w:after="0"/>
              <w:rPr>
                <w:bCs/>
                <w:i/>
                <w:sz w:val="18"/>
                <w:szCs w:val="18"/>
              </w:rPr>
            </w:pPr>
            <w:r w:rsidRPr="00041F97">
              <w:rPr>
                <w:bCs/>
                <w:i/>
                <w:sz w:val="18"/>
                <w:szCs w:val="18"/>
                <w:u w:val="single"/>
              </w:rPr>
              <w:t>Assumption:</w:t>
            </w:r>
            <w:r w:rsidRPr="00041F97">
              <w:rPr>
                <w:bCs/>
                <w:i/>
                <w:sz w:val="18"/>
                <w:szCs w:val="18"/>
              </w:rPr>
              <w:t xml:space="preserve"> </w:t>
            </w:r>
          </w:p>
          <w:p w14:paraId="36EE6DD0" w14:textId="49A021E4" w:rsidR="00CD2EC5" w:rsidRPr="00041F97" w:rsidRDefault="00CD2EC5" w:rsidP="00BD3BCB">
            <w:pPr>
              <w:spacing w:after="0"/>
              <w:jc w:val="left"/>
              <w:rPr>
                <w:bCs/>
                <w:i/>
                <w:sz w:val="18"/>
                <w:szCs w:val="18"/>
              </w:rPr>
            </w:pPr>
            <w:r w:rsidRPr="00041F97">
              <w:rPr>
                <w:bCs/>
                <w:i/>
                <w:sz w:val="18"/>
                <w:szCs w:val="18"/>
              </w:rPr>
              <w:t>-The national government will develop appropriate legislative, policy, institutional and technical measures that facilitate integrated land</w:t>
            </w:r>
            <w:r w:rsidR="004840B6">
              <w:rPr>
                <w:bCs/>
                <w:i/>
                <w:sz w:val="18"/>
                <w:szCs w:val="18"/>
              </w:rPr>
              <w:t>/</w:t>
            </w:r>
            <w:r w:rsidRPr="00041F97">
              <w:rPr>
                <w:bCs/>
                <w:i/>
                <w:sz w:val="18"/>
                <w:szCs w:val="18"/>
              </w:rPr>
              <w:t xml:space="preserve"> seascape planning and management in a timely manner. </w:t>
            </w:r>
          </w:p>
          <w:p w14:paraId="73F7A5BE" w14:textId="1F41003F" w:rsidR="00CD2EC5" w:rsidRPr="00041F97" w:rsidRDefault="00CD2EC5" w:rsidP="00BD3BCB">
            <w:pPr>
              <w:spacing w:after="0"/>
              <w:jc w:val="left"/>
              <w:rPr>
                <w:bCs/>
                <w:i/>
                <w:sz w:val="18"/>
                <w:szCs w:val="18"/>
              </w:rPr>
            </w:pPr>
            <w:r w:rsidRPr="00041F97">
              <w:rPr>
                <w:bCs/>
                <w:i/>
                <w:sz w:val="18"/>
                <w:szCs w:val="18"/>
              </w:rPr>
              <w:t xml:space="preserve">-Development strategies and management plans will be officially approved by State governments with allocation of appropriate staff and funding for implementation  </w:t>
            </w:r>
          </w:p>
          <w:p w14:paraId="7E9E5A6A" w14:textId="1BB33141" w:rsidR="00CD2EC5" w:rsidRPr="00041F97" w:rsidRDefault="00CD2EC5" w:rsidP="00BD3BCB">
            <w:pPr>
              <w:spacing w:after="0"/>
              <w:jc w:val="left"/>
              <w:rPr>
                <w:bCs/>
                <w:i/>
                <w:sz w:val="18"/>
                <w:szCs w:val="18"/>
              </w:rPr>
            </w:pPr>
            <w:r w:rsidRPr="00041F97">
              <w:rPr>
                <w:bCs/>
                <w:i/>
                <w:sz w:val="18"/>
                <w:szCs w:val="18"/>
              </w:rPr>
              <w:t>-The States will take active part in developing strategies and implementation using new knowledge and skills provided by the project</w:t>
            </w:r>
          </w:p>
          <w:p w14:paraId="1BFF8008" w14:textId="77777777" w:rsidR="00415B14" w:rsidRPr="00041F97" w:rsidRDefault="00CD2EC5" w:rsidP="00BD3BCB">
            <w:pPr>
              <w:spacing w:after="0"/>
              <w:jc w:val="left"/>
              <w:rPr>
                <w:bCs/>
                <w:i/>
                <w:sz w:val="18"/>
                <w:szCs w:val="18"/>
              </w:rPr>
            </w:pPr>
            <w:r w:rsidRPr="00041F97">
              <w:rPr>
                <w:bCs/>
                <w:i/>
                <w:sz w:val="18"/>
                <w:szCs w:val="18"/>
              </w:rPr>
              <w:t>-Local communities are convinced mainstreaming biodiversity into key development sectors is in their long-term interests</w:t>
            </w:r>
          </w:p>
          <w:p w14:paraId="33DF7F8F" w14:textId="77777777" w:rsidR="00CD2EC5" w:rsidRPr="00041F97" w:rsidRDefault="00CD2EC5" w:rsidP="00BD3BCB">
            <w:pPr>
              <w:spacing w:after="0"/>
              <w:jc w:val="left"/>
              <w:rPr>
                <w:bCs/>
                <w:i/>
                <w:sz w:val="18"/>
                <w:szCs w:val="18"/>
                <w:u w:val="single"/>
              </w:rPr>
            </w:pPr>
            <w:r w:rsidRPr="00041F97">
              <w:rPr>
                <w:bCs/>
                <w:i/>
                <w:sz w:val="18"/>
                <w:szCs w:val="18"/>
                <w:u w:val="single"/>
              </w:rPr>
              <w:t>Risks:</w:t>
            </w:r>
          </w:p>
          <w:p w14:paraId="1F49D3C0" w14:textId="77777777" w:rsidR="00CD2EC5" w:rsidRDefault="00CD2EC5" w:rsidP="00BD3BCB">
            <w:pPr>
              <w:spacing w:after="0"/>
              <w:jc w:val="left"/>
              <w:rPr>
                <w:bCs/>
                <w:i/>
                <w:sz w:val="18"/>
                <w:szCs w:val="18"/>
              </w:rPr>
            </w:pPr>
            <w:r w:rsidRPr="00041F97">
              <w:rPr>
                <w:bCs/>
                <w:i/>
                <w:sz w:val="18"/>
                <w:szCs w:val="18"/>
              </w:rPr>
              <w:t xml:space="preserve">-Priorities of state governments and local communities might shift if </w:t>
            </w:r>
            <w:r w:rsidRPr="00041F97">
              <w:rPr>
                <w:bCs/>
                <w:i/>
                <w:sz w:val="18"/>
                <w:szCs w:val="18"/>
              </w:rPr>
              <w:lastRenderedPageBreak/>
              <w:t xml:space="preserve">development benefits take long to manifest </w:t>
            </w:r>
          </w:p>
          <w:p w14:paraId="6E4D307C" w14:textId="6106E816" w:rsidR="00347DBE" w:rsidRDefault="00347DBE" w:rsidP="00BD3BCB">
            <w:pPr>
              <w:spacing w:after="0"/>
              <w:jc w:val="left"/>
              <w:rPr>
                <w:bCs/>
                <w:i/>
                <w:sz w:val="18"/>
                <w:szCs w:val="18"/>
              </w:rPr>
            </w:pPr>
            <w:r>
              <w:rPr>
                <w:bCs/>
                <w:i/>
                <w:sz w:val="18"/>
                <w:szCs w:val="18"/>
              </w:rPr>
              <w:t>- Plans are developed b</w:t>
            </w:r>
            <w:r w:rsidR="004840B6">
              <w:rPr>
                <w:bCs/>
                <w:i/>
                <w:sz w:val="18"/>
                <w:szCs w:val="18"/>
              </w:rPr>
              <w:t xml:space="preserve">ut </w:t>
            </w:r>
            <w:r>
              <w:rPr>
                <w:bCs/>
                <w:i/>
                <w:sz w:val="18"/>
                <w:szCs w:val="18"/>
              </w:rPr>
              <w:t>not used, particularly by resource users (e.g. private sector)</w:t>
            </w:r>
          </w:p>
          <w:p w14:paraId="202D63D2" w14:textId="2249E6AE" w:rsidR="00347DBE" w:rsidRPr="00CD2EC5" w:rsidRDefault="00347DBE" w:rsidP="00BD3BCB">
            <w:pPr>
              <w:spacing w:after="0"/>
              <w:jc w:val="left"/>
              <w:rPr>
                <w:bCs/>
                <w:i/>
                <w:sz w:val="18"/>
                <w:szCs w:val="18"/>
              </w:rPr>
            </w:pPr>
            <w:r>
              <w:rPr>
                <w:bCs/>
                <w:i/>
                <w:sz w:val="18"/>
                <w:szCs w:val="18"/>
              </w:rPr>
              <w:t>- Planning bodies that build capacity are disbanded and knowledge is lost</w:t>
            </w:r>
          </w:p>
        </w:tc>
      </w:tr>
      <w:tr w:rsidR="00A072C0" w:rsidRPr="0003763F" w14:paraId="2D1E3FBC" w14:textId="77777777" w:rsidTr="00194AA1">
        <w:trPr>
          <w:trHeight w:val="310"/>
        </w:trPr>
        <w:tc>
          <w:tcPr>
            <w:tcW w:w="2605" w:type="dxa"/>
            <w:vMerge/>
            <w:shd w:val="pct12" w:color="auto" w:fill="auto"/>
            <w:tcMar>
              <w:left w:w="28" w:type="dxa"/>
              <w:right w:w="28" w:type="dxa"/>
            </w:tcMar>
          </w:tcPr>
          <w:p w14:paraId="30760FA5" w14:textId="79350B45" w:rsidR="00A072C0" w:rsidRPr="0003763F" w:rsidRDefault="00A072C0" w:rsidP="001A16F2">
            <w:pPr>
              <w:jc w:val="left"/>
              <w:rPr>
                <w:rFonts w:ascii="Times New Roman" w:hAnsi="Times New Roman"/>
                <w:b/>
                <w:bCs/>
                <w:sz w:val="18"/>
                <w:szCs w:val="18"/>
              </w:rPr>
            </w:pPr>
          </w:p>
        </w:tc>
        <w:tc>
          <w:tcPr>
            <w:tcW w:w="3595" w:type="dxa"/>
            <w:tcMar>
              <w:left w:w="28" w:type="dxa"/>
              <w:right w:w="28" w:type="dxa"/>
            </w:tcMar>
          </w:tcPr>
          <w:p w14:paraId="3C42FEB0" w14:textId="77777777" w:rsidR="00A072C0" w:rsidRPr="005C3E66" w:rsidRDefault="00A072C0" w:rsidP="001A16F2">
            <w:pPr>
              <w:jc w:val="left"/>
            </w:pPr>
            <w:r w:rsidRPr="005C3E66">
              <w:rPr>
                <w:bCs/>
                <w:i/>
                <w:sz w:val="18"/>
                <w:szCs w:val="18"/>
              </w:rPr>
              <w:t xml:space="preserve">Indicator 6: </w:t>
            </w:r>
            <w:r w:rsidRPr="005C3E66">
              <w:rPr>
                <w:bCs/>
                <w:sz w:val="18"/>
                <w:szCs w:val="18"/>
              </w:rPr>
              <w:t xml:space="preserve">Increase percentage </w:t>
            </w:r>
            <w:r w:rsidRPr="005C3E66">
              <w:rPr>
                <w:sz w:val="18"/>
                <w:szCs w:val="18"/>
              </w:rPr>
              <w:t>of new permitted developments in the identified key sectors that trigger requirement for environmental assessment and integrates relevant national policies and practices that mainstream biodiversity</w:t>
            </w:r>
          </w:p>
        </w:tc>
        <w:tc>
          <w:tcPr>
            <w:tcW w:w="1558" w:type="dxa"/>
            <w:tcMar>
              <w:left w:w="28" w:type="dxa"/>
              <w:right w:w="28" w:type="dxa"/>
            </w:tcMar>
          </w:tcPr>
          <w:p w14:paraId="7131864B" w14:textId="2FC5C8EC" w:rsidR="00A072C0" w:rsidRPr="00041F97" w:rsidRDefault="00A072C0" w:rsidP="00B0368D">
            <w:pPr>
              <w:jc w:val="left"/>
              <w:rPr>
                <w:bCs/>
                <w:i/>
                <w:sz w:val="18"/>
                <w:szCs w:val="18"/>
              </w:rPr>
            </w:pPr>
            <w:r w:rsidRPr="00041F97">
              <w:rPr>
                <w:bCs/>
                <w:i/>
                <w:sz w:val="18"/>
                <w:szCs w:val="18"/>
              </w:rPr>
              <w:t>Currently, enforcement and monitoring of environmental regulations is limited resulting in unchecked threats and violations and illegal developments.</w:t>
            </w:r>
            <w:r>
              <w:rPr>
                <w:bCs/>
                <w:i/>
                <w:sz w:val="18"/>
                <w:szCs w:val="18"/>
              </w:rPr>
              <w:t xml:space="preserve"> Currently 7.5% of large earthmoving permits issued have EAs required (2016). Violations (2016) of 15.6%</w:t>
            </w:r>
          </w:p>
        </w:tc>
        <w:tc>
          <w:tcPr>
            <w:tcW w:w="2020" w:type="dxa"/>
            <w:tcMar>
              <w:left w:w="28" w:type="dxa"/>
              <w:right w:w="28" w:type="dxa"/>
            </w:tcMar>
          </w:tcPr>
          <w:p w14:paraId="13F9DBB7" w14:textId="026919CF" w:rsidR="00A072C0" w:rsidRPr="00041F97" w:rsidRDefault="00A072C0" w:rsidP="008D0098">
            <w:pPr>
              <w:jc w:val="left"/>
              <w:rPr>
                <w:bCs/>
                <w:i/>
                <w:sz w:val="18"/>
                <w:szCs w:val="18"/>
              </w:rPr>
            </w:pPr>
            <w:r w:rsidRPr="00041F97">
              <w:rPr>
                <w:i/>
                <w:sz w:val="18"/>
                <w:szCs w:val="18"/>
              </w:rPr>
              <w:t xml:space="preserve">At least </w:t>
            </w:r>
            <w:r w:rsidR="00156458">
              <w:rPr>
                <w:i/>
                <w:sz w:val="18"/>
                <w:szCs w:val="18"/>
              </w:rPr>
              <w:t>10</w:t>
            </w:r>
            <w:r w:rsidRPr="00041F97">
              <w:rPr>
                <w:i/>
                <w:sz w:val="18"/>
                <w:szCs w:val="18"/>
              </w:rPr>
              <w:t>% of new developments in the identified key sectors integrates relevant national policies and practices that mainstream biodiversity</w:t>
            </w:r>
            <w:r>
              <w:rPr>
                <w:i/>
                <w:sz w:val="18"/>
                <w:szCs w:val="18"/>
              </w:rPr>
              <w:t xml:space="preserve"> and violations down </w:t>
            </w:r>
            <w:r w:rsidR="008D0098">
              <w:rPr>
                <w:i/>
                <w:sz w:val="18"/>
                <w:szCs w:val="18"/>
              </w:rPr>
              <w:t xml:space="preserve">to </w:t>
            </w:r>
            <w:r>
              <w:rPr>
                <w:i/>
                <w:sz w:val="18"/>
                <w:szCs w:val="18"/>
              </w:rPr>
              <w:t>10%</w:t>
            </w:r>
          </w:p>
        </w:tc>
        <w:tc>
          <w:tcPr>
            <w:tcW w:w="1795" w:type="dxa"/>
            <w:tcMar>
              <w:left w:w="28" w:type="dxa"/>
              <w:right w:w="28" w:type="dxa"/>
            </w:tcMar>
          </w:tcPr>
          <w:p w14:paraId="736EC7AE" w14:textId="19F63BAA" w:rsidR="00A072C0" w:rsidRPr="00041F97" w:rsidRDefault="00A072C0" w:rsidP="008D0098">
            <w:pPr>
              <w:jc w:val="left"/>
              <w:rPr>
                <w:bCs/>
                <w:i/>
                <w:sz w:val="18"/>
                <w:szCs w:val="18"/>
              </w:rPr>
            </w:pPr>
            <w:r w:rsidRPr="00041F97">
              <w:rPr>
                <w:i/>
                <w:sz w:val="18"/>
                <w:szCs w:val="18"/>
              </w:rPr>
              <w:t xml:space="preserve">At least </w:t>
            </w:r>
            <w:r>
              <w:rPr>
                <w:i/>
                <w:sz w:val="18"/>
                <w:szCs w:val="18"/>
              </w:rPr>
              <w:t>15</w:t>
            </w:r>
            <w:r w:rsidRPr="00041F97">
              <w:rPr>
                <w:i/>
                <w:sz w:val="18"/>
                <w:szCs w:val="18"/>
              </w:rPr>
              <w:t>% of new developments in the identified key sectors integrates relevant national policies and practices that mainstream biodiversity</w:t>
            </w:r>
            <w:r>
              <w:rPr>
                <w:i/>
                <w:sz w:val="18"/>
                <w:szCs w:val="18"/>
              </w:rPr>
              <w:t xml:space="preserve"> and violations down </w:t>
            </w:r>
            <w:r w:rsidR="008D0098">
              <w:rPr>
                <w:i/>
                <w:sz w:val="18"/>
                <w:szCs w:val="18"/>
              </w:rPr>
              <w:t xml:space="preserve">to </w:t>
            </w:r>
            <w:r>
              <w:rPr>
                <w:i/>
                <w:sz w:val="18"/>
                <w:szCs w:val="18"/>
              </w:rPr>
              <w:t>5%</w:t>
            </w:r>
          </w:p>
        </w:tc>
        <w:tc>
          <w:tcPr>
            <w:tcW w:w="2817" w:type="dxa"/>
            <w:tcMar>
              <w:left w:w="28" w:type="dxa"/>
              <w:right w:w="28" w:type="dxa"/>
            </w:tcMar>
          </w:tcPr>
          <w:p w14:paraId="7BEF53FF" w14:textId="77777777" w:rsidR="00A072C0" w:rsidRPr="004840B6" w:rsidRDefault="00A072C0" w:rsidP="001A16F2">
            <w:pPr>
              <w:jc w:val="left"/>
              <w:rPr>
                <w:bCs/>
                <w:i/>
                <w:sz w:val="18"/>
                <w:szCs w:val="18"/>
                <w:u w:val="single"/>
              </w:rPr>
            </w:pPr>
            <w:r w:rsidRPr="004840B6">
              <w:rPr>
                <w:bCs/>
                <w:i/>
                <w:sz w:val="18"/>
                <w:szCs w:val="18"/>
                <w:u w:val="single"/>
              </w:rPr>
              <w:t xml:space="preserve">Assumptions: </w:t>
            </w:r>
          </w:p>
          <w:p w14:paraId="27764C28" w14:textId="6D527138" w:rsidR="00A072C0" w:rsidRDefault="00A072C0" w:rsidP="004840B6">
            <w:pPr>
              <w:spacing w:after="0"/>
              <w:jc w:val="left"/>
              <w:rPr>
                <w:bCs/>
                <w:i/>
                <w:sz w:val="18"/>
                <w:szCs w:val="18"/>
              </w:rPr>
            </w:pPr>
            <w:r>
              <w:rPr>
                <w:bCs/>
                <w:sz w:val="18"/>
                <w:szCs w:val="18"/>
              </w:rPr>
              <w:t>-</w:t>
            </w:r>
            <w:r>
              <w:rPr>
                <w:bCs/>
                <w:i/>
                <w:sz w:val="18"/>
                <w:szCs w:val="18"/>
              </w:rPr>
              <w:t xml:space="preserve">EQPB </w:t>
            </w:r>
            <w:r w:rsidR="00796CB2">
              <w:rPr>
                <w:bCs/>
                <w:i/>
                <w:sz w:val="18"/>
                <w:szCs w:val="18"/>
              </w:rPr>
              <w:t xml:space="preserve">capacity </w:t>
            </w:r>
            <w:r>
              <w:rPr>
                <w:bCs/>
                <w:i/>
                <w:sz w:val="18"/>
                <w:szCs w:val="18"/>
              </w:rPr>
              <w:t xml:space="preserve">effectively </w:t>
            </w:r>
            <w:r w:rsidR="00796CB2">
              <w:rPr>
                <w:bCs/>
                <w:i/>
                <w:sz w:val="18"/>
                <w:szCs w:val="18"/>
              </w:rPr>
              <w:t xml:space="preserve">enhanced </w:t>
            </w:r>
            <w:r>
              <w:rPr>
                <w:bCs/>
                <w:i/>
                <w:sz w:val="18"/>
                <w:szCs w:val="18"/>
              </w:rPr>
              <w:t>to develop, monitor and enforce regulations</w:t>
            </w:r>
          </w:p>
          <w:p w14:paraId="00547161" w14:textId="0B209570" w:rsidR="00A072C0" w:rsidRDefault="00A072C0" w:rsidP="004840B6">
            <w:pPr>
              <w:spacing w:after="0"/>
              <w:jc w:val="left"/>
              <w:rPr>
                <w:bCs/>
                <w:i/>
                <w:sz w:val="18"/>
                <w:szCs w:val="18"/>
              </w:rPr>
            </w:pPr>
            <w:r>
              <w:rPr>
                <w:bCs/>
                <w:i/>
                <w:sz w:val="18"/>
                <w:szCs w:val="18"/>
              </w:rPr>
              <w:t>-National policies are in-place that provide specific direction to management priorities granting EQPB sufficient authority to manage environmental consequences of development</w:t>
            </w:r>
            <w:r w:rsidR="00796CB2">
              <w:rPr>
                <w:bCs/>
                <w:i/>
                <w:sz w:val="18"/>
                <w:szCs w:val="18"/>
              </w:rPr>
              <w:t xml:space="preserve"> </w:t>
            </w:r>
          </w:p>
          <w:p w14:paraId="428E375B" w14:textId="77777777" w:rsidR="00A072C0" w:rsidRDefault="00A072C0" w:rsidP="004840B6">
            <w:pPr>
              <w:spacing w:after="0"/>
              <w:jc w:val="left"/>
              <w:rPr>
                <w:bCs/>
                <w:i/>
                <w:sz w:val="18"/>
                <w:szCs w:val="18"/>
                <w:u w:val="single"/>
              </w:rPr>
            </w:pPr>
            <w:r w:rsidRPr="009467E5">
              <w:rPr>
                <w:bCs/>
                <w:i/>
                <w:sz w:val="18"/>
                <w:szCs w:val="18"/>
                <w:u w:val="single"/>
              </w:rPr>
              <w:t xml:space="preserve">Risks:  </w:t>
            </w:r>
          </w:p>
          <w:p w14:paraId="561FED03" w14:textId="21D4699A" w:rsidR="00A072C0" w:rsidRDefault="00A072C0" w:rsidP="004840B6">
            <w:pPr>
              <w:spacing w:after="0"/>
              <w:jc w:val="left"/>
              <w:rPr>
                <w:bCs/>
                <w:i/>
                <w:sz w:val="18"/>
                <w:szCs w:val="18"/>
              </w:rPr>
            </w:pPr>
            <w:r>
              <w:rPr>
                <w:bCs/>
                <w:i/>
                <w:sz w:val="18"/>
                <w:szCs w:val="18"/>
              </w:rPr>
              <w:t>- The state ownership of resources can complicate as to which body, the state or EQPB has authority over environmental management issues.</w:t>
            </w:r>
          </w:p>
          <w:p w14:paraId="64EE82D6" w14:textId="2D59490A" w:rsidR="00347DBE" w:rsidRPr="009467E5" w:rsidRDefault="00347DBE" w:rsidP="004840B6">
            <w:pPr>
              <w:spacing w:after="0"/>
              <w:jc w:val="left"/>
              <w:rPr>
                <w:bCs/>
                <w:i/>
                <w:sz w:val="18"/>
                <w:szCs w:val="18"/>
              </w:rPr>
            </w:pPr>
            <w:r>
              <w:rPr>
                <w:bCs/>
                <w:i/>
                <w:sz w:val="18"/>
                <w:szCs w:val="18"/>
              </w:rPr>
              <w:t>- Political pressure limits number of projects that require EAs.</w:t>
            </w:r>
          </w:p>
        </w:tc>
      </w:tr>
      <w:tr w:rsidR="00A072C0" w:rsidRPr="0003763F" w14:paraId="65EB48BF" w14:textId="77777777" w:rsidTr="00194AA1">
        <w:trPr>
          <w:trHeight w:val="310"/>
        </w:trPr>
        <w:tc>
          <w:tcPr>
            <w:tcW w:w="2605" w:type="dxa"/>
            <w:vMerge/>
            <w:shd w:val="pct12" w:color="auto" w:fill="auto"/>
            <w:tcMar>
              <w:left w:w="28" w:type="dxa"/>
              <w:right w:w="28" w:type="dxa"/>
            </w:tcMar>
          </w:tcPr>
          <w:p w14:paraId="7C7FC9AA" w14:textId="77777777" w:rsidR="00A072C0" w:rsidRPr="0003763F" w:rsidRDefault="00A072C0" w:rsidP="001A16F2">
            <w:pPr>
              <w:jc w:val="left"/>
              <w:rPr>
                <w:rFonts w:ascii="Times New Roman" w:hAnsi="Times New Roman"/>
                <w:b/>
                <w:bCs/>
                <w:sz w:val="18"/>
                <w:szCs w:val="18"/>
              </w:rPr>
            </w:pPr>
          </w:p>
        </w:tc>
        <w:tc>
          <w:tcPr>
            <w:tcW w:w="3595" w:type="dxa"/>
            <w:tcMar>
              <w:left w:w="28" w:type="dxa"/>
              <w:right w:w="28" w:type="dxa"/>
            </w:tcMar>
          </w:tcPr>
          <w:p w14:paraId="4D686BB4" w14:textId="6F3D45EA" w:rsidR="00A072C0" w:rsidRPr="00041F97" w:rsidRDefault="00A072C0" w:rsidP="00796CB2">
            <w:pPr>
              <w:jc w:val="left"/>
              <w:rPr>
                <w:sz w:val="18"/>
                <w:szCs w:val="18"/>
              </w:rPr>
            </w:pPr>
            <w:r w:rsidRPr="005C3E66">
              <w:rPr>
                <w:bCs/>
                <w:i/>
                <w:sz w:val="18"/>
                <w:szCs w:val="18"/>
              </w:rPr>
              <w:t>Indicator 7:</w:t>
            </w:r>
            <w:r w:rsidRPr="00041F97">
              <w:rPr>
                <w:sz w:val="18"/>
                <w:szCs w:val="18"/>
              </w:rPr>
              <w:t xml:space="preserve"> Comprehensiveness of national level IAS management framework and ability to prevent IAS of high risk to biodiversity from entering </w:t>
            </w:r>
            <w:r w:rsidR="00796CB2">
              <w:rPr>
                <w:sz w:val="18"/>
                <w:szCs w:val="18"/>
              </w:rPr>
              <w:t>Palau</w:t>
            </w:r>
            <w:r w:rsidRPr="00041F97">
              <w:rPr>
                <w:sz w:val="18"/>
                <w:szCs w:val="18"/>
              </w:rPr>
              <w:t>, as measured by IAS Tracking Tool</w:t>
            </w:r>
          </w:p>
        </w:tc>
        <w:tc>
          <w:tcPr>
            <w:tcW w:w="1558" w:type="dxa"/>
            <w:tcMar>
              <w:left w:w="28" w:type="dxa"/>
              <w:right w:w="28" w:type="dxa"/>
            </w:tcMar>
          </w:tcPr>
          <w:p w14:paraId="39F8B66D" w14:textId="21DFE248" w:rsidR="00A072C0" w:rsidRPr="00041F97" w:rsidRDefault="00A072C0" w:rsidP="00A072C0">
            <w:pPr>
              <w:jc w:val="left"/>
              <w:rPr>
                <w:bCs/>
                <w:i/>
                <w:sz w:val="18"/>
                <w:szCs w:val="18"/>
              </w:rPr>
            </w:pPr>
            <w:r w:rsidRPr="00041F97">
              <w:rPr>
                <w:bCs/>
                <w:i/>
                <w:sz w:val="18"/>
                <w:szCs w:val="18"/>
              </w:rPr>
              <w:t xml:space="preserve">IAS Tracking Tool Score of </w:t>
            </w:r>
            <w:r>
              <w:rPr>
                <w:bCs/>
                <w:i/>
                <w:sz w:val="18"/>
                <w:szCs w:val="18"/>
              </w:rPr>
              <w:t>9</w:t>
            </w:r>
            <w:r w:rsidRPr="00041F97">
              <w:rPr>
                <w:bCs/>
                <w:i/>
                <w:sz w:val="18"/>
                <w:szCs w:val="18"/>
              </w:rPr>
              <w:t xml:space="preserve"> (out of total of </w:t>
            </w:r>
            <w:r w:rsidRPr="00A072C0">
              <w:rPr>
                <w:bCs/>
                <w:i/>
                <w:sz w:val="18"/>
                <w:szCs w:val="18"/>
              </w:rPr>
              <w:t>27)</w:t>
            </w:r>
            <w:r w:rsidRPr="00041F97">
              <w:rPr>
                <w:bCs/>
                <w:i/>
                <w:sz w:val="18"/>
                <w:szCs w:val="18"/>
              </w:rPr>
              <w:t xml:space="preserve"> due to lack of national coordinating mechanism; no </w:t>
            </w:r>
            <w:r w:rsidR="00796CB2">
              <w:rPr>
                <w:bCs/>
                <w:i/>
                <w:sz w:val="18"/>
                <w:szCs w:val="18"/>
              </w:rPr>
              <w:t xml:space="preserve">national </w:t>
            </w:r>
            <w:r w:rsidRPr="00041F97">
              <w:rPr>
                <w:bCs/>
                <w:i/>
                <w:sz w:val="18"/>
                <w:szCs w:val="18"/>
              </w:rPr>
              <w:t>IAS strategy; detection surveys non-existent; priority pathways not actively managed, etc.</w:t>
            </w:r>
          </w:p>
        </w:tc>
        <w:tc>
          <w:tcPr>
            <w:tcW w:w="2020" w:type="dxa"/>
            <w:tcMar>
              <w:left w:w="28" w:type="dxa"/>
              <w:right w:w="28" w:type="dxa"/>
            </w:tcMar>
          </w:tcPr>
          <w:p w14:paraId="157B4BDE" w14:textId="361B29EF" w:rsidR="00A072C0" w:rsidRPr="005C3E66" w:rsidRDefault="00A072C0" w:rsidP="00A072C0">
            <w:pPr>
              <w:jc w:val="left"/>
              <w:rPr>
                <w:bCs/>
                <w:i/>
                <w:sz w:val="18"/>
                <w:szCs w:val="18"/>
              </w:rPr>
            </w:pPr>
            <w:r>
              <w:rPr>
                <w:i/>
                <w:sz w:val="18"/>
                <w:szCs w:val="18"/>
              </w:rPr>
              <w:t>Improved policies and legislation for prevention of high risk IAS from entering Palau as measured by 20% increased score in the GEF IAS Tracking Tool (from baseline 9 to 11)</w:t>
            </w:r>
          </w:p>
        </w:tc>
        <w:tc>
          <w:tcPr>
            <w:tcW w:w="1795" w:type="dxa"/>
            <w:tcMar>
              <w:left w:w="28" w:type="dxa"/>
              <w:right w:w="28" w:type="dxa"/>
            </w:tcMar>
          </w:tcPr>
          <w:p w14:paraId="361A3613" w14:textId="197ED6AD" w:rsidR="00A072C0" w:rsidRPr="005C3E66" w:rsidRDefault="00A072C0" w:rsidP="00A072C0">
            <w:pPr>
              <w:jc w:val="left"/>
              <w:rPr>
                <w:bCs/>
                <w:i/>
                <w:sz w:val="18"/>
                <w:szCs w:val="18"/>
              </w:rPr>
            </w:pPr>
            <w:r>
              <w:rPr>
                <w:i/>
                <w:sz w:val="18"/>
                <w:szCs w:val="18"/>
              </w:rPr>
              <w:t>Improved surveillance and controls for prevention of high risk IAS from entering Palau as measured by 50% increased score in the GEF IAS Tracking Tool (from baseline 9 to 15)</w:t>
            </w:r>
          </w:p>
        </w:tc>
        <w:tc>
          <w:tcPr>
            <w:tcW w:w="2817" w:type="dxa"/>
            <w:tcMar>
              <w:left w:w="28" w:type="dxa"/>
              <w:right w:w="28" w:type="dxa"/>
            </w:tcMar>
          </w:tcPr>
          <w:p w14:paraId="26995A1C" w14:textId="77777777" w:rsidR="00A072C0" w:rsidRPr="00041F97" w:rsidRDefault="00A072C0" w:rsidP="00394D0C">
            <w:pPr>
              <w:spacing w:after="0"/>
              <w:jc w:val="left"/>
              <w:rPr>
                <w:bCs/>
                <w:i/>
                <w:sz w:val="18"/>
                <w:szCs w:val="18"/>
                <w:u w:val="single"/>
              </w:rPr>
            </w:pPr>
            <w:r w:rsidRPr="00041F97">
              <w:rPr>
                <w:bCs/>
                <w:i/>
                <w:sz w:val="18"/>
                <w:szCs w:val="18"/>
                <w:u w:val="single"/>
              </w:rPr>
              <w:t>Assumptions:</w:t>
            </w:r>
          </w:p>
          <w:p w14:paraId="6422AA87" w14:textId="0352078E" w:rsidR="00A072C0" w:rsidRPr="00946953" w:rsidRDefault="00A072C0" w:rsidP="00946953">
            <w:pPr>
              <w:spacing w:after="0"/>
              <w:jc w:val="left"/>
              <w:rPr>
                <w:bCs/>
                <w:i/>
                <w:sz w:val="18"/>
                <w:szCs w:val="18"/>
              </w:rPr>
            </w:pPr>
            <w:r w:rsidRPr="00946953">
              <w:rPr>
                <w:bCs/>
                <w:i/>
                <w:sz w:val="18"/>
                <w:szCs w:val="18"/>
              </w:rPr>
              <w:t xml:space="preserve">-Additional revenues can be developed to support inspection and quarantine services </w:t>
            </w:r>
          </w:p>
          <w:p w14:paraId="20F4EC63" w14:textId="77777777" w:rsidR="00A072C0" w:rsidRPr="00946953" w:rsidRDefault="00A072C0" w:rsidP="00946953">
            <w:pPr>
              <w:spacing w:after="0"/>
              <w:jc w:val="left"/>
              <w:rPr>
                <w:bCs/>
                <w:i/>
                <w:sz w:val="18"/>
                <w:szCs w:val="18"/>
              </w:rPr>
            </w:pPr>
            <w:r w:rsidRPr="00946953">
              <w:rPr>
                <w:bCs/>
                <w:i/>
                <w:sz w:val="18"/>
                <w:szCs w:val="18"/>
              </w:rPr>
              <w:t>-Adequate laws and regulations are in place to support improved inspection and quarantine services national wide</w:t>
            </w:r>
          </w:p>
          <w:p w14:paraId="6F1D68A8" w14:textId="77777777" w:rsidR="00A072C0" w:rsidRPr="00946953" w:rsidRDefault="00A072C0" w:rsidP="00946953">
            <w:pPr>
              <w:spacing w:after="0"/>
              <w:ind w:right="-108"/>
              <w:rPr>
                <w:i/>
                <w:sz w:val="18"/>
                <w:szCs w:val="18"/>
              </w:rPr>
            </w:pPr>
            <w:r w:rsidRPr="00946953">
              <w:rPr>
                <w:bCs/>
                <w:i/>
                <w:sz w:val="18"/>
                <w:szCs w:val="18"/>
              </w:rPr>
              <w:t>-</w:t>
            </w:r>
            <w:r w:rsidRPr="00946953">
              <w:rPr>
                <w:i/>
                <w:sz w:val="18"/>
                <w:szCs w:val="18"/>
              </w:rPr>
              <w:t xml:space="preserve"> Local actors understand the role of IAS management in reducing social vulnerability</w:t>
            </w:r>
          </w:p>
          <w:p w14:paraId="29A9E836" w14:textId="7CF8781F" w:rsidR="00A072C0" w:rsidRDefault="00A072C0" w:rsidP="00946953">
            <w:pPr>
              <w:spacing w:after="0"/>
              <w:jc w:val="left"/>
              <w:rPr>
                <w:i/>
                <w:sz w:val="18"/>
                <w:szCs w:val="18"/>
              </w:rPr>
            </w:pPr>
            <w:r w:rsidRPr="00946953">
              <w:rPr>
                <w:i/>
                <w:sz w:val="18"/>
                <w:szCs w:val="18"/>
              </w:rPr>
              <w:t>-Buy-in at all levels of society, including timely reporting of novel species encounters</w:t>
            </w:r>
          </w:p>
          <w:p w14:paraId="763E1E1B" w14:textId="77777777" w:rsidR="00A072C0" w:rsidRPr="004840B6" w:rsidRDefault="00A072C0" w:rsidP="00946953">
            <w:pPr>
              <w:spacing w:after="0"/>
              <w:jc w:val="left"/>
              <w:rPr>
                <w:bCs/>
                <w:i/>
                <w:sz w:val="18"/>
                <w:szCs w:val="18"/>
                <w:u w:val="single"/>
              </w:rPr>
            </w:pPr>
            <w:r w:rsidRPr="00104B42">
              <w:rPr>
                <w:i/>
                <w:sz w:val="18"/>
                <w:szCs w:val="18"/>
                <w:u w:val="single"/>
              </w:rPr>
              <w:t>Risk:</w:t>
            </w:r>
          </w:p>
          <w:p w14:paraId="4815DE61" w14:textId="079DFE16" w:rsidR="00A072C0" w:rsidRPr="00946953" w:rsidRDefault="00A072C0" w:rsidP="00946953">
            <w:pPr>
              <w:spacing w:after="0"/>
              <w:jc w:val="left"/>
              <w:rPr>
                <w:rFonts w:ascii="Times New Roman" w:hAnsi="Times New Roman"/>
                <w:bCs/>
                <w:i/>
                <w:sz w:val="18"/>
                <w:szCs w:val="18"/>
              </w:rPr>
            </w:pPr>
            <w:r w:rsidRPr="00041F97">
              <w:rPr>
                <w:bCs/>
                <w:i/>
                <w:sz w:val="18"/>
                <w:szCs w:val="18"/>
              </w:rPr>
              <w:t xml:space="preserve">-Adequate resources to implement comprehensive inspection and quarantine coverage may not be </w:t>
            </w:r>
            <w:r w:rsidR="00347DBE">
              <w:rPr>
                <w:bCs/>
                <w:i/>
                <w:sz w:val="18"/>
                <w:szCs w:val="18"/>
              </w:rPr>
              <w:t>provided</w:t>
            </w:r>
          </w:p>
          <w:p w14:paraId="0A0110B9" w14:textId="77777777" w:rsidR="00A072C0" w:rsidRPr="00041F97" w:rsidRDefault="00A072C0" w:rsidP="00946953">
            <w:pPr>
              <w:spacing w:after="0"/>
              <w:jc w:val="left"/>
              <w:rPr>
                <w:bCs/>
                <w:i/>
                <w:sz w:val="18"/>
                <w:szCs w:val="18"/>
              </w:rPr>
            </w:pPr>
            <w:r w:rsidRPr="00041F97">
              <w:rPr>
                <w:bCs/>
                <w:i/>
                <w:sz w:val="18"/>
                <w:szCs w:val="18"/>
              </w:rPr>
              <w:t xml:space="preserve">-Sufficient trained and committed personnel unavailable to provide </w:t>
            </w:r>
            <w:r w:rsidRPr="00041F97">
              <w:rPr>
                <w:bCs/>
                <w:i/>
                <w:sz w:val="18"/>
                <w:szCs w:val="18"/>
              </w:rPr>
              <w:lastRenderedPageBreak/>
              <w:t>adequate coverage</w:t>
            </w:r>
          </w:p>
        </w:tc>
      </w:tr>
      <w:tr w:rsidR="00A072C0" w:rsidRPr="0003763F" w14:paraId="7ACDB4D7" w14:textId="77777777" w:rsidTr="00194AA1">
        <w:trPr>
          <w:trHeight w:val="235"/>
        </w:trPr>
        <w:tc>
          <w:tcPr>
            <w:tcW w:w="2605" w:type="dxa"/>
            <w:vMerge w:val="restart"/>
            <w:shd w:val="pct12" w:color="auto" w:fill="auto"/>
            <w:tcMar>
              <w:left w:w="28" w:type="dxa"/>
              <w:right w:w="28" w:type="dxa"/>
            </w:tcMar>
          </w:tcPr>
          <w:p w14:paraId="444FC6DE" w14:textId="5061EA2E" w:rsidR="00A072C0" w:rsidRPr="0003763F" w:rsidRDefault="00A072C0" w:rsidP="001A16F2">
            <w:pPr>
              <w:jc w:val="left"/>
              <w:rPr>
                <w:rFonts w:ascii="Times New Roman" w:hAnsi="Times New Roman"/>
                <w:b/>
                <w:bCs/>
                <w:sz w:val="18"/>
                <w:szCs w:val="18"/>
              </w:rPr>
            </w:pPr>
            <w:r w:rsidRPr="0003763F">
              <w:rPr>
                <w:rFonts w:ascii="Times New Roman" w:hAnsi="Times New Roman"/>
                <w:b/>
                <w:bCs/>
                <w:sz w:val="18"/>
                <w:szCs w:val="18"/>
              </w:rPr>
              <w:lastRenderedPageBreak/>
              <w:t>Outcome 2</w:t>
            </w:r>
          </w:p>
          <w:p w14:paraId="438D1CF9" w14:textId="412515DC" w:rsidR="00A072C0" w:rsidRPr="00F41624" w:rsidRDefault="00A072C0" w:rsidP="00235E8A">
            <w:pPr>
              <w:jc w:val="left"/>
              <w:rPr>
                <w:rFonts w:ascii="Times New Roman" w:hAnsi="Times New Roman"/>
                <w:bCs/>
                <w:sz w:val="18"/>
                <w:szCs w:val="18"/>
              </w:rPr>
            </w:pPr>
            <w:r w:rsidRPr="00F41624">
              <w:rPr>
                <w:sz w:val="18"/>
                <w:szCs w:val="18"/>
              </w:rPr>
              <w:t xml:space="preserve">Integrated </w:t>
            </w:r>
            <w:r w:rsidR="0021132C">
              <w:rPr>
                <w:sz w:val="18"/>
                <w:szCs w:val="18"/>
              </w:rPr>
              <w:t>multi-sector</w:t>
            </w:r>
            <w:r w:rsidRPr="00F41624">
              <w:rPr>
                <w:sz w:val="18"/>
                <w:szCs w:val="18"/>
              </w:rPr>
              <w:t xml:space="preserve"> land and seascape planning and management operational in Babeldaob states</w:t>
            </w:r>
            <w:r w:rsidR="00FA196A">
              <w:rPr>
                <w:rStyle w:val="FootnoteReference"/>
                <w:szCs w:val="18"/>
              </w:rPr>
              <w:footnoteReference w:id="23"/>
            </w:r>
            <w:r w:rsidR="00FA196A">
              <w:rPr>
                <w:sz w:val="18"/>
                <w:szCs w:val="18"/>
              </w:rPr>
              <w:t xml:space="preserve"> </w:t>
            </w:r>
            <w:r w:rsidRPr="00F41624">
              <w:rPr>
                <w:sz w:val="18"/>
                <w:szCs w:val="18"/>
              </w:rPr>
              <w:t xml:space="preserve"> to reduce threats to biodiversity and improve ecosystem services to benefit communities and state economies</w:t>
            </w:r>
          </w:p>
        </w:tc>
        <w:tc>
          <w:tcPr>
            <w:tcW w:w="3595" w:type="dxa"/>
            <w:tcMar>
              <w:left w:w="28" w:type="dxa"/>
              <w:right w:w="28" w:type="dxa"/>
            </w:tcMar>
          </w:tcPr>
          <w:p w14:paraId="179D4CA2" w14:textId="55F67B91" w:rsidR="00A072C0" w:rsidRPr="005C3E66" w:rsidRDefault="00A072C0" w:rsidP="001B5C3F">
            <w:pPr>
              <w:jc w:val="left"/>
              <w:rPr>
                <w:bCs/>
                <w:i/>
                <w:sz w:val="18"/>
                <w:szCs w:val="18"/>
              </w:rPr>
            </w:pPr>
            <w:r w:rsidRPr="005C3E66">
              <w:rPr>
                <w:bCs/>
                <w:i/>
                <w:sz w:val="18"/>
                <w:szCs w:val="18"/>
              </w:rPr>
              <w:t xml:space="preserve">Indicator </w:t>
            </w:r>
            <w:r w:rsidR="001B5C3F">
              <w:rPr>
                <w:bCs/>
                <w:i/>
                <w:sz w:val="18"/>
                <w:szCs w:val="18"/>
              </w:rPr>
              <w:t>8</w:t>
            </w:r>
            <w:r w:rsidRPr="005C3E66">
              <w:rPr>
                <w:bCs/>
                <w:i/>
                <w:sz w:val="18"/>
                <w:szCs w:val="18"/>
              </w:rPr>
              <w:t xml:space="preserve">: </w:t>
            </w:r>
            <w:r w:rsidRPr="005C3E66">
              <w:rPr>
                <w:sz w:val="18"/>
                <w:szCs w:val="18"/>
              </w:rPr>
              <w:t xml:space="preserve">Number of hectares </w:t>
            </w:r>
            <w:r w:rsidR="00FF121F">
              <w:rPr>
                <w:sz w:val="18"/>
                <w:szCs w:val="18"/>
              </w:rPr>
              <w:t xml:space="preserve">of </w:t>
            </w:r>
            <w:r w:rsidRPr="005C3E66">
              <w:rPr>
                <w:sz w:val="18"/>
                <w:szCs w:val="18"/>
              </w:rPr>
              <w:t xml:space="preserve">high conservation value </w:t>
            </w:r>
            <w:r>
              <w:rPr>
                <w:sz w:val="18"/>
                <w:szCs w:val="18"/>
              </w:rPr>
              <w:t>ecosystems</w:t>
            </w:r>
            <w:r w:rsidRPr="005C3E66">
              <w:rPr>
                <w:sz w:val="18"/>
                <w:szCs w:val="18"/>
              </w:rPr>
              <w:t xml:space="preserve">, including </w:t>
            </w:r>
            <w:r>
              <w:rPr>
                <w:sz w:val="18"/>
                <w:szCs w:val="18"/>
              </w:rPr>
              <w:t xml:space="preserve">forests, </w:t>
            </w:r>
            <w:r w:rsidRPr="005C3E66">
              <w:rPr>
                <w:sz w:val="18"/>
                <w:szCs w:val="18"/>
              </w:rPr>
              <w:t xml:space="preserve">mangroves and marine areas </w:t>
            </w:r>
            <w:r w:rsidR="00796CB2">
              <w:rPr>
                <w:sz w:val="18"/>
                <w:szCs w:val="18"/>
              </w:rPr>
              <w:t xml:space="preserve">zoned/allocated </w:t>
            </w:r>
            <w:r w:rsidRPr="005C3E66">
              <w:rPr>
                <w:sz w:val="18"/>
                <w:szCs w:val="18"/>
              </w:rPr>
              <w:t xml:space="preserve">for non-exhaustive use </w:t>
            </w:r>
          </w:p>
        </w:tc>
        <w:tc>
          <w:tcPr>
            <w:tcW w:w="1558" w:type="dxa"/>
            <w:tcMar>
              <w:left w:w="28" w:type="dxa"/>
              <w:right w:w="28" w:type="dxa"/>
            </w:tcMar>
          </w:tcPr>
          <w:p w14:paraId="0891A3F8" w14:textId="77777777" w:rsidR="00A072C0" w:rsidRPr="00041F97" w:rsidRDefault="00A072C0" w:rsidP="001A16F2">
            <w:pPr>
              <w:jc w:val="left"/>
              <w:rPr>
                <w:bCs/>
                <w:i/>
                <w:sz w:val="18"/>
                <w:szCs w:val="18"/>
              </w:rPr>
            </w:pPr>
            <w:r w:rsidRPr="00041F97">
              <w:rPr>
                <w:bCs/>
                <w:i/>
                <w:sz w:val="18"/>
                <w:szCs w:val="18"/>
              </w:rPr>
              <w:t>High Conservation Value Forests  (dispersal corridors, biodiversity rich areas and buffer areas) outside protected area network lack appropriate management regimes</w:t>
            </w:r>
          </w:p>
        </w:tc>
        <w:tc>
          <w:tcPr>
            <w:tcW w:w="2020" w:type="dxa"/>
            <w:tcMar>
              <w:left w:w="28" w:type="dxa"/>
              <w:right w:w="28" w:type="dxa"/>
            </w:tcMar>
          </w:tcPr>
          <w:p w14:paraId="564C0EA6" w14:textId="71F01199" w:rsidR="00A072C0" w:rsidRPr="005C3E66" w:rsidRDefault="004E4D5A" w:rsidP="00796CB2">
            <w:pPr>
              <w:jc w:val="left"/>
              <w:rPr>
                <w:bCs/>
                <w:i/>
                <w:sz w:val="18"/>
                <w:szCs w:val="18"/>
              </w:rPr>
            </w:pPr>
            <w:r>
              <w:rPr>
                <w:bCs/>
                <w:i/>
                <w:sz w:val="18"/>
                <w:szCs w:val="18"/>
              </w:rPr>
              <w:t xml:space="preserve">High Conservation forests </w:t>
            </w:r>
            <w:r w:rsidRPr="00770868">
              <w:rPr>
                <w:i/>
                <w:sz w:val="18"/>
                <w:szCs w:val="18"/>
              </w:rPr>
              <w:t>including mangroves</w:t>
            </w:r>
            <w:r>
              <w:rPr>
                <w:i/>
                <w:sz w:val="18"/>
                <w:szCs w:val="18"/>
              </w:rPr>
              <w:t xml:space="preserve"> and marine areas</w:t>
            </w:r>
            <w:r w:rsidRPr="00770868">
              <w:rPr>
                <w:i/>
                <w:sz w:val="18"/>
                <w:szCs w:val="18"/>
              </w:rPr>
              <w:t xml:space="preserve"> for non-exhaustive use </w:t>
            </w:r>
            <w:r>
              <w:rPr>
                <w:i/>
                <w:sz w:val="18"/>
                <w:szCs w:val="18"/>
              </w:rPr>
              <w:t xml:space="preserve">mapped and </w:t>
            </w:r>
            <w:r w:rsidRPr="00770868">
              <w:rPr>
                <w:i/>
                <w:sz w:val="18"/>
                <w:szCs w:val="18"/>
              </w:rPr>
              <w:t xml:space="preserve">at least </w:t>
            </w:r>
            <w:r>
              <w:rPr>
                <w:i/>
                <w:sz w:val="18"/>
                <w:szCs w:val="18"/>
              </w:rPr>
              <w:t>2,500</w:t>
            </w:r>
            <w:r w:rsidRPr="00770868">
              <w:rPr>
                <w:i/>
                <w:sz w:val="18"/>
                <w:szCs w:val="18"/>
              </w:rPr>
              <w:t xml:space="preserve"> ha, </w:t>
            </w:r>
            <w:r w:rsidR="00796CB2">
              <w:rPr>
                <w:i/>
                <w:sz w:val="18"/>
                <w:szCs w:val="18"/>
              </w:rPr>
              <w:t>allocated for non-exhaustive use</w:t>
            </w:r>
            <w:r>
              <w:rPr>
                <w:i/>
                <w:sz w:val="18"/>
                <w:szCs w:val="18"/>
              </w:rPr>
              <w:t xml:space="preserve"> </w:t>
            </w:r>
          </w:p>
        </w:tc>
        <w:tc>
          <w:tcPr>
            <w:tcW w:w="1795" w:type="dxa"/>
            <w:tcMar>
              <w:left w:w="28" w:type="dxa"/>
              <w:right w:w="28" w:type="dxa"/>
            </w:tcMar>
          </w:tcPr>
          <w:p w14:paraId="3EDAE0EE" w14:textId="5C71E48F" w:rsidR="00A072C0" w:rsidRPr="00770868" w:rsidRDefault="001B5C3F" w:rsidP="008D0098">
            <w:pPr>
              <w:jc w:val="left"/>
              <w:rPr>
                <w:bCs/>
                <w:i/>
                <w:sz w:val="18"/>
                <w:szCs w:val="18"/>
              </w:rPr>
            </w:pPr>
            <w:r>
              <w:rPr>
                <w:i/>
                <w:sz w:val="18"/>
                <w:szCs w:val="18"/>
              </w:rPr>
              <w:t>H</w:t>
            </w:r>
            <w:r w:rsidR="00A072C0" w:rsidRPr="00770868">
              <w:rPr>
                <w:i/>
                <w:sz w:val="18"/>
                <w:szCs w:val="18"/>
              </w:rPr>
              <w:t xml:space="preserve">igh conservation value forests, </w:t>
            </w:r>
            <w:r>
              <w:rPr>
                <w:i/>
                <w:sz w:val="18"/>
                <w:szCs w:val="18"/>
              </w:rPr>
              <w:t>(</w:t>
            </w:r>
            <w:r w:rsidR="00A072C0" w:rsidRPr="00770868">
              <w:rPr>
                <w:i/>
                <w:sz w:val="18"/>
                <w:szCs w:val="18"/>
              </w:rPr>
              <w:t>including mangroves</w:t>
            </w:r>
            <w:r w:rsidR="00A072C0">
              <w:rPr>
                <w:i/>
                <w:sz w:val="18"/>
                <w:szCs w:val="18"/>
              </w:rPr>
              <w:t xml:space="preserve"> and marine areas</w:t>
            </w:r>
            <w:r w:rsidR="00A072C0" w:rsidRPr="00770868">
              <w:rPr>
                <w:i/>
                <w:sz w:val="18"/>
                <w:szCs w:val="18"/>
              </w:rPr>
              <w:t xml:space="preserve">) </w:t>
            </w:r>
            <w:r>
              <w:rPr>
                <w:i/>
                <w:sz w:val="18"/>
                <w:szCs w:val="18"/>
              </w:rPr>
              <w:t xml:space="preserve">allocated </w:t>
            </w:r>
            <w:r w:rsidR="00A072C0" w:rsidRPr="00770868">
              <w:rPr>
                <w:i/>
                <w:sz w:val="18"/>
                <w:szCs w:val="18"/>
              </w:rPr>
              <w:t>for non-exhaustive use of at least 15,000 ha, resulting in total avoided</w:t>
            </w:r>
            <w:r w:rsidR="008D0098">
              <w:rPr>
                <w:rFonts w:ascii="Times New Roman" w:hAnsi="Times New Roman"/>
                <w:i/>
                <w:sz w:val="18"/>
                <w:szCs w:val="18"/>
              </w:rPr>
              <w:t xml:space="preserve"> 2.46-3.0</w:t>
            </w:r>
            <w:r w:rsidR="008D0098" w:rsidRPr="002814A6">
              <w:rPr>
                <w:rFonts w:ascii="Times New Roman" w:hAnsi="Times New Roman"/>
                <w:i/>
                <w:sz w:val="18"/>
                <w:szCs w:val="18"/>
              </w:rPr>
              <w:t xml:space="preserve">9 million </w:t>
            </w:r>
            <w:r w:rsidR="008D0098">
              <w:rPr>
                <w:rFonts w:ascii="Times New Roman" w:hAnsi="Times New Roman"/>
                <w:i/>
                <w:sz w:val="18"/>
                <w:szCs w:val="18"/>
              </w:rPr>
              <w:t>t</w:t>
            </w:r>
            <w:r w:rsidR="008D0098" w:rsidRPr="002814A6">
              <w:rPr>
                <w:rFonts w:ascii="Times New Roman" w:hAnsi="Times New Roman"/>
                <w:i/>
                <w:sz w:val="18"/>
                <w:szCs w:val="18"/>
              </w:rPr>
              <w:t>CO</w:t>
            </w:r>
            <w:r w:rsidR="008D0098" w:rsidRPr="002814A6">
              <w:rPr>
                <w:rFonts w:ascii="Times New Roman" w:hAnsi="Times New Roman"/>
                <w:i/>
                <w:sz w:val="18"/>
                <w:szCs w:val="18"/>
                <w:vertAlign w:val="subscript"/>
              </w:rPr>
              <w:t xml:space="preserve">2 </w:t>
            </w:r>
            <w:r w:rsidR="00A072C0" w:rsidRPr="00770868">
              <w:rPr>
                <w:i/>
                <w:sz w:val="18"/>
                <w:szCs w:val="18"/>
              </w:rPr>
              <w:t>over 30 year period</w:t>
            </w:r>
          </w:p>
        </w:tc>
        <w:tc>
          <w:tcPr>
            <w:tcW w:w="2817" w:type="dxa"/>
            <w:vMerge w:val="restart"/>
            <w:tcMar>
              <w:left w:w="28" w:type="dxa"/>
              <w:right w:w="28" w:type="dxa"/>
            </w:tcMar>
          </w:tcPr>
          <w:p w14:paraId="6DF3D024" w14:textId="77777777" w:rsidR="00A072C0" w:rsidRPr="00041F97" w:rsidRDefault="00A072C0" w:rsidP="00770868">
            <w:pPr>
              <w:spacing w:after="0"/>
              <w:jc w:val="left"/>
              <w:rPr>
                <w:bCs/>
                <w:i/>
                <w:sz w:val="18"/>
                <w:szCs w:val="18"/>
              </w:rPr>
            </w:pPr>
            <w:r w:rsidRPr="00041F97">
              <w:rPr>
                <w:bCs/>
                <w:i/>
                <w:sz w:val="18"/>
                <w:szCs w:val="18"/>
                <w:u w:val="single"/>
              </w:rPr>
              <w:t>Assumption:</w:t>
            </w:r>
            <w:r w:rsidRPr="00041F97">
              <w:rPr>
                <w:bCs/>
                <w:i/>
                <w:sz w:val="18"/>
                <w:szCs w:val="18"/>
              </w:rPr>
              <w:t xml:space="preserve"> </w:t>
            </w:r>
          </w:p>
          <w:p w14:paraId="3D84F26F" w14:textId="77777777" w:rsidR="00A072C0" w:rsidRPr="00041F97" w:rsidRDefault="00A072C0" w:rsidP="00770868">
            <w:pPr>
              <w:spacing w:after="0"/>
              <w:jc w:val="left"/>
              <w:rPr>
                <w:bCs/>
                <w:i/>
                <w:sz w:val="18"/>
                <w:szCs w:val="18"/>
              </w:rPr>
            </w:pPr>
            <w:r w:rsidRPr="00041F97">
              <w:rPr>
                <w:bCs/>
                <w:i/>
                <w:sz w:val="18"/>
                <w:szCs w:val="18"/>
              </w:rPr>
              <w:t xml:space="preserve">-Development strategies and management plans will be officially approved by State governments with allocation of appropriate funding for their implementation  </w:t>
            </w:r>
          </w:p>
          <w:p w14:paraId="305561D2" w14:textId="63253D8A" w:rsidR="00A072C0" w:rsidRPr="00041F97" w:rsidRDefault="00104B42" w:rsidP="00770868">
            <w:pPr>
              <w:spacing w:after="0"/>
              <w:jc w:val="left"/>
              <w:rPr>
                <w:bCs/>
                <w:i/>
                <w:sz w:val="18"/>
                <w:szCs w:val="18"/>
              </w:rPr>
            </w:pPr>
            <w:r>
              <w:rPr>
                <w:bCs/>
                <w:i/>
                <w:sz w:val="18"/>
                <w:szCs w:val="18"/>
              </w:rPr>
              <w:t>-</w:t>
            </w:r>
            <w:r w:rsidR="00A072C0" w:rsidRPr="00041F97">
              <w:rPr>
                <w:bCs/>
                <w:i/>
                <w:sz w:val="18"/>
                <w:szCs w:val="18"/>
              </w:rPr>
              <w:t>The States will take active part in developing strategies and implementation using knowledge and skills provided by the project</w:t>
            </w:r>
          </w:p>
          <w:p w14:paraId="5696726E" w14:textId="26B6C6DA" w:rsidR="00A072C0" w:rsidRPr="00041F97" w:rsidRDefault="00104B42" w:rsidP="00770868">
            <w:pPr>
              <w:spacing w:after="0"/>
              <w:jc w:val="left"/>
              <w:rPr>
                <w:bCs/>
                <w:i/>
                <w:sz w:val="18"/>
                <w:szCs w:val="18"/>
              </w:rPr>
            </w:pPr>
            <w:r>
              <w:rPr>
                <w:bCs/>
                <w:i/>
                <w:sz w:val="18"/>
                <w:szCs w:val="18"/>
              </w:rPr>
              <w:t>-</w:t>
            </w:r>
            <w:r w:rsidR="00A072C0" w:rsidRPr="00041F97">
              <w:rPr>
                <w:bCs/>
                <w:i/>
                <w:sz w:val="18"/>
                <w:szCs w:val="18"/>
              </w:rPr>
              <w:t>Local communities are convinced that critical habitats in their vicinities will benefit livelihoods and ecological security to them and will participate in conservation and restoration work.</w:t>
            </w:r>
          </w:p>
          <w:p w14:paraId="0DD3FD0A" w14:textId="77777777" w:rsidR="00FF121F" w:rsidRDefault="00A072C0" w:rsidP="00770868">
            <w:pPr>
              <w:spacing w:after="0"/>
              <w:jc w:val="left"/>
              <w:rPr>
                <w:bCs/>
                <w:i/>
                <w:sz w:val="18"/>
                <w:szCs w:val="18"/>
              </w:rPr>
            </w:pPr>
            <w:r w:rsidRPr="00041F97">
              <w:rPr>
                <w:bCs/>
                <w:i/>
                <w:sz w:val="18"/>
                <w:szCs w:val="18"/>
              </w:rPr>
              <w:t>-Local community based institutions would establish an effective institutional mechanism to facilitate conservation outcomes</w:t>
            </w:r>
          </w:p>
          <w:p w14:paraId="6CFCDEA8" w14:textId="4B051D73" w:rsidR="00A072C0" w:rsidRPr="00041F97" w:rsidRDefault="00FF121F" w:rsidP="00770868">
            <w:pPr>
              <w:spacing w:after="0"/>
              <w:jc w:val="left"/>
              <w:rPr>
                <w:bCs/>
                <w:i/>
                <w:sz w:val="18"/>
                <w:szCs w:val="18"/>
              </w:rPr>
            </w:pPr>
            <w:r>
              <w:rPr>
                <w:bCs/>
                <w:i/>
                <w:sz w:val="18"/>
                <w:szCs w:val="18"/>
              </w:rPr>
              <w:t xml:space="preserve">- Division of Forestry </w:t>
            </w:r>
            <w:r w:rsidR="001B5C3F">
              <w:rPr>
                <w:bCs/>
                <w:i/>
                <w:sz w:val="18"/>
                <w:szCs w:val="18"/>
              </w:rPr>
              <w:t xml:space="preserve">capacity enhanced </w:t>
            </w:r>
            <w:r>
              <w:rPr>
                <w:bCs/>
                <w:i/>
                <w:sz w:val="18"/>
                <w:szCs w:val="18"/>
              </w:rPr>
              <w:t>to provide adequate leadership and support to states</w:t>
            </w:r>
          </w:p>
          <w:p w14:paraId="3BF6D196" w14:textId="77777777" w:rsidR="00A072C0" w:rsidRPr="00041F97" w:rsidRDefault="00A072C0" w:rsidP="00770868">
            <w:pPr>
              <w:spacing w:after="0"/>
              <w:jc w:val="left"/>
              <w:rPr>
                <w:bCs/>
                <w:i/>
                <w:sz w:val="18"/>
                <w:szCs w:val="18"/>
              </w:rPr>
            </w:pPr>
            <w:r w:rsidRPr="00041F97">
              <w:rPr>
                <w:bCs/>
                <w:i/>
                <w:sz w:val="18"/>
                <w:szCs w:val="18"/>
                <w:u w:val="single"/>
              </w:rPr>
              <w:t>Risk:</w:t>
            </w:r>
            <w:r w:rsidRPr="00041F97">
              <w:rPr>
                <w:bCs/>
                <w:i/>
                <w:sz w:val="18"/>
                <w:szCs w:val="18"/>
              </w:rPr>
              <w:t xml:space="preserve"> </w:t>
            </w:r>
          </w:p>
          <w:p w14:paraId="06D33965" w14:textId="77777777" w:rsidR="00A072C0" w:rsidRPr="00041F97" w:rsidRDefault="00A072C0" w:rsidP="00770868">
            <w:pPr>
              <w:spacing w:after="0"/>
              <w:jc w:val="left"/>
              <w:rPr>
                <w:bCs/>
                <w:i/>
                <w:sz w:val="18"/>
                <w:szCs w:val="18"/>
              </w:rPr>
            </w:pPr>
            <w:r w:rsidRPr="00041F97">
              <w:rPr>
                <w:bCs/>
                <w:i/>
                <w:sz w:val="18"/>
                <w:szCs w:val="18"/>
              </w:rPr>
              <w:t xml:space="preserve">-Administrative/political changes may undermine the implementation of the management plan strategies </w:t>
            </w:r>
          </w:p>
          <w:p w14:paraId="704D7942" w14:textId="77777777" w:rsidR="00A072C0" w:rsidRPr="00041F97" w:rsidRDefault="00A072C0" w:rsidP="00770868">
            <w:pPr>
              <w:spacing w:after="0"/>
              <w:jc w:val="left"/>
              <w:rPr>
                <w:bCs/>
                <w:i/>
                <w:sz w:val="18"/>
                <w:szCs w:val="18"/>
              </w:rPr>
            </w:pPr>
            <w:r w:rsidRPr="00041F97">
              <w:rPr>
                <w:i/>
                <w:sz w:val="18"/>
                <w:szCs w:val="18"/>
              </w:rPr>
              <w:t>-Lack of capacity in government and communities to meet obligations related to project</w:t>
            </w:r>
          </w:p>
          <w:p w14:paraId="72971009" w14:textId="77777777" w:rsidR="00A072C0" w:rsidRDefault="00A072C0" w:rsidP="00770868">
            <w:pPr>
              <w:spacing w:after="0"/>
              <w:jc w:val="left"/>
              <w:rPr>
                <w:bCs/>
                <w:i/>
                <w:sz w:val="18"/>
                <w:szCs w:val="18"/>
              </w:rPr>
            </w:pPr>
            <w:r w:rsidRPr="00041F97">
              <w:rPr>
                <w:i/>
                <w:sz w:val="18"/>
                <w:szCs w:val="18"/>
              </w:rPr>
              <w:t>-Conflicts between national, state local communities regarding management and access to natural resources</w:t>
            </w:r>
            <w:r w:rsidRPr="00041F97">
              <w:rPr>
                <w:bCs/>
                <w:i/>
                <w:sz w:val="18"/>
                <w:szCs w:val="18"/>
              </w:rPr>
              <w:t xml:space="preserve"> may undermine integrated planning approaches</w:t>
            </w:r>
          </w:p>
          <w:p w14:paraId="6731C133" w14:textId="284F3011" w:rsidR="00FF121F" w:rsidRPr="00041F97" w:rsidRDefault="00FF121F" w:rsidP="00770868">
            <w:pPr>
              <w:spacing w:after="0"/>
              <w:jc w:val="left"/>
              <w:rPr>
                <w:bCs/>
                <w:i/>
                <w:sz w:val="18"/>
                <w:szCs w:val="18"/>
                <w:u w:val="single"/>
              </w:rPr>
            </w:pPr>
            <w:r>
              <w:rPr>
                <w:bCs/>
                <w:i/>
                <w:sz w:val="18"/>
                <w:szCs w:val="18"/>
              </w:rPr>
              <w:t>- Natural disasters/Climate drivers exacerbate degradation</w:t>
            </w:r>
          </w:p>
        </w:tc>
      </w:tr>
      <w:tr w:rsidR="00A072C0" w:rsidRPr="0003763F" w14:paraId="5BA97E1C" w14:textId="77777777" w:rsidTr="00194AA1">
        <w:trPr>
          <w:trHeight w:val="235"/>
        </w:trPr>
        <w:tc>
          <w:tcPr>
            <w:tcW w:w="2605" w:type="dxa"/>
            <w:vMerge/>
            <w:shd w:val="pct12" w:color="auto" w:fill="auto"/>
            <w:tcMar>
              <w:left w:w="28" w:type="dxa"/>
              <w:right w:w="28" w:type="dxa"/>
            </w:tcMar>
          </w:tcPr>
          <w:p w14:paraId="409F8ADA" w14:textId="77777777" w:rsidR="00A072C0" w:rsidRPr="0003763F" w:rsidRDefault="00A072C0" w:rsidP="001A16F2">
            <w:pPr>
              <w:jc w:val="left"/>
              <w:rPr>
                <w:rFonts w:ascii="Times New Roman" w:hAnsi="Times New Roman"/>
                <w:b/>
                <w:bCs/>
                <w:sz w:val="18"/>
                <w:szCs w:val="18"/>
              </w:rPr>
            </w:pPr>
          </w:p>
        </w:tc>
        <w:tc>
          <w:tcPr>
            <w:tcW w:w="3595" w:type="dxa"/>
            <w:tcMar>
              <w:left w:w="28" w:type="dxa"/>
              <w:right w:w="28" w:type="dxa"/>
            </w:tcMar>
          </w:tcPr>
          <w:p w14:paraId="439E92A7" w14:textId="612F9101" w:rsidR="00A072C0" w:rsidRPr="005C3E66" w:rsidRDefault="00A072C0" w:rsidP="001B5C3F">
            <w:pPr>
              <w:tabs>
                <w:tab w:val="left" w:pos="144"/>
              </w:tabs>
              <w:jc w:val="left"/>
              <w:rPr>
                <w:i/>
                <w:sz w:val="18"/>
                <w:szCs w:val="18"/>
              </w:rPr>
            </w:pPr>
            <w:r w:rsidRPr="005C3E66">
              <w:rPr>
                <w:bCs/>
                <w:i/>
                <w:sz w:val="18"/>
                <w:szCs w:val="18"/>
              </w:rPr>
              <w:t xml:space="preserve">Indicator </w:t>
            </w:r>
            <w:r w:rsidR="001B5C3F">
              <w:rPr>
                <w:bCs/>
                <w:i/>
                <w:sz w:val="18"/>
                <w:szCs w:val="18"/>
              </w:rPr>
              <w:t>9</w:t>
            </w:r>
            <w:r w:rsidRPr="005C3E66">
              <w:rPr>
                <w:bCs/>
                <w:i/>
                <w:sz w:val="18"/>
                <w:szCs w:val="18"/>
              </w:rPr>
              <w:t>:</w:t>
            </w:r>
            <w:r w:rsidRPr="005C3E66">
              <w:rPr>
                <w:sz w:val="18"/>
                <w:szCs w:val="18"/>
              </w:rPr>
              <w:t xml:space="preserve"> Number of </w:t>
            </w:r>
            <w:r w:rsidRPr="00361297">
              <w:rPr>
                <w:sz w:val="18"/>
                <w:szCs w:val="18"/>
              </w:rPr>
              <w:t>hectares of degraded forests and grasslands and coastal and marine</w:t>
            </w:r>
            <w:r w:rsidRPr="005C3E66">
              <w:rPr>
                <w:sz w:val="18"/>
                <w:szCs w:val="18"/>
              </w:rPr>
              <w:t xml:space="preserve"> areas </w:t>
            </w:r>
            <w:r>
              <w:rPr>
                <w:sz w:val="18"/>
                <w:szCs w:val="18"/>
              </w:rPr>
              <w:t xml:space="preserve">outside PAN network </w:t>
            </w:r>
            <w:r w:rsidRPr="005C3E66">
              <w:rPr>
                <w:sz w:val="18"/>
                <w:szCs w:val="18"/>
              </w:rPr>
              <w:t xml:space="preserve">rehabilitated </w:t>
            </w:r>
          </w:p>
        </w:tc>
        <w:tc>
          <w:tcPr>
            <w:tcW w:w="1558" w:type="dxa"/>
            <w:tcMar>
              <w:left w:w="28" w:type="dxa"/>
              <w:right w:w="28" w:type="dxa"/>
            </w:tcMar>
          </w:tcPr>
          <w:p w14:paraId="356CF91E" w14:textId="720B303E" w:rsidR="00A072C0" w:rsidRPr="00041F97" w:rsidRDefault="00A072C0" w:rsidP="00945724">
            <w:pPr>
              <w:jc w:val="left"/>
              <w:rPr>
                <w:bCs/>
                <w:i/>
                <w:sz w:val="18"/>
                <w:szCs w:val="18"/>
              </w:rPr>
            </w:pPr>
            <w:r w:rsidRPr="00041F97">
              <w:rPr>
                <w:bCs/>
                <w:i/>
                <w:sz w:val="18"/>
                <w:szCs w:val="18"/>
              </w:rPr>
              <w:t>Over 1</w:t>
            </w:r>
            <w:r>
              <w:rPr>
                <w:bCs/>
                <w:i/>
                <w:sz w:val="18"/>
                <w:szCs w:val="18"/>
              </w:rPr>
              <w:t>2</w:t>
            </w:r>
            <w:r w:rsidRPr="00041F97">
              <w:rPr>
                <w:bCs/>
                <w:i/>
                <w:sz w:val="18"/>
                <w:szCs w:val="18"/>
              </w:rPr>
              <w:t>,</w:t>
            </w:r>
            <w:r>
              <w:rPr>
                <w:bCs/>
                <w:i/>
                <w:sz w:val="18"/>
                <w:szCs w:val="18"/>
              </w:rPr>
              <w:t>5</w:t>
            </w:r>
            <w:r w:rsidRPr="00041F97">
              <w:rPr>
                <w:bCs/>
                <w:i/>
                <w:sz w:val="18"/>
                <w:szCs w:val="18"/>
              </w:rPr>
              <w:t xml:space="preserve">00 hectares of forests, grasslands and </w:t>
            </w:r>
            <w:r w:rsidRPr="00361297">
              <w:rPr>
                <w:bCs/>
                <w:i/>
                <w:sz w:val="18"/>
                <w:szCs w:val="18"/>
              </w:rPr>
              <w:t>coastal and marine ecosystems</w:t>
            </w:r>
            <w:r w:rsidRPr="00041F97">
              <w:rPr>
                <w:bCs/>
                <w:i/>
                <w:sz w:val="18"/>
                <w:szCs w:val="18"/>
              </w:rPr>
              <w:t xml:space="preserve"> under continued degradation through overuse</w:t>
            </w:r>
          </w:p>
        </w:tc>
        <w:tc>
          <w:tcPr>
            <w:tcW w:w="2020" w:type="dxa"/>
            <w:tcMar>
              <w:left w:w="28" w:type="dxa"/>
              <w:right w:w="28" w:type="dxa"/>
            </w:tcMar>
          </w:tcPr>
          <w:p w14:paraId="309DD5AE" w14:textId="4672FBA7" w:rsidR="00A072C0" w:rsidRPr="0003763F" w:rsidRDefault="004E4D5A" w:rsidP="004E4D5A">
            <w:pPr>
              <w:jc w:val="left"/>
              <w:rPr>
                <w:rFonts w:ascii="Times New Roman" w:hAnsi="Times New Roman"/>
                <w:bCs/>
                <w:i/>
                <w:sz w:val="18"/>
                <w:szCs w:val="18"/>
              </w:rPr>
            </w:pPr>
            <w:r>
              <w:rPr>
                <w:i/>
                <w:sz w:val="18"/>
                <w:szCs w:val="18"/>
              </w:rPr>
              <w:t xml:space="preserve">At least 100 ha of degraded forests, grasslands and marine ecosystems under restoration through community actions </w:t>
            </w:r>
          </w:p>
        </w:tc>
        <w:tc>
          <w:tcPr>
            <w:tcW w:w="1795" w:type="dxa"/>
            <w:tcMar>
              <w:left w:w="28" w:type="dxa"/>
              <w:right w:w="28" w:type="dxa"/>
            </w:tcMar>
          </w:tcPr>
          <w:p w14:paraId="321B4FA0" w14:textId="04EFCC1E" w:rsidR="00A072C0" w:rsidRDefault="00A072C0" w:rsidP="00770868">
            <w:pPr>
              <w:tabs>
                <w:tab w:val="left" w:pos="144"/>
              </w:tabs>
              <w:jc w:val="left"/>
              <w:rPr>
                <w:i/>
                <w:sz w:val="18"/>
                <w:szCs w:val="18"/>
              </w:rPr>
            </w:pPr>
            <w:r>
              <w:rPr>
                <w:i/>
                <w:sz w:val="18"/>
                <w:szCs w:val="18"/>
              </w:rPr>
              <w:t xml:space="preserve">At least 1,000 ha of degraded forests, grasslands and marine ecosystems restored through community actions resulting in total </w:t>
            </w:r>
            <w:r w:rsidR="008D0098">
              <w:rPr>
                <w:i/>
                <w:sz w:val="18"/>
                <w:szCs w:val="18"/>
              </w:rPr>
              <w:t xml:space="preserve">sequestration of </w:t>
            </w:r>
            <w:r w:rsidR="008D0098">
              <w:rPr>
                <w:rFonts w:ascii="Times New Roman" w:hAnsi="Times New Roman"/>
                <w:i/>
                <w:sz w:val="18"/>
                <w:szCs w:val="18"/>
              </w:rPr>
              <w:t xml:space="preserve">0.804-0.859 </w:t>
            </w:r>
            <w:r w:rsidR="008D0098" w:rsidRPr="002814A6">
              <w:rPr>
                <w:rFonts w:ascii="Times New Roman" w:hAnsi="Times New Roman"/>
                <w:i/>
                <w:sz w:val="18"/>
                <w:szCs w:val="18"/>
              </w:rPr>
              <w:t xml:space="preserve">milion </w:t>
            </w:r>
            <w:r w:rsidR="008D0098">
              <w:rPr>
                <w:rFonts w:ascii="Times New Roman" w:hAnsi="Times New Roman"/>
                <w:i/>
                <w:sz w:val="18"/>
                <w:szCs w:val="18"/>
              </w:rPr>
              <w:t>t</w:t>
            </w:r>
            <w:r w:rsidR="008D0098" w:rsidRPr="002814A6">
              <w:rPr>
                <w:rFonts w:ascii="Times New Roman" w:hAnsi="Times New Roman"/>
                <w:i/>
                <w:sz w:val="18"/>
                <w:szCs w:val="18"/>
              </w:rPr>
              <w:t>CO</w:t>
            </w:r>
            <w:r w:rsidR="008D0098" w:rsidRPr="002814A6">
              <w:rPr>
                <w:rFonts w:ascii="Times New Roman" w:hAnsi="Times New Roman"/>
                <w:i/>
                <w:sz w:val="18"/>
                <w:szCs w:val="18"/>
                <w:vertAlign w:val="subscript"/>
              </w:rPr>
              <w:t xml:space="preserve">2 </w:t>
            </w:r>
            <w:r w:rsidR="008D0098">
              <w:rPr>
                <w:i/>
                <w:sz w:val="18"/>
                <w:szCs w:val="18"/>
                <w:vertAlign w:val="subscript"/>
              </w:rPr>
              <w:t xml:space="preserve"> </w:t>
            </w:r>
            <w:r>
              <w:rPr>
                <w:i/>
                <w:sz w:val="18"/>
                <w:szCs w:val="18"/>
              </w:rPr>
              <w:t>over 30 year period</w:t>
            </w:r>
          </w:p>
          <w:p w14:paraId="5CCA77AD" w14:textId="77777777" w:rsidR="00A072C0" w:rsidRPr="0003763F" w:rsidRDefault="00A072C0" w:rsidP="001A16F2">
            <w:pPr>
              <w:jc w:val="left"/>
              <w:rPr>
                <w:rFonts w:ascii="Times New Roman" w:hAnsi="Times New Roman"/>
                <w:bCs/>
                <w:i/>
                <w:sz w:val="18"/>
                <w:szCs w:val="18"/>
              </w:rPr>
            </w:pPr>
          </w:p>
        </w:tc>
        <w:tc>
          <w:tcPr>
            <w:tcW w:w="2817" w:type="dxa"/>
            <w:vMerge/>
            <w:tcMar>
              <w:left w:w="28" w:type="dxa"/>
              <w:right w:w="28" w:type="dxa"/>
            </w:tcMar>
          </w:tcPr>
          <w:p w14:paraId="5E5E1DC9" w14:textId="77777777" w:rsidR="00A072C0" w:rsidRPr="0003763F" w:rsidRDefault="00A072C0" w:rsidP="001A16F2">
            <w:pPr>
              <w:jc w:val="left"/>
              <w:rPr>
                <w:rFonts w:ascii="Times New Roman" w:hAnsi="Times New Roman"/>
                <w:bCs/>
                <w:i/>
                <w:sz w:val="18"/>
                <w:szCs w:val="18"/>
              </w:rPr>
            </w:pPr>
          </w:p>
        </w:tc>
      </w:tr>
      <w:tr w:rsidR="00A072C0" w:rsidRPr="0003763F" w14:paraId="29AFC42F" w14:textId="77777777" w:rsidTr="00194AA1">
        <w:trPr>
          <w:trHeight w:val="235"/>
        </w:trPr>
        <w:tc>
          <w:tcPr>
            <w:tcW w:w="2605" w:type="dxa"/>
            <w:vMerge/>
            <w:shd w:val="pct12" w:color="auto" w:fill="auto"/>
            <w:tcMar>
              <w:left w:w="28" w:type="dxa"/>
              <w:right w:w="28" w:type="dxa"/>
            </w:tcMar>
          </w:tcPr>
          <w:p w14:paraId="1057ED10" w14:textId="77777777" w:rsidR="00A072C0" w:rsidRPr="0003763F" w:rsidRDefault="00A072C0" w:rsidP="001A16F2">
            <w:pPr>
              <w:jc w:val="left"/>
              <w:rPr>
                <w:rFonts w:ascii="Times New Roman" w:hAnsi="Times New Roman"/>
                <w:b/>
                <w:bCs/>
                <w:sz w:val="18"/>
                <w:szCs w:val="18"/>
              </w:rPr>
            </w:pPr>
          </w:p>
        </w:tc>
        <w:tc>
          <w:tcPr>
            <w:tcW w:w="3595" w:type="dxa"/>
            <w:tcMar>
              <w:left w:w="28" w:type="dxa"/>
              <w:right w:w="28" w:type="dxa"/>
            </w:tcMar>
          </w:tcPr>
          <w:p w14:paraId="182E4014" w14:textId="78DAAD93" w:rsidR="00A072C0" w:rsidRPr="005C3E66" w:rsidRDefault="00A072C0" w:rsidP="004E4D5A">
            <w:pPr>
              <w:jc w:val="left"/>
              <w:rPr>
                <w:bCs/>
                <w:i/>
                <w:sz w:val="18"/>
                <w:szCs w:val="18"/>
              </w:rPr>
            </w:pPr>
            <w:r w:rsidRPr="005C3E66">
              <w:rPr>
                <w:bCs/>
                <w:i/>
                <w:sz w:val="18"/>
                <w:szCs w:val="18"/>
              </w:rPr>
              <w:t>Indicator 1</w:t>
            </w:r>
            <w:r w:rsidR="001B5C3F">
              <w:rPr>
                <w:bCs/>
                <w:i/>
                <w:sz w:val="18"/>
                <w:szCs w:val="18"/>
              </w:rPr>
              <w:t>0</w:t>
            </w:r>
            <w:r w:rsidRPr="005C3E66">
              <w:rPr>
                <w:bCs/>
                <w:i/>
                <w:sz w:val="18"/>
                <w:szCs w:val="18"/>
              </w:rPr>
              <w:t xml:space="preserve">: </w:t>
            </w:r>
            <w:r w:rsidR="004E4D5A">
              <w:rPr>
                <w:sz w:val="18"/>
                <w:szCs w:val="18"/>
              </w:rPr>
              <w:t>Change in s</w:t>
            </w:r>
            <w:r w:rsidRPr="005C3E66">
              <w:rPr>
                <w:sz w:val="18"/>
                <w:szCs w:val="18"/>
              </w:rPr>
              <w:t xml:space="preserve">tatus of populations of </w:t>
            </w:r>
            <w:r w:rsidR="004E4D5A">
              <w:rPr>
                <w:sz w:val="18"/>
                <w:szCs w:val="18"/>
              </w:rPr>
              <w:t xml:space="preserve">Micronesian Imperial Pigeon </w:t>
            </w:r>
            <w:r w:rsidR="003F5055">
              <w:rPr>
                <w:sz w:val="18"/>
                <w:szCs w:val="18"/>
              </w:rPr>
              <w:t>and Palaun Fruit Dove</w:t>
            </w:r>
          </w:p>
        </w:tc>
        <w:tc>
          <w:tcPr>
            <w:tcW w:w="1558" w:type="dxa"/>
            <w:tcMar>
              <w:left w:w="28" w:type="dxa"/>
              <w:right w:w="28" w:type="dxa"/>
            </w:tcMar>
          </w:tcPr>
          <w:p w14:paraId="3B73686D" w14:textId="427E4DB1" w:rsidR="00A072C0" w:rsidRPr="00041F97" w:rsidRDefault="004E4D5A" w:rsidP="00FF121F">
            <w:pPr>
              <w:jc w:val="left"/>
              <w:rPr>
                <w:bCs/>
                <w:i/>
                <w:sz w:val="18"/>
                <w:szCs w:val="18"/>
              </w:rPr>
            </w:pPr>
            <w:r>
              <w:rPr>
                <w:bCs/>
                <w:i/>
                <w:sz w:val="18"/>
                <w:szCs w:val="18"/>
              </w:rPr>
              <w:t xml:space="preserve">Declining populations of Micronesian Imperial Pigeon and Palaun Fruit Dove </w:t>
            </w:r>
            <w:r>
              <w:rPr>
                <w:bCs/>
                <w:i/>
                <w:sz w:val="18"/>
                <w:szCs w:val="18"/>
              </w:rPr>
              <w:lastRenderedPageBreak/>
              <w:t xml:space="preserve">with baseline of 3,000 and </w:t>
            </w:r>
            <w:r w:rsidR="00FF121F">
              <w:rPr>
                <w:bCs/>
                <w:i/>
                <w:sz w:val="18"/>
                <w:szCs w:val="18"/>
              </w:rPr>
              <w:t xml:space="preserve">1,600 </w:t>
            </w:r>
            <w:r>
              <w:rPr>
                <w:bCs/>
                <w:i/>
                <w:sz w:val="18"/>
                <w:szCs w:val="18"/>
              </w:rPr>
              <w:t xml:space="preserve">individuals respectively (2014) </w:t>
            </w:r>
          </w:p>
        </w:tc>
        <w:tc>
          <w:tcPr>
            <w:tcW w:w="2020" w:type="dxa"/>
            <w:tcMar>
              <w:left w:w="28" w:type="dxa"/>
              <w:right w:w="28" w:type="dxa"/>
            </w:tcMar>
          </w:tcPr>
          <w:p w14:paraId="3EB4A048" w14:textId="4FED28E3" w:rsidR="00A072C0" w:rsidRPr="0003763F" w:rsidRDefault="00A072C0" w:rsidP="003F5055">
            <w:pPr>
              <w:jc w:val="left"/>
              <w:rPr>
                <w:rFonts w:ascii="Times New Roman" w:hAnsi="Times New Roman"/>
                <w:bCs/>
                <w:i/>
                <w:sz w:val="18"/>
                <w:szCs w:val="18"/>
              </w:rPr>
            </w:pPr>
            <w:r w:rsidRPr="004D5203">
              <w:rPr>
                <w:bCs/>
                <w:i/>
                <w:sz w:val="18"/>
                <w:szCs w:val="18"/>
              </w:rPr>
              <w:lastRenderedPageBreak/>
              <w:t xml:space="preserve"> </w:t>
            </w:r>
            <w:r w:rsidR="003F5055" w:rsidRPr="004E4D5A">
              <w:rPr>
                <w:i/>
                <w:sz w:val="18"/>
                <w:szCs w:val="18"/>
              </w:rPr>
              <w:t>Maintained populations of</w:t>
            </w:r>
            <w:r w:rsidR="003F5055" w:rsidRPr="004E4D5A">
              <w:rPr>
                <w:bCs/>
                <w:i/>
                <w:sz w:val="18"/>
                <w:szCs w:val="18"/>
              </w:rPr>
              <w:t xml:space="preserve"> Micronesian Imperial Pigeon and Palaun Fruit Dove</w:t>
            </w:r>
            <w:r w:rsidR="003F5055" w:rsidRPr="004E4D5A">
              <w:rPr>
                <w:i/>
                <w:sz w:val="18"/>
                <w:szCs w:val="18"/>
              </w:rPr>
              <w:t xml:space="preserve"> from current </w:t>
            </w:r>
            <w:r w:rsidR="003F5055" w:rsidRPr="004E4D5A">
              <w:rPr>
                <w:i/>
                <w:sz w:val="18"/>
                <w:szCs w:val="18"/>
              </w:rPr>
              <w:lastRenderedPageBreak/>
              <w:t>baselines</w:t>
            </w:r>
          </w:p>
        </w:tc>
        <w:tc>
          <w:tcPr>
            <w:tcW w:w="1795" w:type="dxa"/>
            <w:tcMar>
              <w:left w:w="28" w:type="dxa"/>
              <w:right w:w="28" w:type="dxa"/>
            </w:tcMar>
          </w:tcPr>
          <w:p w14:paraId="3275C7E5" w14:textId="575D2957" w:rsidR="00A072C0" w:rsidRPr="0003763F" w:rsidRDefault="00A072C0" w:rsidP="004E4D5A">
            <w:pPr>
              <w:jc w:val="left"/>
              <w:rPr>
                <w:rFonts w:ascii="Times New Roman" w:hAnsi="Times New Roman"/>
                <w:bCs/>
                <w:i/>
                <w:sz w:val="18"/>
                <w:szCs w:val="18"/>
              </w:rPr>
            </w:pPr>
            <w:r w:rsidRPr="004E4D5A">
              <w:rPr>
                <w:i/>
                <w:sz w:val="18"/>
                <w:szCs w:val="18"/>
              </w:rPr>
              <w:lastRenderedPageBreak/>
              <w:t>Maintained or improved populations of</w:t>
            </w:r>
            <w:r w:rsidR="004E4D5A" w:rsidRPr="004E4D5A">
              <w:rPr>
                <w:bCs/>
                <w:i/>
                <w:sz w:val="18"/>
                <w:szCs w:val="18"/>
              </w:rPr>
              <w:t xml:space="preserve"> Micronesian Imperial Pigeon and Palaun Fruit Dove</w:t>
            </w:r>
            <w:r w:rsidRPr="004E4D5A">
              <w:rPr>
                <w:i/>
                <w:sz w:val="18"/>
                <w:szCs w:val="18"/>
              </w:rPr>
              <w:t xml:space="preserve"> from current </w:t>
            </w:r>
            <w:r w:rsidRPr="004E4D5A">
              <w:rPr>
                <w:i/>
                <w:sz w:val="18"/>
                <w:szCs w:val="18"/>
              </w:rPr>
              <w:lastRenderedPageBreak/>
              <w:t>baseline</w:t>
            </w:r>
            <w:r w:rsidR="004E4D5A" w:rsidRPr="004E4D5A">
              <w:rPr>
                <w:i/>
                <w:sz w:val="18"/>
                <w:szCs w:val="18"/>
              </w:rPr>
              <w:t>s</w:t>
            </w:r>
            <w:r w:rsidRPr="004E4D5A">
              <w:rPr>
                <w:i/>
                <w:sz w:val="18"/>
                <w:szCs w:val="18"/>
              </w:rPr>
              <w:t xml:space="preserve"> </w:t>
            </w:r>
          </w:p>
        </w:tc>
        <w:tc>
          <w:tcPr>
            <w:tcW w:w="2817" w:type="dxa"/>
            <w:tcMar>
              <w:left w:w="28" w:type="dxa"/>
              <w:right w:w="28" w:type="dxa"/>
            </w:tcMar>
          </w:tcPr>
          <w:p w14:paraId="6B825895" w14:textId="77777777" w:rsidR="00A072C0" w:rsidRPr="00041F97" w:rsidRDefault="00A072C0" w:rsidP="00104B42">
            <w:pPr>
              <w:spacing w:after="0"/>
              <w:jc w:val="left"/>
              <w:rPr>
                <w:bCs/>
                <w:i/>
                <w:sz w:val="18"/>
                <w:szCs w:val="18"/>
                <w:u w:val="single"/>
              </w:rPr>
            </w:pPr>
            <w:r w:rsidRPr="00041F97">
              <w:rPr>
                <w:bCs/>
                <w:i/>
                <w:sz w:val="18"/>
                <w:szCs w:val="18"/>
                <w:u w:val="single"/>
              </w:rPr>
              <w:lastRenderedPageBreak/>
              <w:t xml:space="preserve">Assumption: </w:t>
            </w:r>
          </w:p>
          <w:p w14:paraId="028D3568" w14:textId="77777777" w:rsidR="00A072C0" w:rsidRDefault="00A072C0" w:rsidP="00104B42">
            <w:pPr>
              <w:spacing w:after="0"/>
              <w:jc w:val="left"/>
              <w:rPr>
                <w:bCs/>
                <w:i/>
                <w:sz w:val="18"/>
                <w:szCs w:val="18"/>
              </w:rPr>
            </w:pPr>
            <w:r w:rsidRPr="00041F97">
              <w:rPr>
                <w:bCs/>
                <w:i/>
                <w:sz w:val="18"/>
                <w:szCs w:val="18"/>
                <w:u w:val="single"/>
              </w:rPr>
              <w:t>-</w:t>
            </w:r>
            <w:r w:rsidRPr="00041F97">
              <w:rPr>
                <w:bCs/>
                <w:i/>
                <w:sz w:val="18"/>
                <w:szCs w:val="18"/>
              </w:rPr>
              <w:t>Adequate technical capacity available for undertaking monitoring species populations</w:t>
            </w:r>
          </w:p>
          <w:p w14:paraId="42226921" w14:textId="77777777" w:rsidR="00FF121F" w:rsidRDefault="00FF121F" w:rsidP="00104B42">
            <w:pPr>
              <w:spacing w:after="0"/>
              <w:jc w:val="left"/>
              <w:rPr>
                <w:bCs/>
                <w:i/>
                <w:sz w:val="18"/>
                <w:szCs w:val="18"/>
              </w:rPr>
            </w:pPr>
            <w:r>
              <w:rPr>
                <w:bCs/>
                <w:i/>
                <w:sz w:val="18"/>
                <w:szCs w:val="18"/>
              </w:rPr>
              <w:t xml:space="preserve">-Pigeons are declining because of </w:t>
            </w:r>
            <w:r>
              <w:rPr>
                <w:bCs/>
                <w:i/>
                <w:sz w:val="18"/>
                <w:szCs w:val="18"/>
              </w:rPr>
              <w:lastRenderedPageBreak/>
              <w:t>hunting, and improved enforcement will increase population</w:t>
            </w:r>
          </w:p>
          <w:p w14:paraId="0FA82F11" w14:textId="48B4A782" w:rsidR="00FF121F" w:rsidRPr="00041F97" w:rsidRDefault="00FF121F" w:rsidP="00104B42">
            <w:pPr>
              <w:spacing w:after="0"/>
              <w:jc w:val="left"/>
              <w:rPr>
                <w:bCs/>
                <w:i/>
                <w:sz w:val="18"/>
                <w:szCs w:val="18"/>
              </w:rPr>
            </w:pPr>
            <w:r>
              <w:rPr>
                <w:bCs/>
                <w:i/>
                <w:sz w:val="18"/>
                <w:szCs w:val="18"/>
              </w:rPr>
              <w:t>-Fruit doves are declining because of habitat loss, and use of set-asides and best practices will lead to an increase</w:t>
            </w:r>
            <w:r w:rsidR="00104B42">
              <w:rPr>
                <w:bCs/>
                <w:i/>
                <w:sz w:val="18"/>
                <w:szCs w:val="18"/>
              </w:rPr>
              <w:t xml:space="preserve"> in numbers</w:t>
            </w:r>
          </w:p>
          <w:p w14:paraId="7E469232" w14:textId="77777777" w:rsidR="00A072C0" w:rsidRPr="00041F97" w:rsidRDefault="00A072C0" w:rsidP="00104B42">
            <w:pPr>
              <w:spacing w:after="0"/>
              <w:jc w:val="left"/>
              <w:rPr>
                <w:bCs/>
                <w:i/>
                <w:sz w:val="18"/>
                <w:szCs w:val="18"/>
                <w:u w:val="single"/>
              </w:rPr>
            </w:pPr>
            <w:r w:rsidRPr="00041F97">
              <w:rPr>
                <w:bCs/>
                <w:i/>
                <w:sz w:val="18"/>
                <w:szCs w:val="18"/>
                <w:u w:val="single"/>
              </w:rPr>
              <w:t>Risk:</w:t>
            </w:r>
          </w:p>
          <w:p w14:paraId="746389F0" w14:textId="77777777" w:rsidR="00A072C0" w:rsidRPr="00041F97" w:rsidRDefault="00A072C0" w:rsidP="00104B42">
            <w:pPr>
              <w:spacing w:after="0"/>
              <w:jc w:val="left"/>
              <w:rPr>
                <w:bCs/>
                <w:i/>
                <w:sz w:val="18"/>
                <w:szCs w:val="18"/>
              </w:rPr>
            </w:pPr>
            <w:r w:rsidRPr="00041F97">
              <w:rPr>
                <w:bCs/>
                <w:i/>
                <w:sz w:val="18"/>
                <w:szCs w:val="18"/>
              </w:rPr>
              <w:t>-External factors beyond the control of the project (e.g. climate change) might effect bird populations negatively</w:t>
            </w:r>
          </w:p>
        </w:tc>
      </w:tr>
      <w:tr w:rsidR="00A072C0" w:rsidRPr="0003763F" w14:paraId="08262BF7" w14:textId="77777777" w:rsidTr="00194AA1">
        <w:trPr>
          <w:trHeight w:val="235"/>
        </w:trPr>
        <w:tc>
          <w:tcPr>
            <w:tcW w:w="2605" w:type="dxa"/>
            <w:vMerge/>
            <w:shd w:val="pct12" w:color="auto" w:fill="auto"/>
            <w:tcMar>
              <w:left w:w="28" w:type="dxa"/>
              <w:right w:w="28" w:type="dxa"/>
            </w:tcMar>
          </w:tcPr>
          <w:p w14:paraId="24717901" w14:textId="77777777" w:rsidR="00A072C0" w:rsidRPr="0003763F" w:rsidRDefault="00A072C0" w:rsidP="001A16F2">
            <w:pPr>
              <w:jc w:val="left"/>
              <w:rPr>
                <w:rFonts w:ascii="Times New Roman" w:hAnsi="Times New Roman"/>
                <w:b/>
                <w:bCs/>
                <w:sz w:val="18"/>
                <w:szCs w:val="18"/>
              </w:rPr>
            </w:pPr>
          </w:p>
        </w:tc>
        <w:tc>
          <w:tcPr>
            <w:tcW w:w="3595" w:type="dxa"/>
            <w:tcMar>
              <w:left w:w="28" w:type="dxa"/>
              <w:right w:w="28" w:type="dxa"/>
            </w:tcMar>
          </w:tcPr>
          <w:p w14:paraId="303BE565" w14:textId="7841D4EA" w:rsidR="00A072C0" w:rsidRPr="005C3E66" w:rsidRDefault="00A072C0" w:rsidP="004E4D5A">
            <w:pPr>
              <w:tabs>
                <w:tab w:val="left" w:pos="144"/>
              </w:tabs>
              <w:jc w:val="left"/>
              <w:rPr>
                <w:sz w:val="18"/>
                <w:szCs w:val="18"/>
              </w:rPr>
            </w:pPr>
            <w:r w:rsidRPr="005C3E66">
              <w:rPr>
                <w:bCs/>
                <w:i/>
                <w:sz w:val="18"/>
                <w:szCs w:val="18"/>
              </w:rPr>
              <w:t>Indicator 1</w:t>
            </w:r>
            <w:r w:rsidR="001B5C3F">
              <w:rPr>
                <w:bCs/>
                <w:i/>
                <w:sz w:val="18"/>
                <w:szCs w:val="18"/>
              </w:rPr>
              <w:t>1</w:t>
            </w:r>
            <w:r w:rsidRPr="005C3E66">
              <w:rPr>
                <w:bCs/>
                <w:i/>
                <w:sz w:val="18"/>
                <w:szCs w:val="18"/>
              </w:rPr>
              <w:t xml:space="preserve">: </w:t>
            </w:r>
            <w:r w:rsidRPr="005C3E66">
              <w:rPr>
                <w:sz w:val="18"/>
                <w:szCs w:val="18"/>
              </w:rPr>
              <w:t xml:space="preserve"> Extent of community-based land, forest, coastal and marine management regimes applied, including resultant changes in community incomes from current levels</w:t>
            </w:r>
          </w:p>
        </w:tc>
        <w:tc>
          <w:tcPr>
            <w:tcW w:w="1558" w:type="dxa"/>
            <w:tcMar>
              <w:left w:w="28" w:type="dxa"/>
              <w:right w:w="28" w:type="dxa"/>
            </w:tcMar>
          </w:tcPr>
          <w:p w14:paraId="04DC18DB" w14:textId="0292A4A5" w:rsidR="00A072C0" w:rsidRPr="00041F97" w:rsidRDefault="00A072C0" w:rsidP="003F5055">
            <w:pPr>
              <w:jc w:val="left"/>
              <w:rPr>
                <w:bCs/>
                <w:i/>
                <w:sz w:val="18"/>
                <w:szCs w:val="18"/>
              </w:rPr>
            </w:pPr>
            <w:r w:rsidRPr="00041F97">
              <w:rPr>
                <w:bCs/>
                <w:i/>
                <w:sz w:val="18"/>
                <w:szCs w:val="18"/>
              </w:rPr>
              <w:t xml:space="preserve">Current extent of area under </w:t>
            </w:r>
            <w:r w:rsidRPr="00041F97">
              <w:rPr>
                <w:i/>
                <w:sz w:val="18"/>
                <w:szCs w:val="18"/>
              </w:rPr>
              <w:t xml:space="preserve">community land, forest, coastal and marine management regimes in </w:t>
            </w:r>
            <w:r w:rsidR="003F5055">
              <w:rPr>
                <w:i/>
                <w:sz w:val="18"/>
                <w:szCs w:val="18"/>
              </w:rPr>
              <w:t xml:space="preserve">target </w:t>
            </w:r>
            <w:r w:rsidRPr="00041F97">
              <w:rPr>
                <w:i/>
                <w:sz w:val="18"/>
                <w:szCs w:val="18"/>
              </w:rPr>
              <w:t>project states</w:t>
            </w:r>
            <w:r w:rsidR="003F5055">
              <w:rPr>
                <w:i/>
                <w:sz w:val="18"/>
                <w:szCs w:val="18"/>
              </w:rPr>
              <w:t xml:space="preserve"> (to be determined in Year 1) </w:t>
            </w:r>
          </w:p>
        </w:tc>
        <w:tc>
          <w:tcPr>
            <w:tcW w:w="2020" w:type="dxa"/>
            <w:tcMar>
              <w:left w:w="28" w:type="dxa"/>
              <w:right w:w="28" w:type="dxa"/>
            </w:tcMar>
          </w:tcPr>
          <w:p w14:paraId="0AB22FC7" w14:textId="2BA264E9" w:rsidR="00A072C0" w:rsidRPr="001B5C3F" w:rsidRDefault="001B5C3F" w:rsidP="001B5C3F">
            <w:pPr>
              <w:jc w:val="left"/>
              <w:rPr>
                <w:rFonts w:asciiTheme="majorHAnsi" w:hAnsiTheme="majorHAnsi"/>
                <w:bCs/>
                <w:i/>
                <w:sz w:val="18"/>
                <w:szCs w:val="18"/>
              </w:rPr>
            </w:pPr>
            <w:r w:rsidRPr="001B5C3F">
              <w:rPr>
                <w:rFonts w:asciiTheme="majorHAnsi" w:hAnsiTheme="majorHAnsi"/>
                <w:bCs/>
                <w:i/>
                <w:sz w:val="18"/>
                <w:szCs w:val="18"/>
              </w:rPr>
              <w:t xml:space="preserve">Areas for </w:t>
            </w:r>
            <w:r>
              <w:rPr>
                <w:rFonts w:asciiTheme="majorHAnsi" w:hAnsiTheme="majorHAnsi"/>
                <w:bCs/>
                <w:i/>
                <w:sz w:val="18"/>
                <w:szCs w:val="18"/>
              </w:rPr>
              <w:t>community-based management tota</w:t>
            </w:r>
            <w:r w:rsidRPr="001B5C3F">
              <w:rPr>
                <w:rFonts w:asciiTheme="majorHAnsi" w:hAnsiTheme="majorHAnsi"/>
                <w:bCs/>
                <w:i/>
                <w:sz w:val="18"/>
                <w:szCs w:val="18"/>
              </w:rPr>
              <w:t xml:space="preserve">ling at least 500 ha identified and agreed through a consensus building process, as part of the </w:t>
            </w:r>
            <w:r>
              <w:rPr>
                <w:rFonts w:asciiTheme="majorHAnsi" w:hAnsiTheme="majorHAnsi"/>
                <w:bCs/>
                <w:i/>
                <w:sz w:val="18"/>
                <w:szCs w:val="18"/>
              </w:rPr>
              <w:t xml:space="preserve">community-based </w:t>
            </w:r>
            <w:r w:rsidRPr="001B5C3F">
              <w:rPr>
                <w:rFonts w:asciiTheme="majorHAnsi" w:hAnsiTheme="majorHAnsi"/>
                <w:bCs/>
                <w:i/>
                <w:sz w:val="18"/>
                <w:szCs w:val="18"/>
              </w:rPr>
              <w:t>planning process.</w:t>
            </w:r>
          </w:p>
        </w:tc>
        <w:tc>
          <w:tcPr>
            <w:tcW w:w="1795" w:type="dxa"/>
            <w:tcMar>
              <w:left w:w="28" w:type="dxa"/>
              <w:right w:w="28" w:type="dxa"/>
            </w:tcMar>
          </w:tcPr>
          <w:p w14:paraId="70DF8AD4" w14:textId="6BE77415" w:rsidR="00A072C0" w:rsidRPr="00451774" w:rsidRDefault="00A072C0" w:rsidP="00451774">
            <w:pPr>
              <w:tabs>
                <w:tab w:val="left" w:pos="144"/>
              </w:tabs>
              <w:jc w:val="left"/>
              <w:rPr>
                <w:i/>
                <w:sz w:val="18"/>
                <w:szCs w:val="18"/>
              </w:rPr>
            </w:pPr>
            <w:r>
              <w:rPr>
                <w:i/>
                <w:sz w:val="18"/>
                <w:szCs w:val="18"/>
              </w:rPr>
              <w:t xml:space="preserve">Community-based land, forest, coastal and marine management regimes applied in at least 500 ha of additional areas resulting in </w:t>
            </w:r>
            <w:r w:rsidR="008D0098">
              <w:rPr>
                <w:i/>
                <w:sz w:val="18"/>
                <w:szCs w:val="18"/>
              </w:rPr>
              <w:t>25</w:t>
            </w:r>
            <w:r>
              <w:rPr>
                <w:i/>
                <w:sz w:val="18"/>
                <w:szCs w:val="18"/>
              </w:rPr>
              <w:t>% increase in community incomes from current levels, of which at least 50% of beneficiaries are women</w:t>
            </w:r>
          </w:p>
        </w:tc>
        <w:tc>
          <w:tcPr>
            <w:tcW w:w="2817" w:type="dxa"/>
            <w:tcMar>
              <w:left w:w="28" w:type="dxa"/>
              <w:right w:w="28" w:type="dxa"/>
            </w:tcMar>
          </w:tcPr>
          <w:p w14:paraId="4ADDE74B" w14:textId="77777777" w:rsidR="00A072C0" w:rsidRPr="00041F97" w:rsidRDefault="00A072C0" w:rsidP="00840325">
            <w:pPr>
              <w:spacing w:after="0"/>
              <w:jc w:val="left"/>
              <w:rPr>
                <w:bCs/>
                <w:i/>
                <w:sz w:val="18"/>
                <w:szCs w:val="18"/>
              </w:rPr>
            </w:pPr>
            <w:r w:rsidRPr="00041F97">
              <w:rPr>
                <w:bCs/>
                <w:i/>
                <w:sz w:val="18"/>
                <w:szCs w:val="18"/>
                <w:u w:val="single"/>
              </w:rPr>
              <w:t>Assumption:</w:t>
            </w:r>
            <w:r w:rsidRPr="00041F97">
              <w:rPr>
                <w:bCs/>
                <w:i/>
                <w:sz w:val="18"/>
                <w:szCs w:val="18"/>
              </w:rPr>
              <w:t xml:space="preserve"> </w:t>
            </w:r>
          </w:p>
          <w:p w14:paraId="3DFF00E3" w14:textId="77777777" w:rsidR="00A072C0" w:rsidRPr="00041F97" w:rsidRDefault="00A072C0" w:rsidP="00840325">
            <w:pPr>
              <w:spacing w:after="0"/>
              <w:jc w:val="left"/>
              <w:rPr>
                <w:bCs/>
                <w:i/>
                <w:sz w:val="18"/>
                <w:szCs w:val="18"/>
              </w:rPr>
            </w:pPr>
            <w:r w:rsidRPr="00041F97">
              <w:rPr>
                <w:bCs/>
                <w:i/>
                <w:sz w:val="18"/>
                <w:szCs w:val="18"/>
              </w:rPr>
              <w:t xml:space="preserve">-Capacities of the CSOs on planning and developing sustainable practices will be sufficient after training provided by the project. </w:t>
            </w:r>
          </w:p>
          <w:p w14:paraId="5F9ACFE5" w14:textId="558B0A41" w:rsidR="00A072C0" w:rsidRPr="00041F97" w:rsidRDefault="00A072C0" w:rsidP="00840325">
            <w:pPr>
              <w:spacing w:after="0"/>
              <w:jc w:val="left"/>
              <w:rPr>
                <w:bCs/>
                <w:i/>
                <w:sz w:val="18"/>
                <w:szCs w:val="18"/>
              </w:rPr>
            </w:pPr>
            <w:r w:rsidRPr="00041F97">
              <w:rPr>
                <w:bCs/>
                <w:i/>
                <w:sz w:val="18"/>
                <w:szCs w:val="18"/>
              </w:rPr>
              <w:t xml:space="preserve">-Local communities have economic interest in development of sustainable and new practices because they can provide more benefits than unsustainable ones. </w:t>
            </w:r>
          </w:p>
          <w:p w14:paraId="512672DC" w14:textId="77777777" w:rsidR="00A072C0" w:rsidRPr="00041F97" w:rsidRDefault="00A072C0" w:rsidP="00840325">
            <w:pPr>
              <w:spacing w:after="0"/>
              <w:jc w:val="left"/>
              <w:rPr>
                <w:bCs/>
                <w:i/>
                <w:sz w:val="18"/>
                <w:szCs w:val="18"/>
              </w:rPr>
            </w:pPr>
            <w:r w:rsidRPr="00041F97">
              <w:rPr>
                <w:bCs/>
                <w:i/>
                <w:sz w:val="18"/>
                <w:szCs w:val="18"/>
                <w:u w:val="single"/>
              </w:rPr>
              <w:t>Risks:</w:t>
            </w:r>
            <w:r w:rsidRPr="00041F97">
              <w:rPr>
                <w:bCs/>
                <w:i/>
                <w:sz w:val="18"/>
                <w:szCs w:val="18"/>
              </w:rPr>
              <w:t xml:space="preserve"> Priorities of the relevant state agencies in implementation of plans might be inconsistent with the objectives of conservation and livelihood development creating conflicts in terms of sustainable natural resources use.</w:t>
            </w:r>
          </w:p>
          <w:p w14:paraId="4B1146A0" w14:textId="77777777" w:rsidR="00A072C0" w:rsidRPr="00041F97" w:rsidRDefault="00A072C0" w:rsidP="00840325">
            <w:pPr>
              <w:spacing w:after="0"/>
              <w:jc w:val="left"/>
              <w:rPr>
                <w:bCs/>
                <w:i/>
                <w:sz w:val="18"/>
                <w:szCs w:val="18"/>
              </w:rPr>
            </w:pPr>
            <w:r w:rsidRPr="00041F97">
              <w:rPr>
                <w:bCs/>
                <w:i/>
                <w:sz w:val="18"/>
                <w:szCs w:val="18"/>
              </w:rPr>
              <w:t>-Any policy change (such as promotion of uncontrolled developments in tourism and infrastructure) that is not consistent with sustainable development may reduce impacts of project interventions</w:t>
            </w:r>
          </w:p>
          <w:p w14:paraId="70CF46C2" w14:textId="77777777" w:rsidR="00A072C0" w:rsidRPr="00041F97" w:rsidRDefault="00A072C0" w:rsidP="00840325">
            <w:pPr>
              <w:spacing w:after="0"/>
              <w:jc w:val="left"/>
              <w:rPr>
                <w:bCs/>
                <w:i/>
                <w:sz w:val="18"/>
                <w:szCs w:val="18"/>
              </w:rPr>
            </w:pPr>
            <w:r w:rsidRPr="00041F97">
              <w:rPr>
                <w:bCs/>
                <w:i/>
                <w:sz w:val="18"/>
                <w:szCs w:val="18"/>
              </w:rPr>
              <w:t>-Natural calamities may affect the ability of local communities to respond positively to holistic approaches to sustainable management of land and sea resources.</w:t>
            </w:r>
          </w:p>
          <w:p w14:paraId="5ADA6A20" w14:textId="77777777" w:rsidR="00A072C0" w:rsidRDefault="00A072C0" w:rsidP="00840325">
            <w:pPr>
              <w:jc w:val="left"/>
              <w:rPr>
                <w:rFonts w:ascii="Times New Roman" w:hAnsi="Times New Roman"/>
                <w:bCs/>
                <w:i/>
                <w:sz w:val="18"/>
                <w:szCs w:val="18"/>
              </w:rPr>
            </w:pPr>
            <w:r w:rsidRPr="00041F97">
              <w:rPr>
                <w:bCs/>
                <w:i/>
                <w:sz w:val="18"/>
                <w:szCs w:val="18"/>
              </w:rPr>
              <w:t xml:space="preserve">-Partner Organizations (NGOs) are unable to mobilize adequate manpower and technical resources to support sustainable actions </w:t>
            </w:r>
          </w:p>
        </w:tc>
      </w:tr>
      <w:tr w:rsidR="00A072C0" w:rsidRPr="0003763F" w14:paraId="2DFAC800" w14:textId="77777777" w:rsidTr="00194AA1">
        <w:trPr>
          <w:trHeight w:val="235"/>
        </w:trPr>
        <w:tc>
          <w:tcPr>
            <w:tcW w:w="2605" w:type="dxa"/>
            <w:vMerge w:val="restart"/>
            <w:shd w:val="pct12" w:color="auto" w:fill="auto"/>
            <w:tcMar>
              <w:left w:w="28" w:type="dxa"/>
              <w:right w:w="28" w:type="dxa"/>
            </w:tcMar>
          </w:tcPr>
          <w:p w14:paraId="3B714A25" w14:textId="5761D84D" w:rsidR="00A072C0" w:rsidRPr="0003763F" w:rsidRDefault="00A072C0" w:rsidP="001A16F2">
            <w:pPr>
              <w:jc w:val="left"/>
              <w:rPr>
                <w:rFonts w:ascii="Times New Roman" w:hAnsi="Times New Roman"/>
                <w:b/>
                <w:bCs/>
                <w:sz w:val="18"/>
                <w:szCs w:val="18"/>
              </w:rPr>
            </w:pPr>
            <w:r w:rsidRPr="0003763F">
              <w:rPr>
                <w:rFonts w:ascii="Times New Roman" w:hAnsi="Times New Roman"/>
                <w:b/>
                <w:bCs/>
                <w:sz w:val="18"/>
                <w:szCs w:val="18"/>
              </w:rPr>
              <w:lastRenderedPageBreak/>
              <w:t>Outcome 3</w:t>
            </w:r>
          </w:p>
          <w:p w14:paraId="043635C0" w14:textId="780944CE" w:rsidR="00A072C0" w:rsidRPr="00F41624" w:rsidRDefault="00A072C0" w:rsidP="003641C8">
            <w:pPr>
              <w:jc w:val="left"/>
              <w:rPr>
                <w:rFonts w:ascii="Times New Roman" w:hAnsi="Times New Roman"/>
                <w:bCs/>
                <w:sz w:val="18"/>
                <w:szCs w:val="18"/>
              </w:rPr>
            </w:pPr>
            <w:r w:rsidRPr="00F41624">
              <w:rPr>
                <w:sz w:val="18"/>
                <w:szCs w:val="18"/>
              </w:rPr>
              <w:t xml:space="preserve">Integrated </w:t>
            </w:r>
            <w:r w:rsidR="0021132C">
              <w:rPr>
                <w:sz w:val="18"/>
                <w:szCs w:val="18"/>
              </w:rPr>
              <w:t>multi-sector</w:t>
            </w:r>
            <w:r w:rsidRPr="00F41624">
              <w:rPr>
                <w:sz w:val="18"/>
                <w:szCs w:val="18"/>
              </w:rPr>
              <w:t xml:space="preserve"> planning and management operational in </w:t>
            </w:r>
            <w:r w:rsidR="003641C8">
              <w:rPr>
                <w:sz w:val="18"/>
                <w:szCs w:val="18"/>
              </w:rPr>
              <w:t>264,686</w:t>
            </w:r>
            <w:r w:rsidRPr="00F41624">
              <w:rPr>
                <w:sz w:val="18"/>
                <w:szCs w:val="18"/>
              </w:rPr>
              <w:t xml:space="preserve"> ha of seascapes and coastal areas</w:t>
            </w:r>
            <w:r w:rsidR="00FA196A">
              <w:rPr>
                <w:rStyle w:val="FootnoteReference"/>
                <w:szCs w:val="18"/>
              </w:rPr>
              <w:footnoteReference w:id="24"/>
            </w:r>
            <w:r w:rsidRPr="00F41624">
              <w:rPr>
                <w:sz w:val="18"/>
                <w:szCs w:val="18"/>
              </w:rPr>
              <w:t xml:space="preserve"> in the Southern Lagoon to reduce threats to biodiversity and improve ecosystem services to benefit communities and state economies</w:t>
            </w:r>
          </w:p>
        </w:tc>
        <w:tc>
          <w:tcPr>
            <w:tcW w:w="3595" w:type="dxa"/>
            <w:tcMar>
              <w:left w:w="28" w:type="dxa"/>
              <w:right w:w="28" w:type="dxa"/>
            </w:tcMar>
          </w:tcPr>
          <w:p w14:paraId="2EB8C517" w14:textId="1092003C" w:rsidR="00A072C0" w:rsidRPr="005C3E66" w:rsidRDefault="00A072C0" w:rsidP="003F5055">
            <w:pPr>
              <w:jc w:val="left"/>
              <w:rPr>
                <w:bCs/>
                <w:i/>
                <w:sz w:val="18"/>
                <w:szCs w:val="18"/>
              </w:rPr>
            </w:pPr>
            <w:r w:rsidRPr="005C3E66">
              <w:rPr>
                <w:bCs/>
                <w:i/>
                <w:sz w:val="18"/>
                <w:szCs w:val="18"/>
              </w:rPr>
              <w:t>Indicator 1</w:t>
            </w:r>
            <w:r w:rsidR="001B5C3F">
              <w:rPr>
                <w:bCs/>
                <w:i/>
                <w:sz w:val="18"/>
                <w:szCs w:val="18"/>
              </w:rPr>
              <w:t>2</w:t>
            </w:r>
            <w:r w:rsidRPr="005C3E66">
              <w:rPr>
                <w:bCs/>
                <w:i/>
                <w:sz w:val="18"/>
                <w:szCs w:val="18"/>
              </w:rPr>
              <w:t xml:space="preserve">: </w:t>
            </w:r>
            <w:r w:rsidR="001F73A9">
              <w:rPr>
                <w:sz w:val="18"/>
                <w:szCs w:val="18"/>
              </w:rPr>
              <w:t>Change in s</w:t>
            </w:r>
            <w:r w:rsidRPr="005C3E66">
              <w:rPr>
                <w:sz w:val="18"/>
                <w:szCs w:val="18"/>
              </w:rPr>
              <w:t xml:space="preserve">tatus of fish stocks in designated </w:t>
            </w:r>
            <w:r w:rsidR="003F5055">
              <w:rPr>
                <w:sz w:val="18"/>
                <w:szCs w:val="18"/>
              </w:rPr>
              <w:t>reef and sea grass areas based on biomass indices</w:t>
            </w:r>
          </w:p>
        </w:tc>
        <w:tc>
          <w:tcPr>
            <w:tcW w:w="1558" w:type="dxa"/>
            <w:tcMar>
              <w:left w:w="28" w:type="dxa"/>
              <w:right w:w="28" w:type="dxa"/>
            </w:tcMar>
          </w:tcPr>
          <w:p w14:paraId="2D6BB62B" w14:textId="309ABF36" w:rsidR="00A072C0" w:rsidRPr="003F5055" w:rsidRDefault="003F5055" w:rsidP="003F5055">
            <w:pPr>
              <w:jc w:val="left"/>
              <w:rPr>
                <w:rFonts w:asciiTheme="majorHAnsi" w:hAnsiTheme="majorHAnsi"/>
                <w:bCs/>
                <w:i/>
                <w:sz w:val="18"/>
                <w:szCs w:val="18"/>
              </w:rPr>
            </w:pPr>
            <w:r w:rsidRPr="003F5055">
              <w:rPr>
                <w:rFonts w:asciiTheme="majorHAnsi" w:hAnsiTheme="majorHAnsi"/>
                <w:bCs/>
                <w:i/>
                <w:sz w:val="18"/>
                <w:szCs w:val="18"/>
              </w:rPr>
              <w:t xml:space="preserve">Protected exposed reefs (outer reefs and channels) </w:t>
            </w:r>
            <w:r w:rsidR="001F73A9">
              <w:rPr>
                <w:rFonts w:asciiTheme="majorHAnsi" w:hAnsiTheme="majorHAnsi"/>
                <w:bCs/>
                <w:i/>
                <w:sz w:val="18"/>
                <w:szCs w:val="18"/>
              </w:rPr>
              <w:t>o</w:t>
            </w:r>
            <w:r>
              <w:rPr>
                <w:rFonts w:asciiTheme="majorHAnsi" w:hAnsiTheme="majorHAnsi"/>
                <w:bCs/>
                <w:i/>
                <w:sz w:val="18"/>
                <w:szCs w:val="18"/>
              </w:rPr>
              <w:t>f 714kg/ha (with unprotected exposed reefs having 63% of this figure compared with MPAs) and 258kg/ha in protected inner reefs (black reefs and patch reefs/reef flats) with unprotected reefs having 57% of this figure compared with MPAs</w:t>
            </w:r>
          </w:p>
        </w:tc>
        <w:tc>
          <w:tcPr>
            <w:tcW w:w="2020" w:type="dxa"/>
            <w:tcMar>
              <w:left w:w="28" w:type="dxa"/>
              <w:right w:w="28" w:type="dxa"/>
            </w:tcMar>
          </w:tcPr>
          <w:p w14:paraId="1AA4DB72" w14:textId="3BA655A8" w:rsidR="00A072C0" w:rsidRPr="0003763F" w:rsidRDefault="003F5055" w:rsidP="003F5055">
            <w:pPr>
              <w:jc w:val="left"/>
              <w:rPr>
                <w:rFonts w:ascii="Times New Roman" w:hAnsi="Times New Roman"/>
                <w:bCs/>
                <w:i/>
                <w:sz w:val="18"/>
                <w:szCs w:val="18"/>
              </w:rPr>
            </w:pPr>
            <w:r>
              <w:rPr>
                <w:i/>
                <w:sz w:val="18"/>
                <w:szCs w:val="18"/>
              </w:rPr>
              <w:t>Maintained fish stocks in designated zones from existing baselines</w:t>
            </w:r>
            <w:r w:rsidR="001F73A9">
              <w:rPr>
                <w:i/>
                <w:sz w:val="18"/>
                <w:szCs w:val="18"/>
              </w:rPr>
              <w:t xml:space="preserve"> in unprotected exposed outer and inner reefs </w:t>
            </w:r>
          </w:p>
        </w:tc>
        <w:tc>
          <w:tcPr>
            <w:tcW w:w="1795" w:type="dxa"/>
            <w:tcMar>
              <w:left w:w="28" w:type="dxa"/>
              <w:right w:w="28" w:type="dxa"/>
            </w:tcMar>
          </w:tcPr>
          <w:p w14:paraId="418361C8" w14:textId="4D8EA9B7" w:rsidR="00A072C0" w:rsidRPr="0003763F" w:rsidRDefault="00A072C0" w:rsidP="001F73A9">
            <w:pPr>
              <w:jc w:val="left"/>
              <w:rPr>
                <w:rFonts w:ascii="Times New Roman" w:hAnsi="Times New Roman"/>
                <w:bCs/>
                <w:i/>
                <w:sz w:val="18"/>
                <w:szCs w:val="18"/>
              </w:rPr>
            </w:pPr>
            <w:r>
              <w:rPr>
                <w:i/>
                <w:sz w:val="18"/>
                <w:szCs w:val="18"/>
              </w:rPr>
              <w:t xml:space="preserve">Maintained or improved </w:t>
            </w:r>
            <w:r w:rsidR="001F73A9">
              <w:rPr>
                <w:i/>
                <w:sz w:val="18"/>
                <w:szCs w:val="18"/>
              </w:rPr>
              <w:t>fish stocks in designated zones from existing baselines in unprotected exposed outer and inner reefs</w:t>
            </w:r>
          </w:p>
        </w:tc>
        <w:tc>
          <w:tcPr>
            <w:tcW w:w="2817" w:type="dxa"/>
            <w:vMerge w:val="restart"/>
            <w:tcMar>
              <w:left w:w="28" w:type="dxa"/>
              <w:right w:w="28" w:type="dxa"/>
            </w:tcMar>
          </w:tcPr>
          <w:p w14:paraId="684B066D" w14:textId="77777777" w:rsidR="00A072C0" w:rsidRPr="00041F97" w:rsidRDefault="00A072C0" w:rsidP="00104B42">
            <w:pPr>
              <w:spacing w:after="0"/>
              <w:jc w:val="left"/>
              <w:rPr>
                <w:bCs/>
                <w:i/>
                <w:sz w:val="18"/>
                <w:szCs w:val="18"/>
                <w:u w:val="single"/>
              </w:rPr>
            </w:pPr>
            <w:r w:rsidRPr="00041F97">
              <w:rPr>
                <w:bCs/>
                <w:i/>
                <w:sz w:val="18"/>
                <w:szCs w:val="18"/>
                <w:u w:val="single"/>
              </w:rPr>
              <w:t>Assumptions:</w:t>
            </w:r>
          </w:p>
          <w:p w14:paraId="21427C76" w14:textId="77777777" w:rsidR="00A072C0" w:rsidRPr="00041F97" w:rsidRDefault="00A072C0" w:rsidP="00104B42">
            <w:pPr>
              <w:spacing w:after="0"/>
              <w:jc w:val="left"/>
              <w:rPr>
                <w:bCs/>
                <w:i/>
                <w:sz w:val="18"/>
                <w:szCs w:val="18"/>
              </w:rPr>
            </w:pPr>
            <w:r w:rsidRPr="00041F97">
              <w:rPr>
                <w:bCs/>
                <w:i/>
                <w:sz w:val="18"/>
                <w:szCs w:val="18"/>
              </w:rPr>
              <w:t>-Adequate capacity and technical support available to monitor changes in species populations and ecosystem conditions</w:t>
            </w:r>
          </w:p>
          <w:p w14:paraId="0EAD6DD2" w14:textId="77777777" w:rsidR="00A072C0" w:rsidRPr="00041F97" w:rsidRDefault="00A072C0" w:rsidP="00104B42">
            <w:pPr>
              <w:spacing w:after="0"/>
              <w:jc w:val="left"/>
              <w:rPr>
                <w:bCs/>
                <w:i/>
                <w:sz w:val="18"/>
                <w:szCs w:val="18"/>
              </w:rPr>
            </w:pPr>
            <w:r w:rsidRPr="00041F97">
              <w:rPr>
                <w:bCs/>
                <w:i/>
                <w:sz w:val="18"/>
                <w:szCs w:val="18"/>
              </w:rPr>
              <w:t>-NGOs and other agencies will have adequate commitment and resources to implement rat eradication programs</w:t>
            </w:r>
          </w:p>
          <w:p w14:paraId="2E5AD88C" w14:textId="77777777" w:rsidR="00A072C0" w:rsidRPr="00041F97" w:rsidRDefault="00A072C0" w:rsidP="00104B42">
            <w:pPr>
              <w:spacing w:after="0"/>
              <w:jc w:val="left"/>
              <w:rPr>
                <w:bCs/>
                <w:i/>
                <w:sz w:val="18"/>
                <w:szCs w:val="18"/>
              </w:rPr>
            </w:pPr>
            <w:r w:rsidRPr="00041F97">
              <w:rPr>
                <w:bCs/>
                <w:i/>
                <w:sz w:val="18"/>
                <w:szCs w:val="18"/>
              </w:rPr>
              <w:t>-Adequate biosecurity measures will be instituted by state governments to prevent potential re-establishment of rats in cleared islands</w:t>
            </w:r>
          </w:p>
          <w:p w14:paraId="6E3242BB" w14:textId="77777777" w:rsidR="00A072C0" w:rsidRPr="00041F97" w:rsidRDefault="00A072C0" w:rsidP="00104B42">
            <w:pPr>
              <w:spacing w:after="0"/>
              <w:jc w:val="left"/>
              <w:rPr>
                <w:bCs/>
                <w:i/>
                <w:sz w:val="18"/>
                <w:szCs w:val="18"/>
                <w:u w:val="single"/>
              </w:rPr>
            </w:pPr>
            <w:r w:rsidRPr="00041F97">
              <w:rPr>
                <w:bCs/>
                <w:i/>
                <w:sz w:val="18"/>
                <w:szCs w:val="18"/>
                <w:u w:val="single"/>
              </w:rPr>
              <w:t>Risks:</w:t>
            </w:r>
          </w:p>
          <w:p w14:paraId="1936F1E7" w14:textId="77777777" w:rsidR="00A072C0" w:rsidRPr="00041F97" w:rsidRDefault="00A072C0" w:rsidP="00104B42">
            <w:pPr>
              <w:spacing w:after="0"/>
              <w:jc w:val="left"/>
              <w:rPr>
                <w:bCs/>
                <w:i/>
                <w:sz w:val="18"/>
                <w:szCs w:val="18"/>
              </w:rPr>
            </w:pPr>
            <w:r w:rsidRPr="00041F97">
              <w:rPr>
                <w:bCs/>
                <w:i/>
                <w:sz w:val="18"/>
                <w:szCs w:val="18"/>
              </w:rPr>
              <w:t>- Project period may be too short to reflect any substantial or measurable changes to population numbers and ecosystem conditions</w:t>
            </w:r>
          </w:p>
          <w:p w14:paraId="6BEAE908" w14:textId="77777777" w:rsidR="00A072C0" w:rsidRPr="00041F97" w:rsidRDefault="00A072C0" w:rsidP="00104B42">
            <w:pPr>
              <w:spacing w:after="0"/>
              <w:jc w:val="left"/>
              <w:rPr>
                <w:bCs/>
                <w:i/>
                <w:sz w:val="18"/>
                <w:szCs w:val="18"/>
              </w:rPr>
            </w:pPr>
            <w:r w:rsidRPr="00041F97">
              <w:rPr>
                <w:bCs/>
                <w:i/>
                <w:sz w:val="18"/>
                <w:szCs w:val="18"/>
              </w:rPr>
              <w:t>-External events, beyond the control of the project (climate events or other man-made actions) may have wide ranging impacts of species and ecosystem conditions, including movement of rats on floating debris from typhoons and storms</w:t>
            </w:r>
          </w:p>
        </w:tc>
      </w:tr>
      <w:tr w:rsidR="00A072C0" w:rsidRPr="0003763F" w14:paraId="0A711991" w14:textId="77777777" w:rsidTr="00194AA1">
        <w:trPr>
          <w:trHeight w:val="235"/>
        </w:trPr>
        <w:tc>
          <w:tcPr>
            <w:tcW w:w="2605" w:type="dxa"/>
            <w:vMerge/>
            <w:shd w:val="pct12" w:color="auto" w:fill="auto"/>
            <w:tcMar>
              <w:left w:w="28" w:type="dxa"/>
              <w:right w:w="28" w:type="dxa"/>
            </w:tcMar>
          </w:tcPr>
          <w:p w14:paraId="08D777A7" w14:textId="77777777" w:rsidR="00A072C0" w:rsidRPr="0003763F" w:rsidRDefault="00A072C0" w:rsidP="001A16F2">
            <w:pPr>
              <w:jc w:val="left"/>
              <w:rPr>
                <w:rFonts w:ascii="Times New Roman" w:hAnsi="Times New Roman"/>
                <w:b/>
                <w:bCs/>
                <w:sz w:val="18"/>
                <w:szCs w:val="18"/>
              </w:rPr>
            </w:pPr>
          </w:p>
        </w:tc>
        <w:tc>
          <w:tcPr>
            <w:tcW w:w="3595" w:type="dxa"/>
            <w:tcMar>
              <w:left w:w="28" w:type="dxa"/>
              <w:right w:w="28" w:type="dxa"/>
            </w:tcMar>
          </w:tcPr>
          <w:p w14:paraId="4D15F85D" w14:textId="767920C1" w:rsidR="00A072C0" w:rsidRPr="005C3E66" w:rsidRDefault="00A072C0" w:rsidP="001B5C3F">
            <w:pPr>
              <w:jc w:val="left"/>
            </w:pPr>
            <w:r w:rsidRPr="005C3E66">
              <w:rPr>
                <w:bCs/>
                <w:i/>
                <w:sz w:val="18"/>
                <w:szCs w:val="18"/>
              </w:rPr>
              <w:t xml:space="preserve">Indicator </w:t>
            </w:r>
            <w:r w:rsidR="001B5C3F" w:rsidRPr="005C3E66">
              <w:rPr>
                <w:bCs/>
                <w:i/>
                <w:sz w:val="18"/>
                <w:szCs w:val="18"/>
              </w:rPr>
              <w:t>1</w:t>
            </w:r>
            <w:r w:rsidR="001B5C3F">
              <w:rPr>
                <w:bCs/>
                <w:i/>
                <w:sz w:val="18"/>
                <w:szCs w:val="18"/>
              </w:rPr>
              <w:t>3</w:t>
            </w:r>
            <w:r w:rsidRPr="005C3E66">
              <w:rPr>
                <w:bCs/>
                <w:i/>
                <w:sz w:val="18"/>
                <w:szCs w:val="18"/>
              </w:rPr>
              <w:t xml:space="preserve">: </w:t>
            </w:r>
            <w:r w:rsidR="001F73A9">
              <w:rPr>
                <w:sz w:val="18"/>
                <w:szCs w:val="18"/>
              </w:rPr>
              <w:t>Change in s</w:t>
            </w:r>
            <w:r w:rsidRPr="005C3E66">
              <w:rPr>
                <w:sz w:val="18"/>
                <w:szCs w:val="18"/>
              </w:rPr>
              <w:t xml:space="preserve">tatus of coral cover at designated sites </w:t>
            </w:r>
          </w:p>
        </w:tc>
        <w:tc>
          <w:tcPr>
            <w:tcW w:w="1558" w:type="dxa"/>
            <w:tcMar>
              <w:left w:w="28" w:type="dxa"/>
              <w:right w:w="28" w:type="dxa"/>
            </w:tcMar>
          </w:tcPr>
          <w:p w14:paraId="0EDB4F81" w14:textId="42E8DFDF" w:rsidR="00A072C0" w:rsidRPr="0003763F" w:rsidRDefault="001F73A9" w:rsidP="001F73A9">
            <w:pPr>
              <w:jc w:val="left"/>
              <w:rPr>
                <w:rFonts w:ascii="Times New Roman" w:hAnsi="Times New Roman"/>
                <w:bCs/>
                <w:i/>
                <w:sz w:val="18"/>
                <w:szCs w:val="18"/>
              </w:rPr>
            </w:pPr>
            <w:r>
              <w:rPr>
                <w:bCs/>
                <w:i/>
                <w:sz w:val="18"/>
                <w:szCs w:val="18"/>
              </w:rPr>
              <w:t>27% of reefs have “medium” coral cover (25-50% cover), while 13% of reefs have “low” coral cover (&lt;10% cover)</w:t>
            </w:r>
          </w:p>
        </w:tc>
        <w:tc>
          <w:tcPr>
            <w:tcW w:w="2020" w:type="dxa"/>
            <w:tcMar>
              <w:left w:w="28" w:type="dxa"/>
              <w:right w:w="28" w:type="dxa"/>
            </w:tcMar>
          </w:tcPr>
          <w:p w14:paraId="02A75830" w14:textId="15568AF1" w:rsidR="00A072C0" w:rsidRPr="0003763F" w:rsidRDefault="001F73A9" w:rsidP="001F73A9">
            <w:pPr>
              <w:jc w:val="left"/>
              <w:rPr>
                <w:rFonts w:ascii="Times New Roman" w:hAnsi="Times New Roman"/>
                <w:bCs/>
                <w:i/>
                <w:sz w:val="18"/>
                <w:szCs w:val="18"/>
              </w:rPr>
            </w:pPr>
            <w:r>
              <w:rPr>
                <w:i/>
                <w:sz w:val="18"/>
                <w:szCs w:val="18"/>
              </w:rPr>
              <w:t>Maintained percentage coral cover at designated sites from existing baseline</w:t>
            </w:r>
          </w:p>
        </w:tc>
        <w:tc>
          <w:tcPr>
            <w:tcW w:w="1795" w:type="dxa"/>
            <w:tcMar>
              <w:left w:w="28" w:type="dxa"/>
              <w:right w:w="28" w:type="dxa"/>
            </w:tcMar>
          </w:tcPr>
          <w:p w14:paraId="68EEE946" w14:textId="341CFDD1" w:rsidR="00A072C0" w:rsidRPr="0003763F" w:rsidRDefault="00A072C0" w:rsidP="001F73A9">
            <w:pPr>
              <w:jc w:val="left"/>
              <w:rPr>
                <w:rFonts w:ascii="Times New Roman" w:hAnsi="Times New Roman"/>
                <w:bCs/>
                <w:i/>
                <w:sz w:val="18"/>
                <w:szCs w:val="18"/>
              </w:rPr>
            </w:pPr>
            <w:r>
              <w:rPr>
                <w:i/>
                <w:sz w:val="18"/>
                <w:szCs w:val="18"/>
              </w:rPr>
              <w:t xml:space="preserve">Maintained or increased </w:t>
            </w:r>
            <w:r w:rsidR="001F73A9">
              <w:rPr>
                <w:i/>
                <w:sz w:val="18"/>
                <w:szCs w:val="18"/>
              </w:rPr>
              <w:t xml:space="preserve">percentage </w:t>
            </w:r>
            <w:r>
              <w:rPr>
                <w:i/>
                <w:sz w:val="18"/>
                <w:szCs w:val="18"/>
              </w:rPr>
              <w:t xml:space="preserve">coral cover at designated sites from existing baseline </w:t>
            </w:r>
          </w:p>
        </w:tc>
        <w:tc>
          <w:tcPr>
            <w:tcW w:w="2817" w:type="dxa"/>
            <w:vMerge/>
            <w:tcMar>
              <w:left w:w="28" w:type="dxa"/>
              <w:right w:w="28" w:type="dxa"/>
            </w:tcMar>
          </w:tcPr>
          <w:p w14:paraId="30781958" w14:textId="77777777" w:rsidR="00A072C0" w:rsidRPr="0003763F" w:rsidRDefault="00A072C0" w:rsidP="001A16F2">
            <w:pPr>
              <w:jc w:val="left"/>
              <w:rPr>
                <w:rFonts w:ascii="Times New Roman" w:hAnsi="Times New Roman"/>
                <w:bCs/>
                <w:i/>
                <w:sz w:val="18"/>
                <w:szCs w:val="18"/>
              </w:rPr>
            </w:pPr>
          </w:p>
        </w:tc>
      </w:tr>
      <w:tr w:rsidR="00A072C0" w:rsidRPr="0003763F" w14:paraId="1EFAFA10" w14:textId="77777777" w:rsidTr="00194AA1">
        <w:trPr>
          <w:trHeight w:val="235"/>
        </w:trPr>
        <w:tc>
          <w:tcPr>
            <w:tcW w:w="2605" w:type="dxa"/>
            <w:vMerge/>
            <w:shd w:val="pct12" w:color="auto" w:fill="auto"/>
            <w:tcMar>
              <w:left w:w="28" w:type="dxa"/>
              <w:right w:w="28" w:type="dxa"/>
            </w:tcMar>
          </w:tcPr>
          <w:p w14:paraId="0282A0AB" w14:textId="77777777" w:rsidR="00A072C0" w:rsidRPr="0003763F" w:rsidRDefault="00A072C0" w:rsidP="001A16F2">
            <w:pPr>
              <w:jc w:val="left"/>
              <w:rPr>
                <w:rFonts w:ascii="Times New Roman" w:hAnsi="Times New Roman"/>
                <w:b/>
                <w:bCs/>
                <w:sz w:val="18"/>
                <w:szCs w:val="18"/>
              </w:rPr>
            </w:pPr>
          </w:p>
        </w:tc>
        <w:tc>
          <w:tcPr>
            <w:tcW w:w="3595" w:type="dxa"/>
            <w:tcMar>
              <w:left w:w="28" w:type="dxa"/>
              <w:right w:w="28" w:type="dxa"/>
            </w:tcMar>
          </w:tcPr>
          <w:p w14:paraId="685A7445" w14:textId="03411ABF" w:rsidR="00A072C0" w:rsidRPr="005C3E66" w:rsidRDefault="00A072C0" w:rsidP="001B5C3F">
            <w:pPr>
              <w:jc w:val="left"/>
              <w:rPr>
                <w:bCs/>
                <w:i/>
                <w:sz w:val="18"/>
                <w:szCs w:val="18"/>
              </w:rPr>
            </w:pPr>
            <w:r w:rsidRPr="005C3E66">
              <w:rPr>
                <w:bCs/>
                <w:i/>
                <w:sz w:val="18"/>
                <w:szCs w:val="18"/>
              </w:rPr>
              <w:t xml:space="preserve">Indicator </w:t>
            </w:r>
            <w:r w:rsidR="001B5C3F" w:rsidRPr="005C3E66">
              <w:rPr>
                <w:bCs/>
                <w:i/>
                <w:sz w:val="18"/>
                <w:szCs w:val="18"/>
              </w:rPr>
              <w:t>1</w:t>
            </w:r>
            <w:r w:rsidR="001B5C3F">
              <w:rPr>
                <w:bCs/>
                <w:i/>
                <w:sz w:val="18"/>
                <w:szCs w:val="18"/>
              </w:rPr>
              <w:t>4</w:t>
            </w:r>
            <w:r w:rsidRPr="005C3E66">
              <w:rPr>
                <w:bCs/>
                <w:i/>
                <w:sz w:val="18"/>
                <w:szCs w:val="18"/>
              </w:rPr>
              <w:t>:</w:t>
            </w:r>
            <w:r w:rsidR="001F73A9">
              <w:rPr>
                <w:bCs/>
                <w:i/>
                <w:sz w:val="18"/>
                <w:szCs w:val="18"/>
              </w:rPr>
              <w:t xml:space="preserve"> </w:t>
            </w:r>
            <w:r w:rsidR="001F73A9" w:rsidRPr="001F73A9">
              <w:rPr>
                <w:bCs/>
                <w:sz w:val="18"/>
                <w:szCs w:val="18"/>
              </w:rPr>
              <w:t xml:space="preserve">Change </w:t>
            </w:r>
            <w:r w:rsidR="00E94305">
              <w:rPr>
                <w:bCs/>
                <w:sz w:val="18"/>
                <w:szCs w:val="18"/>
              </w:rPr>
              <w:t xml:space="preserve">in </w:t>
            </w:r>
            <w:r w:rsidR="0055742F">
              <w:rPr>
                <w:sz w:val="18"/>
                <w:szCs w:val="18"/>
              </w:rPr>
              <w:t xml:space="preserve">nesting success rates (number of nests, number of eggs, hatchlings and survival rates) for </w:t>
            </w:r>
            <w:r w:rsidRPr="006C28F4">
              <w:rPr>
                <w:sz w:val="18"/>
                <w:szCs w:val="18"/>
              </w:rPr>
              <w:t xml:space="preserve">Micronesian megapodes </w:t>
            </w:r>
            <w:r>
              <w:rPr>
                <w:sz w:val="18"/>
                <w:szCs w:val="18"/>
              </w:rPr>
              <w:t>in</w:t>
            </w:r>
            <w:r w:rsidRPr="006C28F4">
              <w:rPr>
                <w:sz w:val="18"/>
                <w:szCs w:val="18"/>
              </w:rPr>
              <w:t xml:space="preserve"> selected sites previously occupied by rats </w:t>
            </w:r>
          </w:p>
        </w:tc>
        <w:tc>
          <w:tcPr>
            <w:tcW w:w="1558" w:type="dxa"/>
            <w:tcMar>
              <w:left w:w="28" w:type="dxa"/>
              <w:right w:w="28" w:type="dxa"/>
            </w:tcMar>
          </w:tcPr>
          <w:p w14:paraId="712B6517" w14:textId="7525D720" w:rsidR="00A072C0" w:rsidRDefault="00A072C0" w:rsidP="00E910B8">
            <w:pPr>
              <w:jc w:val="left"/>
              <w:rPr>
                <w:rFonts w:ascii="Times New Roman" w:hAnsi="Times New Roman"/>
                <w:bCs/>
                <w:i/>
                <w:sz w:val="18"/>
                <w:szCs w:val="18"/>
              </w:rPr>
            </w:pPr>
            <w:r w:rsidRPr="00E910B8">
              <w:rPr>
                <w:bCs/>
                <w:i/>
                <w:sz w:val="18"/>
                <w:szCs w:val="18"/>
              </w:rPr>
              <w:t xml:space="preserve">Current </w:t>
            </w:r>
            <w:r>
              <w:rPr>
                <w:bCs/>
                <w:i/>
                <w:sz w:val="18"/>
                <w:szCs w:val="18"/>
              </w:rPr>
              <w:t xml:space="preserve">status of Micronesian megapodes </w:t>
            </w:r>
            <w:r w:rsidR="0055742F">
              <w:rPr>
                <w:bCs/>
                <w:i/>
                <w:sz w:val="18"/>
                <w:szCs w:val="18"/>
              </w:rPr>
              <w:t xml:space="preserve">nesting success </w:t>
            </w:r>
            <w:r>
              <w:rPr>
                <w:bCs/>
                <w:i/>
                <w:sz w:val="18"/>
                <w:szCs w:val="18"/>
              </w:rPr>
              <w:t>in selected islands established in Year 1</w:t>
            </w:r>
          </w:p>
        </w:tc>
        <w:tc>
          <w:tcPr>
            <w:tcW w:w="2020" w:type="dxa"/>
            <w:tcMar>
              <w:left w:w="28" w:type="dxa"/>
              <w:right w:w="28" w:type="dxa"/>
            </w:tcMar>
          </w:tcPr>
          <w:p w14:paraId="28D21506" w14:textId="3AC68A7D" w:rsidR="00A072C0" w:rsidRDefault="001F73A9" w:rsidP="001F73A9">
            <w:pPr>
              <w:jc w:val="left"/>
              <w:rPr>
                <w:rFonts w:ascii="Times New Roman" w:hAnsi="Times New Roman"/>
                <w:bCs/>
                <w:i/>
                <w:sz w:val="18"/>
                <w:szCs w:val="18"/>
              </w:rPr>
            </w:pPr>
            <w:r>
              <w:rPr>
                <w:i/>
                <w:sz w:val="18"/>
                <w:szCs w:val="18"/>
              </w:rPr>
              <w:t>Maintained population of Micronesian megapodes from selected sites previously occupied by rats from current baseline values</w:t>
            </w:r>
          </w:p>
        </w:tc>
        <w:tc>
          <w:tcPr>
            <w:tcW w:w="1795" w:type="dxa"/>
            <w:tcMar>
              <w:left w:w="28" w:type="dxa"/>
              <w:right w:w="28" w:type="dxa"/>
            </w:tcMar>
          </w:tcPr>
          <w:p w14:paraId="486AAC3C" w14:textId="5C377D7F" w:rsidR="00A072C0" w:rsidRPr="001F73A9" w:rsidRDefault="00A57EB2" w:rsidP="0055742F">
            <w:pPr>
              <w:tabs>
                <w:tab w:val="left" w:pos="144"/>
              </w:tabs>
              <w:spacing w:after="0"/>
              <w:jc w:val="left"/>
              <w:rPr>
                <w:i/>
                <w:sz w:val="18"/>
                <w:szCs w:val="18"/>
              </w:rPr>
            </w:pPr>
            <w:r>
              <w:rPr>
                <w:i/>
                <w:sz w:val="18"/>
                <w:szCs w:val="18"/>
              </w:rPr>
              <w:t>I</w:t>
            </w:r>
            <w:r w:rsidR="00A072C0">
              <w:rPr>
                <w:i/>
                <w:sz w:val="18"/>
                <w:szCs w:val="18"/>
              </w:rPr>
              <w:t>ncreased</w:t>
            </w:r>
            <w:r w:rsidR="0055742F">
              <w:rPr>
                <w:i/>
                <w:sz w:val="18"/>
                <w:szCs w:val="18"/>
              </w:rPr>
              <w:t xml:space="preserve"> nesting success rates </w:t>
            </w:r>
            <w:r w:rsidR="00A072C0">
              <w:rPr>
                <w:i/>
                <w:sz w:val="18"/>
                <w:szCs w:val="18"/>
              </w:rPr>
              <w:t xml:space="preserve">of Micronesian megapodes from selected sites previously occupied by rats from current baseline values </w:t>
            </w:r>
          </w:p>
        </w:tc>
        <w:tc>
          <w:tcPr>
            <w:tcW w:w="2817" w:type="dxa"/>
            <w:vMerge/>
            <w:tcMar>
              <w:left w:w="28" w:type="dxa"/>
              <w:right w:w="28" w:type="dxa"/>
            </w:tcMar>
          </w:tcPr>
          <w:p w14:paraId="3F5E47F3" w14:textId="77777777" w:rsidR="00A072C0" w:rsidRDefault="00A072C0" w:rsidP="001A16F2">
            <w:pPr>
              <w:jc w:val="left"/>
              <w:rPr>
                <w:rFonts w:ascii="Times New Roman" w:hAnsi="Times New Roman"/>
                <w:bCs/>
                <w:i/>
                <w:sz w:val="18"/>
                <w:szCs w:val="18"/>
              </w:rPr>
            </w:pPr>
          </w:p>
        </w:tc>
      </w:tr>
      <w:tr w:rsidR="00A072C0" w:rsidRPr="0003763F" w14:paraId="078BBC5C" w14:textId="77777777" w:rsidTr="00194AA1">
        <w:trPr>
          <w:trHeight w:val="390"/>
        </w:trPr>
        <w:tc>
          <w:tcPr>
            <w:tcW w:w="2605" w:type="dxa"/>
            <w:vMerge w:val="restart"/>
            <w:shd w:val="pct12" w:color="auto" w:fill="auto"/>
            <w:tcMar>
              <w:left w:w="28" w:type="dxa"/>
              <w:right w:w="28" w:type="dxa"/>
            </w:tcMar>
          </w:tcPr>
          <w:p w14:paraId="1D5807EA" w14:textId="5FB3E9E6" w:rsidR="00A072C0" w:rsidRPr="0003763F" w:rsidRDefault="00A072C0" w:rsidP="001A16F2">
            <w:pPr>
              <w:jc w:val="left"/>
              <w:rPr>
                <w:rFonts w:ascii="Times New Roman" w:hAnsi="Times New Roman"/>
                <w:b/>
                <w:bCs/>
                <w:sz w:val="18"/>
                <w:szCs w:val="18"/>
              </w:rPr>
            </w:pPr>
            <w:r w:rsidRPr="0003763F">
              <w:rPr>
                <w:rFonts w:ascii="Times New Roman" w:hAnsi="Times New Roman"/>
                <w:b/>
                <w:bCs/>
                <w:sz w:val="18"/>
                <w:szCs w:val="18"/>
              </w:rPr>
              <w:t>Outcome 4</w:t>
            </w:r>
          </w:p>
          <w:p w14:paraId="55345627" w14:textId="1420F3ED" w:rsidR="000437E6" w:rsidRPr="000437E6" w:rsidRDefault="000437E6" w:rsidP="001A16F2">
            <w:pPr>
              <w:jc w:val="left"/>
              <w:rPr>
                <w:rFonts w:ascii="Times New Roman" w:hAnsi="Times New Roman"/>
                <w:bCs/>
                <w:sz w:val="18"/>
                <w:szCs w:val="18"/>
              </w:rPr>
            </w:pPr>
            <w:r w:rsidRPr="00630DE3">
              <w:rPr>
                <w:rFonts w:asciiTheme="majorHAnsi" w:hAnsiTheme="majorHAnsi"/>
                <w:color w:val="000000"/>
                <w:sz w:val="18"/>
                <w:szCs w:val="18"/>
              </w:rPr>
              <w:t>Knowledge management, monitoring and evaluation support, equitable gender benefits and biodiversity conservation in Palau</w:t>
            </w:r>
          </w:p>
        </w:tc>
        <w:tc>
          <w:tcPr>
            <w:tcW w:w="3595" w:type="dxa"/>
            <w:tcMar>
              <w:left w:w="28" w:type="dxa"/>
              <w:right w:w="28" w:type="dxa"/>
            </w:tcMar>
          </w:tcPr>
          <w:p w14:paraId="53D9EE35" w14:textId="205B7C13" w:rsidR="00A072C0" w:rsidRPr="00720FA6" w:rsidRDefault="00A072C0" w:rsidP="001B5C3F">
            <w:pPr>
              <w:jc w:val="left"/>
              <w:rPr>
                <w:rFonts w:ascii="Times New Roman" w:hAnsi="Times New Roman"/>
                <w:bCs/>
                <w:i/>
                <w:sz w:val="18"/>
                <w:szCs w:val="18"/>
              </w:rPr>
            </w:pPr>
            <w:r w:rsidRPr="001F73A9">
              <w:rPr>
                <w:rFonts w:asciiTheme="majorHAnsi" w:hAnsiTheme="majorHAnsi"/>
                <w:bCs/>
                <w:i/>
                <w:sz w:val="18"/>
                <w:szCs w:val="18"/>
              </w:rPr>
              <w:t xml:space="preserve">Indicator </w:t>
            </w:r>
            <w:r w:rsidR="001B5C3F" w:rsidRPr="001F73A9">
              <w:rPr>
                <w:rFonts w:asciiTheme="majorHAnsi" w:hAnsiTheme="majorHAnsi"/>
                <w:bCs/>
                <w:i/>
                <w:sz w:val="18"/>
                <w:szCs w:val="18"/>
              </w:rPr>
              <w:t>1</w:t>
            </w:r>
            <w:r w:rsidR="001B5C3F">
              <w:rPr>
                <w:rFonts w:asciiTheme="majorHAnsi" w:hAnsiTheme="majorHAnsi"/>
                <w:bCs/>
                <w:i/>
                <w:sz w:val="18"/>
                <w:szCs w:val="18"/>
              </w:rPr>
              <w:t>5</w:t>
            </w:r>
            <w:r w:rsidRPr="00720FA6">
              <w:rPr>
                <w:rFonts w:ascii="Times New Roman" w:hAnsi="Times New Roman"/>
                <w:bCs/>
                <w:i/>
                <w:sz w:val="18"/>
                <w:szCs w:val="18"/>
              </w:rPr>
              <w:t xml:space="preserve">: </w:t>
            </w:r>
            <w:r>
              <w:rPr>
                <w:color w:val="000000"/>
                <w:sz w:val="18"/>
                <w:szCs w:val="18"/>
              </w:rPr>
              <w:t>Increase in percentage</w:t>
            </w:r>
            <w:r w:rsidRPr="006C28F4">
              <w:rPr>
                <w:color w:val="000000"/>
                <w:sz w:val="18"/>
                <w:szCs w:val="18"/>
              </w:rPr>
              <w:t xml:space="preserve"> of sampled community members, tour operators and sector agency staff aware of potential conservation threats and adverse impacts of IAS</w:t>
            </w:r>
          </w:p>
        </w:tc>
        <w:tc>
          <w:tcPr>
            <w:tcW w:w="1558" w:type="dxa"/>
            <w:tcMar>
              <w:left w:w="28" w:type="dxa"/>
              <w:right w:w="28" w:type="dxa"/>
            </w:tcMar>
          </w:tcPr>
          <w:p w14:paraId="6A945180" w14:textId="77777777" w:rsidR="00A072C0" w:rsidRPr="00041F97" w:rsidRDefault="00A072C0" w:rsidP="001A16F2">
            <w:pPr>
              <w:jc w:val="left"/>
              <w:rPr>
                <w:bCs/>
                <w:i/>
                <w:sz w:val="18"/>
                <w:szCs w:val="18"/>
              </w:rPr>
            </w:pPr>
            <w:r w:rsidRPr="00041F97">
              <w:rPr>
                <w:bCs/>
                <w:i/>
                <w:sz w:val="18"/>
                <w:szCs w:val="18"/>
              </w:rPr>
              <w:t xml:space="preserve">Coordinated outreach on conservation threats and biosecurity lacking. Limited awareness of impact IAS among general public. </w:t>
            </w:r>
            <w:r w:rsidRPr="00041F97">
              <w:rPr>
                <w:bCs/>
                <w:i/>
                <w:sz w:val="18"/>
                <w:szCs w:val="18"/>
              </w:rPr>
              <w:lastRenderedPageBreak/>
              <w:t>Baseline survey established in Year 1</w:t>
            </w:r>
          </w:p>
        </w:tc>
        <w:tc>
          <w:tcPr>
            <w:tcW w:w="2020" w:type="dxa"/>
            <w:tcMar>
              <w:left w:w="28" w:type="dxa"/>
              <w:right w:w="28" w:type="dxa"/>
            </w:tcMar>
          </w:tcPr>
          <w:p w14:paraId="57078B11" w14:textId="6DAED361" w:rsidR="00A072C0" w:rsidRPr="001F73A9" w:rsidRDefault="001F73A9" w:rsidP="001F73A9">
            <w:pPr>
              <w:jc w:val="left"/>
              <w:rPr>
                <w:rFonts w:asciiTheme="majorHAnsi" w:hAnsiTheme="majorHAnsi"/>
                <w:bCs/>
                <w:i/>
                <w:sz w:val="18"/>
                <w:szCs w:val="18"/>
              </w:rPr>
            </w:pPr>
            <w:r>
              <w:rPr>
                <w:i/>
                <w:color w:val="000000"/>
                <w:sz w:val="18"/>
                <w:szCs w:val="18"/>
              </w:rPr>
              <w:lastRenderedPageBreak/>
              <w:t xml:space="preserve">At least 5% of sampled community members and </w:t>
            </w:r>
            <w:r w:rsidR="001B5C3F">
              <w:rPr>
                <w:i/>
                <w:color w:val="000000"/>
                <w:sz w:val="18"/>
                <w:szCs w:val="18"/>
              </w:rPr>
              <w:t>2</w:t>
            </w:r>
            <w:r>
              <w:rPr>
                <w:i/>
                <w:color w:val="000000"/>
                <w:sz w:val="18"/>
                <w:szCs w:val="18"/>
              </w:rPr>
              <w:t>0% of, tour operators and sector agency staff aware of potential conservation threats and adverse impacts of IAS</w:t>
            </w:r>
          </w:p>
        </w:tc>
        <w:tc>
          <w:tcPr>
            <w:tcW w:w="1795" w:type="dxa"/>
            <w:tcMar>
              <w:left w:w="28" w:type="dxa"/>
              <w:right w:w="28" w:type="dxa"/>
            </w:tcMar>
          </w:tcPr>
          <w:p w14:paraId="576EF6C6" w14:textId="47ADB42B" w:rsidR="00A072C0" w:rsidRPr="0003763F" w:rsidRDefault="00A072C0" w:rsidP="001B5C3F">
            <w:pPr>
              <w:jc w:val="left"/>
              <w:rPr>
                <w:rFonts w:ascii="Times New Roman" w:hAnsi="Times New Roman"/>
                <w:bCs/>
                <w:i/>
                <w:sz w:val="18"/>
                <w:szCs w:val="18"/>
              </w:rPr>
            </w:pPr>
            <w:r>
              <w:rPr>
                <w:i/>
                <w:color w:val="000000"/>
                <w:sz w:val="18"/>
                <w:szCs w:val="18"/>
              </w:rPr>
              <w:t xml:space="preserve">At least </w:t>
            </w:r>
            <w:r w:rsidR="001F73A9">
              <w:rPr>
                <w:i/>
                <w:color w:val="000000"/>
                <w:sz w:val="18"/>
                <w:szCs w:val="18"/>
              </w:rPr>
              <w:t>25</w:t>
            </w:r>
            <w:r>
              <w:rPr>
                <w:i/>
                <w:color w:val="000000"/>
                <w:sz w:val="18"/>
                <w:szCs w:val="18"/>
              </w:rPr>
              <w:t>% of sampled community members</w:t>
            </w:r>
            <w:r w:rsidR="001F73A9">
              <w:rPr>
                <w:i/>
                <w:color w:val="000000"/>
                <w:sz w:val="18"/>
                <w:szCs w:val="18"/>
              </w:rPr>
              <w:t xml:space="preserve"> and </w:t>
            </w:r>
            <w:r w:rsidR="001B5C3F">
              <w:rPr>
                <w:i/>
                <w:color w:val="000000"/>
                <w:sz w:val="18"/>
                <w:szCs w:val="18"/>
              </w:rPr>
              <w:t>75</w:t>
            </w:r>
            <w:r w:rsidR="001F73A9">
              <w:rPr>
                <w:i/>
                <w:color w:val="000000"/>
                <w:sz w:val="18"/>
                <w:szCs w:val="18"/>
              </w:rPr>
              <w:t>% of</w:t>
            </w:r>
            <w:r>
              <w:rPr>
                <w:i/>
                <w:color w:val="000000"/>
                <w:sz w:val="18"/>
                <w:szCs w:val="18"/>
              </w:rPr>
              <w:t xml:space="preserve"> tour operators and sector agency staff aware of potential conservation threats and adverse impacts of </w:t>
            </w:r>
            <w:r>
              <w:rPr>
                <w:i/>
                <w:color w:val="000000"/>
                <w:sz w:val="18"/>
                <w:szCs w:val="18"/>
              </w:rPr>
              <w:lastRenderedPageBreak/>
              <w:t>IAS</w:t>
            </w:r>
            <w:r w:rsidR="00FF121F">
              <w:rPr>
                <w:i/>
                <w:color w:val="000000"/>
                <w:sz w:val="18"/>
                <w:szCs w:val="18"/>
              </w:rPr>
              <w:t xml:space="preserve"> with equitable knowledge among genders and social groups</w:t>
            </w:r>
            <w:r w:rsidR="00FA3256">
              <w:rPr>
                <w:i/>
                <w:color w:val="000000"/>
                <w:sz w:val="18"/>
                <w:szCs w:val="18"/>
              </w:rPr>
              <w:t xml:space="preserve"> of which at least 40% are women</w:t>
            </w:r>
            <w:r w:rsidR="00FF121F">
              <w:rPr>
                <w:i/>
                <w:color w:val="000000"/>
                <w:sz w:val="18"/>
                <w:szCs w:val="18"/>
              </w:rPr>
              <w:t>.</w:t>
            </w:r>
          </w:p>
        </w:tc>
        <w:tc>
          <w:tcPr>
            <w:tcW w:w="2817" w:type="dxa"/>
            <w:vMerge w:val="restart"/>
            <w:tcMar>
              <w:left w:w="28" w:type="dxa"/>
              <w:right w:w="28" w:type="dxa"/>
            </w:tcMar>
          </w:tcPr>
          <w:p w14:paraId="56FDDD79" w14:textId="77777777" w:rsidR="00A072C0" w:rsidRDefault="00A072C0" w:rsidP="00104B42">
            <w:pPr>
              <w:spacing w:after="0"/>
              <w:jc w:val="left"/>
              <w:rPr>
                <w:bCs/>
                <w:i/>
                <w:sz w:val="18"/>
                <w:szCs w:val="18"/>
              </w:rPr>
            </w:pPr>
            <w:r w:rsidRPr="00041F97">
              <w:rPr>
                <w:bCs/>
                <w:i/>
                <w:sz w:val="18"/>
                <w:szCs w:val="18"/>
                <w:u w:val="single"/>
              </w:rPr>
              <w:lastRenderedPageBreak/>
              <w:t>Assumption</w:t>
            </w:r>
            <w:r w:rsidRPr="00041F97">
              <w:rPr>
                <w:bCs/>
                <w:i/>
                <w:sz w:val="18"/>
                <w:szCs w:val="18"/>
              </w:rPr>
              <w:t xml:space="preserve">: </w:t>
            </w:r>
          </w:p>
          <w:p w14:paraId="02775CBE" w14:textId="4568F8E5" w:rsidR="00FF121F" w:rsidRPr="00041F97" w:rsidRDefault="00FF121F" w:rsidP="00104B42">
            <w:pPr>
              <w:spacing w:after="0"/>
              <w:jc w:val="left"/>
              <w:rPr>
                <w:bCs/>
                <w:i/>
                <w:sz w:val="18"/>
                <w:szCs w:val="18"/>
              </w:rPr>
            </w:pPr>
            <w:r>
              <w:rPr>
                <w:bCs/>
                <w:i/>
                <w:sz w:val="18"/>
                <w:szCs w:val="18"/>
              </w:rPr>
              <w:t>- Gender and Social Inclusion Mainstreaming Plan followed and benefits distributed equitably.</w:t>
            </w:r>
          </w:p>
          <w:p w14:paraId="6426591A" w14:textId="77777777" w:rsidR="00A072C0" w:rsidRPr="00041F97" w:rsidRDefault="00A072C0" w:rsidP="00104B42">
            <w:pPr>
              <w:spacing w:after="0"/>
              <w:jc w:val="left"/>
              <w:rPr>
                <w:bCs/>
                <w:i/>
                <w:sz w:val="18"/>
                <w:szCs w:val="18"/>
              </w:rPr>
            </w:pPr>
            <w:r w:rsidRPr="00041F97">
              <w:rPr>
                <w:bCs/>
                <w:i/>
                <w:sz w:val="18"/>
                <w:szCs w:val="18"/>
              </w:rPr>
              <w:t>-Stakeholders willing to actively participate in the review process.</w:t>
            </w:r>
          </w:p>
          <w:p w14:paraId="2E3514BC" w14:textId="77777777" w:rsidR="00A072C0" w:rsidRPr="00041F97" w:rsidRDefault="00A072C0" w:rsidP="00104B42">
            <w:pPr>
              <w:pStyle w:val="Tabletext"/>
              <w:framePr w:wrap="around"/>
              <w:rPr>
                <w:rFonts w:cs="Times New Roman"/>
              </w:rPr>
            </w:pPr>
            <w:r w:rsidRPr="00041F97">
              <w:rPr>
                <w:rFonts w:cs="Times New Roman"/>
              </w:rPr>
              <w:t xml:space="preserve">-Project management will be able to identify, document and disseminate </w:t>
            </w:r>
            <w:r w:rsidRPr="00041F97">
              <w:rPr>
                <w:rFonts w:cs="Times New Roman"/>
              </w:rPr>
              <w:lastRenderedPageBreak/>
              <w:t>the best practices</w:t>
            </w:r>
          </w:p>
          <w:p w14:paraId="4569456A" w14:textId="77777777" w:rsidR="00A072C0" w:rsidRPr="00041F97" w:rsidRDefault="00A072C0" w:rsidP="00104B42">
            <w:pPr>
              <w:spacing w:after="0"/>
              <w:jc w:val="left"/>
              <w:rPr>
                <w:bCs/>
                <w:i/>
                <w:sz w:val="18"/>
                <w:szCs w:val="18"/>
              </w:rPr>
            </w:pPr>
            <w:r w:rsidRPr="00041F97">
              <w:rPr>
                <w:i/>
                <w:sz w:val="18"/>
                <w:szCs w:val="18"/>
              </w:rPr>
              <w:t>-Mid Term Review and End of Project Evaluation of the project will also contribute to identifying the best practices</w:t>
            </w:r>
          </w:p>
          <w:p w14:paraId="7298DA88" w14:textId="77777777" w:rsidR="00A072C0" w:rsidRPr="00041F97" w:rsidRDefault="00A072C0" w:rsidP="00104B42">
            <w:pPr>
              <w:spacing w:after="0"/>
              <w:jc w:val="left"/>
              <w:rPr>
                <w:bCs/>
                <w:i/>
                <w:sz w:val="18"/>
                <w:szCs w:val="18"/>
              </w:rPr>
            </w:pPr>
            <w:r w:rsidRPr="00041F97">
              <w:rPr>
                <w:bCs/>
                <w:i/>
                <w:sz w:val="18"/>
                <w:szCs w:val="18"/>
                <w:u w:val="single"/>
              </w:rPr>
              <w:t>-</w:t>
            </w:r>
            <w:r w:rsidRPr="00041F97">
              <w:rPr>
                <w:bCs/>
                <w:i/>
                <w:sz w:val="18"/>
                <w:szCs w:val="18"/>
              </w:rPr>
              <w:t>Best practices from GEF 5 on sustainable resource management readily available to resource users</w:t>
            </w:r>
          </w:p>
          <w:p w14:paraId="6D048A3D" w14:textId="77777777" w:rsidR="00A072C0" w:rsidRPr="00041F97" w:rsidRDefault="00A072C0" w:rsidP="00104B42">
            <w:pPr>
              <w:spacing w:after="0"/>
              <w:jc w:val="left"/>
              <w:rPr>
                <w:bCs/>
                <w:i/>
                <w:sz w:val="18"/>
                <w:szCs w:val="18"/>
                <w:u w:val="single"/>
              </w:rPr>
            </w:pPr>
            <w:r w:rsidRPr="00041F97">
              <w:rPr>
                <w:bCs/>
                <w:i/>
                <w:sz w:val="18"/>
                <w:szCs w:val="18"/>
              </w:rPr>
              <w:t>-Coordination arrangements between GEF 5 and GEF 6 effective</w:t>
            </w:r>
          </w:p>
          <w:p w14:paraId="623849A8" w14:textId="77777777" w:rsidR="00A072C0" w:rsidRPr="00041F97" w:rsidRDefault="00A072C0" w:rsidP="00104B42">
            <w:pPr>
              <w:spacing w:after="0"/>
              <w:jc w:val="left"/>
              <w:rPr>
                <w:bCs/>
                <w:i/>
                <w:sz w:val="18"/>
                <w:szCs w:val="18"/>
                <w:u w:val="single"/>
              </w:rPr>
            </w:pPr>
            <w:r w:rsidRPr="00041F97">
              <w:rPr>
                <w:bCs/>
                <w:i/>
                <w:sz w:val="18"/>
                <w:szCs w:val="18"/>
                <w:u w:val="single"/>
              </w:rPr>
              <w:t xml:space="preserve">Risks:  </w:t>
            </w:r>
          </w:p>
          <w:p w14:paraId="246EA9D8" w14:textId="77777777" w:rsidR="00A072C0" w:rsidRPr="00041F97" w:rsidRDefault="00A072C0" w:rsidP="00104B42">
            <w:pPr>
              <w:spacing w:after="0"/>
              <w:jc w:val="left"/>
              <w:rPr>
                <w:i/>
                <w:sz w:val="18"/>
                <w:szCs w:val="18"/>
              </w:rPr>
            </w:pPr>
            <w:r w:rsidRPr="00041F97">
              <w:rPr>
                <w:bCs/>
                <w:i/>
                <w:sz w:val="18"/>
                <w:szCs w:val="18"/>
                <w:u w:val="single"/>
              </w:rPr>
              <w:t>-</w:t>
            </w:r>
            <w:r w:rsidRPr="00041F97">
              <w:rPr>
                <w:i/>
                <w:sz w:val="18"/>
                <w:szCs w:val="18"/>
              </w:rPr>
              <w:t>Government priorities may change from due to political pressure from resource users</w:t>
            </w:r>
          </w:p>
          <w:p w14:paraId="447687F4" w14:textId="77777777" w:rsidR="00A072C0" w:rsidRPr="002C12DD" w:rsidRDefault="00A072C0" w:rsidP="00104B42">
            <w:pPr>
              <w:spacing w:after="0"/>
              <w:jc w:val="left"/>
              <w:rPr>
                <w:bCs/>
                <w:i/>
                <w:sz w:val="18"/>
                <w:szCs w:val="18"/>
              </w:rPr>
            </w:pPr>
            <w:r w:rsidRPr="002C12DD">
              <w:rPr>
                <w:bCs/>
                <w:i/>
                <w:sz w:val="18"/>
                <w:szCs w:val="18"/>
              </w:rPr>
              <w:t>-Actions among the assorted agencies and NGOs remain uncoordinated</w:t>
            </w:r>
          </w:p>
          <w:p w14:paraId="124A763B" w14:textId="77777777" w:rsidR="00A072C0" w:rsidRDefault="00A072C0" w:rsidP="00104B42">
            <w:pPr>
              <w:spacing w:after="0"/>
              <w:jc w:val="left"/>
              <w:rPr>
                <w:bCs/>
                <w:i/>
                <w:sz w:val="18"/>
                <w:szCs w:val="18"/>
              </w:rPr>
            </w:pPr>
            <w:r w:rsidRPr="002C12DD">
              <w:rPr>
                <w:bCs/>
                <w:i/>
                <w:sz w:val="18"/>
                <w:szCs w:val="18"/>
              </w:rPr>
              <w:t>-Community diversity will not be a hindrance to outreach activities</w:t>
            </w:r>
          </w:p>
          <w:p w14:paraId="4DA68010" w14:textId="4988EA90" w:rsidR="00A072C0" w:rsidRPr="00041F97" w:rsidRDefault="00FF121F" w:rsidP="00104B42">
            <w:pPr>
              <w:spacing w:after="0"/>
              <w:jc w:val="left"/>
              <w:rPr>
                <w:bCs/>
                <w:i/>
                <w:sz w:val="18"/>
                <w:szCs w:val="18"/>
              </w:rPr>
            </w:pPr>
            <w:r>
              <w:rPr>
                <w:bCs/>
                <w:i/>
                <w:sz w:val="18"/>
                <w:szCs w:val="18"/>
              </w:rPr>
              <w:t>- Vulnerable groups are left out and continue using poor practices</w:t>
            </w:r>
          </w:p>
        </w:tc>
      </w:tr>
      <w:tr w:rsidR="00A072C0" w:rsidRPr="0003763F" w14:paraId="4459B67D" w14:textId="77777777" w:rsidTr="00194AA1">
        <w:trPr>
          <w:trHeight w:val="390"/>
        </w:trPr>
        <w:tc>
          <w:tcPr>
            <w:tcW w:w="2605" w:type="dxa"/>
            <w:vMerge/>
            <w:shd w:val="pct12" w:color="auto" w:fill="auto"/>
            <w:tcMar>
              <w:left w:w="28" w:type="dxa"/>
              <w:right w:w="28" w:type="dxa"/>
            </w:tcMar>
          </w:tcPr>
          <w:p w14:paraId="16C5C108" w14:textId="77777777" w:rsidR="00A072C0" w:rsidRPr="0003763F" w:rsidRDefault="00A072C0" w:rsidP="001A16F2">
            <w:pPr>
              <w:jc w:val="left"/>
              <w:rPr>
                <w:rFonts w:ascii="Times New Roman" w:hAnsi="Times New Roman"/>
                <w:b/>
                <w:bCs/>
                <w:sz w:val="18"/>
                <w:szCs w:val="18"/>
              </w:rPr>
            </w:pPr>
          </w:p>
        </w:tc>
        <w:tc>
          <w:tcPr>
            <w:tcW w:w="3595" w:type="dxa"/>
            <w:tcMar>
              <w:left w:w="28" w:type="dxa"/>
              <w:right w:w="28" w:type="dxa"/>
            </w:tcMar>
          </w:tcPr>
          <w:p w14:paraId="3B8B1ECE" w14:textId="351D5095" w:rsidR="00A072C0" w:rsidRPr="001F73A9" w:rsidRDefault="00A072C0" w:rsidP="001B5C3F">
            <w:pPr>
              <w:jc w:val="left"/>
              <w:rPr>
                <w:rFonts w:asciiTheme="majorHAnsi" w:hAnsiTheme="majorHAnsi"/>
              </w:rPr>
            </w:pPr>
            <w:r w:rsidRPr="001F73A9">
              <w:rPr>
                <w:rFonts w:asciiTheme="majorHAnsi" w:hAnsiTheme="majorHAnsi"/>
                <w:bCs/>
                <w:i/>
                <w:sz w:val="18"/>
                <w:szCs w:val="18"/>
              </w:rPr>
              <w:t xml:space="preserve">Indicator </w:t>
            </w:r>
            <w:r w:rsidR="001B5C3F">
              <w:rPr>
                <w:rFonts w:asciiTheme="majorHAnsi" w:hAnsiTheme="majorHAnsi"/>
                <w:bCs/>
                <w:i/>
                <w:sz w:val="18"/>
                <w:szCs w:val="18"/>
              </w:rPr>
              <w:t>16</w:t>
            </w:r>
            <w:r w:rsidRPr="001F73A9">
              <w:rPr>
                <w:rFonts w:asciiTheme="majorHAnsi" w:hAnsiTheme="majorHAnsi"/>
                <w:bCs/>
                <w:i/>
                <w:sz w:val="18"/>
                <w:szCs w:val="18"/>
              </w:rPr>
              <w:t xml:space="preserve">: </w:t>
            </w:r>
            <w:r w:rsidRPr="001F73A9">
              <w:rPr>
                <w:rFonts w:asciiTheme="majorHAnsi" w:hAnsiTheme="majorHAnsi"/>
                <w:color w:val="000000"/>
                <w:sz w:val="18"/>
                <w:szCs w:val="18"/>
              </w:rPr>
              <w:t>Percentage of fifth-grade students received updated “ridge to reef” curriculum, including IAS</w:t>
            </w:r>
          </w:p>
        </w:tc>
        <w:tc>
          <w:tcPr>
            <w:tcW w:w="1558" w:type="dxa"/>
            <w:tcMar>
              <w:left w:w="28" w:type="dxa"/>
              <w:right w:w="28" w:type="dxa"/>
            </w:tcMar>
          </w:tcPr>
          <w:p w14:paraId="6329A8F0" w14:textId="77777777" w:rsidR="00A072C0" w:rsidRPr="00041F97" w:rsidRDefault="00A072C0" w:rsidP="001A16F2">
            <w:pPr>
              <w:jc w:val="left"/>
              <w:rPr>
                <w:bCs/>
                <w:i/>
                <w:sz w:val="18"/>
                <w:szCs w:val="18"/>
              </w:rPr>
            </w:pPr>
            <w:r w:rsidRPr="00041F97">
              <w:rPr>
                <w:bCs/>
                <w:i/>
                <w:sz w:val="18"/>
                <w:szCs w:val="18"/>
              </w:rPr>
              <w:t>Fifth-grade curriculum lacks emphasis on integrated landscape and seascape planning and threats of IAS</w:t>
            </w:r>
          </w:p>
        </w:tc>
        <w:tc>
          <w:tcPr>
            <w:tcW w:w="2020" w:type="dxa"/>
            <w:tcMar>
              <w:left w:w="28" w:type="dxa"/>
              <w:right w:w="28" w:type="dxa"/>
            </w:tcMar>
          </w:tcPr>
          <w:p w14:paraId="5042F2CD" w14:textId="249B661D" w:rsidR="00A072C0" w:rsidRPr="00EC36CA" w:rsidRDefault="00FF121F" w:rsidP="001A16F2">
            <w:pPr>
              <w:jc w:val="left"/>
              <w:rPr>
                <w:rFonts w:asciiTheme="majorHAnsi" w:hAnsiTheme="majorHAnsi"/>
                <w:bCs/>
                <w:i/>
                <w:sz w:val="18"/>
                <w:szCs w:val="18"/>
              </w:rPr>
            </w:pPr>
            <w:r>
              <w:rPr>
                <w:rFonts w:asciiTheme="majorHAnsi" w:hAnsiTheme="majorHAnsi"/>
                <w:bCs/>
                <w:i/>
                <w:sz w:val="18"/>
                <w:szCs w:val="18"/>
              </w:rPr>
              <w:t>Curriculum updated to include biosecurity and IAS</w:t>
            </w:r>
          </w:p>
        </w:tc>
        <w:tc>
          <w:tcPr>
            <w:tcW w:w="1795" w:type="dxa"/>
            <w:tcMar>
              <w:left w:w="28" w:type="dxa"/>
              <w:right w:w="28" w:type="dxa"/>
            </w:tcMar>
          </w:tcPr>
          <w:p w14:paraId="336986BA" w14:textId="51915208" w:rsidR="00A072C0" w:rsidRPr="0003763F" w:rsidRDefault="00A072C0" w:rsidP="001A16F2">
            <w:pPr>
              <w:jc w:val="left"/>
              <w:rPr>
                <w:rFonts w:ascii="Times New Roman" w:hAnsi="Times New Roman"/>
                <w:bCs/>
                <w:i/>
                <w:sz w:val="18"/>
                <w:szCs w:val="18"/>
              </w:rPr>
            </w:pPr>
            <w:r>
              <w:rPr>
                <w:i/>
                <w:color w:val="000000"/>
                <w:sz w:val="18"/>
                <w:szCs w:val="18"/>
              </w:rPr>
              <w:t>At least 90% of fifth-grade students received updated “ridge to reef” curriculum, including IAS</w:t>
            </w:r>
            <w:r w:rsidR="00F570CB">
              <w:rPr>
                <w:i/>
                <w:color w:val="000000"/>
                <w:sz w:val="18"/>
                <w:szCs w:val="18"/>
              </w:rPr>
              <w:t xml:space="preserve"> of which at 50% are girls</w:t>
            </w:r>
          </w:p>
        </w:tc>
        <w:tc>
          <w:tcPr>
            <w:tcW w:w="2817" w:type="dxa"/>
            <w:vMerge/>
            <w:tcMar>
              <w:left w:w="28" w:type="dxa"/>
              <w:right w:w="28" w:type="dxa"/>
            </w:tcMar>
          </w:tcPr>
          <w:p w14:paraId="726268C1" w14:textId="77777777" w:rsidR="00A072C0" w:rsidRPr="0003763F" w:rsidRDefault="00A072C0" w:rsidP="001A16F2">
            <w:pPr>
              <w:jc w:val="left"/>
              <w:rPr>
                <w:rFonts w:ascii="Times New Roman" w:hAnsi="Times New Roman"/>
                <w:bCs/>
                <w:i/>
                <w:sz w:val="18"/>
                <w:szCs w:val="18"/>
              </w:rPr>
            </w:pPr>
          </w:p>
        </w:tc>
      </w:tr>
      <w:tr w:rsidR="00A072C0" w:rsidRPr="0003763F" w14:paraId="46378DD2" w14:textId="77777777" w:rsidTr="00194AA1">
        <w:trPr>
          <w:trHeight w:val="390"/>
        </w:trPr>
        <w:tc>
          <w:tcPr>
            <w:tcW w:w="2605" w:type="dxa"/>
            <w:vMerge/>
            <w:shd w:val="pct12" w:color="auto" w:fill="auto"/>
            <w:tcMar>
              <w:left w:w="28" w:type="dxa"/>
              <w:right w:w="28" w:type="dxa"/>
            </w:tcMar>
          </w:tcPr>
          <w:p w14:paraId="40BAB559" w14:textId="77777777" w:rsidR="00A072C0" w:rsidRPr="0003763F" w:rsidRDefault="00A072C0" w:rsidP="001A16F2">
            <w:pPr>
              <w:jc w:val="left"/>
              <w:rPr>
                <w:rFonts w:ascii="Times New Roman" w:hAnsi="Times New Roman"/>
                <w:b/>
                <w:bCs/>
                <w:sz w:val="18"/>
                <w:szCs w:val="18"/>
              </w:rPr>
            </w:pPr>
          </w:p>
        </w:tc>
        <w:tc>
          <w:tcPr>
            <w:tcW w:w="3595" w:type="dxa"/>
            <w:tcMar>
              <w:left w:w="28" w:type="dxa"/>
              <w:right w:w="28" w:type="dxa"/>
            </w:tcMar>
          </w:tcPr>
          <w:p w14:paraId="55CBEC4D" w14:textId="3131E188" w:rsidR="00A072C0" w:rsidRPr="001F73A9" w:rsidRDefault="001B5C3F" w:rsidP="001B5C3F">
            <w:pPr>
              <w:jc w:val="left"/>
              <w:rPr>
                <w:rFonts w:asciiTheme="majorHAnsi" w:hAnsiTheme="majorHAnsi"/>
                <w:bCs/>
                <w:i/>
                <w:sz w:val="18"/>
                <w:szCs w:val="18"/>
              </w:rPr>
            </w:pPr>
            <w:r w:rsidRPr="001F73A9">
              <w:rPr>
                <w:rFonts w:asciiTheme="majorHAnsi" w:hAnsiTheme="majorHAnsi"/>
                <w:bCs/>
                <w:i/>
                <w:sz w:val="18"/>
                <w:szCs w:val="18"/>
              </w:rPr>
              <w:t>Indicator</w:t>
            </w:r>
            <w:r>
              <w:rPr>
                <w:rFonts w:asciiTheme="majorHAnsi" w:hAnsiTheme="majorHAnsi"/>
                <w:bCs/>
                <w:i/>
                <w:sz w:val="18"/>
                <w:szCs w:val="18"/>
              </w:rPr>
              <w:t xml:space="preserve"> 17</w:t>
            </w:r>
            <w:r w:rsidR="00A072C0" w:rsidRPr="001F73A9">
              <w:rPr>
                <w:rFonts w:asciiTheme="majorHAnsi" w:hAnsiTheme="majorHAnsi"/>
                <w:bCs/>
                <w:i/>
                <w:sz w:val="18"/>
                <w:szCs w:val="18"/>
              </w:rPr>
              <w:t xml:space="preserve">: </w:t>
            </w:r>
            <w:r w:rsidR="00A072C0" w:rsidRPr="001F73A9">
              <w:rPr>
                <w:rFonts w:asciiTheme="majorHAnsi" w:hAnsiTheme="majorHAnsi"/>
                <w:color w:val="000000"/>
                <w:sz w:val="18"/>
                <w:szCs w:val="18"/>
              </w:rPr>
              <w:t>Number of best practices of sustainable land, coastal and marine resource use up-scaled by communities/households</w:t>
            </w:r>
          </w:p>
        </w:tc>
        <w:tc>
          <w:tcPr>
            <w:tcW w:w="1558" w:type="dxa"/>
            <w:tcMar>
              <w:left w:w="28" w:type="dxa"/>
              <w:right w:w="28" w:type="dxa"/>
            </w:tcMar>
          </w:tcPr>
          <w:p w14:paraId="0B351F11" w14:textId="77777777" w:rsidR="00A072C0" w:rsidRPr="00041F97" w:rsidRDefault="00A072C0" w:rsidP="002C12DD">
            <w:pPr>
              <w:jc w:val="left"/>
              <w:rPr>
                <w:bCs/>
                <w:i/>
                <w:sz w:val="18"/>
                <w:szCs w:val="18"/>
              </w:rPr>
            </w:pPr>
            <w:r w:rsidRPr="00041F97">
              <w:rPr>
                <w:bCs/>
                <w:i/>
                <w:sz w:val="18"/>
                <w:szCs w:val="18"/>
              </w:rPr>
              <w:t xml:space="preserve">Best practice and lessons from GEF 5 available, but currently resources do not exists for their implementation </w:t>
            </w:r>
          </w:p>
        </w:tc>
        <w:tc>
          <w:tcPr>
            <w:tcW w:w="2020" w:type="dxa"/>
            <w:tcMar>
              <w:left w:w="28" w:type="dxa"/>
              <w:right w:w="28" w:type="dxa"/>
            </w:tcMar>
          </w:tcPr>
          <w:p w14:paraId="0FF58188" w14:textId="55AC2EB6" w:rsidR="00A072C0" w:rsidRPr="00EC36CA" w:rsidRDefault="00FF121F" w:rsidP="001A16F2">
            <w:pPr>
              <w:jc w:val="left"/>
              <w:rPr>
                <w:rFonts w:asciiTheme="majorHAnsi" w:hAnsiTheme="majorHAnsi"/>
                <w:bCs/>
                <w:i/>
                <w:sz w:val="18"/>
                <w:szCs w:val="18"/>
              </w:rPr>
            </w:pPr>
            <w:r>
              <w:rPr>
                <w:rFonts w:asciiTheme="majorHAnsi" w:hAnsiTheme="majorHAnsi"/>
                <w:bCs/>
                <w:i/>
                <w:sz w:val="18"/>
                <w:szCs w:val="18"/>
              </w:rPr>
              <w:t>At least 1 Best Practice per sector being implemented (total of 5: agriculture, aquaculture, fisheries, forestry, sustainable tourism)</w:t>
            </w:r>
          </w:p>
        </w:tc>
        <w:tc>
          <w:tcPr>
            <w:tcW w:w="1795" w:type="dxa"/>
            <w:tcMar>
              <w:left w:w="28" w:type="dxa"/>
              <w:right w:w="28" w:type="dxa"/>
            </w:tcMar>
          </w:tcPr>
          <w:p w14:paraId="5876F447" w14:textId="6F528A37" w:rsidR="00A072C0" w:rsidRPr="0003763F" w:rsidRDefault="00A072C0" w:rsidP="00EC36CA">
            <w:pPr>
              <w:jc w:val="left"/>
              <w:rPr>
                <w:rFonts w:ascii="Times New Roman" w:hAnsi="Times New Roman"/>
                <w:bCs/>
                <w:i/>
                <w:sz w:val="18"/>
                <w:szCs w:val="18"/>
              </w:rPr>
            </w:pPr>
            <w:r>
              <w:rPr>
                <w:i/>
                <w:color w:val="000000"/>
                <w:sz w:val="18"/>
                <w:szCs w:val="18"/>
              </w:rPr>
              <w:t xml:space="preserve">At least </w:t>
            </w:r>
            <w:r w:rsidR="00EC36CA">
              <w:rPr>
                <w:i/>
                <w:color w:val="000000"/>
                <w:sz w:val="18"/>
                <w:szCs w:val="18"/>
              </w:rPr>
              <w:t>eighteen</w:t>
            </w:r>
            <w:r>
              <w:rPr>
                <w:i/>
                <w:color w:val="000000"/>
                <w:sz w:val="18"/>
                <w:szCs w:val="18"/>
              </w:rPr>
              <w:t xml:space="preserve"> best practices of sustainable land, coastal and marine resource use being up-scaled by </w:t>
            </w:r>
            <w:r w:rsidR="00EC36CA">
              <w:rPr>
                <w:i/>
                <w:color w:val="000000"/>
                <w:sz w:val="18"/>
                <w:szCs w:val="18"/>
              </w:rPr>
              <w:t xml:space="preserve">9 </w:t>
            </w:r>
            <w:r>
              <w:rPr>
                <w:i/>
                <w:color w:val="000000"/>
                <w:sz w:val="18"/>
                <w:szCs w:val="18"/>
              </w:rPr>
              <w:t>communities</w:t>
            </w:r>
            <w:r w:rsidR="00FF121F">
              <w:rPr>
                <w:i/>
                <w:color w:val="000000"/>
                <w:sz w:val="18"/>
                <w:szCs w:val="18"/>
              </w:rPr>
              <w:t xml:space="preserve"> and being used by both genders and multiple social groups.</w:t>
            </w:r>
          </w:p>
        </w:tc>
        <w:tc>
          <w:tcPr>
            <w:tcW w:w="2817" w:type="dxa"/>
            <w:vMerge/>
            <w:tcMar>
              <w:left w:w="28" w:type="dxa"/>
              <w:right w:w="28" w:type="dxa"/>
            </w:tcMar>
          </w:tcPr>
          <w:p w14:paraId="668638A2" w14:textId="77777777" w:rsidR="00A072C0" w:rsidRPr="0003763F" w:rsidRDefault="00A072C0" w:rsidP="001A16F2">
            <w:pPr>
              <w:jc w:val="left"/>
              <w:rPr>
                <w:rFonts w:ascii="Times New Roman" w:hAnsi="Times New Roman"/>
                <w:bCs/>
                <w:i/>
                <w:sz w:val="18"/>
                <w:szCs w:val="18"/>
              </w:rPr>
            </w:pPr>
          </w:p>
        </w:tc>
      </w:tr>
    </w:tbl>
    <w:p w14:paraId="5C488B80" w14:textId="77777777" w:rsidR="00415B14" w:rsidRPr="0003763F" w:rsidRDefault="00415B14" w:rsidP="00415B14">
      <w:pPr>
        <w:sectPr w:rsidR="00415B14" w:rsidRPr="0003763F" w:rsidSect="009F19D4">
          <w:pgSz w:w="15840" w:h="12240" w:orient="landscape" w:code="1"/>
          <w:pgMar w:top="720" w:right="720" w:bottom="720" w:left="720" w:header="720" w:footer="432" w:gutter="0"/>
          <w:cols w:space="708"/>
          <w:titlePg/>
          <w:docGrid w:linePitch="360"/>
        </w:sectPr>
      </w:pPr>
    </w:p>
    <w:p w14:paraId="661CA203" w14:textId="50B150F7" w:rsidR="0053408E" w:rsidRPr="0003763F" w:rsidRDefault="0053408E" w:rsidP="003B2A79">
      <w:pPr>
        <w:pStyle w:val="Heading1"/>
        <w:spacing w:before="0" w:after="60"/>
        <w:rPr>
          <w:rFonts w:ascii="Calibri" w:hAnsi="Calibri"/>
          <w:szCs w:val="28"/>
        </w:rPr>
      </w:pPr>
      <w:bookmarkStart w:id="12" w:name="_Toc443050759"/>
      <w:bookmarkStart w:id="13" w:name="_Toc207800914"/>
      <w:bookmarkStart w:id="14" w:name="_Toc407785522"/>
      <w:bookmarkEnd w:id="10"/>
      <w:r w:rsidRPr="0003763F">
        <w:rPr>
          <w:rFonts w:ascii="Calibri" w:hAnsi="Calibri"/>
          <w:szCs w:val="28"/>
        </w:rPr>
        <w:lastRenderedPageBreak/>
        <w:t>Monitoring and Evaluation (M&amp;E) Plan</w:t>
      </w:r>
      <w:bookmarkEnd w:id="12"/>
      <w:r w:rsidR="00842DCB">
        <w:rPr>
          <w:rFonts w:ascii="Calibri" w:hAnsi="Calibri"/>
          <w:szCs w:val="28"/>
        </w:rPr>
        <w:t xml:space="preserve"> </w:t>
      </w:r>
    </w:p>
    <w:p w14:paraId="348EAD00" w14:textId="4BB43A3E" w:rsidR="00BC1B09" w:rsidRPr="005722A6" w:rsidRDefault="0053408E" w:rsidP="00F8303B">
      <w:pPr>
        <w:spacing w:after="0"/>
        <w:rPr>
          <w:rFonts w:cs="Calibri"/>
          <w:i/>
          <w:sz w:val="20"/>
          <w:szCs w:val="20"/>
        </w:rPr>
      </w:pPr>
      <w:r w:rsidRPr="005722A6">
        <w:rPr>
          <w:rFonts w:cs="Calibri"/>
          <w:sz w:val="20"/>
          <w:szCs w:val="20"/>
        </w:rPr>
        <w:t>Project-level monitoring and evaluation will be undertaken in compliance with</w:t>
      </w:r>
      <w:r w:rsidR="004D2F82" w:rsidRPr="005722A6">
        <w:rPr>
          <w:rFonts w:cs="Calibri"/>
          <w:sz w:val="20"/>
          <w:szCs w:val="20"/>
        </w:rPr>
        <w:t xml:space="preserve"> </w:t>
      </w:r>
      <w:r w:rsidR="00C36EC7" w:rsidRPr="005722A6">
        <w:rPr>
          <w:rFonts w:cs="Calibri"/>
          <w:sz w:val="20"/>
          <w:szCs w:val="20"/>
        </w:rPr>
        <w:t xml:space="preserve">UNDP </w:t>
      </w:r>
      <w:r w:rsidR="004D2F82" w:rsidRPr="005722A6">
        <w:rPr>
          <w:rFonts w:cs="Calibri"/>
          <w:sz w:val="20"/>
          <w:szCs w:val="20"/>
        </w:rPr>
        <w:t>requirements as outlined in the</w:t>
      </w:r>
      <w:r w:rsidRPr="005722A6">
        <w:rPr>
          <w:rFonts w:cs="Calibri"/>
          <w:sz w:val="20"/>
          <w:szCs w:val="20"/>
        </w:rPr>
        <w:t xml:space="preserve"> </w:t>
      </w:r>
      <w:hyperlink r:id="rId23" w:history="1">
        <w:r w:rsidRPr="005722A6">
          <w:rPr>
            <w:rStyle w:val="Hyperlink"/>
            <w:rFonts w:cs="Calibri"/>
            <w:sz w:val="20"/>
            <w:szCs w:val="20"/>
          </w:rPr>
          <w:t>UNDP POPP</w:t>
        </w:r>
      </w:hyperlink>
      <w:r w:rsidR="004D2F82" w:rsidRPr="005722A6">
        <w:rPr>
          <w:rStyle w:val="Hyperlink"/>
          <w:rFonts w:cs="Calibri"/>
          <w:sz w:val="20"/>
          <w:szCs w:val="20"/>
        </w:rPr>
        <w:t xml:space="preserve"> </w:t>
      </w:r>
      <w:r w:rsidR="004D2F82" w:rsidRPr="005722A6">
        <w:rPr>
          <w:rStyle w:val="Hyperlink"/>
          <w:rFonts w:cs="Calibri"/>
          <w:color w:val="auto"/>
          <w:sz w:val="20"/>
          <w:szCs w:val="20"/>
          <w:u w:val="none"/>
        </w:rPr>
        <w:t xml:space="preserve">and </w:t>
      </w:r>
      <w:hyperlink r:id="rId24" w:history="1">
        <w:r w:rsidR="004D2F82" w:rsidRPr="005722A6">
          <w:rPr>
            <w:rStyle w:val="Hyperlink"/>
            <w:rFonts w:cs="Calibri"/>
            <w:sz w:val="20"/>
            <w:szCs w:val="20"/>
          </w:rPr>
          <w:t>UNDP Evaluation Policy</w:t>
        </w:r>
      </w:hyperlink>
      <w:r w:rsidR="004D2F82" w:rsidRPr="005722A6">
        <w:rPr>
          <w:rFonts w:cs="Calibri"/>
          <w:sz w:val="20"/>
          <w:szCs w:val="20"/>
        </w:rPr>
        <w:t xml:space="preserve">. </w:t>
      </w:r>
      <w:r w:rsidR="00B83FE7" w:rsidRPr="005722A6">
        <w:rPr>
          <w:rFonts w:cs="Calibri"/>
          <w:sz w:val="20"/>
          <w:szCs w:val="20"/>
        </w:rPr>
        <w:t xml:space="preserve">While </w:t>
      </w:r>
      <w:r w:rsidR="00C36EC7" w:rsidRPr="005722A6">
        <w:rPr>
          <w:rFonts w:cs="Calibri"/>
          <w:sz w:val="20"/>
          <w:szCs w:val="20"/>
        </w:rPr>
        <w:t xml:space="preserve">these UNDP requirements are not </w:t>
      </w:r>
      <w:r w:rsidR="00B83FE7" w:rsidRPr="005722A6">
        <w:rPr>
          <w:rFonts w:cs="Calibri"/>
          <w:sz w:val="20"/>
          <w:szCs w:val="20"/>
        </w:rPr>
        <w:t>outlined</w:t>
      </w:r>
      <w:r w:rsidR="00C36EC7" w:rsidRPr="005722A6">
        <w:rPr>
          <w:rFonts w:cs="Calibri"/>
          <w:sz w:val="20"/>
          <w:szCs w:val="20"/>
        </w:rPr>
        <w:t xml:space="preserve"> in this project document</w:t>
      </w:r>
      <w:r w:rsidR="007E6657" w:rsidRPr="005722A6">
        <w:rPr>
          <w:rFonts w:cs="Calibri"/>
          <w:sz w:val="20"/>
          <w:szCs w:val="20"/>
        </w:rPr>
        <w:t>,</w:t>
      </w:r>
      <w:r w:rsidR="00C36EC7" w:rsidRPr="005722A6">
        <w:rPr>
          <w:rFonts w:cs="Calibri"/>
          <w:sz w:val="20"/>
          <w:szCs w:val="20"/>
        </w:rPr>
        <w:t xml:space="preserve"> the UNDP Country Office will </w:t>
      </w:r>
      <w:r w:rsidR="004C4F40" w:rsidRPr="005722A6">
        <w:rPr>
          <w:rFonts w:cs="Calibri"/>
          <w:sz w:val="20"/>
          <w:szCs w:val="20"/>
        </w:rPr>
        <w:t xml:space="preserve">work with the relevant project stakeholders to </w:t>
      </w:r>
      <w:r w:rsidR="00C36EC7" w:rsidRPr="005722A6">
        <w:rPr>
          <w:rFonts w:cs="Calibri"/>
          <w:sz w:val="20"/>
          <w:szCs w:val="20"/>
        </w:rPr>
        <w:t xml:space="preserve">ensure </w:t>
      </w:r>
      <w:r w:rsidR="007E6657" w:rsidRPr="005722A6">
        <w:rPr>
          <w:rFonts w:cs="Calibri"/>
          <w:sz w:val="20"/>
          <w:szCs w:val="20"/>
        </w:rPr>
        <w:t>UNDP M&amp;E re</w:t>
      </w:r>
      <w:r w:rsidR="00C36EC7" w:rsidRPr="005722A6">
        <w:rPr>
          <w:rFonts w:cs="Calibri"/>
          <w:sz w:val="20"/>
          <w:szCs w:val="20"/>
        </w:rPr>
        <w:t>quirements are met</w:t>
      </w:r>
      <w:r w:rsidR="00E80AE7" w:rsidRPr="005722A6">
        <w:rPr>
          <w:rFonts w:cs="Calibri"/>
          <w:sz w:val="20"/>
          <w:szCs w:val="20"/>
        </w:rPr>
        <w:t xml:space="preserve"> in a timely fashion and to high quality standards</w:t>
      </w:r>
      <w:r w:rsidR="007E6657" w:rsidRPr="005722A6">
        <w:rPr>
          <w:rFonts w:cs="Calibri"/>
          <w:sz w:val="20"/>
          <w:szCs w:val="20"/>
        </w:rPr>
        <w:t xml:space="preserve">. </w:t>
      </w:r>
      <w:r w:rsidR="00B83FE7" w:rsidRPr="005722A6">
        <w:rPr>
          <w:rFonts w:cs="Calibri"/>
          <w:sz w:val="20"/>
          <w:szCs w:val="20"/>
        </w:rPr>
        <w:t>A</w:t>
      </w:r>
      <w:r w:rsidR="00C36EC7" w:rsidRPr="005722A6">
        <w:rPr>
          <w:rFonts w:cs="Calibri"/>
          <w:sz w:val="20"/>
          <w:szCs w:val="20"/>
        </w:rPr>
        <w:t>dditional</w:t>
      </w:r>
      <w:r w:rsidR="004D2F82" w:rsidRPr="005722A6">
        <w:rPr>
          <w:rFonts w:cs="Calibri"/>
          <w:sz w:val="20"/>
          <w:szCs w:val="20"/>
        </w:rPr>
        <w:t xml:space="preserve"> </w:t>
      </w:r>
      <w:r w:rsidR="00C36EC7" w:rsidRPr="005722A6">
        <w:rPr>
          <w:rFonts w:cs="Calibri"/>
          <w:sz w:val="20"/>
          <w:szCs w:val="20"/>
        </w:rPr>
        <w:t xml:space="preserve">mandatory </w:t>
      </w:r>
      <w:r w:rsidR="004D2F82" w:rsidRPr="005722A6">
        <w:rPr>
          <w:rFonts w:cs="Calibri"/>
          <w:sz w:val="20"/>
          <w:szCs w:val="20"/>
        </w:rPr>
        <w:t xml:space="preserve">GEF-specific M&amp;E requirements </w:t>
      </w:r>
      <w:r w:rsidR="004C4F40" w:rsidRPr="005722A6">
        <w:rPr>
          <w:rFonts w:cs="Calibri"/>
          <w:sz w:val="20"/>
          <w:szCs w:val="20"/>
        </w:rPr>
        <w:t xml:space="preserve">(as </w:t>
      </w:r>
      <w:r w:rsidR="004D2F82" w:rsidRPr="005722A6">
        <w:rPr>
          <w:rFonts w:cs="Calibri"/>
          <w:sz w:val="20"/>
          <w:szCs w:val="20"/>
        </w:rPr>
        <w:t xml:space="preserve">outlined </w:t>
      </w:r>
      <w:r w:rsidR="00B83FE7" w:rsidRPr="005722A6">
        <w:rPr>
          <w:rFonts w:cs="Calibri"/>
          <w:sz w:val="20"/>
          <w:szCs w:val="20"/>
        </w:rPr>
        <w:t>below</w:t>
      </w:r>
      <w:r w:rsidR="004C4F40" w:rsidRPr="005722A6">
        <w:rPr>
          <w:rFonts w:cs="Calibri"/>
          <w:sz w:val="20"/>
          <w:szCs w:val="20"/>
        </w:rPr>
        <w:t xml:space="preserve">) </w:t>
      </w:r>
      <w:r w:rsidR="00C36EC7" w:rsidRPr="005722A6">
        <w:rPr>
          <w:rFonts w:cs="Calibri"/>
          <w:sz w:val="20"/>
          <w:szCs w:val="20"/>
        </w:rPr>
        <w:t xml:space="preserve">will be undertaken in accordance with </w:t>
      </w:r>
      <w:r w:rsidRPr="005722A6">
        <w:rPr>
          <w:rFonts w:cs="Calibri"/>
          <w:sz w:val="20"/>
          <w:szCs w:val="20"/>
        </w:rPr>
        <w:t xml:space="preserve">the </w:t>
      </w:r>
      <w:hyperlink r:id="rId25" w:history="1">
        <w:r w:rsidRPr="005722A6">
          <w:rPr>
            <w:rStyle w:val="Hyperlink"/>
            <w:rFonts w:cs="Calibri"/>
            <w:sz w:val="20"/>
            <w:szCs w:val="20"/>
          </w:rPr>
          <w:t>GEF M&amp;E policy</w:t>
        </w:r>
      </w:hyperlink>
      <w:r w:rsidR="004D2F82" w:rsidRPr="005722A6">
        <w:rPr>
          <w:rFonts w:cs="Calibri"/>
          <w:sz w:val="20"/>
          <w:szCs w:val="20"/>
        </w:rPr>
        <w:t xml:space="preserve"> and </w:t>
      </w:r>
      <w:r w:rsidR="00B83FE7" w:rsidRPr="005722A6">
        <w:rPr>
          <w:rFonts w:cs="Calibri"/>
          <w:sz w:val="20"/>
          <w:szCs w:val="20"/>
        </w:rPr>
        <w:t xml:space="preserve">other relevant </w:t>
      </w:r>
      <w:r w:rsidRPr="005722A6">
        <w:rPr>
          <w:rFonts w:cs="Calibri"/>
          <w:sz w:val="20"/>
          <w:szCs w:val="20"/>
        </w:rPr>
        <w:t xml:space="preserve">GEF </w:t>
      </w:r>
      <w:r w:rsidR="00B83FE7" w:rsidRPr="005722A6">
        <w:rPr>
          <w:rFonts w:cs="Calibri"/>
          <w:sz w:val="20"/>
          <w:szCs w:val="20"/>
        </w:rPr>
        <w:t>policies</w:t>
      </w:r>
      <w:r w:rsidR="00B83FE7" w:rsidRPr="005722A6">
        <w:rPr>
          <w:rStyle w:val="FootnoteReference"/>
          <w:sz w:val="20"/>
          <w:szCs w:val="20"/>
        </w:rPr>
        <w:footnoteReference w:id="25"/>
      </w:r>
      <w:r w:rsidR="00194AA1">
        <w:rPr>
          <w:rFonts w:cs="Calibri"/>
          <w:sz w:val="20"/>
          <w:szCs w:val="20"/>
        </w:rPr>
        <w:t xml:space="preserve">. </w:t>
      </w:r>
    </w:p>
    <w:p w14:paraId="608FA593" w14:textId="77777777" w:rsidR="00BC1B09" w:rsidRPr="005722A6" w:rsidRDefault="00BC1B09" w:rsidP="00F8303B">
      <w:pPr>
        <w:spacing w:after="0"/>
        <w:rPr>
          <w:rFonts w:cs="Calibri"/>
          <w:sz w:val="20"/>
          <w:szCs w:val="20"/>
        </w:rPr>
      </w:pPr>
    </w:p>
    <w:p w14:paraId="01CFEAAC" w14:textId="77777777" w:rsidR="0053408E" w:rsidRPr="005722A6" w:rsidRDefault="00941466" w:rsidP="00F8303B">
      <w:pPr>
        <w:spacing w:after="0"/>
        <w:rPr>
          <w:rFonts w:cs="Calibri"/>
          <w:sz w:val="20"/>
          <w:szCs w:val="20"/>
        </w:rPr>
      </w:pPr>
      <w:r w:rsidRPr="005722A6">
        <w:rPr>
          <w:rFonts w:cs="Calibri"/>
          <w:sz w:val="20"/>
          <w:szCs w:val="20"/>
        </w:rPr>
        <w:t>In addition to the</w:t>
      </w:r>
      <w:r w:rsidR="00C36EC7" w:rsidRPr="005722A6">
        <w:rPr>
          <w:rFonts w:cs="Calibri"/>
          <w:sz w:val="20"/>
          <w:szCs w:val="20"/>
        </w:rPr>
        <w:t>se</w:t>
      </w:r>
      <w:r w:rsidRPr="005722A6">
        <w:rPr>
          <w:rFonts w:cs="Calibri"/>
          <w:sz w:val="20"/>
          <w:szCs w:val="20"/>
        </w:rPr>
        <w:t xml:space="preserve"> </w:t>
      </w:r>
      <w:r w:rsidR="00C36EC7" w:rsidRPr="005722A6">
        <w:rPr>
          <w:rFonts w:cs="Calibri"/>
          <w:sz w:val="20"/>
          <w:szCs w:val="20"/>
        </w:rPr>
        <w:t xml:space="preserve">mandatory </w:t>
      </w:r>
      <w:r w:rsidRPr="005722A6">
        <w:rPr>
          <w:rFonts w:cs="Calibri"/>
          <w:sz w:val="20"/>
          <w:szCs w:val="20"/>
        </w:rPr>
        <w:t xml:space="preserve">UNDP </w:t>
      </w:r>
      <w:r w:rsidR="00C36EC7" w:rsidRPr="005722A6">
        <w:rPr>
          <w:rFonts w:cs="Calibri"/>
          <w:sz w:val="20"/>
          <w:szCs w:val="20"/>
        </w:rPr>
        <w:t xml:space="preserve">and GEF </w:t>
      </w:r>
      <w:r w:rsidRPr="005722A6">
        <w:rPr>
          <w:rFonts w:cs="Calibri"/>
          <w:sz w:val="20"/>
          <w:szCs w:val="20"/>
        </w:rPr>
        <w:t>M&amp;E requirements</w:t>
      </w:r>
      <w:r w:rsidR="00C36EC7" w:rsidRPr="005722A6">
        <w:rPr>
          <w:rFonts w:cs="Calibri"/>
          <w:sz w:val="20"/>
          <w:szCs w:val="20"/>
        </w:rPr>
        <w:t>, other</w:t>
      </w:r>
      <w:r w:rsidRPr="005722A6">
        <w:rPr>
          <w:rFonts w:cs="Calibri"/>
          <w:sz w:val="20"/>
          <w:szCs w:val="20"/>
        </w:rPr>
        <w:t xml:space="preserve"> </w:t>
      </w:r>
      <w:r w:rsidR="0053408E" w:rsidRPr="005722A6">
        <w:rPr>
          <w:rFonts w:cs="Calibri"/>
          <w:sz w:val="20"/>
          <w:szCs w:val="20"/>
        </w:rPr>
        <w:t xml:space="preserve">M&amp;E </w:t>
      </w:r>
      <w:r w:rsidRPr="005722A6">
        <w:rPr>
          <w:rFonts w:cs="Calibri"/>
          <w:sz w:val="20"/>
          <w:szCs w:val="20"/>
        </w:rPr>
        <w:t>a</w:t>
      </w:r>
      <w:r w:rsidR="0053408E" w:rsidRPr="005722A6">
        <w:rPr>
          <w:rFonts w:cs="Calibri"/>
          <w:sz w:val="20"/>
          <w:szCs w:val="20"/>
        </w:rPr>
        <w:t>ctivities deemed necessary to support project-level adaptive management</w:t>
      </w:r>
      <w:r w:rsidR="00BC1B09" w:rsidRPr="005722A6">
        <w:rPr>
          <w:rFonts w:cs="Calibri"/>
          <w:sz w:val="20"/>
          <w:szCs w:val="20"/>
        </w:rPr>
        <w:t xml:space="preserve"> will be </w:t>
      </w:r>
      <w:r w:rsidR="008071BF" w:rsidRPr="005722A6">
        <w:rPr>
          <w:rFonts w:cs="Calibri"/>
          <w:sz w:val="20"/>
          <w:szCs w:val="20"/>
        </w:rPr>
        <w:t>agreed</w:t>
      </w:r>
      <w:r w:rsidR="00BC1B09" w:rsidRPr="005722A6">
        <w:rPr>
          <w:rFonts w:cs="Calibri"/>
          <w:sz w:val="20"/>
          <w:szCs w:val="20"/>
        </w:rPr>
        <w:t xml:space="preserve"> during the</w:t>
      </w:r>
      <w:r w:rsidR="00E804FD" w:rsidRPr="005722A6">
        <w:rPr>
          <w:rFonts w:cs="Calibri"/>
          <w:sz w:val="20"/>
          <w:szCs w:val="20"/>
        </w:rPr>
        <w:t xml:space="preserve"> Project</w:t>
      </w:r>
      <w:r w:rsidR="00BC1B09" w:rsidRPr="005722A6">
        <w:rPr>
          <w:rFonts w:cs="Calibri"/>
          <w:sz w:val="20"/>
          <w:szCs w:val="20"/>
        </w:rPr>
        <w:t xml:space="preserve"> Inception Workshop and will be detailed in the Inception Report. This will include the e</w:t>
      </w:r>
      <w:r w:rsidR="0053408E" w:rsidRPr="005722A6">
        <w:rPr>
          <w:rFonts w:cs="Calibri"/>
          <w:sz w:val="20"/>
          <w:szCs w:val="20"/>
        </w:rPr>
        <w:t>xact role of project target groups and other stakeholders in project M&amp;E activities</w:t>
      </w:r>
      <w:r w:rsidR="00AF5DF8" w:rsidRPr="005722A6">
        <w:rPr>
          <w:rFonts w:cs="Calibri"/>
          <w:sz w:val="20"/>
          <w:szCs w:val="20"/>
        </w:rPr>
        <w:t xml:space="preserve"> including the GEF Operational Focal Point</w:t>
      </w:r>
      <w:r w:rsidR="00BC1B09" w:rsidRPr="005722A6">
        <w:rPr>
          <w:rFonts w:cs="Calibri"/>
          <w:sz w:val="20"/>
          <w:szCs w:val="20"/>
        </w:rPr>
        <w:t xml:space="preserve"> and national/regional institutes assigned to undertake project monitoring.</w:t>
      </w:r>
      <w:r w:rsidR="00E336E5" w:rsidRPr="005722A6">
        <w:rPr>
          <w:rFonts w:cs="Calibri"/>
          <w:sz w:val="20"/>
          <w:szCs w:val="20"/>
        </w:rPr>
        <w:t xml:space="preserve"> </w:t>
      </w:r>
      <w:r w:rsidR="004C4F40" w:rsidRPr="005722A6">
        <w:rPr>
          <w:rFonts w:cs="Calibri"/>
          <w:sz w:val="20"/>
          <w:szCs w:val="20"/>
        </w:rPr>
        <w:t>The GEF Operational Focal Point will</w:t>
      </w:r>
      <w:r w:rsidR="00E804FD" w:rsidRPr="005722A6">
        <w:rPr>
          <w:rFonts w:cs="Calibri"/>
          <w:sz w:val="20"/>
          <w:szCs w:val="20"/>
        </w:rPr>
        <w:t xml:space="preserve"> strive to</w:t>
      </w:r>
      <w:r w:rsidR="004C4F40" w:rsidRPr="005722A6">
        <w:rPr>
          <w:rFonts w:cs="Calibri"/>
          <w:sz w:val="20"/>
          <w:szCs w:val="20"/>
        </w:rPr>
        <w:t xml:space="preserve"> ensure consistency in the approach t</w:t>
      </w:r>
      <w:r w:rsidR="00E804FD" w:rsidRPr="005722A6">
        <w:rPr>
          <w:rFonts w:cs="Calibri"/>
          <w:sz w:val="20"/>
          <w:szCs w:val="20"/>
        </w:rPr>
        <w:t>aken to</w:t>
      </w:r>
      <w:r w:rsidR="004C4F40" w:rsidRPr="005722A6">
        <w:rPr>
          <w:rFonts w:cs="Calibri"/>
          <w:sz w:val="20"/>
          <w:szCs w:val="20"/>
        </w:rPr>
        <w:t xml:space="preserve"> the GEF-specific M&amp;E requirements (notably the GEF Tracking Tools) across all GEF-financed projects in the country. This could be achieve</w:t>
      </w:r>
      <w:r w:rsidR="00E804FD" w:rsidRPr="005722A6">
        <w:rPr>
          <w:rFonts w:cs="Calibri"/>
          <w:sz w:val="20"/>
          <w:szCs w:val="20"/>
        </w:rPr>
        <w:t>d</w:t>
      </w:r>
      <w:r w:rsidR="004C4F40" w:rsidRPr="005722A6">
        <w:rPr>
          <w:rFonts w:cs="Calibri"/>
          <w:sz w:val="20"/>
          <w:szCs w:val="20"/>
        </w:rPr>
        <w:t xml:space="preserve"> for example by using one national institute to </w:t>
      </w:r>
      <w:r w:rsidR="00E804FD" w:rsidRPr="005722A6">
        <w:rPr>
          <w:rFonts w:cs="Calibri"/>
          <w:sz w:val="20"/>
          <w:szCs w:val="20"/>
        </w:rPr>
        <w:t>complete</w:t>
      </w:r>
      <w:r w:rsidR="004C4F40" w:rsidRPr="005722A6">
        <w:rPr>
          <w:rFonts w:cs="Calibri"/>
          <w:sz w:val="20"/>
          <w:szCs w:val="20"/>
        </w:rPr>
        <w:t xml:space="preserve"> the GEF Tracking Tools for all GEF-</w:t>
      </w:r>
      <w:r w:rsidR="00E804FD" w:rsidRPr="005722A6">
        <w:rPr>
          <w:rFonts w:cs="Calibri"/>
          <w:sz w:val="20"/>
          <w:szCs w:val="20"/>
        </w:rPr>
        <w:t>financed</w:t>
      </w:r>
      <w:r w:rsidR="004C4F40" w:rsidRPr="005722A6">
        <w:rPr>
          <w:rFonts w:cs="Calibri"/>
          <w:sz w:val="20"/>
          <w:szCs w:val="20"/>
        </w:rPr>
        <w:t xml:space="preserve"> projects in the country, including projects supported by other GEF Agencies</w:t>
      </w:r>
      <w:r w:rsidR="00B54BF6" w:rsidRPr="005722A6">
        <w:rPr>
          <w:rFonts w:cs="Calibri"/>
          <w:sz w:val="20"/>
          <w:szCs w:val="20"/>
        </w:rPr>
        <w:t>.</w:t>
      </w:r>
      <w:r w:rsidR="004C4F40" w:rsidRPr="005722A6">
        <w:rPr>
          <w:rStyle w:val="FootnoteReference"/>
          <w:sz w:val="20"/>
          <w:szCs w:val="20"/>
        </w:rPr>
        <w:footnoteReference w:id="26"/>
      </w:r>
      <w:r w:rsidR="004C4F40" w:rsidRPr="005722A6">
        <w:rPr>
          <w:rFonts w:cs="Calibri"/>
          <w:sz w:val="20"/>
          <w:szCs w:val="20"/>
        </w:rPr>
        <w:t xml:space="preserve"> </w:t>
      </w:r>
      <w:r w:rsidR="00BC1B09" w:rsidRPr="005722A6">
        <w:rPr>
          <w:rFonts w:cs="Calibri"/>
          <w:sz w:val="20"/>
          <w:szCs w:val="20"/>
        </w:rPr>
        <w:t xml:space="preserve">  </w:t>
      </w:r>
      <w:r w:rsidR="0053408E" w:rsidRPr="005722A6">
        <w:rPr>
          <w:rFonts w:cs="Calibri"/>
          <w:sz w:val="20"/>
          <w:szCs w:val="20"/>
        </w:rPr>
        <w:t xml:space="preserve"> </w:t>
      </w:r>
    </w:p>
    <w:p w14:paraId="206A7C0A" w14:textId="77777777" w:rsidR="00E804FD" w:rsidRPr="005722A6" w:rsidRDefault="00E804FD" w:rsidP="00F8303B">
      <w:pPr>
        <w:spacing w:after="0"/>
        <w:rPr>
          <w:rFonts w:cs="Calibri"/>
          <w:b/>
          <w:sz w:val="20"/>
          <w:szCs w:val="20"/>
        </w:rPr>
      </w:pPr>
    </w:p>
    <w:p w14:paraId="30253DEA" w14:textId="77777777" w:rsidR="0053408E" w:rsidRPr="005722A6" w:rsidRDefault="00B83FE7" w:rsidP="00F8303B">
      <w:pPr>
        <w:rPr>
          <w:rFonts w:cs="Calibri"/>
          <w:b/>
          <w:sz w:val="20"/>
          <w:szCs w:val="20"/>
        </w:rPr>
      </w:pPr>
      <w:r w:rsidRPr="005722A6">
        <w:rPr>
          <w:rFonts w:cs="Calibri"/>
          <w:b/>
          <w:sz w:val="20"/>
          <w:szCs w:val="20"/>
        </w:rPr>
        <w:t xml:space="preserve">M&amp;E </w:t>
      </w:r>
      <w:r w:rsidR="0053408E" w:rsidRPr="005722A6">
        <w:rPr>
          <w:rFonts w:cs="Calibri"/>
          <w:b/>
          <w:sz w:val="20"/>
          <w:szCs w:val="20"/>
        </w:rPr>
        <w:t>Oversight and monitoring responsibilities:</w:t>
      </w:r>
    </w:p>
    <w:p w14:paraId="1FC4FFEB" w14:textId="77777777" w:rsidR="00DF7AB2" w:rsidRPr="005722A6" w:rsidRDefault="00AF5DF8" w:rsidP="00F8303B">
      <w:pPr>
        <w:spacing w:after="0"/>
        <w:rPr>
          <w:rFonts w:cs="Calibri"/>
          <w:sz w:val="20"/>
          <w:szCs w:val="20"/>
        </w:rPr>
      </w:pPr>
      <w:r w:rsidRPr="005722A6">
        <w:rPr>
          <w:rFonts w:cs="Calibri"/>
          <w:sz w:val="20"/>
          <w:szCs w:val="20"/>
          <w:u w:val="single"/>
        </w:rPr>
        <w:t>Project Manager</w:t>
      </w:r>
      <w:r w:rsidRPr="005722A6">
        <w:rPr>
          <w:rFonts w:cs="Calibri"/>
          <w:sz w:val="20"/>
          <w:szCs w:val="20"/>
        </w:rPr>
        <w:t xml:space="preserve">:  </w:t>
      </w:r>
      <w:r w:rsidR="0053408E" w:rsidRPr="005722A6">
        <w:rPr>
          <w:rFonts w:cs="Calibri"/>
          <w:sz w:val="20"/>
          <w:szCs w:val="20"/>
        </w:rPr>
        <w:t xml:space="preserve">The </w:t>
      </w:r>
      <w:r w:rsidR="008253E8" w:rsidRPr="005722A6">
        <w:rPr>
          <w:rFonts w:cs="Calibri"/>
          <w:sz w:val="20"/>
          <w:szCs w:val="20"/>
        </w:rPr>
        <w:t xml:space="preserve">Project Manager is </w:t>
      </w:r>
      <w:r w:rsidR="0053408E" w:rsidRPr="005722A6">
        <w:rPr>
          <w:rFonts w:cs="Calibri"/>
          <w:sz w:val="20"/>
          <w:szCs w:val="20"/>
        </w:rPr>
        <w:t>responsibl</w:t>
      </w:r>
      <w:r w:rsidR="008253E8" w:rsidRPr="005722A6">
        <w:rPr>
          <w:rFonts w:cs="Calibri"/>
          <w:sz w:val="20"/>
          <w:szCs w:val="20"/>
        </w:rPr>
        <w:t>e</w:t>
      </w:r>
      <w:r w:rsidR="0053408E" w:rsidRPr="005722A6">
        <w:rPr>
          <w:rFonts w:cs="Calibri"/>
          <w:sz w:val="20"/>
          <w:szCs w:val="20"/>
        </w:rPr>
        <w:t xml:space="preserve"> for day-to</w:t>
      </w:r>
      <w:r w:rsidR="004E32F3" w:rsidRPr="005722A6">
        <w:rPr>
          <w:rFonts w:cs="Calibri"/>
          <w:sz w:val="20"/>
          <w:szCs w:val="20"/>
        </w:rPr>
        <w:t>-</w:t>
      </w:r>
      <w:r w:rsidR="0053408E" w:rsidRPr="005722A6">
        <w:rPr>
          <w:rFonts w:cs="Calibri"/>
          <w:sz w:val="20"/>
          <w:szCs w:val="20"/>
        </w:rPr>
        <w:t xml:space="preserve">day project </w:t>
      </w:r>
      <w:r w:rsidR="008253E8" w:rsidRPr="005722A6">
        <w:rPr>
          <w:rFonts w:cs="Calibri"/>
          <w:sz w:val="20"/>
          <w:szCs w:val="20"/>
        </w:rPr>
        <w:t xml:space="preserve">management </w:t>
      </w:r>
      <w:r w:rsidR="004E32F3" w:rsidRPr="005722A6">
        <w:rPr>
          <w:rFonts w:cs="Calibri"/>
          <w:sz w:val="20"/>
          <w:szCs w:val="20"/>
        </w:rPr>
        <w:t>and regular monitoring</w:t>
      </w:r>
      <w:r w:rsidR="008253E8" w:rsidRPr="005722A6">
        <w:rPr>
          <w:rFonts w:cs="Calibri"/>
          <w:sz w:val="20"/>
          <w:szCs w:val="20"/>
        </w:rPr>
        <w:t xml:space="preserve"> of project results and risks, including social and environmental risks</w:t>
      </w:r>
      <w:r w:rsidR="0053408E" w:rsidRPr="005722A6">
        <w:rPr>
          <w:rFonts w:cs="Calibri"/>
          <w:sz w:val="20"/>
          <w:szCs w:val="20"/>
        </w:rPr>
        <w:t xml:space="preserve">. </w:t>
      </w:r>
      <w:r w:rsidR="008253E8" w:rsidRPr="005722A6">
        <w:rPr>
          <w:rFonts w:cs="Calibri"/>
          <w:sz w:val="20"/>
          <w:szCs w:val="20"/>
        </w:rPr>
        <w:t xml:space="preserve">The Project Manager will </w:t>
      </w:r>
      <w:r w:rsidRPr="005722A6">
        <w:rPr>
          <w:rFonts w:cs="Calibri"/>
          <w:sz w:val="20"/>
          <w:szCs w:val="20"/>
        </w:rPr>
        <w:t xml:space="preserve">ensure that all project staff maintain a high level of transparency, responsibility and accountability in </w:t>
      </w:r>
      <w:r w:rsidR="00763414" w:rsidRPr="005722A6">
        <w:rPr>
          <w:rFonts w:cs="Calibri"/>
          <w:sz w:val="20"/>
          <w:szCs w:val="20"/>
        </w:rPr>
        <w:t>M&amp;E</w:t>
      </w:r>
      <w:r w:rsidRPr="005722A6">
        <w:rPr>
          <w:rFonts w:cs="Calibri"/>
          <w:sz w:val="20"/>
          <w:szCs w:val="20"/>
        </w:rPr>
        <w:t xml:space="preserve"> and reporting </w:t>
      </w:r>
      <w:r w:rsidR="00763414" w:rsidRPr="005722A6">
        <w:rPr>
          <w:rFonts w:cs="Calibri"/>
          <w:sz w:val="20"/>
          <w:szCs w:val="20"/>
        </w:rPr>
        <w:t xml:space="preserve">of </w:t>
      </w:r>
      <w:r w:rsidRPr="005722A6">
        <w:rPr>
          <w:rFonts w:cs="Calibri"/>
          <w:sz w:val="20"/>
          <w:szCs w:val="20"/>
        </w:rPr>
        <w:t xml:space="preserve">project results. </w:t>
      </w:r>
      <w:r w:rsidR="00DF7AB2" w:rsidRPr="005722A6">
        <w:rPr>
          <w:rFonts w:cs="Calibri"/>
          <w:sz w:val="20"/>
          <w:szCs w:val="20"/>
        </w:rPr>
        <w:t>The Project Manager will inform the Project Board</w:t>
      </w:r>
      <w:r w:rsidR="00272864" w:rsidRPr="005722A6">
        <w:rPr>
          <w:rFonts w:cs="Calibri"/>
          <w:sz w:val="20"/>
          <w:szCs w:val="20"/>
        </w:rPr>
        <w:t xml:space="preserve">, </w:t>
      </w:r>
      <w:r w:rsidR="00DF7AB2" w:rsidRPr="005722A6">
        <w:rPr>
          <w:rFonts w:cs="Calibri"/>
          <w:sz w:val="20"/>
          <w:szCs w:val="20"/>
        </w:rPr>
        <w:t xml:space="preserve">the UNDP Country Office </w:t>
      </w:r>
      <w:r w:rsidR="00272864" w:rsidRPr="005722A6">
        <w:rPr>
          <w:rFonts w:cs="Calibri"/>
          <w:sz w:val="20"/>
          <w:szCs w:val="20"/>
        </w:rPr>
        <w:t xml:space="preserve">and the UNDP-GEF RTA </w:t>
      </w:r>
      <w:r w:rsidR="00DF7AB2" w:rsidRPr="005722A6">
        <w:rPr>
          <w:rFonts w:cs="Calibri"/>
          <w:sz w:val="20"/>
          <w:szCs w:val="20"/>
        </w:rPr>
        <w:t xml:space="preserve">of any delays or difficulties as they arise during implementation so that appropriate support and corrective measures can be adopted. </w:t>
      </w:r>
    </w:p>
    <w:p w14:paraId="639A9FE7" w14:textId="77777777" w:rsidR="00DF7AB2" w:rsidRPr="005722A6" w:rsidRDefault="00DF7AB2" w:rsidP="00F8303B">
      <w:pPr>
        <w:spacing w:after="0"/>
        <w:rPr>
          <w:rFonts w:cs="Calibri"/>
          <w:sz w:val="20"/>
          <w:szCs w:val="20"/>
        </w:rPr>
      </w:pPr>
    </w:p>
    <w:p w14:paraId="3DF55056" w14:textId="7EA3C402" w:rsidR="00AF5DF8" w:rsidRPr="005722A6" w:rsidRDefault="0053408E" w:rsidP="00F8303B">
      <w:pPr>
        <w:spacing w:after="0"/>
        <w:rPr>
          <w:rFonts w:cs="Calibri"/>
          <w:sz w:val="20"/>
          <w:szCs w:val="20"/>
        </w:rPr>
      </w:pPr>
      <w:r w:rsidRPr="005722A6">
        <w:rPr>
          <w:rFonts w:cs="Calibri"/>
          <w:sz w:val="20"/>
          <w:szCs w:val="20"/>
        </w:rPr>
        <w:t xml:space="preserve">The Project Manager will develop annual work plans </w:t>
      </w:r>
      <w:r w:rsidR="004E32F3" w:rsidRPr="005722A6">
        <w:rPr>
          <w:rFonts w:cs="Calibri"/>
          <w:sz w:val="20"/>
          <w:szCs w:val="20"/>
        </w:rPr>
        <w:t>based on the multi-year work</w:t>
      </w:r>
      <w:r w:rsidR="000A20A2" w:rsidRPr="005722A6">
        <w:rPr>
          <w:rFonts w:cs="Calibri"/>
          <w:sz w:val="20"/>
          <w:szCs w:val="20"/>
        </w:rPr>
        <w:t xml:space="preserve"> </w:t>
      </w:r>
      <w:r w:rsidR="008253E8" w:rsidRPr="005722A6">
        <w:rPr>
          <w:rFonts w:cs="Calibri"/>
          <w:sz w:val="20"/>
          <w:szCs w:val="20"/>
        </w:rPr>
        <w:t>plan included in An</w:t>
      </w:r>
      <w:r w:rsidR="004E32F3" w:rsidRPr="005722A6">
        <w:rPr>
          <w:rFonts w:cs="Calibri"/>
          <w:sz w:val="20"/>
          <w:szCs w:val="20"/>
        </w:rPr>
        <w:t>nex</w:t>
      </w:r>
      <w:r w:rsidR="008253E8" w:rsidRPr="005722A6">
        <w:rPr>
          <w:rFonts w:cs="Calibri"/>
          <w:sz w:val="20"/>
          <w:szCs w:val="20"/>
        </w:rPr>
        <w:t xml:space="preserve"> A</w:t>
      </w:r>
      <w:r w:rsidR="004E32F3" w:rsidRPr="005722A6">
        <w:rPr>
          <w:rFonts w:cs="Calibri"/>
          <w:sz w:val="20"/>
          <w:szCs w:val="20"/>
        </w:rPr>
        <w:t xml:space="preserve">, </w:t>
      </w:r>
      <w:r w:rsidRPr="005722A6">
        <w:rPr>
          <w:rFonts w:cs="Calibri"/>
          <w:sz w:val="20"/>
          <w:szCs w:val="20"/>
        </w:rPr>
        <w:t xml:space="preserve">including annual </w:t>
      </w:r>
      <w:r w:rsidR="008253E8" w:rsidRPr="005722A6">
        <w:rPr>
          <w:rFonts w:cs="Calibri"/>
          <w:sz w:val="20"/>
          <w:szCs w:val="20"/>
        </w:rPr>
        <w:t xml:space="preserve">output </w:t>
      </w:r>
      <w:r w:rsidRPr="005722A6">
        <w:rPr>
          <w:rFonts w:cs="Calibri"/>
          <w:sz w:val="20"/>
          <w:szCs w:val="20"/>
        </w:rPr>
        <w:t xml:space="preserve">targets </w:t>
      </w:r>
      <w:r w:rsidR="008253E8" w:rsidRPr="005722A6">
        <w:rPr>
          <w:rFonts w:cs="Calibri"/>
          <w:sz w:val="20"/>
          <w:szCs w:val="20"/>
        </w:rPr>
        <w:t>t</w:t>
      </w:r>
      <w:r w:rsidRPr="005722A6">
        <w:rPr>
          <w:rFonts w:cs="Calibri"/>
          <w:sz w:val="20"/>
          <w:szCs w:val="20"/>
        </w:rPr>
        <w:t>o</w:t>
      </w:r>
      <w:r w:rsidR="008253E8" w:rsidRPr="005722A6">
        <w:rPr>
          <w:rFonts w:cs="Calibri"/>
          <w:sz w:val="20"/>
          <w:szCs w:val="20"/>
        </w:rPr>
        <w:t xml:space="preserve"> support</w:t>
      </w:r>
      <w:r w:rsidRPr="005722A6">
        <w:rPr>
          <w:rFonts w:cs="Calibri"/>
          <w:sz w:val="20"/>
          <w:szCs w:val="20"/>
        </w:rPr>
        <w:t xml:space="preserve"> the efficient </w:t>
      </w:r>
      <w:r w:rsidR="00033EB5" w:rsidRPr="005722A6">
        <w:rPr>
          <w:rFonts w:cs="Calibri"/>
          <w:sz w:val="20"/>
          <w:szCs w:val="20"/>
        </w:rPr>
        <w:t xml:space="preserve">implementation of the project. </w:t>
      </w:r>
      <w:r w:rsidRPr="005722A6">
        <w:rPr>
          <w:rFonts w:cs="Calibri"/>
          <w:sz w:val="20"/>
          <w:szCs w:val="20"/>
        </w:rPr>
        <w:t xml:space="preserve">The Project Manager will </w:t>
      </w:r>
      <w:r w:rsidR="004E32F3" w:rsidRPr="005722A6">
        <w:rPr>
          <w:rFonts w:cs="Calibri"/>
          <w:sz w:val="20"/>
          <w:szCs w:val="20"/>
        </w:rPr>
        <w:t xml:space="preserve">ensure that the standard UNDP and GEF M&amp;E requirements are fulfilled to the highest quality. This includes, but is not limited to, ensuring the results framework indicators are monitored annually in time for </w:t>
      </w:r>
      <w:r w:rsidR="008253E8" w:rsidRPr="005722A6">
        <w:rPr>
          <w:rFonts w:cs="Calibri"/>
          <w:sz w:val="20"/>
          <w:szCs w:val="20"/>
        </w:rPr>
        <w:t xml:space="preserve">evidence-based </w:t>
      </w:r>
      <w:r w:rsidR="00E336E5" w:rsidRPr="005722A6">
        <w:rPr>
          <w:rFonts w:cs="Calibri"/>
          <w:sz w:val="20"/>
          <w:szCs w:val="20"/>
        </w:rPr>
        <w:t xml:space="preserve">reporting </w:t>
      </w:r>
      <w:r w:rsidR="008253E8" w:rsidRPr="005722A6">
        <w:rPr>
          <w:rFonts w:cs="Calibri"/>
          <w:sz w:val="20"/>
          <w:szCs w:val="20"/>
        </w:rPr>
        <w:t xml:space="preserve">in the </w:t>
      </w:r>
      <w:r w:rsidR="00647AD9" w:rsidRPr="005722A6">
        <w:rPr>
          <w:rFonts w:cs="Calibri"/>
          <w:sz w:val="20"/>
          <w:szCs w:val="20"/>
        </w:rPr>
        <w:t xml:space="preserve">GEF </w:t>
      </w:r>
      <w:r w:rsidR="004E32F3" w:rsidRPr="005722A6">
        <w:rPr>
          <w:rFonts w:cs="Calibri"/>
          <w:sz w:val="20"/>
          <w:szCs w:val="20"/>
        </w:rPr>
        <w:t>PIR</w:t>
      </w:r>
      <w:r w:rsidR="008253E8" w:rsidRPr="005722A6">
        <w:rPr>
          <w:rFonts w:cs="Calibri"/>
          <w:sz w:val="20"/>
          <w:szCs w:val="20"/>
        </w:rPr>
        <w:t>, and that the monitoring of risks and the various plans/strategies developed to support project implementation</w:t>
      </w:r>
      <w:r w:rsidR="00763414" w:rsidRPr="005722A6">
        <w:rPr>
          <w:rFonts w:cs="Calibri"/>
          <w:sz w:val="20"/>
          <w:szCs w:val="20"/>
        </w:rPr>
        <w:t xml:space="preserve"> (e.g. gender strategy, KM strategy etc.)</w:t>
      </w:r>
      <w:r w:rsidR="008253E8" w:rsidRPr="005722A6">
        <w:rPr>
          <w:rFonts w:cs="Calibri"/>
          <w:sz w:val="20"/>
          <w:szCs w:val="20"/>
        </w:rPr>
        <w:t xml:space="preserve"> occur on a regular basis</w:t>
      </w:r>
      <w:r w:rsidR="00194AA1">
        <w:rPr>
          <w:rFonts w:cs="Calibri"/>
          <w:sz w:val="20"/>
          <w:szCs w:val="20"/>
        </w:rPr>
        <w:t xml:space="preserve">. </w:t>
      </w:r>
    </w:p>
    <w:p w14:paraId="0717D0E8" w14:textId="77777777" w:rsidR="00AF5DF8" w:rsidRPr="005722A6" w:rsidRDefault="00AF5DF8" w:rsidP="00F8303B">
      <w:pPr>
        <w:spacing w:after="0"/>
        <w:rPr>
          <w:rFonts w:cs="Calibri"/>
          <w:sz w:val="20"/>
          <w:szCs w:val="20"/>
        </w:rPr>
      </w:pPr>
    </w:p>
    <w:p w14:paraId="37B609B5" w14:textId="77777777" w:rsidR="008253E8" w:rsidRPr="005722A6" w:rsidRDefault="00AF5DF8" w:rsidP="00F8303B">
      <w:pPr>
        <w:spacing w:after="0"/>
        <w:rPr>
          <w:rFonts w:cs="Calibri"/>
          <w:sz w:val="20"/>
          <w:szCs w:val="20"/>
        </w:rPr>
      </w:pPr>
      <w:r w:rsidRPr="005722A6">
        <w:rPr>
          <w:rFonts w:cs="Calibri"/>
          <w:sz w:val="20"/>
          <w:szCs w:val="20"/>
          <w:u w:val="single"/>
        </w:rPr>
        <w:t>Project Board</w:t>
      </w:r>
      <w:r w:rsidRPr="005722A6">
        <w:rPr>
          <w:rFonts w:cs="Calibri"/>
          <w:sz w:val="20"/>
          <w:szCs w:val="20"/>
        </w:rPr>
        <w:t>:  The Project Board will take corrective action as needed to ensure the project</w:t>
      </w:r>
      <w:r w:rsidR="0093185E" w:rsidRPr="005722A6">
        <w:rPr>
          <w:rFonts w:cs="Calibri"/>
          <w:sz w:val="20"/>
          <w:szCs w:val="20"/>
        </w:rPr>
        <w:t xml:space="preserve"> achieves the desired results. </w:t>
      </w:r>
      <w:r w:rsidRPr="005722A6">
        <w:rPr>
          <w:rFonts w:cs="Calibri"/>
          <w:sz w:val="20"/>
          <w:szCs w:val="20"/>
        </w:rPr>
        <w:t xml:space="preserve">The Project Board will </w:t>
      </w:r>
      <w:r w:rsidR="008253E8" w:rsidRPr="005722A6">
        <w:rPr>
          <w:rFonts w:cs="Calibri"/>
          <w:sz w:val="20"/>
          <w:szCs w:val="20"/>
        </w:rPr>
        <w:t>hold project reviews to assess the performance of the project and appraise the Annual Work Plan for the following year</w:t>
      </w:r>
      <w:r w:rsidR="0093185E" w:rsidRPr="005722A6">
        <w:rPr>
          <w:rFonts w:cs="Calibri"/>
          <w:sz w:val="20"/>
          <w:szCs w:val="20"/>
        </w:rPr>
        <w:t xml:space="preserve">. </w:t>
      </w:r>
      <w:r w:rsidR="008253E8" w:rsidRPr="005722A6">
        <w:rPr>
          <w:rFonts w:cs="Calibri"/>
          <w:sz w:val="20"/>
          <w:szCs w:val="20"/>
        </w:rPr>
        <w:t xml:space="preserve">In the project’s final year, the Project Board </w:t>
      </w:r>
      <w:r w:rsidR="0093185E" w:rsidRPr="005722A6">
        <w:rPr>
          <w:rFonts w:cs="Calibri"/>
          <w:sz w:val="20"/>
          <w:szCs w:val="20"/>
        </w:rPr>
        <w:t>will</w:t>
      </w:r>
      <w:r w:rsidR="008253E8" w:rsidRPr="005722A6">
        <w:rPr>
          <w:rFonts w:cs="Calibri"/>
          <w:sz w:val="20"/>
          <w:szCs w:val="20"/>
        </w:rPr>
        <w:t xml:space="preserve"> hold an end-of-project review to capture lessons learned and discuss opportunities for scaling up and to </w:t>
      </w:r>
      <w:r w:rsidR="00E336E5" w:rsidRPr="005722A6">
        <w:rPr>
          <w:rFonts w:cs="Calibri"/>
          <w:sz w:val="20"/>
          <w:szCs w:val="20"/>
        </w:rPr>
        <w:t xml:space="preserve">highlight </w:t>
      </w:r>
      <w:r w:rsidR="008253E8" w:rsidRPr="005722A6">
        <w:rPr>
          <w:rFonts w:cs="Calibri"/>
          <w:sz w:val="20"/>
          <w:szCs w:val="20"/>
        </w:rPr>
        <w:t xml:space="preserve">project results and lessons learned with relevant audiences. This final review </w:t>
      </w:r>
      <w:r w:rsidR="0093185E" w:rsidRPr="005722A6">
        <w:rPr>
          <w:rFonts w:cs="Calibri"/>
          <w:sz w:val="20"/>
          <w:szCs w:val="20"/>
        </w:rPr>
        <w:t xml:space="preserve">meeting will also </w:t>
      </w:r>
      <w:r w:rsidR="008253E8" w:rsidRPr="005722A6">
        <w:rPr>
          <w:rFonts w:cs="Calibri"/>
          <w:sz w:val="20"/>
          <w:szCs w:val="20"/>
        </w:rPr>
        <w:t xml:space="preserve">discuss the </w:t>
      </w:r>
      <w:r w:rsidR="0093185E" w:rsidRPr="005722A6">
        <w:rPr>
          <w:rFonts w:cs="Calibri"/>
          <w:sz w:val="20"/>
          <w:szCs w:val="20"/>
        </w:rPr>
        <w:t xml:space="preserve">findings outlined in the project </w:t>
      </w:r>
      <w:r w:rsidR="008253E8" w:rsidRPr="005722A6">
        <w:rPr>
          <w:rFonts w:cs="Calibri"/>
          <w:sz w:val="20"/>
          <w:szCs w:val="20"/>
        </w:rPr>
        <w:t xml:space="preserve">terminal evaluation </w:t>
      </w:r>
      <w:r w:rsidR="0093185E" w:rsidRPr="005722A6">
        <w:rPr>
          <w:rFonts w:cs="Calibri"/>
          <w:sz w:val="20"/>
          <w:szCs w:val="20"/>
        </w:rPr>
        <w:t xml:space="preserve">report </w:t>
      </w:r>
      <w:r w:rsidR="008253E8" w:rsidRPr="005722A6">
        <w:rPr>
          <w:rFonts w:cs="Calibri"/>
          <w:sz w:val="20"/>
          <w:szCs w:val="20"/>
        </w:rPr>
        <w:t>and the management response.</w:t>
      </w:r>
    </w:p>
    <w:p w14:paraId="5D9F2BC9" w14:textId="77777777" w:rsidR="00812001" w:rsidRPr="005722A6" w:rsidRDefault="00812001" w:rsidP="00F8303B">
      <w:pPr>
        <w:spacing w:after="0"/>
        <w:rPr>
          <w:rFonts w:cs="Calibri"/>
          <w:sz w:val="20"/>
          <w:szCs w:val="20"/>
        </w:rPr>
      </w:pPr>
    </w:p>
    <w:p w14:paraId="3E5F9F5A" w14:textId="77777777" w:rsidR="00812001" w:rsidRPr="005722A6" w:rsidRDefault="008253E8" w:rsidP="00F8303B">
      <w:pPr>
        <w:spacing w:after="0"/>
        <w:rPr>
          <w:rFonts w:cs="Calibri"/>
          <w:sz w:val="20"/>
          <w:szCs w:val="20"/>
        </w:rPr>
      </w:pPr>
      <w:r w:rsidRPr="005722A6">
        <w:rPr>
          <w:rFonts w:cs="Calibri"/>
          <w:sz w:val="20"/>
          <w:szCs w:val="20"/>
          <w:u w:val="single"/>
        </w:rPr>
        <w:t xml:space="preserve">Project </w:t>
      </w:r>
      <w:r w:rsidR="00812001" w:rsidRPr="005722A6">
        <w:rPr>
          <w:rFonts w:cs="Calibri"/>
          <w:sz w:val="20"/>
          <w:szCs w:val="20"/>
          <w:u w:val="single"/>
        </w:rPr>
        <w:t>Implementing Partner</w:t>
      </w:r>
      <w:r w:rsidR="00812001" w:rsidRPr="005722A6">
        <w:rPr>
          <w:rFonts w:cs="Calibri"/>
          <w:sz w:val="20"/>
          <w:szCs w:val="20"/>
        </w:rPr>
        <w:t>:  The Implementing Partner is responsible for providing any and all required information and data necessary for timely</w:t>
      </w:r>
      <w:r w:rsidR="004440C2" w:rsidRPr="005722A6">
        <w:rPr>
          <w:rFonts w:cs="Calibri"/>
          <w:sz w:val="20"/>
          <w:szCs w:val="20"/>
        </w:rPr>
        <w:t xml:space="preserve">, </w:t>
      </w:r>
      <w:r w:rsidR="00812001" w:rsidRPr="005722A6">
        <w:rPr>
          <w:rFonts w:cs="Calibri"/>
          <w:sz w:val="20"/>
          <w:szCs w:val="20"/>
        </w:rPr>
        <w:t xml:space="preserve">comprehensive </w:t>
      </w:r>
      <w:r w:rsidR="004440C2" w:rsidRPr="005722A6">
        <w:rPr>
          <w:rFonts w:cs="Calibri"/>
          <w:sz w:val="20"/>
          <w:szCs w:val="20"/>
        </w:rPr>
        <w:t xml:space="preserve">and evidence-based </w:t>
      </w:r>
      <w:r w:rsidR="00812001" w:rsidRPr="005722A6">
        <w:rPr>
          <w:rFonts w:cs="Calibri"/>
          <w:sz w:val="20"/>
          <w:szCs w:val="20"/>
        </w:rPr>
        <w:t>project reporting, including results and financial data, as necessary and appropriate.</w:t>
      </w:r>
      <w:r w:rsidR="0093185E" w:rsidRPr="005722A6">
        <w:rPr>
          <w:rFonts w:cs="Calibri"/>
          <w:sz w:val="20"/>
          <w:szCs w:val="20"/>
        </w:rPr>
        <w:t xml:space="preserve"> The Implementing Partner will strive to ensure project</w:t>
      </w:r>
      <w:r w:rsidR="004440C2" w:rsidRPr="005722A6">
        <w:rPr>
          <w:rFonts w:cs="Calibri"/>
          <w:sz w:val="20"/>
          <w:szCs w:val="20"/>
        </w:rPr>
        <w:t>-</w:t>
      </w:r>
      <w:r w:rsidR="0093185E" w:rsidRPr="005722A6">
        <w:rPr>
          <w:rFonts w:cs="Calibri"/>
          <w:sz w:val="20"/>
          <w:szCs w:val="20"/>
        </w:rPr>
        <w:t>level M&amp;E is undertaken by</w:t>
      </w:r>
      <w:r w:rsidR="004440C2" w:rsidRPr="005722A6">
        <w:rPr>
          <w:rFonts w:cs="Calibri"/>
          <w:sz w:val="20"/>
          <w:szCs w:val="20"/>
        </w:rPr>
        <w:t xml:space="preserve"> national institutes, and</w:t>
      </w:r>
      <w:r w:rsidR="0093185E" w:rsidRPr="005722A6">
        <w:rPr>
          <w:rFonts w:cs="Calibri"/>
          <w:sz w:val="20"/>
          <w:szCs w:val="20"/>
        </w:rPr>
        <w:t xml:space="preserve"> </w:t>
      </w:r>
      <w:r w:rsidR="004440C2" w:rsidRPr="005722A6">
        <w:rPr>
          <w:rFonts w:cs="Calibri"/>
          <w:sz w:val="20"/>
          <w:szCs w:val="20"/>
        </w:rPr>
        <w:t xml:space="preserve">is </w:t>
      </w:r>
      <w:r w:rsidR="0093185E" w:rsidRPr="005722A6">
        <w:rPr>
          <w:rFonts w:cs="Calibri"/>
          <w:sz w:val="20"/>
          <w:szCs w:val="20"/>
        </w:rPr>
        <w:t xml:space="preserve">aligned with national systems so that the data used by and generated by the project supports national systems. </w:t>
      </w:r>
    </w:p>
    <w:p w14:paraId="757117A8" w14:textId="77777777" w:rsidR="00AF5DF8" w:rsidRPr="005722A6" w:rsidRDefault="00AF5DF8" w:rsidP="00F8303B">
      <w:pPr>
        <w:spacing w:after="0"/>
        <w:rPr>
          <w:rFonts w:cs="Calibri"/>
          <w:sz w:val="20"/>
          <w:szCs w:val="20"/>
          <w:u w:val="single"/>
        </w:rPr>
      </w:pPr>
    </w:p>
    <w:p w14:paraId="0EA591AE" w14:textId="162478A8" w:rsidR="00AF5DF8" w:rsidRPr="005722A6" w:rsidRDefault="00AF5DF8" w:rsidP="00F8303B">
      <w:pPr>
        <w:spacing w:after="0"/>
        <w:rPr>
          <w:rFonts w:cs="Calibri"/>
          <w:sz w:val="20"/>
          <w:szCs w:val="20"/>
        </w:rPr>
      </w:pPr>
      <w:r w:rsidRPr="005722A6">
        <w:rPr>
          <w:rFonts w:cs="Calibri"/>
          <w:sz w:val="20"/>
          <w:szCs w:val="20"/>
          <w:u w:val="single"/>
        </w:rPr>
        <w:t>UNDP Country Office</w:t>
      </w:r>
      <w:r w:rsidRPr="005722A6">
        <w:rPr>
          <w:rFonts w:cs="Calibri"/>
          <w:sz w:val="20"/>
          <w:szCs w:val="20"/>
        </w:rPr>
        <w:t xml:space="preserve">:  </w:t>
      </w:r>
      <w:r w:rsidR="0053408E" w:rsidRPr="005722A6">
        <w:rPr>
          <w:rFonts w:cs="Calibri"/>
          <w:sz w:val="20"/>
          <w:szCs w:val="20"/>
        </w:rPr>
        <w:t>The UNDP Country Office will support the Project Manager as needed, including through annual supervision missions.</w:t>
      </w:r>
      <w:r w:rsidRPr="005722A6">
        <w:rPr>
          <w:rFonts w:cs="Calibri"/>
          <w:sz w:val="20"/>
          <w:szCs w:val="20"/>
        </w:rPr>
        <w:t xml:space="preserve"> </w:t>
      </w:r>
      <w:r w:rsidR="009B2545" w:rsidRPr="005722A6">
        <w:rPr>
          <w:rFonts w:cs="Calibri"/>
          <w:sz w:val="20"/>
          <w:szCs w:val="20"/>
        </w:rPr>
        <w:t xml:space="preserve">The </w:t>
      </w:r>
      <w:r w:rsidR="004440C2" w:rsidRPr="005722A6">
        <w:rPr>
          <w:rFonts w:cs="Calibri"/>
          <w:sz w:val="20"/>
          <w:szCs w:val="20"/>
        </w:rPr>
        <w:t xml:space="preserve">annual </w:t>
      </w:r>
      <w:r w:rsidR="009B2545" w:rsidRPr="005722A6">
        <w:rPr>
          <w:rFonts w:cs="Calibri"/>
          <w:sz w:val="20"/>
          <w:szCs w:val="20"/>
        </w:rPr>
        <w:t xml:space="preserve">supervision missions will take place according to the schedule outlined in the annual work plan. Supervision mission reports will be circulated to the project team and Project Board within </w:t>
      </w:r>
      <w:r w:rsidR="009B2545" w:rsidRPr="005722A6">
        <w:rPr>
          <w:rFonts w:cs="Calibri"/>
          <w:sz w:val="20"/>
          <w:szCs w:val="20"/>
        </w:rPr>
        <w:lastRenderedPageBreak/>
        <w:t>one month of the mission</w:t>
      </w:r>
      <w:r w:rsidR="00194AA1">
        <w:rPr>
          <w:rFonts w:cs="Calibri"/>
          <w:sz w:val="20"/>
          <w:szCs w:val="20"/>
        </w:rPr>
        <w:t xml:space="preserve">. </w:t>
      </w:r>
      <w:r w:rsidRPr="005722A6">
        <w:rPr>
          <w:rFonts w:cs="Calibri"/>
          <w:sz w:val="20"/>
          <w:szCs w:val="20"/>
        </w:rPr>
        <w:t xml:space="preserve">The UNDP Country Office will initiate and organize key </w:t>
      </w:r>
      <w:r w:rsidR="004440C2" w:rsidRPr="005722A6">
        <w:rPr>
          <w:rFonts w:cs="Calibri"/>
          <w:sz w:val="20"/>
          <w:szCs w:val="20"/>
        </w:rPr>
        <w:t>GEF M&amp;E activities</w:t>
      </w:r>
      <w:r w:rsidRPr="005722A6">
        <w:rPr>
          <w:rFonts w:cs="Calibri"/>
          <w:sz w:val="20"/>
          <w:szCs w:val="20"/>
        </w:rPr>
        <w:t xml:space="preserve"> including the annual </w:t>
      </w:r>
      <w:r w:rsidR="004440C2" w:rsidRPr="005722A6">
        <w:rPr>
          <w:rFonts w:cs="Calibri"/>
          <w:sz w:val="20"/>
          <w:szCs w:val="20"/>
        </w:rPr>
        <w:t xml:space="preserve">GEF </w:t>
      </w:r>
      <w:r w:rsidRPr="005722A6">
        <w:rPr>
          <w:rFonts w:cs="Calibri"/>
          <w:sz w:val="20"/>
          <w:szCs w:val="20"/>
        </w:rPr>
        <w:t xml:space="preserve">PIR, the </w:t>
      </w:r>
      <w:r w:rsidR="00B54BF6" w:rsidRPr="005722A6">
        <w:rPr>
          <w:rFonts w:cs="Calibri"/>
          <w:i/>
          <w:sz w:val="20"/>
          <w:szCs w:val="20"/>
        </w:rPr>
        <w:t xml:space="preserve">independent </w:t>
      </w:r>
      <w:r w:rsidRPr="005722A6">
        <w:rPr>
          <w:rFonts w:cs="Calibri"/>
          <w:i/>
          <w:sz w:val="20"/>
          <w:szCs w:val="20"/>
        </w:rPr>
        <w:t>mid-term review</w:t>
      </w:r>
      <w:r w:rsidRPr="005722A6">
        <w:rPr>
          <w:rFonts w:cs="Calibri"/>
          <w:sz w:val="20"/>
          <w:szCs w:val="20"/>
        </w:rPr>
        <w:t xml:space="preserve"> and the</w:t>
      </w:r>
      <w:r w:rsidR="00B54BF6" w:rsidRPr="005722A6">
        <w:rPr>
          <w:rFonts w:cs="Calibri"/>
          <w:sz w:val="20"/>
          <w:szCs w:val="20"/>
        </w:rPr>
        <w:t xml:space="preserve"> independent</w:t>
      </w:r>
      <w:r w:rsidRPr="005722A6">
        <w:rPr>
          <w:rFonts w:cs="Calibri"/>
          <w:sz w:val="20"/>
          <w:szCs w:val="20"/>
        </w:rPr>
        <w:t xml:space="preserve"> terminal evaluation.</w:t>
      </w:r>
      <w:r w:rsidR="00B54BF6" w:rsidRPr="005722A6">
        <w:rPr>
          <w:rFonts w:cs="Calibri"/>
          <w:sz w:val="20"/>
          <w:szCs w:val="20"/>
        </w:rPr>
        <w:t xml:space="preserve"> The UNDP Country Office will also ensure that the standard UNDP and GEF M&amp;E requirements are fulfilled to the highest quality</w:t>
      </w:r>
      <w:r w:rsidR="00194AA1">
        <w:rPr>
          <w:rFonts w:cs="Calibri"/>
          <w:sz w:val="20"/>
          <w:szCs w:val="20"/>
        </w:rPr>
        <w:t xml:space="preserve">. </w:t>
      </w:r>
    </w:p>
    <w:p w14:paraId="00D26741" w14:textId="77777777" w:rsidR="00AF5DF8" w:rsidRPr="005722A6" w:rsidRDefault="00AF5DF8" w:rsidP="00F8303B">
      <w:pPr>
        <w:spacing w:after="0"/>
        <w:rPr>
          <w:rFonts w:cs="Calibri"/>
          <w:sz w:val="20"/>
          <w:szCs w:val="20"/>
        </w:rPr>
      </w:pPr>
    </w:p>
    <w:p w14:paraId="22CFCE14" w14:textId="71DADCAD" w:rsidR="00AF5DF8" w:rsidRPr="005722A6" w:rsidRDefault="0053408E" w:rsidP="00F8303B">
      <w:pPr>
        <w:spacing w:after="0"/>
        <w:rPr>
          <w:rStyle w:val="Hyperlink"/>
          <w:rFonts w:cs="Calibri"/>
          <w:color w:val="auto"/>
          <w:sz w:val="20"/>
          <w:szCs w:val="20"/>
          <w:u w:val="none"/>
        </w:rPr>
      </w:pPr>
      <w:r w:rsidRPr="005722A6">
        <w:rPr>
          <w:rFonts w:cs="Calibri"/>
          <w:sz w:val="20"/>
          <w:szCs w:val="20"/>
        </w:rPr>
        <w:t xml:space="preserve">The UNDP Country Office is responsible for complying with all UNDP project-level M&amp;E requirements as outlined in the </w:t>
      </w:r>
      <w:hyperlink r:id="rId26" w:history="1">
        <w:r w:rsidRPr="005722A6">
          <w:rPr>
            <w:rStyle w:val="Hyperlink"/>
            <w:rFonts w:cs="Calibri"/>
            <w:sz w:val="20"/>
            <w:szCs w:val="20"/>
          </w:rPr>
          <w:t>UNDP POPP</w:t>
        </w:r>
      </w:hyperlink>
      <w:r w:rsidRPr="005722A6">
        <w:rPr>
          <w:rStyle w:val="Hyperlink"/>
          <w:rFonts w:cs="Calibri"/>
          <w:sz w:val="20"/>
          <w:szCs w:val="20"/>
        </w:rPr>
        <w:t>.</w:t>
      </w:r>
      <w:r w:rsidRPr="005722A6">
        <w:rPr>
          <w:rStyle w:val="Hyperlink"/>
          <w:rFonts w:cs="Calibri"/>
          <w:sz w:val="20"/>
          <w:szCs w:val="20"/>
          <w:u w:val="none"/>
        </w:rPr>
        <w:t xml:space="preserve"> </w:t>
      </w:r>
      <w:r w:rsidRPr="005722A6">
        <w:rPr>
          <w:rStyle w:val="Hyperlink"/>
          <w:rFonts w:cs="Calibri"/>
          <w:color w:val="auto"/>
          <w:sz w:val="20"/>
          <w:szCs w:val="20"/>
          <w:u w:val="none"/>
        </w:rPr>
        <w:t xml:space="preserve">This includes ensuring the UNDP Quality Assurance Assessment during implementation is undertaken annually; that annual targets at the output level are developed, and monitored and reported using UNDP corporate systems; </w:t>
      </w:r>
      <w:r w:rsidR="004440C2" w:rsidRPr="005722A6">
        <w:rPr>
          <w:rStyle w:val="Hyperlink"/>
          <w:rFonts w:cs="Calibri"/>
          <w:color w:val="auto"/>
          <w:sz w:val="20"/>
          <w:szCs w:val="20"/>
          <w:u w:val="none"/>
        </w:rPr>
        <w:t xml:space="preserve">the regular updating of the ATLAS risk log; </w:t>
      </w:r>
      <w:r w:rsidRPr="005722A6">
        <w:rPr>
          <w:rStyle w:val="Hyperlink"/>
          <w:rFonts w:cs="Calibri"/>
          <w:color w:val="auto"/>
          <w:sz w:val="20"/>
          <w:szCs w:val="20"/>
          <w:u w:val="none"/>
        </w:rPr>
        <w:t xml:space="preserve">and, </w:t>
      </w:r>
      <w:r w:rsidR="004440C2" w:rsidRPr="005722A6">
        <w:rPr>
          <w:rStyle w:val="Hyperlink"/>
          <w:rFonts w:cs="Calibri"/>
          <w:color w:val="auto"/>
          <w:sz w:val="20"/>
          <w:szCs w:val="20"/>
          <w:u w:val="none"/>
        </w:rPr>
        <w:t xml:space="preserve">the </w:t>
      </w:r>
      <w:r w:rsidR="00647AD9" w:rsidRPr="005722A6">
        <w:rPr>
          <w:rStyle w:val="Hyperlink"/>
          <w:rFonts w:cs="Calibri"/>
          <w:color w:val="auto"/>
          <w:sz w:val="20"/>
          <w:szCs w:val="20"/>
          <w:u w:val="none"/>
        </w:rPr>
        <w:t xml:space="preserve">updating </w:t>
      </w:r>
      <w:r w:rsidR="004440C2" w:rsidRPr="005722A6">
        <w:rPr>
          <w:rStyle w:val="Hyperlink"/>
          <w:rFonts w:cs="Calibri"/>
          <w:color w:val="auto"/>
          <w:sz w:val="20"/>
          <w:szCs w:val="20"/>
          <w:u w:val="none"/>
        </w:rPr>
        <w:t xml:space="preserve">of </w:t>
      </w:r>
      <w:r w:rsidR="00647AD9" w:rsidRPr="005722A6">
        <w:rPr>
          <w:rStyle w:val="Hyperlink"/>
          <w:rFonts w:cs="Calibri"/>
          <w:color w:val="auto"/>
          <w:sz w:val="20"/>
          <w:szCs w:val="20"/>
          <w:u w:val="none"/>
        </w:rPr>
        <w:t xml:space="preserve">the UNDP </w:t>
      </w:r>
      <w:r w:rsidRPr="005722A6">
        <w:rPr>
          <w:rStyle w:val="Hyperlink"/>
          <w:rFonts w:cs="Calibri"/>
          <w:color w:val="auto"/>
          <w:sz w:val="20"/>
          <w:szCs w:val="20"/>
          <w:u w:val="none"/>
        </w:rPr>
        <w:t xml:space="preserve">gender marker </w:t>
      </w:r>
      <w:r w:rsidR="00647AD9" w:rsidRPr="005722A6">
        <w:rPr>
          <w:rStyle w:val="Hyperlink"/>
          <w:rFonts w:cs="Calibri"/>
          <w:color w:val="auto"/>
          <w:sz w:val="20"/>
          <w:szCs w:val="20"/>
          <w:u w:val="none"/>
        </w:rPr>
        <w:t xml:space="preserve">on an annual basis </w:t>
      </w:r>
      <w:r w:rsidRPr="005722A6">
        <w:rPr>
          <w:rStyle w:val="Hyperlink"/>
          <w:rFonts w:cs="Calibri"/>
          <w:color w:val="auto"/>
          <w:sz w:val="20"/>
          <w:szCs w:val="20"/>
          <w:u w:val="none"/>
        </w:rPr>
        <w:t xml:space="preserve">based on </w:t>
      </w:r>
      <w:r w:rsidR="004440C2" w:rsidRPr="005722A6">
        <w:rPr>
          <w:rStyle w:val="Hyperlink"/>
          <w:rFonts w:cs="Calibri"/>
          <w:color w:val="auto"/>
          <w:sz w:val="20"/>
          <w:szCs w:val="20"/>
          <w:u w:val="none"/>
        </w:rPr>
        <w:t xml:space="preserve">gender mainstreaming </w:t>
      </w:r>
      <w:r w:rsidR="000A20A2" w:rsidRPr="005722A6">
        <w:rPr>
          <w:rStyle w:val="Hyperlink"/>
          <w:rFonts w:cs="Calibri"/>
          <w:color w:val="auto"/>
          <w:sz w:val="20"/>
          <w:szCs w:val="20"/>
          <w:u w:val="none"/>
        </w:rPr>
        <w:t xml:space="preserve">progress reported in the </w:t>
      </w:r>
      <w:r w:rsidR="00647AD9" w:rsidRPr="005722A6">
        <w:rPr>
          <w:rStyle w:val="Hyperlink"/>
          <w:rFonts w:cs="Calibri"/>
          <w:color w:val="auto"/>
          <w:sz w:val="20"/>
          <w:szCs w:val="20"/>
          <w:u w:val="none"/>
        </w:rPr>
        <w:t xml:space="preserve">GEF </w:t>
      </w:r>
      <w:r w:rsidRPr="005722A6">
        <w:rPr>
          <w:rStyle w:val="Hyperlink"/>
          <w:rFonts w:cs="Calibri"/>
          <w:color w:val="auto"/>
          <w:sz w:val="20"/>
          <w:szCs w:val="20"/>
          <w:u w:val="none"/>
        </w:rPr>
        <w:t xml:space="preserve">PIR and </w:t>
      </w:r>
      <w:r w:rsidR="004440C2" w:rsidRPr="005722A6">
        <w:rPr>
          <w:rStyle w:val="Hyperlink"/>
          <w:rFonts w:cs="Calibri"/>
          <w:color w:val="auto"/>
          <w:sz w:val="20"/>
          <w:szCs w:val="20"/>
          <w:u w:val="none"/>
        </w:rPr>
        <w:t xml:space="preserve">the </w:t>
      </w:r>
      <w:r w:rsidR="00647AD9" w:rsidRPr="005722A6">
        <w:rPr>
          <w:rStyle w:val="Hyperlink"/>
          <w:rFonts w:cs="Calibri"/>
          <w:color w:val="auto"/>
          <w:sz w:val="20"/>
          <w:szCs w:val="20"/>
          <w:u w:val="none"/>
        </w:rPr>
        <w:t xml:space="preserve">UNDP </w:t>
      </w:r>
      <w:r w:rsidRPr="005722A6">
        <w:rPr>
          <w:rStyle w:val="Hyperlink"/>
          <w:rFonts w:cs="Calibri"/>
          <w:color w:val="auto"/>
          <w:sz w:val="20"/>
          <w:szCs w:val="20"/>
          <w:u w:val="none"/>
        </w:rPr>
        <w:t xml:space="preserve">ROAR. Any quality concerns flagged </w:t>
      </w:r>
      <w:r w:rsidR="004440C2" w:rsidRPr="005722A6">
        <w:rPr>
          <w:rStyle w:val="Hyperlink"/>
          <w:rFonts w:cs="Calibri"/>
          <w:color w:val="auto"/>
          <w:sz w:val="20"/>
          <w:szCs w:val="20"/>
          <w:u w:val="none"/>
        </w:rPr>
        <w:t xml:space="preserve">during these M&amp;E activities (e.g. annual GEF PIR quality assessment ratings) </w:t>
      </w:r>
      <w:r w:rsidRPr="005722A6">
        <w:rPr>
          <w:rStyle w:val="Hyperlink"/>
          <w:rFonts w:cs="Calibri"/>
          <w:color w:val="auto"/>
          <w:sz w:val="20"/>
          <w:szCs w:val="20"/>
          <w:u w:val="none"/>
        </w:rPr>
        <w:t xml:space="preserve">must be addressed by </w:t>
      </w:r>
      <w:r w:rsidR="004440C2" w:rsidRPr="005722A6">
        <w:rPr>
          <w:rStyle w:val="Hyperlink"/>
          <w:rFonts w:cs="Calibri"/>
          <w:color w:val="auto"/>
          <w:sz w:val="20"/>
          <w:szCs w:val="20"/>
          <w:u w:val="none"/>
        </w:rPr>
        <w:t>the UNDP Country Office and the Project Manager</w:t>
      </w:r>
      <w:r w:rsidR="00194AA1">
        <w:rPr>
          <w:rStyle w:val="Hyperlink"/>
          <w:rFonts w:cs="Calibri"/>
          <w:color w:val="auto"/>
          <w:sz w:val="20"/>
          <w:szCs w:val="20"/>
          <w:u w:val="none"/>
        </w:rPr>
        <w:t xml:space="preserve">. </w:t>
      </w:r>
    </w:p>
    <w:p w14:paraId="1921A837" w14:textId="77777777" w:rsidR="00AF5DF8" w:rsidRPr="005722A6" w:rsidRDefault="00AF5DF8" w:rsidP="00F8303B">
      <w:pPr>
        <w:spacing w:after="0"/>
        <w:rPr>
          <w:rFonts w:cs="Calibri"/>
          <w:sz w:val="20"/>
          <w:szCs w:val="20"/>
        </w:rPr>
      </w:pPr>
    </w:p>
    <w:p w14:paraId="3B3F07E1" w14:textId="5A399533" w:rsidR="00AF5DF8" w:rsidRPr="005722A6" w:rsidRDefault="00AF5DF8" w:rsidP="00F8303B">
      <w:pPr>
        <w:spacing w:after="0"/>
        <w:rPr>
          <w:rFonts w:cs="Calibri"/>
          <w:sz w:val="20"/>
          <w:szCs w:val="20"/>
        </w:rPr>
      </w:pPr>
      <w:r w:rsidRPr="005722A6">
        <w:rPr>
          <w:rFonts w:cs="Calibri"/>
          <w:sz w:val="20"/>
          <w:szCs w:val="20"/>
        </w:rPr>
        <w:t>The UNDP Country Office will retain all M&amp;E records for this project for up to seven years after project financial closure in order to support ex-post evaluations undertaken by the UNDP Independent Evaluation Office</w:t>
      </w:r>
      <w:r w:rsidR="004440C2" w:rsidRPr="005722A6">
        <w:rPr>
          <w:rFonts w:cs="Calibri"/>
          <w:sz w:val="20"/>
          <w:szCs w:val="20"/>
        </w:rPr>
        <w:t xml:space="preserve"> (IEO)</w:t>
      </w:r>
      <w:r w:rsidRPr="005722A6">
        <w:rPr>
          <w:rFonts w:cs="Calibri"/>
          <w:sz w:val="20"/>
          <w:szCs w:val="20"/>
        </w:rPr>
        <w:t xml:space="preserve"> and/or the GEF Independent Evaluation Office</w:t>
      </w:r>
      <w:r w:rsidR="00C24F2A" w:rsidRPr="005722A6">
        <w:rPr>
          <w:rFonts w:cs="Calibri"/>
          <w:sz w:val="20"/>
          <w:szCs w:val="20"/>
        </w:rPr>
        <w:t xml:space="preserve"> (IEO)</w:t>
      </w:r>
      <w:r w:rsidR="00194AA1">
        <w:rPr>
          <w:rFonts w:cs="Calibri"/>
          <w:sz w:val="20"/>
          <w:szCs w:val="20"/>
        </w:rPr>
        <w:t xml:space="preserve">. </w:t>
      </w:r>
    </w:p>
    <w:p w14:paraId="7C1E2647" w14:textId="77777777" w:rsidR="00AF5DF8" w:rsidRPr="005722A6" w:rsidRDefault="00AF5DF8" w:rsidP="00F8303B">
      <w:pPr>
        <w:spacing w:after="0"/>
        <w:rPr>
          <w:rStyle w:val="Hyperlink"/>
          <w:rFonts w:cs="Calibri"/>
          <w:color w:val="auto"/>
          <w:sz w:val="20"/>
          <w:szCs w:val="20"/>
          <w:u w:val="none"/>
        </w:rPr>
      </w:pPr>
    </w:p>
    <w:p w14:paraId="2BAF6ABB" w14:textId="01F62522" w:rsidR="0053408E" w:rsidRPr="005722A6" w:rsidRDefault="00AF5DF8" w:rsidP="00F8303B">
      <w:pPr>
        <w:spacing w:after="0"/>
        <w:rPr>
          <w:rFonts w:cs="Calibri"/>
          <w:sz w:val="20"/>
          <w:szCs w:val="20"/>
        </w:rPr>
      </w:pPr>
      <w:r w:rsidRPr="005722A6">
        <w:rPr>
          <w:rFonts w:cs="Calibri"/>
          <w:sz w:val="20"/>
          <w:szCs w:val="20"/>
          <w:u w:val="single"/>
        </w:rPr>
        <w:t>UNDP-GEF Unit</w:t>
      </w:r>
      <w:r w:rsidRPr="005722A6">
        <w:rPr>
          <w:rFonts w:cs="Calibri"/>
          <w:sz w:val="20"/>
          <w:szCs w:val="20"/>
        </w:rPr>
        <w:t xml:space="preserve">:  </w:t>
      </w:r>
      <w:r w:rsidR="0053408E" w:rsidRPr="005722A6">
        <w:rPr>
          <w:rFonts w:cs="Calibri"/>
          <w:sz w:val="20"/>
          <w:szCs w:val="20"/>
        </w:rPr>
        <w:t xml:space="preserve">Additional M&amp;E and implementation quality assurance and troubleshooting support will be </w:t>
      </w:r>
      <w:r w:rsidR="00FC195B" w:rsidRPr="005722A6">
        <w:rPr>
          <w:rFonts w:cs="Calibri"/>
          <w:sz w:val="20"/>
          <w:szCs w:val="20"/>
        </w:rPr>
        <w:t>p</w:t>
      </w:r>
      <w:r w:rsidR="0053408E" w:rsidRPr="005722A6">
        <w:rPr>
          <w:rFonts w:cs="Calibri"/>
          <w:sz w:val="20"/>
          <w:szCs w:val="20"/>
        </w:rPr>
        <w:t xml:space="preserve">rovided by the UNDP-GEF Regional Technical Advisor and the UNDP-GEF </w:t>
      </w:r>
      <w:r w:rsidR="00043A4B" w:rsidRPr="005722A6">
        <w:rPr>
          <w:rFonts w:cs="Calibri"/>
          <w:sz w:val="20"/>
          <w:szCs w:val="20"/>
        </w:rPr>
        <w:t>Directorate</w:t>
      </w:r>
      <w:r w:rsidR="0053408E" w:rsidRPr="005722A6">
        <w:rPr>
          <w:rFonts w:cs="Calibri"/>
          <w:sz w:val="20"/>
          <w:szCs w:val="20"/>
        </w:rPr>
        <w:t xml:space="preserve"> as needed</w:t>
      </w:r>
      <w:r w:rsidR="00194AA1">
        <w:rPr>
          <w:rFonts w:cs="Calibri"/>
          <w:sz w:val="20"/>
          <w:szCs w:val="20"/>
        </w:rPr>
        <w:t xml:space="preserve">. </w:t>
      </w:r>
    </w:p>
    <w:p w14:paraId="039E4202" w14:textId="77777777" w:rsidR="0053408E" w:rsidRPr="005722A6" w:rsidRDefault="0053408E" w:rsidP="00F8303B">
      <w:pPr>
        <w:spacing w:after="0"/>
        <w:rPr>
          <w:rFonts w:cs="Calibri"/>
          <w:sz w:val="20"/>
          <w:szCs w:val="20"/>
        </w:rPr>
      </w:pPr>
    </w:p>
    <w:p w14:paraId="6956F16F" w14:textId="77777777" w:rsidR="004E7826" w:rsidRPr="005722A6" w:rsidRDefault="004E7826" w:rsidP="00F8303B">
      <w:pPr>
        <w:spacing w:after="0"/>
        <w:rPr>
          <w:rFonts w:cs="Calibri"/>
          <w:sz w:val="20"/>
          <w:szCs w:val="20"/>
        </w:rPr>
      </w:pPr>
      <w:r w:rsidRPr="005722A6">
        <w:rPr>
          <w:rFonts w:cs="Calibri"/>
          <w:b/>
          <w:sz w:val="20"/>
          <w:szCs w:val="20"/>
        </w:rPr>
        <w:t>Audit</w:t>
      </w:r>
      <w:r w:rsidRPr="005722A6">
        <w:rPr>
          <w:rFonts w:cs="Calibri"/>
          <w:sz w:val="20"/>
          <w:szCs w:val="20"/>
        </w:rPr>
        <w:t>: The project will be audited according to UNDP Financial Regulations and Rules and applicable audit policies on NIM implemented projects</w:t>
      </w:r>
      <w:r w:rsidR="004440C2" w:rsidRPr="005722A6">
        <w:rPr>
          <w:rFonts w:cs="Calibri"/>
          <w:sz w:val="20"/>
          <w:szCs w:val="20"/>
        </w:rPr>
        <w:t>.</w:t>
      </w:r>
      <w:r w:rsidR="004440C2" w:rsidRPr="005722A6">
        <w:rPr>
          <w:rStyle w:val="FootnoteReference"/>
          <w:sz w:val="20"/>
          <w:szCs w:val="20"/>
        </w:rPr>
        <w:footnoteReference w:id="27"/>
      </w:r>
    </w:p>
    <w:p w14:paraId="47791DB2" w14:textId="77777777" w:rsidR="00393350" w:rsidRPr="005722A6" w:rsidRDefault="00393350" w:rsidP="00F8303B">
      <w:pPr>
        <w:spacing w:after="0"/>
        <w:rPr>
          <w:rFonts w:cs="Calibri"/>
          <w:b/>
          <w:sz w:val="20"/>
          <w:szCs w:val="20"/>
        </w:rPr>
      </w:pPr>
    </w:p>
    <w:p w14:paraId="0C74FE7F" w14:textId="77777777" w:rsidR="0053408E" w:rsidRPr="005722A6" w:rsidRDefault="0053408E" w:rsidP="00F8303B">
      <w:pPr>
        <w:spacing w:after="0"/>
        <w:rPr>
          <w:rFonts w:cs="Calibri"/>
          <w:b/>
          <w:sz w:val="20"/>
          <w:szCs w:val="20"/>
        </w:rPr>
      </w:pPr>
      <w:r w:rsidRPr="005722A6">
        <w:rPr>
          <w:rFonts w:cs="Calibri"/>
          <w:b/>
          <w:sz w:val="20"/>
          <w:szCs w:val="20"/>
        </w:rPr>
        <w:t>Additional GEF monitoring and reporting requirements:</w:t>
      </w:r>
    </w:p>
    <w:p w14:paraId="7F5416E3" w14:textId="77777777" w:rsidR="004440C2" w:rsidRPr="005722A6" w:rsidRDefault="0053408E" w:rsidP="00F8303B">
      <w:pPr>
        <w:spacing w:after="0"/>
        <w:rPr>
          <w:rFonts w:cs="Calibri"/>
          <w:sz w:val="20"/>
          <w:szCs w:val="20"/>
        </w:rPr>
      </w:pPr>
      <w:r w:rsidRPr="005722A6">
        <w:rPr>
          <w:rFonts w:cs="Calibri"/>
          <w:sz w:val="20"/>
          <w:szCs w:val="20"/>
          <w:u w:val="single"/>
        </w:rPr>
        <w:t>Inception Workshop</w:t>
      </w:r>
      <w:r w:rsidR="005A5CD9" w:rsidRPr="005722A6">
        <w:rPr>
          <w:rFonts w:cs="Calibri"/>
          <w:sz w:val="20"/>
          <w:szCs w:val="20"/>
          <w:u w:val="single"/>
        </w:rPr>
        <w:t xml:space="preserve"> and Report</w:t>
      </w:r>
      <w:r w:rsidRPr="005722A6">
        <w:rPr>
          <w:rFonts w:cs="Calibri"/>
          <w:sz w:val="20"/>
          <w:szCs w:val="20"/>
        </w:rPr>
        <w:t xml:space="preserve">:  A project inception workshop will be held </w:t>
      </w:r>
      <w:r w:rsidR="00CE2AA6" w:rsidRPr="005722A6">
        <w:rPr>
          <w:rFonts w:cs="Calibri"/>
          <w:sz w:val="20"/>
          <w:szCs w:val="20"/>
        </w:rPr>
        <w:t xml:space="preserve">within two months </w:t>
      </w:r>
      <w:r w:rsidRPr="005722A6">
        <w:rPr>
          <w:rFonts w:cs="Calibri"/>
          <w:sz w:val="20"/>
          <w:szCs w:val="20"/>
        </w:rPr>
        <w:t>after the project document has been signed by all relevant parties to</w:t>
      </w:r>
      <w:r w:rsidR="004440C2" w:rsidRPr="005722A6">
        <w:rPr>
          <w:rFonts w:cs="Calibri"/>
          <w:sz w:val="20"/>
          <w:szCs w:val="20"/>
        </w:rPr>
        <w:t>, amongst others</w:t>
      </w:r>
      <w:r w:rsidRPr="005722A6">
        <w:rPr>
          <w:rFonts w:cs="Calibri"/>
          <w:sz w:val="20"/>
          <w:szCs w:val="20"/>
        </w:rPr>
        <w:t xml:space="preserve">:  </w:t>
      </w:r>
    </w:p>
    <w:p w14:paraId="57FF10FA" w14:textId="77777777" w:rsidR="004440C2" w:rsidRPr="005722A6" w:rsidRDefault="0053408E" w:rsidP="00F8303B">
      <w:pPr>
        <w:spacing w:after="0"/>
        <w:rPr>
          <w:rFonts w:cs="Calibri"/>
          <w:sz w:val="20"/>
          <w:szCs w:val="20"/>
        </w:rPr>
      </w:pPr>
      <w:r w:rsidRPr="005722A6">
        <w:rPr>
          <w:rFonts w:cs="Calibri"/>
          <w:sz w:val="20"/>
          <w:szCs w:val="20"/>
        </w:rPr>
        <w:t xml:space="preserve">a) </w:t>
      </w:r>
      <w:r w:rsidR="004440C2" w:rsidRPr="005722A6">
        <w:rPr>
          <w:rFonts w:cs="Calibri"/>
          <w:sz w:val="20"/>
          <w:szCs w:val="20"/>
        </w:rPr>
        <w:t>R</w:t>
      </w:r>
      <w:r w:rsidRPr="005722A6">
        <w:rPr>
          <w:rFonts w:cs="Calibri"/>
          <w:sz w:val="20"/>
          <w:szCs w:val="20"/>
        </w:rPr>
        <w:t>e-orient project stakeholders to the project strategy and discuss any changes in the overall context that influence project</w:t>
      </w:r>
      <w:r w:rsidR="009A0D83" w:rsidRPr="005722A6">
        <w:rPr>
          <w:rFonts w:cs="Calibri"/>
          <w:sz w:val="20"/>
          <w:szCs w:val="20"/>
        </w:rPr>
        <w:t xml:space="preserve"> strategy and</w:t>
      </w:r>
      <w:r w:rsidRPr="005722A6">
        <w:rPr>
          <w:rFonts w:cs="Calibri"/>
          <w:sz w:val="20"/>
          <w:szCs w:val="20"/>
        </w:rPr>
        <w:t xml:space="preserve"> implementation; </w:t>
      </w:r>
    </w:p>
    <w:p w14:paraId="6F3B333D" w14:textId="77777777" w:rsidR="004440C2" w:rsidRPr="005722A6" w:rsidRDefault="004440C2" w:rsidP="00F8303B">
      <w:pPr>
        <w:spacing w:after="0"/>
        <w:rPr>
          <w:rFonts w:cs="Calibri"/>
          <w:sz w:val="20"/>
          <w:szCs w:val="20"/>
        </w:rPr>
      </w:pPr>
      <w:r w:rsidRPr="005722A6">
        <w:rPr>
          <w:rFonts w:cs="Calibri"/>
          <w:sz w:val="20"/>
          <w:szCs w:val="20"/>
        </w:rPr>
        <w:t>b) D</w:t>
      </w:r>
      <w:r w:rsidR="0053408E" w:rsidRPr="005722A6">
        <w:rPr>
          <w:rFonts w:cs="Calibri"/>
          <w:sz w:val="20"/>
          <w:szCs w:val="20"/>
        </w:rPr>
        <w:t xml:space="preserve">iscuss the roles and responsibilities of the project team, including reporting and communication lines and conflict resolution mechanisms; </w:t>
      </w:r>
    </w:p>
    <w:p w14:paraId="4D29A4FE" w14:textId="77777777" w:rsidR="004440C2" w:rsidRPr="005722A6" w:rsidRDefault="004440C2" w:rsidP="00F8303B">
      <w:pPr>
        <w:spacing w:after="0"/>
        <w:rPr>
          <w:rFonts w:cs="Calibri"/>
          <w:sz w:val="20"/>
          <w:szCs w:val="20"/>
        </w:rPr>
      </w:pPr>
      <w:r w:rsidRPr="005722A6">
        <w:rPr>
          <w:rFonts w:cs="Calibri"/>
          <w:sz w:val="20"/>
          <w:szCs w:val="20"/>
        </w:rPr>
        <w:t>c) R</w:t>
      </w:r>
      <w:r w:rsidR="0053408E" w:rsidRPr="005722A6">
        <w:rPr>
          <w:rFonts w:cs="Calibri"/>
          <w:sz w:val="20"/>
          <w:szCs w:val="20"/>
        </w:rPr>
        <w:t>eview the results framework and</w:t>
      </w:r>
      <w:r w:rsidR="00CE2AA6" w:rsidRPr="005722A6">
        <w:rPr>
          <w:rFonts w:cs="Calibri"/>
          <w:sz w:val="20"/>
          <w:szCs w:val="20"/>
        </w:rPr>
        <w:t xml:space="preserve"> finalize the indicators, means of verification and monitoring plan</w:t>
      </w:r>
      <w:r w:rsidRPr="005722A6">
        <w:rPr>
          <w:rFonts w:cs="Calibri"/>
          <w:sz w:val="20"/>
          <w:szCs w:val="20"/>
        </w:rPr>
        <w:t>;</w:t>
      </w:r>
      <w:r w:rsidR="0053408E" w:rsidRPr="005722A6">
        <w:rPr>
          <w:rFonts w:cs="Calibri"/>
          <w:sz w:val="20"/>
          <w:szCs w:val="20"/>
        </w:rPr>
        <w:t xml:space="preserve"> </w:t>
      </w:r>
    </w:p>
    <w:p w14:paraId="51AB8B99" w14:textId="77777777" w:rsidR="004440C2" w:rsidRPr="005722A6" w:rsidRDefault="00CE2AA6" w:rsidP="00F8303B">
      <w:pPr>
        <w:spacing w:after="0"/>
        <w:rPr>
          <w:rFonts w:cs="Calibri"/>
          <w:sz w:val="20"/>
          <w:szCs w:val="20"/>
        </w:rPr>
      </w:pPr>
      <w:r w:rsidRPr="005722A6">
        <w:rPr>
          <w:rFonts w:cs="Calibri"/>
          <w:sz w:val="20"/>
          <w:szCs w:val="20"/>
        </w:rPr>
        <w:t xml:space="preserve">d) </w:t>
      </w:r>
      <w:r w:rsidR="004440C2" w:rsidRPr="005722A6">
        <w:rPr>
          <w:rFonts w:cs="Calibri"/>
          <w:sz w:val="20"/>
          <w:szCs w:val="20"/>
        </w:rPr>
        <w:t>D</w:t>
      </w:r>
      <w:r w:rsidR="0053408E" w:rsidRPr="005722A6">
        <w:rPr>
          <w:rFonts w:cs="Calibri"/>
          <w:sz w:val="20"/>
          <w:szCs w:val="20"/>
        </w:rPr>
        <w:t xml:space="preserve">iscuss reporting, monitoring and evaluation roles and responsibilities and finalize the M&amp;E </w:t>
      </w:r>
      <w:r w:rsidRPr="005722A6">
        <w:rPr>
          <w:rFonts w:cs="Calibri"/>
          <w:sz w:val="20"/>
          <w:szCs w:val="20"/>
        </w:rPr>
        <w:t>budget</w:t>
      </w:r>
      <w:r w:rsidR="0053408E" w:rsidRPr="005722A6">
        <w:rPr>
          <w:rFonts w:cs="Calibri"/>
          <w:sz w:val="20"/>
          <w:szCs w:val="20"/>
        </w:rPr>
        <w:t xml:space="preserve">; </w:t>
      </w:r>
      <w:r w:rsidR="009A0D83" w:rsidRPr="005722A6">
        <w:rPr>
          <w:rFonts w:cs="Calibri"/>
          <w:sz w:val="20"/>
          <w:szCs w:val="20"/>
        </w:rPr>
        <w:t>identify national/regional institutes to be involved in project-level M&amp;E; discuss the role of the GEF OFP in M&amp;E;</w:t>
      </w:r>
    </w:p>
    <w:p w14:paraId="3D1758EE" w14:textId="77777777" w:rsidR="00E45EC4" w:rsidRPr="005722A6" w:rsidRDefault="00E45EC4" w:rsidP="00F8303B">
      <w:pPr>
        <w:spacing w:after="0"/>
        <w:rPr>
          <w:rFonts w:cs="Calibri"/>
          <w:sz w:val="20"/>
          <w:szCs w:val="20"/>
        </w:rPr>
      </w:pPr>
      <w:r w:rsidRPr="005722A6">
        <w:rPr>
          <w:rFonts w:cs="Calibri"/>
          <w:sz w:val="20"/>
          <w:szCs w:val="20"/>
        </w:rPr>
        <w:t xml:space="preserve">e) Update and review responsibilities for monitoring the various project plans and strategies, including the risk log; Environmental and Social Management Plan and other safeguard </w:t>
      </w:r>
      <w:r w:rsidR="00C24F2A" w:rsidRPr="005722A6">
        <w:rPr>
          <w:rFonts w:cs="Calibri"/>
          <w:sz w:val="20"/>
          <w:szCs w:val="20"/>
        </w:rPr>
        <w:t>requirements</w:t>
      </w:r>
      <w:r w:rsidRPr="005722A6">
        <w:rPr>
          <w:rFonts w:cs="Calibri"/>
          <w:sz w:val="20"/>
          <w:szCs w:val="20"/>
        </w:rPr>
        <w:t>; the gender strategy</w:t>
      </w:r>
      <w:r w:rsidR="00162DAA" w:rsidRPr="005722A6">
        <w:rPr>
          <w:rFonts w:cs="Calibri"/>
          <w:sz w:val="20"/>
          <w:szCs w:val="20"/>
        </w:rPr>
        <w:t>;</w:t>
      </w:r>
      <w:r w:rsidRPr="005722A6">
        <w:rPr>
          <w:rFonts w:cs="Calibri"/>
          <w:sz w:val="20"/>
          <w:szCs w:val="20"/>
        </w:rPr>
        <w:t xml:space="preserve"> the knowledge management strategy</w:t>
      </w:r>
      <w:r w:rsidR="00162DAA" w:rsidRPr="005722A6">
        <w:rPr>
          <w:rFonts w:cs="Calibri"/>
          <w:sz w:val="20"/>
          <w:szCs w:val="20"/>
        </w:rPr>
        <w:t>,</w:t>
      </w:r>
      <w:r w:rsidRPr="005722A6">
        <w:rPr>
          <w:rFonts w:cs="Calibri"/>
          <w:sz w:val="20"/>
          <w:szCs w:val="20"/>
        </w:rPr>
        <w:t xml:space="preserve"> and other relevant strategies; </w:t>
      </w:r>
    </w:p>
    <w:p w14:paraId="43BB6EF6" w14:textId="77777777" w:rsidR="004440C2" w:rsidRPr="005722A6" w:rsidRDefault="00E45EC4" w:rsidP="00F8303B">
      <w:pPr>
        <w:spacing w:after="0"/>
        <w:rPr>
          <w:rFonts w:cs="Calibri"/>
          <w:sz w:val="20"/>
          <w:szCs w:val="20"/>
        </w:rPr>
      </w:pPr>
      <w:r w:rsidRPr="005722A6">
        <w:rPr>
          <w:rFonts w:cs="Calibri"/>
          <w:sz w:val="20"/>
          <w:szCs w:val="20"/>
        </w:rPr>
        <w:t>f</w:t>
      </w:r>
      <w:r w:rsidR="0053408E" w:rsidRPr="005722A6">
        <w:rPr>
          <w:rFonts w:cs="Calibri"/>
          <w:sz w:val="20"/>
          <w:szCs w:val="20"/>
        </w:rPr>
        <w:t xml:space="preserve">) </w:t>
      </w:r>
      <w:r w:rsidR="004440C2" w:rsidRPr="005722A6">
        <w:rPr>
          <w:rFonts w:cs="Calibri"/>
          <w:sz w:val="20"/>
          <w:szCs w:val="20"/>
        </w:rPr>
        <w:t>R</w:t>
      </w:r>
      <w:r w:rsidR="0053408E" w:rsidRPr="005722A6">
        <w:rPr>
          <w:rFonts w:cs="Calibri"/>
          <w:sz w:val="20"/>
          <w:szCs w:val="20"/>
        </w:rPr>
        <w:t xml:space="preserve">eview financial reporting procedures and mandatory requirements, and agree on the arrangements for the annual audit; </w:t>
      </w:r>
      <w:r w:rsidR="004440C2" w:rsidRPr="005722A6">
        <w:rPr>
          <w:rFonts w:cs="Calibri"/>
          <w:sz w:val="20"/>
          <w:szCs w:val="20"/>
        </w:rPr>
        <w:t>and</w:t>
      </w:r>
    </w:p>
    <w:p w14:paraId="089CBEAB" w14:textId="74E05119" w:rsidR="004440C2" w:rsidRPr="005722A6" w:rsidRDefault="00E45EC4" w:rsidP="00F8303B">
      <w:pPr>
        <w:spacing w:after="0"/>
        <w:rPr>
          <w:rFonts w:cs="Calibri"/>
          <w:sz w:val="20"/>
          <w:szCs w:val="20"/>
        </w:rPr>
      </w:pPr>
      <w:r w:rsidRPr="005722A6">
        <w:rPr>
          <w:rFonts w:cs="Calibri"/>
          <w:sz w:val="20"/>
          <w:szCs w:val="20"/>
        </w:rPr>
        <w:t>g</w:t>
      </w:r>
      <w:r w:rsidR="004440C2" w:rsidRPr="005722A6">
        <w:rPr>
          <w:rFonts w:cs="Calibri"/>
          <w:sz w:val="20"/>
          <w:szCs w:val="20"/>
        </w:rPr>
        <w:t>)</w:t>
      </w:r>
      <w:r w:rsidR="0053408E" w:rsidRPr="005722A6">
        <w:rPr>
          <w:rFonts w:cs="Calibri"/>
          <w:sz w:val="20"/>
          <w:szCs w:val="20"/>
        </w:rPr>
        <w:t xml:space="preserve"> </w:t>
      </w:r>
      <w:r w:rsidR="004440C2" w:rsidRPr="005722A6">
        <w:rPr>
          <w:rFonts w:cs="Calibri"/>
          <w:sz w:val="20"/>
          <w:szCs w:val="20"/>
        </w:rPr>
        <w:t>P</w:t>
      </w:r>
      <w:r w:rsidR="0053408E" w:rsidRPr="005722A6">
        <w:rPr>
          <w:rFonts w:cs="Calibri"/>
          <w:sz w:val="20"/>
          <w:szCs w:val="20"/>
        </w:rPr>
        <w:t>lan and schedule Project Board meetings and finalize the first year annual work plan</w:t>
      </w:r>
      <w:r w:rsidR="00194AA1">
        <w:rPr>
          <w:rFonts w:cs="Calibri"/>
          <w:sz w:val="20"/>
          <w:szCs w:val="20"/>
        </w:rPr>
        <w:t xml:space="preserve">. </w:t>
      </w:r>
    </w:p>
    <w:p w14:paraId="004B5DCC" w14:textId="77777777" w:rsidR="00162DAA" w:rsidRPr="005722A6" w:rsidRDefault="00162DAA" w:rsidP="00F8303B">
      <w:pPr>
        <w:spacing w:after="0"/>
        <w:rPr>
          <w:rFonts w:cs="Calibri"/>
          <w:sz w:val="20"/>
          <w:szCs w:val="20"/>
        </w:rPr>
      </w:pPr>
    </w:p>
    <w:p w14:paraId="665A0D02" w14:textId="35F2C330" w:rsidR="0053408E" w:rsidRPr="005722A6" w:rsidRDefault="0053408E" w:rsidP="00F8303B">
      <w:pPr>
        <w:spacing w:after="0"/>
        <w:rPr>
          <w:rFonts w:cs="Calibri"/>
          <w:sz w:val="20"/>
          <w:szCs w:val="20"/>
        </w:rPr>
      </w:pPr>
      <w:r w:rsidRPr="005722A6">
        <w:rPr>
          <w:rFonts w:cs="Calibri"/>
          <w:sz w:val="20"/>
          <w:szCs w:val="20"/>
        </w:rPr>
        <w:t>The Project Manager will prepare the inception report no later than one month after the inception workshop. The inception report will be cleared by the UNDP Country Office and the UNDP-GEF Regional Technical Adviser, and will be approved by the Project Board</w:t>
      </w:r>
      <w:r w:rsidR="00194AA1">
        <w:rPr>
          <w:rFonts w:cs="Calibri"/>
          <w:sz w:val="20"/>
          <w:szCs w:val="20"/>
        </w:rPr>
        <w:t xml:space="preserve">. </w:t>
      </w:r>
    </w:p>
    <w:p w14:paraId="27B204E2" w14:textId="77777777" w:rsidR="0053408E" w:rsidRPr="005722A6" w:rsidRDefault="0053408E" w:rsidP="00F8303B">
      <w:pPr>
        <w:autoSpaceDE w:val="0"/>
        <w:autoSpaceDN w:val="0"/>
        <w:adjustRightInd w:val="0"/>
        <w:spacing w:after="0"/>
        <w:rPr>
          <w:color w:val="000000"/>
          <w:sz w:val="20"/>
          <w:szCs w:val="20"/>
        </w:rPr>
      </w:pPr>
    </w:p>
    <w:p w14:paraId="73721D54" w14:textId="10D64A98" w:rsidR="009B2545" w:rsidRPr="005722A6" w:rsidRDefault="0053408E" w:rsidP="00F8303B">
      <w:pPr>
        <w:pStyle w:val="NormalWeb"/>
        <w:spacing w:before="0" w:beforeAutospacing="0" w:after="0" w:afterAutospacing="0"/>
        <w:rPr>
          <w:rFonts w:ascii="Calibri" w:hAnsi="Calibri" w:cs="Calibri"/>
          <w:sz w:val="20"/>
          <w:szCs w:val="20"/>
        </w:rPr>
      </w:pPr>
      <w:r w:rsidRPr="00627E17">
        <w:rPr>
          <w:rFonts w:ascii="Calibri" w:hAnsi="Calibri" w:cs="Calibri"/>
          <w:sz w:val="20"/>
          <w:szCs w:val="20"/>
          <w:u w:val="single"/>
        </w:rPr>
        <w:t>GEF Project Implementation Report (PIR</w:t>
      </w:r>
      <w:r w:rsidRPr="00627E17">
        <w:rPr>
          <w:rFonts w:ascii="Calibri" w:hAnsi="Calibri" w:cs="Calibri"/>
          <w:sz w:val="20"/>
          <w:szCs w:val="20"/>
        </w:rPr>
        <w:t>):  The Project Manager, the UNDP Country Office, and the UNDP-GEF Regional Technical Advisor will provide objective input to the annual GEF PIR covering the reporting period July (previous year) to June (current year) for each</w:t>
      </w:r>
      <w:r w:rsidR="009A0D83" w:rsidRPr="00F372D8">
        <w:rPr>
          <w:rFonts w:ascii="Calibri" w:hAnsi="Calibri" w:cs="Calibri"/>
          <w:sz w:val="20"/>
          <w:szCs w:val="20"/>
        </w:rPr>
        <w:t xml:space="preserve"> year of project implementation. </w:t>
      </w:r>
      <w:r w:rsidRPr="005722A6">
        <w:rPr>
          <w:rFonts w:ascii="Calibri" w:hAnsi="Calibri" w:cs="Calibri"/>
          <w:sz w:val="20"/>
          <w:szCs w:val="20"/>
        </w:rPr>
        <w:t>The Project Manager will ensure that the indicators included in the project results framework</w:t>
      </w:r>
      <w:r w:rsidR="00FB26B4">
        <w:rPr>
          <w:rFonts w:ascii="Calibri" w:hAnsi="Calibri" w:cs="Calibri"/>
          <w:sz w:val="20"/>
          <w:szCs w:val="20"/>
        </w:rPr>
        <w:t xml:space="preserve"> is</w:t>
      </w:r>
      <w:r w:rsidRPr="005722A6">
        <w:rPr>
          <w:rFonts w:ascii="Calibri" w:hAnsi="Calibri" w:cs="Calibri"/>
          <w:sz w:val="20"/>
          <w:szCs w:val="20"/>
        </w:rPr>
        <w:t xml:space="preserve"> monitored annually </w:t>
      </w:r>
      <w:r w:rsidR="00C24F2A" w:rsidRPr="005722A6">
        <w:rPr>
          <w:rFonts w:ascii="Calibri" w:hAnsi="Calibri" w:cs="Calibri"/>
          <w:sz w:val="20"/>
          <w:szCs w:val="20"/>
        </w:rPr>
        <w:t>in advance of the PIR submission deadline so that progress can be reported i</w:t>
      </w:r>
      <w:r w:rsidR="00DC1BE4" w:rsidRPr="005722A6">
        <w:rPr>
          <w:rFonts w:ascii="Calibri" w:hAnsi="Calibri" w:cs="Calibri"/>
          <w:sz w:val="20"/>
          <w:szCs w:val="20"/>
        </w:rPr>
        <w:t>n the PIR</w:t>
      </w:r>
      <w:r w:rsidRPr="005722A6">
        <w:rPr>
          <w:rFonts w:ascii="Calibri" w:hAnsi="Calibri" w:cs="Calibri"/>
          <w:sz w:val="20"/>
          <w:szCs w:val="20"/>
        </w:rPr>
        <w:t xml:space="preserve">. </w:t>
      </w:r>
      <w:r w:rsidR="009B2545" w:rsidRPr="005722A6">
        <w:rPr>
          <w:rFonts w:ascii="Calibri" w:hAnsi="Calibri" w:cs="Calibri"/>
          <w:sz w:val="20"/>
          <w:szCs w:val="20"/>
        </w:rPr>
        <w:t xml:space="preserve">Any environmental and social risks and related management plans will be monitored regularly, and progress will be reported in the PIR. </w:t>
      </w:r>
    </w:p>
    <w:p w14:paraId="7BDC0770" w14:textId="77777777" w:rsidR="009B2545" w:rsidRPr="005722A6" w:rsidRDefault="009B2545" w:rsidP="00F8303B">
      <w:pPr>
        <w:pStyle w:val="NormalWeb"/>
        <w:spacing w:before="0" w:beforeAutospacing="0" w:after="0" w:afterAutospacing="0"/>
        <w:rPr>
          <w:rFonts w:ascii="Calibri" w:hAnsi="Calibri" w:cs="Calibri"/>
          <w:sz w:val="20"/>
          <w:szCs w:val="20"/>
        </w:rPr>
      </w:pPr>
    </w:p>
    <w:p w14:paraId="4316517E" w14:textId="2F8EAECC" w:rsidR="0053408E" w:rsidRPr="005722A6" w:rsidRDefault="0053408E" w:rsidP="00F8303B">
      <w:pPr>
        <w:pStyle w:val="NormalWeb"/>
        <w:spacing w:before="0" w:beforeAutospacing="0" w:after="0" w:afterAutospacing="0"/>
        <w:rPr>
          <w:rFonts w:ascii="Calibri" w:hAnsi="Calibri" w:cs="Calibri"/>
          <w:sz w:val="20"/>
          <w:szCs w:val="20"/>
        </w:rPr>
      </w:pPr>
      <w:r w:rsidRPr="005722A6">
        <w:rPr>
          <w:rFonts w:ascii="Calibri" w:hAnsi="Calibri" w:cs="Calibri"/>
          <w:sz w:val="20"/>
          <w:szCs w:val="20"/>
        </w:rPr>
        <w:t xml:space="preserve">The PIR submitted to the GEF </w:t>
      </w:r>
      <w:r w:rsidR="00C24F2A" w:rsidRPr="005722A6">
        <w:rPr>
          <w:rFonts w:ascii="Calibri" w:hAnsi="Calibri" w:cs="Calibri"/>
          <w:sz w:val="20"/>
          <w:szCs w:val="20"/>
        </w:rPr>
        <w:t xml:space="preserve">will be shared with the </w:t>
      </w:r>
      <w:r w:rsidRPr="005722A6">
        <w:rPr>
          <w:rFonts w:ascii="Calibri" w:hAnsi="Calibri" w:cs="Calibri"/>
          <w:sz w:val="20"/>
          <w:szCs w:val="20"/>
        </w:rPr>
        <w:t>Project Board. The UNDP Country Office will coordinate the input of the GEF Operational Focal Point and other stakeholders to the PIR</w:t>
      </w:r>
      <w:r w:rsidR="00B13428" w:rsidRPr="005722A6">
        <w:rPr>
          <w:rFonts w:ascii="Calibri" w:hAnsi="Calibri" w:cs="Calibri"/>
          <w:sz w:val="20"/>
          <w:szCs w:val="20"/>
        </w:rPr>
        <w:t xml:space="preserve"> as appropriate</w:t>
      </w:r>
      <w:r w:rsidR="009A0D83" w:rsidRPr="005722A6">
        <w:rPr>
          <w:rFonts w:ascii="Calibri" w:hAnsi="Calibri" w:cs="Calibri"/>
          <w:sz w:val="20"/>
          <w:szCs w:val="20"/>
        </w:rPr>
        <w:t xml:space="preserve">. </w:t>
      </w:r>
      <w:r w:rsidRPr="005722A6">
        <w:rPr>
          <w:rFonts w:ascii="Calibri" w:hAnsi="Calibri" w:cs="Calibri"/>
          <w:sz w:val="20"/>
          <w:szCs w:val="20"/>
        </w:rPr>
        <w:t xml:space="preserve">The quality rating of the previous year’s PIR will be used to inform the preparation of the </w:t>
      </w:r>
      <w:r w:rsidR="00E114E5" w:rsidRPr="005722A6">
        <w:rPr>
          <w:rFonts w:ascii="Calibri" w:hAnsi="Calibri" w:cs="Calibri"/>
          <w:sz w:val="20"/>
          <w:szCs w:val="20"/>
        </w:rPr>
        <w:t>subsequent</w:t>
      </w:r>
      <w:r w:rsidRPr="005722A6">
        <w:rPr>
          <w:rFonts w:ascii="Calibri" w:hAnsi="Calibri" w:cs="Calibri"/>
          <w:sz w:val="20"/>
          <w:szCs w:val="20"/>
        </w:rPr>
        <w:t xml:space="preserve"> PIR</w:t>
      </w:r>
      <w:r w:rsidR="00194AA1">
        <w:rPr>
          <w:rFonts w:ascii="Calibri" w:hAnsi="Calibri" w:cs="Calibri"/>
          <w:sz w:val="20"/>
          <w:szCs w:val="20"/>
        </w:rPr>
        <w:t xml:space="preserve">. </w:t>
      </w:r>
    </w:p>
    <w:p w14:paraId="4A4127B7" w14:textId="77777777" w:rsidR="001E6563" w:rsidRPr="005722A6" w:rsidRDefault="001E6563" w:rsidP="00F8303B">
      <w:pPr>
        <w:pStyle w:val="NormalWeb"/>
        <w:spacing w:before="0" w:beforeAutospacing="0" w:after="0" w:afterAutospacing="0"/>
        <w:rPr>
          <w:rFonts w:ascii="Calibri" w:hAnsi="Calibri" w:cs="Calibri"/>
          <w:sz w:val="20"/>
          <w:szCs w:val="20"/>
          <w:u w:val="single"/>
          <w:lang w:val="en-GB"/>
        </w:rPr>
      </w:pPr>
    </w:p>
    <w:p w14:paraId="409D6242" w14:textId="77777777" w:rsidR="001E6563" w:rsidRPr="005722A6" w:rsidRDefault="001E6563" w:rsidP="00F8303B">
      <w:pPr>
        <w:pStyle w:val="NormalWeb"/>
        <w:spacing w:before="0" w:beforeAutospacing="0" w:after="0" w:afterAutospacing="0"/>
        <w:rPr>
          <w:rFonts w:ascii="Calibri" w:hAnsi="Calibri" w:cs="Calibri"/>
          <w:sz w:val="20"/>
          <w:szCs w:val="20"/>
          <w:lang w:val="en-GB"/>
        </w:rPr>
      </w:pPr>
      <w:r w:rsidRPr="005722A6">
        <w:rPr>
          <w:rFonts w:ascii="Calibri" w:hAnsi="Calibri" w:cs="Calibri"/>
          <w:sz w:val="20"/>
          <w:szCs w:val="20"/>
          <w:u w:val="single"/>
          <w:lang w:val="en-GB"/>
        </w:rPr>
        <w:t>Lessons learned and knowledge generation</w:t>
      </w:r>
      <w:r w:rsidRPr="005722A6">
        <w:rPr>
          <w:rFonts w:ascii="Calibri" w:hAnsi="Calibri" w:cs="Calibri"/>
          <w:sz w:val="20"/>
          <w:szCs w:val="20"/>
          <w:lang w:val="en-GB"/>
        </w:rPr>
        <w:t>:  Results from the project will be disseminated within and beyond the project intervention area through existing informatio</w:t>
      </w:r>
      <w:r w:rsidR="00F21E1A" w:rsidRPr="005722A6">
        <w:rPr>
          <w:rFonts w:ascii="Calibri" w:hAnsi="Calibri" w:cs="Calibri"/>
          <w:sz w:val="20"/>
          <w:szCs w:val="20"/>
          <w:lang w:val="en-GB"/>
        </w:rPr>
        <w:t xml:space="preserve">n sharing networks and forums. </w:t>
      </w:r>
      <w:r w:rsidRPr="005722A6">
        <w:rPr>
          <w:rFonts w:ascii="Calibri" w:hAnsi="Calibri" w:cs="Calibri"/>
          <w:sz w:val="20"/>
          <w:szCs w:val="20"/>
          <w:lang w:val="en-GB"/>
        </w:rPr>
        <w:t>The project will identify and participate, as relevant and appropriate, in scientific, policy-based and/or any other networks, which may</w:t>
      </w:r>
      <w:r w:rsidR="0029674B" w:rsidRPr="005722A6">
        <w:rPr>
          <w:rFonts w:ascii="Calibri" w:hAnsi="Calibri" w:cs="Calibri"/>
          <w:sz w:val="20"/>
          <w:szCs w:val="20"/>
          <w:lang w:val="en-GB"/>
        </w:rPr>
        <w:t xml:space="preserve"> be of benefit to the project. </w:t>
      </w:r>
      <w:r w:rsidRPr="005722A6">
        <w:rPr>
          <w:rFonts w:ascii="Calibri" w:hAnsi="Calibri" w:cs="Calibri"/>
          <w:sz w:val="20"/>
          <w:szCs w:val="20"/>
          <w:lang w:val="en-GB"/>
        </w:rPr>
        <w:t xml:space="preserve">The project will identify, analyse and share lessons learned that might be beneficial to the </w:t>
      </w:r>
      <w:r w:rsidR="003C290D" w:rsidRPr="005722A6">
        <w:rPr>
          <w:rFonts w:ascii="Calibri" w:hAnsi="Calibri" w:cs="Calibri"/>
          <w:sz w:val="20"/>
          <w:szCs w:val="20"/>
          <w:lang w:val="en-GB"/>
        </w:rPr>
        <w:t>design</w:t>
      </w:r>
      <w:r w:rsidRPr="005722A6">
        <w:rPr>
          <w:rFonts w:ascii="Calibri" w:hAnsi="Calibri" w:cs="Calibri"/>
          <w:sz w:val="20"/>
          <w:szCs w:val="20"/>
          <w:lang w:val="en-GB"/>
        </w:rPr>
        <w:t xml:space="preserve"> and implementation of similar projects</w:t>
      </w:r>
      <w:r w:rsidR="0029674B" w:rsidRPr="005722A6">
        <w:rPr>
          <w:rFonts w:ascii="Calibri" w:hAnsi="Calibri" w:cs="Calibri"/>
          <w:sz w:val="20"/>
          <w:szCs w:val="20"/>
          <w:lang w:val="en-GB"/>
        </w:rPr>
        <w:t xml:space="preserve"> and </w:t>
      </w:r>
      <w:r w:rsidR="00D31041" w:rsidRPr="005722A6">
        <w:rPr>
          <w:rFonts w:ascii="Calibri" w:hAnsi="Calibri" w:cs="Calibri"/>
          <w:sz w:val="20"/>
          <w:szCs w:val="20"/>
          <w:lang w:val="en-GB"/>
        </w:rPr>
        <w:t xml:space="preserve">disseminate </w:t>
      </w:r>
      <w:r w:rsidR="0029674B" w:rsidRPr="005722A6">
        <w:rPr>
          <w:rFonts w:ascii="Calibri" w:hAnsi="Calibri" w:cs="Calibri"/>
          <w:sz w:val="20"/>
          <w:szCs w:val="20"/>
          <w:lang w:val="en-GB"/>
        </w:rPr>
        <w:t>these lessons widely</w:t>
      </w:r>
      <w:r w:rsidRPr="005722A6">
        <w:rPr>
          <w:rFonts w:ascii="Calibri" w:hAnsi="Calibri" w:cs="Calibri"/>
          <w:sz w:val="20"/>
          <w:szCs w:val="20"/>
          <w:lang w:val="en-GB"/>
        </w:rPr>
        <w:t>. There will be</w:t>
      </w:r>
      <w:r w:rsidR="00D31041" w:rsidRPr="005722A6">
        <w:rPr>
          <w:rFonts w:ascii="Calibri" w:hAnsi="Calibri" w:cs="Calibri"/>
          <w:sz w:val="20"/>
          <w:szCs w:val="20"/>
          <w:lang w:val="en-GB"/>
        </w:rPr>
        <w:t xml:space="preserve"> continuous i</w:t>
      </w:r>
      <w:r w:rsidRPr="005722A6">
        <w:rPr>
          <w:rFonts w:ascii="Calibri" w:hAnsi="Calibri" w:cs="Calibri"/>
          <w:sz w:val="20"/>
          <w:szCs w:val="20"/>
          <w:lang w:val="en-GB"/>
        </w:rPr>
        <w:t xml:space="preserve">nformation </w:t>
      </w:r>
      <w:r w:rsidR="00D31041" w:rsidRPr="005722A6">
        <w:rPr>
          <w:rFonts w:ascii="Calibri" w:hAnsi="Calibri" w:cs="Calibri"/>
          <w:sz w:val="20"/>
          <w:szCs w:val="20"/>
          <w:lang w:val="en-GB"/>
        </w:rPr>
        <w:t xml:space="preserve">exchange </w:t>
      </w:r>
      <w:r w:rsidRPr="005722A6">
        <w:rPr>
          <w:rFonts w:ascii="Calibri" w:hAnsi="Calibri" w:cs="Calibri"/>
          <w:sz w:val="20"/>
          <w:szCs w:val="20"/>
          <w:lang w:val="en-GB"/>
        </w:rPr>
        <w:t>between this project and other projects</w:t>
      </w:r>
      <w:r w:rsidR="00E45EC4" w:rsidRPr="005722A6">
        <w:rPr>
          <w:rFonts w:ascii="Calibri" w:hAnsi="Calibri" w:cs="Calibri"/>
          <w:sz w:val="20"/>
          <w:szCs w:val="20"/>
          <w:lang w:val="en-GB"/>
        </w:rPr>
        <w:t xml:space="preserve"> </w:t>
      </w:r>
      <w:r w:rsidRPr="005722A6">
        <w:rPr>
          <w:rFonts w:ascii="Calibri" w:hAnsi="Calibri" w:cs="Calibri"/>
          <w:sz w:val="20"/>
          <w:szCs w:val="20"/>
          <w:lang w:val="en-GB"/>
        </w:rPr>
        <w:t>of similar focus in the same country, region and globally.</w:t>
      </w:r>
    </w:p>
    <w:p w14:paraId="70CF6274" w14:textId="77777777" w:rsidR="001E6563" w:rsidRPr="005722A6" w:rsidRDefault="001E6563" w:rsidP="00F8303B">
      <w:pPr>
        <w:pStyle w:val="NormalWeb"/>
        <w:spacing w:before="0" w:beforeAutospacing="0" w:after="0" w:afterAutospacing="0"/>
        <w:rPr>
          <w:rFonts w:ascii="Calibri" w:hAnsi="Calibri" w:cs="Calibri"/>
          <w:sz w:val="20"/>
          <w:szCs w:val="20"/>
          <w:u w:val="single"/>
          <w:lang w:val="en-GB"/>
        </w:rPr>
      </w:pPr>
    </w:p>
    <w:p w14:paraId="5F00EC3B" w14:textId="700A906D" w:rsidR="003E3ABA" w:rsidRPr="005722A6" w:rsidRDefault="003E3ABA" w:rsidP="00F8303B">
      <w:pPr>
        <w:pStyle w:val="NormalWeb"/>
        <w:spacing w:before="0" w:beforeAutospacing="0" w:after="0" w:afterAutospacing="0"/>
        <w:rPr>
          <w:rFonts w:ascii="Calibri" w:hAnsi="Calibri" w:cs="Calibri"/>
          <w:sz w:val="20"/>
          <w:szCs w:val="20"/>
          <w:lang w:val="en-GB"/>
        </w:rPr>
      </w:pPr>
      <w:r w:rsidRPr="005722A6">
        <w:rPr>
          <w:rFonts w:ascii="Calibri" w:hAnsi="Calibri" w:cs="Calibri"/>
          <w:sz w:val="20"/>
          <w:szCs w:val="20"/>
          <w:u w:val="single"/>
          <w:lang w:val="en-GB"/>
        </w:rPr>
        <w:t>GEF Focal Area Tracking Tools</w:t>
      </w:r>
      <w:r w:rsidRPr="005722A6">
        <w:rPr>
          <w:rFonts w:ascii="Calibri" w:hAnsi="Calibri" w:cs="Calibri"/>
          <w:sz w:val="20"/>
          <w:szCs w:val="20"/>
          <w:lang w:val="en-GB"/>
        </w:rPr>
        <w:t xml:space="preserve">:  </w:t>
      </w:r>
      <w:r w:rsidR="00C24F2A" w:rsidRPr="005722A6">
        <w:rPr>
          <w:rFonts w:ascii="Calibri" w:hAnsi="Calibri" w:cs="Calibri"/>
          <w:sz w:val="20"/>
          <w:szCs w:val="20"/>
          <w:lang w:val="en-GB"/>
        </w:rPr>
        <w:t>T</w:t>
      </w:r>
      <w:r w:rsidRPr="005722A6">
        <w:rPr>
          <w:rFonts w:ascii="Calibri" w:hAnsi="Calibri" w:cs="Calibri"/>
          <w:sz w:val="20"/>
          <w:szCs w:val="20"/>
          <w:lang w:val="en-GB"/>
        </w:rPr>
        <w:t>h</w:t>
      </w:r>
      <w:r w:rsidR="00C24F2A" w:rsidRPr="005722A6">
        <w:rPr>
          <w:rFonts w:ascii="Calibri" w:hAnsi="Calibri" w:cs="Calibri"/>
          <w:sz w:val="20"/>
          <w:szCs w:val="20"/>
          <w:lang w:val="en-GB"/>
        </w:rPr>
        <w:t xml:space="preserve">e </w:t>
      </w:r>
      <w:r w:rsidRPr="005722A6">
        <w:rPr>
          <w:rFonts w:ascii="Calibri" w:hAnsi="Calibri" w:cs="Calibri"/>
          <w:sz w:val="20"/>
          <w:szCs w:val="20"/>
          <w:lang w:val="en-GB"/>
        </w:rPr>
        <w:t>following GEF Tracking Tool(s)</w:t>
      </w:r>
      <w:r w:rsidR="00C24F2A" w:rsidRPr="005722A6">
        <w:rPr>
          <w:rFonts w:ascii="Calibri" w:hAnsi="Calibri" w:cs="Calibri"/>
          <w:sz w:val="20"/>
          <w:szCs w:val="20"/>
          <w:lang w:val="en-GB"/>
        </w:rPr>
        <w:t xml:space="preserve"> will be used to monitor global environmental benefit results</w:t>
      </w:r>
      <w:r w:rsidRPr="005722A6">
        <w:rPr>
          <w:rFonts w:ascii="Calibri" w:hAnsi="Calibri" w:cs="Calibri"/>
          <w:sz w:val="20"/>
          <w:szCs w:val="20"/>
          <w:lang w:val="en-GB"/>
        </w:rPr>
        <w:t xml:space="preserve">: </w:t>
      </w:r>
      <w:r w:rsidRPr="005722A6">
        <w:rPr>
          <w:rFonts w:ascii="Calibri" w:hAnsi="Calibri" w:cs="Calibri"/>
          <w:i/>
          <w:sz w:val="20"/>
          <w:szCs w:val="20"/>
          <w:lang w:val="en-GB"/>
        </w:rPr>
        <w:t>list the required GEF Tracking Tool(s), as agreed with the UNDP-GEF R</w:t>
      </w:r>
      <w:r w:rsidR="00C24F2A" w:rsidRPr="005722A6">
        <w:rPr>
          <w:rFonts w:ascii="Calibri" w:hAnsi="Calibri" w:cs="Calibri"/>
          <w:i/>
          <w:sz w:val="20"/>
          <w:szCs w:val="20"/>
          <w:lang w:val="en-GB"/>
        </w:rPr>
        <w:t>egional Technical Advisor</w:t>
      </w:r>
      <w:r w:rsidRPr="005722A6">
        <w:rPr>
          <w:rFonts w:ascii="Calibri" w:hAnsi="Calibri" w:cs="Calibri"/>
          <w:i/>
          <w:sz w:val="20"/>
          <w:szCs w:val="20"/>
          <w:lang w:val="en-GB"/>
        </w:rPr>
        <w:t xml:space="preserve">. </w:t>
      </w:r>
      <w:r w:rsidRPr="005722A6">
        <w:rPr>
          <w:rFonts w:ascii="Calibri" w:hAnsi="Calibri" w:cs="Calibri"/>
          <w:sz w:val="20"/>
          <w:szCs w:val="20"/>
          <w:lang w:val="en-GB"/>
        </w:rPr>
        <w:t xml:space="preserve">The baseline/CEO Endorsement GEF Focal Area Tracking Tool(s) – submitted </w:t>
      </w:r>
      <w:r w:rsidR="009A0D83" w:rsidRPr="005722A6">
        <w:rPr>
          <w:rFonts w:ascii="Calibri" w:hAnsi="Calibri" w:cs="Calibri"/>
          <w:sz w:val="20"/>
          <w:szCs w:val="20"/>
          <w:lang w:val="en-GB"/>
        </w:rPr>
        <w:t>as</w:t>
      </w:r>
      <w:r w:rsidRPr="005722A6">
        <w:rPr>
          <w:rFonts w:ascii="Calibri" w:hAnsi="Calibri" w:cs="Calibri"/>
          <w:sz w:val="20"/>
          <w:szCs w:val="20"/>
          <w:lang w:val="en-GB"/>
        </w:rPr>
        <w:t xml:space="preserve"> </w:t>
      </w:r>
      <w:r w:rsidRPr="001E3DF7">
        <w:rPr>
          <w:rFonts w:ascii="Calibri" w:hAnsi="Calibri" w:cs="Calibri"/>
          <w:sz w:val="20"/>
          <w:szCs w:val="20"/>
          <w:lang w:val="en-GB"/>
        </w:rPr>
        <w:t>Annex</w:t>
      </w:r>
      <w:r w:rsidR="001E3DF7" w:rsidRPr="001E3DF7">
        <w:rPr>
          <w:rFonts w:ascii="Calibri" w:hAnsi="Calibri" w:cs="Calibri"/>
          <w:sz w:val="20"/>
          <w:szCs w:val="20"/>
          <w:lang w:val="en-GB"/>
        </w:rPr>
        <w:t xml:space="preserve"> 24</w:t>
      </w:r>
      <w:r w:rsidR="00E45EC4" w:rsidRPr="005722A6">
        <w:rPr>
          <w:rFonts w:ascii="Calibri" w:hAnsi="Calibri" w:cs="Calibri"/>
          <w:sz w:val="20"/>
          <w:szCs w:val="20"/>
          <w:lang w:val="en-GB"/>
        </w:rPr>
        <w:t xml:space="preserve"> </w:t>
      </w:r>
      <w:r w:rsidRPr="005722A6">
        <w:rPr>
          <w:rFonts w:ascii="Calibri" w:hAnsi="Calibri" w:cs="Calibri"/>
          <w:sz w:val="20"/>
          <w:szCs w:val="20"/>
          <w:lang w:val="en-GB"/>
        </w:rPr>
        <w:t>to this project document – will be updated by the Project Manager/Team</w:t>
      </w:r>
      <w:r w:rsidR="00CF0948" w:rsidRPr="005722A6">
        <w:rPr>
          <w:rFonts w:ascii="Calibri" w:hAnsi="Calibri" w:cs="Calibri"/>
          <w:sz w:val="20"/>
          <w:szCs w:val="20"/>
          <w:lang w:val="en-GB"/>
        </w:rPr>
        <w:t xml:space="preserve"> (not the evaluation consultants hired to undertake the </w:t>
      </w:r>
      <w:r w:rsidR="00CF0948" w:rsidRPr="005722A6">
        <w:rPr>
          <w:rFonts w:ascii="Calibri" w:hAnsi="Calibri" w:cs="Calibri"/>
          <w:i/>
          <w:sz w:val="20"/>
          <w:szCs w:val="20"/>
          <w:lang w:val="en-GB"/>
        </w:rPr>
        <w:t xml:space="preserve">MTR </w:t>
      </w:r>
      <w:r w:rsidR="00CF0948" w:rsidRPr="005722A6">
        <w:rPr>
          <w:rFonts w:ascii="Calibri" w:hAnsi="Calibri" w:cs="Calibri"/>
          <w:sz w:val="20"/>
          <w:szCs w:val="20"/>
          <w:lang w:val="en-GB"/>
        </w:rPr>
        <w:t>or the TE)</w:t>
      </w:r>
      <w:r w:rsidRPr="005722A6">
        <w:rPr>
          <w:rFonts w:ascii="Calibri" w:hAnsi="Calibri" w:cs="Calibri"/>
          <w:sz w:val="20"/>
          <w:szCs w:val="20"/>
          <w:lang w:val="en-GB"/>
        </w:rPr>
        <w:t xml:space="preserve"> </w:t>
      </w:r>
      <w:r w:rsidRPr="005722A6">
        <w:rPr>
          <w:rFonts w:ascii="Calibri" w:hAnsi="Calibri" w:cs="Calibri"/>
          <w:i/>
          <w:sz w:val="20"/>
          <w:szCs w:val="20"/>
          <w:lang w:val="en-GB"/>
        </w:rPr>
        <w:t>(indicate other project partner, if agreed)</w:t>
      </w:r>
      <w:r w:rsidRPr="005722A6">
        <w:rPr>
          <w:rFonts w:ascii="Calibri" w:hAnsi="Calibri" w:cs="Calibri"/>
          <w:sz w:val="20"/>
          <w:szCs w:val="20"/>
          <w:lang w:val="en-GB"/>
        </w:rPr>
        <w:t xml:space="preserve"> and shared with </w:t>
      </w:r>
      <w:r w:rsidRPr="005722A6">
        <w:rPr>
          <w:rFonts w:ascii="Calibri" w:hAnsi="Calibri" w:cs="Calibri"/>
          <w:i/>
          <w:sz w:val="20"/>
          <w:szCs w:val="20"/>
          <w:lang w:val="en-GB"/>
        </w:rPr>
        <w:t>the mid-term review consultants</w:t>
      </w:r>
      <w:r w:rsidRPr="005722A6">
        <w:rPr>
          <w:rFonts w:ascii="Calibri" w:hAnsi="Calibri" w:cs="Calibri"/>
          <w:sz w:val="20"/>
          <w:szCs w:val="20"/>
          <w:lang w:val="en-GB"/>
        </w:rPr>
        <w:t xml:space="preserve"> and terminal evaluation consultants before the required </w:t>
      </w:r>
      <w:r w:rsidRPr="005722A6">
        <w:rPr>
          <w:rFonts w:ascii="Calibri" w:hAnsi="Calibri" w:cs="Calibri"/>
          <w:i/>
          <w:sz w:val="20"/>
          <w:szCs w:val="20"/>
          <w:lang w:val="en-GB"/>
        </w:rPr>
        <w:t>review/</w:t>
      </w:r>
      <w:r w:rsidRPr="005722A6">
        <w:rPr>
          <w:rFonts w:ascii="Calibri" w:hAnsi="Calibri" w:cs="Calibri"/>
          <w:sz w:val="20"/>
          <w:szCs w:val="20"/>
          <w:lang w:val="en-GB"/>
        </w:rPr>
        <w:t xml:space="preserve">evaluation missions take place. The updated GEF Tracking Tool(s) will be submitted to the GEF along with the completed </w:t>
      </w:r>
      <w:r w:rsidRPr="005722A6">
        <w:rPr>
          <w:rFonts w:ascii="Calibri" w:hAnsi="Calibri" w:cs="Calibri"/>
          <w:i/>
          <w:sz w:val="20"/>
          <w:szCs w:val="20"/>
          <w:lang w:val="en-GB"/>
        </w:rPr>
        <w:t>Mid-term Review report</w:t>
      </w:r>
      <w:r w:rsidRPr="005722A6">
        <w:rPr>
          <w:rFonts w:ascii="Calibri" w:hAnsi="Calibri" w:cs="Calibri"/>
          <w:sz w:val="20"/>
          <w:szCs w:val="20"/>
          <w:lang w:val="en-GB"/>
        </w:rPr>
        <w:t xml:space="preserve"> and Terminal Evaluation report.</w:t>
      </w:r>
    </w:p>
    <w:p w14:paraId="41738972" w14:textId="77777777" w:rsidR="003E3ABA" w:rsidRPr="005722A6" w:rsidRDefault="003E3ABA" w:rsidP="00F8303B">
      <w:pPr>
        <w:pStyle w:val="NormalWeb"/>
        <w:spacing w:before="0" w:beforeAutospacing="0" w:after="0" w:afterAutospacing="0"/>
        <w:rPr>
          <w:rFonts w:ascii="Calibri" w:hAnsi="Calibri" w:cs="Calibri"/>
          <w:sz w:val="20"/>
          <w:szCs w:val="20"/>
          <w:lang w:val="en-GB"/>
        </w:rPr>
      </w:pPr>
    </w:p>
    <w:p w14:paraId="086CB77B" w14:textId="5DBAE2A2" w:rsidR="003E3ABA" w:rsidRPr="001E3DF7" w:rsidRDefault="00B54BF6" w:rsidP="00F8303B">
      <w:pPr>
        <w:spacing w:after="0"/>
        <w:rPr>
          <w:sz w:val="20"/>
          <w:szCs w:val="20"/>
        </w:rPr>
      </w:pPr>
      <w:r w:rsidRPr="001E3DF7">
        <w:rPr>
          <w:rFonts w:cs="Calibri"/>
          <w:sz w:val="20"/>
          <w:szCs w:val="20"/>
          <w:u w:val="single"/>
        </w:rPr>
        <w:t xml:space="preserve">Independent </w:t>
      </w:r>
      <w:r w:rsidR="003E3ABA" w:rsidRPr="001E3DF7">
        <w:rPr>
          <w:rFonts w:cs="Calibri"/>
          <w:sz w:val="20"/>
          <w:szCs w:val="20"/>
          <w:u w:val="single"/>
        </w:rPr>
        <w:t>Mid-term Review (MTR)</w:t>
      </w:r>
      <w:r w:rsidR="003E3ABA" w:rsidRPr="001E3DF7">
        <w:rPr>
          <w:rFonts w:cs="Calibri"/>
          <w:sz w:val="20"/>
          <w:szCs w:val="20"/>
        </w:rPr>
        <w:t>:  An independent mid-term review process will begin after the second PIR has been submitted to the GEF, and the MTR report will be submitted to the GEF in the same year as the 3</w:t>
      </w:r>
      <w:r w:rsidR="003E3ABA" w:rsidRPr="001E3DF7">
        <w:rPr>
          <w:rFonts w:cs="Calibri"/>
          <w:sz w:val="20"/>
          <w:szCs w:val="20"/>
          <w:vertAlign w:val="superscript"/>
        </w:rPr>
        <w:t>rd</w:t>
      </w:r>
      <w:r w:rsidR="00A04E6F" w:rsidRPr="001E3DF7">
        <w:rPr>
          <w:rFonts w:cs="Calibri"/>
          <w:sz w:val="20"/>
          <w:szCs w:val="20"/>
        </w:rPr>
        <w:t xml:space="preserve"> PIR. </w:t>
      </w:r>
      <w:r w:rsidR="003E3ABA" w:rsidRPr="001E3DF7">
        <w:rPr>
          <w:rFonts w:cs="Calibri"/>
          <w:sz w:val="20"/>
          <w:szCs w:val="20"/>
        </w:rPr>
        <w:t>The MTR findings and responses outlined in the management response will be incorporated as recommendations for enhanced implementation during the final h</w:t>
      </w:r>
      <w:r w:rsidR="00A04E6F" w:rsidRPr="001E3DF7">
        <w:rPr>
          <w:rFonts w:cs="Calibri"/>
          <w:sz w:val="20"/>
          <w:szCs w:val="20"/>
        </w:rPr>
        <w:t xml:space="preserve">alf of the project’s duration. </w:t>
      </w:r>
      <w:r w:rsidR="003E3ABA" w:rsidRPr="001E3DF7">
        <w:rPr>
          <w:rFonts w:cs="Calibri"/>
          <w:sz w:val="20"/>
          <w:szCs w:val="20"/>
        </w:rPr>
        <w:t xml:space="preserve">The terms of reference, the review process and the MTR report will follow the standard templates and guidance </w:t>
      </w:r>
      <w:r w:rsidRPr="001E3DF7">
        <w:rPr>
          <w:rFonts w:cs="Calibri"/>
          <w:sz w:val="20"/>
          <w:szCs w:val="20"/>
        </w:rPr>
        <w:t xml:space="preserve">prepared by the UNDP IEO for GEF-financed projects </w:t>
      </w:r>
      <w:r w:rsidR="003E3ABA" w:rsidRPr="001E3DF7">
        <w:rPr>
          <w:rFonts w:cs="Calibri"/>
          <w:sz w:val="20"/>
          <w:szCs w:val="20"/>
        </w:rPr>
        <w:t xml:space="preserve">available on the </w:t>
      </w:r>
      <w:hyperlink r:id="rId27" w:anchor="gef" w:history="1">
        <w:r w:rsidR="003E3ABA" w:rsidRPr="001E3DF7">
          <w:rPr>
            <w:rStyle w:val="Hyperlink"/>
            <w:rFonts w:cs="Calibri"/>
            <w:sz w:val="20"/>
            <w:szCs w:val="20"/>
          </w:rPr>
          <w:t>UNDP Evaluation Resource Center</w:t>
        </w:r>
      </w:hyperlink>
      <w:r w:rsidR="003E3ABA" w:rsidRPr="001E3DF7">
        <w:rPr>
          <w:rStyle w:val="Hyperlink"/>
          <w:rFonts w:cs="Calibri"/>
          <w:sz w:val="20"/>
          <w:szCs w:val="20"/>
        </w:rPr>
        <w:t xml:space="preserve"> (ERC).</w:t>
      </w:r>
      <w:r w:rsidR="003E3ABA" w:rsidRPr="001E3DF7">
        <w:rPr>
          <w:rFonts w:cs="Calibri"/>
          <w:sz w:val="20"/>
          <w:szCs w:val="20"/>
        </w:rPr>
        <w:t xml:space="preserve"> </w:t>
      </w:r>
      <w:r w:rsidRPr="001E3DF7">
        <w:rPr>
          <w:sz w:val="20"/>
          <w:szCs w:val="20"/>
        </w:rPr>
        <w:t>As noted in this guidance, the evaluation will be ‘independent, impartial and rigorous’. The consultants that will be hired to undertake the assignment will be independent from organizations that were involved in designing, executing or advising on the project to be evaluated. The GEF Operational</w:t>
      </w:r>
      <w:r w:rsidR="00A04E6F" w:rsidRPr="001E3DF7">
        <w:rPr>
          <w:sz w:val="20"/>
          <w:szCs w:val="20"/>
        </w:rPr>
        <w:t xml:space="preserve"> Focal Point and other </w:t>
      </w:r>
      <w:r w:rsidRPr="001E3DF7">
        <w:rPr>
          <w:sz w:val="20"/>
          <w:szCs w:val="20"/>
        </w:rPr>
        <w:t xml:space="preserve">stakeholders will be involved and consulted during the terminal evaluation process. </w:t>
      </w:r>
      <w:r w:rsidR="003E3ABA" w:rsidRPr="001E3DF7">
        <w:rPr>
          <w:rFonts w:cs="Calibri"/>
          <w:sz w:val="20"/>
          <w:szCs w:val="20"/>
        </w:rPr>
        <w:t>Additional quality assurance support is available from the UNDP-GEF Directorate. The final MTR report will be available in English and will be cleared by the UNDP Country Office and the UNDP-GEF Regional Technical Adviser, and approved by the Project Board</w:t>
      </w:r>
      <w:r w:rsidR="00194AA1">
        <w:rPr>
          <w:rFonts w:cs="Calibri"/>
          <w:sz w:val="20"/>
          <w:szCs w:val="20"/>
        </w:rPr>
        <w:t xml:space="preserve">. </w:t>
      </w:r>
    </w:p>
    <w:p w14:paraId="4DC78DB9" w14:textId="77777777" w:rsidR="00B54BF6" w:rsidRPr="005722A6" w:rsidRDefault="00B54BF6" w:rsidP="00F8303B">
      <w:pPr>
        <w:rPr>
          <w:rFonts w:cs="Calibri"/>
          <w:sz w:val="20"/>
          <w:szCs w:val="20"/>
          <w:u w:val="single"/>
        </w:rPr>
      </w:pPr>
    </w:p>
    <w:p w14:paraId="7B94DA34" w14:textId="313762F6" w:rsidR="003E3ABA" w:rsidRPr="005722A6" w:rsidRDefault="003E3ABA" w:rsidP="00F8303B">
      <w:pPr>
        <w:spacing w:after="0"/>
        <w:rPr>
          <w:rFonts w:cs="Calibri"/>
          <w:sz w:val="20"/>
          <w:szCs w:val="20"/>
        </w:rPr>
      </w:pPr>
      <w:r w:rsidRPr="005722A6">
        <w:rPr>
          <w:rFonts w:cs="Calibri"/>
          <w:sz w:val="20"/>
          <w:szCs w:val="20"/>
          <w:u w:val="single"/>
        </w:rPr>
        <w:t>Terminal Evaluation (TE)</w:t>
      </w:r>
      <w:r w:rsidRPr="005722A6">
        <w:rPr>
          <w:rFonts w:cs="Calibri"/>
          <w:sz w:val="20"/>
          <w:szCs w:val="20"/>
        </w:rPr>
        <w:t xml:space="preserve">:  An independent terminal evaluation (TE) will take place </w:t>
      </w:r>
      <w:r w:rsidR="00C24F2A" w:rsidRPr="005722A6">
        <w:rPr>
          <w:rFonts w:cs="Calibri"/>
          <w:sz w:val="20"/>
          <w:szCs w:val="20"/>
        </w:rPr>
        <w:t>upon completion of all major project outputs and activities</w:t>
      </w:r>
      <w:r w:rsidR="00954A3F" w:rsidRPr="005722A6">
        <w:rPr>
          <w:rFonts w:cs="Calibri"/>
          <w:sz w:val="20"/>
          <w:szCs w:val="20"/>
        </w:rPr>
        <w:t>.</w:t>
      </w:r>
      <w:r w:rsidR="008C5DA0" w:rsidRPr="005722A6">
        <w:rPr>
          <w:rFonts w:cs="Calibri"/>
          <w:sz w:val="20"/>
          <w:szCs w:val="20"/>
        </w:rPr>
        <w:t xml:space="preserve"> </w:t>
      </w:r>
      <w:r w:rsidR="00954A3F" w:rsidRPr="005722A6">
        <w:rPr>
          <w:rFonts w:cs="Calibri"/>
          <w:sz w:val="20"/>
          <w:szCs w:val="20"/>
        </w:rPr>
        <w:t xml:space="preserve">The terminal evaluation process </w:t>
      </w:r>
      <w:r w:rsidR="008C5DA0" w:rsidRPr="005722A6">
        <w:rPr>
          <w:rFonts w:cs="Calibri"/>
          <w:sz w:val="20"/>
          <w:szCs w:val="20"/>
        </w:rPr>
        <w:t xml:space="preserve">will begin three months before </w:t>
      </w:r>
      <w:r w:rsidRPr="005722A6">
        <w:rPr>
          <w:rFonts w:cs="Calibri"/>
          <w:sz w:val="20"/>
          <w:szCs w:val="20"/>
        </w:rPr>
        <w:t>oper</w:t>
      </w:r>
      <w:r w:rsidR="008C5DA0" w:rsidRPr="005722A6">
        <w:rPr>
          <w:rFonts w:cs="Calibri"/>
          <w:sz w:val="20"/>
          <w:szCs w:val="20"/>
        </w:rPr>
        <w:t>ational closure of the project allowing the ev</w:t>
      </w:r>
      <w:r w:rsidR="00A04E6F" w:rsidRPr="005722A6">
        <w:rPr>
          <w:rFonts w:cs="Calibri"/>
          <w:sz w:val="20"/>
          <w:szCs w:val="20"/>
        </w:rPr>
        <w:t>a</w:t>
      </w:r>
      <w:r w:rsidR="008C5DA0" w:rsidRPr="005722A6">
        <w:rPr>
          <w:rFonts w:cs="Calibri"/>
          <w:sz w:val="20"/>
          <w:szCs w:val="20"/>
        </w:rPr>
        <w:t>l</w:t>
      </w:r>
      <w:r w:rsidR="00A04E6F" w:rsidRPr="005722A6">
        <w:rPr>
          <w:rFonts w:cs="Calibri"/>
          <w:sz w:val="20"/>
          <w:szCs w:val="20"/>
        </w:rPr>
        <w:t>ua</w:t>
      </w:r>
      <w:r w:rsidR="008C5DA0" w:rsidRPr="005722A6">
        <w:rPr>
          <w:rFonts w:cs="Calibri"/>
          <w:sz w:val="20"/>
          <w:szCs w:val="20"/>
        </w:rPr>
        <w:t xml:space="preserve">tion mission to proceed while the project team is still in place, yet ensuring the project is close enough to completion for the evaluation team to reach conclusions on key aspects such as project sustainability. </w:t>
      </w:r>
      <w:r w:rsidRPr="005722A6">
        <w:rPr>
          <w:rFonts w:cs="Calibri"/>
          <w:sz w:val="20"/>
          <w:szCs w:val="20"/>
        </w:rPr>
        <w:t>The Project Manager will remain on contract until the TE report and management</w:t>
      </w:r>
      <w:r w:rsidR="008C5DA0" w:rsidRPr="005722A6">
        <w:rPr>
          <w:rFonts w:cs="Calibri"/>
          <w:sz w:val="20"/>
          <w:szCs w:val="20"/>
        </w:rPr>
        <w:t xml:space="preserve"> response have been finalized. </w:t>
      </w:r>
      <w:r w:rsidRPr="005722A6">
        <w:rPr>
          <w:rFonts w:cs="Calibri"/>
          <w:sz w:val="20"/>
          <w:szCs w:val="20"/>
        </w:rPr>
        <w:t>The terms of reference, the evaluation process and the final TE report will follow the standard templates and guidance</w:t>
      </w:r>
      <w:r w:rsidR="00E45EC4" w:rsidRPr="005722A6">
        <w:rPr>
          <w:rFonts w:cs="Calibri"/>
          <w:sz w:val="20"/>
          <w:szCs w:val="20"/>
        </w:rPr>
        <w:t xml:space="preserve"> prepared by the UNDP IEO for GEF-financed projects</w:t>
      </w:r>
      <w:r w:rsidRPr="005722A6">
        <w:rPr>
          <w:rFonts w:cs="Calibri"/>
          <w:sz w:val="20"/>
          <w:szCs w:val="20"/>
        </w:rPr>
        <w:t xml:space="preserve"> available on the </w:t>
      </w:r>
      <w:hyperlink r:id="rId28" w:anchor="gef" w:history="1">
        <w:r w:rsidRPr="005722A6">
          <w:rPr>
            <w:rStyle w:val="Hyperlink"/>
            <w:rFonts w:cs="Calibri"/>
            <w:sz w:val="20"/>
            <w:szCs w:val="20"/>
          </w:rPr>
          <w:t>UNDP Evaluation Resource Center</w:t>
        </w:r>
      </w:hyperlink>
      <w:r w:rsidRPr="005722A6">
        <w:rPr>
          <w:rStyle w:val="Hyperlink"/>
          <w:rFonts w:cs="Calibri"/>
          <w:sz w:val="20"/>
          <w:szCs w:val="20"/>
        </w:rPr>
        <w:t>.</w:t>
      </w:r>
      <w:r w:rsidRPr="005722A6">
        <w:rPr>
          <w:rFonts w:cs="Calibri"/>
          <w:sz w:val="20"/>
          <w:szCs w:val="20"/>
        </w:rPr>
        <w:t xml:space="preserve"> </w:t>
      </w:r>
      <w:r w:rsidR="00C24F2A" w:rsidRPr="005722A6">
        <w:rPr>
          <w:sz w:val="20"/>
          <w:szCs w:val="20"/>
        </w:rPr>
        <w:t>As noted in this guidance, the evaluation will be ‘independent, impartial and rigorous’. The consultants that will be hired to undertake the assignment will be independent from organizations that were involved in designing, executing or advising on the project to be evaluated. The GEF Operationa</w:t>
      </w:r>
      <w:r w:rsidR="00A04E6F" w:rsidRPr="005722A6">
        <w:rPr>
          <w:sz w:val="20"/>
          <w:szCs w:val="20"/>
        </w:rPr>
        <w:t xml:space="preserve">l Focal Point and other </w:t>
      </w:r>
      <w:r w:rsidR="00C24F2A" w:rsidRPr="005722A6">
        <w:rPr>
          <w:sz w:val="20"/>
          <w:szCs w:val="20"/>
        </w:rPr>
        <w:t xml:space="preserve">stakeholders will be involved and consulted during the terminal evaluation process. </w:t>
      </w:r>
      <w:r w:rsidRPr="005722A6">
        <w:rPr>
          <w:rFonts w:cs="Calibri"/>
          <w:sz w:val="20"/>
          <w:szCs w:val="20"/>
        </w:rPr>
        <w:t>Additional quality assurance support is available from the UNDP-GEF Directorate. The final TE report will be cleared by the UNDP Country Office and the UNDP-GEF Regional Technical Adviser, and will be approved by the Project Board</w:t>
      </w:r>
      <w:r w:rsidR="00194AA1">
        <w:rPr>
          <w:rFonts w:cs="Calibri"/>
          <w:sz w:val="20"/>
          <w:szCs w:val="20"/>
        </w:rPr>
        <w:t xml:space="preserve">. </w:t>
      </w:r>
      <w:r w:rsidRPr="005722A6">
        <w:rPr>
          <w:rFonts w:cs="Calibri"/>
          <w:sz w:val="20"/>
          <w:szCs w:val="20"/>
        </w:rPr>
        <w:t>The TE report will be publically available in English on the UNDP ERC</w:t>
      </w:r>
      <w:r w:rsidR="00194AA1">
        <w:rPr>
          <w:rFonts w:cs="Calibri"/>
          <w:sz w:val="20"/>
          <w:szCs w:val="20"/>
        </w:rPr>
        <w:t xml:space="preserve">. </w:t>
      </w:r>
    </w:p>
    <w:p w14:paraId="18840197" w14:textId="77777777" w:rsidR="003E3ABA" w:rsidRPr="005722A6" w:rsidRDefault="003E3ABA" w:rsidP="00F8303B">
      <w:pPr>
        <w:spacing w:after="0"/>
        <w:rPr>
          <w:rFonts w:cs="Calibri"/>
          <w:sz w:val="20"/>
          <w:szCs w:val="20"/>
        </w:rPr>
      </w:pPr>
    </w:p>
    <w:p w14:paraId="1B3DCBB5" w14:textId="03F3269E" w:rsidR="003E3ABA" w:rsidRPr="005722A6" w:rsidRDefault="003E3ABA" w:rsidP="00F8303B">
      <w:pPr>
        <w:spacing w:after="0"/>
        <w:rPr>
          <w:rFonts w:cs="Calibri"/>
          <w:sz w:val="20"/>
          <w:szCs w:val="20"/>
        </w:rPr>
      </w:pPr>
      <w:r w:rsidRPr="005722A6">
        <w:rPr>
          <w:rFonts w:cs="Calibri"/>
          <w:sz w:val="20"/>
          <w:szCs w:val="20"/>
        </w:rPr>
        <w:t xml:space="preserve">The UNDP Country Office will include the planned project terminal evaluation in the UNDP Country Office evaluation plan, and will upload the final terminal evaluation report in English and the corresponding management </w:t>
      </w:r>
      <w:r w:rsidRPr="005722A6">
        <w:rPr>
          <w:rFonts w:cs="Calibri"/>
          <w:sz w:val="20"/>
          <w:szCs w:val="20"/>
        </w:rPr>
        <w:lastRenderedPageBreak/>
        <w:t>response to the UNDP Evaluation Resource Centre (ERC). Once uploaded to the ERC, the UNDP I</w:t>
      </w:r>
      <w:r w:rsidR="00E45EC4" w:rsidRPr="005722A6">
        <w:rPr>
          <w:rFonts w:cs="Calibri"/>
          <w:sz w:val="20"/>
          <w:szCs w:val="20"/>
        </w:rPr>
        <w:t>EO</w:t>
      </w:r>
      <w:r w:rsidRPr="005722A6">
        <w:rPr>
          <w:rFonts w:cs="Calibri"/>
          <w:sz w:val="20"/>
          <w:szCs w:val="20"/>
        </w:rPr>
        <w:t xml:space="preserve"> will undertake a quality assessment and validate the findings and ratings in the TE report, and rate the quality of the TE report</w:t>
      </w:r>
      <w:r w:rsidR="00194AA1">
        <w:rPr>
          <w:rFonts w:cs="Calibri"/>
          <w:sz w:val="20"/>
          <w:szCs w:val="20"/>
        </w:rPr>
        <w:t xml:space="preserve">. </w:t>
      </w:r>
      <w:r w:rsidRPr="005722A6">
        <w:rPr>
          <w:rFonts w:cs="Calibri"/>
          <w:sz w:val="20"/>
          <w:szCs w:val="20"/>
        </w:rPr>
        <w:t>The UNDP IEO assessment report will be sent to the GEF I</w:t>
      </w:r>
      <w:r w:rsidR="00E45EC4" w:rsidRPr="005722A6">
        <w:rPr>
          <w:rFonts w:cs="Calibri"/>
          <w:sz w:val="20"/>
          <w:szCs w:val="20"/>
        </w:rPr>
        <w:t>EO</w:t>
      </w:r>
      <w:r w:rsidRPr="005722A6">
        <w:rPr>
          <w:rFonts w:cs="Calibri"/>
          <w:sz w:val="20"/>
          <w:szCs w:val="20"/>
        </w:rPr>
        <w:t xml:space="preserve"> along with the project terminal evaluation report.</w:t>
      </w:r>
    </w:p>
    <w:p w14:paraId="2CBCAE08" w14:textId="77777777" w:rsidR="003E3ABA" w:rsidRPr="005722A6" w:rsidRDefault="003E3ABA" w:rsidP="00F8303B">
      <w:pPr>
        <w:spacing w:after="0"/>
        <w:rPr>
          <w:rFonts w:cs="Calibri"/>
          <w:sz w:val="20"/>
          <w:szCs w:val="20"/>
        </w:rPr>
      </w:pPr>
    </w:p>
    <w:p w14:paraId="5D6D2320" w14:textId="1013A216" w:rsidR="003E3ABA" w:rsidRPr="005722A6" w:rsidRDefault="003E3ABA" w:rsidP="00F8303B">
      <w:pPr>
        <w:spacing w:after="0"/>
        <w:rPr>
          <w:rFonts w:cs="Calibri"/>
          <w:sz w:val="20"/>
          <w:szCs w:val="20"/>
        </w:rPr>
      </w:pPr>
      <w:r w:rsidRPr="005722A6">
        <w:rPr>
          <w:rFonts w:cs="Calibri"/>
          <w:sz w:val="20"/>
          <w:szCs w:val="20"/>
          <w:u w:val="single"/>
        </w:rPr>
        <w:t>Final Report</w:t>
      </w:r>
      <w:r w:rsidRPr="005722A6">
        <w:rPr>
          <w:rFonts w:cs="Calibri"/>
          <w:sz w:val="20"/>
          <w:szCs w:val="20"/>
        </w:rPr>
        <w:t>: The project’s terminal PIR along with the terminal evaluation (TE) report and corresponding management response will serve as the</w:t>
      </w:r>
      <w:r w:rsidR="00A04E6F" w:rsidRPr="005722A6">
        <w:rPr>
          <w:rFonts w:cs="Calibri"/>
          <w:sz w:val="20"/>
          <w:szCs w:val="20"/>
        </w:rPr>
        <w:t xml:space="preserve"> final project report package. </w:t>
      </w:r>
      <w:r w:rsidRPr="005722A6">
        <w:rPr>
          <w:rFonts w:cs="Calibri"/>
          <w:sz w:val="20"/>
          <w:szCs w:val="20"/>
        </w:rPr>
        <w:t>The final project report package shall be discussed with the Project Board during an end-of-project review meeting to discuss lesson learned and opportunities for scaling up</w:t>
      </w:r>
      <w:r w:rsidR="00194AA1">
        <w:rPr>
          <w:rFonts w:cs="Calibri"/>
          <w:sz w:val="20"/>
          <w:szCs w:val="20"/>
        </w:rPr>
        <w:t xml:space="preserve">. </w:t>
      </w:r>
    </w:p>
    <w:p w14:paraId="3EE961A2" w14:textId="77777777" w:rsidR="003E3ABA" w:rsidRPr="005722A6" w:rsidRDefault="003E3ABA" w:rsidP="005722A6">
      <w:pPr>
        <w:spacing w:after="0"/>
        <w:jc w:val="left"/>
        <w:rPr>
          <w:rFonts w:cs="Calibri"/>
          <w:sz w:val="20"/>
          <w:szCs w:val="20"/>
        </w:rPr>
      </w:pPr>
    </w:p>
    <w:p w14:paraId="0D158BC4" w14:textId="4A7E8EAE" w:rsidR="003E3ABA" w:rsidRPr="005722A6" w:rsidRDefault="00C835CC" w:rsidP="005722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alibri"/>
          <w:i/>
          <w:sz w:val="20"/>
          <w:szCs w:val="20"/>
        </w:rPr>
      </w:pPr>
      <w:r>
        <w:rPr>
          <w:rFonts w:cs="Calibri"/>
          <w:b/>
          <w:sz w:val="20"/>
          <w:szCs w:val="20"/>
        </w:rPr>
        <w:t xml:space="preserve">Table 3: </w:t>
      </w:r>
      <w:r w:rsidR="003E3ABA" w:rsidRPr="005722A6">
        <w:rPr>
          <w:rFonts w:cs="Calibri"/>
          <w:b/>
          <w:sz w:val="20"/>
          <w:szCs w:val="20"/>
        </w:rPr>
        <w:t xml:space="preserve">Mandatory GEF M&amp;E Requirements and M&amp;E Budget: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5"/>
        <w:gridCol w:w="1980"/>
        <w:gridCol w:w="1350"/>
        <w:gridCol w:w="1170"/>
        <w:gridCol w:w="1705"/>
      </w:tblGrid>
      <w:tr w:rsidR="003E3ABA" w:rsidRPr="0003763F" w14:paraId="043B4365" w14:textId="77777777" w:rsidTr="00787CD1">
        <w:trPr>
          <w:tblHeader/>
          <w:jc w:val="center"/>
        </w:trPr>
        <w:tc>
          <w:tcPr>
            <w:tcW w:w="3145" w:type="dxa"/>
            <w:vMerge w:val="restart"/>
            <w:shd w:val="clear" w:color="auto" w:fill="BFBFBF"/>
          </w:tcPr>
          <w:p w14:paraId="0E9F9FEB" w14:textId="77777777" w:rsidR="003E3ABA" w:rsidRPr="00FC1173" w:rsidRDefault="003E3ABA" w:rsidP="00FC1173">
            <w:pPr>
              <w:spacing w:after="0"/>
              <w:jc w:val="center"/>
              <w:rPr>
                <w:rFonts w:cs="Calibri"/>
                <w:b/>
                <w:sz w:val="18"/>
                <w:szCs w:val="18"/>
              </w:rPr>
            </w:pPr>
            <w:r w:rsidRPr="00FC1173">
              <w:rPr>
                <w:rFonts w:cs="Calibri"/>
                <w:b/>
                <w:sz w:val="18"/>
                <w:szCs w:val="18"/>
              </w:rPr>
              <w:t>GEF M&amp;E requirements</w:t>
            </w:r>
          </w:p>
          <w:p w14:paraId="1CC6B950" w14:textId="77777777" w:rsidR="003E3ABA" w:rsidRPr="00FC1173" w:rsidRDefault="003E3ABA" w:rsidP="00FC1173">
            <w:pPr>
              <w:spacing w:after="0"/>
              <w:jc w:val="center"/>
              <w:rPr>
                <w:rFonts w:cs="Calibri"/>
                <w:b/>
                <w:sz w:val="18"/>
                <w:szCs w:val="18"/>
              </w:rPr>
            </w:pPr>
          </w:p>
        </w:tc>
        <w:tc>
          <w:tcPr>
            <w:tcW w:w="1980" w:type="dxa"/>
            <w:vMerge w:val="restart"/>
            <w:shd w:val="clear" w:color="auto" w:fill="BFBFBF"/>
          </w:tcPr>
          <w:p w14:paraId="0EBFFBB8" w14:textId="77777777" w:rsidR="003E3ABA" w:rsidRPr="00FC1173" w:rsidRDefault="003E3ABA" w:rsidP="00FC1173">
            <w:pPr>
              <w:spacing w:after="0"/>
              <w:jc w:val="center"/>
              <w:rPr>
                <w:rFonts w:cs="Calibri"/>
                <w:b/>
                <w:sz w:val="18"/>
                <w:szCs w:val="18"/>
              </w:rPr>
            </w:pPr>
            <w:r w:rsidRPr="00FC1173">
              <w:rPr>
                <w:rFonts w:cs="Calibri"/>
                <w:b/>
                <w:sz w:val="18"/>
                <w:szCs w:val="18"/>
              </w:rPr>
              <w:t>Primary responsibility</w:t>
            </w:r>
          </w:p>
        </w:tc>
        <w:tc>
          <w:tcPr>
            <w:tcW w:w="2520" w:type="dxa"/>
            <w:gridSpan w:val="2"/>
            <w:shd w:val="clear" w:color="auto" w:fill="BFBFBF"/>
          </w:tcPr>
          <w:p w14:paraId="76288A85" w14:textId="77777777" w:rsidR="003E3ABA" w:rsidRPr="00FC1173" w:rsidRDefault="003E3ABA" w:rsidP="00FC1173">
            <w:pPr>
              <w:spacing w:after="0"/>
              <w:jc w:val="center"/>
              <w:rPr>
                <w:rFonts w:cs="Calibri"/>
                <w:b/>
                <w:sz w:val="18"/>
                <w:szCs w:val="18"/>
              </w:rPr>
            </w:pPr>
            <w:r w:rsidRPr="00FC1173">
              <w:rPr>
                <w:rFonts w:cs="Calibri"/>
                <w:b/>
                <w:sz w:val="18"/>
                <w:szCs w:val="18"/>
              </w:rPr>
              <w:t>Indicative costs to be charged to the Project Budget</w:t>
            </w:r>
            <w:r w:rsidRPr="00FC1173">
              <w:rPr>
                <w:rStyle w:val="FootnoteReference"/>
                <w:rFonts w:ascii="Calibri" w:hAnsi="Calibri"/>
                <w:b/>
                <w:szCs w:val="18"/>
              </w:rPr>
              <w:footnoteReference w:id="28"/>
            </w:r>
            <w:r w:rsidRPr="00FC1173">
              <w:rPr>
                <w:rFonts w:cs="Calibri"/>
                <w:b/>
                <w:sz w:val="18"/>
                <w:szCs w:val="18"/>
              </w:rPr>
              <w:t xml:space="preserve">  (US$)</w:t>
            </w:r>
          </w:p>
        </w:tc>
        <w:tc>
          <w:tcPr>
            <w:tcW w:w="1705" w:type="dxa"/>
            <w:vMerge w:val="restart"/>
            <w:shd w:val="clear" w:color="auto" w:fill="BFBFBF"/>
          </w:tcPr>
          <w:p w14:paraId="0C5717DD" w14:textId="77777777" w:rsidR="003E3ABA" w:rsidRPr="00FC1173" w:rsidRDefault="003E3ABA" w:rsidP="00FC1173">
            <w:pPr>
              <w:spacing w:after="0"/>
              <w:jc w:val="center"/>
              <w:rPr>
                <w:rFonts w:cs="Calibri"/>
                <w:b/>
                <w:sz w:val="18"/>
                <w:szCs w:val="18"/>
              </w:rPr>
            </w:pPr>
            <w:r w:rsidRPr="00FC1173">
              <w:rPr>
                <w:rFonts w:cs="Calibri"/>
                <w:b/>
                <w:sz w:val="18"/>
                <w:szCs w:val="18"/>
              </w:rPr>
              <w:t>Time frame</w:t>
            </w:r>
          </w:p>
        </w:tc>
      </w:tr>
      <w:tr w:rsidR="003E3ABA" w:rsidRPr="0003763F" w14:paraId="050ED637" w14:textId="77777777" w:rsidTr="00787CD1">
        <w:trPr>
          <w:tblHeader/>
          <w:jc w:val="center"/>
        </w:trPr>
        <w:tc>
          <w:tcPr>
            <w:tcW w:w="3145" w:type="dxa"/>
            <w:vMerge/>
            <w:shd w:val="clear" w:color="auto" w:fill="BFBFBF"/>
          </w:tcPr>
          <w:p w14:paraId="70951F74" w14:textId="77777777" w:rsidR="003E3ABA" w:rsidRPr="00FC1173" w:rsidRDefault="003E3ABA" w:rsidP="00FC1173">
            <w:pPr>
              <w:spacing w:after="0"/>
              <w:jc w:val="left"/>
              <w:rPr>
                <w:rFonts w:cs="Calibri"/>
                <w:b/>
                <w:sz w:val="18"/>
                <w:szCs w:val="18"/>
              </w:rPr>
            </w:pPr>
          </w:p>
        </w:tc>
        <w:tc>
          <w:tcPr>
            <w:tcW w:w="1980" w:type="dxa"/>
            <w:vMerge/>
            <w:shd w:val="clear" w:color="auto" w:fill="BFBFBF"/>
          </w:tcPr>
          <w:p w14:paraId="23E493F6" w14:textId="77777777" w:rsidR="003E3ABA" w:rsidRPr="00FC1173" w:rsidRDefault="003E3ABA" w:rsidP="00FC1173">
            <w:pPr>
              <w:spacing w:after="0"/>
              <w:jc w:val="left"/>
              <w:rPr>
                <w:rFonts w:cs="Calibri"/>
                <w:b/>
                <w:sz w:val="18"/>
                <w:szCs w:val="18"/>
              </w:rPr>
            </w:pPr>
          </w:p>
        </w:tc>
        <w:tc>
          <w:tcPr>
            <w:tcW w:w="1350" w:type="dxa"/>
            <w:shd w:val="clear" w:color="auto" w:fill="BFBFBF"/>
          </w:tcPr>
          <w:p w14:paraId="130D10B9" w14:textId="77777777" w:rsidR="003E3ABA" w:rsidRPr="00FC1173" w:rsidRDefault="003E3ABA" w:rsidP="00FC1173">
            <w:pPr>
              <w:spacing w:after="0"/>
              <w:jc w:val="left"/>
              <w:rPr>
                <w:rFonts w:cs="Calibri"/>
                <w:b/>
                <w:sz w:val="18"/>
                <w:szCs w:val="18"/>
              </w:rPr>
            </w:pPr>
            <w:r w:rsidRPr="00FC1173">
              <w:rPr>
                <w:rFonts w:cs="Calibri"/>
                <w:b/>
                <w:sz w:val="18"/>
                <w:szCs w:val="18"/>
              </w:rPr>
              <w:t>GEF grant</w:t>
            </w:r>
          </w:p>
        </w:tc>
        <w:tc>
          <w:tcPr>
            <w:tcW w:w="1170" w:type="dxa"/>
            <w:shd w:val="clear" w:color="auto" w:fill="BFBFBF"/>
          </w:tcPr>
          <w:p w14:paraId="77474034" w14:textId="77777777" w:rsidR="003E3ABA" w:rsidRPr="00FC1173" w:rsidRDefault="003E3ABA" w:rsidP="00FC1173">
            <w:pPr>
              <w:spacing w:after="0"/>
              <w:jc w:val="left"/>
              <w:rPr>
                <w:rFonts w:cs="Calibri"/>
                <w:b/>
                <w:sz w:val="18"/>
                <w:szCs w:val="18"/>
              </w:rPr>
            </w:pPr>
            <w:r w:rsidRPr="00FC1173">
              <w:rPr>
                <w:rFonts w:cs="Calibri"/>
                <w:b/>
                <w:sz w:val="18"/>
                <w:szCs w:val="18"/>
              </w:rPr>
              <w:t>Co-financing</w:t>
            </w:r>
          </w:p>
        </w:tc>
        <w:tc>
          <w:tcPr>
            <w:tcW w:w="1705" w:type="dxa"/>
            <w:vMerge/>
            <w:shd w:val="clear" w:color="auto" w:fill="BFBFBF"/>
          </w:tcPr>
          <w:p w14:paraId="0376F12C" w14:textId="77777777" w:rsidR="003E3ABA" w:rsidRPr="00FC1173" w:rsidRDefault="003E3ABA" w:rsidP="00FC1173">
            <w:pPr>
              <w:spacing w:after="0"/>
              <w:jc w:val="left"/>
              <w:rPr>
                <w:rFonts w:cs="Calibri"/>
                <w:b/>
                <w:sz w:val="18"/>
                <w:szCs w:val="18"/>
              </w:rPr>
            </w:pPr>
          </w:p>
        </w:tc>
      </w:tr>
      <w:tr w:rsidR="003E3ABA" w:rsidRPr="0003763F" w14:paraId="4B058723" w14:textId="77777777" w:rsidTr="00787CD1">
        <w:trPr>
          <w:jc w:val="center"/>
        </w:trPr>
        <w:tc>
          <w:tcPr>
            <w:tcW w:w="3145" w:type="dxa"/>
          </w:tcPr>
          <w:p w14:paraId="253CBC6C" w14:textId="77777777" w:rsidR="003E3ABA" w:rsidRPr="00FC1173" w:rsidRDefault="003E3ABA" w:rsidP="00FC1173">
            <w:pPr>
              <w:spacing w:after="0"/>
              <w:jc w:val="left"/>
              <w:rPr>
                <w:rFonts w:cs="Calibri"/>
                <w:b/>
                <w:sz w:val="18"/>
                <w:szCs w:val="18"/>
              </w:rPr>
            </w:pPr>
            <w:r w:rsidRPr="00FC1173">
              <w:rPr>
                <w:rFonts w:cs="Calibri"/>
                <w:b/>
                <w:sz w:val="18"/>
                <w:szCs w:val="18"/>
              </w:rPr>
              <w:t xml:space="preserve">Inception Workshop </w:t>
            </w:r>
          </w:p>
        </w:tc>
        <w:tc>
          <w:tcPr>
            <w:tcW w:w="1980" w:type="dxa"/>
          </w:tcPr>
          <w:p w14:paraId="261536CE" w14:textId="77777777" w:rsidR="003E3ABA" w:rsidRPr="00FC1173" w:rsidRDefault="003E3ABA" w:rsidP="00FC1173">
            <w:pPr>
              <w:spacing w:after="0"/>
              <w:jc w:val="left"/>
              <w:rPr>
                <w:rFonts w:cs="Calibri"/>
                <w:sz w:val="18"/>
                <w:szCs w:val="18"/>
              </w:rPr>
            </w:pPr>
            <w:r w:rsidRPr="00FC1173">
              <w:rPr>
                <w:rFonts w:cs="Calibri"/>
                <w:sz w:val="18"/>
                <w:szCs w:val="18"/>
              </w:rPr>
              <w:t xml:space="preserve">UNDP Country Office </w:t>
            </w:r>
          </w:p>
        </w:tc>
        <w:tc>
          <w:tcPr>
            <w:tcW w:w="1350" w:type="dxa"/>
          </w:tcPr>
          <w:p w14:paraId="16E43FD3" w14:textId="3A7DDCA2" w:rsidR="003E3ABA" w:rsidRPr="00FC1173" w:rsidRDefault="00F8303B" w:rsidP="00FC1173">
            <w:pPr>
              <w:spacing w:after="0"/>
              <w:jc w:val="left"/>
              <w:rPr>
                <w:rFonts w:cs="Calibri"/>
                <w:sz w:val="18"/>
                <w:szCs w:val="18"/>
              </w:rPr>
            </w:pPr>
            <w:r w:rsidRPr="00FC1173">
              <w:rPr>
                <w:rFonts w:cs="Calibri"/>
                <w:sz w:val="18"/>
                <w:szCs w:val="18"/>
              </w:rPr>
              <w:t>8</w:t>
            </w:r>
            <w:r w:rsidR="003E3ABA" w:rsidRPr="00FC1173">
              <w:rPr>
                <w:rFonts w:cs="Calibri"/>
                <w:sz w:val="18"/>
                <w:szCs w:val="18"/>
              </w:rPr>
              <w:t>,000</w:t>
            </w:r>
          </w:p>
        </w:tc>
        <w:tc>
          <w:tcPr>
            <w:tcW w:w="1170" w:type="dxa"/>
          </w:tcPr>
          <w:p w14:paraId="4D7143F7" w14:textId="0985F385" w:rsidR="003E3ABA" w:rsidRPr="00FC1173" w:rsidRDefault="00F8303B" w:rsidP="00FC1173">
            <w:pPr>
              <w:spacing w:after="0"/>
              <w:jc w:val="left"/>
              <w:rPr>
                <w:rFonts w:cs="Calibri"/>
                <w:sz w:val="18"/>
                <w:szCs w:val="18"/>
              </w:rPr>
            </w:pPr>
            <w:r w:rsidRPr="00FC1173">
              <w:rPr>
                <w:rFonts w:cs="Calibri"/>
                <w:sz w:val="18"/>
                <w:szCs w:val="18"/>
              </w:rPr>
              <w:t>5,000</w:t>
            </w:r>
          </w:p>
        </w:tc>
        <w:tc>
          <w:tcPr>
            <w:tcW w:w="1705" w:type="dxa"/>
          </w:tcPr>
          <w:p w14:paraId="0D492B0F" w14:textId="5883013B" w:rsidR="003E3ABA" w:rsidRPr="00FC1173" w:rsidRDefault="003E3ABA" w:rsidP="00093AEB">
            <w:pPr>
              <w:spacing w:after="0"/>
              <w:jc w:val="left"/>
              <w:rPr>
                <w:rFonts w:cs="Calibri"/>
                <w:sz w:val="18"/>
                <w:szCs w:val="18"/>
              </w:rPr>
            </w:pPr>
            <w:r w:rsidRPr="00FC1173">
              <w:rPr>
                <w:rFonts w:cs="Calibri"/>
                <w:sz w:val="18"/>
                <w:szCs w:val="18"/>
              </w:rPr>
              <w:t xml:space="preserve">Within </w:t>
            </w:r>
            <w:r w:rsidR="00093AEB" w:rsidRPr="00FC1173">
              <w:rPr>
                <w:rFonts w:cs="Calibri"/>
                <w:sz w:val="18"/>
                <w:szCs w:val="18"/>
              </w:rPr>
              <w:t>t</w:t>
            </w:r>
            <w:r w:rsidR="00093AEB">
              <w:rPr>
                <w:rFonts w:cs="Calibri"/>
                <w:sz w:val="18"/>
                <w:szCs w:val="18"/>
              </w:rPr>
              <w:t>hree</w:t>
            </w:r>
            <w:r w:rsidR="00093AEB" w:rsidRPr="00FC1173">
              <w:rPr>
                <w:rFonts w:cs="Calibri"/>
                <w:sz w:val="18"/>
                <w:szCs w:val="18"/>
              </w:rPr>
              <w:t xml:space="preserve"> </w:t>
            </w:r>
            <w:r w:rsidRPr="00FC1173">
              <w:rPr>
                <w:rFonts w:cs="Calibri"/>
                <w:sz w:val="18"/>
                <w:szCs w:val="18"/>
              </w:rPr>
              <w:t xml:space="preserve">months of project document signature </w:t>
            </w:r>
          </w:p>
        </w:tc>
      </w:tr>
      <w:tr w:rsidR="003E3ABA" w:rsidRPr="0003763F" w14:paraId="7663C225" w14:textId="77777777" w:rsidTr="00787CD1">
        <w:trPr>
          <w:jc w:val="center"/>
        </w:trPr>
        <w:tc>
          <w:tcPr>
            <w:tcW w:w="3145" w:type="dxa"/>
          </w:tcPr>
          <w:p w14:paraId="2E1E1565" w14:textId="77777777" w:rsidR="003E3ABA" w:rsidRPr="00FC1173" w:rsidRDefault="003E3ABA" w:rsidP="00FC1173">
            <w:pPr>
              <w:spacing w:after="0"/>
              <w:jc w:val="left"/>
              <w:rPr>
                <w:rFonts w:cs="Calibri"/>
                <w:b/>
                <w:sz w:val="18"/>
                <w:szCs w:val="18"/>
              </w:rPr>
            </w:pPr>
            <w:r w:rsidRPr="00FC1173">
              <w:rPr>
                <w:rFonts w:cs="Calibri"/>
                <w:b/>
                <w:sz w:val="18"/>
                <w:szCs w:val="18"/>
              </w:rPr>
              <w:t>Inception Report</w:t>
            </w:r>
          </w:p>
        </w:tc>
        <w:tc>
          <w:tcPr>
            <w:tcW w:w="1980" w:type="dxa"/>
          </w:tcPr>
          <w:p w14:paraId="532788B3" w14:textId="77777777" w:rsidR="003E3ABA" w:rsidRPr="00FC1173" w:rsidRDefault="003E3ABA" w:rsidP="00FC1173">
            <w:pPr>
              <w:spacing w:after="0"/>
              <w:jc w:val="left"/>
              <w:rPr>
                <w:rFonts w:cs="Calibri"/>
                <w:sz w:val="18"/>
                <w:szCs w:val="18"/>
              </w:rPr>
            </w:pPr>
            <w:r w:rsidRPr="00FC1173">
              <w:rPr>
                <w:rFonts w:cs="Calibri"/>
                <w:sz w:val="18"/>
                <w:szCs w:val="18"/>
              </w:rPr>
              <w:t>Project Manager</w:t>
            </w:r>
          </w:p>
        </w:tc>
        <w:tc>
          <w:tcPr>
            <w:tcW w:w="1350" w:type="dxa"/>
          </w:tcPr>
          <w:p w14:paraId="2EB42008" w14:textId="72DBDF6C" w:rsidR="003E3ABA" w:rsidRPr="00FC1173" w:rsidRDefault="00F8303B" w:rsidP="00FC1173">
            <w:pPr>
              <w:spacing w:after="0"/>
              <w:jc w:val="left"/>
              <w:rPr>
                <w:rFonts w:cs="Calibri"/>
                <w:sz w:val="18"/>
                <w:szCs w:val="18"/>
              </w:rPr>
            </w:pPr>
            <w:r w:rsidRPr="00FC1173">
              <w:rPr>
                <w:rFonts w:cs="Calibri"/>
                <w:sz w:val="18"/>
                <w:szCs w:val="18"/>
              </w:rPr>
              <w:t>2,000</w:t>
            </w:r>
          </w:p>
        </w:tc>
        <w:tc>
          <w:tcPr>
            <w:tcW w:w="1170" w:type="dxa"/>
          </w:tcPr>
          <w:p w14:paraId="4F3DA70D" w14:textId="78173595" w:rsidR="003E3ABA" w:rsidRPr="00FC1173" w:rsidRDefault="00F8303B" w:rsidP="00FC1173">
            <w:pPr>
              <w:spacing w:after="0"/>
              <w:jc w:val="left"/>
              <w:rPr>
                <w:rFonts w:cs="Calibri"/>
                <w:sz w:val="18"/>
                <w:szCs w:val="18"/>
              </w:rPr>
            </w:pPr>
            <w:r w:rsidRPr="00FC1173">
              <w:rPr>
                <w:rFonts w:cs="Calibri"/>
                <w:sz w:val="18"/>
                <w:szCs w:val="18"/>
              </w:rPr>
              <w:t>1,000</w:t>
            </w:r>
          </w:p>
        </w:tc>
        <w:tc>
          <w:tcPr>
            <w:tcW w:w="1705" w:type="dxa"/>
          </w:tcPr>
          <w:p w14:paraId="0B3E76E4" w14:textId="77777777" w:rsidR="003E3ABA" w:rsidRPr="00FC1173" w:rsidRDefault="003E3ABA" w:rsidP="00FC1173">
            <w:pPr>
              <w:spacing w:after="0"/>
              <w:jc w:val="left"/>
              <w:rPr>
                <w:rFonts w:cs="Calibri"/>
                <w:sz w:val="18"/>
                <w:szCs w:val="18"/>
              </w:rPr>
            </w:pPr>
            <w:r w:rsidRPr="00FC1173">
              <w:rPr>
                <w:rFonts w:cs="Calibri"/>
                <w:sz w:val="18"/>
                <w:szCs w:val="18"/>
              </w:rPr>
              <w:t>Within two weeks of inception workshop</w:t>
            </w:r>
          </w:p>
        </w:tc>
      </w:tr>
      <w:tr w:rsidR="003E3ABA" w:rsidRPr="0003763F" w14:paraId="3E31ECE7" w14:textId="77777777" w:rsidTr="00787CD1">
        <w:trPr>
          <w:jc w:val="center"/>
        </w:trPr>
        <w:tc>
          <w:tcPr>
            <w:tcW w:w="3145" w:type="dxa"/>
          </w:tcPr>
          <w:p w14:paraId="6C1C03EB" w14:textId="77777777" w:rsidR="003E3ABA" w:rsidRPr="00FC1173" w:rsidRDefault="003E3ABA" w:rsidP="00FC1173">
            <w:pPr>
              <w:spacing w:after="0"/>
              <w:jc w:val="left"/>
              <w:rPr>
                <w:rFonts w:cs="Calibri"/>
                <w:b/>
                <w:sz w:val="18"/>
                <w:szCs w:val="18"/>
              </w:rPr>
            </w:pPr>
            <w:r w:rsidRPr="00FC1173">
              <w:rPr>
                <w:rFonts w:cs="Calibri"/>
                <w:b/>
                <w:sz w:val="18"/>
                <w:szCs w:val="18"/>
              </w:rPr>
              <w:t>Standard UNDP monitoring and reporting requirements as outlined in the UNDP POPP</w:t>
            </w:r>
          </w:p>
        </w:tc>
        <w:tc>
          <w:tcPr>
            <w:tcW w:w="1980" w:type="dxa"/>
          </w:tcPr>
          <w:p w14:paraId="09CF3F97" w14:textId="77777777" w:rsidR="003E3ABA" w:rsidRPr="00FC1173" w:rsidRDefault="003E3ABA" w:rsidP="00FC1173">
            <w:pPr>
              <w:spacing w:after="0"/>
              <w:jc w:val="left"/>
              <w:rPr>
                <w:rFonts w:cs="Calibri"/>
                <w:sz w:val="18"/>
                <w:szCs w:val="18"/>
              </w:rPr>
            </w:pPr>
            <w:r w:rsidRPr="00FC1173">
              <w:rPr>
                <w:rFonts w:cs="Calibri"/>
                <w:sz w:val="18"/>
                <w:szCs w:val="18"/>
              </w:rPr>
              <w:t>UNDP Country Office</w:t>
            </w:r>
          </w:p>
          <w:p w14:paraId="6EC74903" w14:textId="77777777" w:rsidR="003E3ABA" w:rsidRPr="00FC1173" w:rsidRDefault="003E3ABA" w:rsidP="00FC1173">
            <w:pPr>
              <w:spacing w:after="0"/>
              <w:jc w:val="left"/>
              <w:rPr>
                <w:rFonts w:cs="Calibri"/>
                <w:b/>
                <w:sz w:val="18"/>
                <w:szCs w:val="18"/>
              </w:rPr>
            </w:pPr>
          </w:p>
        </w:tc>
        <w:tc>
          <w:tcPr>
            <w:tcW w:w="1350" w:type="dxa"/>
          </w:tcPr>
          <w:p w14:paraId="6E48EB07" w14:textId="77777777" w:rsidR="003E3ABA" w:rsidRPr="00FC1173" w:rsidRDefault="003E3ABA" w:rsidP="00FC1173">
            <w:pPr>
              <w:spacing w:after="0"/>
              <w:jc w:val="left"/>
              <w:rPr>
                <w:rFonts w:cs="Calibri"/>
                <w:sz w:val="18"/>
                <w:szCs w:val="18"/>
              </w:rPr>
            </w:pPr>
            <w:r w:rsidRPr="00FC1173">
              <w:rPr>
                <w:rFonts w:cs="Calibri"/>
                <w:sz w:val="18"/>
                <w:szCs w:val="18"/>
              </w:rPr>
              <w:t>None</w:t>
            </w:r>
          </w:p>
        </w:tc>
        <w:tc>
          <w:tcPr>
            <w:tcW w:w="1170" w:type="dxa"/>
          </w:tcPr>
          <w:p w14:paraId="7E6D5DF4" w14:textId="2D6F7F01" w:rsidR="003E3ABA" w:rsidRPr="00FC1173" w:rsidRDefault="00F8303B" w:rsidP="00FC1173">
            <w:pPr>
              <w:spacing w:after="0"/>
              <w:jc w:val="left"/>
              <w:rPr>
                <w:rFonts w:cs="Calibri"/>
                <w:sz w:val="18"/>
                <w:szCs w:val="18"/>
              </w:rPr>
            </w:pPr>
            <w:r w:rsidRPr="00FC1173">
              <w:rPr>
                <w:rFonts w:cs="Calibri"/>
                <w:sz w:val="18"/>
                <w:szCs w:val="18"/>
              </w:rPr>
              <w:t>5,000</w:t>
            </w:r>
          </w:p>
        </w:tc>
        <w:tc>
          <w:tcPr>
            <w:tcW w:w="1705" w:type="dxa"/>
          </w:tcPr>
          <w:p w14:paraId="44BA67EE" w14:textId="77777777" w:rsidR="003E3ABA" w:rsidRPr="00FC1173" w:rsidRDefault="003E3ABA" w:rsidP="00FC1173">
            <w:pPr>
              <w:spacing w:after="0"/>
              <w:jc w:val="left"/>
              <w:rPr>
                <w:rFonts w:cs="Calibri"/>
                <w:sz w:val="18"/>
                <w:szCs w:val="18"/>
              </w:rPr>
            </w:pPr>
            <w:r w:rsidRPr="00FC1173">
              <w:rPr>
                <w:rFonts w:cs="Calibri"/>
                <w:sz w:val="18"/>
                <w:szCs w:val="18"/>
              </w:rPr>
              <w:t>Quarterly, annually</w:t>
            </w:r>
          </w:p>
        </w:tc>
      </w:tr>
      <w:tr w:rsidR="003E3ABA" w:rsidRPr="0003763F" w14:paraId="64B53DF1" w14:textId="77777777" w:rsidTr="00787CD1">
        <w:trPr>
          <w:jc w:val="center"/>
        </w:trPr>
        <w:tc>
          <w:tcPr>
            <w:tcW w:w="3145" w:type="dxa"/>
          </w:tcPr>
          <w:p w14:paraId="1C5A32C9" w14:textId="19272A11" w:rsidR="003E3ABA" w:rsidRPr="00FC1173" w:rsidRDefault="003E3ABA" w:rsidP="00FC1173">
            <w:pPr>
              <w:spacing w:after="0"/>
              <w:jc w:val="left"/>
              <w:rPr>
                <w:rFonts w:cs="Calibri"/>
                <w:b/>
                <w:sz w:val="18"/>
                <w:szCs w:val="18"/>
              </w:rPr>
            </w:pPr>
            <w:r w:rsidRPr="00FC1173">
              <w:rPr>
                <w:rFonts w:cs="Calibri"/>
                <w:b/>
                <w:sz w:val="18"/>
                <w:szCs w:val="18"/>
              </w:rPr>
              <w:t xml:space="preserve">Monitoring of indicators in project results framework </w:t>
            </w:r>
          </w:p>
        </w:tc>
        <w:tc>
          <w:tcPr>
            <w:tcW w:w="1980" w:type="dxa"/>
          </w:tcPr>
          <w:p w14:paraId="4B5B0CD4" w14:textId="77777777" w:rsidR="003E3ABA" w:rsidRPr="00FC1173" w:rsidRDefault="003E3ABA" w:rsidP="00FC1173">
            <w:pPr>
              <w:spacing w:after="0"/>
              <w:jc w:val="left"/>
              <w:rPr>
                <w:rFonts w:cs="Calibri"/>
                <w:sz w:val="18"/>
                <w:szCs w:val="18"/>
              </w:rPr>
            </w:pPr>
            <w:r w:rsidRPr="00FC1173">
              <w:rPr>
                <w:rFonts w:cs="Calibri"/>
                <w:sz w:val="18"/>
                <w:szCs w:val="18"/>
              </w:rPr>
              <w:t>Project Manager</w:t>
            </w:r>
          </w:p>
          <w:p w14:paraId="7F08099D" w14:textId="77777777" w:rsidR="003E3ABA" w:rsidRPr="00FC1173" w:rsidRDefault="003E3ABA" w:rsidP="00FC1173">
            <w:pPr>
              <w:spacing w:after="0"/>
              <w:jc w:val="left"/>
              <w:rPr>
                <w:rFonts w:cs="Calibri"/>
                <w:sz w:val="18"/>
                <w:szCs w:val="18"/>
              </w:rPr>
            </w:pPr>
          </w:p>
        </w:tc>
        <w:tc>
          <w:tcPr>
            <w:tcW w:w="1350" w:type="dxa"/>
          </w:tcPr>
          <w:p w14:paraId="7265BBC0" w14:textId="0E859BBB" w:rsidR="003E3ABA" w:rsidRPr="00FC1173" w:rsidRDefault="00F8303B" w:rsidP="00FC1173">
            <w:pPr>
              <w:pStyle w:val="BodyText23"/>
              <w:widowControl/>
              <w:tabs>
                <w:tab w:val="clear" w:pos="547"/>
              </w:tabs>
              <w:rPr>
                <w:rFonts w:ascii="Calibri" w:hAnsi="Calibri" w:cs="Calibri"/>
                <w:snapToGrid/>
                <w:sz w:val="18"/>
                <w:szCs w:val="18"/>
                <w:lang w:val="en-GB"/>
              </w:rPr>
            </w:pPr>
            <w:r w:rsidRPr="00FC1173">
              <w:rPr>
                <w:rFonts w:ascii="Calibri" w:hAnsi="Calibri" w:cs="Calibri"/>
                <w:snapToGrid/>
                <w:sz w:val="18"/>
                <w:szCs w:val="18"/>
                <w:lang w:val="en-GB"/>
              </w:rPr>
              <w:t>18,000</w:t>
            </w:r>
          </w:p>
        </w:tc>
        <w:tc>
          <w:tcPr>
            <w:tcW w:w="1170" w:type="dxa"/>
          </w:tcPr>
          <w:p w14:paraId="43E0AE5C" w14:textId="36B40856" w:rsidR="003E3ABA" w:rsidRPr="00FC1173" w:rsidRDefault="00F8303B" w:rsidP="00FC1173">
            <w:pPr>
              <w:pStyle w:val="BodyText23"/>
              <w:widowControl/>
              <w:tabs>
                <w:tab w:val="clear" w:pos="547"/>
              </w:tabs>
              <w:rPr>
                <w:rFonts w:ascii="Calibri" w:hAnsi="Calibri" w:cs="Calibri"/>
                <w:snapToGrid/>
                <w:sz w:val="18"/>
                <w:szCs w:val="18"/>
                <w:lang w:val="en-GB"/>
              </w:rPr>
            </w:pPr>
            <w:r w:rsidRPr="00FC1173">
              <w:rPr>
                <w:rFonts w:ascii="Calibri" w:hAnsi="Calibri" w:cs="Calibri"/>
                <w:sz w:val="18"/>
                <w:szCs w:val="18"/>
              </w:rPr>
              <w:t>10,000</w:t>
            </w:r>
          </w:p>
        </w:tc>
        <w:tc>
          <w:tcPr>
            <w:tcW w:w="1705" w:type="dxa"/>
          </w:tcPr>
          <w:p w14:paraId="1D8DD1C5" w14:textId="77777777" w:rsidR="003E3ABA" w:rsidRPr="00FC1173" w:rsidRDefault="003E3ABA" w:rsidP="00FC1173">
            <w:pPr>
              <w:spacing w:after="0"/>
              <w:jc w:val="left"/>
              <w:rPr>
                <w:rFonts w:cs="Calibri"/>
                <w:sz w:val="18"/>
                <w:szCs w:val="18"/>
              </w:rPr>
            </w:pPr>
            <w:r w:rsidRPr="00FC1173">
              <w:rPr>
                <w:rFonts w:cs="Calibri"/>
                <w:sz w:val="18"/>
                <w:szCs w:val="18"/>
              </w:rPr>
              <w:t xml:space="preserve">Annually </w:t>
            </w:r>
          </w:p>
        </w:tc>
      </w:tr>
      <w:tr w:rsidR="003E3ABA" w:rsidRPr="0003763F" w14:paraId="16FF2098" w14:textId="77777777" w:rsidTr="00787CD1">
        <w:trPr>
          <w:jc w:val="center"/>
        </w:trPr>
        <w:tc>
          <w:tcPr>
            <w:tcW w:w="3145" w:type="dxa"/>
          </w:tcPr>
          <w:p w14:paraId="18163C6A" w14:textId="77777777" w:rsidR="003E3ABA" w:rsidRPr="00FC1173" w:rsidRDefault="003E3ABA" w:rsidP="00FC1173">
            <w:pPr>
              <w:spacing w:after="0"/>
              <w:jc w:val="left"/>
              <w:rPr>
                <w:rFonts w:cs="Calibri"/>
                <w:b/>
                <w:sz w:val="18"/>
                <w:szCs w:val="18"/>
              </w:rPr>
            </w:pPr>
            <w:r w:rsidRPr="00FC1173">
              <w:rPr>
                <w:rFonts w:cs="Calibri"/>
                <w:b/>
                <w:sz w:val="18"/>
                <w:szCs w:val="18"/>
              </w:rPr>
              <w:t xml:space="preserve">GEF Project Implementation Report (PIR) </w:t>
            </w:r>
          </w:p>
        </w:tc>
        <w:tc>
          <w:tcPr>
            <w:tcW w:w="1980" w:type="dxa"/>
          </w:tcPr>
          <w:p w14:paraId="28187DA2" w14:textId="33B095F2" w:rsidR="003E3ABA" w:rsidRPr="00FC1173" w:rsidRDefault="003E3ABA" w:rsidP="00FC1173">
            <w:pPr>
              <w:spacing w:after="0"/>
              <w:jc w:val="left"/>
              <w:rPr>
                <w:rFonts w:cs="Calibri"/>
                <w:sz w:val="18"/>
                <w:szCs w:val="18"/>
              </w:rPr>
            </w:pPr>
            <w:r w:rsidRPr="00FC1173">
              <w:rPr>
                <w:rFonts w:cs="Calibri"/>
                <w:sz w:val="18"/>
                <w:szCs w:val="18"/>
              </w:rPr>
              <w:t xml:space="preserve">Project Manager and UNDP Country Office and UNDP-GEF </w:t>
            </w:r>
            <w:r w:rsidR="00F8303B" w:rsidRPr="00FC1173">
              <w:rPr>
                <w:rFonts w:cs="Calibri"/>
                <w:sz w:val="18"/>
                <w:szCs w:val="18"/>
              </w:rPr>
              <w:t>RTA</w:t>
            </w:r>
          </w:p>
        </w:tc>
        <w:tc>
          <w:tcPr>
            <w:tcW w:w="1350" w:type="dxa"/>
          </w:tcPr>
          <w:p w14:paraId="4E98827F" w14:textId="77777777" w:rsidR="003E3ABA" w:rsidRPr="00FC1173" w:rsidRDefault="003E3ABA" w:rsidP="00FC1173">
            <w:pPr>
              <w:pStyle w:val="BodyText23"/>
              <w:widowControl/>
              <w:tabs>
                <w:tab w:val="clear" w:pos="547"/>
              </w:tabs>
              <w:rPr>
                <w:rFonts w:ascii="Calibri" w:hAnsi="Calibri" w:cs="Calibri"/>
                <w:snapToGrid/>
                <w:sz w:val="18"/>
                <w:szCs w:val="18"/>
                <w:lang w:val="en-GB"/>
              </w:rPr>
            </w:pPr>
            <w:r w:rsidRPr="00FC1173">
              <w:rPr>
                <w:rFonts w:ascii="Calibri" w:hAnsi="Calibri" w:cs="Calibri"/>
                <w:snapToGrid/>
                <w:sz w:val="18"/>
                <w:szCs w:val="18"/>
                <w:lang w:val="en-GB"/>
              </w:rPr>
              <w:t>None</w:t>
            </w:r>
          </w:p>
        </w:tc>
        <w:tc>
          <w:tcPr>
            <w:tcW w:w="1170" w:type="dxa"/>
          </w:tcPr>
          <w:p w14:paraId="4BD32963" w14:textId="1875426D" w:rsidR="003E3ABA" w:rsidRPr="00FC1173" w:rsidRDefault="00F8303B" w:rsidP="00FC1173">
            <w:pPr>
              <w:pStyle w:val="BodyText23"/>
              <w:widowControl/>
              <w:tabs>
                <w:tab w:val="clear" w:pos="547"/>
              </w:tabs>
              <w:rPr>
                <w:rFonts w:ascii="Calibri" w:hAnsi="Calibri" w:cs="Calibri"/>
                <w:snapToGrid/>
                <w:sz w:val="18"/>
                <w:szCs w:val="18"/>
                <w:lang w:val="en-GB"/>
              </w:rPr>
            </w:pPr>
            <w:r w:rsidRPr="00FC1173">
              <w:rPr>
                <w:rFonts w:ascii="Calibri" w:hAnsi="Calibri" w:cs="Calibri"/>
                <w:snapToGrid/>
                <w:sz w:val="18"/>
                <w:szCs w:val="18"/>
                <w:lang w:val="en-GB"/>
              </w:rPr>
              <w:t>5,000</w:t>
            </w:r>
          </w:p>
        </w:tc>
        <w:tc>
          <w:tcPr>
            <w:tcW w:w="1705" w:type="dxa"/>
          </w:tcPr>
          <w:p w14:paraId="7EE7A057" w14:textId="77777777" w:rsidR="003E3ABA" w:rsidRPr="00FC1173" w:rsidRDefault="003E3ABA" w:rsidP="00FC1173">
            <w:pPr>
              <w:spacing w:after="0"/>
              <w:jc w:val="left"/>
              <w:rPr>
                <w:rFonts w:cs="Calibri"/>
                <w:sz w:val="18"/>
                <w:szCs w:val="18"/>
              </w:rPr>
            </w:pPr>
            <w:r w:rsidRPr="00FC1173">
              <w:rPr>
                <w:rFonts w:cs="Calibri"/>
                <w:sz w:val="18"/>
                <w:szCs w:val="18"/>
              </w:rPr>
              <w:t xml:space="preserve">Annually </w:t>
            </w:r>
          </w:p>
        </w:tc>
      </w:tr>
      <w:tr w:rsidR="003E3ABA" w:rsidRPr="0003763F" w14:paraId="4648FA76" w14:textId="77777777" w:rsidTr="00787CD1">
        <w:trPr>
          <w:jc w:val="center"/>
        </w:trPr>
        <w:tc>
          <w:tcPr>
            <w:tcW w:w="3145" w:type="dxa"/>
          </w:tcPr>
          <w:p w14:paraId="54922BC7" w14:textId="77777777" w:rsidR="003E3ABA" w:rsidRPr="00FC1173" w:rsidRDefault="003E3ABA" w:rsidP="00FC1173">
            <w:pPr>
              <w:spacing w:after="0"/>
              <w:jc w:val="left"/>
              <w:rPr>
                <w:rFonts w:cs="Calibri"/>
                <w:b/>
                <w:sz w:val="18"/>
                <w:szCs w:val="18"/>
              </w:rPr>
            </w:pPr>
            <w:r w:rsidRPr="00FC1173">
              <w:rPr>
                <w:rFonts w:cs="Calibri"/>
                <w:b/>
                <w:sz w:val="18"/>
                <w:szCs w:val="18"/>
              </w:rPr>
              <w:t>NIM Audit as per UNDP audit policies</w:t>
            </w:r>
          </w:p>
        </w:tc>
        <w:tc>
          <w:tcPr>
            <w:tcW w:w="1980" w:type="dxa"/>
          </w:tcPr>
          <w:p w14:paraId="06A652DA" w14:textId="77777777" w:rsidR="003E3ABA" w:rsidRPr="00FC1173" w:rsidRDefault="003E3ABA" w:rsidP="00FC1173">
            <w:pPr>
              <w:spacing w:after="0"/>
              <w:jc w:val="left"/>
              <w:rPr>
                <w:rFonts w:cs="Calibri"/>
                <w:sz w:val="18"/>
                <w:szCs w:val="18"/>
              </w:rPr>
            </w:pPr>
            <w:r w:rsidRPr="00FC1173">
              <w:rPr>
                <w:rFonts w:cs="Calibri"/>
                <w:sz w:val="18"/>
                <w:szCs w:val="18"/>
              </w:rPr>
              <w:t>UNDP Country Office</w:t>
            </w:r>
          </w:p>
        </w:tc>
        <w:tc>
          <w:tcPr>
            <w:tcW w:w="1350" w:type="dxa"/>
          </w:tcPr>
          <w:p w14:paraId="35C53BB4" w14:textId="4BB0940D" w:rsidR="003E3ABA" w:rsidRPr="00FC1173" w:rsidRDefault="00F8303B" w:rsidP="00FC1173">
            <w:pPr>
              <w:spacing w:after="0"/>
              <w:jc w:val="left"/>
              <w:rPr>
                <w:rFonts w:cs="Calibri"/>
                <w:sz w:val="18"/>
                <w:szCs w:val="18"/>
              </w:rPr>
            </w:pPr>
            <w:r w:rsidRPr="00FC1173">
              <w:rPr>
                <w:rFonts w:cs="Calibri"/>
                <w:sz w:val="18"/>
                <w:szCs w:val="18"/>
              </w:rPr>
              <w:t>18,000</w:t>
            </w:r>
          </w:p>
        </w:tc>
        <w:tc>
          <w:tcPr>
            <w:tcW w:w="1170" w:type="dxa"/>
          </w:tcPr>
          <w:p w14:paraId="6A903F4E" w14:textId="709A1AFD" w:rsidR="003E3ABA" w:rsidRPr="00B720B6" w:rsidRDefault="002D6646" w:rsidP="00FC1173">
            <w:pPr>
              <w:spacing w:after="0"/>
              <w:jc w:val="left"/>
              <w:rPr>
                <w:rFonts w:cs="Calibri"/>
                <w:sz w:val="18"/>
                <w:szCs w:val="18"/>
              </w:rPr>
            </w:pPr>
            <w:r>
              <w:rPr>
                <w:rFonts w:cs="Calibri"/>
                <w:sz w:val="18"/>
                <w:szCs w:val="18"/>
              </w:rPr>
              <w:t>None</w:t>
            </w:r>
          </w:p>
        </w:tc>
        <w:tc>
          <w:tcPr>
            <w:tcW w:w="1705" w:type="dxa"/>
          </w:tcPr>
          <w:p w14:paraId="3AD98826" w14:textId="77777777" w:rsidR="003E3ABA" w:rsidRPr="00FC1173" w:rsidRDefault="003E3ABA" w:rsidP="00FC1173">
            <w:pPr>
              <w:spacing w:after="0"/>
              <w:jc w:val="left"/>
              <w:rPr>
                <w:rFonts w:cs="Calibri"/>
                <w:sz w:val="18"/>
                <w:szCs w:val="18"/>
              </w:rPr>
            </w:pPr>
            <w:r w:rsidRPr="00FC1173">
              <w:rPr>
                <w:rFonts w:cs="Calibri"/>
                <w:sz w:val="18"/>
                <w:szCs w:val="18"/>
              </w:rPr>
              <w:t>Annually or other frequency as per UNDP Audit policies</w:t>
            </w:r>
          </w:p>
        </w:tc>
      </w:tr>
      <w:tr w:rsidR="003E3ABA" w:rsidRPr="0003763F" w14:paraId="2007F13C" w14:textId="77777777" w:rsidTr="00787CD1">
        <w:trPr>
          <w:jc w:val="center"/>
        </w:trPr>
        <w:tc>
          <w:tcPr>
            <w:tcW w:w="3145" w:type="dxa"/>
          </w:tcPr>
          <w:p w14:paraId="78BD66D7" w14:textId="77777777" w:rsidR="003E3ABA" w:rsidRPr="00FC1173" w:rsidRDefault="003E3ABA" w:rsidP="00FC1173">
            <w:pPr>
              <w:spacing w:after="0"/>
              <w:jc w:val="left"/>
              <w:rPr>
                <w:rFonts w:cs="Calibri"/>
                <w:b/>
                <w:sz w:val="18"/>
                <w:szCs w:val="18"/>
              </w:rPr>
            </w:pPr>
            <w:r w:rsidRPr="00FC1173">
              <w:rPr>
                <w:rFonts w:cs="Calibri"/>
                <w:b/>
                <w:sz w:val="18"/>
                <w:szCs w:val="18"/>
              </w:rPr>
              <w:t>Lessons learned and knowledge generation</w:t>
            </w:r>
          </w:p>
        </w:tc>
        <w:tc>
          <w:tcPr>
            <w:tcW w:w="1980" w:type="dxa"/>
          </w:tcPr>
          <w:p w14:paraId="151F4E7A" w14:textId="77777777" w:rsidR="003E3ABA" w:rsidRPr="00FC1173" w:rsidRDefault="003E3ABA" w:rsidP="00FC1173">
            <w:pPr>
              <w:spacing w:after="0"/>
              <w:jc w:val="left"/>
              <w:rPr>
                <w:rFonts w:cs="Calibri"/>
                <w:sz w:val="18"/>
                <w:szCs w:val="18"/>
              </w:rPr>
            </w:pPr>
            <w:r w:rsidRPr="00FC1173">
              <w:rPr>
                <w:rFonts w:cs="Calibri"/>
                <w:sz w:val="18"/>
                <w:szCs w:val="18"/>
              </w:rPr>
              <w:t>Project Manager</w:t>
            </w:r>
          </w:p>
        </w:tc>
        <w:tc>
          <w:tcPr>
            <w:tcW w:w="1350" w:type="dxa"/>
          </w:tcPr>
          <w:p w14:paraId="6D126846" w14:textId="59B56A58" w:rsidR="003E3ABA" w:rsidRPr="00FC1173" w:rsidRDefault="00DE15EE" w:rsidP="00FC1173">
            <w:pPr>
              <w:spacing w:after="0"/>
              <w:jc w:val="left"/>
              <w:rPr>
                <w:rFonts w:cs="Calibri"/>
                <w:sz w:val="18"/>
                <w:szCs w:val="18"/>
              </w:rPr>
            </w:pPr>
            <w:r w:rsidRPr="00FC1173">
              <w:rPr>
                <w:rFonts w:cs="Calibri"/>
                <w:i/>
                <w:sz w:val="18"/>
                <w:szCs w:val="18"/>
              </w:rPr>
              <w:t>See KM below</w:t>
            </w:r>
          </w:p>
        </w:tc>
        <w:tc>
          <w:tcPr>
            <w:tcW w:w="1170" w:type="dxa"/>
          </w:tcPr>
          <w:p w14:paraId="763729FB" w14:textId="4780C0A9" w:rsidR="003E3ABA" w:rsidRPr="00FC1173" w:rsidRDefault="00DE15EE" w:rsidP="00FC1173">
            <w:pPr>
              <w:spacing w:after="0"/>
              <w:jc w:val="left"/>
              <w:rPr>
                <w:rFonts w:cs="Calibri"/>
                <w:i/>
                <w:sz w:val="18"/>
                <w:szCs w:val="18"/>
              </w:rPr>
            </w:pPr>
            <w:r w:rsidRPr="00FC1173">
              <w:rPr>
                <w:rFonts w:cs="Calibri"/>
                <w:i/>
                <w:sz w:val="18"/>
                <w:szCs w:val="18"/>
              </w:rPr>
              <w:t>See KM below</w:t>
            </w:r>
          </w:p>
        </w:tc>
        <w:tc>
          <w:tcPr>
            <w:tcW w:w="1705" w:type="dxa"/>
          </w:tcPr>
          <w:p w14:paraId="3D527965" w14:textId="77777777" w:rsidR="003E3ABA" w:rsidRPr="00FC1173" w:rsidRDefault="003E3ABA" w:rsidP="00FC1173">
            <w:pPr>
              <w:spacing w:after="0"/>
              <w:jc w:val="left"/>
              <w:rPr>
                <w:rFonts w:cs="Calibri"/>
                <w:sz w:val="18"/>
                <w:szCs w:val="18"/>
              </w:rPr>
            </w:pPr>
            <w:r w:rsidRPr="00FC1173">
              <w:rPr>
                <w:rFonts w:cs="Calibri"/>
                <w:sz w:val="18"/>
                <w:szCs w:val="18"/>
              </w:rPr>
              <w:t>Annually</w:t>
            </w:r>
          </w:p>
        </w:tc>
      </w:tr>
      <w:tr w:rsidR="008277AC" w:rsidRPr="0003763F" w14:paraId="57CE6971" w14:textId="77777777" w:rsidTr="00787CD1">
        <w:trPr>
          <w:jc w:val="center"/>
        </w:trPr>
        <w:tc>
          <w:tcPr>
            <w:tcW w:w="3145" w:type="dxa"/>
          </w:tcPr>
          <w:p w14:paraId="6BBE4098" w14:textId="77777777" w:rsidR="008277AC" w:rsidRPr="00FC1173" w:rsidRDefault="0001168F" w:rsidP="00FC1173">
            <w:pPr>
              <w:spacing w:after="0"/>
              <w:jc w:val="left"/>
              <w:rPr>
                <w:rFonts w:cs="Calibri"/>
                <w:b/>
                <w:sz w:val="18"/>
                <w:szCs w:val="18"/>
              </w:rPr>
            </w:pPr>
            <w:r w:rsidRPr="00FC1173">
              <w:rPr>
                <w:rFonts w:cs="Calibri"/>
                <w:b/>
                <w:sz w:val="18"/>
                <w:szCs w:val="18"/>
              </w:rPr>
              <w:t xml:space="preserve">Monitoring of environmental and social </w:t>
            </w:r>
            <w:r w:rsidR="00A04E6F" w:rsidRPr="00FC1173">
              <w:rPr>
                <w:rFonts w:cs="Calibri"/>
                <w:b/>
                <w:sz w:val="18"/>
                <w:szCs w:val="18"/>
              </w:rPr>
              <w:t xml:space="preserve">risks, and corresponding </w:t>
            </w:r>
            <w:r w:rsidRPr="00FC1173">
              <w:rPr>
                <w:rFonts w:cs="Calibri"/>
                <w:b/>
                <w:sz w:val="18"/>
                <w:szCs w:val="18"/>
              </w:rPr>
              <w:t>management plans</w:t>
            </w:r>
            <w:r w:rsidR="00A04E6F" w:rsidRPr="00FC1173">
              <w:rPr>
                <w:rFonts w:cs="Calibri"/>
                <w:b/>
                <w:sz w:val="18"/>
                <w:szCs w:val="18"/>
              </w:rPr>
              <w:t xml:space="preserve"> as relevant</w:t>
            </w:r>
          </w:p>
        </w:tc>
        <w:tc>
          <w:tcPr>
            <w:tcW w:w="1980" w:type="dxa"/>
          </w:tcPr>
          <w:p w14:paraId="7CC0F117" w14:textId="77777777" w:rsidR="008277AC" w:rsidRPr="00FC1173" w:rsidRDefault="0001168F" w:rsidP="00FC1173">
            <w:pPr>
              <w:spacing w:after="0"/>
              <w:jc w:val="left"/>
              <w:rPr>
                <w:rFonts w:cs="Calibri"/>
                <w:sz w:val="18"/>
                <w:szCs w:val="18"/>
              </w:rPr>
            </w:pPr>
            <w:r w:rsidRPr="00FC1173">
              <w:rPr>
                <w:rFonts w:cs="Calibri"/>
                <w:sz w:val="18"/>
                <w:szCs w:val="18"/>
              </w:rPr>
              <w:t>Project Manager</w:t>
            </w:r>
          </w:p>
          <w:p w14:paraId="10EDF286" w14:textId="77777777" w:rsidR="0001168F" w:rsidRPr="00FC1173" w:rsidRDefault="0001168F" w:rsidP="00FC1173">
            <w:pPr>
              <w:spacing w:after="0"/>
              <w:jc w:val="left"/>
              <w:rPr>
                <w:rFonts w:cs="Calibri"/>
                <w:sz w:val="18"/>
                <w:szCs w:val="18"/>
              </w:rPr>
            </w:pPr>
            <w:r w:rsidRPr="00FC1173">
              <w:rPr>
                <w:rFonts w:cs="Calibri"/>
                <w:sz w:val="18"/>
                <w:szCs w:val="18"/>
              </w:rPr>
              <w:t>UNDP CO</w:t>
            </w:r>
          </w:p>
        </w:tc>
        <w:tc>
          <w:tcPr>
            <w:tcW w:w="1350" w:type="dxa"/>
          </w:tcPr>
          <w:p w14:paraId="137DB934" w14:textId="77777777" w:rsidR="008277AC" w:rsidRPr="00FC1173" w:rsidRDefault="0001168F" w:rsidP="00FC1173">
            <w:pPr>
              <w:spacing w:after="0"/>
              <w:jc w:val="left"/>
              <w:rPr>
                <w:rFonts w:cs="Calibri"/>
                <w:sz w:val="18"/>
                <w:szCs w:val="18"/>
              </w:rPr>
            </w:pPr>
            <w:r w:rsidRPr="00FC1173">
              <w:rPr>
                <w:rFonts w:cs="Calibri"/>
                <w:sz w:val="18"/>
                <w:szCs w:val="18"/>
              </w:rPr>
              <w:t>None</w:t>
            </w:r>
          </w:p>
        </w:tc>
        <w:tc>
          <w:tcPr>
            <w:tcW w:w="1170" w:type="dxa"/>
          </w:tcPr>
          <w:p w14:paraId="5936AE0C" w14:textId="316BFB79" w:rsidR="008277AC" w:rsidRPr="00FC1173" w:rsidRDefault="00F8303B" w:rsidP="00FC1173">
            <w:pPr>
              <w:spacing w:after="0"/>
              <w:jc w:val="left"/>
              <w:rPr>
                <w:rFonts w:cs="Calibri"/>
                <w:sz w:val="18"/>
                <w:szCs w:val="18"/>
              </w:rPr>
            </w:pPr>
            <w:r w:rsidRPr="00FC1173">
              <w:rPr>
                <w:rFonts w:cs="Calibri"/>
                <w:sz w:val="18"/>
                <w:szCs w:val="18"/>
              </w:rPr>
              <w:t>5,000</w:t>
            </w:r>
          </w:p>
        </w:tc>
        <w:tc>
          <w:tcPr>
            <w:tcW w:w="1705" w:type="dxa"/>
          </w:tcPr>
          <w:p w14:paraId="21BFD801" w14:textId="77777777" w:rsidR="008277AC" w:rsidRPr="00FC1173" w:rsidRDefault="0001168F" w:rsidP="00FC1173">
            <w:pPr>
              <w:spacing w:after="0"/>
              <w:jc w:val="left"/>
              <w:rPr>
                <w:rFonts w:cs="Calibri"/>
                <w:sz w:val="18"/>
                <w:szCs w:val="18"/>
              </w:rPr>
            </w:pPr>
            <w:r w:rsidRPr="00FC1173">
              <w:rPr>
                <w:rFonts w:cs="Calibri"/>
                <w:sz w:val="18"/>
                <w:szCs w:val="18"/>
              </w:rPr>
              <w:t>On-going</w:t>
            </w:r>
          </w:p>
        </w:tc>
      </w:tr>
      <w:tr w:rsidR="008277AC" w:rsidRPr="0003763F" w14:paraId="32E766F5" w14:textId="77777777" w:rsidTr="00787CD1">
        <w:trPr>
          <w:jc w:val="center"/>
        </w:trPr>
        <w:tc>
          <w:tcPr>
            <w:tcW w:w="3145" w:type="dxa"/>
          </w:tcPr>
          <w:p w14:paraId="24AFEE0B" w14:textId="77777777" w:rsidR="008277AC" w:rsidRPr="00FC1173" w:rsidRDefault="008277AC" w:rsidP="00FC1173">
            <w:pPr>
              <w:spacing w:after="0"/>
              <w:jc w:val="left"/>
              <w:rPr>
                <w:rFonts w:cs="Calibri"/>
                <w:b/>
                <w:sz w:val="18"/>
                <w:szCs w:val="18"/>
              </w:rPr>
            </w:pPr>
            <w:r w:rsidRPr="00FC1173">
              <w:rPr>
                <w:rFonts w:cs="Calibri"/>
                <w:b/>
                <w:sz w:val="18"/>
                <w:szCs w:val="18"/>
              </w:rPr>
              <w:t>Addressing environmental and social grievances</w:t>
            </w:r>
          </w:p>
        </w:tc>
        <w:tc>
          <w:tcPr>
            <w:tcW w:w="1980" w:type="dxa"/>
          </w:tcPr>
          <w:p w14:paraId="0C4BD53F" w14:textId="77777777" w:rsidR="008277AC" w:rsidRPr="00FC1173" w:rsidRDefault="008277AC" w:rsidP="00FC1173">
            <w:pPr>
              <w:spacing w:after="0"/>
              <w:jc w:val="left"/>
              <w:rPr>
                <w:rFonts w:cs="Calibri"/>
                <w:sz w:val="18"/>
                <w:szCs w:val="18"/>
              </w:rPr>
            </w:pPr>
            <w:r w:rsidRPr="00FC1173">
              <w:rPr>
                <w:rFonts w:cs="Calibri"/>
                <w:sz w:val="18"/>
                <w:szCs w:val="18"/>
              </w:rPr>
              <w:t>Project Manager</w:t>
            </w:r>
          </w:p>
          <w:p w14:paraId="54407CAB" w14:textId="77777777" w:rsidR="008277AC" w:rsidRPr="00FC1173" w:rsidRDefault="008277AC" w:rsidP="00FC1173">
            <w:pPr>
              <w:spacing w:after="0"/>
              <w:jc w:val="left"/>
              <w:rPr>
                <w:rFonts w:cs="Calibri"/>
                <w:sz w:val="18"/>
                <w:szCs w:val="18"/>
              </w:rPr>
            </w:pPr>
            <w:r w:rsidRPr="00FC1173">
              <w:rPr>
                <w:rFonts w:cs="Calibri"/>
                <w:sz w:val="18"/>
                <w:szCs w:val="18"/>
              </w:rPr>
              <w:t>UNDP Country Office</w:t>
            </w:r>
          </w:p>
          <w:p w14:paraId="48FBA175" w14:textId="77777777" w:rsidR="008277AC" w:rsidRPr="00FC1173" w:rsidRDefault="008277AC" w:rsidP="00FC1173">
            <w:pPr>
              <w:spacing w:after="0"/>
              <w:jc w:val="left"/>
              <w:rPr>
                <w:rFonts w:cs="Calibri"/>
                <w:sz w:val="18"/>
                <w:szCs w:val="18"/>
              </w:rPr>
            </w:pPr>
            <w:r w:rsidRPr="00FC1173">
              <w:rPr>
                <w:rFonts w:cs="Calibri"/>
                <w:sz w:val="18"/>
                <w:szCs w:val="18"/>
              </w:rPr>
              <w:t>BPPS as needed</w:t>
            </w:r>
          </w:p>
        </w:tc>
        <w:tc>
          <w:tcPr>
            <w:tcW w:w="1350" w:type="dxa"/>
          </w:tcPr>
          <w:p w14:paraId="786DF093" w14:textId="172C4DC7" w:rsidR="008277AC" w:rsidRPr="00FC1173" w:rsidRDefault="00DE15EE" w:rsidP="00FC1173">
            <w:pPr>
              <w:spacing w:after="0"/>
              <w:jc w:val="left"/>
              <w:rPr>
                <w:rFonts w:cs="Calibri"/>
                <w:sz w:val="18"/>
                <w:szCs w:val="18"/>
              </w:rPr>
            </w:pPr>
            <w:r w:rsidRPr="00FC1173">
              <w:rPr>
                <w:rFonts w:cs="Calibri"/>
                <w:sz w:val="18"/>
                <w:szCs w:val="18"/>
              </w:rPr>
              <w:t>None</w:t>
            </w:r>
          </w:p>
        </w:tc>
        <w:tc>
          <w:tcPr>
            <w:tcW w:w="1170" w:type="dxa"/>
          </w:tcPr>
          <w:p w14:paraId="2CB326E6" w14:textId="25A27EB8" w:rsidR="008277AC" w:rsidRPr="00FC1173" w:rsidRDefault="00DE15EE" w:rsidP="00FC1173">
            <w:pPr>
              <w:spacing w:after="0"/>
              <w:jc w:val="left"/>
              <w:rPr>
                <w:rFonts w:cs="Calibri"/>
                <w:i/>
                <w:sz w:val="18"/>
                <w:szCs w:val="18"/>
              </w:rPr>
            </w:pPr>
            <w:r w:rsidRPr="00FC1173">
              <w:rPr>
                <w:rFonts w:cs="Calibri"/>
                <w:sz w:val="18"/>
                <w:szCs w:val="18"/>
              </w:rPr>
              <w:t>5,000</w:t>
            </w:r>
          </w:p>
        </w:tc>
        <w:tc>
          <w:tcPr>
            <w:tcW w:w="1705" w:type="dxa"/>
          </w:tcPr>
          <w:p w14:paraId="6FE803D1" w14:textId="65E424BE" w:rsidR="008277AC" w:rsidRPr="00FC1173" w:rsidRDefault="008277AC" w:rsidP="00FC1173">
            <w:pPr>
              <w:spacing w:after="0"/>
              <w:jc w:val="left"/>
              <w:rPr>
                <w:rFonts w:cs="Calibri"/>
                <w:sz w:val="18"/>
                <w:szCs w:val="18"/>
              </w:rPr>
            </w:pPr>
          </w:p>
        </w:tc>
      </w:tr>
      <w:tr w:rsidR="003E3ABA" w:rsidRPr="0003763F" w14:paraId="222691B4" w14:textId="77777777" w:rsidTr="00787CD1">
        <w:trPr>
          <w:jc w:val="center"/>
        </w:trPr>
        <w:tc>
          <w:tcPr>
            <w:tcW w:w="3145" w:type="dxa"/>
          </w:tcPr>
          <w:p w14:paraId="72658C8F" w14:textId="77777777" w:rsidR="003E3ABA" w:rsidRPr="00FC1173" w:rsidRDefault="003E3ABA" w:rsidP="00FC1173">
            <w:pPr>
              <w:spacing w:after="0"/>
              <w:jc w:val="left"/>
              <w:rPr>
                <w:rFonts w:cs="Calibri"/>
                <w:b/>
                <w:sz w:val="18"/>
                <w:szCs w:val="18"/>
              </w:rPr>
            </w:pPr>
            <w:r w:rsidRPr="00FC1173">
              <w:rPr>
                <w:rFonts w:cs="Calibri"/>
                <w:b/>
                <w:sz w:val="18"/>
                <w:szCs w:val="18"/>
              </w:rPr>
              <w:t>Project Board meetings</w:t>
            </w:r>
          </w:p>
        </w:tc>
        <w:tc>
          <w:tcPr>
            <w:tcW w:w="1980" w:type="dxa"/>
          </w:tcPr>
          <w:p w14:paraId="3CCE35B2" w14:textId="77777777" w:rsidR="003E3ABA" w:rsidRPr="00FC1173" w:rsidRDefault="003E3ABA" w:rsidP="00FC1173">
            <w:pPr>
              <w:spacing w:after="0"/>
              <w:jc w:val="left"/>
              <w:rPr>
                <w:rFonts w:cs="Calibri"/>
                <w:sz w:val="18"/>
                <w:szCs w:val="18"/>
              </w:rPr>
            </w:pPr>
            <w:r w:rsidRPr="00FC1173">
              <w:rPr>
                <w:rFonts w:cs="Calibri"/>
                <w:sz w:val="18"/>
                <w:szCs w:val="18"/>
              </w:rPr>
              <w:t>Project Board</w:t>
            </w:r>
          </w:p>
          <w:p w14:paraId="4DEECF4C" w14:textId="77777777" w:rsidR="003E3ABA" w:rsidRPr="00FC1173" w:rsidRDefault="003E3ABA" w:rsidP="00FC1173">
            <w:pPr>
              <w:spacing w:after="0"/>
              <w:jc w:val="left"/>
              <w:rPr>
                <w:rFonts w:cs="Calibri"/>
                <w:sz w:val="18"/>
                <w:szCs w:val="18"/>
              </w:rPr>
            </w:pPr>
            <w:r w:rsidRPr="00FC1173">
              <w:rPr>
                <w:rFonts w:cs="Calibri"/>
                <w:sz w:val="18"/>
                <w:szCs w:val="18"/>
              </w:rPr>
              <w:t>UNDP Country Office</w:t>
            </w:r>
          </w:p>
          <w:p w14:paraId="5D936415" w14:textId="77777777" w:rsidR="003E3ABA" w:rsidRPr="00FC1173" w:rsidRDefault="003E3ABA" w:rsidP="00FC1173">
            <w:pPr>
              <w:spacing w:after="0"/>
              <w:jc w:val="left"/>
              <w:rPr>
                <w:rFonts w:cs="Calibri"/>
                <w:sz w:val="18"/>
                <w:szCs w:val="18"/>
              </w:rPr>
            </w:pPr>
            <w:r w:rsidRPr="00FC1173">
              <w:rPr>
                <w:rFonts w:cs="Calibri"/>
                <w:sz w:val="18"/>
                <w:szCs w:val="18"/>
              </w:rPr>
              <w:t>Project Manager</w:t>
            </w:r>
          </w:p>
        </w:tc>
        <w:tc>
          <w:tcPr>
            <w:tcW w:w="1350" w:type="dxa"/>
          </w:tcPr>
          <w:p w14:paraId="7A7372C9" w14:textId="7C628D4C" w:rsidR="003E3ABA" w:rsidRPr="00FC1173" w:rsidRDefault="00DE15EE" w:rsidP="00FC1173">
            <w:pPr>
              <w:spacing w:after="0"/>
              <w:jc w:val="left"/>
              <w:rPr>
                <w:rFonts w:cs="Calibri"/>
                <w:sz w:val="18"/>
                <w:szCs w:val="18"/>
              </w:rPr>
            </w:pPr>
            <w:r w:rsidRPr="00FC1173">
              <w:rPr>
                <w:rFonts w:cs="Calibri"/>
                <w:sz w:val="18"/>
                <w:szCs w:val="18"/>
              </w:rPr>
              <w:t>2,500</w:t>
            </w:r>
          </w:p>
        </w:tc>
        <w:tc>
          <w:tcPr>
            <w:tcW w:w="1170" w:type="dxa"/>
          </w:tcPr>
          <w:p w14:paraId="3A077E35" w14:textId="3005AB61" w:rsidR="003E3ABA" w:rsidRPr="00FC1173" w:rsidRDefault="00DE15EE" w:rsidP="00FC1173">
            <w:pPr>
              <w:spacing w:after="0"/>
              <w:jc w:val="left"/>
              <w:rPr>
                <w:rFonts w:cs="Calibri"/>
                <w:sz w:val="18"/>
                <w:szCs w:val="18"/>
              </w:rPr>
            </w:pPr>
            <w:r w:rsidRPr="00FC1173">
              <w:rPr>
                <w:rFonts w:cs="Calibri"/>
                <w:sz w:val="18"/>
                <w:szCs w:val="18"/>
              </w:rPr>
              <w:t>10,000</w:t>
            </w:r>
          </w:p>
        </w:tc>
        <w:tc>
          <w:tcPr>
            <w:tcW w:w="1705" w:type="dxa"/>
          </w:tcPr>
          <w:p w14:paraId="4C819464" w14:textId="77777777" w:rsidR="003E3ABA" w:rsidRPr="00FC1173" w:rsidRDefault="003E3ABA" w:rsidP="00FC1173">
            <w:pPr>
              <w:spacing w:after="0"/>
              <w:jc w:val="left"/>
              <w:rPr>
                <w:rFonts w:cs="Calibri"/>
                <w:sz w:val="18"/>
                <w:szCs w:val="18"/>
              </w:rPr>
            </w:pPr>
            <w:r w:rsidRPr="00FC1173">
              <w:rPr>
                <w:rFonts w:cs="Calibri"/>
                <w:sz w:val="18"/>
                <w:szCs w:val="18"/>
              </w:rPr>
              <w:t>At minimum annually</w:t>
            </w:r>
          </w:p>
        </w:tc>
      </w:tr>
      <w:tr w:rsidR="003E3ABA" w:rsidRPr="0003763F" w14:paraId="67093510" w14:textId="77777777" w:rsidTr="00787CD1">
        <w:trPr>
          <w:jc w:val="center"/>
        </w:trPr>
        <w:tc>
          <w:tcPr>
            <w:tcW w:w="3145" w:type="dxa"/>
          </w:tcPr>
          <w:p w14:paraId="3CB063E8" w14:textId="77777777" w:rsidR="003E3ABA" w:rsidRPr="00FC1173" w:rsidRDefault="003E3ABA" w:rsidP="00FC1173">
            <w:pPr>
              <w:spacing w:after="0"/>
              <w:jc w:val="left"/>
              <w:rPr>
                <w:rFonts w:cs="Calibri"/>
                <w:b/>
                <w:sz w:val="18"/>
                <w:szCs w:val="18"/>
              </w:rPr>
            </w:pPr>
            <w:r w:rsidRPr="00FC1173">
              <w:rPr>
                <w:rFonts w:cs="Calibri"/>
                <w:b/>
                <w:sz w:val="18"/>
                <w:szCs w:val="18"/>
              </w:rPr>
              <w:t>Supervision missions</w:t>
            </w:r>
          </w:p>
        </w:tc>
        <w:tc>
          <w:tcPr>
            <w:tcW w:w="1980" w:type="dxa"/>
          </w:tcPr>
          <w:p w14:paraId="55F599FD" w14:textId="77777777" w:rsidR="003E3ABA" w:rsidRPr="00FC1173" w:rsidRDefault="003E3ABA" w:rsidP="00FC1173">
            <w:pPr>
              <w:spacing w:after="0"/>
              <w:jc w:val="left"/>
              <w:rPr>
                <w:rFonts w:cs="Calibri"/>
                <w:b/>
                <w:sz w:val="18"/>
                <w:szCs w:val="18"/>
              </w:rPr>
            </w:pPr>
            <w:r w:rsidRPr="00FC1173">
              <w:rPr>
                <w:rFonts w:cs="Calibri"/>
                <w:sz w:val="18"/>
                <w:szCs w:val="18"/>
              </w:rPr>
              <w:t>UNDP Country Office</w:t>
            </w:r>
          </w:p>
        </w:tc>
        <w:tc>
          <w:tcPr>
            <w:tcW w:w="1350" w:type="dxa"/>
          </w:tcPr>
          <w:p w14:paraId="4A216F87" w14:textId="77777777" w:rsidR="003E3ABA" w:rsidRPr="00FC1173" w:rsidRDefault="003E3ABA" w:rsidP="00FC1173">
            <w:pPr>
              <w:pStyle w:val="BodyText23"/>
              <w:widowControl/>
              <w:tabs>
                <w:tab w:val="clear" w:pos="547"/>
              </w:tabs>
              <w:rPr>
                <w:rFonts w:ascii="Calibri" w:hAnsi="Calibri" w:cs="Calibri"/>
                <w:snapToGrid/>
                <w:sz w:val="18"/>
                <w:szCs w:val="18"/>
                <w:lang w:val="en-GB"/>
              </w:rPr>
            </w:pPr>
            <w:r w:rsidRPr="00FC1173">
              <w:rPr>
                <w:rFonts w:ascii="Calibri" w:hAnsi="Calibri" w:cs="Calibri"/>
                <w:snapToGrid/>
                <w:sz w:val="18"/>
                <w:szCs w:val="18"/>
                <w:lang w:val="en-GB"/>
              </w:rPr>
              <w:t>None</w:t>
            </w:r>
            <w:bookmarkStart w:id="15" w:name="_Ref434335281"/>
            <w:r w:rsidRPr="00FC1173">
              <w:rPr>
                <w:rStyle w:val="FootnoteReference"/>
                <w:rFonts w:ascii="Calibri" w:hAnsi="Calibri"/>
                <w:b/>
                <w:szCs w:val="18"/>
              </w:rPr>
              <w:footnoteReference w:id="29"/>
            </w:r>
            <w:bookmarkEnd w:id="15"/>
          </w:p>
        </w:tc>
        <w:tc>
          <w:tcPr>
            <w:tcW w:w="1170" w:type="dxa"/>
          </w:tcPr>
          <w:p w14:paraId="7FC0681A" w14:textId="693D6F38" w:rsidR="003E3ABA" w:rsidRPr="00FC1173" w:rsidRDefault="00F8303B" w:rsidP="00FC1173">
            <w:pPr>
              <w:pStyle w:val="BodyText23"/>
              <w:widowControl/>
              <w:tabs>
                <w:tab w:val="clear" w:pos="547"/>
              </w:tabs>
              <w:rPr>
                <w:rFonts w:ascii="Calibri" w:hAnsi="Calibri" w:cs="Calibri"/>
                <w:snapToGrid/>
                <w:sz w:val="18"/>
                <w:szCs w:val="18"/>
                <w:lang w:val="en-GB"/>
              </w:rPr>
            </w:pPr>
            <w:r w:rsidRPr="00FC1173">
              <w:rPr>
                <w:rFonts w:ascii="Calibri" w:hAnsi="Calibri" w:cs="Calibri"/>
                <w:i/>
                <w:sz w:val="18"/>
                <w:szCs w:val="18"/>
              </w:rPr>
              <w:t>A</w:t>
            </w:r>
            <w:r w:rsidR="003E3ABA" w:rsidRPr="00FC1173">
              <w:rPr>
                <w:rFonts w:ascii="Calibri" w:hAnsi="Calibri" w:cs="Calibri"/>
                <w:i/>
                <w:sz w:val="18"/>
                <w:szCs w:val="18"/>
              </w:rPr>
              <w:t>dd</w:t>
            </w:r>
          </w:p>
        </w:tc>
        <w:tc>
          <w:tcPr>
            <w:tcW w:w="1705" w:type="dxa"/>
          </w:tcPr>
          <w:p w14:paraId="1366BA63" w14:textId="77777777" w:rsidR="003E3ABA" w:rsidRPr="00FC1173" w:rsidRDefault="003E3ABA" w:rsidP="00FC1173">
            <w:pPr>
              <w:spacing w:after="0"/>
              <w:jc w:val="left"/>
              <w:rPr>
                <w:rFonts w:cs="Calibri"/>
                <w:sz w:val="18"/>
                <w:szCs w:val="18"/>
              </w:rPr>
            </w:pPr>
            <w:r w:rsidRPr="00FC1173">
              <w:rPr>
                <w:rFonts w:cs="Calibri"/>
                <w:sz w:val="18"/>
                <w:szCs w:val="18"/>
              </w:rPr>
              <w:t>Annually</w:t>
            </w:r>
          </w:p>
        </w:tc>
      </w:tr>
      <w:tr w:rsidR="003E3ABA" w:rsidRPr="0003763F" w14:paraId="39FD0EE4" w14:textId="77777777" w:rsidTr="00787CD1">
        <w:trPr>
          <w:jc w:val="center"/>
        </w:trPr>
        <w:tc>
          <w:tcPr>
            <w:tcW w:w="3145" w:type="dxa"/>
          </w:tcPr>
          <w:p w14:paraId="6745A37E" w14:textId="77777777" w:rsidR="003E3ABA" w:rsidRPr="00FC1173" w:rsidRDefault="003E3ABA" w:rsidP="00FC1173">
            <w:pPr>
              <w:spacing w:after="0"/>
              <w:jc w:val="left"/>
              <w:rPr>
                <w:rFonts w:cs="Calibri"/>
                <w:b/>
                <w:sz w:val="18"/>
                <w:szCs w:val="18"/>
              </w:rPr>
            </w:pPr>
            <w:r w:rsidRPr="00FC1173">
              <w:rPr>
                <w:rFonts w:cs="Calibri"/>
                <w:b/>
                <w:sz w:val="18"/>
                <w:szCs w:val="18"/>
              </w:rPr>
              <w:t>Oversight missions</w:t>
            </w:r>
          </w:p>
        </w:tc>
        <w:tc>
          <w:tcPr>
            <w:tcW w:w="1980" w:type="dxa"/>
          </w:tcPr>
          <w:p w14:paraId="759DFC33" w14:textId="77777777" w:rsidR="003E3ABA" w:rsidRPr="00FC1173" w:rsidRDefault="003E3ABA" w:rsidP="00FC1173">
            <w:pPr>
              <w:spacing w:after="0"/>
              <w:jc w:val="left"/>
              <w:rPr>
                <w:rFonts w:cs="Calibri"/>
                <w:b/>
                <w:sz w:val="18"/>
                <w:szCs w:val="18"/>
              </w:rPr>
            </w:pPr>
            <w:r w:rsidRPr="00FC1173">
              <w:rPr>
                <w:rFonts w:cs="Calibri"/>
                <w:sz w:val="18"/>
                <w:szCs w:val="18"/>
              </w:rPr>
              <w:t>UNDP-GEF team</w:t>
            </w:r>
          </w:p>
        </w:tc>
        <w:tc>
          <w:tcPr>
            <w:tcW w:w="1350" w:type="dxa"/>
          </w:tcPr>
          <w:p w14:paraId="48E13227" w14:textId="4F1F2EA9" w:rsidR="003E3ABA" w:rsidRPr="00FC1173" w:rsidRDefault="003E3ABA" w:rsidP="00FC1173">
            <w:pPr>
              <w:pStyle w:val="BodyText23"/>
              <w:widowControl/>
              <w:tabs>
                <w:tab w:val="clear" w:pos="547"/>
              </w:tabs>
              <w:rPr>
                <w:rFonts w:ascii="Calibri" w:hAnsi="Calibri" w:cs="Calibri"/>
                <w:snapToGrid/>
                <w:sz w:val="18"/>
                <w:szCs w:val="18"/>
                <w:lang w:val="en-GB"/>
              </w:rPr>
            </w:pPr>
            <w:r w:rsidRPr="00FC1173">
              <w:rPr>
                <w:rFonts w:ascii="Calibri" w:hAnsi="Calibri" w:cs="Calibri"/>
                <w:snapToGrid/>
                <w:sz w:val="18"/>
                <w:szCs w:val="18"/>
                <w:lang w:val="en-GB"/>
              </w:rPr>
              <w:t>None</w:t>
            </w:r>
            <w:r w:rsidR="000A6583" w:rsidRPr="00FC1173">
              <w:rPr>
                <w:rFonts w:ascii="Calibri" w:hAnsi="Calibri" w:cs="Calibri"/>
                <w:snapToGrid/>
                <w:sz w:val="18"/>
                <w:szCs w:val="18"/>
                <w:lang w:val="en-GB"/>
              </w:rPr>
              <w:fldChar w:fldCharType="begin"/>
            </w:r>
            <w:r w:rsidR="000A6583" w:rsidRPr="00FC1173">
              <w:rPr>
                <w:rFonts w:ascii="Calibri" w:hAnsi="Calibri" w:cs="Calibri"/>
                <w:snapToGrid/>
                <w:sz w:val="18"/>
                <w:szCs w:val="18"/>
                <w:lang w:val="en-GB"/>
              </w:rPr>
              <w:instrText xml:space="preserve"> NOTEREF _Ref434335281 \f \h </w:instrText>
            </w:r>
            <w:r w:rsidR="000A6583" w:rsidRPr="00FC1173">
              <w:rPr>
                <w:rFonts w:ascii="Calibri" w:hAnsi="Calibri" w:cs="Calibri"/>
                <w:snapToGrid/>
                <w:sz w:val="18"/>
                <w:szCs w:val="18"/>
                <w:lang w:val="en-GB"/>
              </w:rPr>
            </w:r>
            <w:r w:rsidR="000A6583" w:rsidRPr="00FC1173">
              <w:rPr>
                <w:rFonts w:ascii="Calibri" w:hAnsi="Calibri" w:cs="Calibri"/>
                <w:snapToGrid/>
                <w:sz w:val="18"/>
                <w:szCs w:val="18"/>
                <w:lang w:val="en-GB"/>
              </w:rPr>
              <w:fldChar w:fldCharType="separate"/>
            </w:r>
            <w:r w:rsidR="00D3049A" w:rsidRPr="00D3049A">
              <w:rPr>
                <w:rStyle w:val="FootnoteReference"/>
              </w:rPr>
              <w:t>29</w:t>
            </w:r>
            <w:r w:rsidR="000A6583" w:rsidRPr="00FC1173">
              <w:rPr>
                <w:rFonts w:ascii="Calibri" w:hAnsi="Calibri" w:cs="Calibri"/>
                <w:snapToGrid/>
                <w:sz w:val="18"/>
                <w:szCs w:val="18"/>
                <w:lang w:val="en-GB"/>
              </w:rPr>
              <w:fldChar w:fldCharType="end"/>
            </w:r>
          </w:p>
        </w:tc>
        <w:tc>
          <w:tcPr>
            <w:tcW w:w="1170" w:type="dxa"/>
          </w:tcPr>
          <w:p w14:paraId="024DE54D" w14:textId="6BB4CA1E" w:rsidR="003E3ABA" w:rsidRPr="00FC1173" w:rsidRDefault="00F8303B" w:rsidP="00FC1173">
            <w:pPr>
              <w:pStyle w:val="BodyText23"/>
              <w:widowControl/>
              <w:tabs>
                <w:tab w:val="clear" w:pos="547"/>
              </w:tabs>
              <w:rPr>
                <w:rFonts w:ascii="Calibri" w:hAnsi="Calibri" w:cs="Calibri"/>
                <w:snapToGrid/>
                <w:sz w:val="18"/>
                <w:szCs w:val="18"/>
                <w:lang w:val="en-GB"/>
              </w:rPr>
            </w:pPr>
            <w:r w:rsidRPr="00FC1173">
              <w:rPr>
                <w:rFonts w:ascii="Calibri" w:hAnsi="Calibri" w:cs="Calibri"/>
                <w:i/>
                <w:sz w:val="18"/>
                <w:szCs w:val="18"/>
              </w:rPr>
              <w:t>A</w:t>
            </w:r>
            <w:r w:rsidR="003E3ABA" w:rsidRPr="00FC1173">
              <w:rPr>
                <w:rFonts w:ascii="Calibri" w:hAnsi="Calibri" w:cs="Calibri"/>
                <w:i/>
                <w:sz w:val="18"/>
                <w:szCs w:val="18"/>
              </w:rPr>
              <w:t>dd</w:t>
            </w:r>
          </w:p>
        </w:tc>
        <w:tc>
          <w:tcPr>
            <w:tcW w:w="1705" w:type="dxa"/>
          </w:tcPr>
          <w:p w14:paraId="01627A5E" w14:textId="77777777" w:rsidR="003E3ABA" w:rsidRPr="00FC1173" w:rsidRDefault="003E3ABA" w:rsidP="00FC1173">
            <w:pPr>
              <w:spacing w:after="0"/>
              <w:jc w:val="left"/>
              <w:rPr>
                <w:rFonts w:cs="Calibri"/>
                <w:sz w:val="18"/>
                <w:szCs w:val="18"/>
              </w:rPr>
            </w:pPr>
            <w:r w:rsidRPr="00FC1173">
              <w:rPr>
                <w:rFonts w:cs="Calibri"/>
                <w:sz w:val="18"/>
                <w:szCs w:val="18"/>
              </w:rPr>
              <w:t>Troubleshooting as needed</w:t>
            </w:r>
          </w:p>
        </w:tc>
      </w:tr>
      <w:tr w:rsidR="003E3ABA" w:rsidRPr="0003763F" w14:paraId="1114F8BF" w14:textId="77777777" w:rsidTr="00787CD1">
        <w:trPr>
          <w:jc w:val="center"/>
        </w:trPr>
        <w:tc>
          <w:tcPr>
            <w:tcW w:w="3145" w:type="dxa"/>
          </w:tcPr>
          <w:p w14:paraId="3C3107C8" w14:textId="77777777" w:rsidR="003E3ABA" w:rsidRPr="00FC1173" w:rsidRDefault="003E3ABA" w:rsidP="00FC1173">
            <w:pPr>
              <w:spacing w:after="0"/>
              <w:jc w:val="left"/>
              <w:rPr>
                <w:rFonts w:cs="Calibri"/>
                <w:b/>
                <w:i/>
                <w:sz w:val="18"/>
                <w:szCs w:val="18"/>
              </w:rPr>
            </w:pPr>
            <w:r w:rsidRPr="00FC1173">
              <w:rPr>
                <w:rFonts w:cs="Calibri"/>
                <w:b/>
                <w:i/>
                <w:sz w:val="18"/>
                <w:szCs w:val="18"/>
              </w:rPr>
              <w:t>Knowledge management as outlined in Outcome 4</w:t>
            </w:r>
          </w:p>
        </w:tc>
        <w:tc>
          <w:tcPr>
            <w:tcW w:w="1980" w:type="dxa"/>
          </w:tcPr>
          <w:p w14:paraId="40044AEA" w14:textId="77777777" w:rsidR="003E3ABA" w:rsidRPr="00FC1173" w:rsidRDefault="003E3ABA" w:rsidP="00FC1173">
            <w:pPr>
              <w:spacing w:after="0"/>
              <w:jc w:val="left"/>
              <w:rPr>
                <w:rFonts w:cs="Calibri"/>
                <w:sz w:val="18"/>
                <w:szCs w:val="18"/>
              </w:rPr>
            </w:pPr>
            <w:r w:rsidRPr="00FC1173">
              <w:rPr>
                <w:rFonts w:cs="Calibri"/>
                <w:sz w:val="18"/>
                <w:szCs w:val="18"/>
              </w:rPr>
              <w:t>Project Manager</w:t>
            </w:r>
          </w:p>
        </w:tc>
        <w:tc>
          <w:tcPr>
            <w:tcW w:w="1350" w:type="dxa"/>
          </w:tcPr>
          <w:p w14:paraId="7FBAC2E1" w14:textId="648C7DE1" w:rsidR="003E3ABA" w:rsidRPr="00FC1173" w:rsidRDefault="00DE15EE" w:rsidP="00FC1173">
            <w:pPr>
              <w:spacing w:after="0"/>
              <w:jc w:val="left"/>
              <w:rPr>
                <w:rFonts w:cs="Calibri"/>
                <w:sz w:val="18"/>
                <w:szCs w:val="18"/>
              </w:rPr>
            </w:pPr>
            <w:r w:rsidRPr="00FC1173">
              <w:rPr>
                <w:rFonts w:cs="Calibri"/>
                <w:sz w:val="18"/>
                <w:szCs w:val="18"/>
              </w:rPr>
              <w:t>89,000</w:t>
            </w:r>
          </w:p>
        </w:tc>
        <w:tc>
          <w:tcPr>
            <w:tcW w:w="1170" w:type="dxa"/>
          </w:tcPr>
          <w:p w14:paraId="3AD323B4" w14:textId="461C234C" w:rsidR="003E3ABA" w:rsidRPr="00FC1173" w:rsidRDefault="001A6298" w:rsidP="00FC1173">
            <w:pPr>
              <w:spacing w:after="0"/>
              <w:jc w:val="left"/>
              <w:rPr>
                <w:rFonts w:cs="Calibri"/>
                <w:sz w:val="18"/>
                <w:szCs w:val="18"/>
                <w:highlight w:val="yellow"/>
              </w:rPr>
            </w:pPr>
            <w:r>
              <w:rPr>
                <w:rFonts w:cs="Calibri"/>
                <w:sz w:val="18"/>
                <w:szCs w:val="18"/>
              </w:rPr>
              <w:t>62,000</w:t>
            </w:r>
          </w:p>
        </w:tc>
        <w:tc>
          <w:tcPr>
            <w:tcW w:w="1705" w:type="dxa"/>
          </w:tcPr>
          <w:p w14:paraId="510D94DE" w14:textId="77777777" w:rsidR="003E3ABA" w:rsidRPr="00FC1173" w:rsidRDefault="003E3ABA" w:rsidP="00FC1173">
            <w:pPr>
              <w:spacing w:after="0"/>
              <w:jc w:val="left"/>
              <w:rPr>
                <w:rFonts w:cs="Calibri"/>
                <w:i/>
                <w:sz w:val="18"/>
                <w:szCs w:val="18"/>
              </w:rPr>
            </w:pPr>
            <w:r w:rsidRPr="00FC1173">
              <w:rPr>
                <w:rFonts w:cs="Calibri"/>
                <w:i/>
                <w:sz w:val="18"/>
                <w:szCs w:val="18"/>
              </w:rPr>
              <w:t>On-going</w:t>
            </w:r>
          </w:p>
        </w:tc>
      </w:tr>
      <w:tr w:rsidR="003E3ABA" w:rsidRPr="0003763F" w14:paraId="677F44CE" w14:textId="77777777" w:rsidTr="00787CD1">
        <w:trPr>
          <w:jc w:val="center"/>
        </w:trPr>
        <w:tc>
          <w:tcPr>
            <w:tcW w:w="3145" w:type="dxa"/>
          </w:tcPr>
          <w:p w14:paraId="6C9760AB" w14:textId="77777777" w:rsidR="003E3ABA" w:rsidRPr="00FC1173" w:rsidRDefault="003E3ABA" w:rsidP="00FC1173">
            <w:pPr>
              <w:spacing w:after="0"/>
              <w:jc w:val="left"/>
              <w:rPr>
                <w:rFonts w:cs="Calibri"/>
                <w:b/>
                <w:sz w:val="18"/>
                <w:szCs w:val="18"/>
              </w:rPr>
            </w:pPr>
            <w:r w:rsidRPr="00FC1173">
              <w:rPr>
                <w:rFonts w:cs="Calibri"/>
                <w:b/>
                <w:sz w:val="18"/>
                <w:szCs w:val="18"/>
              </w:rPr>
              <w:t xml:space="preserve">GEF Secretariat learning missions/site visits </w:t>
            </w:r>
          </w:p>
        </w:tc>
        <w:tc>
          <w:tcPr>
            <w:tcW w:w="1980" w:type="dxa"/>
          </w:tcPr>
          <w:p w14:paraId="0664838D" w14:textId="0055DAB7" w:rsidR="003E3ABA" w:rsidRPr="00FC1173" w:rsidRDefault="000A6583" w:rsidP="00FC1173">
            <w:pPr>
              <w:spacing w:after="0"/>
              <w:jc w:val="left"/>
              <w:rPr>
                <w:rFonts w:cs="Calibri"/>
                <w:sz w:val="18"/>
                <w:szCs w:val="18"/>
              </w:rPr>
            </w:pPr>
            <w:r w:rsidRPr="00FC1173">
              <w:rPr>
                <w:rFonts w:cs="Calibri"/>
                <w:sz w:val="18"/>
                <w:szCs w:val="18"/>
              </w:rPr>
              <w:t xml:space="preserve">UNDP Country Office and </w:t>
            </w:r>
            <w:r w:rsidR="003E3ABA" w:rsidRPr="00FC1173">
              <w:rPr>
                <w:rFonts w:cs="Calibri"/>
                <w:sz w:val="18"/>
                <w:szCs w:val="18"/>
              </w:rPr>
              <w:t xml:space="preserve">Project Manager and UNDP-GEF </w:t>
            </w:r>
            <w:r w:rsidR="00DE15EE" w:rsidRPr="00FC1173">
              <w:rPr>
                <w:rFonts w:cs="Calibri"/>
                <w:sz w:val="18"/>
                <w:szCs w:val="18"/>
              </w:rPr>
              <w:t>RTA</w:t>
            </w:r>
          </w:p>
        </w:tc>
        <w:tc>
          <w:tcPr>
            <w:tcW w:w="1350" w:type="dxa"/>
          </w:tcPr>
          <w:p w14:paraId="59175C69" w14:textId="77777777" w:rsidR="003E3ABA" w:rsidRPr="00FC1173" w:rsidRDefault="003E3ABA" w:rsidP="00FC1173">
            <w:pPr>
              <w:pStyle w:val="BodyText23"/>
              <w:widowControl/>
              <w:tabs>
                <w:tab w:val="clear" w:pos="547"/>
              </w:tabs>
              <w:rPr>
                <w:rFonts w:ascii="Calibri" w:hAnsi="Calibri" w:cs="Calibri"/>
                <w:snapToGrid/>
                <w:sz w:val="18"/>
                <w:szCs w:val="18"/>
                <w:lang w:val="en-GB"/>
              </w:rPr>
            </w:pPr>
            <w:r w:rsidRPr="00FC1173">
              <w:rPr>
                <w:rFonts w:ascii="Calibri" w:hAnsi="Calibri" w:cs="Calibri"/>
                <w:snapToGrid/>
                <w:sz w:val="18"/>
                <w:szCs w:val="18"/>
                <w:lang w:val="en-GB"/>
              </w:rPr>
              <w:t>None</w:t>
            </w:r>
          </w:p>
        </w:tc>
        <w:tc>
          <w:tcPr>
            <w:tcW w:w="1170" w:type="dxa"/>
          </w:tcPr>
          <w:p w14:paraId="70411E14" w14:textId="3876D8A7" w:rsidR="003E3ABA" w:rsidRPr="00FC1173" w:rsidRDefault="003E3ABA" w:rsidP="00FC1173">
            <w:pPr>
              <w:pStyle w:val="BodyText23"/>
              <w:widowControl/>
              <w:tabs>
                <w:tab w:val="clear" w:pos="547"/>
              </w:tabs>
              <w:rPr>
                <w:rFonts w:ascii="Calibri" w:hAnsi="Calibri" w:cs="Calibri"/>
                <w:snapToGrid/>
                <w:sz w:val="18"/>
                <w:szCs w:val="18"/>
                <w:lang w:val="en-GB"/>
              </w:rPr>
            </w:pPr>
          </w:p>
        </w:tc>
        <w:tc>
          <w:tcPr>
            <w:tcW w:w="1705" w:type="dxa"/>
          </w:tcPr>
          <w:p w14:paraId="0D2BE1BA" w14:textId="77777777" w:rsidR="003E3ABA" w:rsidRPr="00FC1173" w:rsidRDefault="003E3ABA" w:rsidP="00FC1173">
            <w:pPr>
              <w:spacing w:after="0"/>
              <w:jc w:val="left"/>
              <w:rPr>
                <w:rFonts w:cs="Calibri"/>
                <w:sz w:val="18"/>
                <w:szCs w:val="18"/>
              </w:rPr>
            </w:pPr>
            <w:r w:rsidRPr="00FC1173">
              <w:rPr>
                <w:rFonts w:cs="Calibri"/>
                <w:sz w:val="18"/>
                <w:szCs w:val="18"/>
              </w:rPr>
              <w:t>To be determined.</w:t>
            </w:r>
          </w:p>
        </w:tc>
      </w:tr>
      <w:tr w:rsidR="003E3ABA" w:rsidRPr="0003763F" w14:paraId="1CEEB5E7" w14:textId="77777777" w:rsidTr="00787CD1">
        <w:trPr>
          <w:jc w:val="center"/>
        </w:trPr>
        <w:tc>
          <w:tcPr>
            <w:tcW w:w="3145" w:type="dxa"/>
          </w:tcPr>
          <w:p w14:paraId="187F816F" w14:textId="50F8CFC3" w:rsidR="003E3ABA" w:rsidRPr="00FC1173" w:rsidRDefault="003E3ABA" w:rsidP="00FC1173">
            <w:pPr>
              <w:spacing w:after="0"/>
              <w:jc w:val="left"/>
              <w:rPr>
                <w:rFonts w:cs="Calibri"/>
                <w:b/>
                <w:i/>
                <w:sz w:val="18"/>
                <w:szCs w:val="18"/>
              </w:rPr>
            </w:pPr>
            <w:r w:rsidRPr="00FC1173">
              <w:rPr>
                <w:rFonts w:cs="Calibri"/>
                <w:b/>
                <w:i/>
                <w:sz w:val="18"/>
                <w:szCs w:val="18"/>
              </w:rPr>
              <w:t xml:space="preserve">Mid-term GEF Tracking Tool to be updated </w:t>
            </w:r>
          </w:p>
        </w:tc>
        <w:tc>
          <w:tcPr>
            <w:tcW w:w="1980" w:type="dxa"/>
          </w:tcPr>
          <w:p w14:paraId="6E9536B2" w14:textId="77777777" w:rsidR="003E3ABA" w:rsidRPr="00FC1173" w:rsidRDefault="003E3ABA" w:rsidP="00FC1173">
            <w:pPr>
              <w:spacing w:after="0"/>
              <w:jc w:val="left"/>
              <w:rPr>
                <w:rFonts w:cs="Calibri"/>
                <w:sz w:val="18"/>
                <w:szCs w:val="18"/>
              </w:rPr>
            </w:pPr>
            <w:r w:rsidRPr="00FC1173">
              <w:rPr>
                <w:rFonts w:cs="Calibri"/>
                <w:sz w:val="18"/>
                <w:szCs w:val="18"/>
              </w:rPr>
              <w:t>Project Manager</w:t>
            </w:r>
          </w:p>
        </w:tc>
        <w:tc>
          <w:tcPr>
            <w:tcW w:w="1350" w:type="dxa"/>
          </w:tcPr>
          <w:p w14:paraId="6D602D6B" w14:textId="74474620" w:rsidR="003E3ABA" w:rsidRPr="00FC1173" w:rsidRDefault="00DE15EE" w:rsidP="00FC1173">
            <w:pPr>
              <w:spacing w:after="0"/>
              <w:jc w:val="left"/>
              <w:rPr>
                <w:rFonts w:cs="Calibri"/>
                <w:sz w:val="18"/>
                <w:szCs w:val="18"/>
              </w:rPr>
            </w:pPr>
            <w:r w:rsidRPr="00FC1173">
              <w:rPr>
                <w:rFonts w:cs="Calibri"/>
                <w:sz w:val="18"/>
                <w:szCs w:val="18"/>
              </w:rPr>
              <w:t>5,000</w:t>
            </w:r>
            <w:r w:rsidR="003E3ABA" w:rsidRPr="00FC1173">
              <w:rPr>
                <w:rFonts w:cs="Calibri"/>
                <w:sz w:val="18"/>
                <w:szCs w:val="18"/>
              </w:rPr>
              <w:t xml:space="preserve"> </w:t>
            </w:r>
          </w:p>
        </w:tc>
        <w:tc>
          <w:tcPr>
            <w:tcW w:w="1170" w:type="dxa"/>
          </w:tcPr>
          <w:p w14:paraId="1DBB4B4C" w14:textId="38B433D6" w:rsidR="003E3ABA" w:rsidRPr="00FC1173" w:rsidRDefault="003E3ABA" w:rsidP="00FC1173">
            <w:pPr>
              <w:spacing w:after="0"/>
              <w:jc w:val="left"/>
              <w:rPr>
                <w:rFonts w:cs="Calibri"/>
                <w:i/>
                <w:sz w:val="18"/>
                <w:szCs w:val="18"/>
                <w:highlight w:val="yellow"/>
              </w:rPr>
            </w:pPr>
          </w:p>
        </w:tc>
        <w:tc>
          <w:tcPr>
            <w:tcW w:w="1705" w:type="dxa"/>
          </w:tcPr>
          <w:p w14:paraId="35446BF7" w14:textId="77777777" w:rsidR="003E3ABA" w:rsidRPr="00FC1173" w:rsidRDefault="003E3ABA" w:rsidP="00FC1173">
            <w:pPr>
              <w:spacing w:after="0"/>
              <w:jc w:val="left"/>
              <w:rPr>
                <w:rFonts w:cs="Calibri"/>
                <w:i/>
                <w:sz w:val="18"/>
                <w:szCs w:val="18"/>
              </w:rPr>
            </w:pPr>
            <w:r w:rsidRPr="00FC1173">
              <w:rPr>
                <w:rFonts w:cs="Calibri"/>
                <w:i/>
                <w:sz w:val="18"/>
                <w:szCs w:val="18"/>
              </w:rPr>
              <w:t>Before mid-term review mission takes place.</w:t>
            </w:r>
          </w:p>
        </w:tc>
      </w:tr>
      <w:tr w:rsidR="003E3ABA" w:rsidRPr="0003763F" w14:paraId="016F6113" w14:textId="77777777" w:rsidTr="00787CD1">
        <w:trPr>
          <w:jc w:val="center"/>
        </w:trPr>
        <w:tc>
          <w:tcPr>
            <w:tcW w:w="3145" w:type="dxa"/>
          </w:tcPr>
          <w:p w14:paraId="0CC52A39" w14:textId="77777777" w:rsidR="003E3ABA" w:rsidRPr="00FC1173" w:rsidRDefault="003E3ABA" w:rsidP="00FC1173">
            <w:pPr>
              <w:spacing w:after="0"/>
              <w:jc w:val="left"/>
              <w:rPr>
                <w:rFonts w:cs="Calibri"/>
                <w:b/>
                <w:i/>
                <w:sz w:val="18"/>
                <w:szCs w:val="18"/>
              </w:rPr>
            </w:pPr>
            <w:r w:rsidRPr="00FC1173">
              <w:rPr>
                <w:rFonts w:cs="Calibri"/>
                <w:b/>
                <w:i/>
                <w:sz w:val="18"/>
                <w:szCs w:val="18"/>
              </w:rPr>
              <w:lastRenderedPageBreak/>
              <w:t xml:space="preserve">Independent Mid-term Review (MTR) </w:t>
            </w:r>
            <w:r w:rsidR="009A0D83" w:rsidRPr="00FC1173">
              <w:rPr>
                <w:rFonts w:cs="Calibri"/>
                <w:b/>
                <w:i/>
                <w:sz w:val="18"/>
                <w:szCs w:val="18"/>
              </w:rPr>
              <w:t>and management response</w:t>
            </w:r>
            <w:r w:rsidRPr="00FC1173">
              <w:rPr>
                <w:rFonts w:cs="Calibri"/>
                <w:b/>
                <w:i/>
                <w:sz w:val="18"/>
                <w:szCs w:val="18"/>
              </w:rPr>
              <w:t xml:space="preserve"> </w:t>
            </w:r>
          </w:p>
        </w:tc>
        <w:tc>
          <w:tcPr>
            <w:tcW w:w="1980" w:type="dxa"/>
          </w:tcPr>
          <w:p w14:paraId="02F1953E" w14:textId="1A78BF76" w:rsidR="003E3ABA" w:rsidRPr="00FC1173" w:rsidRDefault="003E3ABA" w:rsidP="00DB4F75">
            <w:pPr>
              <w:spacing w:after="0"/>
              <w:jc w:val="left"/>
              <w:rPr>
                <w:rFonts w:cs="Calibri"/>
                <w:sz w:val="18"/>
                <w:szCs w:val="18"/>
              </w:rPr>
            </w:pPr>
            <w:r w:rsidRPr="00FC1173">
              <w:rPr>
                <w:rFonts w:cs="Calibri"/>
                <w:sz w:val="18"/>
                <w:szCs w:val="18"/>
              </w:rPr>
              <w:t>UNDP Country Office and Project</w:t>
            </w:r>
            <w:r w:rsidR="00DB4F75">
              <w:rPr>
                <w:rFonts w:cs="Calibri"/>
                <w:sz w:val="18"/>
                <w:szCs w:val="18"/>
              </w:rPr>
              <w:t xml:space="preserve"> Manager</w:t>
            </w:r>
            <w:r w:rsidRPr="00FC1173">
              <w:rPr>
                <w:rFonts w:cs="Calibri"/>
                <w:sz w:val="18"/>
                <w:szCs w:val="18"/>
              </w:rPr>
              <w:t xml:space="preserve"> and UNDP-GEF </w:t>
            </w:r>
            <w:r w:rsidR="00DE15EE" w:rsidRPr="00FC1173">
              <w:rPr>
                <w:rFonts w:cs="Calibri"/>
                <w:sz w:val="18"/>
                <w:szCs w:val="18"/>
              </w:rPr>
              <w:t xml:space="preserve">RTA </w:t>
            </w:r>
          </w:p>
        </w:tc>
        <w:tc>
          <w:tcPr>
            <w:tcW w:w="1350" w:type="dxa"/>
          </w:tcPr>
          <w:p w14:paraId="08F71869" w14:textId="2481BEAC" w:rsidR="003E3ABA" w:rsidRPr="00FC1173" w:rsidRDefault="003E3ABA" w:rsidP="00B9413F">
            <w:pPr>
              <w:spacing w:after="0"/>
              <w:jc w:val="left"/>
              <w:rPr>
                <w:rFonts w:cs="Calibri"/>
                <w:sz w:val="18"/>
                <w:szCs w:val="18"/>
              </w:rPr>
            </w:pPr>
            <w:r w:rsidRPr="00FC1173">
              <w:rPr>
                <w:rFonts w:cs="Calibri"/>
                <w:sz w:val="18"/>
                <w:szCs w:val="18"/>
              </w:rPr>
              <w:t xml:space="preserve"> </w:t>
            </w:r>
            <w:r w:rsidR="00B9413F">
              <w:rPr>
                <w:rFonts w:cs="Calibri"/>
                <w:sz w:val="18"/>
                <w:szCs w:val="18"/>
              </w:rPr>
              <w:t>4</w:t>
            </w:r>
            <w:r w:rsidR="00B9413F" w:rsidRPr="00FC1173">
              <w:rPr>
                <w:rFonts w:cs="Calibri"/>
                <w:sz w:val="18"/>
                <w:szCs w:val="18"/>
              </w:rPr>
              <w:t>0</w:t>
            </w:r>
            <w:r w:rsidRPr="00FC1173">
              <w:rPr>
                <w:rFonts w:cs="Calibri"/>
                <w:sz w:val="18"/>
                <w:szCs w:val="18"/>
              </w:rPr>
              <w:t>,000</w:t>
            </w:r>
          </w:p>
        </w:tc>
        <w:tc>
          <w:tcPr>
            <w:tcW w:w="1170" w:type="dxa"/>
          </w:tcPr>
          <w:p w14:paraId="0A70200F" w14:textId="3EEE4468" w:rsidR="003E3ABA" w:rsidRPr="001A6298" w:rsidRDefault="001A6298" w:rsidP="00FC1173">
            <w:pPr>
              <w:spacing w:after="0"/>
              <w:jc w:val="left"/>
              <w:rPr>
                <w:rFonts w:cs="Calibri"/>
                <w:sz w:val="18"/>
                <w:szCs w:val="18"/>
                <w:highlight w:val="yellow"/>
              </w:rPr>
            </w:pPr>
            <w:r w:rsidRPr="001A6298">
              <w:rPr>
                <w:rFonts w:cs="Calibri"/>
                <w:sz w:val="18"/>
                <w:szCs w:val="18"/>
              </w:rPr>
              <w:t>10,000</w:t>
            </w:r>
          </w:p>
        </w:tc>
        <w:tc>
          <w:tcPr>
            <w:tcW w:w="1705" w:type="dxa"/>
          </w:tcPr>
          <w:p w14:paraId="0A8A947E" w14:textId="1CBEE056" w:rsidR="003E3ABA" w:rsidRPr="00FC1173" w:rsidRDefault="003E3ABA" w:rsidP="00FC1173">
            <w:pPr>
              <w:spacing w:after="0"/>
              <w:jc w:val="left"/>
              <w:rPr>
                <w:rFonts w:cs="Calibri"/>
                <w:i/>
                <w:sz w:val="18"/>
                <w:szCs w:val="18"/>
              </w:rPr>
            </w:pPr>
            <w:r w:rsidRPr="00FC1173">
              <w:rPr>
                <w:rFonts w:cs="Calibri"/>
                <w:i/>
                <w:sz w:val="18"/>
                <w:szCs w:val="18"/>
              </w:rPr>
              <w:t>Between 2</w:t>
            </w:r>
            <w:r w:rsidRPr="00FC1173">
              <w:rPr>
                <w:rFonts w:cs="Calibri"/>
                <w:i/>
                <w:sz w:val="18"/>
                <w:szCs w:val="18"/>
                <w:vertAlign w:val="superscript"/>
              </w:rPr>
              <w:t>nd</w:t>
            </w:r>
            <w:r w:rsidRPr="00FC1173">
              <w:rPr>
                <w:rFonts w:cs="Calibri"/>
                <w:i/>
                <w:sz w:val="18"/>
                <w:szCs w:val="18"/>
              </w:rPr>
              <w:t xml:space="preserve"> and 3</w:t>
            </w:r>
            <w:r w:rsidRPr="00FC1173">
              <w:rPr>
                <w:rFonts w:cs="Calibri"/>
                <w:i/>
                <w:sz w:val="18"/>
                <w:szCs w:val="18"/>
                <w:vertAlign w:val="superscript"/>
              </w:rPr>
              <w:t>rd</w:t>
            </w:r>
            <w:r w:rsidRPr="00FC1173">
              <w:rPr>
                <w:rFonts w:cs="Calibri"/>
                <w:i/>
                <w:sz w:val="18"/>
                <w:szCs w:val="18"/>
              </w:rPr>
              <w:t xml:space="preserve"> PIR</w:t>
            </w:r>
            <w:r w:rsidR="00194AA1">
              <w:rPr>
                <w:rFonts w:cs="Calibri"/>
                <w:i/>
                <w:sz w:val="18"/>
                <w:szCs w:val="18"/>
              </w:rPr>
              <w:t xml:space="preserve">. </w:t>
            </w:r>
          </w:p>
        </w:tc>
      </w:tr>
      <w:tr w:rsidR="003E3ABA" w:rsidRPr="0003763F" w14:paraId="56DB6DB6" w14:textId="77777777" w:rsidTr="00787CD1">
        <w:trPr>
          <w:jc w:val="center"/>
        </w:trPr>
        <w:tc>
          <w:tcPr>
            <w:tcW w:w="3145" w:type="dxa"/>
          </w:tcPr>
          <w:p w14:paraId="28EBC46D" w14:textId="24C1E462" w:rsidR="003E3ABA" w:rsidRPr="00FC1173" w:rsidRDefault="000A6583" w:rsidP="00FC1173">
            <w:pPr>
              <w:spacing w:after="0"/>
              <w:jc w:val="left"/>
              <w:rPr>
                <w:rFonts w:cs="Calibri"/>
                <w:b/>
                <w:sz w:val="18"/>
                <w:szCs w:val="18"/>
              </w:rPr>
            </w:pPr>
            <w:r w:rsidRPr="00FC1173">
              <w:rPr>
                <w:rFonts w:cs="Calibri"/>
                <w:b/>
                <w:sz w:val="18"/>
                <w:szCs w:val="18"/>
              </w:rPr>
              <w:t>Terminal</w:t>
            </w:r>
            <w:r w:rsidR="003E3ABA" w:rsidRPr="00FC1173">
              <w:rPr>
                <w:rFonts w:cs="Calibri"/>
                <w:b/>
                <w:sz w:val="18"/>
                <w:szCs w:val="18"/>
              </w:rPr>
              <w:t xml:space="preserve"> GEF Tracking Tool to be updated </w:t>
            </w:r>
          </w:p>
        </w:tc>
        <w:tc>
          <w:tcPr>
            <w:tcW w:w="1980" w:type="dxa"/>
          </w:tcPr>
          <w:p w14:paraId="77DB4C76" w14:textId="77777777" w:rsidR="003E3ABA" w:rsidRPr="00FC1173" w:rsidRDefault="003E3ABA" w:rsidP="00FC1173">
            <w:pPr>
              <w:spacing w:after="0"/>
              <w:jc w:val="left"/>
              <w:rPr>
                <w:rFonts w:cs="Calibri"/>
                <w:sz w:val="18"/>
                <w:szCs w:val="18"/>
              </w:rPr>
            </w:pPr>
            <w:r w:rsidRPr="00FC1173">
              <w:rPr>
                <w:rFonts w:cs="Calibri"/>
                <w:sz w:val="18"/>
                <w:szCs w:val="18"/>
              </w:rPr>
              <w:t xml:space="preserve">Project Manager </w:t>
            </w:r>
          </w:p>
        </w:tc>
        <w:tc>
          <w:tcPr>
            <w:tcW w:w="1350" w:type="dxa"/>
          </w:tcPr>
          <w:p w14:paraId="33113887" w14:textId="3D6351FA" w:rsidR="003E3ABA" w:rsidRPr="00FC1173" w:rsidRDefault="003E3ABA" w:rsidP="00FC1173">
            <w:pPr>
              <w:spacing w:after="0"/>
              <w:jc w:val="left"/>
              <w:rPr>
                <w:rFonts w:cs="Calibri"/>
                <w:sz w:val="18"/>
                <w:szCs w:val="18"/>
              </w:rPr>
            </w:pPr>
            <w:r w:rsidRPr="00FC1173">
              <w:rPr>
                <w:rFonts w:cs="Calibri"/>
                <w:sz w:val="18"/>
                <w:szCs w:val="18"/>
              </w:rPr>
              <w:t xml:space="preserve">10,000 </w:t>
            </w:r>
          </w:p>
        </w:tc>
        <w:tc>
          <w:tcPr>
            <w:tcW w:w="1170" w:type="dxa"/>
          </w:tcPr>
          <w:p w14:paraId="36B25342" w14:textId="264CBD83" w:rsidR="003E3ABA" w:rsidRPr="00FC1173" w:rsidRDefault="003E3ABA" w:rsidP="00FC1173">
            <w:pPr>
              <w:spacing w:after="0"/>
              <w:jc w:val="left"/>
              <w:rPr>
                <w:rFonts w:cs="Calibri"/>
                <w:sz w:val="18"/>
                <w:szCs w:val="18"/>
                <w:highlight w:val="yellow"/>
              </w:rPr>
            </w:pPr>
          </w:p>
        </w:tc>
        <w:tc>
          <w:tcPr>
            <w:tcW w:w="1705" w:type="dxa"/>
          </w:tcPr>
          <w:p w14:paraId="7230D800" w14:textId="77777777" w:rsidR="003E3ABA" w:rsidRPr="00FC1173" w:rsidRDefault="003E3ABA" w:rsidP="00FC1173">
            <w:pPr>
              <w:spacing w:after="0"/>
              <w:jc w:val="left"/>
              <w:rPr>
                <w:rFonts w:cs="Calibri"/>
                <w:sz w:val="18"/>
                <w:szCs w:val="18"/>
              </w:rPr>
            </w:pPr>
            <w:r w:rsidRPr="00FC1173">
              <w:rPr>
                <w:rFonts w:cs="Calibri"/>
                <w:sz w:val="18"/>
                <w:szCs w:val="18"/>
              </w:rPr>
              <w:t>Before terminal evaluation mission takes place</w:t>
            </w:r>
          </w:p>
        </w:tc>
      </w:tr>
      <w:tr w:rsidR="003E3ABA" w:rsidRPr="0003763F" w14:paraId="43439C7F" w14:textId="77777777" w:rsidTr="00787CD1">
        <w:trPr>
          <w:jc w:val="center"/>
        </w:trPr>
        <w:tc>
          <w:tcPr>
            <w:tcW w:w="3145" w:type="dxa"/>
          </w:tcPr>
          <w:p w14:paraId="3B0CC6BE" w14:textId="6ED00F45" w:rsidR="003E3ABA" w:rsidRPr="00FC1173" w:rsidRDefault="003E3ABA" w:rsidP="00FC1173">
            <w:pPr>
              <w:spacing w:after="0"/>
              <w:jc w:val="left"/>
              <w:rPr>
                <w:rFonts w:cs="Calibri"/>
                <w:b/>
                <w:sz w:val="18"/>
                <w:szCs w:val="18"/>
              </w:rPr>
            </w:pPr>
            <w:r w:rsidRPr="00FC1173">
              <w:rPr>
                <w:rFonts w:cs="Calibri"/>
                <w:b/>
                <w:sz w:val="18"/>
                <w:szCs w:val="18"/>
              </w:rPr>
              <w:t>Independent Terminal Evaluation (TE) included in UNDP evaluation plan</w:t>
            </w:r>
            <w:r w:rsidR="009A0D83" w:rsidRPr="00FC1173">
              <w:rPr>
                <w:rFonts w:cs="Calibri"/>
                <w:b/>
                <w:sz w:val="18"/>
                <w:szCs w:val="18"/>
              </w:rPr>
              <w:t>, and management response</w:t>
            </w:r>
            <w:r w:rsidR="00DE15EE" w:rsidRPr="00FC1173">
              <w:rPr>
                <w:rFonts w:cs="Calibri"/>
                <w:b/>
                <w:sz w:val="18"/>
                <w:szCs w:val="18"/>
              </w:rPr>
              <w:t xml:space="preserve"> </w:t>
            </w:r>
          </w:p>
        </w:tc>
        <w:tc>
          <w:tcPr>
            <w:tcW w:w="1980" w:type="dxa"/>
          </w:tcPr>
          <w:p w14:paraId="743148E0" w14:textId="6AB0C266" w:rsidR="003E3ABA" w:rsidRPr="00FC1173" w:rsidRDefault="003E3ABA" w:rsidP="00DB4F75">
            <w:pPr>
              <w:spacing w:after="0"/>
              <w:jc w:val="left"/>
              <w:rPr>
                <w:rFonts w:cs="Calibri"/>
                <w:sz w:val="18"/>
                <w:szCs w:val="18"/>
              </w:rPr>
            </w:pPr>
            <w:r w:rsidRPr="00FC1173">
              <w:rPr>
                <w:rFonts w:cs="Calibri"/>
                <w:sz w:val="18"/>
                <w:szCs w:val="18"/>
              </w:rPr>
              <w:t xml:space="preserve">UNDP Country Office and Project </w:t>
            </w:r>
            <w:r w:rsidR="00DB4F75">
              <w:rPr>
                <w:rFonts w:cs="Calibri"/>
                <w:sz w:val="18"/>
                <w:szCs w:val="18"/>
              </w:rPr>
              <w:t xml:space="preserve">Manager </w:t>
            </w:r>
            <w:r w:rsidRPr="00FC1173">
              <w:rPr>
                <w:rFonts w:cs="Calibri"/>
                <w:sz w:val="18"/>
                <w:szCs w:val="18"/>
              </w:rPr>
              <w:t xml:space="preserve">and UNDP-GEF </w:t>
            </w:r>
            <w:r w:rsidR="00DE15EE" w:rsidRPr="00FC1173">
              <w:rPr>
                <w:rFonts w:cs="Calibri"/>
                <w:sz w:val="18"/>
                <w:szCs w:val="18"/>
              </w:rPr>
              <w:t>RTA</w:t>
            </w:r>
          </w:p>
        </w:tc>
        <w:tc>
          <w:tcPr>
            <w:tcW w:w="1350" w:type="dxa"/>
          </w:tcPr>
          <w:p w14:paraId="21C5C21F" w14:textId="418B577F" w:rsidR="003E3ABA" w:rsidRPr="00FC1173" w:rsidRDefault="00DE15EE" w:rsidP="00FC1173">
            <w:pPr>
              <w:spacing w:after="0"/>
              <w:jc w:val="left"/>
              <w:rPr>
                <w:rFonts w:cs="Calibri"/>
                <w:sz w:val="18"/>
                <w:szCs w:val="18"/>
              </w:rPr>
            </w:pPr>
            <w:r w:rsidRPr="00FC1173">
              <w:rPr>
                <w:rFonts w:cs="Calibri"/>
                <w:sz w:val="18"/>
                <w:szCs w:val="18"/>
              </w:rPr>
              <w:t>38,000</w:t>
            </w:r>
          </w:p>
        </w:tc>
        <w:tc>
          <w:tcPr>
            <w:tcW w:w="1170" w:type="dxa"/>
          </w:tcPr>
          <w:p w14:paraId="3AB4E5C5" w14:textId="55C30E87" w:rsidR="003E3ABA" w:rsidRPr="00FC1173" w:rsidRDefault="001A6298" w:rsidP="00FC1173">
            <w:pPr>
              <w:tabs>
                <w:tab w:val="center" w:pos="1216"/>
              </w:tabs>
              <w:spacing w:after="0"/>
              <w:jc w:val="left"/>
              <w:rPr>
                <w:rFonts w:cs="Calibri"/>
                <w:sz w:val="18"/>
                <w:szCs w:val="18"/>
              </w:rPr>
            </w:pPr>
            <w:r>
              <w:rPr>
                <w:rFonts w:cs="Calibri"/>
                <w:sz w:val="18"/>
                <w:szCs w:val="18"/>
              </w:rPr>
              <w:t>20,000</w:t>
            </w:r>
          </w:p>
        </w:tc>
        <w:tc>
          <w:tcPr>
            <w:tcW w:w="1705" w:type="dxa"/>
          </w:tcPr>
          <w:p w14:paraId="48DF8D7C" w14:textId="2F77102C" w:rsidR="003E3ABA" w:rsidRPr="00FC1173" w:rsidRDefault="003E3ABA" w:rsidP="009A70CB">
            <w:pPr>
              <w:spacing w:after="0"/>
              <w:jc w:val="left"/>
              <w:rPr>
                <w:rFonts w:cs="Calibri"/>
                <w:sz w:val="18"/>
                <w:szCs w:val="18"/>
              </w:rPr>
            </w:pPr>
            <w:r w:rsidRPr="00FC1173">
              <w:rPr>
                <w:rFonts w:cs="Calibri"/>
                <w:sz w:val="18"/>
                <w:szCs w:val="18"/>
              </w:rPr>
              <w:t xml:space="preserve">At least </w:t>
            </w:r>
            <w:r w:rsidR="009A70CB">
              <w:rPr>
                <w:rFonts w:cs="Calibri"/>
                <w:sz w:val="18"/>
                <w:szCs w:val="18"/>
              </w:rPr>
              <w:t>five</w:t>
            </w:r>
            <w:r w:rsidR="009A70CB" w:rsidRPr="00FC1173">
              <w:rPr>
                <w:rFonts w:cs="Calibri"/>
                <w:sz w:val="18"/>
                <w:szCs w:val="18"/>
              </w:rPr>
              <w:t xml:space="preserve"> </w:t>
            </w:r>
            <w:r w:rsidRPr="00FC1173">
              <w:rPr>
                <w:rFonts w:cs="Calibri"/>
                <w:sz w:val="18"/>
                <w:szCs w:val="18"/>
              </w:rPr>
              <w:t>months before operational closure</w:t>
            </w:r>
          </w:p>
        </w:tc>
      </w:tr>
      <w:tr w:rsidR="003E3ABA" w:rsidRPr="0003763F" w14:paraId="3E73C5F0" w14:textId="77777777" w:rsidTr="00787CD1">
        <w:trPr>
          <w:jc w:val="center"/>
        </w:trPr>
        <w:tc>
          <w:tcPr>
            <w:tcW w:w="3145" w:type="dxa"/>
          </w:tcPr>
          <w:p w14:paraId="13D794CC" w14:textId="77777777" w:rsidR="003E3ABA" w:rsidRPr="00FC1173" w:rsidRDefault="003E3ABA" w:rsidP="00FC1173">
            <w:pPr>
              <w:spacing w:after="0"/>
              <w:jc w:val="left"/>
              <w:rPr>
                <w:rFonts w:cs="Calibri"/>
                <w:b/>
                <w:i/>
                <w:sz w:val="18"/>
                <w:szCs w:val="18"/>
              </w:rPr>
            </w:pPr>
            <w:r w:rsidRPr="00FC1173">
              <w:rPr>
                <w:rFonts w:cs="Calibri"/>
                <w:b/>
                <w:i/>
                <w:sz w:val="18"/>
                <w:szCs w:val="18"/>
              </w:rPr>
              <w:t>Translation of MTR and TE reports into English</w:t>
            </w:r>
          </w:p>
        </w:tc>
        <w:tc>
          <w:tcPr>
            <w:tcW w:w="1980" w:type="dxa"/>
          </w:tcPr>
          <w:p w14:paraId="507415B9" w14:textId="77777777" w:rsidR="003E3ABA" w:rsidRPr="00FC1173" w:rsidRDefault="003E3ABA" w:rsidP="00FC1173">
            <w:pPr>
              <w:spacing w:after="0"/>
              <w:jc w:val="left"/>
              <w:rPr>
                <w:rFonts w:cs="Calibri"/>
                <w:sz w:val="18"/>
                <w:szCs w:val="18"/>
              </w:rPr>
            </w:pPr>
            <w:r w:rsidRPr="00FC1173">
              <w:rPr>
                <w:rFonts w:cs="Calibri"/>
                <w:sz w:val="18"/>
                <w:szCs w:val="18"/>
              </w:rPr>
              <w:t>UNDP Country Office</w:t>
            </w:r>
          </w:p>
        </w:tc>
        <w:tc>
          <w:tcPr>
            <w:tcW w:w="1350" w:type="dxa"/>
          </w:tcPr>
          <w:p w14:paraId="10723C37" w14:textId="03C629A8" w:rsidR="003E3ABA" w:rsidRPr="00FC1173" w:rsidRDefault="003E3ABA" w:rsidP="00FC1173">
            <w:pPr>
              <w:spacing w:after="0"/>
              <w:jc w:val="left"/>
              <w:rPr>
                <w:rFonts w:cs="Calibri"/>
                <w:sz w:val="18"/>
                <w:szCs w:val="18"/>
              </w:rPr>
            </w:pPr>
            <w:r w:rsidRPr="00FC1173">
              <w:rPr>
                <w:rFonts w:cs="Calibri"/>
                <w:sz w:val="18"/>
                <w:szCs w:val="18"/>
              </w:rPr>
              <w:t xml:space="preserve">2,000 </w:t>
            </w:r>
          </w:p>
        </w:tc>
        <w:tc>
          <w:tcPr>
            <w:tcW w:w="1170" w:type="dxa"/>
          </w:tcPr>
          <w:p w14:paraId="097CD3F0" w14:textId="6438D2B1" w:rsidR="003E3ABA" w:rsidRPr="00FC1173" w:rsidRDefault="003E3ABA" w:rsidP="00FC1173">
            <w:pPr>
              <w:spacing w:after="0"/>
              <w:jc w:val="left"/>
              <w:rPr>
                <w:rFonts w:cs="Calibri"/>
                <w:i/>
                <w:sz w:val="18"/>
                <w:szCs w:val="18"/>
                <w:highlight w:val="yellow"/>
              </w:rPr>
            </w:pPr>
          </w:p>
        </w:tc>
        <w:tc>
          <w:tcPr>
            <w:tcW w:w="1705" w:type="dxa"/>
          </w:tcPr>
          <w:p w14:paraId="14DB5C62" w14:textId="2B9B2E2E" w:rsidR="003E3ABA" w:rsidRPr="00FC1173" w:rsidRDefault="003E3ABA" w:rsidP="00FC1173">
            <w:pPr>
              <w:spacing w:after="0"/>
              <w:jc w:val="left"/>
              <w:rPr>
                <w:rFonts w:cs="Calibri"/>
                <w:i/>
                <w:sz w:val="18"/>
                <w:szCs w:val="18"/>
              </w:rPr>
            </w:pPr>
          </w:p>
        </w:tc>
      </w:tr>
      <w:tr w:rsidR="003E3ABA" w:rsidRPr="0003763F" w14:paraId="3E2F3E8F" w14:textId="77777777" w:rsidTr="00787CD1">
        <w:trPr>
          <w:cantSplit/>
          <w:trHeight w:val="710"/>
          <w:jc w:val="center"/>
        </w:trPr>
        <w:tc>
          <w:tcPr>
            <w:tcW w:w="5125" w:type="dxa"/>
            <w:gridSpan w:val="2"/>
            <w:shd w:val="clear" w:color="auto" w:fill="E6E6E6"/>
          </w:tcPr>
          <w:p w14:paraId="7A7D53B6" w14:textId="77777777" w:rsidR="003E3ABA" w:rsidRPr="00FC1173" w:rsidRDefault="003E3ABA" w:rsidP="00FC1173">
            <w:pPr>
              <w:spacing w:after="0"/>
              <w:jc w:val="left"/>
              <w:rPr>
                <w:rFonts w:cs="Calibri"/>
                <w:b/>
                <w:sz w:val="18"/>
                <w:szCs w:val="18"/>
              </w:rPr>
            </w:pPr>
            <w:r w:rsidRPr="00FC1173">
              <w:rPr>
                <w:rFonts w:cs="Calibri"/>
                <w:b/>
                <w:sz w:val="18"/>
                <w:szCs w:val="18"/>
              </w:rPr>
              <w:t xml:space="preserve">TOTAL indicative COST </w:t>
            </w:r>
          </w:p>
          <w:p w14:paraId="350170EB" w14:textId="77777777" w:rsidR="003E3ABA" w:rsidRPr="00FC1173" w:rsidRDefault="003E3ABA" w:rsidP="00FC1173">
            <w:pPr>
              <w:spacing w:after="0"/>
              <w:jc w:val="left"/>
              <w:rPr>
                <w:rFonts w:cs="Calibri"/>
                <w:sz w:val="18"/>
                <w:szCs w:val="18"/>
              </w:rPr>
            </w:pPr>
            <w:r w:rsidRPr="00FC1173">
              <w:rPr>
                <w:rFonts w:cs="Calibri"/>
                <w:sz w:val="18"/>
                <w:szCs w:val="18"/>
              </w:rPr>
              <w:t xml:space="preserve">Excluding project team staff time, and UNDP staff and travel expenses </w:t>
            </w:r>
          </w:p>
        </w:tc>
        <w:tc>
          <w:tcPr>
            <w:tcW w:w="1350" w:type="dxa"/>
            <w:shd w:val="clear" w:color="auto" w:fill="E6E6E6"/>
          </w:tcPr>
          <w:p w14:paraId="1355AE55" w14:textId="005CC6AC" w:rsidR="003E3ABA" w:rsidRPr="00FC1173" w:rsidRDefault="00B9413F" w:rsidP="001A6298">
            <w:pPr>
              <w:spacing w:after="0"/>
              <w:jc w:val="left"/>
              <w:rPr>
                <w:rFonts w:cs="Calibri"/>
                <w:i/>
                <w:sz w:val="18"/>
                <w:szCs w:val="18"/>
              </w:rPr>
            </w:pPr>
            <w:r w:rsidRPr="00FC1173">
              <w:rPr>
                <w:rFonts w:cs="Calibri"/>
                <w:sz w:val="18"/>
                <w:szCs w:val="18"/>
              </w:rPr>
              <w:t>2</w:t>
            </w:r>
            <w:r>
              <w:rPr>
                <w:rFonts w:cs="Calibri"/>
                <w:sz w:val="18"/>
                <w:szCs w:val="18"/>
              </w:rPr>
              <w:t>3</w:t>
            </w:r>
            <w:r w:rsidR="001A6298">
              <w:rPr>
                <w:rFonts w:cs="Calibri"/>
                <w:sz w:val="18"/>
                <w:szCs w:val="18"/>
              </w:rPr>
              <w:t>2,500</w:t>
            </w:r>
          </w:p>
        </w:tc>
        <w:tc>
          <w:tcPr>
            <w:tcW w:w="1170" w:type="dxa"/>
            <w:shd w:val="clear" w:color="auto" w:fill="E6E6E6"/>
          </w:tcPr>
          <w:p w14:paraId="590DA6E1" w14:textId="269F66B4" w:rsidR="003E3ABA" w:rsidRPr="00FC1173" w:rsidRDefault="00DE15EE" w:rsidP="00FC1173">
            <w:pPr>
              <w:spacing w:after="0"/>
              <w:jc w:val="left"/>
              <w:rPr>
                <w:rFonts w:cs="Calibri"/>
                <w:sz w:val="18"/>
                <w:szCs w:val="18"/>
              </w:rPr>
            </w:pPr>
            <w:r w:rsidRPr="00FC1173">
              <w:rPr>
                <w:rFonts w:cs="Calibri"/>
                <w:sz w:val="18"/>
                <w:szCs w:val="18"/>
              </w:rPr>
              <w:t>140,000</w:t>
            </w:r>
          </w:p>
        </w:tc>
        <w:tc>
          <w:tcPr>
            <w:tcW w:w="1705" w:type="dxa"/>
            <w:shd w:val="clear" w:color="auto" w:fill="E6E6E6"/>
          </w:tcPr>
          <w:p w14:paraId="7BC7E1D2" w14:textId="77777777" w:rsidR="003E3ABA" w:rsidRPr="00FC1173" w:rsidRDefault="003E3ABA" w:rsidP="00FC1173">
            <w:pPr>
              <w:spacing w:after="0"/>
              <w:jc w:val="left"/>
              <w:rPr>
                <w:rFonts w:cs="Calibri"/>
                <w:sz w:val="18"/>
                <w:szCs w:val="18"/>
                <w:highlight w:val="yellow"/>
              </w:rPr>
            </w:pPr>
          </w:p>
        </w:tc>
      </w:tr>
    </w:tbl>
    <w:p w14:paraId="357FC4CC" w14:textId="77777777" w:rsidR="003E3ABA" w:rsidRPr="00DD421D" w:rsidRDefault="003E3ABA" w:rsidP="003B2A79">
      <w:pPr>
        <w:rPr>
          <w:rFonts w:cs="Arial"/>
          <w:b/>
          <w:bCs/>
          <w:szCs w:val="20"/>
        </w:rPr>
      </w:pPr>
    </w:p>
    <w:p w14:paraId="01AD9F94" w14:textId="77777777" w:rsidR="003E3ABA" w:rsidRPr="0003763F" w:rsidRDefault="003E3ABA" w:rsidP="00A04E6F">
      <w:pPr>
        <w:pStyle w:val="Heading1"/>
        <w:spacing w:before="0" w:after="0"/>
        <w:rPr>
          <w:rFonts w:ascii="Calibri" w:hAnsi="Calibri"/>
        </w:rPr>
      </w:pPr>
      <w:bookmarkStart w:id="16" w:name="_Toc443050760"/>
      <w:r w:rsidRPr="0003763F">
        <w:rPr>
          <w:rFonts w:ascii="Calibri" w:hAnsi="Calibri"/>
        </w:rPr>
        <w:t>Governance and Management Arrangements</w:t>
      </w:r>
      <w:bookmarkEnd w:id="16"/>
      <w:r w:rsidRPr="0003763F">
        <w:rPr>
          <w:rFonts w:ascii="Calibri" w:hAnsi="Calibri"/>
        </w:rPr>
        <w:t xml:space="preserve"> </w:t>
      </w:r>
    </w:p>
    <w:p w14:paraId="7841E63E" w14:textId="77777777" w:rsidR="009A0D83" w:rsidRDefault="009A0D83" w:rsidP="00FF0DE3">
      <w:pPr>
        <w:spacing w:after="0"/>
        <w:rPr>
          <w:rFonts w:cs="Arial"/>
          <w:i/>
          <w:noProof/>
          <w:szCs w:val="20"/>
          <w:lang w:eastAsia="zh-CN"/>
        </w:rPr>
      </w:pPr>
    </w:p>
    <w:p w14:paraId="132AD056" w14:textId="41FB5819" w:rsidR="00E938D5" w:rsidRPr="00DE15EE" w:rsidRDefault="003E3ABA" w:rsidP="00FF0DE3">
      <w:pPr>
        <w:spacing w:after="0"/>
        <w:rPr>
          <w:rFonts w:cs="Arial"/>
          <w:sz w:val="20"/>
          <w:szCs w:val="20"/>
        </w:rPr>
      </w:pPr>
      <w:r w:rsidRPr="00DE15EE">
        <w:rPr>
          <w:rFonts w:cs="Arial"/>
          <w:noProof/>
          <w:sz w:val="20"/>
          <w:szCs w:val="20"/>
          <w:u w:val="single"/>
          <w:lang w:eastAsia="zh-CN"/>
        </w:rPr>
        <w:t>Roles and responsibilities of the project’s governance mechanism</w:t>
      </w:r>
      <w:r w:rsidRPr="00DE15EE">
        <w:rPr>
          <w:rFonts w:cs="Arial"/>
          <w:noProof/>
          <w:sz w:val="20"/>
          <w:szCs w:val="20"/>
          <w:lang w:eastAsia="zh-CN"/>
        </w:rPr>
        <w:t>:  The project will be implemented following UNDP’s national implementation modality,</w:t>
      </w:r>
      <w:r w:rsidRPr="00DE15EE">
        <w:rPr>
          <w:rFonts w:cs="Arial"/>
          <w:sz w:val="20"/>
          <w:szCs w:val="20"/>
        </w:rPr>
        <w:t xml:space="preserve"> according to the Standard Basic Assistance Agreement between UNDP and the Government of </w:t>
      </w:r>
      <w:r w:rsidR="00FF0DE3" w:rsidRPr="00DE15EE">
        <w:rPr>
          <w:rFonts w:cs="Arial"/>
          <w:sz w:val="20"/>
          <w:szCs w:val="20"/>
        </w:rPr>
        <w:t>Palau</w:t>
      </w:r>
      <w:r w:rsidRPr="00DE15EE">
        <w:rPr>
          <w:rFonts w:cs="Arial"/>
          <w:sz w:val="20"/>
          <w:szCs w:val="20"/>
        </w:rPr>
        <w:t xml:space="preserve"> and the Country Program</w:t>
      </w:r>
      <w:r w:rsidRPr="00DE15EE">
        <w:rPr>
          <w:rFonts w:cs="Arial"/>
          <w:i/>
          <w:sz w:val="20"/>
          <w:szCs w:val="20"/>
        </w:rPr>
        <w:t>.</w:t>
      </w:r>
      <w:r w:rsidRPr="00DE15EE">
        <w:rPr>
          <w:rFonts w:cs="Arial"/>
          <w:sz w:val="20"/>
          <w:szCs w:val="20"/>
        </w:rPr>
        <w:t xml:space="preserve"> </w:t>
      </w:r>
    </w:p>
    <w:p w14:paraId="6C8737CD" w14:textId="77777777" w:rsidR="00393350" w:rsidRPr="00DE15EE" w:rsidRDefault="00393350" w:rsidP="004F3B77">
      <w:pPr>
        <w:spacing w:after="0"/>
        <w:jc w:val="left"/>
        <w:rPr>
          <w:rFonts w:cs="Arial"/>
          <w:noProof/>
          <w:sz w:val="20"/>
          <w:szCs w:val="20"/>
          <w:lang w:eastAsia="zh-CN"/>
        </w:rPr>
      </w:pPr>
    </w:p>
    <w:p w14:paraId="1A749508" w14:textId="24E533C9" w:rsidR="003E3ABA" w:rsidRPr="00DE15EE" w:rsidRDefault="003E3ABA" w:rsidP="00FF0DE3">
      <w:pPr>
        <w:spacing w:after="0"/>
        <w:rPr>
          <w:rFonts w:cs="Arial"/>
          <w:noProof/>
          <w:sz w:val="20"/>
          <w:szCs w:val="20"/>
          <w:lang w:eastAsia="zh-CN"/>
        </w:rPr>
      </w:pPr>
      <w:r w:rsidRPr="00DE15EE">
        <w:rPr>
          <w:rFonts w:cs="Arial"/>
          <w:noProof/>
          <w:sz w:val="20"/>
          <w:szCs w:val="20"/>
          <w:lang w:eastAsia="zh-CN"/>
        </w:rPr>
        <w:t xml:space="preserve">The </w:t>
      </w:r>
      <w:r w:rsidRPr="00DE15EE">
        <w:rPr>
          <w:rFonts w:cs="Arial"/>
          <w:b/>
          <w:noProof/>
          <w:sz w:val="20"/>
          <w:szCs w:val="20"/>
          <w:lang w:eastAsia="zh-CN"/>
        </w:rPr>
        <w:t>Implementing Partner</w:t>
      </w:r>
      <w:r w:rsidRPr="00DE15EE">
        <w:rPr>
          <w:rFonts w:cs="Arial"/>
          <w:noProof/>
          <w:sz w:val="20"/>
          <w:szCs w:val="20"/>
          <w:lang w:eastAsia="zh-CN"/>
        </w:rPr>
        <w:t xml:space="preserve"> for this project is </w:t>
      </w:r>
      <w:r w:rsidR="00FF0DE3" w:rsidRPr="00DE15EE">
        <w:rPr>
          <w:rFonts w:cs="Arial"/>
          <w:noProof/>
          <w:sz w:val="20"/>
          <w:szCs w:val="20"/>
          <w:lang w:eastAsia="zh-CN"/>
        </w:rPr>
        <w:t>the Ministry of Natural Resources, Environment and Tourism (MNRET)</w:t>
      </w:r>
      <w:r w:rsidR="00194AA1">
        <w:rPr>
          <w:rFonts w:cs="Arial"/>
          <w:i/>
          <w:noProof/>
          <w:sz w:val="20"/>
          <w:szCs w:val="20"/>
          <w:lang w:eastAsia="zh-CN"/>
        </w:rPr>
        <w:t xml:space="preserve">. </w:t>
      </w:r>
      <w:r w:rsidR="008A53A7">
        <w:rPr>
          <w:rFonts w:cs="Arial"/>
          <w:noProof/>
          <w:sz w:val="20"/>
          <w:szCs w:val="20"/>
          <w:lang w:eastAsia="zh-CN"/>
        </w:rPr>
        <w:t>Once established (with steps already underway and completed by the Inception Workshop), the specific entity responsible for coordination and oversight of the project will be the Environmental Planning Unit (EPU). The EPU is a high level priority for MNRET to enable strategic, cross-sector planning and coordination and is a key link for mainstreaming across sectors. The EPU and an EPU Coordinator will supervise oversee Project Managers for the GEF5, GEF6, and GEF Ridge to Reef Projects, among others. By the end of the Project, the EPU will be institutionalized formally in the National Government Structure as the Bureau of Environment</w:t>
      </w:r>
      <w:r w:rsidR="008A53A7">
        <w:rPr>
          <w:rFonts w:cs="Arial"/>
          <w:i/>
          <w:noProof/>
          <w:sz w:val="20"/>
          <w:szCs w:val="20"/>
          <w:lang w:eastAsia="zh-CN"/>
        </w:rPr>
        <w:t>.</w:t>
      </w:r>
      <w:r w:rsidRPr="00DE15EE">
        <w:rPr>
          <w:rFonts w:cs="Arial"/>
          <w:noProof/>
          <w:sz w:val="20"/>
          <w:szCs w:val="20"/>
          <w:lang w:eastAsia="zh-CN"/>
        </w:rPr>
        <w:t xml:space="preserve">The Implementing Partner is responsible and accountable for managing this project, </w:t>
      </w:r>
      <w:r w:rsidR="008A53A7">
        <w:rPr>
          <w:rFonts w:cs="Arial"/>
          <w:noProof/>
          <w:sz w:val="20"/>
          <w:szCs w:val="20"/>
          <w:lang w:eastAsia="zh-CN"/>
        </w:rPr>
        <w:t xml:space="preserve">supervising project staff, </w:t>
      </w:r>
      <w:r w:rsidRPr="00DE15EE">
        <w:rPr>
          <w:rFonts w:cs="Arial"/>
          <w:noProof/>
          <w:sz w:val="20"/>
          <w:szCs w:val="20"/>
          <w:lang w:eastAsia="zh-CN"/>
        </w:rPr>
        <w:t>monitoring and evaluati</w:t>
      </w:r>
      <w:r w:rsidR="008A53A7">
        <w:rPr>
          <w:rFonts w:cs="Arial"/>
          <w:noProof/>
          <w:sz w:val="20"/>
          <w:szCs w:val="20"/>
          <w:lang w:eastAsia="zh-CN"/>
        </w:rPr>
        <w:t xml:space="preserve">ng </w:t>
      </w:r>
      <w:r w:rsidRPr="00DE15EE">
        <w:rPr>
          <w:rFonts w:cs="Arial"/>
          <w:noProof/>
          <w:sz w:val="20"/>
          <w:szCs w:val="20"/>
          <w:lang w:eastAsia="zh-CN"/>
        </w:rPr>
        <w:t xml:space="preserve">project interventions, achieving project outcomes, and for the effective use of UNDP resources. </w:t>
      </w:r>
    </w:p>
    <w:p w14:paraId="306A6E8B" w14:textId="77777777" w:rsidR="008A53A7" w:rsidRDefault="008A53A7" w:rsidP="007C6821">
      <w:pPr>
        <w:spacing w:after="0"/>
        <w:jc w:val="left"/>
        <w:rPr>
          <w:rFonts w:cs="Arial"/>
          <w:noProof/>
          <w:sz w:val="20"/>
          <w:szCs w:val="20"/>
          <w:lang w:eastAsia="zh-CN"/>
        </w:rPr>
      </w:pPr>
    </w:p>
    <w:p w14:paraId="34BBAAC8" w14:textId="0A511EC5" w:rsidR="00A04E6F" w:rsidRPr="00D2065D" w:rsidRDefault="003E3ABA" w:rsidP="007C6821">
      <w:pPr>
        <w:spacing w:after="0"/>
        <w:jc w:val="left"/>
        <w:rPr>
          <w:rFonts w:cs="Arial"/>
          <w:noProof/>
          <w:sz w:val="20"/>
          <w:szCs w:val="20"/>
          <w:lang w:eastAsia="zh-CN"/>
        </w:rPr>
      </w:pPr>
      <w:r w:rsidRPr="00DE15EE">
        <w:rPr>
          <w:rFonts w:cs="Arial"/>
          <w:noProof/>
          <w:sz w:val="20"/>
          <w:szCs w:val="20"/>
          <w:lang w:eastAsia="zh-CN"/>
        </w:rPr>
        <w:t>The project organisation structure is as follows:</w:t>
      </w:r>
    </w:p>
    <w:p w14:paraId="1E938882" w14:textId="5CCF24A3" w:rsidR="00A04E6F" w:rsidRDefault="008A53A7" w:rsidP="00A04E6F">
      <w:pPr>
        <w:shd w:val="clear" w:color="auto" w:fill="FFFFFF"/>
        <w:spacing w:after="0"/>
        <w:jc w:val="left"/>
        <w:rPr>
          <w:rFonts w:cs="Arial"/>
          <w:noProof/>
          <w:szCs w:val="20"/>
          <w:lang w:eastAsia="zh-CN"/>
        </w:rPr>
      </w:pPr>
      <w:r>
        <w:rPr>
          <w:rFonts w:cs="Arial"/>
          <w:noProof/>
          <w:szCs w:val="20"/>
        </w:rPr>
        <w:lastRenderedPageBreak/>
        <w:drawing>
          <wp:inline distT="0" distB="0" distL="0" distR="0" wp14:anchorId="11BD6D6A" wp14:editId="4E8FB814">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Organogram August 14.jpg"/>
                    <pic:cNvPicPr/>
                  </pic:nvPicPr>
                  <pic:blipFill>
                    <a:blip r:embed="rId29">
                      <a:extLst>
                        <a:ext uri="{28A0092B-C50C-407E-A947-70E740481C1C}">
                          <a14:useLocalDpi xmlns:a14="http://schemas.microsoft.com/office/drawing/2010/main"/>
                        </a:ext>
                      </a:extLst>
                    </a:blip>
                    <a:stretch>
                      <a:fillRect/>
                    </a:stretch>
                  </pic:blipFill>
                  <pic:spPr>
                    <a:xfrm>
                      <a:off x="0" y="0"/>
                      <a:ext cx="5943600" cy="7924800"/>
                    </a:xfrm>
                    <a:prstGeom prst="rect">
                      <a:avLst/>
                    </a:prstGeom>
                  </pic:spPr>
                </pic:pic>
              </a:graphicData>
            </a:graphic>
          </wp:inline>
        </w:drawing>
      </w:r>
    </w:p>
    <w:p w14:paraId="1CE8B281" w14:textId="0FED5A7A" w:rsidR="00A04E6F" w:rsidRDefault="00A04E6F" w:rsidP="00A04E6F">
      <w:pPr>
        <w:shd w:val="clear" w:color="auto" w:fill="FFFFFF"/>
        <w:spacing w:after="0"/>
        <w:jc w:val="left"/>
        <w:rPr>
          <w:rFonts w:cs="Arial"/>
          <w:noProof/>
          <w:szCs w:val="20"/>
          <w:lang w:eastAsia="zh-CN"/>
        </w:rPr>
      </w:pPr>
    </w:p>
    <w:p w14:paraId="3D8EDEB5" w14:textId="32636415" w:rsidR="00E571C9" w:rsidRPr="005722A6" w:rsidRDefault="00FF0DE3" w:rsidP="008A53A7">
      <w:pPr>
        <w:spacing w:after="0"/>
        <w:rPr>
          <w:rFonts w:asciiTheme="majorHAnsi" w:hAnsiTheme="majorHAnsi" w:cs="Arial"/>
          <w:noProof/>
          <w:sz w:val="20"/>
          <w:szCs w:val="20"/>
          <w:lang w:eastAsia="zh-CN"/>
        </w:rPr>
      </w:pPr>
      <w:r w:rsidRPr="001F410E">
        <w:rPr>
          <w:rFonts w:cs="Arial"/>
          <w:noProof/>
          <w:sz w:val="16"/>
          <w:szCs w:val="16"/>
          <w:lang w:eastAsia="zh-CN"/>
        </w:rPr>
        <w:br w:type="page"/>
      </w:r>
      <w:r w:rsidR="00E571C9" w:rsidRPr="005722A6">
        <w:rPr>
          <w:rFonts w:asciiTheme="majorHAnsi" w:hAnsiTheme="majorHAnsi" w:cs="Arial"/>
          <w:noProof/>
          <w:sz w:val="20"/>
          <w:szCs w:val="20"/>
          <w:lang w:eastAsia="zh-CN"/>
        </w:rPr>
        <w:lastRenderedPageBreak/>
        <w:t xml:space="preserve">The </w:t>
      </w:r>
      <w:r w:rsidR="00E571C9" w:rsidRPr="005722A6">
        <w:rPr>
          <w:rFonts w:asciiTheme="majorHAnsi" w:hAnsiTheme="majorHAnsi" w:cs="Arial"/>
          <w:b/>
          <w:noProof/>
          <w:sz w:val="20"/>
          <w:szCs w:val="20"/>
          <w:lang w:eastAsia="zh-CN"/>
        </w:rPr>
        <w:t xml:space="preserve">Project Board </w:t>
      </w:r>
      <w:r w:rsidR="00E571C9" w:rsidRPr="005722A6">
        <w:rPr>
          <w:rFonts w:asciiTheme="majorHAnsi" w:hAnsiTheme="majorHAnsi" w:cs="Arial"/>
          <w:noProof/>
          <w:sz w:val="20"/>
          <w:szCs w:val="20"/>
          <w:lang w:eastAsia="zh-CN"/>
        </w:rPr>
        <w:t>is responsible for making by consensus, management decisions when guidance is required by the Project Manager, including recommendations for UNDP/Implementing Partner approval of project plans and revisions. In order to ensure UNDP’s ultimate accountability, Project Board decisions should be made in accordance with standards that shall ensure management for development results, best value money, fairness, integrity, transparency and effective international competition. In case a consensus cannot be reached within the Board, final decision shall rest with the UNDP Program Manager. The terms of reference for the Project Board are contained in Annex</w:t>
      </w:r>
      <w:r w:rsidR="00E571C9" w:rsidRPr="005722A6">
        <w:rPr>
          <w:rFonts w:asciiTheme="majorHAnsi" w:hAnsiTheme="majorHAnsi" w:cs="Arial"/>
          <w:i/>
          <w:noProof/>
          <w:sz w:val="20"/>
          <w:szCs w:val="20"/>
          <w:lang w:eastAsia="zh-CN"/>
        </w:rPr>
        <w:t xml:space="preserve">. </w:t>
      </w:r>
      <w:r w:rsidR="00E571C9" w:rsidRPr="005722A6">
        <w:rPr>
          <w:rFonts w:asciiTheme="majorHAnsi" w:hAnsiTheme="majorHAnsi" w:cs="Arial"/>
          <w:noProof/>
          <w:sz w:val="20"/>
          <w:szCs w:val="20"/>
          <w:lang w:eastAsia="zh-CN"/>
        </w:rPr>
        <w:t xml:space="preserve">The Project Board is comprised of the following individuals: </w:t>
      </w:r>
    </w:p>
    <w:p w14:paraId="0FB57742" w14:textId="77777777" w:rsidR="00E571C9" w:rsidRPr="005722A6" w:rsidRDefault="00E571C9" w:rsidP="00E571C9">
      <w:pPr>
        <w:shd w:val="clear" w:color="auto" w:fill="FFFFFF"/>
        <w:spacing w:after="0"/>
        <w:rPr>
          <w:rFonts w:asciiTheme="majorHAnsi" w:hAnsiTheme="majorHAnsi" w:cs="Arial"/>
          <w:noProof/>
          <w:sz w:val="20"/>
          <w:szCs w:val="20"/>
          <w:lang w:eastAsia="zh-CN"/>
        </w:rPr>
      </w:pPr>
    </w:p>
    <w:p w14:paraId="4AF3A95D" w14:textId="77777777" w:rsidR="00A83B90" w:rsidRDefault="00E571C9" w:rsidP="00EA4043">
      <w:pPr>
        <w:pStyle w:val="ListParagraph"/>
        <w:numPr>
          <w:ilvl w:val="0"/>
          <w:numId w:val="100"/>
        </w:numPr>
        <w:shd w:val="clear" w:color="auto" w:fill="FFFFFF"/>
        <w:jc w:val="both"/>
        <w:rPr>
          <w:rFonts w:asciiTheme="majorHAnsi" w:hAnsiTheme="majorHAnsi" w:cs="Arial"/>
          <w:i/>
          <w:noProof/>
          <w:sz w:val="20"/>
          <w:szCs w:val="20"/>
          <w:lang w:eastAsia="zh-CN"/>
        </w:rPr>
      </w:pPr>
      <w:r w:rsidRPr="00627E17">
        <w:rPr>
          <w:rFonts w:asciiTheme="majorHAnsi" w:hAnsiTheme="majorHAnsi" w:cs="Arial"/>
          <w:i/>
          <w:noProof/>
          <w:sz w:val="20"/>
          <w:szCs w:val="20"/>
          <w:lang w:eastAsia="zh-CN"/>
        </w:rPr>
        <w:t xml:space="preserve">The </w:t>
      </w:r>
      <w:r w:rsidR="00A83B90">
        <w:rPr>
          <w:rFonts w:asciiTheme="majorHAnsi" w:hAnsiTheme="majorHAnsi" w:cs="Arial"/>
          <w:i/>
          <w:noProof/>
          <w:sz w:val="20"/>
          <w:szCs w:val="20"/>
          <w:lang w:eastAsia="zh-CN"/>
        </w:rPr>
        <w:t>NEPC (Chair or Secretary as decided by the NPEC)</w:t>
      </w:r>
    </w:p>
    <w:p w14:paraId="42AB2654" w14:textId="77777777" w:rsidR="00A83B90" w:rsidRDefault="00A83B90" w:rsidP="00EA4043">
      <w:pPr>
        <w:pStyle w:val="ListParagraph"/>
        <w:numPr>
          <w:ilvl w:val="0"/>
          <w:numId w:val="100"/>
        </w:numPr>
        <w:shd w:val="clear" w:color="auto" w:fill="FFFFFF"/>
        <w:jc w:val="both"/>
        <w:rPr>
          <w:rFonts w:asciiTheme="majorHAnsi" w:hAnsiTheme="majorHAnsi" w:cs="Arial"/>
          <w:i/>
          <w:noProof/>
          <w:sz w:val="20"/>
          <w:szCs w:val="20"/>
          <w:lang w:eastAsia="zh-CN"/>
        </w:rPr>
      </w:pPr>
      <w:r>
        <w:rPr>
          <w:rFonts w:asciiTheme="majorHAnsi" w:hAnsiTheme="majorHAnsi" w:cs="Arial"/>
          <w:i/>
          <w:noProof/>
          <w:sz w:val="20"/>
          <w:szCs w:val="20"/>
          <w:lang w:eastAsia="zh-CN"/>
        </w:rPr>
        <w:t>A representative of State Governments (as elected by Governor’s Association)</w:t>
      </w:r>
    </w:p>
    <w:p w14:paraId="508884FF" w14:textId="5652D773" w:rsidR="002F624E" w:rsidRPr="005722A6" w:rsidRDefault="00A83B90" w:rsidP="00A83B90">
      <w:pPr>
        <w:pStyle w:val="ListParagraph"/>
        <w:numPr>
          <w:ilvl w:val="0"/>
          <w:numId w:val="100"/>
        </w:numPr>
        <w:shd w:val="clear" w:color="auto" w:fill="FFFFFF"/>
        <w:jc w:val="both"/>
        <w:rPr>
          <w:rFonts w:asciiTheme="majorHAnsi" w:hAnsiTheme="majorHAnsi" w:cs="Arial"/>
          <w:i/>
          <w:noProof/>
          <w:sz w:val="20"/>
          <w:szCs w:val="20"/>
          <w:lang w:eastAsia="zh-CN"/>
        </w:rPr>
      </w:pPr>
      <w:r>
        <w:rPr>
          <w:rFonts w:asciiTheme="majorHAnsi" w:hAnsiTheme="majorHAnsi" w:cs="Arial"/>
          <w:i/>
          <w:noProof/>
          <w:sz w:val="20"/>
          <w:szCs w:val="20"/>
          <w:lang w:eastAsia="zh-CN"/>
        </w:rPr>
        <w:t xml:space="preserve">MNRET’s </w:t>
      </w:r>
      <w:r w:rsidR="00E571C9" w:rsidRPr="00627E17">
        <w:rPr>
          <w:rFonts w:asciiTheme="majorHAnsi" w:hAnsiTheme="majorHAnsi" w:cs="Arial"/>
          <w:i/>
          <w:noProof/>
          <w:sz w:val="20"/>
          <w:szCs w:val="20"/>
          <w:lang w:eastAsia="zh-CN"/>
        </w:rPr>
        <w:t xml:space="preserve">Minister </w:t>
      </w:r>
      <w:r>
        <w:rPr>
          <w:rFonts w:asciiTheme="majorHAnsi" w:hAnsiTheme="majorHAnsi" w:cs="Arial"/>
          <w:i/>
          <w:noProof/>
          <w:sz w:val="20"/>
          <w:szCs w:val="20"/>
          <w:lang w:eastAsia="zh-CN"/>
        </w:rPr>
        <w:t xml:space="preserve">until the EPU Coordinator is hired; and eventually by the Director of the Bureau </w:t>
      </w:r>
      <w:r w:rsidR="00E571C9" w:rsidRPr="00627E17">
        <w:rPr>
          <w:rFonts w:asciiTheme="majorHAnsi" w:hAnsiTheme="majorHAnsi" w:cs="Arial"/>
          <w:i/>
          <w:noProof/>
          <w:sz w:val="20"/>
          <w:szCs w:val="20"/>
          <w:lang w:eastAsia="zh-CN"/>
        </w:rPr>
        <w:t xml:space="preserve">of </w:t>
      </w:r>
      <w:r>
        <w:rPr>
          <w:rFonts w:asciiTheme="majorHAnsi" w:hAnsiTheme="majorHAnsi" w:cs="Arial"/>
          <w:i/>
          <w:noProof/>
          <w:sz w:val="20"/>
          <w:szCs w:val="20"/>
          <w:lang w:eastAsia="zh-CN"/>
        </w:rPr>
        <w:t xml:space="preserve">Environment </w:t>
      </w:r>
    </w:p>
    <w:p w14:paraId="49496F6E" w14:textId="64E7343E" w:rsidR="00E571C9" w:rsidRPr="005722A6" w:rsidRDefault="00E571C9" w:rsidP="00EA4043">
      <w:pPr>
        <w:pStyle w:val="ListParagraph"/>
        <w:numPr>
          <w:ilvl w:val="0"/>
          <w:numId w:val="100"/>
        </w:numPr>
        <w:shd w:val="clear" w:color="auto" w:fill="FFFFFF"/>
        <w:jc w:val="both"/>
        <w:rPr>
          <w:rFonts w:asciiTheme="majorHAnsi" w:hAnsiTheme="majorHAnsi" w:cs="Arial"/>
          <w:i/>
          <w:noProof/>
          <w:sz w:val="20"/>
          <w:szCs w:val="20"/>
          <w:lang w:eastAsia="zh-CN"/>
        </w:rPr>
      </w:pPr>
      <w:r w:rsidRPr="005722A6">
        <w:rPr>
          <w:rFonts w:asciiTheme="majorHAnsi" w:hAnsiTheme="majorHAnsi" w:cs="Arial"/>
          <w:i/>
          <w:noProof/>
          <w:sz w:val="20"/>
          <w:szCs w:val="20"/>
          <w:lang w:eastAsia="zh-CN"/>
        </w:rPr>
        <w:t>The UNDP Country Program Officer</w:t>
      </w:r>
    </w:p>
    <w:p w14:paraId="63544366" w14:textId="77777777" w:rsidR="00E571C9" w:rsidRPr="005722A6" w:rsidRDefault="00E571C9" w:rsidP="00E571C9">
      <w:pPr>
        <w:shd w:val="clear" w:color="auto" w:fill="FFFFFF"/>
        <w:spacing w:after="0"/>
        <w:rPr>
          <w:rFonts w:asciiTheme="majorHAnsi" w:hAnsiTheme="majorHAnsi" w:cs="Arial"/>
          <w:noProof/>
          <w:sz w:val="20"/>
          <w:szCs w:val="20"/>
          <w:lang w:eastAsia="zh-CN"/>
        </w:rPr>
      </w:pPr>
    </w:p>
    <w:p w14:paraId="32AA965E" w14:textId="7F7E1FCE" w:rsidR="00E571C9" w:rsidRPr="005722A6" w:rsidRDefault="00E571C9" w:rsidP="00E571C9">
      <w:pPr>
        <w:rPr>
          <w:rFonts w:asciiTheme="majorHAnsi" w:hAnsiTheme="majorHAnsi" w:cs="Cambria"/>
          <w:color w:val="000000"/>
          <w:sz w:val="20"/>
          <w:szCs w:val="20"/>
        </w:rPr>
      </w:pPr>
      <w:r w:rsidRPr="005722A6">
        <w:rPr>
          <w:rFonts w:asciiTheme="majorHAnsi" w:hAnsiTheme="majorHAnsi" w:cs="Arial"/>
          <w:noProof/>
          <w:sz w:val="20"/>
          <w:szCs w:val="20"/>
          <w:lang w:eastAsia="zh-CN"/>
        </w:rPr>
        <w:t xml:space="preserve">The Board shall meet quarterly (or more often) during the first </w:t>
      </w:r>
      <w:r w:rsidR="008A3AF5">
        <w:rPr>
          <w:rFonts w:asciiTheme="majorHAnsi" w:hAnsiTheme="majorHAnsi" w:cs="Arial"/>
          <w:noProof/>
          <w:sz w:val="20"/>
          <w:szCs w:val="20"/>
          <w:lang w:eastAsia="zh-CN"/>
        </w:rPr>
        <w:t>12</w:t>
      </w:r>
      <w:r w:rsidR="008A3AF5" w:rsidRPr="005722A6">
        <w:rPr>
          <w:rFonts w:asciiTheme="majorHAnsi" w:hAnsiTheme="majorHAnsi" w:cs="Arial"/>
          <w:noProof/>
          <w:sz w:val="20"/>
          <w:szCs w:val="20"/>
          <w:lang w:eastAsia="zh-CN"/>
        </w:rPr>
        <w:t xml:space="preserve"> </w:t>
      </w:r>
      <w:r w:rsidRPr="005722A6">
        <w:rPr>
          <w:rFonts w:asciiTheme="majorHAnsi" w:hAnsiTheme="majorHAnsi" w:cs="Arial"/>
          <w:noProof/>
          <w:sz w:val="20"/>
          <w:szCs w:val="20"/>
          <w:lang w:eastAsia="zh-CN"/>
        </w:rPr>
        <w:t xml:space="preserve">months of the project, after which it may switch to 3-or 4-month meetings. At a minimum the Board shall meet at least 2 times per year. The Project Manager shall serve as an assistant to the Project Board, working in close cooperation with the EPU Coordinator to </w:t>
      </w:r>
      <w:r w:rsidRPr="005722A6">
        <w:rPr>
          <w:rFonts w:asciiTheme="majorHAnsi" w:hAnsiTheme="majorHAnsi" w:cs="Cambria"/>
          <w:color w:val="000000"/>
          <w:sz w:val="20"/>
          <w:szCs w:val="20"/>
        </w:rPr>
        <w:t>call meetings, prepare agenda, document and distribute minutes and ensure that decisions of the Board are implemented in letter and spirit. The Project Manager shall attend meetings and provide input, although will not be a voting member. Changes to the project’s outcomes, outputs, and budget shall be the responsibility of the Board and shall not be made by any one member of the Board. Specific responsibilities of the Project Board would include the following:</w:t>
      </w:r>
    </w:p>
    <w:p w14:paraId="555766B8" w14:textId="77777777" w:rsidR="00E571C9" w:rsidRPr="005722A6" w:rsidRDefault="00E571C9" w:rsidP="00EA4043">
      <w:pPr>
        <w:numPr>
          <w:ilvl w:val="0"/>
          <w:numId w:val="101"/>
        </w:numPr>
        <w:spacing w:after="0"/>
        <w:contextualSpacing/>
        <w:rPr>
          <w:rFonts w:asciiTheme="majorHAnsi" w:hAnsiTheme="majorHAnsi" w:cs="Cambria"/>
          <w:color w:val="000000"/>
          <w:sz w:val="20"/>
          <w:szCs w:val="20"/>
        </w:rPr>
      </w:pPr>
      <w:r w:rsidRPr="005722A6">
        <w:rPr>
          <w:rFonts w:asciiTheme="majorHAnsi" w:hAnsiTheme="majorHAnsi" w:cs="Cambria"/>
          <w:color w:val="000000"/>
          <w:sz w:val="20"/>
          <w:szCs w:val="20"/>
        </w:rPr>
        <w:t>Provide stakeholder input and link directly to their representative bodies (NEPC, States, nonprofit and private sector) to ensure that project partners are fully mainstreaming the project and its national-level goals.</w:t>
      </w:r>
    </w:p>
    <w:p w14:paraId="150C8121" w14:textId="77777777" w:rsidR="00E571C9" w:rsidRPr="005722A6" w:rsidRDefault="00E571C9" w:rsidP="00EA4043">
      <w:pPr>
        <w:numPr>
          <w:ilvl w:val="0"/>
          <w:numId w:val="101"/>
        </w:numPr>
        <w:spacing w:after="0"/>
        <w:rPr>
          <w:rFonts w:asciiTheme="majorHAnsi" w:hAnsiTheme="majorHAnsi" w:cs="Cambria"/>
          <w:color w:val="000000"/>
          <w:sz w:val="20"/>
          <w:szCs w:val="20"/>
        </w:rPr>
      </w:pPr>
      <w:r w:rsidRPr="005722A6">
        <w:rPr>
          <w:rFonts w:asciiTheme="majorHAnsi" w:hAnsiTheme="majorHAnsi" w:cs="Cambria"/>
          <w:color w:val="000000"/>
          <w:sz w:val="20"/>
          <w:szCs w:val="20"/>
        </w:rPr>
        <w:t>Provide strategic direction and guidance for implementation of the project;</w:t>
      </w:r>
    </w:p>
    <w:p w14:paraId="1BC29220" w14:textId="77777777" w:rsidR="00E571C9" w:rsidRPr="005722A6" w:rsidRDefault="00E571C9" w:rsidP="00EA4043">
      <w:pPr>
        <w:numPr>
          <w:ilvl w:val="1"/>
          <w:numId w:val="101"/>
        </w:numPr>
        <w:spacing w:after="0"/>
        <w:rPr>
          <w:rFonts w:asciiTheme="majorHAnsi" w:hAnsiTheme="majorHAnsi" w:cs="Cambria"/>
          <w:color w:val="000000"/>
          <w:sz w:val="20"/>
          <w:szCs w:val="20"/>
        </w:rPr>
      </w:pPr>
      <w:r w:rsidRPr="005722A6">
        <w:rPr>
          <w:rFonts w:asciiTheme="majorHAnsi" w:hAnsiTheme="majorHAnsi" w:cs="Cambria"/>
          <w:color w:val="000000"/>
          <w:sz w:val="20"/>
          <w:szCs w:val="20"/>
        </w:rPr>
        <w:t>This will include making decisions about direct financing of State’s Best Practice implementation under Outcomes 2 and 3.</w:t>
      </w:r>
    </w:p>
    <w:p w14:paraId="126CA5E0" w14:textId="77777777" w:rsidR="00E571C9" w:rsidRPr="005722A6" w:rsidRDefault="00E571C9" w:rsidP="00EA4043">
      <w:pPr>
        <w:numPr>
          <w:ilvl w:val="0"/>
          <w:numId w:val="101"/>
        </w:numPr>
        <w:spacing w:after="0"/>
        <w:rPr>
          <w:rFonts w:asciiTheme="majorHAnsi" w:hAnsiTheme="majorHAnsi" w:cs="Cambria"/>
          <w:color w:val="000000"/>
          <w:sz w:val="20"/>
          <w:szCs w:val="20"/>
        </w:rPr>
      </w:pPr>
      <w:r w:rsidRPr="005722A6">
        <w:rPr>
          <w:rFonts w:asciiTheme="majorHAnsi" w:hAnsiTheme="majorHAnsi" w:cs="Cambria"/>
          <w:color w:val="000000"/>
          <w:sz w:val="20"/>
          <w:szCs w:val="20"/>
        </w:rPr>
        <w:t>Review project’s progress, review and evaluation reports and make and ensure for follow-up actions for timely and quality implementation;</w:t>
      </w:r>
    </w:p>
    <w:p w14:paraId="6D244A74" w14:textId="77777777" w:rsidR="00E571C9" w:rsidRPr="005722A6" w:rsidRDefault="00E571C9" w:rsidP="00EA4043">
      <w:pPr>
        <w:numPr>
          <w:ilvl w:val="0"/>
          <w:numId w:val="101"/>
        </w:numPr>
        <w:spacing w:after="0"/>
        <w:rPr>
          <w:rFonts w:asciiTheme="majorHAnsi" w:hAnsiTheme="majorHAnsi" w:cs="Cambria"/>
          <w:color w:val="000000"/>
          <w:sz w:val="20"/>
          <w:szCs w:val="20"/>
        </w:rPr>
      </w:pPr>
      <w:r w:rsidRPr="005722A6">
        <w:rPr>
          <w:rFonts w:asciiTheme="majorHAnsi" w:hAnsiTheme="majorHAnsi" w:cs="Cambria"/>
          <w:color w:val="000000"/>
          <w:sz w:val="20"/>
          <w:szCs w:val="20"/>
        </w:rPr>
        <w:t xml:space="preserve">Approve annual work-plans and budgets and any essential deviations (above 50% of budget reduction from one of the four components) from the original plans and budgets; </w:t>
      </w:r>
    </w:p>
    <w:p w14:paraId="24493A4E" w14:textId="77777777" w:rsidR="00E571C9" w:rsidRPr="005722A6" w:rsidRDefault="00E571C9" w:rsidP="00EA4043">
      <w:pPr>
        <w:numPr>
          <w:ilvl w:val="0"/>
          <w:numId w:val="101"/>
        </w:numPr>
        <w:spacing w:after="0"/>
        <w:rPr>
          <w:rFonts w:asciiTheme="majorHAnsi" w:hAnsiTheme="majorHAnsi" w:cs="Cambria"/>
          <w:color w:val="000000"/>
          <w:sz w:val="20"/>
          <w:szCs w:val="20"/>
        </w:rPr>
      </w:pPr>
      <w:r w:rsidRPr="005722A6">
        <w:rPr>
          <w:rFonts w:asciiTheme="majorHAnsi" w:hAnsiTheme="majorHAnsi" w:cs="Cambria"/>
          <w:color w:val="000000"/>
          <w:sz w:val="20"/>
          <w:szCs w:val="20"/>
        </w:rPr>
        <w:t xml:space="preserve">Provide coordination guidance for implementing agencies and key stakeholders; </w:t>
      </w:r>
    </w:p>
    <w:p w14:paraId="284E870C" w14:textId="77777777" w:rsidR="00E571C9" w:rsidRPr="005722A6" w:rsidRDefault="00E571C9" w:rsidP="00EA4043">
      <w:pPr>
        <w:numPr>
          <w:ilvl w:val="0"/>
          <w:numId w:val="101"/>
        </w:numPr>
        <w:spacing w:after="0"/>
        <w:rPr>
          <w:rFonts w:asciiTheme="majorHAnsi" w:hAnsiTheme="majorHAnsi" w:cs="Cambria"/>
          <w:color w:val="000000"/>
          <w:sz w:val="20"/>
          <w:szCs w:val="20"/>
        </w:rPr>
      </w:pPr>
      <w:r w:rsidRPr="005722A6">
        <w:rPr>
          <w:rFonts w:asciiTheme="majorHAnsi" w:hAnsiTheme="majorHAnsi" w:cs="Cambria"/>
          <w:color w:val="000000"/>
          <w:sz w:val="20"/>
          <w:szCs w:val="20"/>
        </w:rPr>
        <w:t xml:space="preserve">Following the </w:t>
      </w:r>
      <w:r w:rsidRPr="005722A6">
        <w:rPr>
          <w:rFonts w:asciiTheme="majorHAnsi" w:hAnsiTheme="majorHAnsi" w:cs="Calibri"/>
          <w:sz w:val="20"/>
          <w:szCs w:val="20"/>
        </w:rPr>
        <w:t xml:space="preserve">grievance redress mechanism </w:t>
      </w:r>
      <w:r w:rsidRPr="005722A6">
        <w:rPr>
          <w:rFonts w:asciiTheme="majorHAnsi" w:hAnsiTheme="majorHAnsi" w:cs="Cambria"/>
          <w:color w:val="000000"/>
          <w:sz w:val="20"/>
          <w:szCs w:val="20"/>
        </w:rPr>
        <w:t xml:space="preserve">provide a conflict resolution forum for implementing agencies and key stakeholders; </w:t>
      </w:r>
    </w:p>
    <w:p w14:paraId="679FA07D" w14:textId="77777777" w:rsidR="00E571C9" w:rsidRPr="005722A6" w:rsidRDefault="00E571C9" w:rsidP="00EA4043">
      <w:pPr>
        <w:numPr>
          <w:ilvl w:val="0"/>
          <w:numId w:val="101"/>
        </w:numPr>
        <w:spacing w:after="0"/>
        <w:rPr>
          <w:rFonts w:asciiTheme="majorHAnsi" w:hAnsiTheme="majorHAnsi" w:cs="Cambria"/>
          <w:color w:val="000000"/>
          <w:sz w:val="20"/>
          <w:szCs w:val="20"/>
        </w:rPr>
      </w:pPr>
      <w:r w:rsidRPr="005722A6">
        <w:rPr>
          <w:rFonts w:asciiTheme="majorHAnsi" w:hAnsiTheme="majorHAnsi" w:cs="Cambria"/>
          <w:color w:val="000000"/>
          <w:sz w:val="20"/>
          <w:szCs w:val="20"/>
        </w:rPr>
        <w:t>Oversee and support the commitment and funding and other support for the project;</w:t>
      </w:r>
    </w:p>
    <w:p w14:paraId="71DCC009" w14:textId="77777777" w:rsidR="00E571C9" w:rsidRPr="005722A6" w:rsidRDefault="00E571C9" w:rsidP="00EA4043">
      <w:pPr>
        <w:numPr>
          <w:ilvl w:val="0"/>
          <w:numId w:val="101"/>
        </w:numPr>
        <w:spacing w:after="0"/>
        <w:rPr>
          <w:rFonts w:asciiTheme="majorHAnsi" w:hAnsiTheme="majorHAnsi" w:cs="Cambria"/>
          <w:color w:val="000000"/>
          <w:sz w:val="20"/>
          <w:szCs w:val="20"/>
        </w:rPr>
      </w:pPr>
      <w:r w:rsidRPr="005722A6">
        <w:rPr>
          <w:rFonts w:asciiTheme="majorHAnsi" w:hAnsiTheme="majorHAnsi" w:cs="Cambria"/>
          <w:color w:val="000000"/>
          <w:sz w:val="20"/>
          <w:szCs w:val="20"/>
        </w:rPr>
        <w:t>Oversee prudent and efficient use of project budgets and other resources;</w:t>
      </w:r>
    </w:p>
    <w:p w14:paraId="3CC0174D" w14:textId="77777777" w:rsidR="00E571C9" w:rsidRPr="005722A6" w:rsidRDefault="00E571C9" w:rsidP="00EA4043">
      <w:pPr>
        <w:numPr>
          <w:ilvl w:val="0"/>
          <w:numId w:val="101"/>
        </w:numPr>
        <w:spacing w:after="0"/>
        <w:rPr>
          <w:rFonts w:asciiTheme="majorHAnsi" w:hAnsiTheme="majorHAnsi" w:cs="Cambria"/>
          <w:color w:val="000000"/>
          <w:sz w:val="20"/>
          <w:szCs w:val="20"/>
        </w:rPr>
      </w:pPr>
      <w:r w:rsidRPr="005722A6">
        <w:rPr>
          <w:rFonts w:asciiTheme="majorHAnsi" w:hAnsiTheme="majorHAnsi" w:cs="Cambria"/>
          <w:color w:val="000000"/>
          <w:sz w:val="20"/>
          <w:szCs w:val="20"/>
        </w:rPr>
        <w:t>Decide on conceptual and design changes and other recommendations of external mid-term review; and</w:t>
      </w:r>
    </w:p>
    <w:p w14:paraId="304AAC88" w14:textId="77777777" w:rsidR="00E571C9" w:rsidRPr="005722A6" w:rsidRDefault="00E571C9" w:rsidP="00EA4043">
      <w:pPr>
        <w:numPr>
          <w:ilvl w:val="0"/>
          <w:numId w:val="101"/>
        </w:numPr>
        <w:spacing w:after="0"/>
        <w:contextualSpacing/>
        <w:rPr>
          <w:rFonts w:asciiTheme="majorHAnsi" w:hAnsiTheme="majorHAnsi" w:cs="Cambria"/>
          <w:color w:val="000000"/>
          <w:sz w:val="20"/>
          <w:szCs w:val="20"/>
        </w:rPr>
      </w:pPr>
      <w:r w:rsidRPr="005722A6">
        <w:rPr>
          <w:rFonts w:asciiTheme="majorHAnsi" w:hAnsiTheme="majorHAnsi" w:cs="Cambria"/>
          <w:color w:val="000000"/>
          <w:sz w:val="20"/>
          <w:szCs w:val="20"/>
        </w:rPr>
        <w:t>Provide guidance on post-project sustainability, institutional and financial arrangements, keeping in view the recommendations of external reviews.</w:t>
      </w:r>
    </w:p>
    <w:p w14:paraId="417700DD" w14:textId="77777777" w:rsidR="00E571C9" w:rsidRPr="005722A6" w:rsidRDefault="00E571C9" w:rsidP="00554AC2">
      <w:pPr>
        <w:shd w:val="clear" w:color="auto" w:fill="FFFFFF"/>
        <w:spacing w:after="0"/>
        <w:rPr>
          <w:rFonts w:asciiTheme="majorHAnsi" w:hAnsiTheme="majorHAnsi" w:cs="Arial"/>
          <w:noProof/>
          <w:sz w:val="20"/>
          <w:szCs w:val="20"/>
          <w:lang w:eastAsia="zh-CN"/>
        </w:rPr>
      </w:pPr>
    </w:p>
    <w:p w14:paraId="0D690431" w14:textId="350C7D19" w:rsidR="00E571C9" w:rsidRPr="005722A6" w:rsidRDefault="00E571C9" w:rsidP="00554AC2">
      <w:pPr>
        <w:shd w:val="clear" w:color="auto" w:fill="FFFFFF"/>
        <w:spacing w:after="0"/>
        <w:rPr>
          <w:rFonts w:asciiTheme="majorHAnsi" w:hAnsiTheme="majorHAnsi" w:cs="Arial"/>
          <w:noProof/>
          <w:sz w:val="20"/>
          <w:szCs w:val="20"/>
          <w:lang w:eastAsia="zh-CN"/>
        </w:rPr>
      </w:pPr>
      <w:r w:rsidRPr="005722A6">
        <w:rPr>
          <w:rFonts w:asciiTheme="majorHAnsi" w:hAnsiTheme="majorHAnsi" w:cs="Arial"/>
          <w:noProof/>
          <w:sz w:val="20"/>
          <w:szCs w:val="20"/>
          <w:lang w:eastAsia="zh-CN"/>
        </w:rPr>
        <w:t xml:space="preserve">The </w:t>
      </w:r>
      <w:r w:rsidRPr="005722A6">
        <w:rPr>
          <w:rFonts w:asciiTheme="majorHAnsi" w:hAnsiTheme="majorHAnsi" w:cs="Arial"/>
          <w:b/>
          <w:noProof/>
          <w:sz w:val="20"/>
          <w:szCs w:val="20"/>
          <w:lang w:eastAsia="zh-CN"/>
        </w:rPr>
        <w:t>Environmental Planning Unit Coordinator</w:t>
      </w:r>
      <w:r w:rsidRPr="005722A6">
        <w:rPr>
          <w:rFonts w:asciiTheme="majorHAnsi" w:hAnsiTheme="majorHAnsi" w:cs="Arial"/>
          <w:noProof/>
          <w:sz w:val="20"/>
          <w:szCs w:val="20"/>
          <w:lang w:eastAsia="zh-CN"/>
        </w:rPr>
        <w:t xml:space="preserve"> shall be funded partly by GEF</w:t>
      </w:r>
      <w:r w:rsidR="00A83B90">
        <w:rPr>
          <w:rFonts w:asciiTheme="majorHAnsi" w:hAnsiTheme="majorHAnsi" w:cs="Arial"/>
          <w:noProof/>
          <w:sz w:val="20"/>
          <w:szCs w:val="20"/>
          <w:lang w:eastAsia="zh-CN"/>
        </w:rPr>
        <w:t xml:space="preserve"> </w:t>
      </w:r>
      <w:r w:rsidRPr="005722A6">
        <w:rPr>
          <w:rFonts w:asciiTheme="majorHAnsi" w:hAnsiTheme="majorHAnsi" w:cs="Arial"/>
          <w:noProof/>
          <w:sz w:val="20"/>
          <w:szCs w:val="20"/>
          <w:lang w:eastAsia="zh-CN"/>
        </w:rPr>
        <w:t>6, partly by GEF</w:t>
      </w:r>
      <w:r w:rsidR="00A83B90">
        <w:rPr>
          <w:rFonts w:asciiTheme="majorHAnsi" w:hAnsiTheme="majorHAnsi" w:cs="Arial"/>
          <w:noProof/>
          <w:sz w:val="20"/>
          <w:szCs w:val="20"/>
          <w:lang w:eastAsia="zh-CN"/>
        </w:rPr>
        <w:t xml:space="preserve"> </w:t>
      </w:r>
      <w:r w:rsidRPr="005722A6">
        <w:rPr>
          <w:rFonts w:asciiTheme="majorHAnsi" w:hAnsiTheme="majorHAnsi" w:cs="Arial"/>
          <w:noProof/>
          <w:sz w:val="20"/>
          <w:szCs w:val="20"/>
          <w:lang w:eastAsia="zh-CN"/>
        </w:rPr>
        <w:t xml:space="preserve">5, and from other projects. The Coordinator shall be the first staff of the Environmental Planning Unit (EPU) which shall eventually become the Bureau of Environment. The EPU Coordinator shall be supervised directly by the Minister and sit on the Project Board as a full member. The EPU Coordinator shall also be a member of two Ad Hoc Committees established by the NEPC: </w:t>
      </w:r>
      <w:r w:rsidR="00DB4F75">
        <w:rPr>
          <w:rFonts w:asciiTheme="majorHAnsi" w:hAnsiTheme="majorHAnsi" w:cs="Arial"/>
          <w:noProof/>
          <w:sz w:val="20"/>
          <w:szCs w:val="20"/>
          <w:lang w:eastAsia="zh-CN"/>
        </w:rPr>
        <w:t>(i)</w:t>
      </w:r>
      <w:r w:rsidRPr="005722A6">
        <w:rPr>
          <w:rFonts w:asciiTheme="majorHAnsi" w:hAnsiTheme="majorHAnsi" w:cs="Arial"/>
          <w:noProof/>
          <w:sz w:val="20"/>
          <w:szCs w:val="20"/>
          <w:lang w:eastAsia="zh-CN"/>
        </w:rPr>
        <w:t xml:space="preserve"> the Cross-Sector Projects Subcommittee and the </w:t>
      </w:r>
      <w:r w:rsidR="00DB4F75">
        <w:rPr>
          <w:rFonts w:asciiTheme="majorHAnsi" w:hAnsiTheme="majorHAnsi" w:cs="Arial"/>
          <w:noProof/>
          <w:sz w:val="20"/>
          <w:szCs w:val="20"/>
          <w:lang w:eastAsia="zh-CN"/>
        </w:rPr>
        <w:t xml:space="preserve">(ii) </w:t>
      </w:r>
      <w:r w:rsidRPr="005722A6">
        <w:rPr>
          <w:rFonts w:asciiTheme="majorHAnsi" w:hAnsiTheme="majorHAnsi" w:cs="Arial"/>
          <w:noProof/>
          <w:sz w:val="20"/>
          <w:szCs w:val="20"/>
          <w:lang w:eastAsia="zh-CN"/>
        </w:rPr>
        <w:t>Landscape/Seascape Planning Joint Coordination Body (JCB). The EPU Coordinator may act as an Assistant Secretariat of the JCB (in partnership with the NEPC Secretariat) during the initial years of the project</w:t>
      </w:r>
      <w:r w:rsidR="00194AA1">
        <w:rPr>
          <w:rFonts w:asciiTheme="majorHAnsi" w:hAnsiTheme="majorHAnsi" w:cs="Arial"/>
          <w:noProof/>
          <w:sz w:val="20"/>
          <w:szCs w:val="20"/>
          <w:lang w:eastAsia="zh-CN"/>
        </w:rPr>
        <w:t xml:space="preserve">. </w:t>
      </w:r>
      <w:r w:rsidRPr="005722A6">
        <w:rPr>
          <w:rFonts w:asciiTheme="majorHAnsi" w:hAnsiTheme="majorHAnsi" w:cs="Arial"/>
          <w:noProof/>
          <w:sz w:val="20"/>
          <w:szCs w:val="20"/>
          <w:lang w:eastAsia="zh-CN"/>
        </w:rPr>
        <w:t>As a member of these committees the EPU Coordinator shall ensure that national-level biodiversity and biosecurity policies are streamlined into the activities of MNRET. Within MNRET, the EPU Coordinator shall be responsible for providing high-level coordination and oversight for GEF5, GEF6, and other cross-sector projects housed at MNRET</w:t>
      </w:r>
      <w:r w:rsidR="00194AA1">
        <w:rPr>
          <w:rFonts w:asciiTheme="majorHAnsi" w:hAnsiTheme="majorHAnsi" w:cs="Arial"/>
          <w:noProof/>
          <w:sz w:val="20"/>
          <w:szCs w:val="20"/>
          <w:lang w:eastAsia="zh-CN"/>
        </w:rPr>
        <w:t xml:space="preserve">. </w:t>
      </w:r>
      <w:r w:rsidRPr="005722A6">
        <w:rPr>
          <w:rFonts w:asciiTheme="majorHAnsi" w:hAnsiTheme="majorHAnsi" w:cs="Arial"/>
          <w:noProof/>
          <w:sz w:val="20"/>
          <w:szCs w:val="20"/>
          <w:lang w:eastAsia="zh-CN"/>
        </w:rPr>
        <w:t xml:space="preserve">The EPU Coordinator shall function more as a strategic thinker and partnership-builder than an on-the-ground project implementer. The EPU </w:t>
      </w:r>
      <w:r w:rsidRPr="005722A6">
        <w:rPr>
          <w:rFonts w:asciiTheme="majorHAnsi" w:hAnsiTheme="majorHAnsi" w:cs="Arial"/>
          <w:noProof/>
          <w:sz w:val="20"/>
          <w:szCs w:val="20"/>
          <w:lang w:eastAsia="zh-CN"/>
        </w:rPr>
        <w:lastRenderedPageBreak/>
        <w:t xml:space="preserve">Coordinator shall work closely with the Directors of BMR, BOT, BOA, and PAN within MNRET. When the EPU is institutionalized as the Bureau of Environment, the EPU Coordinator position shall become the Director of the Bureau of Environment and as such may become a member of the NEPC. </w:t>
      </w:r>
      <w:r w:rsidRPr="001E3DF7">
        <w:rPr>
          <w:rFonts w:asciiTheme="majorHAnsi" w:hAnsiTheme="majorHAnsi" w:cs="Arial"/>
          <w:noProof/>
          <w:sz w:val="20"/>
          <w:szCs w:val="20"/>
          <w:lang w:eastAsia="zh-CN"/>
        </w:rPr>
        <w:t xml:space="preserve">Terms of Reference for </w:t>
      </w:r>
      <w:r w:rsidR="001E3DF7" w:rsidRPr="001E3DF7">
        <w:rPr>
          <w:rFonts w:asciiTheme="majorHAnsi" w:hAnsiTheme="majorHAnsi" w:cs="Arial"/>
          <w:noProof/>
          <w:sz w:val="20"/>
          <w:szCs w:val="20"/>
          <w:lang w:eastAsia="zh-CN"/>
        </w:rPr>
        <w:t xml:space="preserve">Key Positions are provided in Annex 10. </w:t>
      </w:r>
    </w:p>
    <w:p w14:paraId="10D2807B" w14:textId="77777777" w:rsidR="00E571C9" w:rsidRPr="005722A6" w:rsidRDefault="00E571C9" w:rsidP="00554AC2">
      <w:pPr>
        <w:shd w:val="clear" w:color="auto" w:fill="FFFFFF"/>
        <w:spacing w:after="0"/>
        <w:rPr>
          <w:rFonts w:asciiTheme="majorHAnsi" w:hAnsiTheme="majorHAnsi" w:cs="Arial"/>
          <w:noProof/>
          <w:sz w:val="20"/>
          <w:szCs w:val="20"/>
          <w:lang w:eastAsia="zh-CN"/>
        </w:rPr>
      </w:pPr>
    </w:p>
    <w:p w14:paraId="76979665" w14:textId="7DE00E6F" w:rsidR="00E571C9" w:rsidRPr="005722A6" w:rsidRDefault="00E571C9" w:rsidP="00554AC2">
      <w:pPr>
        <w:shd w:val="clear" w:color="auto" w:fill="FFFFFF"/>
        <w:spacing w:after="0"/>
        <w:rPr>
          <w:rFonts w:asciiTheme="majorHAnsi" w:hAnsiTheme="majorHAnsi" w:cs="Arial"/>
          <w:noProof/>
          <w:sz w:val="20"/>
          <w:szCs w:val="20"/>
          <w:lang w:eastAsia="zh-CN"/>
        </w:rPr>
      </w:pPr>
      <w:r w:rsidRPr="005722A6">
        <w:rPr>
          <w:rFonts w:asciiTheme="majorHAnsi" w:hAnsiTheme="majorHAnsi" w:cs="Arial"/>
          <w:noProof/>
          <w:sz w:val="20"/>
          <w:szCs w:val="20"/>
          <w:lang w:eastAsia="zh-CN"/>
        </w:rPr>
        <w:t xml:space="preserve">The </w:t>
      </w:r>
      <w:r w:rsidRPr="005722A6">
        <w:rPr>
          <w:rFonts w:asciiTheme="majorHAnsi" w:hAnsiTheme="majorHAnsi" w:cs="Arial"/>
          <w:b/>
          <w:noProof/>
          <w:sz w:val="20"/>
          <w:szCs w:val="20"/>
          <w:lang w:eastAsia="zh-CN"/>
        </w:rPr>
        <w:t>GEF Project Management Unit (PMU)</w:t>
      </w:r>
      <w:r w:rsidRPr="005722A6">
        <w:rPr>
          <w:rFonts w:asciiTheme="majorHAnsi" w:hAnsiTheme="majorHAnsi" w:cs="Arial"/>
          <w:noProof/>
          <w:sz w:val="20"/>
          <w:szCs w:val="20"/>
          <w:lang w:eastAsia="zh-CN"/>
        </w:rPr>
        <w:t xml:space="preserve"> </w:t>
      </w:r>
      <w:r w:rsidR="00A83B90">
        <w:rPr>
          <w:rFonts w:asciiTheme="majorHAnsi" w:hAnsiTheme="majorHAnsi" w:cs="Arial"/>
          <w:noProof/>
          <w:sz w:val="20"/>
          <w:szCs w:val="20"/>
          <w:lang w:eastAsia="zh-CN"/>
        </w:rPr>
        <w:t xml:space="preserve">will be placed in the EPU and </w:t>
      </w:r>
      <w:r w:rsidRPr="005722A6">
        <w:rPr>
          <w:rFonts w:asciiTheme="majorHAnsi" w:hAnsiTheme="majorHAnsi" w:cs="Arial"/>
          <w:noProof/>
          <w:sz w:val="20"/>
          <w:szCs w:val="20"/>
          <w:lang w:eastAsia="zh-CN"/>
        </w:rPr>
        <w:t xml:space="preserve">shall consist of those individuals involved project </w:t>
      </w:r>
      <w:r w:rsidR="00A83B90">
        <w:rPr>
          <w:rFonts w:asciiTheme="majorHAnsi" w:hAnsiTheme="majorHAnsi" w:cs="Arial"/>
          <w:noProof/>
          <w:sz w:val="20"/>
          <w:szCs w:val="20"/>
          <w:lang w:eastAsia="zh-CN"/>
        </w:rPr>
        <w:t xml:space="preserve">coordination, supervision and </w:t>
      </w:r>
      <w:r w:rsidRPr="005722A6">
        <w:rPr>
          <w:rFonts w:asciiTheme="majorHAnsi" w:hAnsiTheme="majorHAnsi" w:cs="Arial"/>
          <w:noProof/>
          <w:sz w:val="20"/>
          <w:szCs w:val="20"/>
          <w:lang w:eastAsia="zh-CN"/>
        </w:rPr>
        <w:t xml:space="preserve">day-to-day </w:t>
      </w:r>
      <w:r w:rsidR="00A83B90">
        <w:rPr>
          <w:rFonts w:asciiTheme="majorHAnsi" w:hAnsiTheme="majorHAnsi" w:cs="Arial"/>
          <w:noProof/>
          <w:sz w:val="20"/>
          <w:szCs w:val="20"/>
          <w:lang w:eastAsia="zh-CN"/>
        </w:rPr>
        <w:t>management of the project</w:t>
      </w:r>
      <w:r w:rsidRPr="005722A6">
        <w:rPr>
          <w:rFonts w:asciiTheme="majorHAnsi" w:hAnsiTheme="majorHAnsi" w:cs="Arial"/>
          <w:noProof/>
          <w:sz w:val="20"/>
          <w:szCs w:val="20"/>
          <w:lang w:eastAsia="zh-CN"/>
        </w:rPr>
        <w:t>, including the Project Manager, and Administrative and Financial Support Personnel.</w:t>
      </w:r>
    </w:p>
    <w:p w14:paraId="307184DF" w14:textId="77777777" w:rsidR="00E571C9" w:rsidRPr="005722A6" w:rsidRDefault="00E571C9" w:rsidP="00554AC2">
      <w:pPr>
        <w:shd w:val="clear" w:color="auto" w:fill="FFFFFF"/>
        <w:spacing w:after="0"/>
        <w:rPr>
          <w:rFonts w:asciiTheme="majorHAnsi" w:hAnsiTheme="majorHAnsi" w:cs="Arial"/>
          <w:noProof/>
          <w:sz w:val="20"/>
          <w:szCs w:val="20"/>
          <w:lang w:eastAsia="zh-CN"/>
        </w:rPr>
      </w:pPr>
    </w:p>
    <w:p w14:paraId="0E03334F" w14:textId="378B4522" w:rsidR="00E571C9" w:rsidRPr="005722A6" w:rsidRDefault="00E571C9" w:rsidP="00554AC2">
      <w:pPr>
        <w:shd w:val="clear" w:color="auto" w:fill="FFFFFF"/>
        <w:spacing w:after="0"/>
        <w:rPr>
          <w:rFonts w:asciiTheme="majorHAnsi" w:hAnsiTheme="majorHAnsi" w:cs="Arial"/>
          <w:noProof/>
          <w:sz w:val="20"/>
          <w:szCs w:val="20"/>
          <w:lang w:eastAsia="zh-CN"/>
        </w:rPr>
      </w:pPr>
      <w:r w:rsidRPr="005722A6">
        <w:rPr>
          <w:rFonts w:asciiTheme="majorHAnsi" w:hAnsiTheme="majorHAnsi" w:cs="Arial"/>
          <w:noProof/>
          <w:sz w:val="20"/>
          <w:szCs w:val="20"/>
          <w:lang w:eastAsia="zh-CN"/>
        </w:rPr>
        <w:t xml:space="preserve">The </w:t>
      </w:r>
      <w:r w:rsidRPr="005722A6">
        <w:rPr>
          <w:rFonts w:asciiTheme="majorHAnsi" w:hAnsiTheme="majorHAnsi" w:cs="Arial"/>
          <w:b/>
          <w:noProof/>
          <w:sz w:val="20"/>
          <w:szCs w:val="20"/>
          <w:lang w:eastAsia="zh-CN"/>
        </w:rPr>
        <w:t>GEF Project Manager</w:t>
      </w:r>
      <w:r w:rsidRPr="005722A6">
        <w:rPr>
          <w:rFonts w:asciiTheme="majorHAnsi" w:hAnsiTheme="majorHAnsi" w:cs="Arial"/>
          <w:noProof/>
          <w:sz w:val="20"/>
          <w:szCs w:val="20"/>
          <w:lang w:eastAsia="zh-CN"/>
        </w:rPr>
        <w:t xml:space="preserve"> will run the project on a day-to-day basis on behalf of the Implementing Partner within the constraints laid down by the Board (including supervision by the EPU Coordinator). The Project Manager function will end when the final project terminal evaluation report and corresponding management response, and other documentation required by the GEF and UNDP, has been completed and submitted to UNDP (including operational closure of the project); although the individual serving in the position shall be retained by decision of the Minister as an employee of the (eventual) Bureau of Environment. The GEF6 Project Manager shall work closely with the GEF5 Project Manager. </w:t>
      </w:r>
    </w:p>
    <w:p w14:paraId="2BD41E70" w14:textId="77777777" w:rsidR="00E571C9" w:rsidRPr="005722A6" w:rsidRDefault="00E571C9" w:rsidP="00554AC2">
      <w:pPr>
        <w:shd w:val="clear" w:color="auto" w:fill="FFFFFF"/>
        <w:spacing w:after="0"/>
        <w:rPr>
          <w:rFonts w:asciiTheme="majorHAnsi" w:hAnsiTheme="majorHAnsi" w:cs="Arial"/>
          <w:noProof/>
          <w:sz w:val="20"/>
          <w:szCs w:val="20"/>
          <w:lang w:eastAsia="zh-CN"/>
        </w:rPr>
      </w:pPr>
    </w:p>
    <w:p w14:paraId="03A08622" w14:textId="5F657463" w:rsidR="00E571C9" w:rsidRPr="005722A6" w:rsidRDefault="00E571C9" w:rsidP="00554AC2">
      <w:pPr>
        <w:shd w:val="clear" w:color="auto" w:fill="FFFFFF"/>
        <w:spacing w:after="0"/>
        <w:rPr>
          <w:rFonts w:asciiTheme="majorHAnsi" w:hAnsiTheme="majorHAnsi" w:cs="Arial"/>
          <w:i/>
          <w:noProof/>
          <w:sz w:val="20"/>
          <w:szCs w:val="20"/>
          <w:lang w:eastAsia="zh-CN"/>
        </w:rPr>
      </w:pPr>
      <w:r w:rsidRPr="005722A6">
        <w:rPr>
          <w:rFonts w:asciiTheme="majorHAnsi" w:hAnsiTheme="majorHAnsi" w:cs="Arial"/>
          <w:noProof/>
          <w:sz w:val="20"/>
          <w:szCs w:val="20"/>
          <w:lang w:eastAsia="zh-CN"/>
        </w:rPr>
        <w:t xml:space="preserve">The </w:t>
      </w:r>
      <w:r w:rsidRPr="005722A6">
        <w:rPr>
          <w:rFonts w:asciiTheme="majorHAnsi" w:hAnsiTheme="majorHAnsi" w:cs="Arial"/>
          <w:b/>
          <w:noProof/>
          <w:sz w:val="20"/>
          <w:szCs w:val="20"/>
          <w:lang w:eastAsia="zh-CN"/>
        </w:rPr>
        <w:t>Financial Assistant/Specialist</w:t>
      </w:r>
      <w:r w:rsidRPr="005722A6">
        <w:rPr>
          <w:rFonts w:asciiTheme="majorHAnsi" w:hAnsiTheme="majorHAnsi" w:cs="Arial"/>
          <w:noProof/>
          <w:sz w:val="20"/>
          <w:szCs w:val="20"/>
          <w:lang w:eastAsia="zh-CN"/>
        </w:rPr>
        <w:t xml:space="preserve"> for GEF6 shall function both to manage funds for the project, and, when the direct financing mechanism is functional, to oversee disbursement and reporting of States on the use of these funds towards implementation of Best Practices</w:t>
      </w:r>
      <w:r w:rsidR="00194AA1">
        <w:rPr>
          <w:rFonts w:asciiTheme="majorHAnsi" w:hAnsiTheme="majorHAnsi" w:cs="Arial"/>
          <w:noProof/>
          <w:sz w:val="20"/>
          <w:szCs w:val="20"/>
          <w:lang w:eastAsia="zh-CN"/>
        </w:rPr>
        <w:t xml:space="preserve">. </w:t>
      </w:r>
      <w:r w:rsidRPr="005722A6">
        <w:rPr>
          <w:rFonts w:asciiTheme="majorHAnsi" w:hAnsiTheme="majorHAnsi" w:cs="Arial"/>
          <w:noProof/>
          <w:sz w:val="20"/>
          <w:szCs w:val="20"/>
          <w:lang w:eastAsia="zh-CN"/>
        </w:rPr>
        <w:t xml:space="preserve">At such time it may be necessary for the Financial Specialist to become a member of the Project Board or take on a more active advisory role. </w:t>
      </w:r>
    </w:p>
    <w:p w14:paraId="404678DB" w14:textId="77777777" w:rsidR="00E571C9" w:rsidRPr="005722A6" w:rsidRDefault="00E571C9" w:rsidP="00554AC2">
      <w:pPr>
        <w:shd w:val="clear" w:color="auto" w:fill="FFFFFF"/>
        <w:spacing w:after="0"/>
        <w:rPr>
          <w:rFonts w:asciiTheme="majorHAnsi" w:hAnsiTheme="majorHAnsi"/>
          <w:sz w:val="20"/>
          <w:szCs w:val="20"/>
        </w:rPr>
      </w:pPr>
    </w:p>
    <w:p w14:paraId="6A972D5E" w14:textId="7EDFD134" w:rsidR="00E571C9" w:rsidRPr="005722A6" w:rsidRDefault="00E571C9" w:rsidP="00554AC2">
      <w:pPr>
        <w:spacing w:after="0"/>
        <w:rPr>
          <w:rFonts w:asciiTheme="majorHAnsi" w:hAnsiTheme="majorHAnsi"/>
          <w:sz w:val="20"/>
          <w:szCs w:val="20"/>
        </w:rPr>
      </w:pPr>
      <w:r w:rsidRPr="005722A6">
        <w:rPr>
          <w:rFonts w:asciiTheme="majorHAnsi" w:hAnsiTheme="majorHAnsi"/>
          <w:sz w:val="20"/>
          <w:szCs w:val="20"/>
        </w:rPr>
        <w:t xml:space="preserve">The </w:t>
      </w:r>
      <w:r w:rsidRPr="005722A6">
        <w:rPr>
          <w:rFonts w:asciiTheme="majorHAnsi" w:hAnsiTheme="majorHAnsi"/>
          <w:b/>
          <w:sz w:val="20"/>
          <w:szCs w:val="20"/>
        </w:rPr>
        <w:t>Project Assurance</w:t>
      </w:r>
      <w:r w:rsidRPr="005722A6">
        <w:rPr>
          <w:rFonts w:asciiTheme="majorHAnsi" w:hAnsiTheme="majorHAnsi"/>
          <w:sz w:val="20"/>
          <w:szCs w:val="20"/>
        </w:rPr>
        <w:t xml:space="preserve"> role will be provided by the UNDP Country Office specifically </w:t>
      </w:r>
      <w:r w:rsidRPr="005722A6">
        <w:rPr>
          <w:rFonts w:asciiTheme="majorHAnsi" w:hAnsiTheme="majorHAnsi"/>
          <w:i/>
          <w:sz w:val="20"/>
          <w:szCs w:val="20"/>
        </w:rPr>
        <w:t>Sharon Sakuma</w:t>
      </w:r>
      <w:r w:rsidR="00194AA1">
        <w:rPr>
          <w:rFonts w:asciiTheme="majorHAnsi" w:hAnsiTheme="majorHAnsi"/>
          <w:i/>
          <w:sz w:val="20"/>
          <w:szCs w:val="20"/>
        </w:rPr>
        <w:t xml:space="preserve">. </w:t>
      </w:r>
      <w:r w:rsidRPr="005722A6">
        <w:rPr>
          <w:rFonts w:asciiTheme="majorHAnsi" w:hAnsiTheme="majorHAnsi"/>
          <w:sz w:val="20"/>
          <w:szCs w:val="20"/>
        </w:rPr>
        <w:t>Additional quality assurance will be provided by the UNDP Regional Technical Advisor as needed.</w:t>
      </w:r>
    </w:p>
    <w:p w14:paraId="44B457C0" w14:textId="77777777" w:rsidR="00E571C9" w:rsidRPr="005722A6" w:rsidRDefault="00E571C9" w:rsidP="00554AC2">
      <w:pPr>
        <w:spacing w:after="0"/>
        <w:rPr>
          <w:rFonts w:asciiTheme="majorHAnsi" w:hAnsiTheme="majorHAnsi"/>
          <w:sz w:val="20"/>
          <w:szCs w:val="20"/>
          <w:u w:val="single"/>
        </w:rPr>
      </w:pPr>
    </w:p>
    <w:p w14:paraId="55972A1B" w14:textId="77777777" w:rsidR="00E571C9" w:rsidRPr="005722A6" w:rsidRDefault="00E571C9" w:rsidP="00554AC2">
      <w:pPr>
        <w:spacing w:after="0"/>
        <w:rPr>
          <w:rFonts w:asciiTheme="majorHAnsi" w:hAnsiTheme="majorHAnsi"/>
          <w:sz w:val="20"/>
          <w:szCs w:val="20"/>
        </w:rPr>
      </w:pPr>
      <w:r w:rsidRPr="005722A6">
        <w:rPr>
          <w:rFonts w:asciiTheme="majorHAnsi" w:hAnsiTheme="majorHAnsi"/>
          <w:sz w:val="20"/>
          <w:szCs w:val="20"/>
          <w:u w:val="single"/>
        </w:rPr>
        <w:t>Governance role for project target groups</w:t>
      </w:r>
      <w:r w:rsidRPr="005722A6">
        <w:rPr>
          <w:rFonts w:asciiTheme="majorHAnsi" w:hAnsiTheme="majorHAnsi"/>
          <w:sz w:val="20"/>
          <w:szCs w:val="20"/>
        </w:rPr>
        <w:t xml:space="preserve">:  </w:t>
      </w:r>
    </w:p>
    <w:p w14:paraId="233720FB" w14:textId="77777777" w:rsidR="00E571C9" w:rsidRPr="005722A6" w:rsidRDefault="00E571C9" w:rsidP="00554AC2">
      <w:pPr>
        <w:spacing w:after="0"/>
        <w:rPr>
          <w:rFonts w:asciiTheme="majorHAnsi" w:hAnsiTheme="majorHAnsi"/>
          <w:sz w:val="20"/>
          <w:szCs w:val="20"/>
        </w:rPr>
      </w:pPr>
    </w:p>
    <w:p w14:paraId="14F9087D" w14:textId="1FC376DF" w:rsidR="00E571C9" w:rsidRPr="005722A6" w:rsidRDefault="00E571C9" w:rsidP="00554AC2">
      <w:pPr>
        <w:spacing w:after="0"/>
        <w:rPr>
          <w:rFonts w:asciiTheme="majorHAnsi" w:hAnsiTheme="majorHAnsi" w:cs="Arial"/>
          <w:noProof/>
          <w:sz w:val="20"/>
          <w:szCs w:val="20"/>
          <w:lang w:eastAsia="zh-CN"/>
        </w:rPr>
      </w:pPr>
      <w:r w:rsidRPr="005722A6">
        <w:rPr>
          <w:rFonts w:asciiTheme="majorHAnsi" w:hAnsiTheme="majorHAnsi"/>
          <w:sz w:val="20"/>
          <w:szCs w:val="20"/>
        </w:rPr>
        <w:t xml:space="preserve">The </w:t>
      </w:r>
      <w:r w:rsidRPr="005722A6">
        <w:rPr>
          <w:rFonts w:asciiTheme="majorHAnsi" w:hAnsiTheme="majorHAnsi"/>
          <w:b/>
          <w:sz w:val="20"/>
          <w:szCs w:val="20"/>
        </w:rPr>
        <w:t xml:space="preserve">Land/Seascape Planning Joint Coordination Body (JCB) </w:t>
      </w:r>
      <w:r w:rsidRPr="005722A6">
        <w:rPr>
          <w:rFonts w:asciiTheme="majorHAnsi" w:hAnsiTheme="majorHAnsi"/>
          <w:sz w:val="20"/>
          <w:szCs w:val="20"/>
        </w:rPr>
        <w:t>was described under Output 1.1, and will be created as an Ad Hoc subcommittee under the NEPC, by virtue of authority of the existing Executive Order 350. Members of the JCB will come from the four sectors (national and state government, nonprofit/NGOs, and private sector). State government representatives will at first come from the 9 states in the GEF6 Project, although by the end of the project the Committee will be open to all states. Mid-term and terminal evaluations will determine whether the JCB shall be institutionalized as a permanent subcommittee under the NEPC or somehow institutionalized under the then Bureau of Environment</w:t>
      </w:r>
      <w:r w:rsidR="00194AA1">
        <w:rPr>
          <w:rFonts w:asciiTheme="majorHAnsi" w:hAnsiTheme="majorHAnsi"/>
          <w:sz w:val="20"/>
          <w:szCs w:val="20"/>
        </w:rPr>
        <w:t xml:space="preserve">. </w:t>
      </w:r>
      <w:r w:rsidRPr="005722A6">
        <w:rPr>
          <w:rFonts w:asciiTheme="majorHAnsi" w:hAnsiTheme="majorHAnsi"/>
          <w:sz w:val="20"/>
          <w:szCs w:val="20"/>
        </w:rPr>
        <w:t>The JCB shall be directly involved in project governance by having two member positions on the Project Board (described above)</w:t>
      </w:r>
      <w:r w:rsidR="00194AA1">
        <w:rPr>
          <w:rFonts w:asciiTheme="majorHAnsi" w:hAnsiTheme="majorHAnsi"/>
          <w:sz w:val="20"/>
          <w:szCs w:val="20"/>
        </w:rPr>
        <w:t xml:space="preserve">. </w:t>
      </w:r>
      <w:r w:rsidRPr="005722A6">
        <w:rPr>
          <w:rFonts w:asciiTheme="majorHAnsi" w:hAnsiTheme="majorHAnsi" w:cs="Arial"/>
          <w:noProof/>
          <w:sz w:val="20"/>
          <w:szCs w:val="20"/>
          <w:lang w:eastAsia="zh-CN"/>
        </w:rPr>
        <w:t>The role of the JCB, as described in Outcome 1, will be to mainstream national-level biodiversity and biosecurity into state landscape and seascape plans, and to mainstream state plans into development activities. The JCB shall meet at least quarterly in the first year of the project</w:t>
      </w:r>
      <w:r w:rsidR="00194AA1">
        <w:rPr>
          <w:rFonts w:asciiTheme="majorHAnsi" w:hAnsiTheme="majorHAnsi" w:cs="Arial"/>
          <w:noProof/>
          <w:sz w:val="20"/>
          <w:szCs w:val="20"/>
          <w:lang w:eastAsia="zh-CN"/>
        </w:rPr>
        <w:t xml:space="preserve">. </w:t>
      </w:r>
      <w:r w:rsidRPr="005722A6">
        <w:rPr>
          <w:rFonts w:asciiTheme="majorHAnsi" w:hAnsiTheme="majorHAnsi" w:cs="Arial"/>
          <w:noProof/>
          <w:sz w:val="20"/>
          <w:szCs w:val="20"/>
          <w:lang w:eastAsia="zh-CN"/>
        </w:rPr>
        <w:t xml:space="preserve">Secreriat duties may be taken up by the EPU Coordinator, working in close partnership with the NEPC Secretariat. The JCB shall report regularly to the NEPC. </w:t>
      </w:r>
      <w:r w:rsidRPr="001E3DF7">
        <w:rPr>
          <w:rFonts w:asciiTheme="majorHAnsi" w:hAnsiTheme="majorHAnsi" w:cs="Arial"/>
          <w:noProof/>
          <w:sz w:val="20"/>
          <w:szCs w:val="20"/>
          <w:lang w:eastAsia="zh-CN"/>
        </w:rPr>
        <w:t xml:space="preserve">Terms of Reference for this committee </w:t>
      </w:r>
      <w:r w:rsidR="001E3DF7" w:rsidRPr="001E3DF7">
        <w:rPr>
          <w:rFonts w:asciiTheme="majorHAnsi" w:hAnsiTheme="majorHAnsi" w:cs="Arial"/>
          <w:noProof/>
          <w:sz w:val="20"/>
          <w:szCs w:val="20"/>
          <w:lang w:eastAsia="zh-CN"/>
        </w:rPr>
        <w:t>is in Annex 10.</w:t>
      </w:r>
    </w:p>
    <w:p w14:paraId="30C76BF1" w14:textId="77777777" w:rsidR="00E571C9" w:rsidRPr="005722A6" w:rsidRDefault="00E571C9" w:rsidP="00554AC2">
      <w:pPr>
        <w:spacing w:after="0"/>
        <w:rPr>
          <w:rFonts w:asciiTheme="majorHAnsi" w:hAnsiTheme="majorHAnsi" w:cs="Arial"/>
          <w:noProof/>
          <w:sz w:val="20"/>
          <w:szCs w:val="20"/>
          <w:lang w:eastAsia="zh-CN"/>
        </w:rPr>
      </w:pPr>
    </w:p>
    <w:p w14:paraId="6D84CFCB" w14:textId="69D82AB0" w:rsidR="00E571C9" w:rsidRPr="005722A6" w:rsidRDefault="00E571C9" w:rsidP="00554AC2">
      <w:pPr>
        <w:spacing w:after="0"/>
        <w:rPr>
          <w:rFonts w:asciiTheme="majorHAnsi" w:hAnsiTheme="majorHAnsi"/>
          <w:sz w:val="20"/>
          <w:szCs w:val="20"/>
          <w:u w:val="single"/>
        </w:rPr>
      </w:pPr>
      <w:r w:rsidRPr="005722A6">
        <w:rPr>
          <w:rFonts w:asciiTheme="majorHAnsi" w:hAnsiTheme="majorHAnsi"/>
          <w:b/>
          <w:bCs/>
          <w:sz w:val="20"/>
          <w:szCs w:val="20"/>
        </w:rPr>
        <w:t xml:space="preserve">Individual State Planning </w:t>
      </w:r>
      <w:r w:rsidR="001E3DF7">
        <w:rPr>
          <w:rFonts w:asciiTheme="majorHAnsi" w:hAnsiTheme="majorHAnsi"/>
          <w:b/>
          <w:bCs/>
          <w:sz w:val="20"/>
          <w:szCs w:val="20"/>
        </w:rPr>
        <w:t>and</w:t>
      </w:r>
      <w:r w:rsidRPr="005722A6">
        <w:rPr>
          <w:rFonts w:asciiTheme="majorHAnsi" w:hAnsiTheme="majorHAnsi"/>
          <w:b/>
          <w:bCs/>
          <w:sz w:val="20"/>
          <w:szCs w:val="20"/>
        </w:rPr>
        <w:t xml:space="preserve"> Best Practice Teams</w:t>
      </w:r>
      <w:r w:rsidRPr="005722A6">
        <w:rPr>
          <w:rFonts w:asciiTheme="majorHAnsi" w:hAnsiTheme="majorHAnsi"/>
          <w:sz w:val="20"/>
          <w:szCs w:val="20"/>
        </w:rPr>
        <w:t xml:space="preserve"> will be supported for each of the 9 states participating in the project, and act as a model for the remaining states, as described in Outcomes 2 and 3. These teams will lead land/seascape planning within their state, put forward proposals for direct financing of best practices, and oversee actions on the ground</w:t>
      </w:r>
      <w:r w:rsidR="001E3DF7">
        <w:rPr>
          <w:rFonts w:asciiTheme="majorHAnsi" w:hAnsiTheme="majorHAnsi"/>
          <w:sz w:val="20"/>
          <w:szCs w:val="20"/>
        </w:rPr>
        <w:t xml:space="preserve"> (refer Annex 10 for Terms of Reference)</w:t>
      </w:r>
      <w:r w:rsidRPr="005722A6">
        <w:rPr>
          <w:rFonts w:asciiTheme="majorHAnsi" w:hAnsiTheme="majorHAnsi"/>
          <w:sz w:val="20"/>
          <w:szCs w:val="20"/>
        </w:rPr>
        <w:t xml:space="preserve">. Assistance from technical partners and in close partnership with resource users (e.g. the private sector) will be facilitated by the JCB, EPU Coordinator, and PMU, in order to streamline national biodiversity policies into the resulting plans and vice versa. </w:t>
      </w:r>
    </w:p>
    <w:p w14:paraId="1B249762" w14:textId="77777777" w:rsidR="00E571C9" w:rsidRPr="005722A6" w:rsidRDefault="00E571C9" w:rsidP="00554AC2">
      <w:pPr>
        <w:spacing w:after="0"/>
        <w:rPr>
          <w:rFonts w:asciiTheme="majorHAnsi" w:hAnsiTheme="majorHAnsi"/>
          <w:sz w:val="20"/>
          <w:szCs w:val="20"/>
        </w:rPr>
      </w:pPr>
    </w:p>
    <w:p w14:paraId="65D04F29" w14:textId="1C713302" w:rsidR="00E571C9" w:rsidRPr="005722A6" w:rsidRDefault="00E571C9" w:rsidP="00554AC2">
      <w:pPr>
        <w:spacing w:after="0"/>
        <w:rPr>
          <w:rFonts w:asciiTheme="majorHAnsi" w:hAnsiTheme="majorHAnsi"/>
          <w:sz w:val="20"/>
          <w:szCs w:val="20"/>
        </w:rPr>
      </w:pPr>
      <w:r w:rsidRPr="005722A6">
        <w:rPr>
          <w:rFonts w:asciiTheme="majorHAnsi" w:hAnsiTheme="majorHAnsi"/>
          <w:sz w:val="20"/>
          <w:szCs w:val="20"/>
        </w:rPr>
        <w:t xml:space="preserve">The </w:t>
      </w:r>
      <w:r w:rsidRPr="005722A6">
        <w:rPr>
          <w:rFonts w:asciiTheme="majorHAnsi" w:hAnsiTheme="majorHAnsi"/>
          <w:b/>
          <w:sz w:val="20"/>
          <w:szCs w:val="20"/>
        </w:rPr>
        <w:t>Technical Advisory Group</w:t>
      </w:r>
      <w:r w:rsidRPr="005722A6">
        <w:rPr>
          <w:rFonts w:asciiTheme="majorHAnsi" w:hAnsiTheme="majorHAnsi"/>
          <w:sz w:val="20"/>
          <w:szCs w:val="20"/>
        </w:rPr>
        <w:t xml:space="preserve"> will include a rotating group of government, nonprofit, and private sector individuals with specific expertise on the tasks associated with the current work plan, recruited from the Stakeholder Involvement Plan. This will include government agencies such as the Bureau of Agriculture, Bureau of Tourism, and Bureau of Marine Resources within MNRET, plus Division of Fish and Wildlife; organizations associated with Sustainable Tourism, such as the Belau Tourism Association and Chamber of Commerce, </w:t>
      </w:r>
      <w:r w:rsidRPr="005722A6">
        <w:rPr>
          <w:rFonts w:asciiTheme="majorHAnsi" w:hAnsiTheme="majorHAnsi"/>
          <w:sz w:val="20"/>
          <w:szCs w:val="20"/>
        </w:rPr>
        <w:lastRenderedPageBreak/>
        <w:t>agriculture/aquaculture extension organizations, and other technical experts. In years 1 and 2 the Technical Advisory Group will be made up of mapping and planning experts, including from PALARIS and Palau Conservation Society</w:t>
      </w:r>
      <w:r w:rsidR="00194AA1">
        <w:rPr>
          <w:rFonts w:asciiTheme="majorHAnsi" w:hAnsiTheme="majorHAnsi"/>
          <w:sz w:val="20"/>
          <w:szCs w:val="20"/>
        </w:rPr>
        <w:t xml:space="preserve">. </w:t>
      </w:r>
    </w:p>
    <w:p w14:paraId="0379B975" w14:textId="77777777" w:rsidR="00E571C9" w:rsidRPr="005722A6" w:rsidRDefault="00E571C9" w:rsidP="00554AC2">
      <w:pPr>
        <w:spacing w:after="0"/>
        <w:rPr>
          <w:rFonts w:asciiTheme="majorHAnsi" w:hAnsiTheme="majorHAnsi"/>
          <w:sz w:val="20"/>
          <w:szCs w:val="20"/>
          <w:u w:val="single"/>
        </w:rPr>
      </w:pPr>
    </w:p>
    <w:p w14:paraId="0E31803A" w14:textId="32623FE6" w:rsidR="00E571C9" w:rsidRPr="005722A6" w:rsidRDefault="00E571C9" w:rsidP="00554AC2">
      <w:pPr>
        <w:spacing w:after="0"/>
        <w:rPr>
          <w:rFonts w:asciiTheme="majorHAnsi" w:hAnsiTheme="majorHAnsi"/>
          <w:sz w:val="20"/>
          <w:szCs w:val="20"/>
        </w:rPr>
      </w:pPr>
      <w:r w:rsidRPr="005722A6">
        <w:rPr>
          <w:rFonts w:asciiTheme="majorHAnsi" w:hAnsiTheme="majorHAnsi"/>
          <w:sz w:val="20"/>
          <w:szCs w:val="20"/>
        </w:rPr>
        <w:t xml:space="preserve">The </w:t>
      </w:r>
      <w:r w:rsidRPr="005722A6">
        <w:rPr>
          <w:rFonts w:asciiTheme="majorHAnsi" w:hAnsiTheme="majorHAnsi"/>
          <w:b/>
          <w:sz w:val="20"/>
          <w:szCs w:val="20"/>
        </w:rPr>
        <w:t>National Invasive Species Committee</w:t>
      </w:r>
      <w:r w:rsidRPr="005722A6">
        <w:rPr>
          <w:rFonts w:asciiTheme="majorHAnsi" w:hAnsiTheme="majorHAnsi"/>
          <w:sz w:val="20"/>
          <w:szCs w:val="20"/>
        </w:rPr>
        <w:t xml:space="preserve"> is a multi-stakeholder committee already in existence (as described in multiple outcomes). The NISC will be a close partner to the PMU through direct employment links (the Chair of the NISC is the Director of the Bureau of Agriculture at MNRET) and MNRET employs the country’s Biosecurity Officers) as well as via project activities carrying out in close coordination with the PMU, and will be a member of the Technical Advisory Group to the JCB.</w:t>
      </w:r>
    </w:p>
    <w:p w14:paraId="1C10D929" w14:textId="77777777" w:rsidR="00E571C9" w:rsidRPr="005722A6" w:rsidRDefault="00E571C9" w:rsidP="00554AC2">
      <w:pPr>
        <w:spacing w:after="0"/>
        <w:rPr>
          <w:rFonts w:asciiTheme="majorHAnsi" w:hAnsiTheme="majorHAnsi"/>
          <w:sz w:val="20"/>
          <w:szCs w:val="20"/>
          <w:u w:val="single"/>
        </w:rPr>
      </w:pPr>
    </w:p>
    <w:p w14:paraId="4D67B430" w14:textId="17A752DE" w:rsidR="00E571C9" w:rsidRPr="005722A6" w:rsidRDefault="00E571C9" w:rsidP="00554AC2">
      <w:pPr>
        <w:spacing w:after="0"/>
        <w:rPr>
          <w:rFonts w:asciiTheme="majorHAnsi" w:hAnsiTheme="majorHAnsi"/>
          <w:i/>
          <w:sz w:val="20"/>
          <w:szCs w:val="20"/>
        </w:rPr>
      </w:pPr>
      <w:r w:rsidRPr="005722A6">
        <w:rPr>
          <w:rFonts w:asciiTheme="majorHAnsi" w:hAnsiTheme="majorHAnsi"/>
          <w:sz w:val="20"/>
          <w:szCs w:val="20"/>
          <w:u w:val="single"/>
        </w:rPr>
        <w:t xml:space="preserve">UNDP Direct Project Services as requested by Government </w:t>
      </w:r>
      <w:r w:rsidRPr="005722A6">
        <w:rPr>
          <w:rFonts w:asciiTheme="majorHAnsi" w:hAnsiTheme="majorHAnsi"/>
          <w:sz w:val="20"/>
          <w:szCs w:val="20"/>
        </w:rPr>
        <w:t xml:space="preserve">(if any): </w:t>
      </w:r>
    </w:p>
    <w:p w14:paraId="1E787B6B" w14:textId="77777777" w:rsidR="00E571C9" w:rsidRPr="005722A6" w:rsidRDefault="00E571C9" w:rsidP="00554AC2">
      <w:pPr>
        <w:spacing w:after="0"/>
        <w:rPr>
          <w:rFonts w:asciiTheme="majorHAnsi" w:hAnsiTheme="majorHAnsi"/>
          <w:sz w:val="20"/>
          <w:szCs w:val="20"/>
          <w:u w:val="single"/>
        </w:rPr>
      </w:pPr>
    </w:p>
    <w:p w14:paraId="0F237384" w14:textId="77777777" w:rsidR="00E571C9" w:rsidRPr="005722A6" w:rsidRDefault="00E571C9" w:rsidP="00554AC2">
      <w:pPr>
        <w:spacing w:after="0"/>
        <w:rPr>
          <w:rFonts w:asciiTheme="majorHAnsi" w:hAnsiTheme="majorHAnsi" w:cs="Segoe UI"/>
          <w:color w:val="000000"/>
          <w:sz w:val="20"/>
          <w:szCs w:val="20"/>
        </w:rPr>
      </w:pPr>
      <w:r w:rsidRPr="005722A6">
        <w:rPr>
          <w:rFonts w:asciiTheme="majorHAnsi" w:hAnsiTheme="majorHAnsi"/>
          <w:sz w:val="20"/>
          <w:szCs w:val="20"/>
          <w:u w:val="single"/>
        </w:rPr>
        <w:t>Agreement on intellectual property rights and use of logo on the project’s deliverables and disclosure of information</w:t>
      </w:r>
      <w:r w:rsidRPr="005722A6">
        <w:rPr>
          <w:rFonts w:asciiTheme="majorHAnsi" w:hAnsiTheme="majorHAnsi"/>
          <w:b/>
          <w:sz w:val="20"/>
          <w:szCs w:val="20"/>
        </w:rPr>
        <w:t xml:space="preserve">:  </w:t>
      </w:r>
      <w:r w:rsidRPr="005722A6">
        <w:rPr>
          <w:rFonts w:asciiTheme="majorHAnsi" w:hAnsiTheme="majorHAnsi" w:cs="Calibri"/>
          <w:sz w:val="20"/>
          <w:szCs w:val="20"/>
        </w:rPr>
        <w:t>In order to accord proper acknowledgement to the GEF for providing grant funding, the GEF logo will appear together with the UNDP logo on all promotional materials, other written materials like publications developed by the project, and project hardware. Any citation on publications regarding projects funded by the GEF will also accord proper acknowledgement to the GEF. Information will be disclosed in accordance with relevant policies notably the UNDP Disclosure Policy</w:t>
      </w:r>
      <w:r w:rsidRPr="00627E17">
        <w:rPr>
          <w:rStyle w:val="FootnoteReference"/>
          <w:rFonts w:asciiTheme="majorHAnsi" w:hAnsiTheme="majorHAnsi"/>
          <w:sz w:val="20"/>
          <w:szCs w:val="20"/>
        </w:rPr>
        <w:footnoteReference w:id="30"/>
      </w:r>
      <w:r w:rsidRPr="005722A6">
        <w:rPr>
          <w:rFonts w:asciiTheme="majorHAnsi" w:hAnsiTheme="majorHAnsi" w:cs="Calibri"/>
          <w:sz w:val="20"/>
          <w:szCs w:val="20"/>
        </w:rPr>
        <w:t xml:space="preserve"> and</w:t>
      </w:r>
      <w:r w:rsidRPr="005722A6">
        <w:rPr>
          <w:rFonts w:asciiTheme="majorHAnsi" w:hAnsiTheme="majorHAnsi" w:cs="Segoe UI"/>
          <w:color w:val="000000"/>
          <w:sz w:val="20"/>
          <w:szCs w:val="20"/>
        </w:rPr>
        <w:t xml:space="preserve"> the GEF policy on public involvement</w:t>
      </w:r>
      <w:r w:rsidRPr="00627E17">
        <w:rPr>
          <w:rStyle w:val="FootnoteReference"/>
          <w:rFonts w:asciiTheme="majorHAnsi" w:hAnsiTheme="majorHAnsi"/>
          <w:color w:val="000000"/>
          <w:sz w:val="20"/>
          <w:szCs w:val="20"/>
        </w:rPr>
        <w:footnoteReference w:id="31"/>
      </w:r>
      <w:r w:rsidRPr="005722A6">
        <w:rPr>
          <w:rFonts w:asciiTheme="majorHAnsi" w:hAnsiTheme="majorHAnsi" w:cs="Segoe UI"/>
          <w:color w:val="000000"/>
          <w:sz w:val="20"/>
          <w:szCs w:val="20"/>
        </w:rPr>
        <w:t xml:space="preserve">. </w:t>
      </w:r>
    </w:p>
    <w:p w14:paraId="5E1358E8" w14:textId="77777777" w:rsidR="00E571C9" w:rsidRPr="005722A6" w:rsidRDefault="00E571C9" w:rsidP="00554AC2">
      <w:pPr>
        <w:spacing w:after="0"/>
        <w:rPr>
          <w:rFonts w:asciiTheme="majorHAnsi" w:hAnsiTheme="majorHAnsi" w:cs="Arial"/>
          <w:noProof/>
          <w:sz w:val="20"/>
          <w:szCs w:val="20"/>
          <w:u w:val="single"/>
          <w:lang w:eastAsia="zh-CN"/>
        </w:rPr>
      </w:pPr>
    </w:p>
    <w:p w14:paraId="2746A0D6" w14:textId="6232F478" w:rsidR="00E571C9" w:rsidRPr="005722A6" w:rsidRDefault="00E571C9" w:rsidP="00554AC2">
      <w:pPr>
        <w:spacing w:after="0"/>
        <w:rPr>
          <w:rFonts w:asciiTheme="majorHAnsi" w:hAnsiTheme="majorHAnsi" w:cs="Arial"/>
          <w:i/>
          <w:noProof/>
          <w:sz w:val="20"/>
          <w:szCs w:val="20"/>
          <w:lang w:eastAsia="zh-CN"/>
        </w:rPr>
      </w:pPr>
      <w:r w:rsidRPr="005722A6">
        <w:rPr>
          <w:rFonts w:asciiTheme="majorHAnsi" w:hAnsiTheme="majorHAnsi" w:cs="Arial"/>
          <w:noProof/>
          <w:sz w:val="20"/>
          <w:szCs w:val="20"/>
          <w:u w:val="single"/>
          <w:lang w:eastAsia="zh-CN"/>
        </w:rPr>
        <w:t>Project management</w:t>
      </w:r>
      <w:r w:rsidRPr="005722A6">
        <w:rPr>
          <w:rFonts w:asciiTheme="majorHAnsi" w:hAnsiTheme="majorHAnsi" w:cs="Arial"/>
          <w:i/>
          <w:noProof/>
          <w:sz w:val="20"/>
          <w:szCs w:val="20"/>
          <w:lang w:eastAsia="zh-CN"/>
        </w:rPr>
        <w:t xml:space="preserve">:  </w:t>
      </w:r>
      <w:r w:rsidR="00730E60">
        <w:rPr>
          <w:rFonts w:asciiTheme="majorHAnsi" w:hAnsiTheme="majorHAnsi" w:cs="Arial"/>
          <w:noProof/>
          <w:sz w:val="20"/>
          <w:szCs w:val="20"/>
          <w:lang w:eastAsia="zh-CN"/>
        </w:rPr>
        <w:t xml:space="preserve">Located in Koror. Within MNRET facilities. </w:t>
      </w:r>
    </w:p>
    <w:p w14:paraId="47DE24B6" w14:textId="77777777" w:rsidR="00393350" w:rsidRPr="005722A6" w:rsidRDefault="00393350" w:rsidP="00A04E6F">
      <w:pPr>
        <w:spacing w:after="0"/>
        <w:jc w:val="left"/>
        <w:rPr>
          <w:rFonts w:asciiTheme="majorHAnsi" w:hAnsiTheme="majorHAnsi" w:cs="Arial"/>
          <w:i/>
          <w:noProof/>
          <w:sz w:val="20"/>
          <w:szCs w:val="20"/>
          <w:lang w:eastAsia="zh-CN"/>
        </w:rPr>
      </w:pPr>
    </w:p>
    <w:p w14:paraId="3033250C" w14:textId="77777777" w:rsidR="003E3ABA" w:rsidRPr="00B92273" w:rsidRDefault="003E3ABA" w:rsidP="00A04E6F">
      <w:pPr>
        <w:pStyle w:val="Heading1"/>
        <w:spacing w:before="0" w:after="0"/>
        <w:rPr>
          <w:rFonts w:asciiTheme="majorHAnsi" w:hAnsiTheme="majorHAnsi"/>
          <w:sz w:val="24"/>
          <w:szCs w:val="24"/>
        </w:rPr>
      </w:pPr>
      <w:bookmarkStart w:id="17" w:name="_Toc443050761"/>
      <w:r w:rsidRPr="00B92273">
        <w:rPr>
          <w:rFonts w:asciiTheme="majorHAnsi" w:hAnsiTheme="majorHAnsi"/>
          <w:sz w:val="24"/>
          <w:szCs w:val="24"/>
        </w:rPr>
        <w:t>Financial Planning and Management</w:t>
      </w:r>
      <w:bookmarkEnd w:id="17"/>
      <w:r w:rsidRPr="00B92273">
        <w:rPr>
          <w:rFonts w:asciiTheme="majorHAnsi" w:hAnsiTheme="majorHAnsi"/>
          <w:sz w:val="24"/>
          <w:szCs w:val="24"/>
        </w:rPr>
        <w:t xml:space="preserve"> </w:t>
      </w:r>
    </w:p>
    <w:p w14:paraId="54F2F870" w14:textId="77777777" w:rsidR="008466F0" w:rsidRPr="005722A6" w:rsidRDefault="008466F0" w:rsidP="006674A2">
      <w:pPr>
        <w:autoSpaceDE w:val="0"/>
        <w:autoSpaceDN w:val="0"/>
        <w:adjustRightInd w:val="0"/>
        <w:spacing w:after="0"/>
        <w:jc w:val="left"/>
        <w:rPr>
          <w:rFonts w:asciiTheme="majorHAnsi" w:hAnsiTheme="majorHAnsi"/>
          <w:color w:val="000000"/>
          <w:sz w:val="20"/>
          <w:szCs w:val="20"/>
        </w:rPr>
      </w:pPr>
    </w:p>
    <w:p w14:paraId="0831CC70" w14:textId="33B5EF31" w:rsidR="003E3ABA" w:rsidRPr="00730E60" w:rsidRDefault="003E3ABA" w:rsidP="001F6249">
      <w:pPr>
        <w:autoSpaceDE w:val="0"/>
        <w:autoSpaceDN w:val="0"/>
        <w:adjustRightInd w:val="0"/>
        <w:spacing w:after="0"/>
        <w:rPr>
          <w:rFonts w:asciiTheme="majorHAnsi" w:hAnsiTheme="majorHAnsi"/>
          <w:i/>
          <w:color w:val="000000"/>
          <w:sz w:val="20"/>
          <w:szCs w:val="20"/>
        </w:rPr>
      </w:pPr>
      <w:r w:rsidRPr="005722A6">
        <w:rPr>
          <w:rFonts w:asciiTheme="majorHAnsi" w:hAnsiTheme="majorHAnsi"/>
          <w:color w:val="000000"/>
          <w:sz w:val="20"/>
          <w:szCs w:val="20"/>
        </w:rPr>
        <w:t xml:space="preserve">The total cost of the project is </w:t>
      </w:r>
      <w:r w:rsidRPr="00387D47">
        <w:rPr>
          <w:rFonts w:asciiTheme="majorHAnsi" w:hAnsiTheme="majorHAnsi"/>
          <w:color w:val="000000"/>
          <w:sz w:val="20"/>
          <w:szCs w:val="20"/>
        </w:rPr>
        <w:t xml:space="preserve">USD </w:t>
      </w:r>
      <w:r w:rsidR="00387D47" w:rsidRPr="00387D47">
        <w:rPr>
          <w:rFonts w:cs="Arial"/>
          <w:sz w:val="20"/>
          <w:szCs w:val="20"/>
        </w:rPr>
        <w:t>26,904,868</w:t>
      </w:r>
      <w:r w:rsidR="00194AA1" w:rsidRPr="00387D47">
        <w:rPr>
          <w:rFonts w:asciiTheme="majorHAnsi" w:hAnsiTheme="majorHAnsi"/>
          <w:color w:val="000000"/>
          <w:sz w:val="20"/>
          <w:szCs w:val="20"/>
        </w:rPr>
        <w:t xml:space="preserve">. </w:t>
      </w:r>
      <w:r w:rsidRPr="00387D47">
        <w:rPr>
          <w:rFonts w:asciiTheme="majorHAnsi" w:hAnsiTheme="majorHAnsi"/>
          <w:color w:val="000000"/>
          <w:sz w:val="20"/>
          <w:szCs w:val="20"/>
        </w:rPr>
        <w:t xml:space="preserve">This is financed through a GEF grant of USD </w:t>
      </w:r>
      <w:r w:rsidR="00B92273" w:rsidRPr="00387D47">
        <w:rPr>
          <w:rFonts w:asciiTheme="majorHAnsi" w:hAnsiTheme="majorHAnsi"/>
          <w:color w:val="000000"/>
          <w:sz w:val="20"/>
          <w:szCs w:val="20"/>
        </w:rPr>
        <w:t>4,233,562</w:t>
      </w:r>
      <w:r w:rsidRPr="00387D47">
        <w:rPr>
          <w:rFonts w:asciiTheme="majorHAnsi" w:hAnsiTheme="majorHAnsi"/>
          <w:color w:val="000000"/>
          <w:sz w:val="20"/>
          <w:szCs w:val="20"/>
        </w:rPr>
        <w:t xml:space="preserve"> in co-financing to be administered by UNDP and USD </w:t>
      </w:r>
      <w:r w:rsidR="00B92273" w:rsidRPr="00387D47">
        <w:rPr>
          <w:rFonts w:asciiTheme="majorHAnsi" w:hAnsiTheme="majorHAnsi"/>
          <w:color w:val="000000"/>
          <w:sz w:val="20"/>
          <w:szCs w:val="20"/>
        </w:rPr>
        <w:t>22,</w:t>
      </w:r>
      <w:r w:rsidR="00387D47" w:rsidRPr="00387D47">
        <w:rPr>
          <w:rFonts w:asciiTheme="majorHAnsi" w:hAnsiTheme="majorHAnsi"/>
          <w:color w:val="000000"/>
          <w:sz w:val="20"/>
          <w:szCs w:val="20"/>
        </w:rPr>
        <w:t>671</w:t>
      </w:r>
      <w:r w:rsidR="00B92273" w:rsidRPr="00387D47">
        <w:rPr>
          <w:rFonts w:asciiTheme="majorHAnsi" w:hAnsiTheme="majorHAnsi"/>
          <w:color w:val="000000"/>
          <w:sz w:val="20"/>
          <w:szCs w:val="20"/>
        </w:rPr>
        <w:t xml:space="preserve">,306 </w:t>
      </w:r>
      <w:r w:rsidRPr="00387D47">
        <w:rPr>
          <w:rFonts w:asciiTheme="majorHAnsi" w:hAnsiTheme="majorHAnsi"/>
          <w:color w:val="000000"/>
          <w:sz w:val="20"/>
          <w:szCs w:val="20"/>
        </w:rPr>
        <w:t>in</w:t>
      </w:r>
      <w:r w:rsidRPr="005722A6">
        <w:rPr>
          <w:rFonts w:asciiTheme="majorHAnsi" w:hAnsiTheme="majorHAnsi"/>
          <w:color w:val="000000"/>
          <w:sz w:val="20"/>
          <w:szCs w:val="20"/>
        </w:rPr>
        <w:t xml:space="preserve"> parallel co-financing</w:t>
      </w:r>
      <w:r w:rsidR="00194AA1">
        <w:rPr>
          <w:rFonts w:asciiTheme="majorHAnsi" w:hAnsiTheme="majorHAnsi"/>
          <w:color w:val="000000"/>
          <w:sz w:val="20"/>
          <w:szCs w:val="20"/>
        </w:rPr>
        <w:t xml:space="preserve">. </w:t>
      </w:r>
      <w:r w:rsidRPr="005722A6">
        <w:rPr>
          <w:rFonts w:asciiTheme="majorHAnsi" w:hAnsiTheme="majorHAnsi"/>
          <w:color w:val="000000"/>
          <w:sz w:val="20"/>
          <w:szCs w:val="20"/>
        </w:rPr>
        <w:t xml:space="preserve">UNDP, as the GEF Implementing Agency, is responsible for the execution of the GEF resources and the </w:t>
      </w:r>
      <w:r w:rsidRPr="005722A6">
        <w:rPr>
          <w:rFonts w:asciiTheme="majorHAnsi" w:hAnsiTheme="majorHAnsi"/>
          <w:color w:val="000000"/>
          <w:sz w:val="20"/>
          <w:szCs w:val="20"/>
          <w:lang w:eastAsia="zh-CN"/>
        </w:rPr>
        <w:t>cash co-financing transferred to UNDP bank account only</w:t>
      </w:r>
      <w:r w:rsidR="00194AA1">
        <w:rPr>
          <w:rFonts w:asciiTheme="majorHAnsi" w:hAnsiTheme="majorHAnsi"/>
          <w:color w:val="000000"/>
          <w:sz w:val="20"/>
          <w:szCs w:val="20"/>
        </w:rPr>
        <w:t xml:space="preserve">. </w:t>
      </w:r>
    </w:p>
    <w:p w14:paraId="797C9FCE" w14:textId="77777777" w:rsidR="003F1173" w:rsidRPr="005722A6" w:rsidRDefault="003F1173" w:rsidP="00A04E6F">
      <w:pPr>
        <w:autoSpaceDE w:val="0"/>
        <w:autoSpaceDN w:val="0"/>
        <w:adjustRightInd w:val="0"/>
        <w:spacing w:after="0"/>
        <w:jc w:val="left"/>
        <w:rPr>
          <w:rFonts w:asciiTheme="majorHAnsi" w:hAnsiTheme="majorHAnsi"/>
          <w:color w:val="000000"/>
          <w:sz w:val="20"/>
          <w:szCs w:val="20"/>
          <w:u w:val="single"/>
        </w:rPr>
      </w:pPr>
    </w:p>
    <w:p w14:paraId="3D0B87BD" w14:textId="77777777" w:rsidR="003E3ABA" w:rsidRPr="005722A6" w:rsidRDefault="003E3ABA" w:rsidP="00A04E6F">
      <w:pPr>
        <w:autoSpaceDE w:val="0"/>
        <w:autoSpaceDN w:val="0"/>
        <w:adjustRightInd w:val="0"/>
        <w:spacing w:after="0"/>
        <w:jc w:val="left"/>
        <w:rPr>
          <w:rFonts w:asciiTheme="majorHAnsi" w:hAnsiTheme="majorHAnsi"/>
          <w:color w:val="000000"/>
          <w:sz w:val="20"/>
          <w:szCs w:val="20"/>
        </w:rPr>
      </w:pPr>
      <w:r w:rsidRPr="005722A6">
        <w:rPr>
          <w:rFonts w:asciiTheme="majorHAnsi" w:hAnsiTheme="majorHAnsi"/>
          <w:color w:val="000000"/>
          <w:sz w:val="20"/>
          <w:szCs w:val="20"/>
          <w:u w:val="single"/>
        </w:rPr>
        <w:t>Parallel co-financing</w:t>
      </w:r>
      <w:r w:rsidRPr="005722A6">
        <w:rPr>
          <w:rFonts w:asciiTheme="majorHAnsi" w:hAnsiTheme="majorHAnsi"/>
          <w:color w:val="000000"/>
          <w:sz w:val="20"/>
          <w:szCs w:val="20"/>
        </w:rPr>
        <w:t xml:space="preserve">:  </w:t>
      </w:r>
      <w:r w:rsidR="00CA1DCA" w:rsidRPr="005722A6">
        <w:rPr>
          <w:rFonts w:asciiTheme="majorHAnsi" w:hAnsiTheme="majorHAnsi"/>
          <w:color w:val="000000"/>
          <w:sz w:val="20"/>
          <w:szCs w:val="20"/>
        </w:rPr>
        <w:t xml:space="preserve">The actual realization of project co-financing will be monitored during the </w:t>
      </w:r>
      <w:r w:rsidR="00CA1DCA" w:rsidRPr="005722A6">
        <w:rPr>
          <w:rFonts w:asciiTheme="majorHAnsi" w:hAnsiTheme="majorHAnsi"/>
          <w:i/>
          <w:color w:val="000000"/>
          <w:sz w:val="20"/>
          <w:szCs w:val="20"/>
        </w:rPr>
        <w:t>mid-term review</w:t>
      </w:r>
      <w:r w:rsidR="00CA1DCA" w:rsidRPr="005722A6">
        <w:rPr>
          <w:rFonts w:asciiTheme="majorHAnsi" w:hAnsiTheme="majorHAnsi"/>
          <w:color w:val="000000"/>
          <w:sz w:val="20"/>
          <w:szCs w:val="20"/>
        </w:rPr>
        <w:t xml:space="preserve"> and terminal evaluation process and will be reported to the GEF. </w:t>
      </w:r>
      <w:r w:rsidRPr="005722A6">
        <w:rPr>
          <w:rFonts w:asciiTheme="majorHAnsi" w:hAnsiTheme="majorHAnsi"/>
          <w:color w:val="000000"/>
          <w:sz w:val="20"/>
          <w:szCs w:val="20"/>
        </w:rPr>
        <w:t>The planned parallel co-financing will be used as follows:</w:t>
      </w:r>
    </w:p>
    <w:p w14:paraId="7E6338B2" w14:textId="77777777" w:rsidR="003E3ABA" w:rsidRPr="0003763F" w:rsidRDefault="003E3ABA" w:rsidP="00A04E6F">
      <w:pPr>
        <w:autoSpaceDE w:val="0"/>
        <w:autoSpaceDN w:val="0"/>
        <w:adjustRightInd w:val="0"/>
        <w:spacing w:after="0"/>
        <w:jc w:val="left"/>
        <w:rPr>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409"/>
        <w:gridCol w:w="1381"/>
        <w:gridCol w:w="2070"/>
        <w:gridCol w:w="1620"/>
        <w:gridCol w:w="1818"/>
      </w:tblGrid>
      <w:tr w:rsidR="00C85C67" w:rsidRPr="003F1173" w14:paraId="57FB8F7D" w14:textId="77777777" w:rsidTr="00C85C67">
        <w:trPr>
          <w:jc w:val="center"/>
        </w:trPr>
        <w:tc>
          <w:tcPr>
            <w:tcW w:w="1278" w:type="dxa"/>
            <w:shd w:val="clear" w:color="auto" w:fill="auto"/>
          </w:tcPr>
          <w:p w14:paraId="3F82F91A" w14:textId="77777777" w:rsidR="003E3ABA" w:rsidRPr="003F1173" w:rsidRDefault="003E3ABA" w:rsidP="00A04E6F">
            <w:pPr>
              <w:autoSpaceDE w:val="0"/>
              <w:autoSpaceDN w:val="0"/>
              <w:adjustRightInd w:val="0"/>
              <w:spacing w:after="0"/>
              <w:jc w:val="center"/>
              <w:rPr>
                <w:b/>
                <w:color w:val="000000"/>
                <w:sz w:val="18"/>
                <w:szCs w:val="18"/>
              </w:rPr>
            </w:pPr>
            <w:r w:rsidRPr="003F1173">
              <w:rPr>
                <w:b/>
                <w:color w:val="000000"/>
                <w:sz w:val="18"/>
                <w:szCs w:val="18"/>
              </w:rPr>
              <w:t>Co-financing source</w:t>
            </w:r>
          </w:p>
        </w:tc>
        <w:tc>
          <w:tcPr>
            <w:tcW w:w="1409" w:type="dxa"/>
            <w:shd w:val="clear" w:color="auto" w:fill="auto"/>
          </w:tcPr>
          <w:p w14:paraId="1E9B3EC7" w14:textId="77777777" w:rsidR="003E3ABA" w:rsidRPr="003F1173" w:rsidRDefault="003E3ABA" w:rsidP="00A04E6F">
            <w:pPr>
              <w:autoSpaceDE w:val="0"/>
              <w:autoSpaceDN w:val="0"/>
              <w:adjustRightInd w:val="0"/>
              <w:spacing w:after="0"/>
              <w:jc w:val="center"/>
              <w:rPr>
                <w:b/>
                <w:color w:val="000000"/>
                <w:sz w:val="18"/>
                <w:szCs w:val="18"/>
              </w:rPr>
            </w:pPr>
            <w:r w:rsidRPr="003F1173">
              <w:rPr>
                <w:b/>
                <w:color w:val="000000"/>
                <w:sz w:val="18"/>
                <w:szCs w:val="18"/>
              </w:rPr>
              <w:t>Co-financing type</w:t>
            </w:r>
          </w:p>
        </w:tc>
        <w:tc>
          <w:tcPr>
            <w:tcW w:w="1381" w:type="dxa"/>
            <w:shd w:val="clear" w:color="auto" w:fill="auto"/>
          </w:tcPr>
          <w:p w14:paraId="44C41416" w14:textId="77777777" w:rsidR="003E3ABA" w:rsidRPr="003F1173" w:rsidRDefault="003E3ABA" w:rsidP="00A04E6F">
            <w:pPr>
              <w:autoSpaceDE w:val="0"/>
              <w:autoSpaceDN w:val="0"/>
              <w:adjustRightInd w:val="0"/>
              <w:spacing w:after="0"/>
              <w:jc w:val="center"/>
              <w:rPr>
                <w:b/>
                <w:color w:val="000000"/>
                <w:sz w:val="18"/>
                <w:szCs w:val="18"/>
              </w:rPr>
            </w:pPr>
            <w:r w:rsidRPr="003F1173">
              <w:rPr>
                <w:b/>
                <w:color w:val="000000"/>
                <w:sz w:val="18"/>
                <w:szCs w:val="18"/>
              </w:rPr>
              <w:t>Co-financing amount</w:t>
            </w:r>
          </w:p>
        </w:tc>
        <w:tc>
          <w:tcPr>
            <w:tcW w:w="2070" w:type="dxa"/>
            <w:shd w:val="clear" w:color="auto" w:fill="auto"/>
          </w:tcPr>
          <w:p w14:paraId="314367E2" w14:textId="77777777" w:rsidR="003E3ABA" w:rsidRPr="003F1173" w:rsidRDefault="003E3ABA" w:rsidP="00A04E6F">
            <w:pPr>
              <w:autoSpaceDE w:val="0"/>
              <w:autoSpaceDN w:val="0"/>
              <w:adjustRightInd w:val="0"/>
              <w:spacing w:after="0"/>
              <w:jc w:val="center"/>
              <w:rPr>
                <w:b/>
                <w:color w:val="000000"/>
                <w:sz w:val="18"/>
                <w:szCs w:val="18"/>
              </w:rPr>
            </w:pPr>
            <w:r w:rsidRPr="003F1173">
              <w:rPr>
                <w:b/>
                <w:color w:val="000000"/>
                <w:sz w:val="18"/>
                <w:szCs w:val="18"/>
              </w:rPr>
              <w:t>Planned Activities/Outputs</w:t>
            </w:r>
          </w:p>
        </w:tc>
        <w:tc>
          <w:tcPr>
            <w:tcW w:w="1620" w:type="dxa"/>
            <w:shd w:val="clear" w:color="auto" w:fill="auto"/>
          </w:tcPr>
          <w:p w14:paraId="01F5256B" w14:textId="77777777" w:rsidR="003E3ABA" w:rsidRPr="003F1173" w:rsidRDefault="003E3ABA" w:rsidP="00A04E6F">
            <w:pPr>
              <w:autoSpaceDE w:val="0"/>
              <w:autoSpaceDN w:val="0"/>
              <w:adjustRightInd w:val="0"/>
              <w:spacing w:after="0"/>
              <w:jc w:val="center"/>
              <w:rPr>
                <w:b/>
                <w:color w:val="000000"/>
                <w:sz w:val="18"/>
                <w:szCs w:val="18"/>
              </w:rPr>
            </w:pPr>
            <w:r w:rsidRPr="003F1173">
              <w:rPr>
                <w:b/>
                <w:color w:val="000000"/>
                <w:sz w:val="18"/>
                <w:szCs w:val="18"/>
              </w:rPr>
              <w:t>Risks</w:t>
            </w:r>
          </w:p>
        </w:tc>
        <w:tc>
          <w:tcPr>
            <w:tcW w:w="1818" w:type="dxa"/>
            <w:shd w:val="clear" w:color="auto" w:fill="auto"/>
          </w:tcPr>
          <w:p w14:paraId="34A924F5" w14:textId="77777777" w:rsidR="003E3ABA" w:rsidRPr="003F1173" w:rsidRDefault="003E3ABA" w:rsidP="00A04E6F">
            <w:pPr>
              <w:autoSpaceDE w:val="0"/>
              <w:autoSpaceDN w:val="0"/>
              <w:adjustRightInd w:val="0"/>
              <w:spacing w:after="0"/>
              <w:jc w:val="center"/>
              <w:rPr>
                <w:b/>
                <w:color w:val="000000"/>
                <w:sz w:val="18"/>
                <w:szCs w:val="18"/>
              </w:rPr>
            </w:pPr>
            <w:r w:rsidRPr="003F1173">
              <w:rPr>
                <w:b/>
                <w:color w:val="000000"/>
                <w:sz w:val="18"/>
                <w:szCs w:val="18"/>
              </w:rPr>
              <w:t>Risk Mitigation Measures</w:t>
            </w:r>
          </w:p>
        </w:tc>
      </w:tr>
      <w:tr w:rsidR="00C85C67" w:rsidRPr="003F1173" w14:paraId="46E24775" w14:textId="77777777" w:rsidTr="00C85C67">
        <w:trPr>
          <w:jc w:val="center"/>
        </w:trPr>
        <w:tc>
          <w:tcPr>
            <w:tcW w:w="1278" w:type="dxa"/>
            <w:shd w:val="clear" w:color="auto" w:fill="auto"/>
          </w:tcPr>
          <w:p w14:paraId="68BCA000" w14:textId="60724229" w:rsidR="003E3ABA" w:rsidRPr="003F1173" w:rsidRDefault="00B92273" w:rsidP="00A04E6F">
            <w:pPr>
              <w:autoSpaceDE w:val="0"/>
              <w:autoSpaceDN w:val="0"/>
              <w:adjustRightInd w:val="0"/>
              <w:spacing w:after="0"/>
              <w:jc w:val="left"/>
              <w:rPr>
                <w:i/>
                <w:color w:val="000000"/>
                <w:sz w:val="18"/>
                <w:szCs w:val="18"/>
              </w:rPr>
            </w:pPr>
            <w:r>
              <w:rPr>
                <w:i/>
                <w:color w:val="000000"/>
                <w:sz w:val="18"/>
                <w:szCs w:val="18"/>
              </w:rPr>
              <w:t>Government</w:t>
            </w:r>
          </w:p>
        </w:tc>
        <w:tc>
          <w:tcPr>
            <w:tcW w:w="1409" w:type="dxa"/>
            <w:shd w:val="clear" w:color="auto" w:fill="auto"/>
          </w:tcPr>
          <w:p w14:paraId="275307ED" w14:textId="0900F8FF" w:rsidR="003E3ABA" w:rsidRPr="003F1173" w:rsidRDefault="00B92273" w:rsidP="00B92273">
            <w:pPr>
              <w:autoSpaceDE w:val="0"/>
              <w:autoSpaceDN w:val="0"/>
              <w:adjustRightInd w:val="0"/>
              <w:spacing w:after="0"/>
              <w:jc w:val="left"/>
              <w:rPr>
                <w:i/>
                <w:color w:val="000000"/>
                <w:sz w:val="18"/>
                <w:szCs w:val="18"/>
              </w:rPr>
            </w:pPr>
            <w:r>
              <w:rPr>
                <w:i/>
                <w:color w:val="000000"/>
                <w:sz w:val="18"/>
                <w:szCs w:val="18"/>
              </w:rPr>
              <w:t xml:space="preserve">Cash and </w:t>
            </w:r>
            <w:r w:rsidR="003E3ABA" w:rsidRPr="003F1173">
              <w:rPr>
                <w:i/>
                <w:color w:val="000000"/>
                <w:sz w:val="18"/>
                <w:szCs w:val="18"/>
              </w:rPr>
              <w:t>In kind</w:t>
            </w:r>
            <w:r>
              <w:rPr>
                <w:i/>
                <w:color w:val="000000"/>
                <w:sz w:val="18"/>
                <w:szCs w:val="18"/>
              </w:rPr>
              <w:t xml:space="preserve"> </w:t>
            </w:r>
          </w:p>
        </w:tc>
        <w:tc>
          <w:tcPr>
            <w:tcW w:w="1381" w:type="dxa"/>
            <w:shd w:val="clear" w:color="auto" w:fill="auto"/>
          </w:tcPr>
          <w:p w14:paraId="3763E677" w14:textId="27369C61" w:rsidR="003E3ABA" w:rsidRPr="003F1173" w:rsidRDefault="00C85C67" w:rsidP="00387D47">
            <w:pPr>
              <w:autoSpaceDE w:val="0"/>
              <w:autoSpaceDN w:val="0"/>
              <w:adjustRightInd w:val="0"/>
              <w:spacing w:after="0"/>
              <w:jc w:val="left"/>
              <w:rPr>
                <w:i/>
                <w:color w:val="000000"/>
                <w:sz w:val="18"/>
                <w:szCs w:val="18"/>
              </w:rPr>
            </w:pPr>
            <w:r>
              <w:rPr>
                <w:i/>
                <w:color w:val="000000"/>
                <w:sz w:val="18"/>
                <w:szCs w:val="18"/>
              </w:rPr>
              <w:t>18,</w:t>
            </w:r>
            <w:r w:rsidR="00387D47">
              <w:rPr>
                <w:i/>
                <w:color w:val="000000"/>
                <w:sz w:val="18"/>
                <w:szCs w:val="18"/>
              </w:rPr>
              <w:t>616</w:t>
            </w:r>
            <w:r>
              <w:rPr>
                <w:i/>
                <w:color w:val="000000"/>
                <w:sz w:val="18"/>
                <w:szCs w:val="18"/>
              </w:rPr>
              <w:t>,306</w:t>
            </w:r>
          </w:p>
        </w:tc>
        <w:tc>
          <w:tcPr>
            <w:tcW w:w="2070" w:type="dxa"/>
            <w:shd w:val="clear" w:color="auto" w:fill="auto"/>
          </w:tcPr>
          <w:p w14:paraId="0E8D3521" w14:textId="441A2349" w:rsidR="003E3ABA" w:rsidRPr="003F1173" w:rsidRDefault="008150CF" w:rsidP="008150CF">
            <w:pPr>
              <w:autoSpaceDE w:val="0"/>
              <w:autoSpaceDN w:val="0"/>
              <w:adjustRightInd w:val="0"/>
              <w:spacing w:after="0"/>
              <w:jc w:val="left"/>
              <w:rPr>
                <w:i/>
                <w:color w:val="000000"/>
                <w:sz w:val="18"/>
                <w:szCs w:val="18"/>
                <w:lang w:val="fr-FR"/>
              </w:rPr>
            </w:pPr>
            <w:r>
              <w:rPr>
                <w:i/>
                <w:color w:val="000000"/>
                <w:sz w:val="18"/>
                <w:szCs w:val="18"/>
                <w:lang w:val="fr-FR"/>
              </w:rPr>
              <w:t xml:space="preserve">Program investment support, staff and office space, operations, etc. </w:t>
            </w:r>
          </w:p>
        </w:tc>
        <w:tc>
          <w:tcPr>
            <w:tcW w:w="1620" w:type="dxa"/>
            <w:shd w:val="clear" w:color="auto" w:fill="auto"/>
          </w:tcPr>
          <w:p w14:paraId="5A3BFAEB" w14:textId="16C2A3FF" w:rsidR="003E3ABA" w:rsidRPr="003F1173" w:rsidRDefault="008150CF" w:rsidP="008150CF">
            <w:pPr>
              <w:autoSpaceDE w:val="0"/>
              <w:autoSpaceDN w:val="0"/>
              <w:adjustRightInd w:val="0"/>
              <w:spacing w:after="0"/>
              <w:jc w:val="left"/>
              <w:rPr>
                <w:i/>
                <w:color w:val="000000"/>
                <w:sz w:val="18"/>
                <w:szCs w:val="18"/>
              </w:rPr>
            </w:pPr>
            <w:r>
              <w:rPr>
                <w:i/>
                <w:color w:val="000000"/>
                <w:sz w:val="18"/>
                <w:szCs w:val="18"/>
              </w:rPr>
              <w:t>Potential risk of funds being unavailable to project landscapes because of changing government priorities and lack of political commitment</w:t>
            </w:r>
          </w:p>
        </w:tc>
        <w:tc>
          <w:tcPr>
            <w:tcW w:w="1818" w:type="dxa"/>
            <w:shd w:val="clear" w:color="auto" w:fill="auto"/>
          </w:tcPr>
          <w:p w14:paraId="4A15F199" w14:textId="43F91F11" w:rsidR="003E3ABA" w:rsidRPr="003F1173" w:rsidRDefault="008150CF" w:rsidP="008150CF">
            <w:pPr>
              <w:autoSpaceDE w:val="0"/>
              <w:autoSpaceDN w:val="0"/>
              <w:adjustRightInd w:val="0"/>
              <w:spacing w:after="0"/>
              <w:jc w:val="left"/>
              <w:rPr>
                <w:i/>
                <w:color w:val="000000"/>
                <w:sz w:val="18"/>
                <w:szCs w:val="18"/>
              </w:rPr>
            </w:pPr>
            <w:r>
              <w:rPr>
                <w:i/>
                <w:color w:val="000000"/>
                <w:sz w:val="18"/>
                <w:szCs w:val="18"/>
              </w:rPr>
              <w:t xml:space="preserve">The co-financing will be from existing and proposed government programs and the Steering Committee and NEPC will facilitate and ensure that co-financing efforts are not severely compromised  will be made  </w:t>
            </w:r>
          </w:p>
        </w:tc>
      </w:tr>
      <w:tr w:rsidR="00C85C67" w:rsidRPr="003F1173" w14:paraId="232E3007" w14:textId="77777777" w:rsidTr="00C85C67">
        <w:trPr>
          <w:jc w:val="center"/>
        </w:trPr>
        <w:tc>
          <w:tcPr>
            <w:tcW w:w="1278" w:type="dxa"/>
            <w:shd w:val="clear" w:color="auto" w:fill="auto"/>
          </w:tcPr>
          <w:p w14:paraId="5E29F654" w14:textId="3DF531AB" w:rsidR="008150CF" w:rsidRPr="003F1173" w:rsidDel="00B92273" w:rsidRDefault="008150CF" w:rsidP="00A04E6F">
            <w:pPr>
              <w:autoSpaceDE w:val="0"/>
              <w:autoSpaceDN w:val="0"/>
              <w:adjustRightInd w:val="0"/>
              <w:spacing w:after="0"/>
              <w:jc w:val="left"/>
              <w:rPr>
                <w:i/>
                <w:color w:val="000000"/>
                <w:sz w:val="18"/>
                <w:szCs w:val="18"/>
              </w:rPr>
            </w:pPr>
            <w:r>
              <w:rPr>
                <w:i/>
                <w:color w:val="000000"/>
                <w:sz w:val="18"/>
                <w:szCs w:val="18"/>
              </w:rPr>
              <w:t>CSOs</w:t>
            </w:r>
          </w:p>
        </w:tc>
        <w:tc>
          <w:tcPr>
            <w:tcW w:w="1409" w:type="dxa"/>
            <w:shd w:val="clear" w:color="auto" w:fill="auto"/>
          </w:tcPr>
          <w:p w14:paraId="0ADBD75A" w14:textId="027F3EA6" w:rsidR="008150CF" w:rsidRDefault="008150CF" w:rsidP="00B92273">
            <w:pPr>
              <w:autoSpaceDE w:val="0"/>
              <w:autoSpaceDN w:val="0"/>
              <w:adjustRightInd w:val="0"/>
              <w:spacing w:after="0"/>
              <w:jc w:val="left"/>
              <w:rPr>
                <w:i/>
                <w:color w:val="000000"/>
                <w:sz w:val="18"/>
                <w:szCs w:val="18"/>
              </w:rPr>
            </w:pPr>
            <w:r>
              <w:rPr>
                <w:i/>
                <w:color w:val="000000"/>
                <w:sz w:val="18"/>
                <w:szCs w:val="18"/>
              </w:rPr>
              <w:t>Cash and In-kind</w:t>
            </w:r>
          </w:p>
        </w:tc>
        <w:tc>
          <w:tcPr>
            <w:tcW w:w="1381" w:type="dxa"/>
            <w:shd w:val="clear" w:color="auto" w:fill="auto"/>
          </w:tcPr>
          <w:p w14:paraId="2EE13B36" w14:textId="66930B64" w:rsidR="008150CF" w:rsidRDefault="008150CF" w:rsidP="00A04E6F">
            <w:pPr>
              <w:autoSpaceDE w:val="0"/>
              <w:autoSpaceDN w:val="0"/>
              <w:adjustRightInd w:val="0"/>
              <w:spacing w:after="0"/>
              <w:jc w:val="left"/>
              <w:rPr>
                <w:i/>
                <w:color w:val="000000"/>
                <w:sz w:val="18"/>
                <w:szCs w:val="18"/>
              </w:rPr>
            </w:pPr>
            <w:r>
              <w:rPr>
                <w:i/>
                <w:color w:val="000000"/>
                <w:sz w:val="18"/>
                <w:szCs w:val="18"/>
              </w:rPr>
              <w:t>4,055,000</w:t>
            </w:r>
          </w:p>
        </w:tc>
        <w:tc>
          <w:tcPr>
            <w:tcW w:w="2070" w:type="dxa"/>
            <w:shd w:val="clear" w:color="auto" w:fill="auto"/>
          </w:tcPr>
          <w:p w14:paraId="11A96435" w14:textId="503BB386" w:rsidR="008150CF" w:rsidRDefault="008150CF" w:rsidP="008150CF">
            <w:pPr>
              <w:autoSpaceDE w:val="0"/>
              <w:autoSpaceDN w:val="0"/>
              <w:adjustRightInd w:val="0"/>
              <w:spacing w:after="0"/>
              <w:jc w:val="left"/>
              <w:rPr>
                <w:i/>
                <w:color w:val="000000"/>
                <w:sz w:val="18"/>
                <w:szCs w:val="18"/>
                <w:lang w:val="fr-FR"/>
              </w:rPr>
            </w:pPr>
            <w:r>
              <w:rPr>
                <w:i/>
                <w:color w:val="000000"/>
                <w:sz w:val="18"/>
                <w:szCs w:val="18"/>
                <w:lang w:val="fr-FR"/>
              </w:rPr>
              <w:t xml:space="preserve">Program investment support, staff salaries and field operations </w:t>
            </w:r>
          </w:p>
        </w:tc>
        <w:tc>
          <w:tcPr>
            <w:tcW w:w="1620" w:type="dxa"/>
            <w:shd w:val="clear" w:color="auto" w:fill="auto"/>
          </w:tcPr>
          <w:p w14:paraId="2A75F3B6" w14:textId="1D62F526" w:rsidR="008150CF" w:rsidRPr="003F1173" w:rsidDel="008150CF" w:rsidRDefault="008150CF" w:rsidP="008150CF">
            <w:pPr>
              <w:autoSpaceDE w:val="0"/>
              <w:autoSpaceDN w:val="0"/>
              <w:adjustRightInd w:val="0"/>
              <w:spacing w:after="0"/>
              <w:jc w:val="left"/>
              <w:rPr>
                <w:i/>
                <w:color w:val="000000"/>
                <w:sz w:val="18"/>
                <w:szCs w:val="18"/>
              </w:rPr>
            </w:pPr>
            <w:r>
              <w:rPr>
                <w:i/>
                <w:color w:val="000000"/>
                <w:sz w:val="18"/>
                <w:szCs w:val="18"/>
              </w:rPr>
              <w:t xml:space="preserve">Potential risks of government not willing to </w:t>
            </w:r>
            <w:r>
              <w:rPr>
                <w:i/>
                <w:color w:val="000000"/>
                <w:sz w:val="18"/>
                <w:szCs w:val="18"/>
              </w:rPr>
              <w:lastRenderedPageBreak/>
              <w:t>collaborate with the CSOs</w:t>
            </w:r>
          </w:p>
        </w:tc>
        <w:tc>
          <w:tcPr>
            <w:tcW w:w="1818" w:type="dxa"/>
            <w:shd w:val="clear" w:color="auto" w:fill="auto"/>
          </w:tcPr>
          <w:p w14:paraId="0A135846" w14:textId="79AD9E99" w:rsidR="008150CF" w:rsidRDefault="008150CF" w:rsidP="008150CF">
            <w:pPr>
              <w:autoSpaceDE w:val="0"/>
              <w:autoSpaceDN w:val="0"/>
              <w:adjustRightInd w:val="0"/>
              <w:spacing w:after="0"/>
              <w:jc w:val="left"/>
              <w:rPr>
                <w:i/>
                <w:color w:val="000000"/>
                <w:sz w:val="18"/>
                <w:szCs w:val="18"/>
              </w:rPr>
            </w:pPr>
            <w:r>
              <w:rPr>
                <w:i/>
                <w:color w:val="000000"/>
                <w:sz w:val="18"/>
                <w:szCs w:val="18"/>
              </w:rPr>
              <w:lastRenderedPageBreak/>
              <w:t xml:space="preserve">The JCB will include representatives from key CBOs to ensure </w:t>
            </w:r>
            <w:r>
              <w:rPr>
                <w:i/>
                <w:color w:val="000000"/>
                <w:sz w:val="18"/>
                <w:szCs w:val="18"/>
              </w:rPr>
              <w:lastRenderedPageBreak/>
              <w:t>that their interest and collaboration is ensured</w:t>
            </w:r>
          </w:p>
        </w:tc>
      </w:tr>
      <w:tr w:rsidR="00C85C67" w:rsidRPr="0003763F" w14:paraId="27864639" w14:textId="77777777" w:rsidTr="00C85C67">
        <w:trPr>
          <w:trHeight w:val="287"/>
          <w:jc w:val="center"/>
        </w:trPr>
        <w:tc>
          <w:tcPr>
            <w:tcW w:w="2687" w:type="dxa"/>
            <w:gridSpan w:val="2"/>
            <w:shd w:val="clear" w:color="auto" w:fill="auto"/>
          </w:tcPr>
          <w:p w14:paraId="28DB0296" w14:textId="0A4243E7" w:rsidR="00C85C67" w:rsidRPr="00C85C67" w:rsidRDefault="00C85C67" w:rsidP="00A04E6F">
            <w:pPr>
              <w:autoSpaceDE w:val="0"/>
              <w:autoSpaceDN w:val="0"/>
              <w:adjustRightInd w:val="0"/>
              <w:spacing w:after="0"/>
              <w:jc w:val="left"/>
              <w:rPr>
                <w:b/>
                <w:color w:val="000000"/>
                <w:sz w:val="18"/>
                <w:szCs w:val="18"/>
              </w:rPr>
            </w:pPr>
            <w:r w:rsidRPr="00C85C67">
              <w:rPr>
                <w:b/>
                <w:color w:val="000000"/>
                <w:sz w:val="18"/>
                <w:szCs w:val="18"/>
              </w:rPr>
              <w:lastRenderedPageBreak/>
              <w:t>Total (USD)</w:t>
            </w:r>
          </w:p>
        </w:tc>
        <w:tc>
          <w:tcPr>
            <w:tcW w:w="1381" w:type="dxa"/>
            <w:shd w:val="clear" w:color="auto" w:fill="auto"/>
          </w:tcPr>
          <w:p w14:paraId="74FF0EA1" w14:textId="09022642" w:rsidR="00C85C67" w:rsidRPr="00C85C67" w:rsidRDefault="00C85C67" w:rsidP="00387D47">
            <w:pPr>
              <w:autoSpaceDE w:val="0"/>
              <w:autoSpaceDN w:val="0"/>
              <w:adjustRightInd w:val="0"/>
              <w:spacing w:after="0"/>
              <w:jc w:val="left"/>
              <w:rPr>
                <w:b/>
                <w:color w:val="000000"/>
                <w:sz w:val="18"/>
                <w:szCs w:val="18"/>
              </w:rPr>
            </w:pPr>
            <w:r w:rsidRPr="00C85C67">
              <w:rPr>
                <w:b/>
                <w:color w:val="000000"/>
                <w:sz w:val="18"/>
                <w:szCs w:val="18"/>
              </w:rPr>
              <w:t>22,</w:t>
            </w:r>
            <w:r w:rsidR="00387D47">
              <w:rPr>
                <w:b/>
                <w:color w:val="000000"/>
                <w:sz w:val="18"/>
                <w:szCs w:val="18"/>
              </w:rPr>
              <w:t>671</w:t>
            </w:r>
            <w:r w:rsidRPr="00C85C67">
              <w:rPr>
                <w:b/>
                <w:color w:val="000000"/>
                <w:sz w:val="18"/>
                <w:szCs w:val="18"/>
              </w:rPr>
              <w:t>,306</w:t>
            </w:r>
          </w:p>
        </w:tc>
        <w:tc>
          <w:tcPr>
            <w:tcW w:w="5508" w:type="dxa"/>
            <w:gridSpan w:val="3"/>
            <w:shd w:val="clear" w:color="auto" w:fill="auto"/>
          </w:tcPr>
          <w:p w14:paraId="3BA0EBE3" w14:textId="0A93C97F" w:rsidR="00C85C67" w:rsidRPr="00C85C67" w:rsidRDefault="00C85C67" w:rsidP="00A04E6F">
            <w:pPr>
              <w:autoSpaceDE w:val="0"/>
              <w:autoSpaceDN w:val="0"/>
              <w:adjustRightInd w:val="0"/>
              <w:spacing w:after="0"/>
              <w:jc w:val="left"/>
              <w:rPr>
                <w:color w:val="000000"/>
                <w:sz w:val="18"/>
                <w:szCs w:val="18"/>
              </w:rPr>
            </w:pPr>
          </w:p>
        </w:tc>
      </w:tr>
    </w:tbl>
    <w:p w14:paraId="6540BB9E" w14:textId="77777777" w:rsidR="003E3ABA" w:rsidRPr="0003763F" w:rsidRDefault="003E3ABA" w:rsidP="00A04E6F">
      <w:pPr>
        <w:autoSpaceDE w:val="0"/>
        <w:autoSpaceDN w:val="0"/>
        <w:adjustRightInd w:val="0"/>
        <w:spacing w:after="0"/>
        <w:jc w:val="left"/>
        <w:rPr>
          <w:color w:val="000000"/>
          <w:szCs w:val="20"/>
        </w:rPr>
      </w:pPr>
    </w:p>
    <w:p w14:paraId="7F6A7E1A" w14:textId="77777777" w:rsidR="005E4C83" w:rsidRPr="00F74786" w:rsidRDefault="003E3ABA" w:rsidP="00F74786">
      <w:pPr>
        <w:pStyle w:val="ListParagraph"/>
        <w:ind w:left="0"/>
        <w:jc w:val="both"/>
        <w:rPr>
          <w:rFonts w:asciiTheme="majorHAnsi" w:hAnsiTheme="majorHAnsi"/>
          <w:sz w:val="20"/>
          <w:szCs w:val="20"/>
        </w:rPr>
      </w:pPr>
      <w:r w:rsidRPr="00F74786">
        <w:rPr>
          <w:rFonts w:asciiTheme="majorHAnsi" w:hAnsiTheme="majorHAnsi"/>
          <w:sz w:val="20"/>
          <w:szCs w:val="20"/>
          <w:u w:val="single"/>
        </w:rPr>
        <w:t>Budget Revision and Tolerance</w:t>
      </w:r>
      <w:r w:rsidR="00AF4698" w:rsidRPr="00F74786">
        <w:rPr>
          <w:rFonts w:asciiTheme="majorHAnsi" w:hAnsiTheme="majorHAnsi"/>
          <w:sz w:val="20"/>
          <w:szCs w:val="20"/>
        </w:rPr>
        <w:t xml:space="preserve">:  As per </w:t>
      </w:r>
      <w:r w:rsidRPr="00F74786">
        <w:rPr>
          <w:rFonts w:asciiTheme="majorHAnsi" w:hAnsiTheme="majorHAnsi"/>
          <w:sz w:val="20"/>
          <w:szCs w:val="20"/>
        </w:rPr>
        <w:t xml:space="preserve">UNDP requirements outlined in the UNDP POPP, the project board </w:t>
      </w:r>
      <w:r w:rsidR="005E4C83" w:rsidRPr="00F74786">
        <w:rPr>
          <w:rFonts w:asciiTheme="majorHAnsi" w:hAnsiTheme="majorHAnsi"/>
          <w:sz w:val="20"/>
          <w:szCs w:val="20"/>
        </w:rPr>
        <w:t>will</w:t>
      </w:r>
      <w:r w:rsidRPr="00F74786">
        <w:rPr>
          <w:rFonts w:asciiTheme="majorHAnsi" w:hAnsiTheme="majorHAnsi"/>
          <w:sz w:val="20"/>
          <w:szCs w:val="20"/>
        </w:rPr>
        <w:t xml:space="preserve"> agree on a budget tolerance level for each plan under the overall annual work plan allowing the project </w:t>
      </w:r>
      <w:r w:rsidR="005E4C83" w:rsidRPr="00F74786">
        <w:rPr>
          <w:rFonts w:asciiTheme="majorHAnsi" w:hAnsiTheme="majorHAnsi"/>
          <w:sz w:val="20"/>
          <w:szCs w:val="20"/>
        </w:rPr>
        <w:t>m</w:t>
      </w:r>
      <w:r w:rsidRPr="00F74786">
        <w:rPr>
          <w:rFonts w:asciiTheme="majorHAnsi" w:hAnsiTheme="majorHAnsi"/>
          <w:sz w:val="20"/>
          <w:szCs w:val="20"/>
        </w:rPr>
        <w:t>anager to expend up to the tolerance level beyond the approved project budget amount for the year without requiri</w:t>
      </w:r>
      <w:r w:rsidR="005E4C83" w:rsidRPr="00F74786">
        <w:rPr>
          <w:rFonts w:asciiTheme="majorHAnsi" w:hAnsiTheme="majorHAnsi"/>
          <w:sz w:val="20"/>
          <w:szCs w:val="20"/>
        </w:rPr>
        <w:t>ng a revision from the Project B</w:t>
      </w:r>
      <w:r w:rsidRPr="00F74786">
        <w:rPr>
          <w:rFonts w:asciiTheme="majorHAnsi" w:hAnsiTheme="majorHAnsi"/>
          <w:sz w:val="20"/>
          <w:szCs w:val="20"/>
        </w:rPr>
        <w:t xml:space="preserve">oard. Should the following deviations occur, the Project Manager and UNDP Country Office will seek the approval of the UNDP-GEF team as these are considered major amendments by the GEF: </w:t>
      </w:r>
      <w:r w:rsidR="005E4C83" w:rsidRPr="00F74786">
        <w:rPr>
          <w:rFonts w:asciiTheme="majorHAnsi" w:hAnsiTheme="majorHAnsi"/>
          <w:sz w:val="20"/>
          <w:szCs w:val="20"/>
        </w:rPr>
        <w:t>a) B</w:t>
      </w:r>
      <w:r w:rsidRPr="00F74786">
        <w:rPr>
          <w:rFonts w:asciiTheme="majorHAnsi" w:hAnsiTheme="majorHAnsi"/>
          <w:sz w:val="20"/>
          <w:szCs w:val="20"/>
        </w:rPr>
        <w:t xml:space="preserve">udget re-allocations among components in the project with amounts involving 10% of the total project grant or more; </w:t>
      </w:r>
      <w:r w:rsidR="005E4C83" w:rsidRPr="00F74786">
        <w:rPr>
          <w:rFonts w:asciiTheme="majorHAnsi" w:hAnsiTheme="majorHAnsi"/>
          <w:sz w:val="20"/>
          <w:szCs w:val="20"/>
        </w:rPr>
        <w:t>b) I</w:t>
      </w:r>
      <w:r w:rsidRPr="00F74786">
        <w:rPr>
          <w:rFonts w:asciiTheme="majorHAnsi" w:hAnsiTheme="majorHAnsi"/>
          <w:sz w:val="20"/>
          <w:szCs w:val="20"/>
        </w:rPr>
        <w:t>ntroduction of new budget items/or components that exceed 5% of original GEF allocation.</w:t>
      </w:r>
      <w:r w:rsidR="00740F26" w:rsidRPr="00F74786">
        <w:rPr>
          <w:rFonts w:asciiTheme="majorHAnsi" w:hAnsiTheme="majorHAnsi"/>
          <w:sz w:val="20"/>
          <w:szCs w:val="20"/>
        </w:rPr>
        <w:t xml:space="preserve"> </w:t>
      </w:r>
    </w:p>
    <w:p w14:paraId="3374A641" w14:textId="77777777" w:rsidR="00AF4698" w:rsidRPr="00F74786" w:rsidRDefault="00AF4698" w:rsidP="00F74786">
      <w:pPr>
        <w:pStyle w:val="ListParagraph"/>
        <w:ind w:left="0"/>
        <w:jc w:val="both"/>
        <w:rPr>
          <w:rFonts w:asciiTheme="majorHAnsi" w:hAnsiTheme="majorHAnsi"/>
          <w:sz w:val="20"/>
          <w:szCs w:val="20"/>
        </w:rPr>
      </w:pPr>
    </w:p>
    <w:p w14:paraId="1D1ADA5E" w14:textId="77777777" w:rsidR="00A02284" w:rsidRPr="00F74786" w:rsidRDefault="00740F26" w:rsidP="00F74786">
      <w:pPr>
        <w:spacing w:after="0"/>
        <w:rPr>
          <w:rFonts w:asciiTheme="majorHAnsi" w:hAnsiTheme="majorHAnsi"/>
          <w:sz w:val="20"/>
          <w:szCs w:val="20"/>
          <w:u w:val="single"/>
        </w:rPr>
      </w:pPr>
      <w:r w:rsidRPr="00F74786">
        <w:rPr>
          <w:rFonts w:asciiTheme="majorHAnsi" w:hAnsiTheme="majorHAnsi"/>
          <w:sz w:val="20"/>
          <w:szCs w:val="20"/>
        </w:rPr>
        <w:t>Any over expenditure incurred beyond the available GEF grant amount will be absorbed by non-GEF resources (e.g. UNDP TRAC or cash co-financing).</w:t>
      </w:r>
      <w:r w:rsidR="00A02284" w:rsidRPr="00F74786">
        <w:rPr>
          <w:rFonts w:asciiTheme="majorHAnsi" w:hAnsiTheme="majorHAnsi"/>
          <w:sz w:val="20"/>
          <w:szCs w:val="20"/>
          <w:u w:val="single"/>
        </w:rPr>
        <w:t xml:space="preserve"> </w:t>
      </w:r>
    </w:p>
    <w:p w14:paraId="2A37F7F4" w14:textId="77777777" w:rsidR="00A02284" w:rsidRPr="00F74786" w:rsidRDefault="00A02284" w:rsidP="00F74786">
      <w:pPr>
        <w:spacing w:after="0"/>
        <w:rPr>
          <w:rFonts w:asciiTheme="majorHAnsi" w:hAnsiTheme="majorHAnsi"/>
          <w:sz w:val="20"/>
          <w:szCs w:val="20"/>
          <w:u w:val="single"/>
        </w:rPr>
      </w:pPr>
    </w:p>
    <w:p w14:paraId="40302122" w14:textId="77777777" w:rsidR="00A02284" w:rsidRPr="00F74786" w:rsidRDefault="00A02284" w:rsidP="00F74786">
      <w:pPr>
        <w:spacing w:after="0"/>
        <w:rPr>
          <w:rFonts w:asciiTheme="majorHAnsi" w:hAnsiTheme="majorHAnsi"/>
          <w:sz w:val="20"/>
          <w:szCs w:val="20"/>
        </w:rPr>
      </w:pPr>
      <w:r w:rsidRPr="00F74786">
        <w:rPr>
          <w:rFonts w:asciiTheme="majorHAnsi" w:hAnsiTheme="majorHAnsi"/>
          <w:sz w:val="20"/>
          <w:szCs w:val="20"/>
          <w:u w:val="single"/>
        </w:rPr>
        <w:t>Refund to Donor:</w:t>
      </w:r>
      <w:r w:rsidRPr="00F74786">
        <w:rPr>
          <w:rFonts w:asciiTheme="majorHAnsi" w:hAnsiTheme="majorHAnsi"/>
          <w:sz w:val="20"/>
          <w:szCs w:val="20"/>
        </w:rPr>
        <w:t xml:space="preserve">  Should a refund of unspent funds to the GEF be necessary, this will be managed directly by the UNDP-GEF Unit in New York. </w:t>
      </w:r>
    </w:p>
    <w:p w14:paraId="1173F8DC" w14:textId="77777777" w:rsidR="00393350" w:rsidRPr="00F74786" w:rsidRDefault="00393350" w:rsidP="00F74786">
      <w:pPr>
        <w:pStyle w:val="ListParagraph"/>
        <w:ind w:left="0"/>
        <w:jc w:val="both"/>
        <w:rPr>
          <w:rFonts w:asciiTheme="majorHAnsi" w:hAnsiTheme="majorHAnsi"/>
          <w:sz w:val="20"/>
          <w:szCs w:val="20"/>
          <w:u w:val="single"/>
        </w:rPr>
      </w:pPr>
    </w:p>
    <w:p w14:paraId="291ECBCB" w14:textId="77777777" w:rsidR="003E3ABA" w:rsidRPr="00F74786" w:rsidRDefault="003E3ABA" w:rsidP="00F74786">
      <w:pPr>
        <w:pStyle w:val="ListParagraph"/>
        <w:ind w:left="0"/>
        <w:jc w:val="both"/>
        <w:rPr>
          <w:rFonts w:asciiTheme="majorHAnsi" w:hAnsiTheme="majorHAnsi"/>
          <w:sz w:val="20"/>
          <w:szCs w:val="20"/>
        </w:rPr>
      </w:pPr>
      <w:r w:rsidRPr="00F74786">
        <w:rPr>
          <w:rFonts w:asciiTheme="majorHAnsi" w:hAnsiTheme="majorHAnsi"/>
          <w:sz w:val="20"/>
          <w:szCs w:val="20"/>
          <w:u w:val="single"/>
        </w:rPr>
        <w:t>Project Closure</w:t>
      </w:r>
      <w:r w:rsidRPr="00F74786">
        <w:rPr>
          <w:rFonts w:asciiTheme="majorHAnsi" w:hAnsiTheme="majorHAnsi"/>
          <w:sz w:val="20"/>
          <w:szCs w:val="20"/>
        </w:rPr>
        <w:t>:  Project closu</w:t>
      </w:r>
      <w:r w:rsidR="00AF4698" w:rsidRPr="00F74786">
        <w:rPr>
          <w:rFonts w:asciiTheme="majorHAnsi" w:hAnsiTheme="majorHAnsi"/>
          <w:sz w:val="20"/>
          <w:szCs w:val="20"/>
        </w:rPr>
        <w:t xml:space="preserve">re will be conducted as per </w:t>
      </w:r>
      <w:r w:rsidRPr="00F74786">
        <w:rPr>
          <w:rFonts w:asciiTheme="majorHAnsi" w:hAnsiTheme="majorHAnsi"/>
          <w:sz w:val="20"/>
          <w:szCs w:val="20"/>
        </w:rPr>
        <w:t>UNDP requirements outlined in the UNDP POPP</w:t>
      </w:r>
      <w:r w:rsidR="00393350" w:rsidRPr="00F74786">
        <w:rPr>
          <w:rFonts w:asciiTheme="majorHAnsi" w:hAnsiTheme="majorHAnsi"/>
          <w:sz w:val="20"/>
          <w:szCs w:val="20"/>
        </w:rPr>
        <w:t>.</w:t>
      </w:r>
      <w:r w:rsidR="00393350" w:rsidRPr="00F74786">
        <w:rPr>
          <w:rStyle w:val="FootnoteReference"/>
          <w:rFonts w:asciiTheme="majorHAnsi" w:hAnsiTheme="majorHAnsi"/>
          <w:sz w:val="20"/>
          <w:szCs w:val="20"/>
        </w:rPr>
        <w:footnoteReference w:id="32"/>
      </w:r>
      <w:r w:rsidRPr="00F74786">
        <w:rPr>
          <w:rFonts w:asciiTheme="majorHAnsi" w:hAnsiTheme="majorHAnsi"/>
          <w:sz w:val="20"/>
          <w:szCs w:val="20"/>
        </w:rPr>
        <w:t xml:space="preserve"> On an exception</w:t>
      </w:r>
      <w:r w:rsidR="00393350" w:rsidRPr="00F74786">
        <w:rPr>
          <w:rFonts w:asciiTheme="majorHAnsi" w:hAnsiTheme="majorHAnsi"/>
          <w:sz w:val="20"/>
          <w:szCs w:val="20"/>
        </w:rPr>
        <w:t>al</w:t>
      </w:r>
      <w:r w:rsidRPr="00F74786">
        <w:rPr>
          <w:rFonts w:asciiTheme="majorHAnsi" w:hAnsiTheme="majorHAnsi"/>
          <w:sz w:val="20"/>
          <w:szCs w:val="20"/>
        </w:rPr>
        <w:t xml:space="preserve"> basis only, a no-cost extension beyond the initial duration of the project will be sought from in-country UNDP colleagues and then the UNDP-GEF Executive Coordinator. </w:t>
      </w:r>
    </w:p>
    <w:p w14:paraId="1D7CE33F" w14:textId="77777777" w:rsidR="00393350" w:rsidRPr="00F74786" w:rsidRDefault="00393350" w:rsidP="00F74786">
      <w:pPr>
        <w:pStyle w:val="ListParagraph"/>
        <w:ind w:left="0"/>
        <w:jc w:val="both"/>
        <w:rPr>
          <w:rFonts w:asciiTheme="majorHAnsi" w:hAnsiTheme="majorHAnsi"/>
          <w:sz w:val="20"/>
          <w:szCs w:val="20"/>
        </w:rPr>
      </w:pPr>
    </w:p>
    <w:p w14:paraId="5B2699B6" w14:textId="77777777" w:rsidR="003E3ABA" w:rsidRPr="00F74786" w:rsidRDefault="003E3ABA" w:rsidP="00F74786">
      <w:pPr>
        <w:spacing w:after="0"/>
        <w:rPr>
          <w:rFonts w:asciiTheme="majorHAnsi" w:hAnsiTheme="majorHAnsi"/>
          <w:sz w:val="20"/>
          <w:szCs w:val="20"/>
        </w:rPr>
      </w:pPr>
      <w:r w:rsidRPr="00F74786">
        <w:rPr>
          <w:rFonts w:asciiTheme="majorHAnsi" w:hAnsiTheme="majorHAnsi"/>
          <w:sz w:val="20"/>
          <w:szCs w:val="20"/>
          <w:u w:val="single"/>
        </w:rPr>
        <w:t>Operational completion</w:t>
      </w:r>
      <w:r w:rsidRPr="00F74786">
        <w:rPr>
          <w:rFonts w:asciiTheme="majorHAnsi" w:hAnsiTheme="majorHAnsi"/>
          <w:sz w:val="20"/>
          <w:szCs w:val="20"/>
        </w:rPr>
        <w:t>: The project will be operationally completed when the last UNDP-financed inputs have been provided and the related activities have been completed</w:t>
      </w:r>
      <w:r w:rsidR="00AF4698" w:rsidRPr="00F74786">
        <w:rPr>
          <w:rFonts w:asciiTheme="majorHAnsi" w:hAnsiTheme="majorHAnsi"/>
          <w:sz w:val="20"/>
          <w:szCs w:val="20"/>
        </w:rPr>
        <w:t xml:space="preserve">. </w:t>
      </w:r>
      <w:r w:rsidR="00393350" w:rsidRPr="00F74786">
        <w:rPr>
          <w:rFonts w:asciiTheme="majorHAnsi" w:hAnsiTheme="majorHAnsi"/>
          <w:sz w:val="20"/>
          <w:szCs w:val="20"/>
        </w:rPr>
        <w:t xml:space="preserve">This </w:t>
      </w:r>
      <w:r w:rsidRPr="00F74786">
        <w:rPr>
          <w:rFonts w:asciiTheme="majorHAnsi" w:hAnsiTheme="majorHAnsi"/>
          <w:sz w:val="20"/>
          <w:szCs w:val="20"/>
        </w:rPr>
        <w:t>includ</w:t>
      </w:r>
      <w:r w:rsidR="00393350" w:rsidRPr="00F74786">
        <w:rPr>
          <w:rFonts w:asciiTheme="majorHAnsi" w:hAnsiTheme="majorHAnsi"/>
          <w:sz w:val="20"/>
          <w:szCs w:val="20"/>
        </w:rPr>
        <w:t>es</w:t>
      </w:r>
      <w:r w:rsidRPr="00F74786">
        <w:rPr>
          <w:rFonts w:asciiTheme="majorHAnsi" w:hAnsiTheme="majorHAnsi"/>
          <w:sz w:val="20"/>
          <w:szCs w:val="20"/>
        </w:rPr>
        <w:t xml:space="preserve"> the final clearance of the Terminal Evaluation Report </w:t>
      </w:r>
      <w:r w:rsidR="00393350" w:rsidRPr="00F74786">
        <w:rPr>
          <w:rFonts w:asciiTheme="majorHAnsi" w:hAnsiTheme="majorHAnsi"/>
          <w:sz w:val="20"/>
          <w:szCs w:val="20"/>
        </w:rPr>
        <w:t>(</w:t>
      </w:r>
      <w:r w:rsidR="005E4C83" w:rsidRPr="00F74786">
        <w:rPr>
          <w:rFonts w:asciiTheme="majorHAnsi" w:hAnsiTheme="majorHAnsi"/>
          <w:sz w:val="20"/>
          <w:szCs w:val="20"/>
        </w:rPr>
        <w:t xml:space="preserve">that will be available </w:t>
      </w:r>
      <w:r w:rsidR="00393350" w:rsidRPr="00F74786">
        <w:rPr>
          <w:rFonts w:asciiTheme="majorHAnsi" w:hAnsiTheme="majorHAnsi"/>
          <w:sz w:val="20"/>
          <w:szCs w:val="20"/>
        </w:rPr>
        <w:t xml:space="preserve">in </w:t>
      </w:r>
      <w:r w:rsidRPr="00F74786">
        <w:rPr>
          <w:rFonts w:asciiTheme="majorHAnsi" w:hAnsiTheme="majorHAnsi"/>
          <w:sz w:val="20"/>
          <w:szCs w:val="20"/>
        </w:rPr>
        <w:t>English</w:t>
      </w:r>
      <w:r w:rsidR="00393350" w:rsidRPr="00F74786">
        <w:rPr>
          <w:rFonts w:asciiTheme="majorHAnsi" w:hAnsiTheme="majorHAnsi"/>
          <w:sz w:val="20"/>
          <w:szCs w:val="20"/>
        </w:rPr>
        <w:t xml:space="preserve">) and </w:t>
      </w:r>
      <w:r w:rsidR="005E4C83" w:rsidRPr="00F74786">
        <w:rPr>
          <w:rFonts w:asciiTheme="majorHAnsi" w:hAnsiTheme="majorHAnsi"/>
          <w:sz w:val="20"/>
          <w:szCs w:val="20"/>
        </w:rPr>
        <w:t xml:space="preserve">the corresponding management response, and </w:t>
      </w:r>
      <w:r w:rsidR="00393350" w:rsidRPr="00F74786">
        <w:rPr>
          <w:rFonts w:asciiTheme="majorHAnsi" w:hAnsiTheme="majorHAnsi"/>
          <w:sz w:val="20"/>
          <w:szCs w:val="20"/>
        </w:rPr>
        <w:t xml:space="preserve">the end-of-project </w:t>
      </w:r>
      <w:r w:rsidR="005E4C83" w:rsidRPr="00F74786">
        <w:rPr>
          <w:rFonts w:asciiTheme="majorHAnsi" w:hAnsiTheme="majorHAnsi"/>
          <w:sz w:val="20"/>
          <w:szCs w:val="20"/>
        </w:rPr>
        <w:t xml:space="preserve">review </w:t>
      </w:r>
      <w:r w:rsidR="00393350" w:rsidRPr="00F74786">
        <w:rPr>
          <w:rFonts w:asciiTheme="majorHAnsi" w:hAnsiTheme="majorHAnsi"/>
          <w:sz w:val="20"/>
          <w:szCs w:val="20"/>
        </w:rPr>
        <w:t>Project Board m</w:t>
      </w:r>
      <w:r w:rsidRPr="00F74786">
        <w:rPr>
          <w:rFonts w:asciiTheme="majorHAnsi" w:hAnsiTheme="majorHAnsi"/>
          <w:sz w:val="20"/>
          <w:szCs w:val="20"/>
        </w:rPr>
        <w:t xml:space="preserve">eeting. The Implementing Partner through a Project Board decision will notify </w:t>
      </w:r>
      <w:r w:rsidR="005E4C83" w:rsidRPr="00F74786">
        <w:rPr>
          <w:rFonts w:asciiTheme="majorHAnsi" w:hAnsiTheme="majorHAnsi"/>
          <w:sz w:val="20"/>
          <w:szCs w:val="20"/>
        </w:rPr>
        <w:t xml:space="preserve">the UNDP Country Office when </w:t>
      </w:r>
      <w:r w:rsidRPr="00F74786">
        <w:rPr>
          <w:rFonts w:asciiTheme="majorHAnsi" w:hAnsiTheme="majorHAnsi"/>
          <w:sz w:val="20"/>
          <w:szCs w:val="20"/>
        </w:rPr>
        <w:t xml:space="preserve">operational closure has been completed. </w:t>
      </w:r>
      <w:r w:rsidR="009E3075" w:rsidRPr="00F74786">
        <w:rPr>
          <w:rFonts w:asciiTheme="majorHAnsi" w:hAnsiTheme="majorHAnsi"/>
          <w:sz w:val="20"/>
          <w:szCs w:val="20"/>
        </w:rPr>
        <w:t>At this time, t</w:t>
      </w:r>
      <w:r w:rsidRPr="00F74786">
        <w:rPr>
          <w:rFonts w:asciiTheme="majorHAnsi" w:hAnsiTheme="majorHAnsi"/>
          <w:sz w:val="20"/>
          <w:szCs w:val="20"/>
        </w:rPr>
        <w:t xml:space="preserve">he relevant parties </w:t>
      </w:r>
      <w:r w:rsidR="005E4C83" w:rsidRPr="00F74786">
        <w:rPr>
          <w:rFonts w:asciiTheme="majorHAnsi" w:hAnsiTheme="majorHAnsi"/>
          <w:sz w:val="20"/>
          <w:szCs w:val="20"/>
        </w:rPr>
        <w:t>will</w:t>
      </w:r>
      <w:r w:rsidR="00740F26" w:rsidRPr="00F74786">
        <w:rPr>
          <w:rFonts w:asciiTheme="majorHAnsi" w:hAnsiTheme="majorHAnsi"/>
          <w:sz w:val="20"/>
          <w:szCs w:val="20"/>
        </w:rPr>
        <w:t xml:space="preserve"> have already agreed and confirmed in writing o</w:t>
      </w:r>
      <w:r w:rsidRPr="00F74786">
        <w:rPr>
          <w:rFonts w:asciiTheme="majorHAnsi" w:hAnsiTheme="majorHAnsi"/>
          <w:sz w:val="20"/>
          <w:szCs w:val="20"/>
        </w:rPr>
        <w:t xml:space="preserve">n the </w:t>
      </w:r>
      <w:r w:rsidR="00740F26" w:rsidRPr="00F74786">
        <w:rPr>
          <w:rFonts w:asciiTheme="majorHAnsi" w:hAnsiTheme="majorHAnsi"/>
          <w:sz w:val="20"/>
          <w:szCs w:val="20"/>
        </w:rPr>
        <w:t xml:space="preserve">arrangements for the </w:t>
      </w:r>
      <w:r w:rsidRPr="00F74786">
        <w:rPr>
          <w:rFonts w:asciiTheme="majorHAnsi" w:hAnsiTheme="majorHAnsi"/>
          <w:sz w:val="20"/>
          <w:szCs w:val="20"/>
        </w:rPr>
        <w:t xml:space="preserve">disposal of any equipment that is still the property of UNDP. </w:t>
      </w:r>
    </w:p>
    <w:p w14:paraId="72E3D34D" w14:textId="77777777" w:rsidR="00393350" w:rsidRPr="00F74786" w:rsidRDefault="00393350" w:rsidP="00F74786">
      <w:pPr>
        <w:spacing w:after="0"/>
        <w:rPr>
          <w:rFonts w:asciiTheme="majorHAnsi" w:hAnsiTheme="majorHAnsi"/>
          <w:sz w:val="20"/>
          <w:szCs w:val="20"/>
          <w:u w:val="single"/>
        </w:rPr>
      </w:pPr>
    </w:p>
    <w:p w14:paraId="292E184D" w14:textId="77777777" w:rsidR="003E3ABA" w:rsidRPr="00F74786" w:rsidRDefault="003E3ABA" w:rsidP="00F74786">
      <w:pPr>
        <w:spacing w:after="0"/>
        <w:rPr>
          <w:rFonts w:asciiTheme="majorHAnsi" w:hAnsiTheme="majorHAnsi"/>
          <w:sz w:val="20"/>
          <w:szCs w:val="20"/>
        </w:rPr>
      </w:pPr>
      <w:r w:rsidRPr="00F74786">
        <w:rPr>
          <w:rFonts w:asciiTheme="majorHAnsi" w:hAnsiTheme="majorHAnsi"/>
          <w:sz w:val="20"/>
          <w:szCs w:val="20"/>
          <w:u w:val="single"/>
        </w:rPr>
        <w:t>Financial completion</w:t>
      </w:r>
      <w:r w:rsidRPr="00F74786">
        <w:rPr>
          <w:rFonts w:asciiTheme="majorHAnsi" w:hAnsiTheme="majorHAnsi"/>
          <w:sz w:val="20"/>
          <w:szCs w:val="20"/>
        </w:rPr>
        <w:t>:  The project will be financially closed when the following conditions have been met:</w:t>
      </w:r>
      <w:r w:rsidR="003F1173" w:rsidRPr="00F74786">
        <w:rPr>
          <w:rFonts w:asciiTheme="majorHAnsi" w:hAnsiTheme="majorHAnsi"/>
          <w:sz w:val="20"/>
          <w:szCs w:val="20"/>
        </w:rPr>
        <w:t xml:space="preserve"> </w:t>
      </w:r>
      <w:r w:rsidRPr="00F74786">
        <w:rPr>
          <w:rFonts w:asciiTheme="majorHAnsi" w:hAnsiTheme="majorHAnsi"/>
          <w:sz w:val="20"/>
          <w:szCs w:val="20"/>
        </w:rPr>
        <w:t xml:space="preserve">a) </w:t>
      </w:r>
      <w:r w:rsidR="005E4C83" w:rsidRPr="00F74786">
        <w:rPr>
          <w:rFonts w:asciiTheme="majorHAnsi" w:hAnsiTheme="majorHAnsi"/>
          <w:sz w:val="20"/>
          <w:szCs w:val="20"/>
        </w:rPr>
        <w:t>T</w:t>
      </w:r>
      <w:r w:rsidRPr="00F74786">
        <w:rPr>
          <w:rFonts w:asciiTheme="majorHAnsi" w:hAnsiTheme="majorHAnsi"/>
          <w:sz w:val="20"/>
          <w:szCs w:val="20"/>
        </w:rPr>
        <w:t xml:space="preserve">he project is operationally completed or has been cancelled; b) </w:t>
      </w:r>
      <w:r w:rsidR="005E4C83" w:rsidRPr="00F74786">
        <w:rPr>
          <w:rFonts w:asciiTheme="majorHAnsi" w:hAnsiTheme="majorHAnsi"/>
          <w:sz w:val="20"/>
          <w:szCs w:val="20"/>
        </w:rPr>
        <w:t>T</w:t>
      </w:r>
      <w:r w:rsidRPr="00F74786">
        <w:rPr>
          <w:rFonts w:asciiTheme="majorHAnsi" w:hAnsiTheme="majorHAnsi"/>
          <w:sz w:val="20"/>
          <w:szCs w:val="20"/>
        </w:rPr>
        <w:t xml:space="preserve">he </w:t>
      </w:r>
      <w:r w:rsidR="005E4C83" w:rsidRPr="00F74786">
        <w:rPr>
          <w:rFonts w:asciiTheme="majorHAnsi" w:hAnsiTheme="majorHAnsi"/>
          <w:sz w:val="20"/>
          <w:szCs w:val="20"/>
        </w:rPr>
        <w:t>Implementing P</w:t>
      </w:r>
      <w:r w:rsidRPr="00F74786">
        <w:rPr>
          <w:rFonts w:asciiTheme="majorHAnsi" w:hAnsiTheme="majorHAnsi"/>
          <w:sz w:val="20"/>
          <w:szCs w:val="20"/>
        </w:rPr>
        <w:t>artner has reported all financial transactions to UNDP; c) UNDP has closed the accounts for the project;</w:t>
      </w:r>
      <w:r w:rsidR="003F1173" w:rsidRPr="00F74786">
        <w:rPr>
          <w:rFonts w:asciiTheme="majorHAnsi" w:hAnsiTheme="majorHAnsi"/>
          <w:sz w:val="20"/>
          <w:szCs w:val="20"/>
        </w:rPr>
        <w:t xml:space="preserve"> </w:t>
      </w:r>
      <w:r w:rsidRPr="00F74786">
        <w:rPr>
          <w:rFonts w:asciiTheme="majorHAnsi" w:hAnsiTheme="majorHAnsi"/>
          <w:sz w:val="20"/>
          <w:szCs w:val="20"/>
        </w:rPr>
        <w:t xml:space="preserve">d) UNDP and the </w:t>
      </w:r>
      <w:r w:rsidR="003F1173" w:rsidRPr="00F74786">
        <w:rPr>
          <w:rFonts w:asciiTheme="majorHAnsi" w:hAnsiTheme="majorHAnsi"/>
          <w:sz w:val="20"/>
          <w:szCs w:val="20"/>
        </w:rPr>
        <w:t>Implementing P</w:t>
      </w:r>
      <w:r w:rsidRPr="00F74786">
        <w:rPr>
          <w:rFonts w:asciiTheme="majorHAnsi" w:hAnsiTheme="majorHAnsi"/>
          <w:sz w:val="20"/>
          <w:szCs w:val="20"/>
        </w:rPr>
        <w:t xml:space="preserve">artner have certified a final Combined Delivery Report (which serves as final budget revision). </w:t>
      </w:r>
    </w:p>
    <w:p w14:paraId="68670807" w14:textId="77777777" w:rsidR="00A02284" w:rsidRPr="00F74786" w:rsidRDefault="00A02284" w:rsidP="00F74786">
      <w:pPr>
        <w:spacing w:after="0"/>
        <w:rPr>
          <w:rFonts w:asciiTheme="majorHAnsi" w:hAnsiTheme="majorHAnsi"/>
          <w:sz w:val="20"/>
          <w:szCs w:val="20"/>
        </w:rPr>
      </w:pPr>
    </w:p>
    <w:p w14:paraId="53ABEE60" w14:textId="77777777" w:rsidR="003E3ABA" w:rsidRPr="00F74786" w:rsidRDefault="003E3ABA" w:rsidP="00F74786">
      <w:pPr>
        <w:spacing w:after="0"/>
        <w:rPr>
          <w:rFonts w:asciiTheme="majorHAnsi" w:hAnsiTheme="majorHAnsi"/>
          <w:sz w:val="20"/>
          <w:szCs w:val="20"/>
        </w:rPr>
      </w:pPr>
      <w:r w:rsidRPr="00F74786">
        <w:rPr>
          <w:rFonts w:asciiTheme="majorHAnsi" w:hAnsiTheme="majorHAnsi"/>
          <w:sz w:val="20"/>
          <w:szCs w:val="20"/>
        </w:rPr>
        <w:t xml:space="preserve">The project will be financially completed within 12 months of operational closure or after the date of cancellation. 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the UNDP-GEF Unit for confirmation before the project will be financially closed in Atlas by the </w:t>
      </w:r>
      <w:r w:rsidR="005E4C83" w:rsidRPr="00F74786">
        <w:rPr>
          <w:rFonts w:asciiTheme="majorHAnsi" w:hAnsiTheme="majorHAnsi"/>
          <w:sz w:val="20"/>
          <w:szCs w:val="20"/>
        </w:rPr>
        <w:t xml:space="preserve">UNDP </w:t>
      </w:r>
      <w:r w:rsidRPr="00F74786">
        <w:rPr>
          <w:rFonts w:asciiTheme="majorHAnsi" w:hAnsiTheme="majorHAnsi"/>
          <w:sz w:val="20"/>
          <w:szCs w:val="20"/>
        </w:rPr>
        <w:t>Country Office.</w:t>
      </w:r>
    </w:p>
    <w:p w14:paraId="05E4C00E" w14:textId="77777777" w:rsidR="003E3ABA" w:rsidRPr="005722A6" w:rsidRDefault="003E3ABA" w:rsidP="00A04E6F">
      <w:pPr>
        <w:spacing w:after="0"/>
        <w:jc w:val="left"/>
        <w:rPr>
          <w:rFonts w:cs="Segoe UI"/>
          <w:color w:val="000000"/>
          <w:sz w:val="20"/>
          <w:szCs w:val="20"/>
        </w:rPr>
      </w:pPr>
    </w:p>
    <w:p w14:paraId="33A89122" w14:textId="77777777" w:rsidR="00740F26" w:rsidRPr="00740F26" w:rsidRDefault="00740F26" w:rsidP="00A04E6F">
      <w:pPr>
        <w:spacing w:after="0"/>
        <w:jc w:val="left"/>
        <w:rPr>
          <w:b/>
          <w:smallCaps/>
          <w:spacing w:val="-2"/>
          <w:sz w:val="28"/>
          <w:szCs w:val="28"/>
        </w:rPr>
        <w:sectPr w:rsidR="00740F26" w:rsidRPr="00740F26" w:rsidSect="006353F2">
          <w:headerReference w:type="default" r:id="rId30"/>
          <w:footerReference w:type="default" r:id="rId31"/>
          <w:pgSz w:w="12240" w:h="15840" w:code="1"/>
          <w:pgMar w:top="1440" w:right="1440" w:bottom="1440" w:left="1440" w:header="720" w:footer="432" w:gutter="0"/>
          <w:cols w:space="708"/>
          <w:titlePg/>
          <w:docGrid w:linePitch="360"/>
        </w:sectPr>
      </w:pPr>
    </w:p>
    <w:p w14:paraId="64D49A18" w14:textId="22AA8824" w:rsidR="003E3ABA" w:rsidRPr="0003763F" w:rsidRDefault="003E3ABA" w:rsidP="003B2A79">
      <w:pPr>
        <w:pStyle w:val="Heading1"/>
        <w:spacing w:before="0" w:after="60"/>
        <w:rPr>
          <w:rFonts w:ascii="Calibri" w:hAnsi="Calibri"/>
          <w:szCs w:val="28"/>
        </w:rPr>
      </w:pPr>
      <w:bookmarkStart w:id="18" w:name="_Toc443050762"/>
      <w:r w:rsidRPr="0003763F">
        <w:rPr>
          <w:rFonts w:ascii="Calibri" w:hAnsi="Calibri"/>
          <w:szCs w:val="28"/>
        </w:rPr>
        <w:lastRenderedPageBreak/>
        <w:t>Total Budget and Work Plan</w:t>
      </w:r>
      <w:bookmarkEnd w:id="18"/>
      <w:r w:rsidR="00842DCB">
        <w:rPr>
          <w:rFonts w:ascii="Calibri" w:hAnsi="Calibri"/>
          <w:szCs w:val="28"/>
        </w:rPr>
        <w:t xml:space="preserve"> </w:t>
      </w:r>
    </w:p>
    <w:p w14:paraId="4E880612" w14:textId="77777777" w:rsidR="00DD755D" w:rsidRDefault="00DD755D" w:rsidP="00DD755D"/>
    <w:tbl>
      <w:tblPr>
        <w:tblW w:w="14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000" w:firstRow="0" w:lastRow="0" w:firstColumn="0" w:lastColumn="0" w:noHBand="0" w:noVBand="0"/>
      </w:tblPr>
      <w:tblGrid>
        <w:gridCol w:w="18"/>
        <w:gridCol w:w="3069"/>
        <w:gridCol w:w="3745"/>
        <w:gridCol w:w="3748"/>
        <w:gridCol w:w="3905"/>
      </w:tblGrid>
      <w:tr w:rsidR="00DD755D" w:rsidRPr="00E050B4" w14:paraId="4DFA8A74" w14:textId="77777777" w:rsidTr="00D32FA2">
        <w:trPr>
          <w:gridBefore w:val="1"/>
          <w:wBefore w:w="18" w:type="dxa"/>
          <w:cantSplit/>
        </w:trPr>
        <w:tc>
          <w:tcPr>
            <w:tcW w:w="14467" w:type="dxa"/>
            <w:gridSpan w:val="4"/>
            <w:shd w:val="clear" w:color="auto" w:fill="C2D69B"/>
            <w:noWrap/>
            <w:vAlign w:val="bottom"/>
          </w:tcPr>
          <w:p w14:paraId="535DBBCD" w14:textId="77777777" w:rsidR="00DD755D" w:rsidRPr="00E050B4" w:rsidRDefault="00DD755D" w:rsidP="00D32FA2">
            <w:pPr>
              <w:spacing w:after="0"/>
              <w:rPr>
                <w:b/>
                <w:bCs/>
                <w:sz w:val="18"/>
                <w:szCs w:val="18"/>
              </w:rPr>
            </w:pPr>
            <w:r w:rsidRPr="00E050B4">
              <w:rPr>
                <w:b/>
                <w:bCs/>
                <w:sz w:val="18"/>
                <w:szCs w:val="18"/>
              </w:rPr>
              <w:t>Total Budget and Work Plan</w:t>
            </w:r>
          </w:p>
        </w:tc>
      </w:tr>
      <w:tr w:rsidR="00DD755D" w:rsidRPr="00E050B4" w14:paraId="3A584EBA" w14:textId="77777777" w:rsidTr="00D32FA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0"/>
        </w:trPr>
        <w:tc>
          <w:tcPr>
            <w:tcW w:w="308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F9E5BF5" w14:textId="77777777" w:rsidR="00DD755D" w:rsidRPr="00545DEB" w:rsidRDefault="00DD755D" w:rsidP="00D32FA2">
            <w:pPr>
              <w:spacing w:after="0"/>
              <w:rPr>
                <w:rFonts w:cs="Arial"/>
                <w:bCs/>
                <w:color w:val="000000"/>
                <w:sz w:val="18"/>
                <w:szCs w:val="18"/>
                <w:lang w:eastAsia="zh-CN"/>
              </w:rPr>
            </w:pPr>
            <w:r w:rsidRPr="009303EF">
              <w:rPr>
                <w:rFonts w:cs="Arial"/>
                <w:bCs/>
                <w:color w:val="000000"/>
                <w:sz w:val="18"/>
                <w:szCs w:val="18"/>
                <w:highlight w:val="yellow"/>
                <w:lang w:eastAsia="zh-CN"/>
              </w:rPr>
              <w:t>Atlas Proposal or Award ID:</w:t>
            </w:r>
          </w:p>
        </w:tc>
        <w:tc>
          <w:tcPr>
            <w:tcW w:w="3745" w:type="dxa"/>
            <w:tcBorders>
              <w:top w:val="single" w:sz="4" w:space="0" w:color="auto"/>
              <w:left w:val="nil"/>
              <w:bottom w:val="single" w:sz="4" w:space="0" w:color="auto"/>
              <w:right w:val="single" w:sz="4" w:space="0" w:color="000000"/>
            </w:tcBorders>
            <w:shd w:val="clear" w:color="auto" w:fill="auto"/>
            <w:noWrap/>
            <w:vAlign w:val="center"/>
          </w:tcPr>
          <w:p w14:paraId="193A9B5A" w14:textId="77777777" w:rsidR="00DD755D" w:rsidRPr="00EE1FA6" w:rsidRDefault="00DD755D" w:rsidP="00D32FA2">
            <w:pPr>
              <w:spacing w:after="0"/>
              <w:rPr>
                <w:rFonts w:cs="Arial"/>
                <w:bCs/>
                <w:color w:val="000000"/>
                <w:sz w:val="18"/>
                <w:szCs w:val="18"/>
                <w:lang w:eastAsia="zh-CN"/>
              </w:rPr>
            </w:pPr>
          </w:p>
        </w:tc>
        <w:tc>
          <w:tcPr>
            <w:tcW w:w="3748" w:type="dxa"/>
            <w:tcBorders>
              <w:top w:val="single" w:sz="4" w:space="0" w:color="auto"/>
              <w:left w:val="nil"/>
              <w:bottom w:val="single" w:sz="4" w:space="0" w:color="auto"/>
              <w:right w:val="single" w:sz="4" w:space="0" w:color="000000"/>
            </w:tcBorders>
            <w:shd w:val="clear" w:color="auto" w:fill="auto"/>
            <w:vAlign w:val="center"/>
          </w:tcPr>
          <w:p w14:paraId="78667AE6" w14:textId="79C05FF1" w:rsidR="00DD755D" w:rsidRPr="00EE1FA6" w:rsidRDefault="009303EF" w:rsidP="00D32FA2">
            <w:pPr>
              <w:spacing w:after="0"/>
              <w:rPr>
                <w:rFonts w:cs="Arial"/>
                <w:bCs/>
                <w:color w:val="000000"/>
                <w:sz w:val="18"/>
                <w:szCs w:val="18"/>
                <w:lang w:eastAsia="zh-CN"/>
              </w:rPr>
            </w:pPr>
            <w:r w:rsidRPr="009303EF">
              <w:rPr>
                <w:rFonts w:cs="Arial"/>
                <w:bCs/>
                <w:color w:val="000000"/>
                <w:sz w:val="18"/>
                <w:szCs w:val="16"/>
                <w:highlight w:val="yellow"/>
                <w:lang w:eastAsia="zh-CN"/>
              </w:rPr>
              <w:t>Atlas Primary Output Project ID</w:t>
            </w:r>
          </w:p>
        </w:tc>
        <w:tc>
          <w:tcPr>
            <w:tcW w:w="3905" w:type="dxa"/>
            <w:tcBorders>
              <w:top w:val="single" w:sz="4" w:space="0" w:color="auto"/>
              <w:left w:val="nil"/>
              <w:bottom w:val="single" w:sz="4" w:space="0" w:color="auto"/>
              <w:right w:val="single" w:sz="4" w:space="0" w:color="000000"/>
            </w:tcBorders>
            <w:shd w:val="clear" w:color="auto" w:fill="auto"/>
            <w:vAlign w:val="center"/>
          </w:tcPr>
          <w:p w14:paraId="0E85B408" w14:textId="77777777" w:rsidR="00DD755D" w:rsidRPr="00EE1FA6" w:rsidRDefault="00DD755D" w:rsidP="00D32FA2">
            <w:pPr>
              <w:spacing w:after="0"/>
              <w:rPr>
                <w:rFonts w:cs="Arial"/>
                <w:bCs/>
                <w:color w:val="000000"/>
                <w:sz w:val="18"/>
                <w:szCs w:val="18"/>
                <w:lang w:eastAsia="zh-CN"/>
              </w:rPr>
            </w:pPr>
          </w:p>
        </w:tc>
      </w:tr>
      <w:tr w:rsidR="00DD755D" w:rsidRPr="00E050B4" w14:paraId="1A136B47" w14:textId="77777777" w:rsidTr="00D32FA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087" w:type="dxa"/>
            <w:gridSpan w:val="2"/>
            <w:tcBorders>
              <w:top w:val="nil"/>
              <w:left w:val="single" w:sz="4" w:space="0" w:color="auto"/>
              <w:bottom w:val="single" w:sz="4" w:space="0" w:color="auto"/>
              <w:right w:val="single" w:sz="4" w:space="0" w:color="auto"/>
            </w:tcBorders>
            <w:shd w:val="clear" w:color="auto" w:fill="auto"/>
            <w:noWrap/>
            <w:vAlign w:val="center"/>
            <w:hideMark/>
          </w:tcPr>
          <w:p w14:paraId="68D11BC5" w14:textId="77777777" w:rsidR="00DD755D" w:rsidRPr="00545DEB" w:rsidRDefault="00DD755D" w:rsidP="00D32FA2">
            <w:pPr>
              <w:spacing w:after="0"/>
              <w:rPr>
                <w:rFonts w:cs="Arial"/>
                <w:bCs/>
                <w:color w:val="000000"/>
                <w:sz w:val="18"/>
                <w:szCs w:val="18"/>
                <w:lang w:eastAsia="zh-CN"/>
              </w:rPr>
            </w:pPr>
            <w:r w:rsidRPr="00545DEB">
              <w:rPr>
                <w:rFonts w:cs="Arial"/>
                <w:bCs/>
                <w:color w:val="000000"/>
                <w:sz w:val="18"/>
                <w:szCs w:val="18"/>
                <w:lang w:eastAsia="zh-CN"/>
              </w:rPr>
              <w:t>Atlas Proposal or Award Title:</w:t>
            </w:r>
          </w:p>
        </w:tc>
        <w:tc>
          <w:tcPr>
            <w:tcW w:w="11398" w:type="dxa"/>
            <w:gridSpan w:val="3"/>
            <w:tcBorders>
              <w:top w:val="single" w:sz="4" w:space="0" w:color="auto"/>
              <w:left w:val="nil"/>
              <w:bottom w:val="single" w:sz="4" w:space="0" w:color="auto"/>
              <w:right w:val="single" w:sz="4" w:space="0" w:color="000000"/>
            </w:tcBorders>
            <w:shd w:val="clear" w:color="auto" w:fill="auto"/>
            <w:noWrap/>
            <w:vAlign w:val="center"/>
          </w:tcPr>
          <w:p w14:paraId="39234B7A" w14:textId="4FAE4965" w:rsidR="00DD755D" w:rsidRPr="00EE1FA6" w:rsidRDefault="00690E6F" w:rsidP="00D32FA2">
            <w:pPr>
              <w:spacing w:after="0"/>
              <w:rPr>
                <w:rFonts w:cs="Arial"/>
                <w:bCs/>
                <w:color w:val="000000"/>
                <w:sz w:val="18"/>
                <w:szCs w:val="18"/>
                <w:lang w:eastAsia="zh-CN"/>
              </w:rPr>
            </w:pPr>
            <w:r w:rsidRPr="00DD755D">
              <w:rPr>
                <w:rFonts w:eastAsia="Times New Roman"/>
                <w:color w:val="000000"/>
                <w:sz w:val="18"/>
                <w:szCs w:val="18"/>
              </w:rPr>
              <w:t>Integrating biodiversity safeguards and conservation into planning and development in Palau</w:t>
            </w:r>
          </w:p>
        </w:tc>
      </w:tr>
      <w:tr w:rsidR="00DD755D" w:rsidRPr="00E050B4" w14:paraId="3A7F74C6" w14:textId="77777777" w:rsidTr="00D32FA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087" w:type="dxa"/>
            <w:gridSpan w:val="2"/>
            <w:tcBorders>
              <w:top w:val="nil"/>
              <w:left w:val="single" w:sz="4" w:space="0" w:color="auto"/>
              <w:bottom w:val="single" w:sz="4" w:space="0" w:color="auto"/>
              <w:right w:val="single" w:sz="4" w:space="0" w:color="auto"/>
            </w:tcBorders>
            <w:shd w:val="clear" w:color="auto" w:fill="auto"/>
            <w:noWrap/>
            <w:vAlign w:val="center"/>
            <w:hideMark/>
          </w:tcPr>
          <w:p w14:paraId="7607421B" w14:textId="77777777" w:rsidR="00DD755D" w:rsidRPr="00545DEB" w:rsidRDefault="00DD755D" w:rsidP="00D32FA2">
            <w:pPr>
              <w:spacing w:after="0"/>
              <w:rPr>
                <w:rFonts w:cs="Arial"/>
                <w:bCs/>
                <w:color w:val="000000"/>
                <w:sz w:val="18"/>
                <w:szCs w:val="18"/>
                <w:lang w:eastAsia="zh-CN"/>
              </w:rPr>
            </w:pPr>
            <w:r w:rsidRPr="00690E6F">
              <w:rPr>
                <w:rFonts w:cs="Arial"/>
                <w:bCs/>
                <w:color w:val="000000"/>
                <w:sz w:val="18"/>
                <w:szCs w:val="18"/>
                <w:lang w:eastAsia="zh-CN"/>
              </w:rPr>
              <w:t>Atlas Business Unit</w:t>
            </w:r>
          </w:p>
        </w:tc>
        <w:tc>
          <w:tcPr>
            <w:tcW w:w="11398" w:type="dxa"/>
            <w:gridSpan w:val="3"/>
            <w:tcBorders>
              <w:top w:val="single" w:sz="4" w:space="0" w:color="auto"/>
              <w:left w:val="nil"/>
              <w:bottom w:val="single" w:sz="4" w:space="0" w:color="auto"/>
              <w:right w:val="single" w:sz="4" w:space="0" w:color="000000"/>
            </w:tcBorders>
            <w:shd w:val="clear" w:color="auto" w:fill="auto"/>
            <w:noWrap/>
            <w:vAlign w:val="center"/>
          </w:tcPr>
          <w:p w14:paraId="0F7FF24F" w14:textId="2F7DD8A1" w:rsidR="00DD755D" w:rsidRPr="00545DEB" w:rsidRDefault="00690E6F" w:rsidP="00D32FA2">
            <w:pPr>
              <w:spacing w:after="0"/>
              <w:rPr>
                <w:rFonts w:cs="Arial"/>
                <w:bCs/>
                <w:iCs/>
                <w:color w:val="000000"/>
                <w:sz w:val="18"/>
                <w:szCs w:val="18"/>
                <w:lang w:eastAsia="zh-CN"/>
              </w:rPr>
            </w:pPr>
            <w:r>
              <w:rPr>
                <w:rFonts w:cs="Arial"/>
                <w:bCs/>
                <w:iCs/>
                <w:color w:val="000000"/>
                <w:sz w:val="18"/>
                <w:szCs w:val="18"/>
                <w:lang w:eastAsia="zh-CN"/>
              </w:rPr>
              <w:t>FJ10</w:t>
            </w:r>
          </w:p>
        </w:tc>
      </w:tr>
      <w:tr w:rsidR="00DD755D" w:rsidRPr="00E050B4" w14:paraId="04E72A1B" w14:textId="77777777" w:rsidTr="00D32FA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087" w:type="dxa"/>
            <w:gridSpan w:val="2"/>
            <w:tcBorders>
              <w:top w:val="nil"/>
              <w:left w:val="single" w:sz="4" w:space="0" w:color="auto"/>
              <w:bottom w:val="single" w:sz="4" w:space="0" w:color="auto"/>
              <w:right w:val="single" w:sz="4" w:space="0" w:color="auto"/>
            </w:tcBorders>
            <w:shd w:val="clear" w:color="auto" w:fill="auto"/>
            <w:noWrap/>
            <w:vAlign w:val="center"/>
            <w:hideMark/>
          </w:tcPr>
          <w:p w14:paraId="46AFB2FC" w14:textId="77777777" w:rsidR="00DD755D" w:rsidRPr="00E050B4" w:rsidRDefault="00DD755D" w:rsidP="00D32FA2">
            <w:pPr>
              <w:spacing w:after="0"/>
              <w:rPr>
                <w:rFonts w:cs="Arial"/>
                <w:bCs/>
                <w:color w:val="000000"/>
                <w:sz w:val="18"/>
                <w:szCs w:val="18"/>
                <w:lang w:eastAsia="zh-CN"/>
              </w:rPr>
            </w:pPr>
            <w:r w:rsidRPr="00E050B4">
              <w:rPr>
                <w:rFonts w:cs="Arial"/>
                <w:bCs/>
                <w:color w:val="000000"/>
                <w:sz w:val="18"/>
                <w:szCs w:val="18"/>
                <w:lang w:eastAsia="zh-CN"/>
              </w:rPr>
              <w:t>Atlas Primary Output Project Title</w:t>
            </w:r>
          </w:p>
        </w:tc>
        <w:tc>
          <w:tcPr>
            <w:tcW w:w="11398" w:type="dxa"/>
            <w:gridSpan w:val="3"/>
            <w:tcBorders>
              <w:top w:val="single" w:sz="4" w:space="0" w:color="auto"/>
              <w:left w:val="nil"/>
              <w:bottom w:val="single" w:sz="4" w:space="0" w:color="auto"/>
              <w:right w:val="single" w:sz="4" w:space="0" w:color="000000"/>
            </w:tcBorders>
            <w:shd w:val="clear" w:color="auto" w:fill="auto"/>
            <w:noWrap/>
            <w:vAlign w:val="center"/>
          </w:tcPr>
          <w:p w14:paraId="5D724C54" w14:textId="77777777" w:rsidR="00DD755D" w:rsidRPr="00DD755D" w:rsidRDefault="00DD755D" w:rsidP="00D32FA2">
            <w:pPr>
              <w:spacing w:after="0"/>
              <w:rPr>
                <w:rFonts w:cs="Arial"/>
                <w:bCs/>
                <w:color w:val="000000"/>
                <w:sz w:val="18"/>
                <w:szCs w:val="18"/>
                <w:lang w:eastAsia="zh-CN"/>
              </w:rPr>
            </w:pPr>
            <w:r w:rsidRPr="00DD755D">
              <w:rPr>
                <w:rFonts w:eastAsia="Times New Roman"/>
                <w:color w:val="000000"/>
                <w:sz w:val="18"/>
                <w:szCs w:val="18"/>
              </w:rPr>
              <w:t>Integrating biodiversity safeguards and conservation into planning and development in Palau</w:t>
            </w:r>
          </w:p>
        </w:tc>
      </w:tr>
      <w:tr w:rsidR="00DD755D" w:rsidRPr="00E050B4" w14:paraId="00B0F1E1" w14:textId="77777777" w:rsidTr="00D32FA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087" w:type="dxa"/>
            <w:gridSpan w:val="2"/>
            <w:tcBorders>
              <w:top w:val="nil"/>
              <w:left w:val="single" w:sz="4" w:space="0" w:color="auto"/>
              <w:bottom w:val="single" w:sz="4" w:space="0" w:color="auto"/>
              <w:right w:val="single" w:sz="4" w:space="0" w:color="auto"/>
            </w:tcBorders>
            <w:shd w:val="clear" w:color="auto" w:fill="auto"/>
            <w:noWrap/>
            <w:vAlign w:val="center"/>
            <w:hideMark/>
          </w:tcPr>
          <w:p w14:paraId="3346FD64" w14:textId="77777777" w:rsidR="00DD755D" w:rsidRPr="00E050B4" w:rsidRDefault="00DD755D" w:rsidP="00D32FA2">
            <w:pPr>
              <w:spacing w:after="0"/>
              <w:rPr>
                <w:rFonts w:cs="Arial"/>
                <w:bCs/>
                <w:color w:val="000000"/>
                <w:sz w:val="18"/>
                <w:szCs w:val="18"/>
                <w:lang w:eastAsia="zh-CN"/>
              </w:rPr>
            </w:pPr>
            <w:r w:rsidRPr="00E050B4">
              <w:rPr>
                <w:rFonts w:cs="Arial"/>
                <w:bCs/>
                <w:color w:val="000000"/>
                <w:sz w:val="18"/>
                <w:szCs w:val="18"/>
                <w:lang w:eastAsia="zh-CN"/>
              </w:rPr>
              <w:t xml:space="preserve">UNDP-GEF PIMS No. </w:t>
            </w:r>
          </w:p>
        </w:tc>
        <w:tc>
          <w:tcPr>
            <w:tcW w:w="11398" w:type="dxa"/>
            <w:gridSpan w:val="3"/>
            <w:tcBorders>
              <w:top w:val="single" w:sz="4" w:space="0" w:color="auto"/>
              <w:left w:val="nil"/>
              <w:bottom w:val="single" w:sz="4" w:space="0" w:color="auto"/>
              <w:right w:val="single" w:sz="4" w:space="0" w:color="auto"/>
            </w:tcBorders>
            <w:shd w:val="clear" w:color="auto" w:fill="auto"/>
            <w:noWrap/>
            <w:vAlign w:val="center"/>
          </w:tcPr>
          <w:p w14:paraId="4573A5EB" w14:textId="642D876D" w:rsidR="00DD755D" w:rsidRPr="00DD755D" w:rsidRDefault="009303EF" w:rsidP="00D32FA2">
            <w:pPr>
              <w:spacing w:after="0"/>
              <w:rPr>
                <w:rFonts w:cs="Arial"/>
                <w:bCs/>
                <w:color w:val="000000"/>
                <w:sz w:val="18"/>
                <w:szCs w:val="18"/>
                <w:lang w:eastAsia="zh-CN"/>
              </w:rPr>
            </w:pPr>
            <w:r>
              <w:rPr>
                <w:rFonts w:cs="Arial"/>
                <w:bCs/>
                <w:color w:val="000000"/>
                <w:sz w:val="18"/>
                <w:szCs w:val="18"/>
                <w:lang w:eastAsia="zh-CN"/>
              </w:rPr>
              <w:t>5645</w:t>
            </w:r>
          </w:p>
        </w:tc>
      </w:tr>
      <w:tr w:rsidR="00DD755D" w:rsidRPr="00E050B4" w14:paraId="2EE235F4" w14:textId="77777777" w:rsidTr="00D32FA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260"/>
        </w:trPr>
        <w:tc>
          <w:tcPr>
            <w:tcW w:w="3087" w:type="dxa"/>
            <w:gridSpan w:val="2"/>
            <w:tcBorders>
              <w:top w:val="single" w:sz="6" w:space="0" w:color="auto"/>
              <w:left w:val="single" w:sz="4" w:space="0" w:color="auto"/>
              <w:bottom w:val="single" w:sz="4" w:space="0" w:color="auto"/>
              <w:right w:val="single" w:sz="4" w:space="0" w:color="auto"/>
            </w:tcBorders>
            <w:shd w:val="clear" w:color="auto" w:fill="auto"/>
            <w:vAlign w:val="center"/>
            <w:hideMark/>
          </w:tcPr>
          <w:p w14:paraId="1F3BFF7C" w14:textId="77777777" w:rsidR="00DD755D" w:rsidRPr="00E050B4" w:rsidRDefault="00DD755D" w:rsidP="00D32FA2">
            <w:pPr>
              <w:spacing w:after="0"/>
              <w:rPr>
                <w:rFonts w:cs="Arial"/>
                <w:bCs/>
                <w:color w:val="000000"/>
                <w:sz w:val="18"/>
                <w:szCs w:val="18"/>
                <w:lang w:eastAsia="zh-CN"/>
              </w:rPr>
            </w:pPr>
            <w:r w:rsidRPr="00E050B4">
              <w:rPr>
                <w:rFonts w:cs="Arial"/>
                <w:bCs/>
                <w:color w:val="000000"/>
                <w:sz w:val="18"/>
                <w:szCs w:val="18"/>
                <w:lang w:eastAsia="zh-CN"/>
              </w:rPr>
              <w:t xml:space="preserve">Implementing Partner </w:t>
            </w:r>
          </w:p>
        </w:tc>
        <w:tc>
          <w:tcPr>
            <w:tcW w:w="11398" w:type="dxa"/>
            <w:gridSpan w:val="3"/>
            <w:tcBorders>
              <w:top w:val="single" w:sz="6" w:space="0" w:color="auto"/>
              <w:left w:val="nil"/>
              <w:bottom w:val="single" w:sz="4" w:space="0" w:color="auto"/>
              <w:right w:val="single" w:sz="4" w:space="0" w:color="000000"/>
            </w:tcBorders>
            <w:shd w:val="clear" w:color="auto" w:fill="auto"/>
            <w:noWrap/>
            <w:vAlign w:val="center"/>
          </w:tcPr>
          <w:p w14:paraId="5BC4FB1C" w14:textId="77777777" w:rsidR="00DD755D" w:rsidRPr="00DD755D" w:rsidRDefault="00DD755D" w:rsidP="00D32FA2">
            <w:pPr>
              <w:spacing w:after="0"/>
              <w:rPr>
                <w:rFonts w:cs="Arial"/>
                <w:bCs/>
                <w:color w:val="000000"/>
                <w:sz w:val="18"/>
                <w:szCs w:val="18"/>
                <w:lang w:eastAsia="zh-CN"/>
              </w:rPr>
            </w:pPr>
            <w:r w:rsidRPr="00DD755D">
              <w:rPr>
                <w:rFonts w:cs="Arial"/>
                <w:bCs/>
                <w:color w:val="000000"/>
                <w:sz w:val="18"/>
                <w:szCs w:val="18"/>
                <w:lang w:eastAsia="zh-CN"/>
              </w:rPr>
              <w:t>Ministry of Natural Resources, Environment and Tourism, Government of Palau</w:t>
            </w:r>
          </w:p>
        </w:tc>
      </w:tr>
    </w:tbl>
    <w:p w14:paraId="373CAC74" w14:textId="77777777" w:rsidR="00DD755D" w:rsidRPr="00E050B4" w:rsidRDefault="00DD755D" w:rsidP="00DD755D">
      <w:pPr>
        <w:jc w:val="left"/>
      </w:pPr>
    </w:p>
    <w:tbl>
      <w:tblPr>
        <w:tblW w:w="14496" w:type="dxa"/>
        <w:tblInd w:w="108" w:type="dxa"/>
        <w:tblLook w:val="04A0" w:firstRow="1" w:lastRow="0" w:firstColumn="1" w:lastColumn="0" w:noHBand="0" w:noVBand="1"/>
      </w:tblPr>
      <w:tblGrid>
        <w:gridCol w:w="1217"/>
        <w:gridCol w:w="1209"/>
        <w:gridCol w:w="808"/>
        <w:gridCol w:w="808"/>
        <w:gridCol w:w="1194"/>
        <w:gridCol w:w="1864"/>
        <w:gridCol w:w="917"/>
        <w:gridCol w:w="987"/>
        <w:gridCol w:w="987"/>
        <w:gridCol w:w="987"/>
        <w:gridCol w:w="898"/>
        <w:gridCol w:w="957"/>
        <w:gridCol w:w="987"/>
        <w:gridCol w:w="688"/>
      </w:tblGrid>
      <w:tr w:rsidR="00093AEB" w:rsidRPr="00CD1D92" w14:paraId="694744F7" w14:textId="77777777" w:rsidTr="001D57AA">
        <w:trPr>
          <w:trHeight w:val="765"/>
        </w:trPr>
        <w:tc>
          <w:tcPr>
            <w:tcW w:w="1235" w:type="dxa"/>
            <w:tcBorders>
              <w:top w:val="single" w:sz="4" w:space="0" w:color="auto"/>
              <w:left w:val="single" w:sz="4" w:space="0" w:color="auto"/>
              <w:bottom w:val="single" w:sz="4" w:space="0" w:color="auto"/>
              <w:right w:val="single" w:sz="4" w:space="0" w:color="auto"/>
            </w:tcBorders>
            <w:shd w:val="clear" w:color="000000" w:fill="EAF1DD"/>
            <w:hideMark/>
          </w:tcPr>
          <w:p w14:paraId="2DB0BDAD" w14:textId="77777777" w:rsidR="00DD755D" w:rsidRPr="00CD1D92" w:rsidRDefault="00DD755D" w:rsidP="00D32FA2">
            <w:pPr>
              <w:spacing w:after="0"/>
              <w:jc w:val="center"/>
              <w:rPr>
                <w:rFonts w:eastAsia="Times New Roman"/>
                <w:b/>
                <w:bCs/>
                <w:color w:val="000000"/>
                <w:sz w:val="18"/>
                <w:szCs w:val="18"/>
              </w:rPr>
            </w:pPr>
            <w:r w:rsidRPr="00CD1D92">
              <w:rPr>
                <w:rFonts w:eastAsia="Times New Roman"/>
                <w:b/>
                <w:bCs/>
                <w:color w:val="000000"/>
                <w:sz w:val="18"/>
                <w:szCs w:val="18"/>
              </w:rPr>
              <w:t>Outcome</w:t>
            </w:r>
          </w:p>
        </w:tc>
        <w:tc>
          <w:tcPr>
            <w:tcW w:w="1212" w:type="dxa"/>
            <w:tcBorders>
              <w:top w:val="single" w:sz="4" w:space="0" w:color="auto"/>
              <w:left w:val="nil"/>
              <w:bottom w:val="single" w:sz="4" w:space="0" w:color="auto"/>
              <w:right w:val="single" w:sz="4" w:space="0" w:color="auto"/>
            </w:tcBorders>
            <w:shd w:val="clear" w:color="000000" w:fill="EAF1DD"/>
            <w:hideMark/>
          </w:tcPr>
          <w:p w14:paraId="70696006" w14:textId="77777777" w:rsidR="00DD755D" w:rsidRPr="00CD1D92" w:rsidRDefault="00DD755D" w:rsidP="00D32FA2">
            <w:pPr>
              <w:spacing w:after="0"/>
              <w:jc w:val="center"/>
              <w:rPr>
                <w:rFonts w:eastAsia="Times New Roman"/>
                <w:b/>
                <w:bCs/>
                <w:color w:val="000000"/>
                <w:sz w:val="18"/>
                <w:szCs w:val="18"/>
              </w:rPr>
            </w:pPr>
            <w:r w:rsidRPr="00CD1D92">
              <w:rPr>
                <w:rFonts w:eastAsia="Times New Roman"/>
                <w:b/>
                <w:bCs/>
                <w:color w:val="000000"/>
                <w:sz w:val="16"/>
                <w:szCs w:val="18"/>
              </w:rPr>
              <w:t>Implementing Partner(s)</w:t>
            </w:r>
          </w:p>
        </w:tc>
        <w:tc>
          <w:tcPr>
            <w:tcW w:w="810" w:type="dxa"/>
            <w:tcBorders>
              <w:top w:val="single" w:sz="4" w:space="0" w:color="auto"/>
              <w:left w:val="nil"/>
              <w:bottom w:val="single" w:sz="4" w:space="0" w:color="auto"/>
              <w:right w:val="single" w:sz="4" w:space="0" w:color="auto"/>
            </w:tcBorders>
            <w:shd w:val="clear" w:color="000000" w:fill="EAF1DD"/>
            <w:hideMark/>
          </w:tcPr>
          <w:p w14:paraId="1595BFA4" w14:textId="77777777" w:rsidR="00DD755D" w:rsidRPr="00CD1D92" w:rsidRDefault="00DD755D" w:rsidP="00D32FA2">
            <w:pPr>
              <w:spacing w:after="0"/>
              <w:jc w:val="center"/>
              <w:rPr>
                <w:rFonts w:eastAsia="Times New Roman"/>
                <w:b/>
                <w:bCs/>
                <w:color w:val="000000"/>
                <w:sz w:val="18"/>
                <w:szCs w:val="18"/>
              </w:rPr>
            </w:pPr>
            <w:r w:rsidRPr="00CD1D92">
              <w:rPr>
                <w:rFonts w:eastAsia="Times New Roman"/>
                <w:b/>
                <w:bCs/>
                <w:color w:val="000000"/>
                <w:sz w:val="18"/>
                <w:szCs w:val="18"/>
              </w:rPr>
              <w:t>Fund ID</w:t>
            </w:r>
          </w:p>
        </w:tc>
        <w:tc>
          <w:tcPr>
            <w:tcW w:w="810" w:type="dxa"/>
            <w:tcBorders>
              <w:top w:val="single" w:sz="4" w:space="0" w:color="auto"/>
              <w:left w:val="nil"/>
              <w:bottom w:val="single" w:sz="4" w:space="0" w:color="auto"/>
              <w:right w:val="single" w:sz="4" w:space="0" w:color="auto"/>
            </w:tcBorders>
            <w:shd w:val="clear" w:color="000000" w:fill="EAF1DD"/>
            <w:hideMark/>
          </w:tcPr>
          <w:p w14:paraId="2CE5BAFD" w14:textId="77777777" w:rsidR="00DD755D" w:rsidRPr="00CD1D92" w:rsidRDefault="00DD755D" w:rsidP="00D32FA2">
            <w:pPr>
              <w:spacing w:after="0"/>
              <w:jc w:val="center"/>
              <w:rPr>
                <w:rFonts w:eastAsia="Times New Roman"/>
                <w:b/>
                <w:bCs/>
                <w:color w:val="000000"/>
                <w:sz w:val="18"/>
                <w:szCs w:val="18"/>
              </w:rPr>
            </w:pPr>
            <w:r w:rsidRPr="00CD1D92">
              <w:rPr>
                <w:rFonts w:eastAsia="Times New Roman"/>
                <w:b/>
                <w:bCs/>
                <w:color w:val="000000"/>
                <w:sz w:val="18"/>
                <w:szCs w:val="18"/>
              </w:rPr>
              <w:t>Donor Name</w:t>
            </w:r>
          </w:p>
        </w:tc>
        <w:tc>
          <w:tcPr>
            <w:tcW w:w="1129" w:type="dxa"/>
            <w:tcBorders>
              <w:top w:val="single" w:sz="4" w:space="0" w:color="auto"/>
              <w:left w:val="nil"/>
              <w:bottom w:val="single" w:sz="4" w:space="0" w:color="auto"/>
              <w:right w:val="single" w:sz="4" w:space="0" w:color="auto"/>
            </w:tcBorders>
            <w:shd w:val="clear" w:color="000000" w:fill="EAF1DD"/>
            <w:hideMark/>
          </w:tcPr>
          <w:p w14:paraId="04434F89" w14:textId="77777777" w:rsidR="00DD755D" w:rsidRPr="00CD1D92" w:rsidRDefault="00DD755D" w:rsidP="00D32FA2">
            <w:pPr>
              <w:spacing w:after="0"/>
              <w:jc w:val="center"/>
              <w:rPr>
                <w:rFonts w:eastAsia="Times New Roman"/>
                <w:b/>
                <w:bCs/>
                <w:color w:val="000000"/>
                <w:sz w:val="18"/>
                <w:szCs w:val="18"/>
              </w:rPr>
            </w:pPr>
            <w:r w:rsidRPr="00CD1D92">
              <w:rPr>
                <w:rFonts w:eastAsia="Times New Roman"/>
                <w:b/>
                <w:bCs/>
                <w:color w:val="000000"/>
                <w:sz w:val="16"/>
                <w:szCs w:val="18"/>
              </w:rPr>
              <w:t>Atlas Budgetary Account Code</w:t>
            </w:r>
          </w:p>
        </w:tc>
        <w:tc>
          <w:tcPr>
            <w:tcW w:w="1870" w:type="dxa"/>
            <w:tcBorders>
              <w:top w:val="single" w:sz="4" w:space="0" w:color="auto"/>
              <w:left w:val="nil"/>
              <w:bottom w:val="single" w:sz="4" w:space="0" w:color="auto"/>
              <w:right w:val="single" w:sz="4" w:space="0" w:color="auto"/>
            </w:tcBorders>
            <w:shd w:val="clear" w:color="000000" w:fill="EAF1DD"/>
            <w:hideMark/>
          </w:tcPr>
          <w:p w14:paraId="254EE328" w14:textId="77777777" w:rsidR="00DD755D" w:rsidRPr="00CD1D92" w:rsidRDefault="00DD755D" w:rsidP="00D32FA2">
            <w:pPr>
              <w:spacing w:after="0"/>
              <w:jc w:val="center"/>
              <w:rPr>
                <w:rFonts w:eastAsia="Times New Roman"/>
                <w:b/>
                <w:bCs/>
                <w:color w:val="000000"/>
                <w:sz w:val="18"/>
                <w:szCs w:val="18"/>
              </w:rPr>
            </w:pPr>
            <w:r w:rsidRPr="00CD1D92">
              <w:rPr>
                <w:rFonts w:eastAsia="Times New Roman"/>
                <w:b/>
                <w:bCs/>
                <w:color w:val="000000"/>
                <w:sz w:val="18"/>
                <w:szCs w:val="18"/>
              </w:rPr>
              <w:t>ATLAS Budget Description</w:t>
            </w:r>
          </w:p>
        </w:tc>
        <w:tc>
          <w:tcPr>
            <w:tcW w:w="920" w:type="dxa"/>
            <w:tcBorders>
              <w:top w:val="single" w:sz="4" w:space="0" w:color="auto"/>
              <w:left w:val="nil"/>
              <w:bottom w:val="single" w:sz="4" w:space="0" w:color="auto"/>
              <w:right w:val="single" w:sz="4" w:space="0" w:color="auto"/>
            </w:tcBorders>
            <w:shd w:val="clear" w:color="000000" w:fill="EAF1DD"/>
            <w:hideMark/>
          </w:tcPr>
          <w:p w14:paraId="5E6D4BB2" w14:textId="77777777" w:rsidR="00DD755D" w:rsidRPr="00CD1D92" w:rsidRDefault="00DD755D" w:rsidP="00D32FA2">
            <w:pPr>
              <w:spacing w:after="0"/>
              <w:jc w:val="center"/>
              <w:rPr>
                <w:rFonts w:eastAsia="Times New Roman"/>
                <w:b/>
                <w:bCs/>
                <w:color w:val="000000"/>
                <w:sz w:val="18"/>
                <w:szCs w:val="18"/>
              </w:rPr>
            </w:pPr>
            <w:r w:rsidRPr="00CD1D92">
              <w:rPr>
                <w:rFonts w:eastAsia="Times New Roman"/>
                <w:b/>
                <w:bCs/>
                <w:color w:val="000000"/>
                <w:sz w:val="18"/>
                <w:szCs w:val="18"/>
              </w:rPr>
              <w:t>Year 1 (USD)</w:t>
            </w:r>
          </w:p>
        </w:tc>
        <w:tc>
          <w:tcPr>
            <w:tcW w:w="990" w:type="dxa"/>
            <w:tcBorders>
              <w:top w:val="single" w:sz="4" w:space="0" w:color="auto"/>
              <w:left w:val="nil"/>
              <w:bottom w:val="single" w:sz="4" w:space="0" w:color="auto"/>
              <w:right w:val="single" w:sz="4" w:space="0" w:color="auto"/>
            </w:tcBorders>
            <w:shd w:val="clear" w:color="000000" w:fill="EAF1DD"/>
            <w:hideMark/>
          </w:tcPr>
          <w:p w14:paraId="21FDE786" w14:textId="77777777" w:rsidR="00DD755D" w:rsidRPr="00CD1D92" w:rsidRDefault="00DD755D" w:rsidP="00D32FA2">
            <w:pPr>
              <w:spacing w:after="0"/>
              <w:jc w:val="center"/>
              <w:rPr>
                <w:rFonts w:eastAsia="Times New Roman"/>
                <w:b/>
                <w:bCs/>
                <w:color w:val="000000"/>
                <w:sz w:val="18"/>
                <w:szCs w:val="18"/>
              </w:rPr>
            </w:pPr>
            <w:r w:rsidRPr="00CD1D92">
              <w:rPr>
                <w:rFonts w:eastAsia="Times New Roman"/>
                <w:b/>
                <w:bCs/>
                <w:color w:val="000000"/>
                <w:sz w:val="18"/>
                <w:szCs w:val="18"/>
              </w:rPr>
              <w:t>Year 2 (USD)</w:t>
            </w:r>
          </w:p>
        </w:tc>
        <w:tc>
          <w:tcPr>
            <w:tcW w:w="990" w:type="dxa"/>
            <w:tcBorders>
              <w:top w:val="single" w:sz="4" w:space="0" w:color="auto"/>
              <w:left w:val="nil"/>
              <w:bottom w:val="single" w:sz="4" w:space="0" w:color="auto"/>
              <w:right w:val="single" w:sz="4" w:space="0" w:color="auto"/>
            </w:tcBorders>
            <w:shd w:val="clear" w:color="000000" w:fill="EAF1DD"/>
            <w:hideMark/>
          </w:tcPr>
          <w:p w14:paraId="24A7BCD3" w14:textId="77777777" w:rsidR="00DD755D" w:rsidRPr="00CD1D92" w:rsidRDefault="00DD755D" w:rsidP="00D32FA2">
            <w:pPr>
              <w:spacing w:after="0"/>
              <w:jc w:val="center"/>
              <w:rPr>
                <w:rFonts w:eastAsia="Times New Roman"/>
                <w:b/>
                <w:bCs/>
                <w:color w:val="000000"/>
                <w:sz w:val="18"/>
                <w:szCs w:val="18"/>
              </w:rPr>
            </w:pPr>
            <w:r w:rsidRPr="00CD1D92">
              <w:rPr>
                <w:rFonts w:eastAsia="Times New Roman"/>
                <w:b/>
                <w:bCs/>
                <w:color w:val="000000"/>
                <w:sz w:val="18"/>
                <w:szCs w:val="18"/>
              </w:rPr>
              <w:t>Year 3 (USD)</w:t>
            </w:r>
          </w:p>
        </w:tc>
        <w:tc>
          <w:tcPr>
            <w:tcW w:w="990" w:type="dxa"/>
            <w:tcBorders>
              <w:top w:val="single" w:sz="4" w:space="0" w:color="auto"/>
              <w:left w:val="nil"/>
              <w:bottom w:val="single" w:sz="4" w:space="0" w:color="auto"/>
              <w:right w:val="single" w:sz="4" w:space="0" w:color="auto"/>
            </w:tcBorders>
            <w:shd w:val="clear" w:color="000000" w:fill="EAF1DD"/>
            <w:hideMark/>
          </w:tcPr>
          <w:p w14:paraId="5203A685" w14:textId="77777777" w:rsidR="00DD755D" w:rsidRPr="00CD1D92" w:rsidRDefault="00DD755D" w:rsidP="00D32FA2">
            <w:pPr>
              <w:spacing w:after="0"/>
              <w:jc w:val="center"/>
              <w:rPr>
                <w:rFonts w:eastAsia="Times New Roman"/>
                <w:b/>
                <w:bCs/>
                <w:color w:val="000000"/>
                <w:sz w:val="18"/>
                <w:szCs w:val="18"/>
              </w:rPr>
            </w:pPr>
            <w:r w:rsidRPr="00CD1D92">
              <w:rPr>
                <w:rFonts w:eastAsia="Times New Roman"/>
                <w:b/>
                <w:bCs/>
                <w:color w:val="000000"/>
                <w:sz w:val="18"/>
                <w:szCs w:val="18"/>
              </w:rPr>
              <w:t>Year 4 (USD)</w:t>
            </w:r>
          </w:p>
        </w:tc>
        <w:tc>
          <w:tcPr>
            <w:tcW w:w="900" w:type="dxa"/>
            <w:tcBorders>
              <w:top w:val="single" w:sz="4" w:space="0" w:color="auto"/>
              <w:left w:val="nil"/>
              <w:bottom w:val="single" w:sz="4" w:space="0" w:color="auto"/>
              <w:right w:val="single" w:sz="4" w:space="0" w:color="auto"/>
            </w:tcBorders>
            <w:shd w:val="clear" w:color="000000" w:fill="EAF1DD"/>
            <w:hideMark/>
          </w:tcPr>
          <w:p w14:paraId="71181B2C" w14:textId="77777777" w:rsidR="00DD755D" w:rsidRPr="00CD1D92" w:rsidRDefault="00DD755D" w:rsidP="00D32FA2">
            <w:pPr>
              <w:spacing w:after="0"/>
              <w:jc w:val="center"/>
              <w:rPr>
                <w:rFonts w:eastAsia="Times New Roman"/>
                <w:b/>
                <w:bCs/>
                <w:color w:val="000000"/>
                <w:sz w:val="18"/>
                <w:szCs w:val="18"/>
              </w:rPr>
            </w:pPr>
            <w:r w:rsidRPr="00CD1D92">
              <w:rPr>
                <w:rFonts w:eastAsia="Times New Roman"/>
                <w:b/>
                <w:bCs/>
                <w:color w:val="000000"/>
                <w:sz w:val="18"/>
                <w:szCs w:val="18"/>
              </w:rPr>
              <w:t>Year 5 (USD)</w:t>
            </w:r>
          </w:p>
        </w:tc>
        <w:tc>
          <w:tcPr>
            <w:tcW w:w="960" w:type="dxa"/>
            <w:tcBorders>
              <w:top w:val="single" w:sz="4" w:space="0" w:color="auto"/>
              <w:left w:val="nil"/>
              <w:bottom w:val="single" w:sz="4" w:space="0" w:color="auto"/>
              <w:right w:val="single" w:sz="4" w:space="0" w:color="auto"/>
            </w:tcBorders>
            <w:shd w:val="clear" w:color="000000" w:fill="EAF1DD"/>
            <w:hideMark/>
          </w:tcPr>
          <w:p w14:paraId="44D7658A" w14:textId="77777777" w:rsidR="00DD755D" w:rsidRPr="00CD1D92" w:rsidRDefault="00DD755D" w:rsidP="00D32FA2">
            <w:pPr>
              <w:spacing w:after="0"/>
              <w:jc w:val="center"/>
              <w:rPr>
                <w:rFonts w:eastAsia="Times New Roman"/>
                <w:b/>
                <w:bCs/>
                <w:color w:val="000000"/>
                <w:sz w:val="18"/>
                <w:szCs w:val="18"/>
              </w:rPr>
            </w:pPr>
            <w:r w:rsidRPr="00CD1D92">
              <w:rPr>
                <w:rFonts w:eastAsia="Times New Roman"/>
                <w:b/>
                <w:bCs/>
                <w:color w:val="000000"/>
                <w:sz w:val="18"/>
                <w:szCs w:val="18"/>
              </w:rPr>
              <w:t>Year 6 (USD)</w:t>
            </w:r>
          </w:p>
        </w:tc>
        <w:tc>
          <w:tcPr>
            <w:tcW w:w="990" w:type="dxa"/>
            <w:tcBorders>
              <w:top w:val="single" w:sz="4" w:space="0" w:color="auto"/>
              <w:left w:val="nil"/>
              <w:bottom w:val="single" w:sz="4" w:space="0" w:color="auto"/>
              <w:right w:val="single" w:sz="4" w:space="0" w:color="auto"/>
            </w:tcBorders>
            <w:shd w:val="clear" w:color="000000" w:fill="EAF1DD"/>
            <w:hideMark/>
          </w:tcPr>
          <w:p w14:paraId="165F3108" w14:textId="77777777" w:rsidR="00DD755D" w:rsidRPr="00CD1D92" w:rsidRDefault="00DD755D" w:rsidP="00D32FA2">
            <w:pPr>
              <w:spacing w:after="0"/>
              <w:jc w:val="center"/>
              <w:rPr>
                <w:rFonts w:eastAsia="Times New Roman"/>
                <w:b/>
                <w:bCs/>
                <w:color w:val="000000"/>
                <w:sz w:val="18"/>
                <w:szCs w:val="18"/>
              </w:rPr>
            </w:pPr>
            <w:r w:rsidRPr="00CD1D92">
              <w:rPr>
                <w:rFonts w:eastAsia="Times New Roman"/>
                <w:b/>
                <w:bCs/>
                <w:color w:val="000000"/>
                <w:sz w:val="18"/>
                <w:szCs w:val="18"/>
              </w:rPr>
              <w:t>Total (USD)</w:t>
            </w:r>
          </w:p>
        </w:tc>
        <w:tc>
          <w:tcPr>
            <w:tcW w:w="690" w:type="dxa"/>
            <w:tcBorders>
              <w:top w:val="single" w:sz="4" w:space="0" w:color="auto"/>
              <w:left w:val="nil"/>
              <w:bottom w:val="single" w:sz="4" w:space="0" w:color="auto"/>
              <w:right w:val="single" w:sz="4" w:space="0" w:color="auto"/>
            </w:tcBorders>
            <w:shd w:val="clear" w:color="000000" w:fill="EAF1DD"/>
            <w:hideMark/>
          </w:tcPr>
          <w:p w14:paraId="5CE8C7D6" w14:textId="77777777" w:rsidR="00DD755D" w:rsidRPr="00CD1D92" w:rsidRDefault="00DD755D" w:rsidP="00D32FA2">
            <w:pPr>
              <w:spacing w:after="0"/>
              <w:jc w:val="center"/>
              <w:rPr>
                <w:rFonts w:eastAsia="Times New Roman"/>
                <w:b/>
                <w:bCs/>
                <w:color w:val="000000"/>
                <w:sz w:val="18"/>
                <w:szCs w:val="18"/>
              </w:rPr>
            </w:pPr>
            <w:r w:rsidRPr="00CD1D92">
              <w:rPr>
                <w:rFonts w:eastAsia="Times New Roman"/>
                <w:b/>
                <w:bCs/>
                <w:color w:val="000000"/>
                <w:sz w:val="16"/>
                <w:szCs w:val="18"/>
              </w:rPr>
              <w:t>See Budget Note:</w:t>
            </w:r>
          </w:p>
        </w:tc>
      </w:tr>
      <w:tr w:rsidR="00093AEB" w:rsidRPr="00CD1D92" w14:paraId="046B3157" w14:textId="77777777" w:rsidTr="001D57AA">
        <w:trPr>
          <w:trHeight w:val="300"/>
        </w:trPr>
        <w:tc>
          <w:tcPr>
            <w:tcW w:w="1235" w:type="dxa"/>
            <w:vMerge w:val="restart"/>
            <w:tcBorders>
              <w:top w:val="nil"/>
              <w:left w:val="single" w:sz="4" w:space="0" w:color="auto"/>
              <w:bottom w:val="single" w:sz="4" w:space="0" w:color="000000"/>
              <w:right w:val="single" w:sz="4" w:space="0" w:color="auto"/>
            </w:tcBorders>
            <w:shd w:val="clear" w:color="auto" w:fill="auto"/>
            <w:hideMark/>
          </w:tcPr>
          <w:p w14:paraId="6E2DAAF8" w14:textId="77777777" w:rsidR="00DD755D" w:rsidRPr="00CD1D92" w:rsidRDefault="00DD755D" w:rsidP="00D32FA2">
            <w:pPr>
              <w:spacing w:after="0"/>
              <w:jc w:val="left"/>
              <w:rPr>
                <w:rFonts w:eastAsia="Times New Roman"/>
                <w:color w:val="000000"/>
                <w:sz w:val="18"/>
                <w:szCs w:val="18"/>
              </w:rPr>
            </w:pPr>
            <w:r w:rsidRPr="00CD1D92">
              <w:rPr>
                <w:rFonts w:eastAsia="Times New Roman"/>
                <w:b/>
                <w:bCs/>
                <w:color w:val="000000"/>
                <w:sz w:val="18"/>
                <w:szCs w:val="18"/>
              </w:rPr>
              <w:t xml:space="preserve">Outcome 1: </w:t>
            </w:r>
            <w:r w:rsidRPr="00CD1D92">
              <w:rPr>
                <w:rFonts w:eastAsia="Times New Roman"/>
                <w:color w:val="000000"/>
                <w:sz w:val="18"/>
                <w:szCs w:val="18"/>
              </w:rPr>
              <w:t>Enhanced national institutional capacities for integrated planning and management of land and seascapes</w:t>
            </w:r>
          </w:p>
        </w:tc>
        <w:tc>
          <w:tcPr>
            <w:tcW w:w="1212" w:type="dxa"/>
            <w:vMerge w:val="restart"/>
            <w:tcBorders>
              <w:top w:val="nil"/>
              <w:left w:val="single" w:sz="4" w:space="0" w:color="auto"/>
              <w:bottom w:val="single" w:sz="4" w:space="0" w:color="000000"/>
              <w:right w:val="single" w:sz="4" w:space="0" w:color="auto"/>
            </w:tcBorders>
            <w:shd w:val="clear" w:color="auto" w:fill="auto"/>
            <w:hideMark/>
          </w:tcPr>
          <w:p w14:paraId="6904D3DE"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MNRET</w:t>
            </w:r>
          </w:p>
        </w:tc>
        <w:tc>
          <w:tcPr>
            <w:tcW w:w="810" w:type="dxa"/>
            <w:vMerge w:val="restart"/>
            <w:tcBorders>
              <w:top w:val="nil"/>
              <w:left w:val="single" w:sz="4" w:space="0" w:color="auto"/>
              <w:bottom w:val="single" w:sz="4" w:space="0" w:color="000000"/>
              <w:right w:val="single" w:sz="4" w:space="0" w:color="auto"/>
            </w:tcBorders>
            <w:shd w:val="clear" w:color="auto" w:fill="auto"/>
            <w:noWrap/>
            <w:hideMark/>
          </w:tcPr>
          <w:p w14:paraId="7940DB83"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62000</w:t>
            </w:r>
          </w:p>
        </w:tc>
        <w:tc>
          <w:tcPr>
            <w:tcW w:w="810" w:type="dxa"/>
            <w:vMerge w:val="restart"/>
            <w:tcBorders>
              <w:top w:val="nil"/>
              <w:left w:val="single" w:sz="4" w:space="0" w:color="auto"/>
              <w:bottom w:val="single" w:sz="4" w:space="0" w:color="000000"/>
              <w:right w:val="single" w:sz="4" w:space="0" w:color="auto"/>
            </w:tcBorders>
            <w:shd w:val="clear" w:color="auto" w:fill="auto"/>
            <w:noWrap/>
            <w:hideMark/>
          </w:tcPr>
          <w:p w14:paraId="4832380F"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GEF</w:t>
            </w:r>
          </w:p>
        </w:tc>
        <w:tc>
          <w:tcPr>
            <w:tcW w:w="1129" w:type="dxa"/>
            <w:tcBorders>
              <w:top w:val="nil"/>
              <w:left w:val="nil"/>
              <w:bottom w:val="single" w:sz="4" w:space="0" w:color="auto"/>
              <w:right w:val="single" w:sz="4" w:space="0" w:color="auto"/>
            </w:tcBorders>
            <w:shd w:val="clear" w:color="auto" w:fill="auto"/>
            <w:noWrap/>
            <w:hideMark/>
          </w:tcPr>
          <w:p w14:paraId="499D80E0"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71200</w:t>
            </w:r>
          </w:p>
        </w:tc>
        <w:tc>
          <w:tcPr>
            <w:tcW w:w="1870" w:type="dxa"/>
            <w:tcBorders>
              <w:top w:val="nil"/>
              <w:left w:val="nil"/>
              <w:bottom w:val="single" w:sz="4" w:space="0" w:color="auto"/>
              <w:right w:val="single" w:sz="4" w:space="0" w:color="auto"/>
            </w:tcBorders>
            <w:shd w:val="clear" w:color="auto" w:fill="auto"/>
            <w:noWrap/>
            <w:hideMark/>
          </w:tcPr>
          <w:p w14:paraId="3A65DAA8"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International Consultants</w:t>
            </w:r>
          </w:p>
        </w:tc>
        <w:tc>
          <w:tcPr>
            <w:tcW w:w="920" w:type="dxa"/>
            <w:tcBorders>
              <w:top w:val="nil"/>
              <w:left w:val="nil"/>
              <w:bottom w:val="single" w:sz="4" w:space="0" w:color="auto"/>
              <w:right w:val="single" w:sz="4" w:space="0" w:color="auto"/>
            </w:tcBorders>
            <w:shd w:val="clear" w:color="auto" w:fill="auto"/>
            <w:noWrap/>
            <w:hideMark/>
          </w:tcPr>
          <w:p w14:paraId="70822B3B"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98,000</w:t>
            </w:r>
          </w:p>
        </w:tc>
        <w:tc>
          <w:tcPr>
            <w:tcW w:w="990" w:type="dxa"/>
            <w:tcBorders>
              <w:top w:val="nil"/>
              <w:left w:val="nil"/>
              <w:bottom w:val="single" w:sz="4" w:space="0" w:color="auto"/>
              <w:right w:val="single" w:sz="4" w:space="0" w:color="auto"/>
            </w:tcBorders>
            <w:shd w:val="clear" w:color="auto" w:fill="auto"/>
            <w:noWrap/>
            <w:hideMark/>
          </w:tcPr>
          <w:p w14:paraId="4CC16C38"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140,000</w:t>
            </w:r>
          </w:p>
        </w:tc>
        <w:tc>
          <w:tcPr>
            <w:tcW w:w="990" w:type="dxa"/>
            <w:tcBorders>
              <w:top w:val="nil"/>
              <w:left w:val="nil"/>
              <w:bottom w:val="single" w:sz="4" w:space="0" w:color="auto"/>
              <w:right w:val="single" w:sz="4" w:space="0" w:color="auto"/>
            </w:tcBorders>
            <w:shd w:val="clear" w:color="auto" w:fill="auto"/>
            <w:noWrap/>
            <w:hideMark/>
          </w:tcPr>
          <w:p w14:paraId="33618EDD"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50,000</w:t>
            </w:r>
          </w:p>
        </w:tc>
        <w:tc>
          <w:tcPr>
            <w:tcW w:w="990" w:type="dxa"/>
            <w:tcBorders>
              <w:top w:val="nil"/>
              <w:left w:val="nil"/>
              <w:bottom w:val="single" w:sz="4" w:space="0" w:color="auto"/>
              <w:right w:val="single" w:sz="4" w:space="0" w:color="auto"/>
            </w:tcBorders>
            <w:shd w:val="clear" w:color="auto" w:fill="auto"/>
            <w:noWrap/>
            <w:hideMark/>
          </w:tcPr>
          <w:p w14:paraId="40B28B0D"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25,000</w:t>
            </w:r>
          </w:p>
        </w:tc>
        <w:tc>
          <w:tcPr>
            <w:tcW w:w="900" w:type="dxa"/>
            <w:tcBorders>
              <w:top w:val="nil"/>
              <w:left w:val="nil"/>
              <w:bottom w:val="single" w:sz="4" w:space="0" w:color="auto"/>
              <w:right w:val="single" w:sz="4" w:space="0" w:color="auto"/>
            </w:tcBorders>
            <w:shd w:val="clear" w:color="auto" w:fill="auto"/>
            <w:noWrap/>
            <w:hideMark/>
          </w:tcPr>
          <w:p w14:paraId="1C8D589A"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60" w:type="dxa"/>
            <w:tcBorders>
              <w:top w:val="nil"/>
              <w:left w:val="nil"/>
              <w:bottom w:val="single" w:sz="4" w:space="0" w:color="auto"/>
              <w:right w:val="single" w:sz="4" w:space="0" w:color="auto"/>
            </w:tcBorders>
            <w:shd w:val="clear" w:color="auto" w:fill="auto"/>
            <w:noWrap/>
            <w:hideMark/>
          </w:tcPr>
          <w:p w14:paraId="758CCE7B"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35DA29EA"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313,000</w:t>
            </w:r>
          </w:p>
        </w:tc>
        <w:tc>
          <w:tcPr>
            <w:tcW w:w="690" w:type="dxa"/>
            <w:tcBorders>
              <w:top w:val="nil"/>
              <w:left w:val="nil"/>
              <w:bottom w:val="single" w:sz="4" w:space="0" w:color="auto"/>
              <w:right w:val="single" w:sz="4" w:space="0" w:color="auto"/>
            </w:tcBorders>
            <w:shd w:val="clear" w:color="auto" w:fill="auto"/>
            <w:noWrap/>
            <w:hideMark/>
          </w:tcPr>
          <w:p w14:paraId="0D86B8C6"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1</w:t>
            </w:r>
          </w:p>
        </w:tc>
      </w:tr>
      <w:tr w:rsidR="00093AEB" w:rsidRPr="00CD1D92" w14:paraId="26D0D566"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1F508CEE"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703B5462"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2F213035"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27433DCB" w14:textId="77777777" w:rsidR="00DD755D" w:rsidRPr="00CD1D92" w:rsidRDefault="00DD755D" w:rsidP="00D32FA2">
            <w:pPr>
              <w:spacing w:after="0"/>
              <w:jc w:val="left"/>
              <w:rPr>
                <w:rFonts w:eastAsia="Times New Roman"/>
                <w:color w:val="000000"/>
                <w:sz w:val="18"/>
                <w:szCs w:val="18"/>
              </w:rPr>
            </w:pPr>
          </w:p>
        </w:tc>
        <w:tc>
          <w:tcPr>
            <w:tcW w:w="1129" w:type="dxa"/>
            <w:tcBorders>
              <w:top w:val="nil"/>
              <w:left w:val="nil"/>
              <w:bottom w:val="single" w:sz="4" w:space="0" w:color="auto"/>
              <w:right w:val="single" w:sz="4" w:space="0" w:color="auto"/>
            </w:tcBorders>
            <w:shd w:val="clear" w:color="auto" w:fill="auto"/>
            <w:noWrap/>
            <w:hideMark/>
          </w:tcPr>
          <w:p w14:paraId="59A654BC"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71300</w:t>
            </w:r>
          </w:p>
        </w:tc>
        <w:tc>
          <w:tcPr>
            <w:tcW w:w="1870" w:type="dxa"/>
            <w:tcBorders>
              <w:top w:val="nil"/>
              <w:left w:val="nil"/>
              <w:bottom w:val="single" w:sz="4" w:space="0" w:color="auto"/>
              <w:right w:val="single" w:sz="4" w:space="0" w:color="auto"/>
            </w:tcBorders>
            <w:shd w:val="clear" w:color="auto" w:fill="auto"/>
            <w:noWrap/>
            <w:hideMark/>
          </w:tcPr>
          <w:p w14:paraId="5D0D8EC8"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National Consultants</w:t>
            </w:r>
          </w:p>
        </w:tc>
        <w:tc>
          <w:tcPr>
            <w:tcW w:w="920" w:type="dxa"/>
            <w:tcBorders>
              <w:top w:val="nil"/>
              <w:left w:val="nil"/>
              <w:bottom w:val="single" w:sz="4" w:space="0" w:color="auto"/>
              <w:right w:val="single" w:sz="4" w:space="0" w:color="auto"/>
            </w:tcBorders>
            <w:shd w:val="clear" w:color="auto" w:fill="auto"/>
            <w:noWrap/>
            <w:hideMark/>
          </w:tcPr>
          <w:p w14:paraId="6C2B6A5E"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65,000</w:t>
            </w:r>
          </w:p>
        </w:tc>
        <w:tc>
          <w:tcPr>
            <w:tcW w:w="990" w:type="dxa"/>
            <w:tcBorders>
              <w:top w:val="nil"/>
              <w:left w:val="nil"/>
              <w:bottom w:val="single" w:sz="4" w:space="0" w:color="auto"/>
              <w:right w:val="single" w:sz="4" w:space="0" w:color="auto"/>
            </w:tcBorders>
            <w:shd w:val="clear" w:color="auto" w:fill="auto"/>
            <w:noWrap/>
            <w:hideMark/>
          </w:tcPr>
          <w:p w14:paraId="589C7E93"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68,000</w:t>
            </w:r>
          </w:p>
        </w:tc>
        <w:tc>
          <w:tcPr>
            <w:tcW w:w="990" w:type="dxa"/>
            <w:tcBorders>
              <w:top w:val="nil"/>
              <w:left w:val="nil"/>
              <w:bottom w:val="single" w:sz="4" w:space="0" w:color="auto"/>
              <w:right w:val="single" w:sz="4" w:space="0" w:color="auto"/>
            </w:tcBorders>
            <w:shd w:val="clear" w:color="auto" w:fill="auto"/>
            <w:noWrap/>
            <w:hideMark/>
          </w:tcPr>
          <w:p w14:paraId="06B0B2EF"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55,000</w:t>
            </w:r>
          </w:p>
        </w:tc>
        <w:tc>
          <w:tcPr>
            <w:tcW w:w="990" w:type="dxa"/>
            <w:tcBorders>
              <w:top w:val="nil"/>
              <w:left w:val="nil"/>
              <w:bottom w:val="single" w:sz="4" w:space="0" w:color="auto"/>
              <w:right w:val="single" w:sz="4" w:space="0" w:color="auto"/>
            </w:tcBorders>
            <w:shd w:val="clear" w:color="auto" w:fill="auto"/>
            <w:noWrap/>
            <w:hideMark/>
          </w:tcPr>
          <w:p w14:paraId="43CD3305"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19,000</w:t>
            </w:r>
          </w:p>
        </w:tc>
        <w:tc>
          <w:tcPr>
            <w:tcW w:w="900" w:type="dxa"/>
            <w:tcBorders>
              <w:top w:val="nil"/>
              <w:left w:val="nil"/>
              <w:bottom w:val="single" w:sz="4" w:space="0" w:color="auto"/>
              <w:right w:val="single" w:sz="4" w:space="0" w:color="auto"/>
            </w:tcBorders>
            <w:shd w:val="clear" w:color="auto" w:fill="auto"/>
            <w:noWrap/>
            <w:hideMark/>
          </w:tcPr>
          <w:p w14:paraId="322B2980"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14,000</w:t>
            </w:r>
          </w:p>
        </w:tc>
        <w:tc>
          <w:tcPr>
            <w:tcW w:w="960" w:type="dxa"/>
            <w:tcBorders>
              <w:top w:val="nil"/>
              <w:left w:val="nil"/>
              <w:bottom w:val="single" w:sz="4" w:space="0" w:color="auto"/>
              <w:right w:val="single" w:sz="4" w:space="0" w:color="auto"/>
            </w:tcBorders>
            <w:shd w:val="clear" w:color="auto" w:fill="auto"/>
            <w:noWrap/>
            <w:hideMark/>
          </w:tcPr>
          <w:p w14:paraId="3CE3CF71"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0A9A07E2"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221,000</w:t>
            </w:r>
          </w:p>
        </w:tc>
        <w:tc>
          <w:tcPr>
            <w:tcW w:w="690" w:type="dxa"/>
            <w:tcBorders>
              <w:top w:val="nil"/>
              <w:left w:val="nil"/>
              <w:bottom w:val="single" w:sz="4" w:space="0" w:color="auto"/>
              <w:right w:val="single" w:sz="4" w:space="0" w:color="auto"/>
            </w:tcBorders>
            <w:shd w:val="clear" w:color="auto" w:fill="auto"/>
            <w:noWrap/>
            <w:hideMark/>
          </w:tcPr>
          <w:p w14:paraId="522D16CF"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2</w:t>
            </w:r>
          </w:p>
        </w:tc>
      </w:tr>
      <w:tr w:rsidR="00093AEB" w:rsidRPr="00CD1D92" w14:paraId="1353E041"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3497677F"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2F6A4AE1"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1BC7681E"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4BF1FA39" w14:textId="77777777" w:rsidR="00DD755D" w:rsidRPr="00CD1D92" w:rsidRDefault="00DD755D" w:rsidP="00D32FA2">
            <w:pPr>
              <w:spacing w:after="0"/>
              <w:jc w:val="left"/>
              <w:rPr>
                <w:rFonts w:eastAsia="Times New Roman"/>
                <w:color w:val="000000"/>
                <w:sz w:val="18"/>
                <w:szCs w:val="18"/>
              </w:rPr>
            </w:pPr>
          </w:p>
        </w:tc>
        <w:tc>
          <w:tcPr>
            <w:tcW w:w="1129" w:type="dxa"/>
            <w:tcBorders>
              <w:top w:val="nil"/>
              <w:left w:val="nil"/>
              <w:bottom w:val="single" w:sz="4" w:space="0" w:color="auto"/>
              <w:right w:val="single" w:sz="4" w:space="0" w:color="auto"/>
            </w:tcBorders>
            <w:shd w:val="clear" w:color="auto" w:fill="auto"/>
            <w:noWrap/>
            <w:hideMark/>
          </w:tcPr>
          <w:p w14:paraId="1D1946CF" w14:textId="348F37F1" w:rsidR="00DD755D" w:rsidRPr="00CD1D92" w:rsidRDefault="00690E6F" w:rsidP="00690E6F">
            <w:pPr>
              <w:spacing w:after="0"/>
              <w:jc w:val="center"/>
              <w:rPr>
                <w:rFonts w:eastAsia="Times New Roman"/>
                <w:color w:val="000000"/>
                <w:sz w:val="18"/>
                <w:szCs w:val="18"/>
              </w:rPr>
            </w:pPr>
            <w:r w:rsidRPr="00CD1D92">
              <w:rPr>
                <w:rFonts w:eastAsia="Times New Roman"/>
                <w:color w:val="000000"/>
                <w:sz w:val="18"/>
                <w:szCs w:val="18"/>
              </w:rPr>
              <w:t>7</w:t>
            </w:r>
            <w:r>
              <w:rPr>
                <w:rFonts w:eastAsia="Times New Roman"/>
                <w:color w:val="000000"/>
                <w:sz w:val="18"/>
                <w:szCs w:val="18"/>
              </w:rPr>
              <w:t>2100</w:t>
            </w:r>
          </w:p>
        </w:tc>
        <w:tc>
          <w:tcPr>
            <w:tcW w:w="1870" w:type="dxa"/>
            <w:tcBorders>
              <w:top w:val="nil"/>
              <w:left w:val="nil"/>
              <w:bottom w:val="single" w:sz="4" w:space="0" w:color="auto"/>
              <w:right w:val="single" w:sz="4" w:space="0" w:color="auto"/>
            </w:tcBorders>
            <w:shd w:val="clear" w:color="auto" w:fill="auto"/>
            <w:noWrap/>
            <w:hideMark/>
          </w:tcPr>
          <w:p w14:paraId="6DBE2E77" w14:textId="4E5BEAB5" w:rsidR="00DD755D" w:rsidRPr="00CD1D92" w:rsidRDefault="00DD755D" w:rsidP="00690E6F">
            <w:pPr>
              <w:spacing w:after="0"/>
              <w:jc w:val="left"/>
              <w:rPr>
                <w:rFonts w:eastAsia="Times New Roman"/>
                <w:color w:val="000000"/>
                <w:sz w:val="18"/>
                <w:szCs w:val="18"/>
              </w:rPr>
            </w:pPr>
            <w:r w:rsidRPr="00CD1D92">
              <w:rPr>
                <w:rFonts w:eastAsia="Times New Roman"/>
                <w:color w:val="000000"/>
                <w:sz w:val="18"/>
                <w:szCs w:val="18"/>
              </w:rPr>
              <w:t>Contractual Services</w:t>
            </w:r>
            <w:r w:rsidR="00690E6F">
              <w:rPr>
                <w:rFonts w:eastAsia="Times New Roman"/>
                <w:color w:val="000000"/>
                <w:sz w:val="18"/>
                <w:szCs w:val="18"/>
              </w:rPr>
              <w:t>-Companies</w:t>
            </w:r>
          </w:p>
        </w:tc>
        <w:tc>
          <w:tcPr>
            <w:tcW w:w="920" w:type="dxa"/>
            <w:tcBorders>
              <w:top w:val="nil"/>
              <w:left w:val="nil"/>
              <w:bottom w:val="single" w:sz="4" w:space="0" w:color="auto"/>
              <w:right w:val="single" w:sz="4" w:space="0" w:color="auto"/>
            </w:tcBorders>
            <w:shd w:val="clear" w:color="auto" w:fill="auto"/>
            <w:noWrap/>
            <w:hideMark/>
          </w:tcPr>
          <w:p w14:paraId="34097F12"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165,000</w:t>
            </w:r>
          </w:p>
        </w:tc>
        <w:tc>
          <w:tcPr>
            <w:tcW w:w="990" w:type="dxa"/>
            <w:tcBorders>
              <w:top w:val="nil"/>
              <w:left w:val="nil"/>
              <w:bottom w:val="single" w:sz="4" w:space="0" w:color="auto"/>
              <w:right w:val="single" w:sz="4" w:space="0" w:color="auto"/>
            </w:tcBorders>
            <w:shd w:val="clear" w:color="auto" w:fill="auto"/>
            <w:noWrap/>
            <w:hideMark/>
          </w:tcPr>
          <w:p w14:paraId="6B5CA87B"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120,000</w:t>
            </w:r>
          </w:p>
        </w:tc>
        <w:tc>
          <w:tcPr>
            <w:tcW w:w="990" w:type="dxa"/>
            <w:tcBorders>
              <w:top w:val="nil"/>
              <w:left w:val="nil"/>
              <w:bottom w:val="single" w:sz="4" w:space="0" w:color="auto"/>
              <w:right w:val="single" w:sz="4" w:space="0" w:color="auto"/>
            </w:tcBorders>
            <w:shd w:val="clear" w:color="auto" w:fill="auto"/>
            <w:noWrap/>
            <w:hideMark/>
          </w:tcPr>
          <w:p w14:paraId="5CB879CF"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162,000</w:t>
            </w:r>
          </w:p>
        </w:tc>
        <w:tc>
          <w:tcPr>
            <w:tcW w:w="990" w:type="dxa"/>
            <w:tcBorders>
              <w:top w:val="nil"/>
              <w:left w:val="nil"/>
              <w:bottom w:val="single" w:sz="4" w:space="0" w:color="auto"/>
              <w:right w:val="single" w:sz="4" w:space="0" w:color="auto"/>
            </w:tcBorders>
            <w:shd w:val="clear" w:color="auto" w:fill="auto"/>
            <w:noWrap/>
            <w:hideMark/>
          </w:tcPr>
          <w:p w14:paraId="2C25CF3F"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21,000</w:t>
            </w:r>
          </w:p>
        </w:tc>
        <w:tc>
          <w:tcPr>
            <w:tcW w:w="900" w:type="dxa"/>
            <w:tcBorders>
              <w:top w:val="nil"/>
              <w:left w:val="nil"/>
              <w:bottom w:val="single" w:sz="4" w:space="0" w:color="auto"/>
              <w:right w:val="single" w:sz="4" w:space="0" w:color="auto"/>
            </w:tcBorders>
            <w:shd w:val="clear" w:color="auto" w:fill="auto"/>
            <w:noWrap/>
            <w:hideMark/>
          </w:tcPr>
          <w:p w14:paraId="418C5D95"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6,000</w:t>
            </w:r>
          </w:p>
        </w:tc>
        <w:tc>
          <w:tcPr>
            <w:tcW w:w="960" w:type="dxa"/>
            <w:tcBorders>
              <w:top w:val="nil"/>
              <w:left w:val="nil"/>
              <w:bottom w:val="single" w:sz="4" w:space="0" w:color="auto"/>
              <w:right w:val="single" w:sz="4" w:space="0" w:color="auto"/>
            </w:tcBorders>
            <w:shd w:val="clear" w:color="auto" w:fill="auto"/>
            <w:noWrap/>
            <w:hideMark/>
          </w:tcPr>
          <w:p w14:paraId="40EEF1B9"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29BC22D2"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474,000</w:t>
            </w:r>
          </w:p>
        </w:tc>
        <w:tc>
          <w:tcPr>
            <w:tcW w:w="690" w:type="dxa"/>
            <w:tcBorders>
              <w:top w:val="nil"/>
              <w:left w:val="nil"/>
              <w:bottom w:val="single" w:sz="4" w:space="0" w:color="auto"/>
              <w:right w:val="single" w:sz="4" w:space="0" w:color="auto"/>
            </w:tcBorders>
            <w:shd w:val="clear" w:color="auto" w:fill="auto"/>
            <w:noWrap/>
            <w:hideMark/>
          </w:tcPr>
          <w:p w14:paraId="3190993F"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3</w:t>
            </w:r>
          </w:p>
        </w:tc>
      </w:tr>
      <w:tr w:rsidR="00093AEB" w:rsidRPr="00CD1D92" w14:paraId="2DC96B80"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13CED357"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008E6D27"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72FE1BA6"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1977AF23" w14:textId="77777777" w:rsidR="00DD755D" w:rsidRPr="00CD1D92" w:rsidRDefault="00DD755D" w:rsidP="00D32FA2">
            <w:pPr>
              <w:spacing w:after="0"/>
              <w:jc w:val="left"/>
              <w:rPr>
                <w:rFonts w:eastAsia="Times New Roman"/>
                <w:color w:val="000000"/>
                <w:sz w:val="18"/>
                <w:szCs w:val="18"/>
              </w:rPr>
            </w:pPr>
          </w:p>
        </w:tc>
        <w:tc>
          <w:tcPr>
            <w:tcW w:w="1129" w:type="dxa"/>
            <w:tcBorders>
              <w:top w:val="nil"/>
              <w:left w:val="nil"/>
              <w:bottom w:val="single" w:sz="4" w:space="0" w:color="auto"/>
              <w:right w:val="single" w:sz="4" w:space="0" w:color="auto"/>
            </w:tcBorders>
            <w:shd w:val="clear" w:color="auto" w:fill="auto"/>
            <w:noWrap/>
            <w:hideMark/>
          </w:tcPr>
          <w:p w14:paraId="1F868C16" w14:textId="7561E08E" w:rsidR="00DD755D" w:rsidRPr="00CD1D92" w:rsidRDefault="00690E6F" w:rsidP="00690E6F">
            <w:pPr>
              <w:spacing w:after="0"/>
              <w:jc w:val="center"/>
              <w:rPr>
                <w:rFonts w:eastAsia="Times New Roman"/>
                <w:color w:val="000000"/>
                <w:sz w:val="18"/>
                <w:szCs w:val="18"/>
              </w:rPr>
            </w:pPr>
            <w:r w:rsidRPr="00CD1D92">
              <w:rPr>
                <w:rFonts w:eastAsia="Times New Roman"/>
                <w:color w:val="000000"/>
                <w:sz w:val="18"/>
                <w:szCs w:val="18"/>
              </w:rPr>
              <w:t>7</w:t>
            </w:r>
            <w:r>
              <w:rPr>
                <w:rFonts w:eastAsia="Times New Roman"/>
                <w:color w:val="000000"/>
                <w:sz w:val="18"/>
                <w:szCs w:val="18"/>
              </w:rPr>
              <w:t>1600</w:t>
            </w:r>
          </w:p>
        </w:tc>
        <w:tc>
          <w:tcPr>
            <w:tcW w:w="1870" w:type="dxa"/>
            <w:tcBorders>
              <w:top w:val="nil"/>
              <w:left w:val="nil"/>
              <w:bottom w:val="single" w:sz="4" w:space="0" w:color="auto"/>
              <w:right w:val="single" w:sz="4" w:space="0" w:color="auto"/>
            </w:tcBorders>
            <w:shd w:val="clear" w:color="auto" w:fill="auto"/>
            <w:noWrap/>
            <w:hideMark/>
          </w:tcPr>
          <w:p w14:paraId="07B8EE94"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Travel</w:t>
            </w:r>
          </w:p>
        </w:tc>
        <w:tc>
          <w:tcPr>
            <w:tcW w:w="920" w:type="dxa"/>
            <w:tcBorders>
              <w:top w:val="nil"/>
              <w:left w:val="nil"/>
              <w:bottom w:val="single" w:sz="4" w:space="0" w:color="auto"/>
              <w:right w:val="single" w:sz="4" w:space="0" w:color="auto"/>
            </w:tcBorders>
            <w:shd w:val="clear" w:color="auto" w:fill="auto"/>
            <w:noWrap/>
            <w:hideMark/>
          </w:tcPr>
          <w:p w14:paraId="5CA55B49"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4,000</w:t>
            </w:r>
          </w:p>
        </w:tc>
        <w:tc>
          <w:tcPr>
            <w:tcW w:w="990" w:type="dxa"/>
            <w:tcBorders>
              <w:top w:val="nil"/>
              <w:left w:val="nil"/>
              <w:bottom w:val="single" w:sz="4" w:space="0" w:color="auto"/>
              <w:right w:val="single" w:sz="4" w:space="0" w:color="auto"/>
            </w:tcBorders>
            <w:shd w:val="clear" w:color="auto" w:fill="auto"/>
            <w:noWrap/>
            <w:hideMark/>
          </w:tcPr>
          <w:p w14:paraId="4EABF036"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4,000</w:t>
            </w:r>
          </w:p>
        </w:tc>
        <w:tc>
          <w:tcPr>
            <w:tcW w:w="990" w:type="dxa"/>
            <w:tcBorders>
              <w:top w:val="nil"/>
              <w:left w:val="nil"/>
              <w:bottom w:val="single" w:sz="4" w:space="0" w:color="auto"/>
              <w:right w:val="single" w:sz="4" w:space="0" w:color="auto"/>
            </w:tcBorders>
            <w:shd w:val="clear" w:color="auto" w:fill="auto"/>
            <w:noWrap/>
            <w:hideMark/>
          </w:tcPr>
          <w:p w14:paraId="352B28A6"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6,500</w:t>
            </w:r>
          </w:p>
        </w:tc>
        <w:tc>
          <w:tcPr>
            <w:tcW w:w="990" w:type="dxa"/>
            <w:tcBorders>
              <w:top w:val="nil"/>
              <w:left w:val="nil"/>
              <w:bottom w:val="single" w:sz="4" w:space="0" w:color="auto"/>
              <w:right w:val="single" w:sz="4" w:space="0" w:color="auto"/>
            </w:tcBorders>
            <w:shd w:val="clear" w:color="auto" w:fill="auto"/>
            <w:noWrap/>
            <w:hideMark/>
          </w:tcPr>
          <w:p w14:paraId="53C34AC2"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2,500</w:t>
            </w:r>
          </w:p>
        </w:tc>
        <w:tc>
          <w:tcPr>
            <w:tcW w:w="900" w:type="dxa"/>
            <w:tcBorders>
              <w:top w:val="nil"/>
              <w:left w:val="nil"/>
              <w:bottom w:val="single" w:sz="4" w:space="0" w:color="auto"/>
              <w:right w:val="single" w:sz="4" w:space="0" w:color="auto"/>
            </w:tcBorders>
            <w:shd w:val="clear" w:color="auto" w:fill="auto"/>
            <w:noWrap/>
            <w:hideMark/>
          </w:tcPr>
          <w:p w14:paraId="0617E83F"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2,500</w:t>
            </w:r>
          </w:p>
        </w:tc>
        <w:tc>
          <w:tcPr>
            <w:tcW w:w="960" w:type="dxa"/>
            <w:tcBorders>
              <w:top w:val="nil"/>
              <w:left w:val="nil"/>
              <w:bottom w:val="single" w:sz="4" w:space="0" w:color="auto"/>
              <w:right w:val="single" w:sz="4" w:space="0" w:color="auto"/>
            </w:tcBorders>
            <w:shd w:val="clear" w:color="auto" w:fill="auto"/>
            <w:noWrap/>
            <w:hideMark/>
          </w:tcPr>
          <w:p w14:paraId="5E355E59"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4,000</w:t>
            </w:r>
          </w:p>
        </w:tc>
        <w:tc>
          <w:tcPr>
            <w:tcW w:w="990" w:type="dxa"/>
            <w:tcBorders>
              <w:top w:val="nil"/>
              <w:left w:val="nil"/>
              <w:bottom w:val="single" w:sz="4" w:space="0" w:color="auto"/>
              <w:right w:val="single" w:sz="4" w:space="0" w:color="auto"/>
            </w:tcBorders>
            <w:shd w:val="clear" w:color="auto" w:fill="auto"/>
            <w:noWrap/>
            <w:hideMark/>
          </w:tcPr>
          <w:p w14:paraId="407175A4"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23,500</w:t>
            </w:r>
          </w:p>
        </w:tc>
        <w:tc>
          <w:tcPr>
            <w:tcW w:w="690" w:type="dxa"/>
            <w:tcBorders>
              <w:top w:val="nil"/>
              <w:left w:val="nil"/>
              <w:bottom w:val="single" w:sz="4" w:space="0" w:color="auto"/>
              <w:right w:val="single" w:sz="4" w:space="0" w:color="auto"/>
            </w:tcBorders>
            <w:shd w:val="clear" w:color="auto" w:fill="auto"/>
            <w:noWrap/>
            <w:hideMark/>
          </w:tcPr>
          <w:p w14:paraId="5BBAF157"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4</w:t>
            </w:r>
          </w:p>
        </w:tc>
      </w:tr>
      <w:tr w:rsidR="00093AEB" w:rsidRPr="00CD1D92" w14:paraId="2D431024"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232DDFA0"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31E8B399"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473ED072"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4FCF736A" w14:textId="77777777" w:rsidR="00DD755D" w:rsidRPr="00CD1D92" w:rsidRDefault="00DD755D" w:rsidP="00D32FA2">
            <w:pPr>
              <w:spacing w:after="0"/>
              <w:jc w:val="left"/>
              <w:rPr>
                <w:rFonts w:eastAsia="Times New Roman"/>
                <w:color w:val="000000"/>
                <w:sz w:val="18"/>
                <w:szCs w:val="18"/>
              </w:rPr>
            </w:pPr>
          </w:p>
        </w:tc>
        <w:tc>
          <w:tcPr>
            <w:tcW w:w="1129" w:type="dxa"/>
            <w:tcBorders>
              <w:top w:val="nil"/>
              <w:left w:val="nil"/>
              <w:bottom w:val="single" w:sz="4" w:space="0" w:color="auto"/>
              <w:right w:val="single" w:sz="4" w:space="0" w:color="auto"/>
            </w:tcBorders>
            <w:shd w:val="clear" w:color="auto" w:fill="auto"/>
            <w:noWrap/>
            <w:hideMark/>
          </w:tcPr>
          <w:p w14:paraId="648B86B7"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72200</w:t>
            </w:r>
          </w:p>
        </w:tc>
        <w:tc>
          <w:tcPr>
            <w:tcW w:w="1870" w:type="dxa"/>
            <w:tcBorders>
              <w:top w:val="nil"/>
              <w:left w:val="nil"/>
              <w:bottom w:val="single" w:sz="4" w:space="0" w:color="auto"/>
              <w:right w:val="single" w:sz="4" w:space="0" w:color="auto"/>
            </w:tcBorders>
            <w:shd w:val="clear" w:color="auto" w:fill="auto"/>
            <w:noWrap/>
            <w:hideMark/>
          </w:tcPr>
          <w:p w14:paraId="57BC192F" w14:textId="03ADD306"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Equipment</w:t>
            </w:r>
            <w:r w:rsidR="00690E6F">
              <w:rPr>
                <w:rFonts w:eastAsia="Times New Roman"/>
                <w:color w:val="000000"/>
                <w:sz w:val="18"/>
                <w:szCs w:val="18"/>
              </w:rPr>
              <w:t xml:space="preserve"> and Furniture</w:t>
            </w:r>
          </w:p>
        </w:tc>
        <w:tc>
          <w:tcPr>
            <w:tcW w:w="920" w:type="dxa"/>
            <w:tcBorders>
              <w:top w:val="nil"/>
              <w:left w:val="nil"/>
              <w:bottom w:val="single" w:sz="4" w:space="0" w:color="auto"/>
              <w:right w:val="single" w:sz="4" w:space="0" w:color="auto"/>
            </w:tcBorders>
            <w:shd w:val="clear" w:color="auto" w:fill="auto"/>
            <w:noWrap/>
            <w:hideMark/>
          </w:tcPr>
          <w:p w14:paraId="661EFFD5"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105,000</w:t>
            </w:r>
          </w:p>
        </w:tc>
        <w:tc>
          <w:tcPr>
            <w:tcW w:w="990" w:type="dxa"/>
            <w:tcBorders>
              <w:top w:val="nil"/>
              <w:left w:val="nil"/>
              <w:bottom w:val="single" w:sz="4" w:space="0" w:color="auto"/>
              <w:right w:val="single" w:sz="4" w:space="0" w:color="auto"/>
            </w:tcBorders>
            <w:shd w:val="clear" w:color="auto" w:fill="auto"/>
            <w:noWrap/>
            <w:hideMark/>
          </w:tcPr>
          <w:p w14:paraId="4E496D76"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5,000</w:t>
            </w:r>
          </w:p>
        </w:tc>
        <w:tc>
          <w:tcPr>
            <w:tcW w:w="990" w:type="dxa"/>
            <w:tcBorders>
              <w:top w:val="nil"/>
              <w:left w:val="nil"/>
              <w:bottom w:val="single" w:sz="4" w:space="0" w:color="auto"/>
              <w:right w:val="single" w:sz="4" w:space="0" w:color="auto"/>
            </w:tcBorders>
            <w:shd w:val="clear" w:color="auto" w:fill="auto"/>
            <w:noWrap/>
            <w:hideMark/>
          </w:tcPr>
          <w:p w14:paraId="71F934F6"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40,000</w:t>
            </w:r>
          </w:p>
        </w:tc>
        <w:tc>
          <w:tcPr>
            <w:tcW w:w="990" w:type="dxa"/>
            <w:tcBorders>
              <w:top w:val="nil"/>
              <w:left w:val="nil"/>
              <w:bottom w:val="single" w:sz="4" w:space="0" w:color="auto"/>
              <w:right w:val="single" w:sz="4" w:space="0" w:color="auto"/>
            </w:tcBorders>
            <w:shd w:val="clear" w:color="auto" w:fill="auto"/>
            <w:noWrap/>
            <w:hideMark/>
          </w:tcPr>
          <w:p w14:paraId="0071AD31"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00" w:type="dxa"/>
            <w:tcBorders>
              <w:top w:val="nil"/>
              <w:left w:val="nil"/>
              <w:bottom w:val="single" w:sz="4" w:space="0" w:color="auto"/>
              <w:right w:val="single" w:sz="4" w:space="0" w:color="auto"/>
            </w:tcBorders>
            <w:shd w:val="clear" w:color="auto" w:fill="auto"/>
            <w:noWrap/>
            <w:hideMark/>
          </w:tcPr>
          <w:p w14:paraId="240DF2F7"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60" w:type="dxa"/>
            <w:tcBorders>
              <w:top w:val="nil"/>
              <w:left w:val="nil"/>
              <w:bottom w:val="single" w:sz="4" w:space="0" w:color="auto"/>
              <w:right w:val="single" w:sz="4" w:space="0" w:color="auto"/>
            </w:tcBorders>
            <w:shd w:val="clear" w:color="auto" w:fill="auto"/>
            <w:noWrap/>
            <w:hideMark/>
          </w:tcPr>
          <w:p w14:paraId="462EB01E"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082751B2"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150,000</w:t>
            </w:r>
          </w:p>
        </w:tc>
        <w:tc>
          <w:tcPr>
            <w:tcW w:w="690" w:type="dxa"/>
            <w:tcBorders>
              <w:top w:val="nil"/>
              <w:left w:val="nil"/>
              <w:bottom w:val="single" w:sz="4" w:space="0" w:color="auto"/>
              <w:right w:val="single" w:sz="4" w:space="0" w:color="auto"/>
            </w:tcBorders>
            <w:shd w:val="clear" w:color="auto" w:fill="auto"/>
            <w:noWrap/>
            <w:hideMark/>
          </w:tcPr>
          <w:p w14:paraId="6775CCEA"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5</w:t>
            </w:r>
          </w:p>
        </w:tc>
      </w:tr>
      <w:tr w:rsidR="00093AEB" w:rsidRPr="00CD1D92" w14:paraId="05CD100B"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00CEF479"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1E856CB3"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7FA7BEFB"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6156921D" w14:textId="77777777" w:rsidR="00DD755D" w:rsidRPr="00CD1D92" w:rsidRDefault="00DD755D" w:rsidP="00D32FA2">
            <w:pPr>
              <w:spacing w:after="0"/>
              <w:jc w:val="left"/>
              <w:rPr>
                <w:rFonts w:eastAsia="Times New Roman"/>
                <w:color w:val="000000"/>
                <w:sz w:val="18"/>
                <w:szCs w:val="18"/>
              </w:rPr>
            </w:pPr>
          </w:p>
        </w:tc>
        <w:tc>
          <w:tcPr>
            <w:tcW w:w="1129" w:type="dxa"/>
            <w:tcBorders>
              <w:top w:val="nil"/>
              <w:left w:val="nil"/>
              <w:bottom w:val="single" w:sz="4" w:space="0" w:color="auto"/>
              <w:right w:val="single" w:sz="4" w:space="0" w:color="auto"/>
            </w:tcBorders>
            <w:shd w:val="clear" w:color="auto" w:fill="auto"/>
            <w:noWrap/>
            <w:hideMark/>
          </w:tcPr>
          <w:p w14:paraId="51304C8F" w14:textId="46F096C8" w:rsidR="00DD755D" w:rsidRPr="00CD1D92" w:rsidRDefault="00690E6F" w:rsidP="00690E6F">
            <w:pPr>
              <w:spacing w:after="0"/>
              <w:jc w:val="center"/>
              <w:rPr>
                <w:rFonts w:eastAsia="Times New Roman"/>
                <w:color w:val="000000"/>
                <w:sz w:val="18"/>
                <w:szCs w:val="18"/>
              </w:rPr>
            </w:pPr>
            <w:r w:rsidRPr="00CD1D92">
              <w:rPr>
                <w:rFonts w:eastAsia="Times New Roman"/>
                <w:color w:val="000000"/>
                <w:sz w:val="18"/>
                <w:szCs w:val="18"/>
              </w:rPr>
              <w:t>7</w:t>
            </w:r>
            <w:r>
              <w:rPr>
                <w:rFonts w:eastAsia="Times New Roman"/>
                <w:color w:val="000000"/>
                <w:sz w:val="18"/>
                <w:szCs w:val="18"/>
              </w:rPr>
              <w:t>5700</w:t>
            </w:r>
          </w:p>
        </w:tc>
        <w:tc>
          <w:tcPr>
            <w:tcW w:w="1870" w:type="dxa"/>
            <w:tcBorders>
              <w:top w:val="nil"/>
              <w:left w:val="nil"/>
              <w:bottom w:val="single" w:sz="4" w:space="0" w:color="auto"/>
              <w:right w:val="single" w:sz="4" w:space="0" w:color="auto"/>
            </w:tcBorders>
            <w:shd w:val="clear" w:color="auto" w:fill="auto"/>
            <w:noWrap/>
            <w:hideMark/>
          </w:tcPr>
          <w:p w14:paraId="44F5E49D" w14:textId="293F461D" w:rsidR="00DD755D" w:rsidRPr="00CD1D92" w:rsidRDefault="00DD755D" w:rsidP="00690E6F">
            <w:pPr>
              <w:spacing w:after="0"/>
              <w:jc w:val="left"/>
              <w:rPr>
                <w:rFonts w:eastAsia="Times New Roman"/>
                <w:color w:val="000000"/>
                <w:sz w:val="18"/>
                <w:szCs w:val="18"/>
              </w:rPr>
            </w:pPr>
            <w:r w:rsidRPr="00CD1D92">
              <w:rPr>
                <w:rFonts w:eastAsia="Times New Roman"/>
                <w:color w:val="000000"/>
                <w:sz w:val="18"/>
                <w:szCs w:val="18"/>
              </w:rPr>
              <w:t>Trainings</w:t>
            </w:r>
            <w:r w:rsidR="00690E6F">
              <w:rPr>
                <w:rFonts w:eastAsia="Times New Roman"/>
                <w:color w:val="000000"/>
                <w:sz w:val="18"/>
                <w:szCs w:val="18"/>
              </w:rPr>
              <w:t xml:space="preserve">. </w:t>
            </w:r>
            <w:r w:rsidRPr="00CD1D92">
              <w:rPr>
                <w:rFonts w:eastAsia="Times New Roman"/>
                <w:color w:val="000000"/>
                <w:sz w:val="18"/>
                <w:szCs w:val="18"/>
              </w:rPr>
              <w:t>Workshops</w:t>
            </w:r>
            <w:r w:rsidR="00690E6F">
              <w:rPr>
                <w:rFonts w:eastAsia="Times New Roman"/>
                <w:color w:val="000000"/>
                <w:sz w:val="18"/>
                <w:szCs w:val="18"/>
              </w:rPr>
              <w:t xml:space="preserve"> and Conferences</w:t>
            </w:r>
          </w:p>
        </w:tc>
        <w:tc>
          <w:tcPr>
            <w:tcW w:w="920" w:type="dxa"/>
            <w:tcBorders>
              <w:top w:val="nil"/>
              <w:left w:val="nil"/>
              <w:bottom w:val="single" w:sz="4" w:space="0" w:color="auto"/>
              <w:right w:val="single" w:sz="4" w:space="0" w:color="auto"/>
            </w:tcBorders>
            <w:shd w:val="clear" w:color="auto" w:fill="auto"/>
            <w:noWrap/>
            <w:hideMark/>
          </w:tcPr>
          <w:p w14:paraId="28502CA2"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24,000</w:t>
            </w:r>
          </w:p>
        </w:tc>
        <w:tc>
          <w:tcPr>
            <w:tcW w:w="990" w:type="dxa"/>
            <w:tcBorders>
              <w:top w:val="nil"/>
              <w:left w:val="nil"/>
              <w:bottom w:val="single" w:sz="4" w:space="0" w:color="auto"/>
              <w:right w:val="single" w:sz="4" w:space="0" w:color="auto"/>
            </w:tcBorders>
            <w:shd w:val="clear" w:color="auto" w:fill="auto"/>
            <w:noWrap/>
            <w:hideMark/>
          </w:tcPr>
          <w:p w14:paraId="26CD1546"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70,000</w:t>
            </w:r>
          </w:p>
        </w:tc>
        <w:tc>
          <w:tcPr>
            <w:tcW w:w="990" w:type="dxa"/>
            <w:tcBorders>
              <w:top w:val="nil"/>
              <w:left w:val="nil"/>
              <w:bottom w:val="single" w:sz="4" w:space="0" w:color="auto"/>
              <w:right w:val="single" w:sz="4" w:space="0" w:color="auto"/>
            </w:tcBorders>
            <w:shd w:val="clear" w:color="auto" w:fill="auto"/>
            <w:noWrap/>
            <w:hideMark/>
          </w:tcPr>
          <w:p w14:paraId="24B5F0C7"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83,000</w:t>
            </w:r>
          </w:p>
        </w:tc>
        <w:tc>
          <w:tcPr>
            <w:tcW w:w="990" w:type="dxa"/>
            <w:tcBorders>
              <w:top w:val="nil"/>
              <w:left w:val="nil"/>
              <w:bottom w:val="single" w:sz="4" w:space="0" w:color="auto"/>
              <w:right w:val="single" w:sz="4" w:space="0" w:color="auto"/>
            </w:tcBorders>
            <w:shd w:val="clear" w:color="auto" w:fill="auto"/>
            <w:noWrap/>
            <w:hideMark/>
          </w:tcPr>
          <w:p w14:paraId="72E2CDAB"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17,000</w:t>
            </w:r>
          </w:p>
        </w:tc>
        <w:tc>
          <w:tcPr>
            <w:tcW w:w="900" w:type="dxa"/>
            <w:tcBorders>
              <w:top w:val="nil"/>
              <w:left w:val="nil"/>
              <w:bottom w:val="single" w:sz="4" w:space="0" w:color="auto"/>
              <w:right w:val="single" w:sz="4" w:space="0" w:color="auto"/>
            </w:tcBorders>
            <w:shd w:val="clear" w:color="auto" w:fill="auto"/>
            <w:noWrap/>
            <w:hideMark/>
          </w:tcPr>
          <w:p w14:paraId="01F90EFD"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35,000</w:t>
            </w:r>
          </w:p>
        </w:tc>
        <w:tc>
          <w:tcPr>
            <w:tcW w:w="960" w:type="dxa"/>
            <w:tcBorders>
              <w:top w:val="nil"/>
              <w:left w:val="nil"/>
              <w:bottom w:val="single" w:sz="4" w:space="0" w:color="auto"/>
              <w:right w:val="single" w:sz="4" w:space="0" w:color="auto"/>
            </w:tcBorders>
            <w:shd w:val="clear" w:color="auto" w:fill="auto"/>
            <w:noWrap/>
            <w:hideMark/>
          </w:tcPr>
          <w:p w14:paraId="4AC0A8BF"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2,000</w:t>
            </w:r>
          </w:p>
        </w:tc>
        <w:tc>
          <w:tcPr>
            <w:tcW w:w="990" w:type="dxa"/>
            <w:tcBorders>
              <w:top w:val="nil"/>
              <w:left w:val="nil"/>
              <w:bottom w:val="single" w:sz="4" w:space="0" w:color="auto"/>
              <w:right w:val="single" w:sz="4" w:space="0" w:color="auto"/>
            </w:tcBorders>
            <w:shd w:val="clear" w:color="auto" w:fill="auto"/>
            <w:noWrap/>
            <w:hideMark/>
          </w:tcPr>
          <w:p w14:paraId="5C168100"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231,000</w:t>
            </w:r>
          </w:p>
        </w:tc>
        <w:tc>
          <w:tcPr>
            <w:tcW w:w="690" w:type="dxa"/>
            <w:tcBorders>
              <w:top w:val="nil"/>
              <w:left w:val="nil"/>
              <w:bottom w:val="single" w:sz="4" w:space="0" w:color="auto"/>
              <w:right w:val="single" w:sz="4" w:space="0" w:color="auto"/>
            </w:tcBorders>
            <w:shd w:val="clear" w:color="auto" w:fill="auto"/>
            <w:noWrap/>
            <w:hideMark/>
          </w:tcPr>
          <w:p w14:paraId="665FD722"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6</w:t>
            </w:r>
          </w:p>
        </w:tc>
      </w:tr>
      <w:tr w:rsidR="00093AEB" w:rsidRPr="00CD1D92" w14:paraId="14216DA6"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26ED1D8F"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7193CD30"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4E33AD43"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2F8AC2E0" w14:textId="77777777" w:rsidR="00DD755D" w:rsidRPr="00CD1D92" w:rsidRDefault="00DD755D" w:rsidP="00D32FA2">
            <w:pPr>
              <w:spacing w:after="0"/>
              <w:jc w:val="left"/>
              <w:rPr>
                <w:rFonts w:eastAsia="Times New Roman"/>
                <w:color w:val="000000"/>
                <w:sz w:val="18"/>
                <w:szCs w:val="18"/>
              </w:rPr>
            </w:pPr>
          </w:p>
        </w:tc>
        <w:tc>
          <w:tcPr>
            <w:tcW w:w="1129" w:type="dxa"/>
            <w:tcBorders>
              <w:top w:val="nil"/>
              <w:left w:val="nil"/>
              <w:bottom w:val="single" w:sz="4" w:space="0" w:color="auto"/>
              <w:right w:val="single" w:sz="4" w:space="0" w:color="auto"/>
            </w:tcBorders>
            <w:shd w:val="clear" w:color="auto" w:fill="auto"/>
            <w:noWrap/>
            <w:hideMark/>
          </w:tcPr>
          <w:p w14:paraId="7962D58D" w14:textId="603696AD" w:rsidR="00DD755D" w:rsidRPr="00CD1D92" w:rsidRDefault="00690E6F" w:rsidP="00690E6F">
            <w:pPr>
              <w:spacing w:after="0"/>
              <w:jc w:val="center"/>
              <w:rPr>
                <w:rFonts w:eastAsia="Times New Roman"/>
                <w:color w:val="000000"/>
                <w:sz w:val="18"/>
                <w:szCs w:val="18"/>
              </w:rPr>
            </w:pPr>
            <w:r w:rsidRPr="00CD1D92">
              <w:rPr>
                <w:rFonts w:eastAsia="Times New Roman"/>
                <w:color w:val="000000"/>
                <w:sz w:val="18"/>
                <w:szCs w:val="18"/>
              </w:rPr>
              <w:t>7</w:t>
            </w:r>
            <w:r>
              <w:rPr>
                <w:rFonts w:eastAsia="Times New Roman"/>
                <w:color w:val="000000"/>
                <w:sz w:val="18"/>
                <w:szCs w:val="18"/>
              </w:rPr>
              <w:t>4500</w:t>
            </w:r>
          </w:p>
        </w:tc>
        <w:tc>
          <w:tcPr>
            <w:tcW w:w="1870" w:type="dxa"/>
            <w:tcBorders>
              <w:top w:val="nil"/>
              <w:left w:val="nil"/>
              <w:bottom w:val="single" w:sz="4" w:space="0" w:color="auto"/>
              <w:right w:val="single" w:sz="4" w:space="0" w:color="auto"/>
            </w:tcBorders>
            <w:shd w:val="clear" w:color="auto" w:fill="auto"/>
            <w:noWrap/>
            <w:hideMark/>
          </w:tcPr>
          <w:p w14:paraId="5FA77BAE" w14:textId="2804EE4C" w:rsidR="00DD755D" w:rsidRPr="00CD1D92" w:rsidRDefault="00690E6F" w:rsidP="00D32FA2">
            <w:pPr>
              <w:spacing w:after="0"/>
              <w:jc w:val="left"/>
              <w:rPr>
                <w:rFonts w:eastAsia="Times New Roman"/>
                <w:color w:val="000000"/>
                <w:sz w:val="18"/>
                <w:szCs w:val="18"/>
              </w:rPr>
            </w:pPr>
            <w:r>
              <w:rPr>
                <w:rFonts w:eastAsia="Times New Roman"/>
                <w:color w:val="000000"/>
                <w:sz w:val="18"/>
                <w:szCs w:val="18"/>
              </w:rPr>
              <w:t>Miscellaneous</w:t>
            </w:r>
          </w:p>
        </w:tc>
        <w:tc>
          <w:tcPr>
            <w:tcW w:w="920" w:type="dxa"/>
            <w:tcBorders>
              <w:top w:val="nil"/>
              <w:left w:val="nil"/>
              <w:bottom w:val="single" w:sz="4" w:space="0" w:color="auto"/>
              <w:right w:val="single" w:sz="4" w:space="0" w:color="auto"/>
            </w:tcBorders>
            <w:shd w:val="clear" w:color="auto" w:fill="auto"/>
            <w:noWrap/>
            <w:hideMark/>
          </w:tcPr>
          <w:p w14:paraId="3740ACFC"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4739132B"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73A1275E"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2,500</w:t>
            </w:r>
          </w:p>
        </w:tc>
        <w:tc>
          <w:tcPr>
            <w:tcW w:w="990" w:type="dxa"/>
            <w:tcBorders>
              <w:top w:val="nil"/>
              <w:left w:val="nil"/>
              <w:bottom w:val="single" w:sz="4" w:space="0" w:color="auto"/>
              <w:right w:val="single" w:sz="4" w:space="0" w:color="auto"/>
            </w:tcBorders>
            <w:shd w:val="clear" w:color="auto" w:fill="auto"/>
            <w:noWrap/>
            <w:hideMark/>
          </w:tcPr>
          <w:p w14:paraId="08703DAF"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2,500</w:t>
            </w:r>
          </w:p>
        </w:tc>
        <w:tc>
          <w:tcPr>
            <w:tcW w:w="900" w:type="dxa"/>
            <w:tcBorders>
              <w:top w:val="nil"/>
              <w:left w:val="nil"/>
              <w:bottom w:val="single" w:sz="4" w:space="0" w:color="auto"/>
              <w:right w:val="single" w:sz="4" w:space="0" w:color="auto"/>
            </w:tcBorders>
            <w:shd w:val="clear" w:color="auto" w:fill="auto"/>
            <w:noWrap/>
            <w:hideMark/>
          </w:tcPr>
          <w:p w14:paraId="54FB11DA"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2,500</w:t>
            </w:r>
          </w:p>
        </w:tc>
        <w:tc>
          <w:tcPr>
            <w:tcW w:w="960" w:type="dxa"/>
            <w:tcBorders>
              <w:top w:val="nil"/>
              <w:left w:val="nil"/>
              <w:bottom w:val="single" w:sz="4" w:space="0" w:color="auto"/>
              <w:right w:val="single" w:sz="4" w:space="0" w:color="auto"/>
            </w:tcBorders>
            <w:shd w:val="clear" w:color="auto" w:fill="auto"/>
            <w:noWrap/>
            <w:hideMark/>
          </w:tcPr>
          <w:p w14:paraId="3EE8C9A3"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038C4C35"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7,500</w:t>
            </w:r>
          </w:p>
        </w:tc>
        <w:tc>
          <w:tcPr>
            <w:tcW w:w="690" w:type="dxa"/>
            <w:tcBorders>
              <w:top w:val="nil"/>
              <w:left w:val="nil"/>
              <w:bottom w:val="single" w:sz="4" w:space="0" w:color="auto"/>
              <w:right w:val="single" w:sz="4" w:space="0" w:color="auto"/>
            </w:tcBorders>
            <w:shd w:val="clear" w:color="auto" w:fill="auto"/>
            <w:noWrap/>
            <w:hideMark/>
          </w:tcPr>
          <w:p w14:paraId="38544680"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7</w:t>
            </w:r>
          </w:p>
        </w:tc>
      </w:tr>
      <w:tr w:rsidR="00093AEB" w:rsidRPr="00CD1D92" w14:paraId="642B6EDD"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61784847"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5E79B6DD"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7E692BC6"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23C155EC" w14:textId="77777777" w:rsidR="00DD755D" w:rsidRPr="00CD1D92" w:rsidRDefault="00DD755D" w:rsidP="00D32FA2">
            <w:pPr>
              <w:spacing w:after="0"/>
              <w:jc w:val="left"/>
              <w:rPr>
                <w:rFonts w:eastAsia="Times New Roman"/>
                <w:color w:val="000000"/>
                <w:sz w:val="18"/>
                <w:szCs w:val="18"/>
              </w:rPr>
            </w:pPr>
          </w:p>
        </w:tc>
        <w:tc>
          <w:tcPr>
            <w:tcW w:w="1129" w:type="dxa"/>
            <w:tcBorders>
              <w:top w:val="nil"/>
              <w:left w:val="nil"/>
              <w:bottom w:val="single" w:sz="4" w:space="0" w:color="auto"/>
              <w:right w:val="single" w:sz="4" w:space="0" w:color="auto"/>
            </w:tcBorders>
            <w:shd w:val="clear" w:color="auto" w:fill="auto"/>
            <w:noWrap/>
            <w:hideMark/>
          </w:tcPr>
          <w:p w14:paraId="4B0A167A" w14:textId="7087E263" w:rsidR="00DD755D" w:rsidRPr="00CD1D92" w:rsidRDefault="00690E6F" w:rsidP="00690E6F">
            <w:pPr>
              <w:spacing w:after="0"/>
              <w:jc w:val="center"/>
              <w:rPr>
                <w:rFonts w:eastAsia="Times New Roman"/>
                <w:color w:val="000000"/>
                <w:sz w:val="18"/>
                <w:szCs w:val="18"/>
              </w:rPr>
            </w:pPr>
            <w:r w:rsidRPr="00CD1D92">
              <w:rPr>
                <w:rFonts w:eastAsia="Times New Roman"/>
                <w:color w:val="000000"/>
                <w:sz w:val="18"/>
                <w:szCs w:val="18"/>
              </w:rPr>
              <w:t>7</w:t>
            </w:r>
            <w:r w:rsidR="00F3624F">
              <w:rPr>
                <w:rFonts w:eastAsia="Times New Roman"/>
                <w:color w:val="000000"/>
                <w:sz w:val="18"/>
                <w:szCs w:val="18"/>
              </w:rPr>
              <w:t>34</w:t>
            </w:r>
            <w:r>
              <w:rPr>
                <w:rFonts w:eastAsia="Times New Roman"/>
                <w:color w:val="000000"/>
                <w:sz w:val="18"/>
                <w:szCs w:val="18"/>
              </w:rPr>
              <w:t>00</w:t>
            </w:r>
          </w:p>
        </w:tc>
        <w:tc>
          <w:tcPr>
            <w:tcW w:w="1870" w:type="dxa"/>
            <w:tcBorders>
              <w:top w:val="nil"/>
              <w:left w:val="nil"/>
              <w:bottom w:val="single" w:sz="4" w:space="0" w:color="auto"/>
              <w:right w:val="single" w:sz="4" w:space="0" w:color="auto"/>
            </w:tcBorders>
            <w:shd w:val="clear" w:color="auto" w:fill="auto"/>
            <w:noWrap/>
            <w:hideMark/>
          </w:tcPr>
          <w:p w14:paraId="5D0D14B2" w14:textId="3FE0395B"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Rental and Maintenance</w:t>
            </w:r>
            <w:r w:rsidR="001D57AA">
              <w:rPr>
                <w:rFonts w:eastAsia="Times New Roman"/>
                <w:color w:val="000000"/>
                <w:sz w:val="18"/>
                <w:szCs w:val="18"/>
              </w:rPr>
              <w:t xml:space="preserve"> of Other Equipment</w:t>
            </w:r>
          </w:p>
        </w:tc>
        <w:tc>
          <w:tcPr>
            <w:tcW w:w="920" w:type="dxa"/>
            <w:tcBorders>
              <w:top w:val="nil"/>
              <w:left w:val="nil"/>
              <w:bottom w:val="single" w:sz="4" w:space="0" w:color="auto"/>
              <w:right w:val="single" w:sz="4" w:space="0" w:color="auto"/>
            </w:tcBorders>
            <w:shd w:val="clear" w:color="auto" w:fill="auto"/>
            <w:noWrap/>
            <w:hideMark/>
          </w:tcPr>
          <w:p w14:paraId="59DFCA5A"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7962C8CA"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5DBDF560"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11,000</w:t>
            </w:r>
          </w:p>
        </w:tc>
        <w:tc>
          <w:tcPr>
            <w:tcW w:w="990" w:type="dxa"/>
            <w:tcBorders>
              <w:top w:val="nil"/>
              <w:left w:val="nil"/>
              <w:bottom w:val="single" w:sz="4" w:space="0" w:color="auto"/>
              <w:right w:val="single" w:sz="4" w:space="0" w:color="auto"/>
            </w:tcBorders>
            <w:shd w:val="clear" w:color="auto" w:fill="auto"/>
            <w:noWrap/>
            <w:hideMark/>
          </w:tcPr>
          <w:p w14:paraId="5B7B57CA"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00" w:type="dxa"/>
            <w:tcBorders>
              <w:top w:val="nil"/>
              <w:left w:val="nil"/>
              <w:bottom w:val="single" w:sz="4" w:space="0" w:color="auto"/>
              <w:right w:val="single" w:sz="4" w:space="0" w:color="auto"/>
            </w:tcBorders>
            <w:shd w:val="clear" w:color="auto" w:fill="auto"/>
            <w:noWrap/>
            <w:hideMark/>
          </w:tcPr>
          <w:p w14:paraId="25E3BA26"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60" w:type="dxa"/>
            <w:tcBorders>
              <w:top w:val="nil"/>
              <w:left w:val="nil"/>
              <w:bottom w:val="single" w:sz="4" w:space="0" w:color="auto"/>
              <w:right w:val="single" w:sz="4" w:space="0" w:color="auto"/>
            </w:tcBorders>
            <w:shd w:val="clear" w:color="auto" w:fill="auto"/>
            <w:noWrap/>
            <w:hideMark/>
          </w:tcPr>
          <w:p w14:paraId="2C690E82"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555E6EBC"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11,000</w:t>
            </w:r>
          </w:p>
        </w:tc>
        <w:tc>
          <w:tcPr>
            <w:tcW w:w="690" w:type="dxa"/>
            <w:tcBorders>
              <w:top w:val="nil"/>
              <w:left w:val="nil"/>
              <w:bottom w:val="single" w:sz="4" w:space="0" w:color="auto"/>
              <w:right w:val="single" w:sz="4" w:space="0" w:color="auto"/>
            </w:tcBorders>
            <w:shd w:val="clear" w:color="auto" w:fill="auto"/>
            <w:noWrap/>
            <w:hideMark/>
          </w:tcPr>
          <w:p w14:paraId="22CB1683"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8</w:t>
            </w:r>
          </w:p>
        </w:tc>
      </w:tr>
      <w:tr w:rsidR="00093AEB" w:rsidRPr="00CD1D92" w14:paraId="2A1B640B"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7148F4DD"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16E6C7A9"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2E865E29"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73D71479" w14:textId="77777777" w:rsidR="00DD755D" w:rsidRPr="00CD1D92" w:rsidRDefault="00DD755D" w:rsidP="00D32FA2">
            <w:pPr>
              <w:spacing w:after="0"/>
              <w:jc w:val="left"/>
              <w:rPr>
                <w:rFonts w:eastAsia="Times New Roman"/>
                <w:color w:val="000000"/>
                <w:sz w:val="18"/>
                <w:szCs w:val="18"/>
              </w:rPr>
            </w:pPr>
          </w:p>
        </w:tc>
        <w:tc>
          <w:tcPr>
            <w:tcW w:w="1129" w:type="dxa"/>
            <w:tcBorders>
              <w:top w:val="nil"/>
              <w:left w:val="nil"/>
              <w:bottom w:val="single" w:sz="4" w:space="0" w:color="auto"/>
              <w:right w:val="single" w:sz="4" w:space="0" w:color="auto"/>
            </w:tcBorders>
            <w:shd w:val="clear" w:color="auto" w:fill="auto"/>
            <w:noWrap/>
            <w:hideMark/>
          </w:tcPr>
          <w:p w14:paraId="1D394E09"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72500</w:t>
            </w:r>
          </w:p>
        </w:tc>
        <w:tc>
          <w:tcPr>
            <w:tcW w:w="1870" w:type="dxa"/>
            <w:tcBorders>
              <w:top w:val="nil"/>
              <w:left w:val="nil"/>
              <w:bottom w:val="single" w:sz="4" w:space="0" w:color="auto"/>
              <w:right w:val="single" w:sz="4" w:space="0" w:color="auto"/>
            </w:tcBorders>
            <w:shd w:val="clear" w:color="auto" w:fill="auto"/>
            <w:noWrap/>
            <w:hideMark/>
          </w:tcPr>
          <w:p w14:paraId="3A736E49" w14:textId="49D0F65B" w:rsidR="00DD755D" w:rsidRPr="00CD1D92" w:rsidRDefault="001D57AA" w:rsidP="00D32FA2">
            <w:pPr>
              <w:spacing w:after="0"/>
              <w:jc w:val="left"/>
              <w:rPr>
                <w:rFonts w:eastAsia="Times New Roman"/>
                <w:color w:val="000000"/>
                <w:sz w:val="18"/>
                <w:szCs w:val="18"/>
              </w:rPr>
            </w:pPr>
            <w:r>
              <w:rPr>
                <w:rFonts w:eastAsia="Times New Roman"/>
                <w:color w:val="000000"/>
                <w:sz w:val="18"/>
                <w:szCs w:val="18"/>
              </w:rPr>
              <w:t>Supplies</w:t>
            </w:r>
          </w:p>
        </w:tc>
        <w:tc>
          <w:tcPr>
            <w:tcW w:w="920" w:type="dxa"/>
            <w:tcBorders>
              <w:top w:val="nil"/>
              <w:left w:val="nil"/>
              <w:bottom w:val="single" w:sz="4" w:space="0" w:color="auto"/>
              <w:right w:val="single" w:sz="4" w:space="0" w:color="auto"/>
            </w:tcBorders>
            <w:shd w:val="clear" w:color="auto" w:fill="auto"/>
            <w:noWrap/>
            <w:hideMark/>
          </w:tcPr>
          <w:p w14:paraId="795AB724"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8,000</w:t>
            </w:r>
          </w:p>
        </w:tc>
        <w:tc>
          <w:tcPr>
            <w:tcW w:w="990" w:type="dxa"/>
            <w:tcBorders>
              <w:top w:val="nil"/>
              <w:left w:val="nil"/>
              <w:bottom w:val="single" w:sz="4" w:space="0" w:color="auto"/>
              <w:right w:val="single" w:sz="4" w:space="0" w:color="auto"/>
            </w:tcBorders>
            <w:shd w:val="clear" w:color="auto" w:fill="auto"/>
            <w:noWrap/>
            <w:hideMark/>
          </w:tcPr>
          <w:p w14:paraId="2830CB01"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72E8A0A1"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61673453"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00" w:type="dxa"/>
            <w:tcBorders>
              <w:top w:val="nil"/>
              <w:left w:val="nil"/>
              <w:bottom w:val="single" w:sz="4" w:space="0" w:color="auto"/>
              <w:right w:val="single" w:sz="4" w:space="0" w:color="auto"/>
            </w:tcBorders>
            <w:shd w:val="clear" w:color="auto" w:fill="auto"/>
            <w:noWrap/>
            <w:hideMark/>
          </w:tcPr>
          <w:p w14:paraId="4F4F4D76"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60" w:type="dxa"/>
            <w:tcBorders>
              <w:top w:val="nil"/>
              <w:left w:val="nil"/>
              <w:bottom w:val="single" w:sz="4" w:space="0" w:color="auto"/>
              <w:right w:val="single" w:sz="4" w:space="0" w:color="auto"/>
            </w:tcBorders>
            <w:shd w:val="clear" w:color="auto" w:fill="auto"/>
            <w:noWrap/>
            <w:hideMark/>
          </w:tcPr>
          <w:p w14:paraId="305B84A1"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3,000</w:t>
            </w:r>
          </w:p>
        </w:tc>
        <w:tc>
          <w:tcPr>
            <w:tcW w:w="990" w:type="dxa"/>
            <w:tcBorders>
              <w:top w:val="nil"/>
              <w:left w:val="nil"/>
              <w:bottom w:val="single" w:sz="4" w:space="0" w:color="auto"/>
              <w:right w:val="single" w:sz="4" w:space="0" w:color="auto"/>
            </w:tcBorders>
            <w:shd w:val="clear" w:color="auto" w:fill="auto"/>
            <w:noWrap/>
            <w:hideMark/>
          </w:tcPr>
          <w:p w14:paraId="41FBE962"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11,000</w:t>
            </w:r>
          </w:p>
        </w:tc>
        <w:tc>
          <w:tcPr>
            <w:tcW w:w="690" w:type="dxa"/>
            <w:tcBorders>
              <w:top w:val="nil"/>
              <w:left w:val="nil"/>
              <w:bottom w:val="single" w:sz="4" w:space="0" w:color="auto"/>
              <w:right w:val="single" w:sz="4" w:space="0" w:color="auto"/>
            </w:tcBorders>
            <w:shd w:val="clear" w:color="auto" w:fill="auto"/>
            <w:noWrap/>
            <w:hideMark/>
          </w:tcPr>
          <w:p w14:paraId="783526B8"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9</w:t>
            </w:r>
          </w:p>
        </w:tc>
      </w:tr>
      <w:tr w:rsidR="00093AEB" w:rsidRPr="00CD1D92" w14:paraId="4F835041"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77D9D5EE"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7AF106CA" w14:textId="77777777" w:rsidR="00DD755D" w:rsidRPr="00CD1D92" w:rsidRDefault="00DD755D" w:rsidP="00D32FA2">
            <w:pPr>
              <w:spacing w:after="0"/>
              <w:jc w:val="left"/>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000000" w:fill="C6E0B4"/>
            <w:noWrap/>
            <w:hideMark/>
          </w:tcPr>
          <w:p w14:paraId="0B9E72FD"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 </w:t>
            </w:r>
          </w:p>
        </w:tc>
        <w:tc>
          <w:tcPr>
            <w:tcW w:w="810" w:type="dxa"/>
            <w:tcBorders>
              <w:top w:val="nil"/>
              <w:left w:val="nil"/>
              <w:bottom w:val="single" w:sz="4" w:space="0" w:color="auto"/>
              <w:right w:val="single" w:sz="4" w:space="0" w:color="auto"/>
            </w:tcBorders>
            <w:shd w:val="clear" w:color="000000" w:fill="C6E0B4"/>
            <w:noWrap/>
            <w:hideMark/>
          </w:tcPr>
          <w:p w14:paraId="58AE1446"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 </w:t>
            </w:r>
          </w:p>
        </w:tc>
        <w:tc>
          <w:tcPr>
            <w:tcW w:w="1129" w:type="dxa"/>
            <w:tcBorders>
              <w:top w:val="nil"/>
              <w:left w:val="nil"/>
              <w:bottom w:val="single" w:sz="4" w:space="0" w:color="auto"/>
              <w:right w:val="single" w:sz="4" w:space="0" w:color="auto"/>
            </w:tcBorders>
            <w:shd w:val="clear" w:color="000000" w:fill="C6E0B4"/>
            <w:noWrap/>
            <w:hideMark/>
          </w:tcPr>
          <w:p w14:paraId="294C9C65"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 </w:t>
            </w:r>
          </w:p>
        </w:tc>
        <w:tc>
          <w:tcPr>
            <w:tcW w:w="1870" w:type="dxa"/>
            <w:tcBorders>
              <w:top w:val="nil"/>
              <w:left w:val="nil"/>
              <w:bottom w:val="single" w:sz="4" w:space="0" w:color="auto"/>
              <w:right w:val="single" w:sz="4" w:space="0" w:color="auto"/>
            </w:tcBorders>
            <w:shd w:val="clear" w:color="000000" w:fill="C6E0B4"/>
            <w:noWrap/>
            <w:hideMark/>
          </w:tcPr>
          <w:p w14:paraId="7B1895CC"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GEF Subtotal</w:t>
            </w:r>
          </w:p>
        </w:tc>
        <w:tc>
          <w:tcPr>
            <w:tcW w:w="920" w:type="dxa"/>
            <w:tcBorders>
              <w:top w:val="nil"/>
              <w:left w:val="nil"/>
              <w:bottom w:val="single" w:sz="4" w:space="0" w:color="auto"/>
              <w:right w:val="single" w:sz="4" w:space="0" w:color="auto"/>
            </w:tcBorders>
            <w:shd w:val="clear" w:color="000000" w:fill="C6E0B4"/>
            <w:noWrap/>
            <w:hideMark/>
          </w:tcPr>
          <w:p w14:paraId="79379B68"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469,000</w:t>
            </w:r>
          </w:p>
        </w:tc>
        <w:tc>
          <w:tcPr>
            <w:tcW w:w="990" w:type="dxa"/>
            <w:tcBorders>
              <w:top w:val="nil"/>
              <w:left w:val="nil"/>
              <w:bottom w:val="single" w:sz="4" w:space="0" w:color="auto"/>
              <w:right w:val="single" w:sz="4" w:space="0" w:color="auto"/>
            </w:tcBorders>
            <w:shd w:val="clear" w:color="000000" w:fill="C6E0B4"/>
            <w:noWrap/>
            <w:hideMark/>
          </w:tcPr>
          <w:p w14:paraId="6551DEFD"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407,000</w:t>
            </w:r>
          </w:p>
        </w:tc>
        <w:tc>
          <w:tcPr>
            <w:tcW w:w="990" w:type="dxa"/>
            <w:tcBorders>
              <w:top w:val="nil"/>
              <w:left w:val="nil"/>
              <w:bottom w:val="single" w:sz="4" w:space="0" w:color="auto"/>
              <w:right w:val="single" w:sz="4" w:space="0" w:color="auto"/>
            </w:tcBorders>
            <w:shd w:val="clear" w:color="000000" w:fill="C6E0B4"/>
            <w:noWrap/>
            <w:hideMark/>
          </w:tcPr>
          <w:p w14:paraId="10E473A5"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410,000</w:t>
            </w:r>
          </w:p>
        </w:tc>
        <w:tc>
          <w:tcPr>
            <w:tcW w:w="990" w:type="dxa"/>
            <w:tcBorders>
              <w:top w:val="nil"/>
              <w:left w:val="nil"/>
              <w:bottom w:val="single" w:sz="4" w:space="0" w:color="auto"/>
              <w:right w:val="single" w:sz="4" w:space="0" w:color="auto"/>
            </w:tcBorders>
            <w:shd w:val="clear" w:color="000000" w:fill="C6E0B4"/>
            <w:noWrap/>
            <w:hideMark/>
          </w:tcPr>
          <w:p w14:paraId="27352B5A"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87,000</w:t>
            </w:r>
          </w:p>
        </w:tc>
        <w:tc>
          <w:tcPr>
            <w:tcW w:w="900" w:type="dxa"/>
            <w:tcBorders>
              <w:top w:val="nil"/>
              <w:left w:val="nil"/>
              <w:bottom w:val="single" w:sz="4" w:space="0" w:color="auto"/>
              <w:right w:val="single" w:sz="4" w:space="0" w:color="auto"/>
            </w:tcBorders>
            <w:shd w:val="clear" w:color="000000" w:fill="C6E0B4"/>
            <w:noWrap/>
            <w:hideMark/>
          </w:tcPr>
          <w:p w14:paraId="3DCCEE31"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60,000</w:t>
            </w:r>
          </w:p>
        </w:tc>
        <w:tc>
          <w:tcPr>
            <w:tcW w:w="960" w:type="dxa"/>
            <w:tcBorders>
              <w:top w:val="nil"/>
              <w:left w:val="nil"/>
              <w:bottom w:val="single" w:sz="4" w:space="0" w:color="auto"/>
              <w:right w:val="single" w:sz="4" w:space="0" w:color="auto"/>
            </w:tcBorders>
            <w:shd w:val="clear" w:color="000000" w:fill="C6E0B4"/>
            <w:noWrap/>
            <w:hideMark/>
          </w:tcPr>
          <w:p w14:paraId="79DAA71D"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9,000</w:t>
            </w:r>
          </w:p>
        </w:tc>
        <w:tc>
          <w:tcPr>
            <w:tcW w:w="990" w:type="dxa"/>
            <w:tcBorders>
              <w:top w:val="nil"/>
              <w:left w:val="nil"/>
              <w:bottom w:val="single" w:sz="4" w:space="0" w:color="auto"/>
              <w:right w:val="single" w:sz="4" w:space="0" w:color="auto"/>
            </w:tcBorders>
            <w:shd w:val="clear" w:color="000000" w:fill="C6E0B4"/>
            <w:noWrap/>
            <w:hideMark/>
          </w:tcPr>
          <w:p w14:paraId="5449F128"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1,442,000</w:t>
            </w:r>
          </w:p>
        </w:tc>
        <w:tc>
          <w:tcPr>
            <w:tcW w:w="690" w:type="dxa"/>
            <w:tcBorders>
              <w:top w:val="nil"/>
              <w:left w:val="nil"/>
              <w:bottom w:val="single" w:sz="4" w:space="0" w:color="auto"/>
              <w:right w:val="single" w:sz="4" w:space="0" w:color="auto"/>
            </w:tcBorders>
            <w:shd w:val="clear" w:color="000000" w:fill="C6E0B4"/>
            <w:noWrap/>
            <w:hideMark/>
          </w:tcPr>
          <w:p w14:paraId="33B55B7B" w14:textId="77777777" w:rsidR="00DD755D" w:rsidRPr="00CD1D92" w:rsidRDefault="00DD755D" w:rsidP="00D32FA2">
            <w:pPr>
              <w:spacing w:after="0"/>
              <w:jc w:val="center"/>
              <w:rPr>
                <w:rFonts w:eastAsia="Times New Roman"/>
                <w:color w:val="000000"/>
                <w:sz w:val="18"/>
                <w:szCs w:val="18"/>
              </w:rPr>
            </w:pPr>
          </w:p>
        </w:tc>
      </w:tr>
      <w:tr w:rsidR="00093AEB" w:rsidRPr="00CD1D92" w14:paraId="5E1D10DD"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7BAAADE5"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5DDE13B0" w14:textId="77777777" w:rsidR="00DD755D" w:rsidRPr="00CD1D92" w:rsidRDefault="00DD755D" w:rsidP="00D32FA2">
            <w:pPr>
              <w:spacing w:after="0"/>
              <w:jc w:val="left"/>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000000" w:fill="A9D08E"/>
            <w:noWrap/>
            <w:hideMark/>
          </w:tcPr>
          <w:p w14:paraId="2BA63D8D"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 </w:t>
            </w:r>
          </w:p>
        </w:tc>
        <w:tc>
          <w:tcPr>
            <w:tcW w:w="810" w:type="dxa"/>
            <w:tcBorders>
              <w:top w:val="nil"/>
              <w:left w:val="nil"/>
              <w:bottom w:val="single" w:sz="4" w:space="0" w:color="auto"/>
              <w:right w:val="single" w:sz="4" w:space="0" w:color="auto"/>
            </w:tcBorders>
            <w:shd w:val="clear" w:color="000000" w:fill="A9D08E"/>
            <w:noWrap/>
            <w:hideMark/>
          </w:tcPr>
          <w:p w14:paraId="2394124E"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 </w:t>
            </w:r>
          </w:p>
        </w:tc>
        <w:tc>
          <w:tcPr>
            <w:tcW w:w="1129" w:type="dxa"/>
            <w:tcBorders>
              <w:top w:val="nil"/>
              <w:left w:val="nil"/>
              <w:bottom w:val="single" w:sz="4" w:space="0" w:color="auto"/>
              <w:right w:val="single" w:sz="4" w:space="0" w:color="auto"/>
            </w:tcBorders>
            <w:shd w:val="clear" w:color="000000" w:fill="A9D08E"/>
            <w:noWrap/>
            <w:hideMark/>
          </w:tcPr>
          <w:p w14:paraId="028F0A23"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 </w:t>
            </w:r>
          </w:p>
        </w:tc>
        <w:tc>
          <w:tcPr>
            <w:tcW w:w="1870" w:type="dxa"/>
            <w:tcBorders>
              <w:top w:val="nil"/>
              <w:left w:val="nil"/>
              <w:bottom w:val="single" w:sz="4" w:space="0" w:color="auto"/>
              <w:right w:val="single" w:sz="4" w:space="0" w:color="auto"/>
            </w:tcBorders>
            <w:shd w:val="clear" w:color="000000" w:fill="A9D08E"/>
            <w:noWrap/>
            <w:hideMark/>
          </w:tcPr>
          <w:p w14:paraId="4484A559"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Total Outcome 1</w:t>
            </w:r>
          </w:p>
        </w:tc>
        <w:tc>
          <w:tcPr>
            <w:tcW w:w="920" w:type="dxa"/>
            <w:tcBorders>
              <w:top w:val="nil"/>
              <w:left w:val="nil"/>
              <w:bottom w:val="single" w:sz="4" w:space="0" w:color="auto"/>
              <w:right w:val="single" w:sz="4" w:space="0" w:color="auto"/>
            </w:tcBorders>
            <w:shd w:val="clear" w:color="000000" w:fill="A9D08E"/>
            <w:noWrap/>
            <w:hideMark/>
          </w:tcPr>
          <w:p w14:paraId="2FC82FDC"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469,000</w:t>
            </w:r>
          </w:p>
        </w:tc>
        <w:tc>
          <w:tcPr>
            <w:tcW w:w="990" w:type="dxa"/>
            <w:tcBorders>
              <w:top w:val="nil"/>
              <w:left w:val="nil"/>
              <w:bottom w:val="single" w:sz="4" w:space="0" w:color="auto"/>
              <w:right w:val="single" w:sz="4" w:space="0" w:color="auto"/>
            </w:tcBorders>
            <w:shd w:val="clear" w:color="000000" w:fill="A9D08E"/>
            <w:noWrap/>
            <w:hideMark/>
          </w:tcPr>
          <w:p w14:paraId="2DE0E450"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407,000</w:t>
            </w:r>
          </w:p>
        </w:tc>
        <w:tc>
          <w:tcPr>
            <w:tcW w:w="990" w:type="dxa"/>
            <w:tcBorders>
              <w:top w:val="nil"/>
              <w:left w:val="nil"/>
              <w:bottom w:val="single" w:sz="4" w:space="0" w:color="auto"/>
              <w:right w:val="single" w:sz="4" w:space="0" w:color="auto"/>
            </w:tcBorders>
            <w:shd w:val="clear" w:color="000000" w:fill="A9D08E"/>
            <w:noWrap/>
            <w:hideMark/>
          </w:tcPr>
          <w:p w14:paraId="27A39F4A"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410,000</w:t>
            </w:r>
          </w:p>
        </w:tc>
        <w:tc>
          <w:tcPr>
            <w:tcW w:w="990" w:type="dxa"/>
            <w:tcBorders>
              <w:top w:val="nil"/>
              <w:left w:val="nil"/>
              <w:bottom w:val="single" w:sz="4" w:space="0" w:color="auto"/>
              <w:right w:val="single" w:sz="4" w:space="0" w:color="auto"/>
            </w:tcBorders>
            <w:shd w:val="clear" w:color="000000" w:fill="A9D08E"/>
            <w:noWrap/>
            <w:hideMark/>
          </w:tcPr>
          <w:p w14:paraId="4B22A5A3"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87,000</w:t>
            </w:r>
          </w:p>
        </w:tc>
        <w:tc>
          <w:tcPr>
            <w:tcW w:w="900" w:type="dxa"/>
            <w:tcBorders>
              <w:top w:val="nil"/>
              <w:left w:val="nil"/>
              <w:bottom w:val="single" w:sz="4" w:space="0" w:color="auto"/>
              <w:right w:val="single" w:sz="4" w:space="0" w:color="auto"/>
            </w:tcBorders>
            <w:shd w:val="clear" w:color="000000" w:fill="A9D08E"/>
            <w:noWrap/>
            <w:hideMark/>
          </w:tcPr>
          <w:p w14:paraId="0B392A32"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60,000</w:t>
            </w:r>
          </w:p>
        </w:tc>
        <w:tc>
          <w:tcPr>
            <w:tcW w:w="960" w:type="dxa"/>
            <w:tcBorders>
              <w:top w:val="nil"/>
              <w:left w:val="nil"/>
              <w:bottom w:val="single" w:sz="4" w:space="0" w:color="auto"/>
              <w:right w:val="single" w:sz="4" w:space="0" w:color="auto"/>
            </w:tcBorders>
            <w:shd w:val="clear" w:color="000000" w:fill="A9D08E"/>
            <w:noWrap/>
            <w:hideMark/>
          </w:tcPr>
          <w:p w14:paraId="2B147AAF"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9,000</w:t>
            </w:r>
          </w:p>
        </w:tc>
        <w:tc>
          <w:tcPr>
            <w:tcW w:w="990" w:type="dxa"/>
            <w:tcBorders>
              <w:top w:val="nil"/>
              <w:left w:val="nil"/>
              <w:bottom w:val="single" w:sz="4" w:space="0" w:color="auto"/>
              <w:right w:val="single" w:sz="4" w:space="0" w:color="auto"/>
            </w:tcBorders>
            <w:shd w:val="clear" w:color="000000" w:fill="A9D08E"/>
            <w:noWrap/>
            <w:hideMark/>
          </w:tcPr>
          <w:p w14:paraId="4BB36018"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1,442,000</w:t>
            </w:r>
          </w:p>
        </w:tc>
        <w:tc>
          <w:tcPr>
            <w:tcW w:w="690" w:type="dxa"/>
            <w:tcBorders>
              <w:top w:val="nil"/>
              <w:left w:val="nil"/>
              <w:bottom w:val="single" w:sz="4" w:space="0" w:color="auto"/>
              <w:right w:val="single" w:sz="4" w:space="0" w:color="auto"/>
            </w:tcBorders>
            <w:shd w:val="clear" w:color="000000" w:fill="A9D08E"/>
            <w:noWrap/>
            <w:hideMark/>
          </w:tcPr>
          <w:p w14:paraId="3B7A4E5D" w14:textId="77777777" w:rsidR="00DD755D" w:rsidRPr="00CD1D92" w:rsidRDefault="00DD755D" w:rsidP="00D32FA2">
            <w:pPr>
              <w:spacing w:after="0"/>
              <w:jc w:val="center"/>
              <w:rPr>
                <w:rFonts w:eastAsia="Times New Roman"/>
                <w:color w:val="000000"/>
                <w:sz w:val="18"/>
                <w:szCs w:val="18"/>
              </w:rPr>
            </w:pPr>
          </w:p>
        </w:tc>
      </w:tr>
      <w:tr w:rsidR="00093AEB" w:rsidRPr="00CD1D92" w14:paraId="7B42B0B6" w14:textId="77777777" w:rsidTr="001D57AA">
        <w:trPr>
          <w:trHeight w:val="300"/>
        </w:trPr>
        <w:tc>
          <w:tcPr>
            <w:tcW w:w="1235" w:type="dxa"/>
            <w:vMerge w:val="restart"/>
            <w:tcBorders>
              <w:top w:val="nil"/>
              <w:left w:val="single" w:sz="4" w:space="0" w:color="auto"/>
              <w:bottom w:val="single" w:sz="4" w:space="0" w:color="000000"/>
              <w:right w:val="single" w:sz="4" w:space="0" w:color="auto"/>
            </w:tcBorders>
            <w:shd w:val="clear" w:color="auto" w:fill="auto"/>
            <w:hideMark/>
          </w:tcPr>
          <w:p w14:paraId="1C1CC847" w14:textId="74FCE335" w:rsidR="00DD755D" w:rsidRPr="00CD1D92" w:rsidRDefault="00DD755D" w:rsidP="001F10C9">
            <w:pPr>
              <w:spacing w:after="0"/>
              <w:jc w:val="left"/>
              <w:rPr>
                <w:rFonts w:eastAsia="Times New Roman"/>
                <w:color w:val="000000"/>
                <w:sz w:val="18"/>
                <w:szCs w:val="18"/>
              </w:rPr>
            </w:pPr>
            <w:r w:rsidRPr="00CD1D92">
              <w:rPr>
                <w:rFonts w:eastAsia="Times New Roman"/>
                <w:b/>
                <w:bCs/>
                <w:color w:val="000000"/>
                <w:sz w:val="18"/>
                <w:szCs w:val="18"/>
              </w:rPr>
              <w:t xml:space="preserve">Outcome 2: </w:t>
            </w:r>
            <w:r w:rsidRPr="00CD1D92">
              <w:rPr>
                <w:rFonts w:eastAsia="Times New Roman"/>
                <w:color w:val="000000"/>
                <w:sz w:val="18"/>
                <w:szCs w:val="18"/>
              </w:rPr>
              <w:t xml:space="preserve">Integrated </w:t>
            </w:r>
            <w:r w:rsidR="0021132C">
              <w:rPr>
                <w:rFonts w:eastAsia="Times New Roman"/>
                <w:color w:val="000000"/>
                <w:sz w:val="18"/>
                <w:szCs w:val="18"/>
              </w:rPr>
              <w:t>multi-sector</w:t>
            </w:r>
            <w:r w:rsidRPr="00CD1D92">
              <w:rPr>
                <w:rFonts w:eastAsia="Times New Roman"/>
                <w:color w:val="000000"/>
                <w:sz w:val="18"/>
                <w:szCs w:val="18"/>
              </w:rPr>
              <w:t xml:space="preserve"> land and seascape planning and management operational in Babeldaob states to </w:t>
            </w:r>
            <w:r w:rsidRPr="00CD1D92">
              <w:rPr>
                <w:rFonts w:eastAsia="Times New Roman"/>
                <w:color w:val="000000"/>
                <w:sz w:val="18"/>
                <w:szCs w:val="18"/>
              </w:rPr>
              <w:lastRenderedPageBreak/>
              <w:t>reduce threats to biodiversity and improve ecosystem services to benefit communities and state economies</w:t>
            </w:r>
          </w:p>
        </w:tc>
        <w:tc>
          <w:tcPr>
            <w:tcW w:w="1212" w:type="dxa"/>
            <w:vMerge w:val="restart"/>
            <w:tcBorders>
              <w:top w:val="nil"/>
              <w:left w:val="single" w:sz="4" w:space="0" w:color="auto"/>
              <w:bottom w:val="single" w:sz="4" w:space="0" w:color="000000"/>
              <w:right w:val="single" w:sz="4" w:space="0" w:color="auto"/>
            </w:tcBorders>
            <w:shd w:val="clear" w:color="auto" w:fill="auto"/>
            <w:hideMark/>
          </w:tcPr>
          <w:p w14:paraId="173C050A"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lastRenderedPageBreak/>
              <w:t>MNRET&amp; State Governments</w:t>
            </w:r>
          </w:p>
        </w:tc>
        <w:tc>
          <w:tcPr>
            <w:tcW w:w="810" w:type="dxa"/>
            <w:vMerge w:val="restart"/>
            <w:tcBorders>
              <w:top w:val="nil"/>
              <w:left w:val="single" w:sz="4" w:space="0" w:color="auto"/>
              <w:bottom w:val="single" w:sz="4" w:space="0" w:color="000000"/>
              <w:right w:val="single" w:sz="4" w:space="0" w:color="auto"/>
            </w:tcBorders>
            <w:shd w:val="clear" w:color="auto" w:fill="auto"/>
            <w:noWrap/>
            <w:hideMark/>
          </w:tcPr>
          <w:p w14:paraId="749A21C7"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62000</w:t>
            </w:r>
          </w:p>
        </w:tc>
        <w:tc>
          <w:tcPr>
            <w:tcW w:w="810" w:type="dxa"/>
            <w:vMerge w:val="restart"/>
            <w:tcBorders>
              <w:top w:val="nil"/>
              <w:left w:val="single" w:sz="4" w:space="0" w:color="auto"/>
              <w:bottom w:val="single" w:sz="4" w:space="0" w:color="000000"/>
              <w:right w:val="single" w:sz="4" w:space="0" w:color="auto"/>
            </w:tcBorders>
            <w:shd w:val="clear" w:color="auto" w:fill="auto"/>
            <w:noWrap/>
            <w:hideMark/>
          </w:tcPr>
          <w:p w14:paraId="580EC4A1"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GEF</w:t>
            </w:r>
          </w:p>
        </w:tc>
        <w:tc>
          <w:tcPr>
            <w:tcW w:w="1129" w:type="dxa"/>
            <w:tcBorders>
              <w:top w:val="nil"/>
              <w:left w:val="nil"/>
              <w:bottom w:val="single" w:sz="4" w:space="0" w:color="auto"/>
              <w:right w:val="single" w:sz="4" w:space="0" w:color="auto"/>
            </w:tcBorders>
            <w:shd w:val="clear" w:color="auto" w:fill="auto"/>
            <w:noWrap/>
            <w:hideMark/>
          </w:tcPr>
          <w:p w14:paraId="499A3FB6"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71200</w:t>
            </w:r>
          </w:p>
        </w:tc>
        <w:tc>
          <w:tcPr>
            <w:tcW w:w="1870" w:type="dxa"/>
            <w:tcBorders>
              <w:top w:val="nil"/>
              <w:left w:val="nil"/>
              <w:bottom w:val="single" w:sz="4" w:space="0" w:color="auto"/>
              <w:right w:val="single" w:sz="4" w:space="0" w:color="auto"/>
            </w:tcBorders>
            <w:shd w:val="clear" w:color="auto" w:fill="auto"/>
            <w:noWrap/>
            <w:hideMark/>
          </w:tcPr>
          <w:p w14:paraId="3D8B002F"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International Consultants</w:t>
            </w:r>
          </w:p>
        </w:tc>
        <w:tc>
          <w:tcPr>
            <w:tcW w:w="920" w:type="dxa"/>
            <w:tcBorders>
              <w:top w:val="nil"/>
              <w:left w:val="nil"/>
              <w:bottom w:val="single" w:sz="4" w:space="0" w:color="auto"/>
              <w:right w:val="single" w:sz="4" w:space="0" w:color="auto"/>
            </w:tcBorders>
            <w:shd w:val="clear" w:color="auto" w:fill="auto"/>
            <w:noWrap/>
            <w:hideMark/>
          </w:tcPr>
          <w:p w14:paraId="1892E777"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85,000</w:t>
            </w:r>
          </w:p>
        </w:tc>
        <w:tc>
          <w:tcPr>
            <w:tcW w:w="990" w:type="dxa"/>
            <w:tcBorders>
              <w:top w:val="nil"/>
              <w:left w:val="nil"/>
              <w:bottom w:val="single" w:sz="4" w:space="0" w:color="auto"/>
              <w:right w:val="single" w:sz="4" w:space="0" w:color="auto"/>
            </w:tcBorders>
            <w:shd w:val="clear" w:color="auto" w:fill="auto"/>
            <w:noWrap/>
            <w:hideMark/>
          </w:tcPr>
          <w:p w14:paraId="56C67248"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21,000</w:t>
            </w:r>
          </w:p>
        </w:tc>
        <w:tc>
          <w:tcPr>
            <w:tcW w:w="990" w:type="dxa"/>
            <w:tcBorders>
              <w:top w:val="nil"/>
              <w:left w:val="nil"/>
              <w:bottom w:val="single" w:sz="4" w:space="0" w:color="auto"/>
              <w:right w:val="single" w:sz="4" w:space="0" w:color="auto"/>
            </w:tcBorders>
            <w:shd w:val="clear" w:color="auto" w:fill="auto"/>
            <w:noWrap/>
            <w:hideMark/>
          </w:tcPr>
          <w:p w14:paraId="161B1AE3"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28E32B11"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20,000</w:t>
            </w:r>
          </w:p>
        </w:tc>
        <w:tc>
          <w:tcPr>
            <w:tcW w:w="900" w:type="dxa"/>
            <w:tcBorders>
              <w:top w:val="nil"/>
              <w:left w:val="nil"/>
              <w:bottom w:val="single" w:sz="4" w:space="0" w:color="auto"/>
              <w:right w:val="single" w:sz="4" w:space="0" w:color="auto"/>
            </w:tcBorders>
            <w:shd w:val="clear" w:color="auto" w:fill="auto"/>
            <w:noWrap/>
            <w:hideMark/>
          </w:tcPr>
          <w:p w14:paraId="2DF7F249"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60" w:type="dxa"/>
            <w:tcBorders>
              <w:top w:val="nil"/>
              <w:left w:val="nil"/>
              <w:bottom w:val="single" w:sz="4" w:space="0" w:color="auto"/>
              <w:right w:val="single" w:sz="4" w:space="0" w:color="auto"/>
            </w:tcBorders>
            <w:shd w:val="clear" w:color="auto" w:fill="auto"/>
            <w:noWrap/>
            <w:hideMark/>
          </w:tcPr>
          <w:p w14:paraId="1C169C75"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2A7D085A"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126,000</w:t>
            </w:r>
          </w:p>
        </w:tc>
        <w:tc>
          <w:tcPr>
            <w:tcW w:w="690" w:type="dxa"/>
            <w:tcBorders>
              <w:top w:val="nil"/>
              <w:left w:val="nil"/>
              <w:bottom w:val="single" w:sz="4" w:space="0" w:color="auto"/>
              <w:right w:val="single" w:sz="4" w:space="0" w:color="auto"/>
            </w:tcBorders>
            <w:shd w:val="clear" w:color="auto" w:fill="auto"/>
            <w:noWrap/>
            <w:hideMark/>
          </w:tcPr>
          <w:p w14:paraId="19B621FD"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10</w:t>
            </w:r>
          </w:p>
        </w:tc>
      </w:tr>
      <w:tr w:rsidR="00093AEB" w:rsidRPr="00CD1D92" w14:paraId="4C2EC6DA"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48823319"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45EF1F06"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0185F3F6"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0AECE27C" w14:textId="77777777" w:rsidR="00DD755D" w:rsidRPr="00CD1D92" w:rsidRDefault="00DD755D" w:rsidP="00D32FA2">
            <w:pPr>
              <w:spacing w:after="0"/>
              <w:jc w:val="left"/>
              <w:rPr>
                <w:rFonts w:eastAsia="Times New Roman"/>
                <w:color w:val="000000"/>
                <w:sz w:val="18"/>
                <w:szCs w:val="18"/>
              </w:rPr>
            </w:pPr>
          </w:p>
        </w:tc>
        <w:tc>
          <w:tcPr>
            <w:tcW w:w="1129" w:type="dxa"/>
            <w:tcBorders>
              <w:top w:val="nil"/>
              <w:left w:val="nil"/>
              <w:bottom w:val="single" w:sz="4" w:space="0" w:color="auto"/>
              <w:right w:val="single" w:sz="4" w:space="0" w:color="auto"/>
            </w:tcBorders>
            <w:shd w:val="clear" w:color="auto" w:fill="auto"/>
            <w:noWrap/>
            <w:hideMark/>
          </w:tcPr>
          <w:p w14:paraId="3CB978C7"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71300</w:t>
            </w:r>
          </w:p>
        </w:tc>
        <w:tc>
          <w:tcPr>
            <w:tcW w:w="1870" w:type="dxa"/>
            <w:tcBorders>
              <w:top w:val="nil"/>
              <w:left w:val="nil"/>
              <w:bottom w:val="single" w:sz="4" w:space="0" w:color="auto"/>
              <w:right w:val="single" w:sz="4" w:space="0" w:color="auto"/>
            </w:tcBorders>
            <w:shd w:val="clear" w:color="auto" w:fill="auto"/>
            <w:noWrap/>
            <w:hideMark/>
          </w:tcPr>
          <w:p w14:paraId="325B4572"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National Consultants</w:t>
            </w:r>
          </w:p>
        </w:tc>
        <w:tc>
          <w:tcPr>
            <w:tcW w:w="920" w:type="dxa"/>
            <w:tcBorders>
              <w:top w:val="nil"/>
              <w:left w:val="nil"/>
              <w:bottom w:val="single" w:sz="4" w:space="0" w:color="auto"/>
              <w:right w:val="single" w:sz="4" w:space="0" w:color="auto"/>
            </w:tcBorders>
            <w:shd w:val="clear" w:color="auto" w:fill="auto"/>
            <w:noWrap/>
            <w:hideMark/>
          </w:tcPr>
          <w:p w14:paraId="7283EBCB"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10,000</w:t>
            </w:r>
          </w:p>
        </w:tc>
        <w:tc>
          <w:tcPr>
            <w:tcW w:w="990" w:type="dxa"/>
            <w:tcBorders>
              <w:top w:val="nil"/>
              <w:left w:val="nil"/>
              <w:bottom w:val="single" w:sz="4" w:space="0" w:color="auto"/>
              <w:right w:val="single" w:sz="4" w:space="0" w:color="auto"/>
            </w:tcBorders>
            <w:shd w:val="clear" w:color="auto" w:fill="auto"/>
            <w:noWrap/>
            <w:hideMark/>
          </w:tcPr>
          <w:p w14:paraId="49F9D297"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22,000</w:t>
            </w:r>
          </w:p>
        </w:tc>
        <w:tc>
          <w:tcPr>
            <w:tcW w:w="990" w:type="dxa"/>
            <w:tcBorders>
              <w:top w:val="nil"/>
              <w:left w:val="nil"/>
              <w:bottom w:val="single" w:sz="4" w:space="0" w:color="auto"/>
              <w:right w:val="single" w:sz="4" w:space="0" w:color="auto"/>
            </w:tcBorders>
            <w:shd w:val="clear" w:color="auto" w:fill="auto"/>
            <w:noWrap/>
            <w:hideMark/>
          </w:tcPr>
          <w:p w14:paraId="1010D0D6"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22,000</w:t>
            </w:r>
          </w:p>
        </w:tc>
        <w:tc>
          <w:tcPr>
            <w:tcW w:w="990" w:type="dxa"/>
            <w:tcBorders>
              <w:top w:val="nil"/>
              <w:left w:val="nil"/>
              <w:bottom w:val="single" w:sz="4" w:space="0" w:color="auto"/>
              <w:right w:val="single" w:sz="4" w:space="0" w:color="auto"/>
            </w:tcBorders>
            <w:shd w:val="clear" w:color="auto" w:fill="auto"/>
            <w:noWrap/>
            <w:hideMark/>
          </w:tcPr>
          <w:p w14:paraId="70285D62"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17,000</w:t>
            </w:r>
          </w:p>
        </w:tc>
        <w:tc>
          <w:tcPr>
            <w:tcW w:w="900" w:type="dxa"/>
            <w:tcBorders>
              <w:top w:val="nil"/>
              <w:left w:val="nil"/>
              <w:bottom w:val="single" w:sz="4" w:space="0" w:color="auto"/>
              <w:right w:val="single" w:sz="4" w:space="0" w:color="auto"/>
            </w:tcBorders>
            <w:shd w:val="clear" w:color="auto" w:fill="auto"/>
            <w:noWrap/>
            <w:hideMark/>
          </w:tcPr>
          <w:p w14:paraId="579368EB"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15,000</w:t>
            </w:r>
          </w:p>
        </w:tc>
        <w:tc>
          <w:tcPr>
            <w:tcW w:w="960" w:type="dxa"/>
            <w:tcBorders>
              <w:top w:val="nil"/>
              <w:left w:val="nil"/>
              <w:bottom w:val="single" w:sz="4" w:space="0" w:color="auto"/>
              <w:right w:val="single" w:sz="4" w:space="0" w:color="auto"/>
            </w:tcBorders>
            <w:shd w:val="clear" w:color="auto" w:fill="auto"/>
            <w:noWrap/>
            <w:hideMark/>
          </w:tcPr>
          <w:p w14:paraId="4D2CE400"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7,000</w:t>
            </w:r>
          </w:p>
        </w:tc>
        <w:tc>
          <w:tcPr>
            <w:tcW w:w="990" w:type="dxa"/>
            <w:tcBorders>
              <w:top w:val="nil"/>
              <w:left w:val="nil"/>
              <w:bottom w:val="single" w:sz="4" w:space="0" w:color="auto"/>
              <w:right w:val="single" w:sz="4" w:space="0" w:color="auto"/>
            </w:tcBorders>
            <w:shd w:val="clear" w:color="auto" w:fill="auto"/>
            <w:noWrap/>
            <w:hideMark/>
          </w:tcPr>
          <w:p w14:paraId="4E33ABAA"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93,000</w:t>
            </w:r>
          </w:p>
        </w:tc>
        <w:tc>
          <w:tcPr>
            <w:tcW w:w="690" w:type="dxa"/>
            <w:tcBorders>
              <w:top w:val="nil"/>
              <w:left w:val="nil"/>
              <w:bottom w:val="single" w:sz="4" w:space="0" w:color="auto"/>
              <w:right w:val="single" w:sz="4" w:space="0" w:color="auto"/>
            </w:tcBorders>
            <w:shd w:val="clear" w:color="auto" w:fill="auto"/>
            <w:noWrap/>
            <w:hideMark/>
          </w:tcPr>
          <w:p w14:paraId="2F4D8687"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11</w:t>
            </w:r>
          </w:p>
        </w:tc>
      </w:tr>
      <w:tr w:rsidR="00093AEB" w:rsidRPr="00CD1D92" w14:paraId="3F2A00EF"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398F82EB"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519E5686"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426A34C3"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7F76EDC2" w14:textId="77777777" w:rsidR="00DD755D" w:rsidRPr="00CD1D92" w:rsidRDefault="00DD755D" w:rsidP="00D32FA2">
            <w:pPr>
              <w:spacing w:after="0"/>
              <w:jc w:val="left"/>
              <w:rPr>
                <w:rFonts w:eastAsia="Times New Roman"/>
                <w:color w:val="000000"/>
                <w:sz w:val="18"/>
                <w:szCs w:val="18"/>
              </w:rPr>
            </w:pPr>
          </w:p>
        </w:tc>
        <w:tc>
          <w:tcPr>
            <w:tcW w:w="1129" w:type="dxa"/>
            <w:tcBorders>
              <w:top w:val="nil"/>
              <w:left w:val="nil"/>
              <w:bottom w:val="single" w:sz="4" w:space="0" w:color="auto"/>
              <w:right w:val="single" w:sz="4" w:space="0" w:color="auto"/>
            </w:tcBorders>
            <w:shd w:val="clear" w:color="auto" w:fill="auto"/>
            <w:noWrap/>
            <w:hideMark/>
          </w:tcPr>
          <w:p w14:paraId="108C3247" w14:textId="67FE4F40" w:rsidR="00DD755D" w:rsidRPr="00CD1D92" w:rsidRDefault="00F3624F" w:rsidP="00F3624F">
            <w:pPr>
              <w:spacing w:after="0"/>
              <w:jc w:val="center"/>
              <w:rPr>
                <w:rFonts w:eastAsia="Times New Roman"/>
                <w:color w:val="000000"/>
                <w:sz w:val="18"/>
                <w:szCs w:val="18"/>
              </w:rPr>
            </w:pPr>
            <w:r w:rsidRPr="00CD1D92">
              <w:rPr>
                <w:rFonts w:eastAsia="Times New Roman"/>
                <w:color w:val="000000"/>
                <w:sz w:val="18"/>
                <w:szCs w:val="18"/>
              </w:rPr>
              <w:t>7</w:t>
            </w:r>
            <w:r>
              <w:rPr>
                <w:rFonts w:eastAsia="Times New Roman"/>
                <w:color w:val="000000"/>
                <w:sz w:val="18"/>
                <w:szCs w:val="18"/>
              </w:rPr>
              <w:t>2100</w:t>
            </w:r>
          </w:p>
        </w:tc>
        <w:tc>
          <w:tcPr>
            <w:tcW w:w="1870" w:type="dxa"/>
            <w:tcBorders>
              <w:top w:val="nil"/>
              <w:left w:val="nil"/>
              <w:bottom w:val="single" w:sz="4" w:space="0" w:color="auto"/>
              <w:right w:val="single" w:sz="4" w:space="0" w:color="auto"/>
            </w:tcBorders>
            <w:shd w:val="clear" w:color="auto" w:fill="auto"/>
            <w:noWrap/>
            <w:hideMark/>
          </w:tcPr>
          <w:p w14:paraId="6D717893" w14:textId="7EE9AC7C"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Contractual Services</w:t>
            </w:r>
            <w:r w:rsidR="00F3624F">
              <w:rPr>
                <w:rFonts w:eastAsia="Times New Roman"/>
                <w:color w:val="000000"/>
                <w:sz w:val="18"/>
                <w:szCs w:val="18"/>
              </w:rPr>
              <w:t>-Companies</w:t>
            </w:r>
          </w:p>
        </w:tc>
        <w:tc>
          <w:tcPr>
            <w:tcW w:w="920" w:type="dxa"/>
            <w:tcBorders>
              <w:top w:val="nil"/>
              <w:left w:val="nil"/>
              <w:bottom w:val="single" w:sz="4" w:space="0" w:color="auto"/>
              <w:right w:val="single" w:sz="4" w:space="0" w:color="auto"/>
            </w:tcBorders>
            <w:shd w:val="clear" w:color="auto" w:fill="auto"/>
            <w:noWrap/>
            <w:hideMark/>
          </w:tcPr>
          <w:p w14:paraId="352B94BE"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7,000</w:t>
            </w:r>
          </w:p>
        </w:tc>
        <w:tc>
          <w:tcPr>
            <w:tcW w:w="990" w:type="dxa"/>
            <w:tcBorders>
              <w:top w:val="nil"/>
              <w:left w:val="nil"/>
              <w:bottom w:val="single" w:sz="4" w:space="0" w:color="auto"/>
              <w:right w:val="single" w:sz="4" w:space="0" w:color="auto"/>
            </w:tcBorders>
            <w:shd w:val="clear" w:color="auto" w:fill="auto"/>
            <w:noWrap/>
            <w:hideMark/>
          </w:tcPr>
          <w:p w14:paraId="63F601E1"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50,500</w:t>
            </w:r>
          </w:p>
        </w:tc>
        <w:tc>
          <w:tcPr>
            <w:tcW w:w="990" w:type="dxa"/>
            <w:tcBorders>
              <w:top w:val="nil"/>
              <w:left w:val="nil"/>
              <w:bottom w:val="single" w:sz="4" w:space="0" w:color="auto"/>
              <w:right w:val="single" w:sz="4" w:space="0" w:color="auto"/>
            </w:tcBorders>
            <w:shd w:val="clear" w:color="auto" w:fill="auto"/>
            <w:noWrap/>
            <w:hideMark/>
          </w:tcPr>
          <w:p w14:paraId="6FB3122A"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37,500</w:t>
            </w:r>
          </w:p>
        </w:tc>
        <w:tc>
          <w:tcPr>
            <w:tcW w:w="990" w:type="dxa"/>
            <w:tcBorders>
              <w:top w:val="nil"/>
              <w:left w:val="nil"/>
              <w:bottom w:val="single" w:sz="4" w:space="0" w:color="auto"/>
              <w:right w:val="single" w:sz="4" w:space="0" w:color="auto"/>
            </w:tcBorders>
            <w:shd w:val="clear" w:color="auto" w:fill="auto"/>
            <w:noWrap/>
            <w:hideMark/>
          </w:tcPr>
          <w:p w14:paraId="43CCD802"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32,500</w:t>
            </w:r>
          </w:p>
        </w:tc>
        <w:tc>
          <w:tcPr>
            <w:tcW w:w="900" w:type="dxa"/>
            <w:tcBorders>
              <w:top w:val="nil"/>
              <w:left w:val="nil"/>
              <w:bottom w:val="single" w:sz="4" w:space="0" w:color="auto"/>
              <w:right w:val="single" w:sz="4" w:space="0" w:color="auto"/>
            </w:tcBorders>
            <w:shd w:val="clear" w:color="auto" w:fill="auto"/>
            <w:noWrap/>
            <w:hideMark/>
          </w:tcPr>
          <w:p w14:paraId="24879D38"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11,000</w:t>
            </w:r>
          </w:p>
        </w:tc>
        <w:tc>
          <w:tcPr>
            <w:tcW w:w="960" w:type="dxa"/>
            <w:tcBorders>
              <w:top w:val="nil"/>
              <w:left w:val="nil"/>
              <w:bottom w:val="single" w:sz="4" w:space="0" w:color="auto"/>
              <w:right w:val="single" w:sz="4" w:space="0" w:color="auto"/>
            </w:tcBorders>
            <w:shd w:val="clear" w:color="auto" w:fill="auto"/>
            <w:noWrap/>
            <w:hideMark/>
          </w:tcPr>
          <w:p w14:paraId="01A734AE"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2,000</w:t>
            </w:r>
          </w:p>
        </w:tc>
        <w:tc>
          <w:tcPr>
            <w:tcW w:w="990" w:type="dxa"/>
            <w:tcBorders>
              <w:top w:val="nil"/>
              <w:left w:val="nil"/>
              <w:bottom w:val="single" w:sz="4" w:space="0" w:color="auto"/>
              <w:right w:val="single" w:sz="4" w:space="0" w:color="auto"/>
            </w:tcBorders>
            <w:shd w:val="clear" w:color="auto" w:fill="auto"/>
            <w:noWrap/>
            <w:hideMark/>
          </w:tcPr>
          <w:p w14:paraId="069CA7B2"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140,500</w:t>
            </w:r>
          </w:p>
        </w:tc>
        <w:tc>
          <w:tcPr>
            <w:tcW w:w="690" w:type="dxa"/>
            <w:tcBorders>
              <w:top w:val="nil"/>
              <w:left w:val="nil"/>
              <w:bottom w:val="single" w:sz="4" w:space="0" w:color="auto"/>
              <w:right w:val="single" w:sz="4" w:space="0" w:color="auto"/>
            </w:tcBorders>
            <w:shd w:val="clear" w:color="auto" w:fill="auto"/>
            <w:noWrap/>
            <w:hideMark/>
          </w:tcPr>
          <w:p w14:paraId="42D9F8C9"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12</w:t>
            </w:r>
          </w:p>
        </w:tc>
      </w:tr>
      <w:tr w:rsidR="00093AEB" w:rsidRPr="00CD1D92" w14:paraId="7F22721A"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4972971B"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4C1BCF2F"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61E818E3"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200F9C00" w14:textId="77777777" w:rsidR="00DD755D" w:rsidRPr="00CD1D92" w:rsidRDefault="00DD755D" w:rsidP="00D32FA2">
            <w:pPr>
              <w:spacing w:after="0"/>
              <w:jc w:val="left"/>
              <w:rPr>
                <w:rFonts w:eastAsia="Times New Roman"/>
                <w:color w:val="000000"/>
                <w:sz w:val="18"/>
                <w:szCs w:val="18"/>
              </w:rPr>
            </w:pPr>
          </w:p>
        </w:tc>
        <w:tc>
          <w:tcPr>
            <w:tcW w:w="1129" w:type="dxa"/>
            <w:tcBorders>
              <w:top w:val="nil"/>
              <w:left w:val="nil"/>
              <w:bottom w:val="single" w:sz="4" w:space="0" w:color="auto"/>
              <w:right w:val="single" w:sz="4" w:space="0" w:color="auto"/>
            </w:tcBorders>
            <w:shd w:val="clear" w:color="auto" w:fill="auto"/>
            <w:noWrap/>
            <w:hideMark/>
          </w:tcPr>
          <w:p w14:paraId="11E0762F" w14:textId="4BF097D9" w:rsidR="00DD755D" w:rsidRPr="00CD1D92" w:rsidRDefault="00F3624F" w:rsidP="00F3624F">
            <w:pPr>
              <w:spacing w:after="0"/>
              <w:jc w:val="center"/>
              <w:rPr>
                <w:rFonts w:eastAsia="Times New Roman"/>
                <w:color w:val="000000"/>
                <w:sz w:val="18"/>
                <w:szCs w:val="18"/>
              </w:rPr>
            </w:pPr>
            <w:r w:rsidRPr="00CD1D92">
              <w:rPr>
                <w:rFonts w:eastAsia="Times New Roman"/>
                <w:color w:val="000000"/>
                <w:sz w:val="18"/>
                <w:szCs w:val="18"/>
              </w:rPr>
              <w:t>7</w:t>
            </w:r>
            <w:r>
              <w:rPr>
                <w:rFonts w:eastAsia="Times New Roman"/>
                <w:color w:val="000000"/>
                <w:sz w:val="18"/>
                <w:szCs w:val="18"/>
              </w:rPr>
              <w:t>1600</w:t>
            </w:r>
          </w:p>
        </w:tc>
        <w:tc>
          <w:tcPr>
            <w:tcW w:w="1870" w:type="dxa"/>
            <w:tcBorders>
              <w:top w:val="nil"/>
              <w:left w:val="nil"/>
              <w:bottom w:val="single" w:sz="4" w:space="0" w:color="auto"/>
              <w:right w:val="single" w:sz="4" w:space="0" w:color="auto"/>
            </w:tcBorders>
            <w:shd w:val="clear" w:color="auto" w:fill="auto"/>
            <w:noWrap/>
            <w:hideMark/>
          </w:tcPr>
          <w:p w14:paraId="6B2295CE"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Travel</w:t>
            </w:r>
          </w:p>
        </w:tc>
        <w:tc>
          <w:tcPr>
            <w:tcW w:w="920" w:type="dxa"/>
            <w:tcBorders>
              <w:top w:val="nil"/>
              <w:left w:val="nil"/>
              <w:bottom w:val="single" w:sz="4" w:space="0" w:color="auto"/>
              <w:right w:val="single" w:sz="4" w:space="0" w:color="auto"/>
            </w:tcBorders>
            <w:shd w:val="clear" w:color="auto" w:fill="auto"/>
            <w:noWrap/>
            <w:hideMark/>
          </w:tcPr>
          <w:p w14:paraId="28D9EA89"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15,000</w:t>
            </w:r>
          </w:p>
        </w:tc>
        <w:tc>
          <w:tcPr>
            <w:tcW w:w="990" w:type="dxa"/>
            <w:tcBorders>
              <w:top w:val="nil"/>
              <w:left w:val="nil"/>
              <w:bottom w:val="single" w:sz="4" w:space="0" w:color="auto"/>
              <w:right w:val="single" w:sz="4" w:space="0" w:color="auto"/>
            </w:tcBorders>
            <w:shd w:val="clear" w:color="auto" w:fill="auto"/>
            <w:noWrap/>
            <w:hideMark/>
          </w:tcPr>
          <w:p w14:paraId="4B07566C" w14:textId="12C93485" w:rsidR="00DD755D" w:rsidRPr="00CD1D92" w:rsidRDefault="001D57AA" w:rsidP="00D32FA2">
            <w:pPr>
              <w:spacing w:after="0"/>
              <w:jc w:val="right"/>
              <w:rPr>
                <w:rFonts w:eastAsia="Times New Roman"/>
                <w:color w:val="000000"/>
                <w:sz w:val="18"/>
                <w:szCs w:val="18"/>
              </w:rPr>
            </w:pPr>
            <w:r>
              <w:rPr>
                <w:rFonts w:eastAsia="Times New Roman"/>
                <w:color w:val="000000"/>
                <w:sz w:val="18"/>
                <w:szCs w:val="18"/>
              </w:rPr>
              <w:t>14,000</w:t>
            </w:r>
          </w:p>
        </w:tc>
        <w:tc>
          <w:tcPr>
            <w:tcW w:w="990" w:type="dxa"/>
            <w:tcBorders>
              <w:top w:val="nil"/>
              <w:left w:val="nil"/>
              <w:bottom w:val="single" w:sz="4" w:space="0" w:color="auto"/>
              <w:right w:val="single" w:sz="4" w:space="0" w:color="auto"/>
            </w:tcBorders>
            <w:shd w:val="clear" w:color="auto" w:fill="auto"/>
            <w:noWrap/>
            <w:hideMark/>
          </w:tcPr>
          <w:p w14:paraId="738B401A"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4027219A"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00" w:type="dxa"/>
            <w:tcBorders>
              <w:top w:val="nil"/>
              <w:left w:val="nil"/>
              <w:bottom w:val="single" w:sz="4" w:space="0" w:color="auto"/>
              <w:right w:val="single" w:sz="4" w:space="0" w:color="auto"/>
            </w:tcBorders>
            <w:shd w:val="clear" w:color="auto" w:fill="auto"/>
            <w:noWrap/>
            <w:hideMark/>
          </w:tcPr>
          <w:p w14:paraId="3840EA09"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60" w:type="dxa"/>
            <w:tcBorders>
              <w:top w:val="nil"/>
              <w:left w:val="nil"/>
              <w:bottom w:val="single" w:sz="4" w:space="0" w:color="auto"/>
              <w:right w:val="single" w:sz="4" w:space="0" w:color="auto"/>
            </w:tcBorders>
            <w:shd w:val="clear" w:color="auto" w:fill="auto"/>
            <w:noWrap/>
            <w:hideMark/>
          </w:tcPr>
          <w:p w14:paraId="2D5F33FC"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385A26C9" w14:textId="0DEE874C" w:rsidR="00DD755D" w:rsidRPr="00CD1D92" w:rsidRDefault="001D57AA" w:rsidP="00D32FA2">
            <w:pPr>
              <w:spacing w:after="0"/>
              <w:jc w:val="right"/>
              <w:rPr>
                <w:rFonts w:eastAsia="Times New Roman"/>
                <w:color w:val="000000"/>
                <w:sz w:val="18"/>
                <w:szCs w:val="18"/>
              </w:rPr>
            </w:pPr>
            <w:r>
              <w:rPr>
                <w:rFonts w:eastAsia="Times New Roman"/>
                <w:color w:val="000000"/>
                <w:sz w:val="18"/>
                <w:szCs w:val="18"/>
              </w:rPr>
              <w:t>29</w:t>
            </w:r>
            <w:r w:rsidR="00DD755D" w:rsidRPr="00CD1D92">
              <w:rPr>
                <w:rFonts w:eastAsia="Times New Roman"/>
                <w:color w:val="000000"/>
                <w:sz w:val="18"/>
                <w:szCs w:val="18"/>
              </w:rPr>
              <w:t>,000</w:t>
            </w:r>
          </w:p>
        </w:tc>
        <w:tc>
          <w:tcPr>
            <w:tcW w:w="690" w:type="dxa"/>
            <w:tcBorders>
              <w:top w:val="nil"/>
              <w:left w:val="nil"/>
              <w:bottom w:val="single" w:sz="4" w:space="0" w:color="auto"/>
              <w:right w:val="single" w:sz="4" w:space="0" w:color="auto"/>
            </w:tcBorders>
            <w:shd w:val="clear" w:color="auto" w:fill="auto"/>
            <w:noWrap/>
            <w:hideMark/>
          </w:tcPr>
          <w:p w14:paraId="758EB77F"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13</w:t>
            </w:r>
          </w:p>
        </w:tc>
      </w:tr>
      <w:tr w:rsidR="00093AEB" w:rsidRPr="00CD1D92" w14:paraId="7A458800"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67805018"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408DA447"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14E3FF6D"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09CAC4F4" w14:textId="77777777" w:rsidR="00DD755D" w:rsidRPr="00CD1D92" w:rsidRDefault="00DD755D" w:rsidP="00D32FA2">
            <w:pPr>
              <w:spacing w:after="0"/>
              <w:jc w:val="left"/>
              <w:rPr>
                <w:rFonts w:eastAsia="Times New Roman"/>
                <w:color w:val="000000"/>
                <w:sz w:val="18"/>
                <w:szCs w:val="18"/>
              </w:rPr>
            </w:pPr>
          </w:p>
        </w:tc>
        <w:tc>
          <w:tcPr>
            <w:tcW w:w="1129" w:type="dxa"/>
            <w:tcBorders>
              <w:top w:val="nil"/>
              <w:left w:val="nil"/>
              <w:bottom w:val="single" w:sz="4" w:space="0" w:color="auto"/>
              <w:right w:val="single" w:sz="4" w:space="0" w:color="auto"/>
            </w:tcBorders>
            <w:shd w:val="clear" w:color="auto" w:fill="auto"/>
            <w:noWrap/>
            <w:hideMark/>
          </w:tcPr>
          <w:p w14:paraId="42F27BA3" w14:textId="1F8EF16F" w:rsidR="00DD755D" w:rsidRPr="00CD1D92" w:rsidRDefault="00F3624F" w:rsidP="00F3624F">
            <w:pPr>
              <w:spacing w:after="0"/>
              <w:jc w:val="center"/>
              <w:rPr>
                <w:rFonts w:eastAsia="Times New Roman"/>
                <w:color w:val="000000"/>
                <w:sz w:val="18"/>
                <w:szCs w:val="18"/>
              </w:rPr>
            </w:pPr>
            <w:r w:rsidRPr="00CD1D92">
              <w:rPr>
                <w:rFonts w:eastAsia="Times New Roman"/>
                <w:color w:val="000000"/>
                <w:sz w:val="18"/>
                <w:szCs w:val="18"/>
              </w:rPr>
              <w:t>72</w:t>
            </w:r>
            <w:r>
              <w:rPr>
                <w:rFonts w:eastAsia="Times New Roman"/>
                <w:color w:val="000000"/>
                <w:sz w:val="18"/>
                <w:szCs w:val="18"/>
              </w:rPr>
              <w:t>600</w:t>
            </w:r>
          </w:p>
        </w:tc>
        <w:tc>
          <w:tcPr>
            <w:tcW w:w="1870" w:type="dxa"/>
            <w:tcBorders>
              <w:top w:val="nil"/>
              <w:left w:val="nil"/>
              <w:bottom w:val="single" w:sz="4" w:space="0" w:color="auto"/>
              <w:right w:val="single" w:sz="4" w:space="0" w:color="auto"/>
            </w:tcBorders>
            <w:shd w:val="clear" w:color="auto" w:fill="auto"/>
            <w:noWrap/>
            <w:hideMark/>
          </w:tcPr>
          <w:p w14:paraId="6B7E027D" w14:textId="5ED481EB" w:rsidR="00DD755D" w:rsidRPr="00CD1D92" w:rsidRDefault="00A37488" w:rsidP="00D32FA2">
            <w:pPr>
              <w:spacing w:after="0"/>
              <w:jc w:val="left"/>
              <w:rPr>
                <w:rFonts w:eastAsia="Times New Roman"/>
                <w:color w:val="000000"/>
                <w:sz w:val="18"/>
                <w:szCs w:val="18"/>
              </w:rPr>
            </w:pPr>
            <w:r>
              <w:rPr>
                <w:rFonts w:eastAsia="Times New Roman"/>
                <w:color w:val="000000"/>
                <w:sz w:val="18"/>
                <w:szCs w:val="18"/>
              </w:rPr>
              <w:t>Grants</w:t>
            </w:r>
          </w:p>
        </w:tc>
        <w:tc>
          <w:tcPr>
            <w:tcW w:w="920" w:type="dxa"/>
            <w:tcBorders>
              <w:top w:val="nil"/>
              <w:left w:val="nil"/>
              <w:bottom w:val="single" w:sz="4" w:space="0" w:color="auto"/>
              <w:right w:val="single" w:sz="4" w:space="0" w:color="auto"/>
            </w:tcBorders>
            <w:shd w:val="clear" w:color="auto" w:fill="auto"/>
            <w:noWrap/>
            <w:hideMark/>
          </w:tcPr>
          <w:p w14:paraId="5C32734A"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167DBDB8"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99,000</w:t>
            </w:r>
          </w:p>
        </w:tc>
        <w:tc>
          <w:tcPr>
            <w:tcW w:w="990" w:type="dxa"/>
            <w:tcBorders>
              <w:top w:val="nil"/>
              <w:left w:val="nil"/>
              <w:bottom w:val="single" w:sz="4" w:space="0" w:color="auto"/>
              <w:right w:val="single" w:sz="4" w:space="0" w:color="auto"/>
            </w:tcBorders>
            <w:shd w:val="clear" w:color="auto" w:fill="auto"/>
            <w:noWrap/>
            <w:hideMark/>
          </w:tcPr>
          <w:p w14:paraId="70E3FB88"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109,000</w:t>
            </w:r>
          </w:p>
        </w:tc>
        <w:tc>
          <w:tcPr>
            <w:tcW w:w="990" w:type="dxa"/>
            <w:tcBorders>
              <w:top w:val="nil"/>
              <w:left w:val="nil"/>
              <w:bottom w:val="single" w:sz="4" w:space="0" w:color="auto"/>
              <w:right w:val="single" w:sz="4" w:space="0" w:color="auto"/>
            </w:tcBorders>
            <w:shd w:val="clear" w:color="auto" w:fill="auto"/>
            <w:noWrap/>
            <w:hideMark/>
          </w:tcPr>
          <w:p w14:paraId="75357961"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109,000</w:t>
            </w:r>
          </w:p>
        </w:tc>
        <w:tc>
          <w:tcPr>
            <w:tcW w:w="900" w:type="dxa"/>
            <w:tcBorders>
              <w:top w:val="nil"/>
              <w:left w:val="nil"/>
              <w:bottom w:val="single" w:sz="4" w:space="0" w:color="auto"/>
              <w:right w:val="single" w:sz="4" w:space="0" w:color="auto"/>
            </w:tcBorders>
            <w:shd w:val="clear" w:color="auto" w:fill="auto"/>
            <w:noWrap/>
            <w:hideMark/>
          </w:tcPr>
          <w:p w14:paraId="1F7E6A83"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97,000</w:t>
            </w:r>
          </w:p>
        </w:tc>
        <w:tc>
          <w:tcPr>
            <w:tcW w:w="960" w:type="dxa"/>
            <w:tcBorders>
              <w:top w:val="nil"/>
              <w:left w:val="nil"/>
              <w:bottom w:val="single" w:sz="4" w:space="0" w:color="auto"/>
              <w:right w:val="single" w:sz="4" w:space="0" w:color="auto"/>
            </w:tcBorders>
            <w:shd w:val="clear" w:color="auto" w:fill="auto"/>
            <w:noWrap/>
            <w:hideMark/>
          </w:tcPr>
          <w:p w14:paraId="4FC8E933"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80,000</w:t>
            </w:r>
          </w:p>
        </w:tc>
        <w:tc>
          <w:tcPr>
            <w:tcW w:w="990" w:type="dxa"/>
            <w:tcBorders>
              <w:top w:val="nil"/>
              <w:left w:val="nil"/>
              <w:bottom w:val="single" w:sz="4" w:space="0" w:color="auto"/>
              <w:right w:val="single" w:sz="4" w:space="0" w:color="auto"/>
            </w:tcBorders>
            <w:shd w:val="clear" w:color="auto" w:fill="auto"/>
            <w:noWrap/>
            <w:hideMark/>
          </w:tcPr>
          <w:p w14:paraId="69A7198C"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494,000</w:t>
            </w:r>
          </w:p>
        </w:tc>
        <w:tc>
          <w:tcPr>
            <w:tcW w:w="690" w:type="dxa"/>
            <w:tcBorders>
              <w:top w:val="nil"/>
              <w:left w:val="nil"/>
              <w:bottom w:val="single" w:sz="4" w:space="0" w:color="auto"/>
              <w:right w:val="single" w:sz="4" w:space="0" w:color="auto"/>
            </w:tcBorders>
            <w:shd w:val="clear" w:color="auto" w:fill="auto"/>
            <w:noWrap/>
            <w:hideMark/>
          </w:tcPr>
          <w:p w14:paraId="4A8C0FC3"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14</w:t>
            </w:r>
          </w:p>
        </w:tc>
      </w:tr>
      <w:tr w:rsidR="00093AEB" w:rsidRPr="00CD1D92" w14:paraId="62D69C1F"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587F51DF"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2774CB2E"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46A35E28"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045FF216" w14:textId="77777777" w:rsidR="00DD755D" w:rsidRPr="00CD1D92" w:rsidRDefault="00DD755D" w:rsidP="00D32FA2">
            <w:pPr>
              <w:spacing w:after="0"/>
              <w:jc w:val="left"/>
              <w:rPr>
                <w:rFonts w:eastAsia="Times New Roman"/>
                <w:color w:val="000000"/>
                <w:sz w:val="18"/>
                <w:szCs w:val="18"/>
              </w:rPr>
            </w:pPr>
          </w:p>
        </w:tc>
        <w:tc>
          <w:tcPr>
            <w:tcW w:w="1129" w:type="dxa"/>
            <w:tcBorders>
              <w:top w:val="nil"/>
              <w:left w:val="nil"/>
              <w:bottom w:val="single" w:sz="4" w:space="0" w:color="auto"/>
              <w:right w:val="single" w:sz="4" w:space="0" w:color="auto"/>
            </w:tcBorders>
            <w:shd w:val="clear" w:color="auto" w:fill="auto"/>
            <w:noWrap/>
            <w:hideMark/>
          </w:tcPr>
          <w:p w14:paraId="6FD6E964" w14:textId="4296C32A" w:rsidR="00DD755D" w:rsidRPr="00CD1D92" w:rsidRDefault="00F3624F" w:rsidP="00F3624F">
            <w:pPr>
              <w:spacing w:after="0"/>
              <w:jc w:val="center"/>
              <w:rPr>
                <w:rFonts w:eastAsia="Times New Roman"/>
                <w:color w:val="000000"/>
                <w:sz w:val="18"/>
                <w:szCs w:val="18"/>
              </w:rPr>
            </w:pPr>
            <w:r w:rsidRPr="00CD1D92">
              <w:rPr>
                <w:rFonts w:eastAsia="Times New Roman"/>
                <w:color w:val="000000"/>
                <w:sz w:val="18"/>
                <w:szCs w:val="18"/>
              </w:rPr>
              <w:t>7</w:t>
            </w:r>
            <w:r>
              <w:rPr>
                <w:rFonts w:eastAsia="Times New Roman"/>
                <w:color w:val="000000"/>
                <w:sz w:val="18"/>
                <w:szCs w:val="18"/>
              </w:rPr>
              <w:t>5700</w:t>
            </w:r>
          </w:p>
        </w:tc>
        <w:tc>
          <w:tcPr>
            <w:tcW w:w="1870" w:type="dxa"/>
            <w:tcBorders>
              <w:top w:val="nil"/>
              <w:left w:val="nil"/>
              <w:bottom w:val="single" w:sz="4" w:space="0" w:color="auto"/>
              <w:right w:val="single" w:sz="4" w:space="0" w:color="auto"/>
            </w:tcBorders>
            <w:shd w:val="clear" w:color="auto" w:fill="auto"/>
            <w:noWrap/>
            <w:hideMark/>
          </w:tcPr>
          <w:p w14:paraId="22C49266" w14:textId="2D8E2E66" w:rsidR="00DD755D" w:rsidRPr="00CD1D92" w:rsidRDefault="00DD755D" w:rsidP="00F3624F">
            <w:pPr>
              <w:spacing w:after="0"/>
              <w:jc w:val="left"/>
              <w:rPr>
                <w:rFonts w:eastAsia="Times New Roman"/>
                <w:color w:val="000000"/>
                <w:sz w:val="18"/>
                <w:szCs w:val="18"/>
              </w:rPr>
            </w:pPr>
            <w:r w:rsidRPr="00CD1D92">
              <w:rPr>
                <w:rFonts w:eastAsia="Times New Roman"/>
                <w:color w:val="000000"/>
                <w:sz w:val="18"/>
                <w:szCs w:val="18"/>
              </w:rPr>
              <w:t>Trainings</w:t>
            </w:r>
            <w:r w:rsidR="00F3624F">
              <w:rPr>
                <w:rFonts w:eastAsia="Times New Roman"/>
                <w:color w:val="000000"/>
                <w:sz w:val="18"/>
                <w:szCs w:val="18"/>
              </w:rPr>
              <w:t xml:space="preserve">, </w:t>
            </w:r>
            <w:r w:rsidRPr="00CD1D92">
              <w:rPr>
                <w:rFonts w:eastAsia="Times New Roman"/>
                <w:color w:val="000000"/>
                <w:sz w:val="18"/>
                <w:szCs w:val="18"/>
              </w:rPr>
              <w:t>Workshops</w:t>
            </w:r>
            <w:r w:rsidR="00F3624F">
              <w:rPr>
                <w:rFonts w:eastAsia="Times New Roman"/>
                <w:color w:val="000000"/>
                <w:sz w:val="18"/>
                <w:szCs w:val="18"/>
              </w:rPr>
              <w:t xml:space="preserve"> and Conferences</w:t>
            </w:r>
          </w:p>
        </w:tc>
        <w:tc>
          <w:tcPr>
            <w:tcW w:w="920" w:type="dxa"/>
            <w:tcBorders>
              <w:top w:val="nil"/>
              <w:left w:val="nil"/>
              <w:bottom w:val="single" w:sz="4" w:space="0" w:color="auto"/>
              <w:right w:val="single" w:sz="4" w:space="0" w:color="auto"/>
            </w:tcBorders>
            <w:shd w:val="clear" w:color="auto" w:fill="auto"/>
            <w:noWrap/>
            <w:hideMark/>
          </w:tcPr>
          <w:p w14:paraId="6A310A46"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7,000</w:t>
            </w:r>
          </w:p>
        </w:tc>
        <w:tc>
          <w:tcPr>
            <w:tcW w:w="990" w:type="dxa"/>
            <w:tcBorders>
              <w:top w:val="nil"/>
              <w:left w:val="nil"/>
              <w:bottom w:val="single" w:sz="4" w:space="0" w:color="auto"/>
              <w:right w:val="single" w:sz="4" w:space="0" w:color="auto"/>
            </w:tcBorders>
            <w:shd w:val="clear" w:color="auto" w:fill="auto"/>
            <w:noWrap/>
            <w:hideMark/>
          </w:tcPr>
          <w:p w14:paraId="76641A9C"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48,000</w:t>
            </w:r>
          </w:p>
        </w:tc>
        <w:tc>
          <w:tcPr>
            <w:tcW w:w="990" w:type="dxa"/>
            <w:tcBorders>
              <w:top w:val="nil"/>
              <w:left w:val="nil"/>
              <w:bottom w:val="single" w:sz="4" w:space="0" w:color="auto"/>
              <w:right w:val="single" w:sz="4" w:space="0" w:color="auto"/>
            </w:tcBorders>
            <w:shd w:val="clear" w:color="auto" w:fill="auto"/>
            <w:noWrap/>
            <w:hideMark/>
          </w:tcPr>
          <w:p w14:paraId="795DC42F"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10,000</w:t>
            </w:r>
          </w:p>
        </w:tc>
        <w:tc>
          <w:tcPr>
            <w:tcW w:w="990" w:type="dxa"/>
            <w:tcBorders>
              <w:top w:val="nil"/>
              <w:left w:val="nil"/>
              <w:bottom w:val="single" w:sz="4" w:space="0" w:color="auto"/>
              <w:right w:val="single" w:sz="4" w:space="0" w:color="auto"/>
            </w:tcBorders>
            <w:shd w:val="clear" w:color="auto" w:fill="auto"/>
            <w:noWrap/>
            <w:hideMark/>
          </w:tcPr>
          <w:p w14:paraId="1D3C4679"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6,000</w:t>
            </w:r>
          </w:p>
        </w:tc>
        <w:tc>
          <w:tcPr>
            <w:tcW w:w="900" w:type="dxa"/>
            <w:tcBorders>
              <w:top w:val="nil"/>
              <w:left w:val="nil"/>
              <w:bottom w:val="single" w:sz="4" w:space="0" w:color="auto"/>
              <w:right w:val="single" w:sz="4" w:space="0" w:color="auto"/>
            </w:tcBorders>
            <w:shd w:val="clear" w:color="auto" w:fill="auto"/>
            <w:noWrap/>
            <w:hideMark/>
          </w:tcPr>
          <w:p w14:paraId="2C684C20"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60" w:type="dxa"/>
            <w:tcBorders>
              <w:top w:val="nil"/>
              <w:left w:val="nil"/>
              <w:bottom w:val="single" w:sz="4" w:space="0" w:color="auto"/>
              <w:right w:val="single" w:sz="4" w:space="0" w:color="auto"/>
            </w:tcBorders>
            <w:shd w:val="clear" w:color="auto" w:fill="auto"/>
            <w:noWrap/>
            <w:hideMark/>
          </w:tcPr>
          <w:p w14:paraId="383D3BFF"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2,000</w:t>
            </w:r>
          </w:p>
        </w:tc>
        <w:tc>
          <w:tcPr>
            <w:tcW w:w="990" w:type="dxa"/>
            <w:tcBorders>
              <w:top w:val="nil"/>
              <w:left w:val="nil"/>
              <w:bottom w:val="single" w:sz="4" w:space="0" w:color="auto"/>
              <w:right w:val="single" w:sz="4" w:space="0" w:color="auto"/>
            </w:tcBorders>
            <w:shd w:val="clear" w:color="auto" w:fill="auto"/>
            <w:noWrap/>
            <w:hideMark/>
          </w:tcPr>
          <w:p w14:paraId="20336D58"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73,000</w:t>
            </w:r>
          </w:p>
        </w:tc>
        <w:tc>
          <w:tcPr>
            <w:tcW w:w="690" w:type="dxa"/>
            <w:tcBorders>
              <w:top w:val="nil"/>
              <w:left w:val="nil"/>
              <w:bottom w:val="single" w:sz="4" w:space="0" w:color="auto"/>
              <w:right w:val="single" w:sz="4" w:space="0" w:color="auto"/>
            </w:tcBorders>
            <w:shd w:val="clear" w:color="auto" w:fill="auto"/>
            <w:noWrap/>
            <w:hideMark/>
          </w:tcPr>
          <w:p w14:paraId="6FF69C49"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15</w:t>
            </w:r>
          </w:p>
        </w:tc>
      </w:tr>
      <w:tr w:rsidR="00093AEB" w:rsidRPr="00CD1D92" w14:paraId="3F738B45"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5E3037FD"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7AE0BFDF"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1B2DBB7C"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447E460F" w14:textId="77777777" w:rsidR="00DD755D" w:rsidRPr="00CD1D92" w:rsidRDefault="00DD755D" w:rsidP="00D32FA2">
            <w:pPr>
              <w:spacing w:after="0"/>
              <w:jc w:val="left"/>
              <w:rPr>
                <w:rFonts w:eastAsia="Times New Roman"/>
                <w:color w:val="000000"/>
                <w:sz w:val="18"/>
                <w:szCs w:val="18"/>
              </w:rPr>
            </w:pPr>
          </w:p>
        </w:tc>
        <w:tc>
          <w:tcPr>
            <w:tcW w:w="1129" w:type="dxa"/>
            <w:tcBorders>
              <w:top w:val="nil"/>
              <w:left w:val="nil"/>
              <w:bottom w:val="single" w:sz="4" w:space="0" w:color="auto"/>
              <w:right w:val="single" w:sz="4" w:space="0" w:color="auto"/>
            </w:tcBorders>
            <w:shd w:val="clear" w:color="auto" w:fill="auto"/>
            <w:noWrap/>
            <w:hideMark/>
          </w:tcPr>
          <w:p w14:paraId="3B528843" w14:textId="2DCD06E4" w:rsidR="00DD755D" w:rsidRPr="00CD1D92" w:rsidRDefault="001D57AA" w:rsidP="001D57AA">
            <w:pPr>
              <w:spacing w:after="0"/>
              <w:jc w:val="center"/>
              <w:rPr>
                <w:rFonts w:eastAsia="Times New Roman"/>
                <w:color w:val="000000"/>
                <w:sz w:val="18"/>
                <w:szCs w:val="18"/>
              </w:rPr>
            </w:pPr>
            <w:r w:rsidRPr="00CD1D92">
              <w:rPr>
                <w:rFonts w:eastAsia="Times New Roman"/>
                <w:color w:val="000000"/>
                <w:sz w:val="18"/>
                <w:szCs w:val="18"/>
              </w:rPr>
              <w:t>7</w:t>
            </w:r>
            <w:r>
              <w:rPr>
                <w:rFonts w:eastAsia="Times New Roman"/>
                <w:color w:val="000000"/>
                <w:sz w:val="18"/>
                <w:szCs w:val="18"/>
              </w:rPr>
              <w:t>45</w:t>
            </w:r>
            <w:r w:rsidRPr="00CD1D92">
              <w:rPr>
                <w:rFonts w:eastAsia="Times New Roman"/>
                <w:color w:val="000000"/>
                <w:sz w:val="18"/>
                <w:szCs w:val="18"/>
              </w:rPr>
              <w:t>00</w:t>
            </w:r>
          </w:p>
        </w:tc>
        <w:tc>
          <w:tcPr>
            <w:tcW w:w="1870" w:type="dxa"/>
            <w:tcBorders>
              <w:top w:val="nil"/>
              <w:left w:val="nil"/>
              <w:bottom w:val="single" w:sz="4" w:space="0" w:color="auto"/>
              <w:right w:val="single" w:sz="4" w:space="0" w:color="auto"/>
            </w:tcBorders>
            <w:shd w:val="clear" w:color="auto" w:fill="auto"/>
            <w:noWrap/>
            <w:hideMark/>
          </w:tcPr>
          <w:p w14:paraId="684251DF" w14:textId="4CC146FC" w:rsidR="00DD755D" w:rsidRPr="00CD1D92" w:rsidRDefault="001D57AA" w:rsidP="00D32FA2">
            <w:pPr>
              <w:spacing w:after="0"/>
              <w:jc w:val="left"/>
              <w:rPr>
                <w:rFonts w:eastAsia="Times New Roman"/>
                <w:color w:val="000000"/>
                <w:sz w:val="18"/>
                <w:szCs w:val="18"/>
              </w:rPr>
            </w:pPr>
            <w:r>
              <w:rPr>
                <w:rFonts w:eastAsia="Times New Roman"/>
                <w:color w:val="000000"/>
                <w:sz w:val="18"/>
                <w:szCs w:val="18"/>
              </w:rPr>
              <w:t>Miscellaneous</w:t>
            </w:r>
          </w:p>
        </w:tc>
        <w:tc>
          <w:tcPr>
            <w:tcW w:w="920" w:type="dxa"/>
            <w:tcBorders>
              <w:top w:val="nil"/>
              <w:left w:val="nil"/>
              <w:bottom w:val="single" w:sz="4" w:space="0" w:color="auto"/>
              <w:right w:val="single" w:sz="4" w:space="0" w:color="auto"/>
            </w:tcBorders>
            <w:shd w:val="clear" w:color="auto" w:fill="auto"/>
            <w:noWrap/>
            <w:hideMark/>
          </w:tcPr>
          <w:p w14:paraId="534BC88E"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1D59C2AF"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3,500</w:t>
            </w:r>
          </w:p>
        </w:tc>
        <w:tc>
          <w:tcPr>
            <w:tcW w:w="990" w:type="dxa"/>
            <w:tcBorders>
              <w:top w:val="nil"/>
              <w:left w:val="nil"/>
              <w:bottom w:val="single" w:sz="4" w:space="0" w:color="auto"/>
              <w:right w:val="single" w:sz="4" w:space="0" w:color="auto"/>
            </w:tcBorders>
            <w:shd w:val="clear" w:color="auto" w:fill="auto"/>
            <w:noWrap/>
            <w:hideMark/>
          </w:tcPr>
          <w:p w14:paraId="178E77E9"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3,500</w:t>
            </w:r>
          </w:p>
        </w:tc>
        <w:tc>
          <w:tcPr>
            <w:tcW w:w="990" w:type="dxa"/>
            <w:tcBorders>
              <w:top w:val="nil"/>
              <w:left w:val="nil"/>
              <w:bottom w:val="single" w:sz="4" w:space="0" w:color="auto"/>
              <w:right w:val="single" w:sz="4" w:space="0" w:color="auto"/>
            </w:tcBorders>
            <w:shd w:val="clear" w:color="auto" w:fill="auto"/>
            <w:noWrap/>
            <w:hideMark/>
          </w:tcPr>
          <w:p w14:paraId="4F9AF24C"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3,500</w:t>
            </w:r>
          </w:p>
        </w:tc>
        <w:tc>
          <w:tcPr>
            <w:tcW w:w="900" w:type="dxa"/>
            <w:tcBorders>
              <w:top w:val="nil"/>
              <w:left w:val="nil"/>
              <w:bottom w:val="single" w:sz="4" w:space="0" w:color="auto"/>
              <w:right w:val="single" w:sz="4" w:space="0" w:color="auto"/>
            </w:tcBorders>
            <w:shd w:val="clear" w:color="auto" w:fill="auto"/>
            <w:noWrap/>
            <w:hideMark/>
          </w:tcPr>
          <w:p w14:paraId="064E207C"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3,500</w:t>
            </w:r>
          </w:p>
        </w:tc>
        <w:tc>
          <w:tcPr>
            <w:tcW w:w="960" w:type="dxa"/>
            <w:tcBorders>
              <w:top w:val="nil"/>
              <w:left w:val="nil"/>
              <w:bottom w:val="single" w:sz="4" w:space="0" w:color="auto"/>
              <w:right w:val="single" w:sz="4" w:space="0" w:color="auto"/>
            </w:tcBorders>
            <w:shd w:val="clear" w:color="auto" w:fill="auto"/>
            <w:noWrap/>
            <w:hideMark/>
          </w:tcPr>
          <w:p w14:paraId="7E40E479"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1A89F556"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14,000</w:t>
            </w:r>
          </w:p>
        </w:tc>
        <w:tc>
          <w:tcPr>
            <w:tcW w:w="690" w:type="dxa"/>
            <w:tcBorders>
              <w:top w:val="nil"/>
              <w:left w:val="nil"/>
              <w:bottom w:val="single" w:sz="4" w:space="0" w:color="auto"/>
              <w:right w:val="single" w:sz="4" w:space="0" w:color="auto"/>
            </w:tcBorders>
            <w:shd w:val="clear" w:color="auto" w:fill="auto"/>
            <w:noWrap/>
            <w:hideMark/>
          </w:tcPr>
          <w:p w14:paraId="3995B5FD"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16</w:t>
            </w:r>
          </w:p>
        </w:tc>
      </w:tr>
      <w:tr w:rsidR="00093AEB" w:rsidRPr="00CD1D92" w14:paraId="242F80AC"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4EB2A02B"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35B7841D"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5C5414FD"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20B6208D" w14:textId="77777777" w:rsidR="00DD755D" w:rsidRPr="00CD1D92" w:rsidRDefault="00DD755D" w:rsidP="00D32FA2">
            <w:pPr>
              <w:spacing w:after="0"/>
              <w:jc w:val="left"/>
              <w:rPr>
                <w:rFonts w:eastAsia="Times New Roman"/>
                <w:color w:val="000000"/>
                <w:sz w:val="18"/>
                <w:szCs w:val="18"/>
              </w:rPr>
            </w:pPr>
          </w:p>
        </w:tc>
        <w:tc>
          <w:tcPr>
            <w:tcW w:w="1129" w:type="dxa"/>
            <w:tcBorders>
              <w:top w:val="nil"/>
              <w:left w:val="nil"/>
              <w:bottom w:val="single" w:sz="4" w:space="0" w:color="auto"/>
              <w:right w:val="single" w:sz="4" w:space="0" w:color="auto"/>
            </w:tcBorders>
            <w:shd w:val="clear" w:color="auto" w:fill="auto"/>
            <w:noWrap/>
            <w:hideMark/>
          </w:tcPr>
          <w:p w14:paraId="060B979E" w14:textId="7B718326" w:rsidR="00DD755D" w:rsidRPr="00CD1D92" w:rsidRDefault="001D57AA" w:rsidP="001D57AA">
            <w:pPr>
              <w:spacing w:after="0"/>
              <w:jc w:val="center"/>
              <w:rPr>
                <w:rFonts w:eastAsia="Times New Roman"/>
                <w:color w:val="000000"/>
                <w:sz w:val="18"/>
                <w:szCs w:val="18"/>
              </w:rPr>
            </w:pPr>
            <w:r w:rsidRPr="00CD1D92">
              <w:rPr>
                <w:rFonts w:eastAsia="Times New Roman"/>
                <w:color w:val="000000"/>
                <w:sz w:val="18"/>
                <w:szCs w:val="18"/>
              </w:rPr>
              <w:t>7</w:t>
            </w:r>
            <w:r>
              <w:rPr>
                <w:rFonts w:eastAsia="Times New Roman"/>
                <w:color w:val="000000"/>
                <w:sz w:val="18"/>
                <w:szCs w:val="18"/>
              </w:rPr>
              <w:t>3400</w:t>
            </w:r>
          </w:p>
        </w:tc>
        <w:tc>
          <w:tcPr>
            <w:tcW w:w="1870" w:type="dxa"/>
            <w:tcBorders>
              <w:top w:val="nil"/>
              <w:left w:val="nil"/>
              <w:bottom w:val="single" w:sz="4" w:space="0" w:color="auto"/>
              <w:right w:val="single" w:sz="4" w:space="0" w:color="auto"/>
            </w:tcBorders>
            <w:shd w:val="clear" w:color="auto" w:fill="auto"/>
            <w:noWrap/>
            <w:hideMark/>
          </w:tcPr>
          <w:p w14:paraId="05C44C70" w14:textId="18052A66"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Rental and Maintenance</w:t>
            </w:r>
            <w:r w:rsidR="001D57AA">
              <w:rPr>
                <w:rFonts w:eastAsia="Times New Roman"/>
                <w:color w:val="000000"/>
                <w:sz w:val="18"/>
                <w:szCs w:val="18"/>
              </w:rPr>
              <w:t xml:space="preserve"> of Other Equipment</w:t>
            </w:r>
          </w:p>
        </w:tc>
        <w:tc>
          <w:tcPr>
            <w:tcW w:w="920" w:type="dxa"/>
            <w:tcBorders>
              <w:top w:val="nil"/>
              <w:left w:val="nil"/>
              <w:bottom w:val="single" w:sz="4" w:space="0" w:color="auto"/>
              <w:right w:val="single" w:sz="4" w:space="0" w:color="auto"/>
            </w:tcBorders>
            <w:shd w:val="clear" w:color="auto" w:fill="auto"/>
            <w:noWrap/>
            <w:hideMark/>
          </w:tcPr>
          <w:p w14:paraId="56B51577"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2,000</w:t>
            </w:r>
          </w:p>
        </w:tc>
        <w:tc>
          <w:tcPr>
            <w:tcW w:w="990" w:type="dxa"/>
            <w:tcBorders>
              <w:top w:val="nil"/>
              <w:left w:val="nil"/>
              <w:bottom w:val="single" w:sz="4" w:space="0" w:color="auto"/>
              <w:right w:val="single" w:sz="4" w:space="0" w:color="auto"/>
            </w:tcBorders>
            <w:shd w:val="clear" w:color="auto" w:fill="auto"/>
            <w:noWrap/>
            <w:hideMark/>
          </w:tcPr>
          <w:p w14:paraId="7C055995"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9,000</w:t>
            </w:r>
          </w:p>
        </w:tc>
        <w:tc>
          <w:tcPr>
            <w:tcW w:w="990" w:type="dxa"/>
            <w:tcBorders>
              <w:top w:val="nil"/>
              <w:left w:val="nil"/>
              <w:bottom w:val="single" w:sz="4" w:space="0" w:color="auto"/>
              <w:right w:val="single" w:sz="4" w:space="0" w:color="auto"/>
            </w:tcBorders>
            <w:shd w:val="clear" w:color="auto" w:fill="auto"/>
            <w:noWrap/>
            <w:hideMark/>
          </w:tcPr>
          <w:p w14:paraId="744AA3C9"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9,000</w:t>
            </w:r>
          </w:p>
        </w:tc>
        <w:tc>
          <w:tcPr>
            <w:tcW w:w="990" w:type="dxa"/>
            <w:tcBorders>
              <w:top w:val="nil"/>
              <w:left w:val="nil"/>
              <w:bottom w:val="single" w:sz="4" w:space="0" w:color="auto"/>
              <w:right w:val="single" w:sz="4" w:space="0" w:color="auto"/>
            </w:tcBorders>
            <w:shd w:val="clear" w:color="auto" w:fill="auto"/>
            <w:noWrap/>
            <w:hideMark/>
          </w:tcPr>
          <w:p w14:paraId="6E7A3D31"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7,000</w:t>
            </w:r>
          </w:p>
        </w:tc>
        <w:tc>
          <w:tcPr>
            <w:tcW w:w="900" w:type="dxa"/>
            <w:tcBorders>
              <w:top w:val="nil"/>
              <w:left w:val="nil"/>
              <w:bottom w:val="single" w:sz="4" w:space="0" w:color="auto"/>
              <w:right w:val="single" w:sz="4" w:space="0" w:color="auto"/>
            </w:tcBorders>
            <w:shd w:val="clear" w:color="auto" w:fill="auto"/>
            <w:noWrap/>
            <w:hideMark/>
          </w:tcPr>
          <w:p w14:paraId="628A85A6"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3,500</w:t>
            </w:r>
          </w:p>
        </w:tc>
        <w:tc>
          <w:tcPr>
            <w:tcW w:w="960" w:type="dxa"/>
            <w:tcBorders>
              <w:top w:val="nil"/>
              <w:left w:val="nil"/>
              <w:bottom w:val="single" w:sz="4" w:space="0" w:color="auto"/>
              <w:right w:val="single" w:sz="4" w:space="0" w:color="auto"/>
            </w:tcBorders>
            <w:shd w:val="clear" w:color="auto" w:fill="auto"/>
            <w:noWrap/>
            <w:hideMark/>
          </w:tcPr>
          <w:p w14:paraId="77360D17"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6FA118C0"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30,500</w:t>
            </w:r>
          </w:p>
        </w:tc>
        <w:tc>
          <w:tcPr>
            <w:tcW w:w="690" w:type="dxa"/>
            <w:tcBorders>
              <w:top w:val="nil"/>
              <w:left w:val="nil"/>
              <w:bottom w:val="single" w:sz="4" w:space="0" w:color="auto"/>
              <w:right w:val="single" w:sz="4" w:space="0" w:color="auto"/>
            </w:tcBorders>
            <w:shd w:val="clear" w:color="auto" w:fill="auto"/>
            <w:noWrap/>
            <w:hideMark/>
          </w:tcPr>
          <w:p w14:paraId="123F5F16"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17</w:t>
            </w:r>
          </w:p>
        </w:tc>
      </w:tr>
      <w:tr w:rsidR="00093AEB" w:rsidRPr="00CD1D92" w14:paraId="397788ED"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5D26F1AB"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3A120C5B" w14:textId="77777777" w:rsidR="00DD755D" w:rsidRPr="00CD1D92" w:rsidRDefault="00DD755D" w:rsidP="00D32FA2">
            <w:pPr>
              <w:spacing w:after="0"/>
              <w:jc w:val="left"/>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000000" w:fill="C6E0B4"/>
            <w:noWrap/>
            <w:hideMark/>
          </w:tcPr>
          <w:p w14:paraId="6170D3BA"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 </w:t>
            </w:r>
          </w:p>
        </w:tc>
        <w:tc>
          <w:tcPr>
            <w:tcW w:w="810" w:type="dxa"/>
            <w:tcBorders>
              <w:top w:val="nil"/>
              <w:left w:val="nil"/>
              <w:bottom w:val="single" w:sz="4" w:space="0" w:color="auto"/>
              <w:right w:val="single" w:sz="4" w:space="0" w:color="auto"/>
            </w:tcBorders>
            <w:shd w:val="clear" w:color="000000" w:fill="C6E0B4"/>
            <w:noWrap/>
            <w:hideMark/>
          </w:tcPr>
          <w:p w14:paraId="40776A26"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 </w:t>
            </w:r>
          </w:p>
        </w:tc>
        <w:tc>
          <w:tcPr>
            <w:tcW w:w="1129" w:type="dxa"/>
            <w:tcBorders>
              <w:top w:val="nil"/>
              <w:left w:val="nil"/>
              <w:bottom w:val="single" w:sz="4" w:space="0" w:color="auto"/>
              <w:right w:val="single" w:sz="4" w:space="0" w:color="auto"/>
            </w:tcBorders>
            <w:shd w:val="clear" w:color="000000" w:fill="C6E0B4"/>
            <w:noWrap/>
            <w:hideMark/>
          </w:tcPr>
          <w:p w14:paraId="40301D01"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 </w:t>
            </w:r>
          </w:p>
        </w:tc>
        <w:tc>
          <w:tcPr>
            <w:tcW w:w="1870" w:type="dxa"/>
            <w:tcBorders>
              <w:top w:val="nil"/>
              <w:left w:val="nil"/>
              <w:bottom w:val="single" w:sz="4" w:space="0" w:color="auto"/>
              <w:right w:val="single" w:sz="4" w:space="0" w:color="auto"/>
            </w:tcBorders>
            <w:shd w:val="clear" w:color="000000" w:fill="C6E0B4"/>
            <w:noWrap/>
            <w:hideMark/>
          </w:tcPr>
          <w:p w14:paraId="10D58A1B"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GEF Subtotal</w:t>
            </w:r>
          </w:p>
        </w:tc>
        <w:tc>
          <w:tcPr>
            <w:tcW w:w="920" w:type="dxa"/>
            <w:tcBorders>
              <w:top w:val="nil"/>
              <w:left w:val="nil"/>
              <w:bottom w:val="single" w:sz="4" w:space="0" w:color="auto"/>
              <w:right w:val="single" w:sz="4" w:space="0" w:color="auto"/>
            </w:tcBorders>
            <w:shd w:val="clear" w:color="000000" w:fill="C6E0B4"/>
            <w:noWrap/>
            <w:hideMark/>
          </w:tcPr>
          <w:p w14:paraId="6B1FE002"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126,000</w:t>
            </w:r>
          </w:p>
        </w:tc>
        <w:tc>
          <w:tcPr>
            <w:tcW w:w="990" w:type="dxa"/>
            <w:tcBorders>
              <w:top w:val="nil"/>
              <w:left w:val="nil"/>
              <w:bottom w:val="single" w:sz="4" w:space="0" w:color="auto"/>
              <w:right w:val="single" w:sz="4" w:space="0" w:color="auto"/>
            </w:tcBorders>
            <w:shd w:val="clear" w:color="000000" w:fill="C6E0B4"/>
            <w:noWrap/>
            <w:hideMark/>
          </w:tcPr>
          <w:p w14:paraId="40E1A164"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267,000</w:t>
            </w:r>
          </w:p>
        </w:tc>
        <w:tc>
          <w:tcPr>
            <w:tcW w:w="990" w:type="dxa"/>
            <w:tcBorders>
              <w:top w:val="nil"/>
              <w:left w:val="nil"/>
              <w:bottom w:val="single" w:sz="4" w:space="0" w:color="auto"/>
              <w:right w:val="single" w:sz="4" w:space="0" w:color="auto"/>
            </w:tcBorders>
            <w:shd w:val="clear" w:color="000000" w:fill="C6E0B4"/>
            <w:noWrap/>
            <w:hideMark/>
          </w:tcPr>
          <w:p w14:paraId="2AF94C20"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191,000</w:t>
            </w:r>
          </w:p>
        </w:tc>
        <w:tc>
          <w:tcPr>
            <w:tcW w:w="990" w:type="dxa"/>
            <w:tcBorders>
              <w:top w:val="nil"/>
              <w:left w:val="nil"/>
              <w:bottom w:val="single" w:sz="4" w:space="0" w:color="auto"/>
              <w:right w:val="single" w:sz="4" w:space="0" w:color="auto"/>
            </w:tcBorders>
            <w:shd w:val="clear" w:color="000000" w:fill="C6E0B4"/>
            <w:noWrap/>
            <w:hideMark/>
          </w:tcPr>
          <w:p w14:paraId="38EA3673"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195,000</w:t>
            </w:r>
          </w:p>
        </w:tc>
        <w:tc>
          <w:tcPr>
            <w:tcW w:w="900" w:type="dxa"/>
            <w:tcBorders>
              <w:top w:val="nil"/>
              <w:left w:val="nil"/>
              <w:bottom w:val="single" w:sz="4" w:space="0" w:color="auto"/>
              <w:right w:val="single" w:sz="4" w:space="0" w:color="auto"/>
            </w:tcBorders>
            <w:shd w:val="clear" w:color="000000" w:fill="C6E0B4"/>
            <w:noWrap/>
            <w:hideMark/>
          </w:tcPr>
          <w:p w14:paraId="0C37B6EB"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130,000</w:t>
            </w:r>
          </w:p>
        </w:tc>
        <w:tc>
          <w:tcPr>
            <w:tcW w:w="960" w:type="dxa"/>
            <w:tcBorders>
              <w:top w:val="nil"/>
              <w:left w:val="nil"/>
              <w:bottom w:val="single" w:sz="4" w:space="0" w:color="auto"/>
              <w:right w:val="single" w:sz="4" w:space="0" w:color="auto"/>
            </w:tcBorders>
            <w:shd w:val="clear" w:color="000000" w:fill="C6E0B4"/>
            <w:noWrap/>
            <w:hideMark/>
          </w:tcPr>
          <w:p w14:paraId="50710061"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91,000</w:t>
            </w:r>
          </w:p>
        </w:tc>
        <w:tc>
          <w:tcPr>
            <w:tcW w:w="990" w:type="dxa"/>
            <w:tcBorders>
              <w:top w:val="nil"/>
              <w:left w:val="nil"/>
              <w:bottom w:val="single" w:sz="4" w:space="0" w:color="auto"/>
              <w:right w:val="single" w:sz="4" w:space="0" w:color="auto"/>
            </w:tcBorders>
            <w:shd w:val="clear" w:color="000000" w:fill="C6E0B4"/>
            <w:noWrap/>
            <w:hideMark/>
          </w:tcPr>
          <w:p w14:paraId="1A286D1F"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1,000,000</w:t>
            </w:r>
          </w:p>
        </w:tc>
        <w:tc>
          <w:tcPr>
            <w:tcW w:w="690" w:type="dxa"/>
            <w:tcBorders>
              <w:top w:val="nil"/>
              <w:left w:val="nil"/>
              <w:bottom w:val="single" w:sz="4" w:space="0" w:color="auto"/>
              <w:right w:val="single" w:sz="4" w:space="0" w:color="auto"/>
            </w:tcBorders>
            <w:shd w:val="clear" w:color="000000" w:fill="C6E0B4"/>
            <w:noWrap/>
            <w:hideMark/>
          </w:tcPr>
          <w:p w14:paraId="1BEEF69C" w14:textId="77777777" w:rsidR="00DD755D" w:rsidRPr="00CD1D92" w:rsidRDefault="00DD755D" w:rsidP="00D32FA2">
            <w:pPr>
              <w:spacing w:after="0"/>
              <w:jc w:val="center"/>
              <w:rPr>
                <w:rFonts w:eastAsia="Times New Roman"/>
                <w:color w:val="000000"/>
                <w:sz w:val="18"/>
                <w:szCs w:val="18"/>
              </w:rPr>
            </w:pPr>
          </w:p>
        </w:tc>
      </w:tr>
      <w:tr w:rsidR="00093AEB" w:rsidRPr="00CD1D92" w14:paraId="718DDC09"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39CCC62A"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7FDAF978" w14:textId="77777777" w:rsidR="00DD755D" w:rsidRPr="00CD1D92" w:rsidRDefault="00DD755D" w:rsidP="00D32FA2">
            <w:pPr>
              <w:spacing w:after="0"/>
              <w:jc w:val="left"/>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000000" w:fill="A9D08E"/>
            <w:noWrap/>
            <w:hideMark/>
          </w:tcPr>
          <w:p w14:paraId="0EA163FD"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 </w:t>
            </w:r>
          </w:p>
        </w:tc>
        <w:tc>
          <w:tcPr>
            <w:tcW w:w="810" w:type="dxa"/>
            <w:tcBorders>
              <w:top w:val="nil"/>
              <w:left w:val="nil"/>
              <w:bottom w:val="single" w:sz="4" w:space="0" w:color="auto"/>
              <w:right w:val="single" w:sz="4" w:space="0" w:color="auto"/>
            </w:tcBorders>
            <w:shd w:val="clear" w:color="000000" w:fill="A9D08E"/>
            <w:noWrap/>
            <w:hideMark/>
          </w:tcPr>
          <w:p w14:paraId="608589E5"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 </w:t>
            </w:r>
          </w:p>
        </w:tc>
        <w:tc>
          <w:tcPr>
            <w:tcW w:w="1129" w:type="dxa"/>
            <w:tcBorders>
              <w:top w:val="nil"/>
              <w:left w:val="nil"/>
              <w:bottom w:val="single" w:sz="4" w:space="0" w:color="auto"/>
              <w:right w:val="single" w:sz="4" w:space="0" w:color="auto"/>
            </w:tcBorders>
            <w:shd w:val="clear" w:color="000000" w:fill="A9D08E"/>
            <w:noWrap/>
            <w:hideMark/>
          </w:tcPr>
          <w:p w14:paraId="7E07FDBD"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 </w:t>
            </w:r>
          </w:p>
        </w:tc>
        <w:tc>
          <w:tcPr>
            <w:tcW w:w="1870" w:type="dxa"/>
            <w:tcBorders>
              <w:top w:val="nil"/>
              <w:left w:val="nil"/>
              <w:bottom w:val="single" w:sz="4" w:space="0" w:color="auto"/>
              <w:right w:val="single" w:sz="4" w:space="0" w:color="auto"/>
            </w:tcBorders>
            <w:shd w:val="clear" w:color="000000" w:fill="A9D08E"/>
            <w:noWrap/>
            <w:hideMark/>
          </w:tcPr>
          <w:p w14:paraId="139E3CEA"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Total Outcome 2</w:t>
            </w:r>
          </w:p>
        </w:tc>
        <w:tc>
          <w:tcPr>
            <w:tcW w:w="920" w:type="dxa"/>
            <w:tcBorders>
              <w:top w:val="nil"/>
              <w:left w:val="nil"/>
              <w:bottom w:val="single" w:sz="4" w:space="0" w:color="auto"/>
              <w:right w:val="single" w:sz="4" w:space="0" w:color="auto"/>
            </w:tcBorders>
            <w:shd w:val="clear" w:color="000000" w:fill="A9D08E"/>
            <w:noWrap/>
            <w:hideMark/>
          </w:tcPr>
          <w:p w14:paraId="38939D39"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126,000</w:t>
            </w:r>
          </w:p>
        </w:tc>
        <w:tc>
          <w:tcPr>
            <w:tcW w:w="990" w:type="dxa"/>
            <w:tcBorders>
              <w:top w:val="nil"/>
              <w:left w:val="nil"/>
              <w:bottom w:val="single" w:sz="4" w:space="0" w:color="auto"/>
              <w:right w:val="single" w:sz="4" w:space="0" w:color="auto"/>
            </w:tcBorders>
            <w:shd w:val="clear" w:color="000000" w:fill="A9D08E"/>
            <w:noWrap/>
            <w:hideMark/>
          </w:tcPr>
          <w:p w14:paraId="120360BD"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267,000</w:t>
            </w:r>
          </w:p>
        </w:tc>
        <w:tc>
          <w:tcPr>
            <w:tcW w:w="990" w:type="dxa"/>
            <w:tcBorders>
              <w:top w:val="nil"/>
              <w:left w:val="nil"/>
              <w:bottom w:val="single" w:sz="4" w:space="0" w:color="auto"/>
              <w:right w:val="single" w:sz="4" w:space="0" w:color="auto"/>
            </w:tcBorders>
            <w:shd w:val="clear" w:color="000000" w:fill="A9D08E"/>
            <w:noWrap/>
            <w:hideMark/>
          </w:tcPr>
          <w:p w14:paraId="26A2DBA6"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191,000</w:t>
            </w:r>
          </w:p>
        </w:tc>
        <w:tc>
          <w:tcPr>
            <w:tcW w:w="990" w:type="dxa"/>
            <w:tcBorders>
              <w:top w:val="nil"/>
              <w:left w:val="nil"/>
              <w:bottom w:val="single" w:sz="4" w:space="0" w:color="auto"/>
              <w:right w:val="single" w:sz="4" w:space="0" w:color="auto"/>
            </w:tcBorders>
            <w:shd w:val="clear" w:color="000000" w:fill="A9D08E"/>
            <w:noWrap/>
            <w:hideMark/>
          </w:tcPr>
          <w:p w14:paraId="50D1307E"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195,000</w:t>
            </w:r>
          </w:p>
        </w:tc>
        <w:tc>
          <w:tcPr>
            <w:tcW w:w="900" w:type="dxa"/>
            <w:tcBorders>
              <w:top w:val="nil"/>
              <w:left w:val="nil"/>
              <w:bottom w:val="single" w:sz="4" w:space="0" w:color="auto"/>
              <w:right w:val="single" w:sz="4" w:space="0" w:color="auto"/>
            </w:tcBorders>
            <w:shd w:val="clear" w:color="000000" w:fill="A9D08E"/>
            <w:noWrap/>
            <w:hideMark/>
          </w:tcPr>
          <w:p w14:paraId="043E2CAA"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130,000</w:t>
            </w:r>
          </w:p>
        </w:tc>
        <w:tc>
          <w:tcPr>
            <w:tcW w:w="960" w:type="dxa"/>
            <w:tcBorders>
              <w:top w:val="nil"/>
              <w:left w:val="nil"/>
              <w:bottom w:val="single" w:sz="4" w:space="0" w:color="auto"/>
              <w:right w:val="single" w:sz="4" w:space="0" w:color="auto"/>
            </w:tcBorders>
            <w:shd w:val="clear" w:color="000000" w:fill="A9D08E"/>
            <w:noWrap/>
            <w:hideMark/>
          </w:tcPr>
          <w:p w14:paraId="604435E5"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91,000</w:t>
            </w:r>
          </w:p>
        </w:tc>
        <w:tc>
          <w:tcPr>
            <w:tcW w:w="990" w:type="dxa"/>
            <w:tcBorders>
              <w:top w:val="nil"/>
              <w:left w:val="nil"/>
              <w:bottom w:val="single" w:sz="4" w:space="0" w:color="auto"/>
              <w:right w:val="single" w:sz="4" w:space="0" w:color="auto"/>
            </w:tcBorders>
            <w:shd w:val="clear" w:color="000000" w:fill="A9D08E"/>
            <w:noWrap/>
            <w:hideMark/>
          </w:tcPr>
          <w:p w14:paraId="33D47E9D"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1,000,000</w:t>
            </w:r>
          </w:p>
        </w:tc>
        <w:tc>
          <w:tcPr>
            <w:tcW w:w="690" w:type="dxa"/>
            <w:tcBorders>
              <w:top w:val="nil"/>
              <w:left w:val="nil"/>
              <w:bottom w:val="single" w:sz="4" w:space="0" w:color="auto"/>
              <w:right w:val="single" w:sz="4" w:space="0" w:color="auto"/>
            </w:tcBorders>
            <w:shd w:val="clear" w:color="000000" w:fill="A9D08E"/>
            <w:noWrap/>
            <w:hideMark/>
          </w:tcPr>
          <w:p w14:paraId="7A0A2081" w14:textId="77777777" w:rsidR="00DD755D" w:rsidRPr="00CD1D92" w:rsidRDefault="00DD755D" w:rsidP="00D32FA2">
            <w:pPr>
              <w:spacing w:after="0"/>
              <w:jc w:val="center"/>
              <w:rPr>
                <w:rFonts w:eastAsia="Times New Roman"/>
                <w:color w:val="000000"/>
                <w:sz w:val="18"/>
                <w:szCs w:val="18"/>
              </w:rPr>
            </w:pPr>
          </w:p>
        </w:tc>
      </w:tr>
      <w:tr w:rsidR="00093AEB" w:rsidRPr="00CD1D92" w14:paraId="1A015002" w14:textId="77777777" w:rsidTr="001D57AA">
        <w:trPr>
          <w:trHeight w:val="300"/>
        </w:trPr>
        <w:tc>
          <w:tcPr>
            <w:tcW w:w="1235" w:type="dxa"/>
            <w:vMerge w:val="restart"/>
            <w:tcBorders>
              <w:top w:val="nil"/>
              <w:left w:val="single" w:sz="4" w:space="0" w:color="auto"/>
              <w:bottom w:val="single" w:sz="4" w:space="0" w:color="000000"/>
              <w:right w:val="single" w:sz="4" w:space="0" w:color="auto"/>
            </w:tcBorders>
            <w:shd w:val="clear" w:color="auto" w:fill="auto"/>
            <w:hideMark/>
          </w:tcPr>
          <w:p w14:paraId="6A3F4A1D" w14:textId="7297475B" w:rsidR="00DD755D" w:rsidRPr="00CD1D92" w:rsidRDefault="00DD755D" w:rsidP="00D32FA2">
            <w:pPr>
              <w:spacing w:after="0"/>
              <w:jc w:val="left"/>
              <w:rPr>
                <w:rFonts w:eastAsia="Times New Roman"/>
                <w:color w:val="000000"/>
                <w:sz w:val="18"/>
                <w:szCs w:val="18"/>
              </w:rPr>
            </w:pPr>
            <w:r w:rsidRPr="00CD1D92">
              <w:rPr>
                <w:rFonts w:eastAsia="Times New Roman"/>
                <w:b/>
                <w:bCs/>
                <w:color w:val="000000"/>
                <w:sz w:val="18"/>
                <w:szCs w:val="18"/>
              </w:rPr>
              <w:t xml:space="preserve">Outcome 3: </w:t>
            </w:r>
            <w:r w:rsidRPr="00CD1D92">
              <w:rPr>
                <w:rFonts w:eastAsia="Times New Roman"/>
                <w:color w:val="000000"/>
                <w:sz w:val="18"/>
                <w:szCs w:val="18"/>
              </w:rPr>
              <w:t xml:space="preserve">Integrated </w:t>
            </w:r>
            <w:r w:rsidR="0021132C">
              <w:rPr>
                <w:rFonts w:eastAsia="Times New Roman"/>
                <w:color w:val="000000"/>
                <w:sz w:val="18"/>
                <w:szCs w:val="18"/>
              </w:rPr>
              <w:t>multi-sector</w:t>
            </w:r>
            <w:r w:rsidRPr="00CD1D92">
              <w:rPr>
                <w:rFonts w:eastAsia="Times New Roman"/>
                <w:color w:val="000000"/>
                <w:sz w:val="18"/>
                <w:szCs w:val="18"/>
              </w:rPr>
              <w:t xml:space="preserve"> planning and management system operational in 264,686 ha of seascapes and coastal zones in Southern Lagoon to reduce threats to biodiversity and improve ecosystem services to benefit local communities and state</w:t>
            </w:r>
            <w:r w:rsidR="001F10C9">
              <w:rPr>
                <w:rFonts w:eastAsia="Times New Roman"/>
                <w:color w:val="000000"/>
                <w:sz w:val="18"/>
                <w:szCs w:val="18"/>
              </w:rPr>
              <w:t xml:space="preserve"> economie</w:t>
            </w:r>
            <w:r w:rsidRPr="00CD1D92">
              <w:rPr>
                <w:rFonts w:eastAsia="Times New Roman"/>
                <w:color w:val="000000"/>
                <w:sz w:val="18"/>
                <w:szCs w:val="18"/>
              </w:rPr>
              <w:t>s</w:t>
            </w:r>
          </w:p>
        </w:tc>
        <w:tc>
          <w:tcPr>
            <w:tcW w:w="1212" w:type="dxa"/>
            <w:vMerge w:val="restart"/>
            <w:tcBorders>
              <w:top w:val="nil"/>
              <w:left w:val="single" w:sz="4" w:space="0" w:color="auto"/>
              <w:bottom w:val="single" w:sz="4" w:space="0" w:color="000000"/>
              <w:right w:val="single" w:sz="4" w:space="0" w:color="auto"/>
            </w:tcBorders>
            <w:shd w:val="clear" w:color="auto" w:fill="auto"/>
            <w:hideMark/>
          </w:tcPr>
          <w:p w14:paraId="190B3CB0"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MNRET&amp; State Governments</w:t>
            </w:r>
          </w:p>
        </w:tc>
        <w:tc>
          <w:tcPr>
            <w:tcW w:w="810" w:type="dxa"/>
            <w:vMerge w:val="restart"/>
            <w:tcBorders>
              <w:top w:val="nil"/>
              <w:left w:val="single" w:sz="4" w:space="0" w:color="auto"/>
              <w:bottom w:val="single" w:sz="4" w:space="0" w:color="000000"/>
              <w:right w:val="single" w:sz="4" w:space="0" w:color="auto"/>
            </w:tcBorders>
            <w:shd w:val="clear" w:color="auto" w:fill="auto"/>
            <w:noWrap/>
            <w:hideMark/>
          </w:tcPr>
          <w:p w14:paraId="5F23F2F8"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62000</w:t>
            </w:r>
          </w:p>
        </w:tc>
        <w:tc>
          <w:tcPr>
            <w:tcW w:w="810" w:type="dxa"/>
            <w:vMerge w:val="restart"/>
            <w:tcBorders>
              <w:top w:val="nil"/>
              <w:left w:val="single" w:sz="4" w:space="0" w:color="auto"/>
              <w:bottom w:val="single" w:sz="4" w:space="0" w:color="000000"/>
              <w:right w:val="single" w:sz="4" w:space="0" w:color="auto"/>
            </w:tcBorders>
            <w:shd w:val="clear" w:color="auto" w:fill="auto"/>
            <w:noWrap/>
            <w:hideMark/>
          </w:tcPr>
          <w:p w14:paraId="012CF56E"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GEF</w:t>
            </w:r>
          </w:p>
        </w:tc>
        <w:tc>
          <w:tcPr>
            <w:tcW w:w="1129" w:type="dxa"/>
            <w:tcBorders>
              <w:top w:val="nil"/>
              <w:left w:val="nil"/>
              <w:bottom w:val="single" w:sz="4" w:space="0" w:color="auto"/>
              <w:right w:val="single" w:sz="4" w:space="0" w:color="auto"/>
            </w:tcBorders>
            <w:shd w:val="clear" w:color="auto" w:fill="auto"/>
            <w:noWrap/>
            <w:hideMark/>
          </w:tcPr>
          <w:p w14:paraId="34D02E91"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71200</w:t>
            </w:r>
          </w:p>
        </w:tc>
        <w:tc>
          <w:tcPr>
            <w:tcW w:w="1870" w:type="dxa"/>
            <w:tcBorders>
              <w:top w:val="nil"/>
              <w:left w:val="nil"/>
              <w:bottom w:val="single" w:sz="4" w:space="0" w:color="auto"/>
              <w:right w:val="single" w:sz="4" w:space="0" w:color="auto"/>
            </w:tcBorders>
            <w:shd w:val="clear" w:color="auto" w:fill="auto"/>
            <w:noWrap/>
            <w:hideMark/>
          </w:tcPr>
          <w:p w14:paraId="31972D98"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International Consultants</w:t>
            </w:r>
          </w:p>
        </w:tc>
        <w:tc>
          <w:tcPr>
            <w:tcW w:w="920" w:type="dxa"/>
            <w:tcBorders>
              <w:top w:val="nil"/>
              <w:left w:val="nil"/>
              <w:bottom w:val="single" w:sz="4" w:space="0" w:color="auto"/>
              <w:right w:val="single" w:sz="4" w:space="0" w:color="auto"/>
            </w:tcBorders>
            <w:shd w:val="clear" w:color="auto" w:fill="auto"/>
            <w:noWrap/>
            <w:hideMark/>
          </w:tcPr>
          <w:p w14:paraId="0FBCF90D"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80,000</w:t>
            </w:r>
          </w:p>
        </w:tc>
        <w:tc>
          <w:tcPr>
            <w:tcW w:w="990" w:type="dxa"/>
            <w:tcBorders>
              <w:top w:val="nil"/>
              <w:left w:val="nil"/>
              <w:bottom w:val="single" w:sz="4" w:space="0" w:color="auto"/>
              <w:right w:val="single" w:sz="4" w:space="0" w:color="auto"/>
            </w:tcBorders>
            <w:shd w:val="clear" w:color="auto" w:fill="auto"/>
            <w:noWrap/>
            <w:hideMark/>
          </w:tcPr>
          <w:p w14:paraId="5FAB14DE"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7,000</w:t>
            </w:r>
          </w:p>
        </w:tc>
        <w:tc>
          <w:tcPr>
            <w:tcW w:w="990" w:type="dxa"/>
            <w:tcBorders>
              <w:top w:val="nil"/>
              <w:left w:val="nil"/>
              <w:bottom w:val="single" w:sz="4" w:space="0" w:color="auto"/>
              <w:right w:val="single" w:sz="4" w:space="0" w:color="auto"/>
            </w:tcBorders>
            <w:shd w:val="clear" w:color="auto" w:fill="auto"/>
            <w:noWrap/>
            <w:hideMark/>
          </w:tcPr>
          <w:p w14:paraId="414C6021"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5,000</w:t>
            </w:r>
          </w:p>
        </w:tc>
        <w:tc>
          <w:tcPr>
            <w:tcW w:w="990" w:type="dxa"/>
            <w:tcBorders>
              <w:top w:val="nil"/>
              <w:left w:val="nil"/>
              <w:bottom w:val="single" w:sz="4" w:space="0" w:color="auto"/>
              <w:right w:val="single" w:sz="4" w:space="0" w:color="auto"/>
            </w:tcBorders>
            <w:shd w:val="clear" w:color="auto" w:fill="auto"/>
            <w:noWrap/>
            <w:hideMark/>
          </w:tcPr>
          <w:p w14:paraId="2A109B1F"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00" w:type="dxa"/>
            <w:tcBorders>
              <w:top w:val="nil"/>
              <w:left w:val="nil"/>
              <w:bottom w:val="single" w:sz="4" w:space="0" w:color="auto"/>
              <w:right w:val="single" w:sz="4" w:space="0" w:color="auto"/>
            </w:tcBorders>
            <w:shd w:val="clear" w:color="auto" w:fill="auto"/>
            <w:noWrap/>
            <w:hideMark/>
          </w:tcPr>
          <w:p w14:paraId="5A1BB287"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60" w:type="dxa"/>
            <w:tcBorders>
              <w:top w:val="nil"/>
              <w:left w:val="nil"/>
              <w:bottom w:val="single" w:sz="4" w:space="0" w:color="auto"/>
              <w:right w:val="single" w:sz="4" w:space="0" w:color="auto"/>
            </w:tcBorders>
            <w:shd w:val="clear" w:color="auto" w:fill="auto"/>
            <w:noWrap/>
            <w:hideMark/>
          </w:tcPr>
          <w:p w14:paraId="739CBCB5"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5F005986"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92,000</w:t>
            </w:r>
          </w:p>
        </w:tc>
        <w:tc>
          <w:tcPr>
            <w:tcW w:w="690" w:type="dxa"/>
            <w:tcBorders>
              <w:top w:val="nil"/>
              <w:left w:val="nil"/>
              <w:bottom w:val="single" w:sz="4" w:space="0" w:color="auto"/>
              <w:right w:val="single" w:sz="4" w:space="0" w:color="auto"/>
            </w:tcBorders>
            <w:shd w:val="clear" w:color="auto" w:fill="auto"/>
            <w:noWrap/>
            <w:hideMark/>
          </w:tcPr>
          <w:p w14:paraId="2B774791" w14:textId="4BBE8A65" w:rsidR="00DD755D" w:rsidRPr="00CD1D92" w:rsidRDefault="001D57AA" w:rsidP="001D57AA">
            <w:pPr>
              <w:spacing w:after="0"/>
              <w:jc w:val="center"/>
              <w:rPr>
                <w:rFonts w:eastAsia="Times New Roman"/>
                <w:color w:val="000000"/>
                <w:sz w:val="18"/>
                <w:szCs w:val="18"/>
              </w:rPr>
            </w:pPr>
            <w:r w:rsidRPr="00CD1D92">
              <w:rPr>
                <w:rFonts w:eastAsia="Times New Roman"/>
                <w:color w:val="000000"/>
                <w:sz w:val="18"/>
                <w:szCs w:val="18"/>
              </w:rPr>
              <w:t>1</w:t>
            </w:r>
            <w:r>
              <w:rPr>
                <w:rFonts w:eastAsia="Times New Roman"/>
                <w:color w:val="000000"/>
                <w:sz w:val="18"/>
                <w:szCs w:val="18"/>
              </w:rPr>
              <w:t>8</w:t>
            </w:r>
          </w:p>
        </w:tc>
      </w:tr>
      <w:tr w:rsidR="00093AEB" w:rsidRPr="00CD1D92" w14:paraId="526A39B3"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3F671765"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70F96025"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29EA5F35"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1F534029" w14:textId="77777777" w:rsidR="00DD755D" w:rsidRPr="00CD1D92" w:rsidRDefault="00DD755D" w:rsidP="00D32FA2">
            <w:pPr>
              <w:spacing w:after="0"/>
              <w:jc w:val="left"/>
              <w:rPr>
                <w:rFonts w:eastAsia="Times New Roman"/>
                <w:color w:val="000000"/>
                <w:sz w:val="18"/>
                <w:szCs w:val="18"/>
              </w:rPr>
            </w:pPr>
          </w:p>
        </w:tc>
        <w:tc>
          <w:tcPr>
            <w:tcW w:w="1129" w:type="dxa"/>
            <w:tcBorders>
              <w:top w:val="nil"/>
              <w:left w:val="nil"/>
              <w:bottom w:val="single" w:sz="4" w:space="0" w:color="auto"/>
              <w:right w:val="single" w:sz="4" w:space="0" w:color="auto"/>
            </w:tcBorders>
            <w:shd w:val="clear" w:color="auto" w:fill="auto"/>
            <w:noWrap/>
            <w:hideMark/>
          </w:tcPr>
          <w:p w14:paraId="57D11872"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71300</w:t>
            </w:r>
          </w:p>
        </w:tc>
        <w:tc>
          <w:tcPr>
            <w:tcW w:w="1870" w:type="dxa"/>
            <w:tcBorders>
              <w:top w:val="nil"/>
              <w:left w:val="nil"/>
              <w:bottom w:val="single" w:sz="4" w:space="0" w:color="auto"/>
              <w:right w:val="single" w:sz="4" w:space="0" w:color="auto"/>
            </w:tcBorders>
            <w:shd w:val="clear" w:color="auto" w:fill="auto"/>
            <w:noWrap/>
            <w:hideMark/>
          </w:tcPr>
          <w:p w14:paraId="0BA3A60F"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National Consultants</w:t>
            </w:r>
          </w:p>
        </w:tc>
        <w:tc>
          <w:tcPr>
            <w:tcW w:w="920" w:type="dxa"/>
            <w:tcBorders>
              <w:top w:val="nil"/>
              <w:left w:val="nil"/>
              <w:bottom w:val="single" w:sz="4" w:space="0" w:color="auto"/>
              <w:right w:val="single" w:sz="4" w:space="0" w:color="auto"/>
            </w:tcBorders>
            <w:shd w:val="clear" w:color="auto" w:fill="auto"/>
            <w:noWrap/>
            <w:hideMark/>
          </w:tcPr>
          <w:p w14:paraId="20263C5B"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15,000</w:t>
            </w:r>
          </w:p>
        </w:tc>
        <w:tc>
          <w:tcPr>
            <w:tcW w:w="990" w:type="dxa"/>
            <w:tcBorders>
              <w:top w:val="nil"/>
              <w:left w:val="nil"/>
              <w:bottom w:val="single" w:sz="4" w:space="0" w:color="auto"/>
              <w:right w:val="single" w:sz="4" w:space="0" w:color="auto"/>
            </w:tcBorders>
            <w:shd w:val="clear" w:color="auto" w:fill="auto"/>
            <w:noWrap/>
            <w:hideMark/>
          </w:tcPr>
          <w:p w14:paraId="75E63DA8"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17,000</w:t>
            </w:r>
          </w:p>
        </w:tc>
        <w:tc>
          <w:tcPr>
            <w:tcW w:w="990" w:type="dxa"/>
            <w:tcBorders>
              <w:top w:val="nil"/>
              <w:left w:val="nil"/>
              <w:bottom w:val="single" w:sz="4" w:space="0" w:color="auto"/>
              <w:right w:val="single" w:sz="4" w:space="0" w:color="auto"/>
            </w:tcBorders>
            <w:shd w:val="clear" w:color="auto" w:fill="auto"/>
            <w:noWrap/>
            <w:hideMark/>
          </w:tcPr>
          <w:p w14:paraId="1CD844A1"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22,000</w:t>
            </w:r>
          </w:p>
        </w:tc>
        <w:tc>
          <w:tcPr>
            <w:tcW w:w="990" w:type="dxa"/>
            <w:tcBorders>
              <w:top w:val="nil"/>
              <w:left w:val="nil"/>
              <w:bottom w:val="single" w:sz="4" w:space="0" w:color="auto"/>
              <w:right w:val="single" w:sz="4" w:space="0" w:color="auto"/>
            </w:tcBorders>
            <w:shd w:val="clear" w:color="auto" w:fill="auto"/>
            <w:noWrap/>
            <w:hideMark/>
          </w:tcPr>
          <w:p w14:paraId="2FCD8BDD"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30,000</w:t>
            </w:r>
          </w:p>
        </w:tc>
        <w:tc>
          <w:tcPr>
            <w:tcW w:w="900" w:type="dxa"/>
            <w:tcBorders>
              <w:top w:val="nil"/>
              <w:left w:val="nil"/>
              <w:bottom w:val="single" w:sz="4" w:space="0" w:color="auto"/>
              <w:right w:val="single" w:sz="4" w:space="0" w:color="auto"/>
            </w:tcBorders>
            <w:shd w:val="clear" w:color="auto" w:fill="auto"/>
            <w:noWrap/>
            <w:hideMark/>
          </w:tcPr>
          <w:p w14:paraId="7B7B59AD"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60" w:type="dxa"/>
            <w:tcBorders>
              <w:top w:val="nil"/>
              <w:left w:val="nil"/>
              <w:bottom w:val="single" w:sz="4" w:space="0" w:color="auto"/>
              <w:right w:val="single" w:sz="4" w:space="0" w:color="auto"/>
            </w:tcBorders>
            <w:shd w:val="clear" w:color="auto" w:fill="auto"/>
            <w:noWrap/>
            <w:hideMark/>
          </w:tcPr>
          <w:p w14:paraId="462C2B1F"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277F260C"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84,000</w:t>
            </w:r>
          </w:p>
        </w:tc>
        <w:tc>
          <w:tcPr>
            <w:tcW w:w="690" w:type="dxa"/>
            <w:tcBorders>
              <w:top w:val="nil"/>
              <w:left w:val="nil"/>
              <w:bottom w:val="single" w:sz="4" w:space="0" w:color="auto"/>
              <w:right w:val="single" w:sz="4" w:space="0" w:color="auto"/>
            </w:tcBorders>
            <w:shd w:val="clear" w:color="auto" w:fill="auto"/>
            <w:noWrap/>
            <w:hideMark/>
          </w:tcPr>
          <w:p w14:paraId="53E34F68" w14:textId="45D306F4" w:rsidR="00DD755D" w:rsidRPr="00CD1D92" w:rsidRDefault="001D57AA" w:rsidP="00D32FA2">
            <w:pPr>
              <w:spacing w:after="0"/>
              <w:jc w:val="center"/>
              <w:rPr>
                <w:rFonts w:eastAsia="Times New Roman"/>
                <w:color w:val="000000"/>
                <w:sz w:val="18"/>
                <w:szCs w:val="18"/>
              </w:rPr>
            </w:pPr>
            <w:r>
              <w:rPr>
                <w:rFonts w:eastAsia="Times New Roman"/>
                <w:color w:val="000000"/>
                <w:sz w:val="18"/>
                <w:szCs w:val="18"/>
              </w:rPr>
              <w:t>19</w:t>
            </w:r>
          </w:p>
        </w:tc>
      </w:tr>
      <w:tr w:rsidR="00093AEB" w:rsidRPr="00CD1D92" w14:paraId="689C9458"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5034579A"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0311850B"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52299F28"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21CBA929" w14:textId="77777777" w:rsidR="00DD755D" w:rsidRPr="00CD1D92" w:rsidRDefault="00DD755D" w:rsidP="00D32FA2">
            <w:pPr>
              <w:spacing w:after="0"/>
              <w:jc w:val="left"/>
              <w:rPr>
                <w:rFonts w:eastAsia="Times New Roman"/>
                <w:color w:val="000000"/>
                <w:sz w:val="18"/>
                <w:szCs w:val="18"/>
              </w:rPr>
            </w:pPr>
          </w:p>
        </w:tc>
        <w:tc>
          <w:tcPr>
            <w:tcW w:w="1129" w:type="dxa"/>
            <w:tcBorders>
              <w:top w:val="nil"/>
              <w:left w:val="nil"/>
              <w:bottom w:val="single" w:sz="4" w:space="0" w:color="auto"/>
              <w:right w:val="single" w:sz="4" w:space="0" w:color="auto"/>
            </w:tcBorders>
            <w:shd w:val="clear" w:color="auto" w:fill="auto"/>
            <w:noWrap/>
            <w:hideMark/>
          </w:tcPr>
          <w:p w14:paraId="1D255C65" w14:textId="2CCA005F" w:rsidR="00DD755D" w:rsidRPr="00CD1D92" w:rsidRDefault="001D57AA" w:rsidP="001D57AA">
            <w:pPr>
              <w:spacing w:after="0"/>
              <w:jc w:val="center"/>
              <w:rPr>
                <w:rFonts w:eastAsia="Times New Roman"/>
                <w:color w:val="000000"/>
                <w:sz w:val="18"/>
                <w:szCs w:val="18"/>
              </w:rPr>
            </w:pPr>
            <w:r w:rsidRPr="00CD1D92">
              <w:rPr>
                <w:rFonts w:eastAsia="Times New Roman"/>
                <w:color w:val="000000"/>
                <w:sz w:val="18"/>
                <w:szCs w:val="18"/>
              </w:rPr>
              <w:t>7</w:t>
            </w:r>
            <w:r>
              <w:rPr>
                <w:rFonts w:eastAsia="Times New Roman"/>
                <w:color w:val="000000"/>
                <w:sz w:val="18"/>
                <w:szCs w:val="18"/>
              </w:rPr>
              <w:t>2100</w:t>
            </w:r>
          </w:p>
        </w:tc>
        <w:tc>
          <w:tcPr>
            <w:tcW w:w="1870" w:type="dxa"/>
            <w:tcBorders>
              <w:top w:val="nil"/>
              <w:left w:val="nil"/>
              <w:bottom w:val="single" w:sz="4" w:space="0" w:color="auto"/>
              <w:right w:val="single" w:sz="4" w:space="0" w:color="auto"/>
            </w:tcBorders>
            <w:shd w:val="clear" w:color="auto" w:fill="auto"/>
            <w:noWrap/>
            <w:hideMark/>
          </w:tcPr>
          <w:p w14:paraId="3D5641A5" w14:textId="4C036F63"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Contractual Services</w:t>
            </w:r>
            <w:r w:rsidR="001D57AA">
              <w:rPr>
                <w:rFonts w:eastAsia="Times New Roman"/>
                <w:color w:val="000000"/>
                <w:sz w:val="18"/>
                <w:szCs w:val="18"/>
              </w:rPr>
              <w:t>-Companies</w:t>
            </w:r>
          </w:p>
        </w:tc>
        <w:tc>
          <w:tcPr>
            <w:tcW w:w="920" w:type="dxa"/>
            <w:tcBorders>
              <w:top w:val="nil"/>
              <w:left w:val="nil"/>
              <w:bottom w:val="single" w:sz="4" w:space="0" w:color="auto"/>
              <w:right w:val="single" w:sz="4" w:space="0" w:color="auto"/>
            </w:tcBorders>
            <w:shd w:val="clear" w:color="auto" w:fill="auto"/>
            <w:noWrap/>
            <w:hideMark/>
          </w:tcPr>
          <w:p w14:paraId="31211E33"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7,000</w:t>
            </w:r>
          </w:p>
        </w:tc>
        <w:tc>
          <w:tcPr>
            <w:tcW w:w="990" w:type="dxa"/>
            <w:tcBorders>
              <w:top w:val="nil"/>
              <w:left w:val="nil"/>
              <w:bottom w:val="single" w:sz="4" w:space="0" w:color="auto"/>
              <w:right w:val="single" w:sz="4" w:space="0" w:color="auto"/>
            </w:tcBorders>
            <w:shd w:val="clear" w:color="auto" w:fill="auto"/>
            <w:noWrap/>
            <w:hideMark/>
          </w:tcPr>
          <w:p w14:paraId="5E905A66"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83,000</w:t>
            </w:r>
          </w:p>
        </w:tc>
        <w:tc>
          <w:tcPr>
            <w:tcW w:w="990" w:type="dxa"/>
            <w:tcBorders>
              <w:top w:val="nil"/>
              <w:left w:val="nil"/>
              <w:bottom w:val="single" w:sz="4" w:space="0" w:color="auto"/>
              <w:right w:val="single" w:sz="4" w:space="0" w:color="auto"/>
            </w:tcBorders>
            <w:shd w:val="clear" w:color="auto" w:fill="auto"/>
            <w:noWrap/>
            <w:hideMark/>
          </w:tcPr>
          <w:p w14:paraId="62E8ED05"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85,000</w:t>
            </w:r>
          </w:p>
        </w:tc>
        <w:tc>
          <w:tcPr>
            <w:tcW w:w="990" w:type="dxa"/>
            <w:tcBorders>
              <w:top w:val="nil"/>
              <w:left w:val="nil"/>
              <w:bottom w:val="single" w:sz="4" w:space="0" w:color="auto"/>
              <w:right w:val="single" w:sz="4" w:space="0" w:color="auto"/>
            </w:tcBorders>
            <w:shd w:val="clear" w:color="auto" w:fill="auto"/>
            <w:noWrap/>
            <w:hideMark/>
          </w:tcPr>
          <w:p w14:paraId="1CD9BD39"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43,000</w:t>
            </w:r>
          </w:p>
        </w:tc>
        <w:tc>
          <w:tcPr>
            <w:tcW w:w="900" w:type="dxa"/>
            <w:tcBorders>
              <w:top w:val="nil"/>
              <w:left w:val="nil"/>
              <w:bottom w:val="single" w:sz="4" w:space="0" w:color="auto"/>
              <w:right w:val="single" w:sz="4" w:space="0" w:color="auto"/>
            </w:tcBorders>
            <w:shd w:val="clear" w:color="auto" w:fill="auto"/>
            <w:noWrap/>
            <w:hideMark/>
          </w:tcPr>
          <w:p w14:paraId="683CF677"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23,000</w:t>
            </w:r>
          </w:p>
        </w:tc>
        <w:tc>
          <w:tcPr>
            <w:tcW w:w="960" w:type="dxa"/>
            <w:tcBorders>
              <w:top w:val="nil"/>
              <w:left w:val="nil"/>
              <w:bottom w:val="single" w:sz="4" w:space="0" w:color="auto"/>
              <w:right w:val="single" w:sz="4" w:space="0" w:color="auto"/>
            </w:tcBorders>
            <w:shd w:val="clear" w:color="auto" w:fill="auto"/>
            <w:noWrap/>
            <w:hideMark/>
          </w:tcPr>
          <w:p w14:paraId="05C82D5E"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6,000</w:t>
            </w:r>
          </w:p>
        </w:tc>
        <w:tc>
          <w:tcPr>
            <w:tcW w:w="990" w:type="dxa"/>
            <w:tcBorders>
              <w:top w:val="nil"/>
              <w:left w:val="nil"/>
              <w:bottom w:val="single" w:sz="4" w:space="0" w:color="auto"/>
              <w:right w:val="single" w:sz="4" w:space="0" w:color="auto"/>
            </w:tcBorders>
            <w:shd w:val="clear" w:color="auto" w:fill="auto"/>
            <w:noWrap/>
            <w:hideMark/>
          </w:tcPr>
          <w:p w14:paraId="6B812578"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247,000</w:t>
            </w:r>
          </w:p>
        </w:tc>
        <w:tc>
          <w:tcPr>
            <w:tcW w:w="690" w:type="dxa"/>
            <w:tcBorders>
              <w:top w:val="nil"/>
              <w:left w:val="nil"/>
              <w:bottom w:val="single" w:sz="4" w:space="0" w:color="auto"/>
              <w:right w:val="single" w:sz="4" w:space="0" w:color="auto"/>
            </w:tcBorders>
            <w:shd w:val="clear" w:color="auto" w:fill="auto"/>
            <w:noWrap/>
            <w:hideMark/>
          </w:tcPr>
          <w:p w14:paraId="548760E2" w14:textId="3826DC02" w:rsidR="00DD755D" w:rsidRPr="00CD1D92" w:rsidRDefault="001D57AA" w:rsidP="001D57AA">
            <w:pPr>
              <w:spacing w:after="0"/>
              <w:jc w:val="center"/>
              <w:rPr>
                <w:rFonts w:eastAsia="Times New Roman"/>
                <w:color w:val="000000"/>
                <w:sz w:val="18"/>
                <w:szCs w:val="18"/>
              </w:rPr>
            </w:pPr>
            <w:r w:rsidRPr="00CD1D92">
              <w:rPr>
                <w:rFonts w:eastAsia="Times New Roman"/>
                <w:color w:val="000000"/>
                <w:sz w:val="18"/>
                <w:szCs w:val="18"/>
              </w:rPr>
              <w:t>2</w:t>
            </w:r>
            <w:r>
              <w:rPr>
                <w:rFonts w:eastAsia="Times New Roman"/>
                <w:color w:val="000000"/>
                <w:sz w:val="18"/>
                <w:szCs w:val="18"/>
              </w:rPr>
              <w:t>0</w:t>
            </w:r>
          </w:p>
        </w:tc>
      </w:tr>
      <w:tr w:rsidR="00093AEB" w:rsidRPr="00CD1D92" w14:paraId="674C56A8"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59F3D06E"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798FEB57"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21447194"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59C5EFBD" w14:textId="77777777" w:rsidR="00DD755D" w:rsidRPr="00CD1D92" w:rsidRDefault="00DD755D" w:rsidP="00D32FA2">
            <w:pPr>
              <w:spacing w:after="0"/>
              <w:jc w:val="left"/>
              <w:rPr>
                <w:rFonts w:eastAsia="Times New Roman"/>
                <w:color w:val="000000"/>
                <w:sz w:val="18"/>
                <w:szCs w:val="18"/>
              </w:rPr>
            </w:pPr>
          </w:p>
        </w:tc>
        <w:tc>
          <w:tcPr>
            <w:tcW w:w="1129" w:type="dxa"/>
            <w:tcBorders>
              <w:top w:val="nil"/>
              <w:left w:val="nil"/>
              <w:bottom w:val="single" w:sz="4" w:space="0" w:color="auto"/>
              <w:right w:val="single" w:sz="4" w:space="0" w:color="auto"/>
            </w:tcBorders>
            <w:shd w:val="clear" w:color="auto" w:fill="auto"/>
            <w:noWrap/>
            <w:hideMark/>
          </w:tcPr>
          <w:p w14:paraId="198B0F9D" w14:textId="33AB8BA6" w:rsidR="00DD755D" w:rsidRPr="00CD1D92" w:rsidRDefault="001D57AA" w:rsidP="001D57AA">
            <w:pPr>
              <w:spacing w:after="0"/>
              <w:jc w:val="center"/>
              <w:rPr>
                <w:rFonts w:eastAsia="Times New Roman"/>
                <w:color w:val="000000"/>
                <w:sz w:val="18"/>
                <w:szCs w:val="18"/>
              </w:rPr>
            </w:pPr>
            <w:r w:rsidRPr="00CD1D92">
              <w:rPr>
                <w:rFonts w:eastAsia="Times New Roman"/>
                <w:color w:val="000000"/>
                <w:sz w:val="18"/>
                <w:szCs w:val="18"/>
              </w:rPr>
              <w:t>7</w:t>
            </w:r>
            <w:r>
              <w:rPr>
                <w:rFonts w:eastAsia="Times New Roman"/>
                <w:color w:val="000000"/>
                <w:sz w:val="18"/>
                <w:szCs w:val="18"/>
              </w:rPr>
              <w:t>1600</w:t>
            </w:r>
          </w:p>
        </w:tc>
        <w:tc>
          <w:tcPr>
            <w:tcW w:w="1870" w:type="dxa"/>
            <w:tcBorders>
              <w:top w:val="nil"/>
              <w:left w:val="nil"/>
              <w:bottom w:val="single" w:sz="4" w:space="0" w:color="auto"/>
              <w:right w:val="single" w:sz="4" w:space="0" w:color="auto"/>
            </w:tcBorders>
            <w:shd w:val="clear" w:color="auto" w:fill="auto"/>
            <w:noWrap/>
            <w:hideMark/>
          </w:tcPr>
          <w:p w14:paraId="06E2A75F"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Travel</w:t>
            </w:r>
          </w:p>
        </w:tc>
        <w:tc>
          <w:tcPr>
            <w:tcW w:w="920" w:type="dxa"/>
            <w:tcBorders>
              <w:top w:val="nil"/>
              <w:left w:val="nil"/>
              <w:bottom w:val="single" w:sz="4" w:space="0" w:color="auto"/>
              <w:right w:val="single" w:sz="4" w:space="0" w:color="auto"/>
            </w:tcBorders>
            <w:shd w:val="clear" w:color="auto" w:fill="auto"/>
            <w:noWrap/>
            <w:hideMark/>
          </w:tcPr>
          <w:p w14:paraId="403B96DE"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15,000</w:t>
            </w:r>
          </w:p>
        </w:tc>
        <w:tc>
          <w:tcPr>
            <w:tcW w:w="990" w:type="dxa"/>
            <w:tcBorders>
              <w:top w:val="nil"/>
              <w:left w:val="nil"/>
              <w:bottom w:val="single" w:sz="4" w:space="0" w:color="auto"/>
              <w:right w:val="single" w:sz="4" w:space="0" w:color="auto"/>
            </w:tcBorders>
            <w:shd w:val="clear" w:color="auto" w:fill="auto"/>
            <w:noWrap/>
            <w:hideMark/>
          </w:tcPr>
          <w:p w14:paraId="491794B2"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5,000</w:t>
            </w:r>
          </w:p>
        </w:tc>
        <w:tc>
          <w:tcPr>
            <w:tcW w:w="990" w:type="dxa"/>
            <w:tcBorders>
              <w:top w:val="nil"/>
              <w:left w:val="nil"/>
              <w:bottom w:val="single" w:sz="4" w:space="0" w:color="auto"/>
              <w:right w:val="single" w:sz="4" w:space="0" w:color="auto"/>
            </w:tcBorders>
            <w:shd w:val="clear" w:color="auto" w:fill="auto"/>
            <w:noWrap/>
            <w:hideMark/>
          </w:tcPr>
          <w:p w14:paraId="28B04689"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0D8EAF65"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00" w:type="dxa"/>
            <w:tcBorders>
              <w:top w:val="nil"/>
              <w:left w:val="nil"/>
              <w:bottom w:val="single" w:sz="4" w:space="0" w:color="auto"/>
              <w:right w:val="single" w:sz="4" w:space="0" w:color="auto"/>
            </w:tcBorders>
            <w:shd w:val="clear" w:color="auto" w:fill="auto"/>
            <w:noWrap/>
            <w:hideMark/>
          </w:tcPr>
          <w:p w14:paraId="35EB5CF4"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60" w:type="dxa"/>
            <w:tcBorders>
              <w:top w:val="nil"/>
              <w:left w:val="nil"/>
              <w:bottom w:val="single" w:sz="4" w:space="0" w:color="auto"/>
              <w:right w:val="single" w:sz="4" w:space="0" w:color="auto"/>
            </w:tcBorders>
            <w:shd w:val="clear" w:color="auto" w:fill="auto"/>
            <w:noWrap/>
            <w:hideMark/>
          </w:tcPr>
          <w:p w14:paraId="2159DD60"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0F8E7276"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20,000</w:t>
            </w:r>
          </w:p>
        </w:tc>
        <w:tc>
          <w:tcPr>
            <w:tcW w:w="690" w:type="dxa"/>
            <w:tcBorders>
              <w:top w:val="nil"/>
              <w:left w:val="nil"/>
              <w:bottom w:val="single" w:sz="4" w:space="0" w:color="auto"/>
              <w:right w:val="single" w:sz="4" w:space="0" w:color="auto"/>
            </w:tcBorders>
            <w:shd w:val="clear" w:color="auto" w:fill="auto"/>
            <w:noWrap/>
            <w:hideMark/>
          </w:tcPr>
          <w:p w14:paraId="66C9D063" w14:textId="5BFF3CE0" w:rsidR="00DD755D" w:rsidRPr="00CD1D92" w:rsidRDefault="001D57AA" w:rsidP="001D57AA">
            <w:pPr>
              <w:spacing w:after="0"/>
              <w:jc w:val="center"/>
              <w:rPr>
                <w:rFonts w:eastAsia="Times New Roman"/>
                <w:color w:val="000000"/>
                <w:sz w:val="18"/>
                <w:szCs w:val="18"/>
              </w:rPr>
            </w:pPr>
            <w:r w:rsidRPr="00CD1D92">
              <w:rPr>
                <w:rFonts w:eastAsia="Times New Roman"/>
                <w:color w:val="000000"/>
                <w:sz w:val="18"/>
                <w:szCs w:val="18"/>
              </w:rPr>
              <w:t>2</w:t>
            </w:r>
            <w:r>
              <w:rPr>
                <w:rFonts w:eastAsia="Times New Roman"/>
                <w:color w:val="000000"/>
                <w:sz w:val="18"/>
                <w:szCs w:val="18"/>
              </w:rPr>
              <w:t>1</w:t>
            </w:r>
          </w:p>
        </w:tc>
      </w:tr>
      <w:tr w:rsidR="00093AEB" w:rsidRPr="00CD1D92" w14:paraId="3A603FD5"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76A54C0F"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3E63E445"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1938F89F"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39A69F2A" w14:textId="77777777" w:rsidR="00DD755D" w:rsidRPr="00CD1D92" w:rsidRDefault="00DD755D" w:rsidP="00D32FA2">
            <w:pPr>
              <w:spacing w:after="0"/>
              <w:jc w:val="left"/>
              <w:rPr>
                <w:rFonts w:eastAsia="Times New Roman"/>
                <w:color w:val="000000"/>
                <w:sz w:val="18"/>
                <w:szCs w:val="18"/>
              </w:rPr>
            </w:pPr>
          </w:p>
        </w:tc>
        <w:tc>
          <w:tcPr>
            <w:tcW w:w="1129" w:type="dxa"/>
            <w:tcBorders>
              <w:top w:val="nil"/>
              <w:left w:val="nil"/>
              <w:bottom w:val="single" w:sz="4" w:space="0" w:color="auto"/>
              <w:right w:val="single" w:sz="4" w:space="0" w:color="auto"/>
            </w:tcBorders>
            <w:shd w:val="clear" w:color="auto" w:fill="auto"/>
            <w:noWrap/>
            <w:hideMark/>
          </w:tcPr>
          <w:p w14:paraId="4834D8F6" w14:textId="40DE8545" w:rsidR="00DD755D" w:rsidRPr="00CD1D92" w:rsidRDefault="001D57AA" w:rsidP="001D57AA">
            <w:pPr>
              <w:spacing w:after="0"/>
              <w:jc w:val="center"/>
              <w:rPr>
                <w:rFonts w:eastAsia="Times New Roman"/>
                <w:color w:val="000000"/>
                <w:sz w:val="18"/>
                <w:szCs w:val="18"/>
              </w:rPr>
            </w:pPr>
            <w:r w:rsidRPr="00CD1D92">
              <w:rPr>
                <w:rFonts w:eastAsia="Times New Roman"/>
                <w:color w:val="000000"/>
                <w:sz w:val="18"/>
                <w:szCs w:val="18"/>
              </w:rPr>
              <w:t>72</w:t>
            </w:r>
            <w:r>
              <w:rPr>
                <w:rFonts w:eastAsia="Times New Roman"/>
                <w:color w:val="000000"/>
                <w:sz w:val="18"/>
                <w:szCs w:val="18"/>
              </w:rPr>
              <w:t>600</w:t>
            </w:r>
          </w:p>
        </w:tc>
        <w:tc>
          <w:tcPr>
            <w:tcW w:w="1870" w:type="dxa"/>
            <w:tcBorders>
              <w:top w:val="nil"/>
              <w:left w:val="nil"/>
              <w:bottom w:val="single" w:sz="4" w:space="0" w:color="auto"/>
              <w:right w:val="single" w:sz="4" w:space="0" w:color="auto"/>
            </w:tcBorders>
            <w:shd w:val="clear" w:color="auto" w:fill="auto"/>
            <w:noWrap/>
            <w:hideMark/>
          </w:tcPr>
          <w:p w14:paraId="2E7432E1" w14:textId="36F62A78" w:rsidR="00DD755D" w:rsidRPr="00CD1D92" w:rsidRDefault="00A37488" w:rsidP="00D32FA2">
            <w:pPr>
              <w:spacing w:after="0"/>
              <w:jc w:val="left"/>
              <w:rPr>
                <w:rFonts w:eastAsia="Times New Roman"/>
                <w:color w:val="000000"/>
                <w:sz w:val="18"/>
                <w:szCs w:val="18"/>
              </w:rPr>
            </w:pPr>
            <w:r>
              <w:rPr>
                <w:rFonts w:eastAsia="Times New Roman"/>
                <w:color w:val="000000"/>
                <w:sz w:val="18"/>
                <w:szCs w:val="18"/>
              </w:rPr>
              <w:t>Grants</w:t>
            </w:r>
          </w:p>
        </w:tc>
        <w:tc>
          <w:tcPr>
            <w:tcW w:w="920" w:type="dxa"/>
            <w:tcBorders>
              <w:top w:val="nil"/>
              <w:left w:val="nil"/>
              <w:bottom w:val="single" w:sz="4" w:space="0" w:color="auto"/>
              <w:right w:val="single" w:sz="4" w:space="0" w:color="auto"/>
            </w:tcBorders>
            <w:shd w:val="clear" w:color="auto" w:fill="auto"/>
            <w:noWrap/>
            <w:hideMark/>
          </w:tcPr>
          <w:p w14:paraId="3AD0AF97"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72ED0320"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72,000</w:t>
            </w:r>
          </w:p>
        </w:tc>
        <w:tc>
          <w:tcPr>
            <w:tcW w:w="990" w:type="dxa"/>
            <w:tcBorders>
              <w:top w:val="nil"/>
              <w:left w:val="nil"/>
              <w:bottom w:val="single" w:sz="4" w:space="0" w:color="auto"/>
              <w:right w:val="single" w:sz="4" w:space="0" w:color="auto"/>
            </w:tcBorders>
            <w:shd w:val="clear" w:color="auto" w:fill="auto"/>
            <w:noWrap/>
            <w:hideMark/>
          </w:tcPr>
          <w:p w14:paraId="099DE993"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112,000</w:t>
            </w:r>
          </w:p>
        </w:tc>
        <w:tc>
          <w:tcPr>
            <w:tcW w:w="990" w:type="dxa"/>
            <w:tcBorders>
              <w:top w:val="nil"/>
              <w:left w:val="nil"/>
              <w:bottom w:val="single" w:sz="4" w:space="0" w:color="auto"/>
              <w:right w:val="single" w:sz="4" w:space="0" w:color="auto"/>
            </w:tcBorders>
            <w:shd w:val="clear" w:color="auto" w:fill="auto"/>
            <w:noWrap/>
            <w:hideMark/>
          </w:tcPr>
          <w:p w14:paraId="0A166520"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128,000</w:t>
            </w:r>
          </w:p>
        </w:tc>
        <w:tc>
          <w:tcPr>
            <w:tcW w:w="900" w:type="dxa"/>
            <w:tcBorders>
              <w:top w:val="nil"/>
              <w:left w:val="nil"/>
              <w:bottom w:val="single" w:sz="4" w:space="0" w:color="auto"/>
              <w:right w:val="single" w:sz="4" w:space="0" w:color="auto"/>
            </w:tcBorders>
            <w:shd w:val="clear" w:color="auto" w:fill="auto"/>
            <w:noWrap/>
            <w:hideMark/>
          </w:tcPr>
          <w:p w14:paraId="1832435C"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87,000</w:t>
            </w:r>
          </w:p>
        </w:tc>
        <w:tc>
          <w:tcPr>
            <w:tcW w:w="960" w:type="dxa"/>
            <w:tcBorders>
              <w:top w:val="nil"/>
              <w:left w:val="nil"/>
              <w:bottom w:val="single" w:sz="4" w:space="0" w:color="auto"/>
              <w:right w:val="single" w:sz="4" w:space="0" w:color="auto"/>
            </w:tcBorders>
            <w:shd w:val="clear" w:color="auto" w:fill="auto"/>
            <w:noWrap/>
            <w:hideMark/>
          </w:tcPr>
          <w:p w14:paraId="5B4EE5E1"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32,000</w:t>
            </w:r>
          </w:p>
        </w:tc>
        <w:tc>
          <w:tcPr>
            <w:tcW w:w="990" w:type="dxa"/>
            <w:tcBorders>
              <w:top w:val="nil"/>
              <w:left w:val="nil"/>
              <w:bottom w:val="single" w:sz="4" w:space="0" w:color="auto"/>
              <w:right w:val="single" w:sz="4" w:space="0" w:color="auto"/>
            </w:tcBorders>
            <w:shd w:val="clear" w:color="auto" w:fill="auto"/>
            <w:noWrap/>
            <w:hideMark/>
          </w:tcPr>
          <w:p w14:paraId="7CD5D12F"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431,000</w:t>
            </w:r>
          </w:p>
        </w:tc>
        <w:tc>
          <w:tcPr>
            <w:tcW w:w="690" w:type="dxa"/>
            <w:tcBorders>
              <w:top w:val="nil"/>
              <w:left w:val="nil"/>
              <w:bottom w:val="single" w:sz="4" w:space="0" w:color="auto"/>
              <w:right w:val="single" w:sz="4" w:space="0" w:color="auto"/>
            </w:tcBorders>
            <w:shd w:val="clear" w:color="auto" w:fill="auto"/>
            <w:noWrap/>
            <w:hideMark/>
          </w:tcPr>
          <w:p w14:paraId="31C70038" w14:textId="69CF5076" w:rsidR="00DD755D" w:rsidRPr="00CD1D92" w:rsidRDefault="001D57AA" w:rsidP="001D57AA">
            <w:pPr>
              <w:spacing w:after="0"/>
              <w:jc w:val="center"/>
              <w:rPr>
                <w:rFonts w:eastAsia="Times New Roman"/>
                <w:color w:val="000000"/>
                <w:sz w:val="18"/>
                <w:szCs w:val="18"/>
              </w:rPr>
            </w:pPr>
            <w:r w:rsidRPr="00CD1D92">
              <w:rPr>
                <w:rFonts w:eastAsia="Times New Roman"/>
                <w:color w:val="000000"/>
                <w:sz w:val="18"/>
                <w:szCs w:val="18"/>
              </w:rPr>
              <w:t>2</w:t>
            </w:r>
            <w:r>
              <w:rPr>
                <w:rFonts w:eastAsia="Times New Roman"/>
                <w:color w:val="000000"/>
                <w:sz w:val="18"/>
                <w:szCs w:val="18"/>
              </w:rPr>
              <w:t>2</w:t>
            </w:r>
          </w:p>
        </w:tc>
      </w:tr>
      <w:tr w:rsidR="00093AEB" w:rsidRPr="00CD1D92" w14:paraId="5F2641CA"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197D9FE7"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036C2C60"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67EF0EFA"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591E7E30" w14:textId="77777777" w:rsidR="00DD755D" w:rsidRPr="00CD1D92" w:rsidRDefault="00DD755D" w:rsidP="00D32FA2">
            <w:pPr>
              <w:spacing w:after="0"/>
              <w:jc w:val="left"/>
              <w:rPr>
                <w:rFonts w:eastAsia="Times New Roman"/>
                <w:color w:val="000000"/>
                <w:sz w:val="18"/>
                <w:szCs w:val="18"/>
              </w:rPr>
            </w:pPr>
          </w:p>
        </w:tc>
        <w:tc>
          <w:tcPr>
            <w:tcW w:w="1129" w:type="dxa"/>
            <w:tcBorders>
              <w:top w:val="nil"/>
              <w:left w:val="nil"/>
              <w:bottom w:val="single" w:sz="4" w:space="0" w:color="auto"/>
              <w:right w:val="single" w:sz="4" w:space="0" w:color="auto"/>
            </w:tcBorders>
            <w:shd w:val="clear" w:color="auto" w:fill="auto"/>
            <w:noWrap/>
            <w:hideMark/>
          </w:tcPr>
          <w:p w14:paraId="01DBCA76" w14:textId="5FB81875" w:rsidR="00DD755D" w:rsidRPr="00CD1D92" w:rsidRDefault="001D57AA" w:rsidP="001D57AA">
            <w:pPr>
              <w:spacing w:after="0"/>
              <w:jc w:val="center"/>
              <w:rPr>
                <w:rFonts w:eastAsia="Times New Roman"/>
                <w:color w:val="000000"/>
                <w:sz w:val="18"/>
                <w:szCs w:val="18"/>
              </w:rPr>
            </w:pPr>
            <w:r w:rsidRPr="00CD1D92">
              <w:rPr>
                <w:rFonts w:eastAsia="Times New Roman"/>
                <w:color w:val="000000"/>
                <w:sz w:val="18"/>
                <w:szCs w:val="18"/>
              </w:rPr>
              <w:t>7</w:t>
            </w:r>
            <w:r>
              <w:rPr>
                <w:rFonts w:eastAsia="Times New Roman"/>
                <w:color w:val="000000"/>
                <w:sz w:val="18"/>
                <w:szCs w:val="18"/>
              </w:rPr>
              <w:t>5700</w:t>
            </w:r>
          </w:p>
        </w:tc>
        <w:tc>
          <w:tcPr>
            <w:tcW w:w="1870" w:type="dxa"/>
            <w:tcBorders>
              <w:top w:val="nil"/>
              <w:left w:val="nil"/>
              <w:bottom w:val="single" w:sz="4" w:space="0" w:color="auto"/>
              <w:right w:val="single" w:sz="4" w:space="0" w:color="auto"/>
            </w:tcBorders>
            <w:shd w:val="clear" w:color="auto" w:fill="auto"/>
            <w:noWrap/>
            <w:hideMark/>
          </w:tcPr>
          <w:p w14:paraId="67F2CE3B" w14:textId="0A61A9B4" w:rsidR="00DD755D" w:rsidRPr="00CD1D92" w:rsidRDefault="00DD755D" w:rsidP="001D57AA">
            <w:pPr>
              <w:spacing w:after="0"/>
              <w:jc w:val="left"/>
              <w:rPr>
                <w:rFonts w:eastAsia="Times New Roman"/>
                <w:color w:val="000000"/>
                <w:sz w:val="18"/>
                <w:szCs w:val="18"/>
              </w:rPr>
            </w:pPr>
            <w:r w:rsidRPr="00CD1D92">
              <w:rPr>
                <w:rFonts w:eastAsia="Times New Roman"/>
                <w:color w:val="000000"/>
                <w:sz w:val="18"/>
                <w:szCs w:val="18"/>
              </w:rPr>
              <w:t>Trainings</w:t>
            </w:r>
            <w:r w:rsidR="001D57AA">
              <w:rPr>
                <w:rFonts w:eastAsia="Times New Roman"/>
                <w:color w:val="000000"/>
                <w:sz w:val="18"/>
                <w:szCs w:val="18"/>
              </w:rPr>
              <w:t>,</w:t>
            </w:r>
            <w:r w:rsidRPr="00CD1D92">
              <w:rPr>
                <w:rFonts w:eastAsia="Times New Roman"/>
                <w:color w:val="000000"/>
                <w:sz w:val="18"/>
                <w:szCs w:val="18"/>
              </w:rPr>
              <w:t xml:space="preserve"> Workshops</w:t>
            </w:r>
            <w:r w:rsidR="001D57AA">
              <w:rPr>
                <w:rFonts w:eastAsia="Times New Roman"/>
                <w:color w:val="000000"/>
                <w:sz w:val="18"/>
                <w:szCs w:val="18"/>
              </w:rPr>
              <w:t xml:space="preserve"> and Conferences</w:t>
            </w:r>
          </w:p>
        </w:tc>
        <w:tc>
          <w:tcPr>
            <w:tcW w:w="920" w:type="dxa"/>
            <w:tcBorders>
              <w:top w:val="nil"/>
              <w:left w:val="nil"/>
              <w:bottom w:val="single" w:sz="4" w:space="0" w:color="auto"/>
              <w:right w:val="single" w:sz="4" w:space="0" w:color="auto"/>
            </w:tcBorders>
            <w:shd w:val="clear" w:color="auto" w:fill="auto"/>
            <w:noWrap/>
            <w:hideMark/>
          </w:tcPr>
          <w:p w14:paraId="68DEA492"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5,000</w:t>
            </w:r>
          </w:p>
        </w:tc>
        <w:tc>
          <w:tcPr>
            <w:tcW w:w="990" w:type="dxa"/>
            <w:tcBorders>
              <w:top w:val="nil"/>
              <w:left w:val="nil"/>
              <w:bottom w:val="single" w:sz="4" w:space="0" w:color="auto"/>
              <w:right w:val="single" w:sz="4" w:space="0" w:color="auto"/>
            </w:tcBorders>
            <w:shd w:val="clear" w:color="auto" w:fill="auto"/>
            <w:noWrap/>
            <w:hideMark/>
          </w:tcPr>
          <w:p w14:paraId="405C5E8A"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17,000</w:t>
            </w:r>
          </w:p>
        </w:tc>
        <w:tc>
          <w:tcPr>
            <w:tcW w:w="990" w:type="dxa"/>
            <w:tcBorders>
              <w:top w:val="nil"/>
              <w:left w:val="nil"/>
              <w:bottom w:val="single" w:sz="4" w:space="0" w:color="auto"/>
              <w:right w:val="single" w:sz="4" w:space="0" w:color="auto"/>
            </w:tcBorders>
            <w:shd w:val="clear" w:color="auto" w:fill="auto"/>
            <w:noWrap/>
            <w:hideMark/>
          </w:tcPr>
          <w:p w14:paraId="32A3A462"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6,000</w:t>
            </w:r>
          </w:p>
        </w:tc>
        <w:tc>
          <w:tcPr>
            <w:tcW w:w="990" w:type="dxa"/>
            <w:tcBorders>
              <w:top w:val="nil"/>
              <w:left w:val="nil"/>
              <w:bottom w:val="single" w:sz="4" w:space="0" w:color="auto"/>
              <w:right w:val="single" w:sz="4" w:space="0" w:color="auto"/>
            </w:tcBorders>
            <w:shd w:val="clear" w:color="auto" w:fill="auto"/>
            <w:noWrap/>
            <w:hideMark/>
          </w:tcPr>
          <w:p w14:paraId="4AE60BAF"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5,000</w:t>
            </w:r>
          </w:p>
        </w:tc>
        <w:tc>
          <w:tcPr>
            <w:tcW w:w="900" w:type="dxa"/>
            <w:tcBorders>
              <w:top w:val="nil"/>
              <w:left w:val="nil"/>
              <w:bottom w:val="single" w:sz="4" w:space="0" w:color="auto"/>
              <w:right w:val="single" w:sz="4" w:space="0" w:color="auto"/>
            </w:tcBorders>
            <w:shd w:val="clear" w:color="auto" w:fill="auto"/>
            <w:noWrap/>
            <w:hideMark/>
          </w:tcPr>
          <w:p w14:paraId="765B085F"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4,000</w:t>
            </w:r>
          </w:p>
        </w:tc>
        <w:tc>
          <w:tcPr>
            <w:tcW w:w="960" w:type="dxa"/>
            <w:tcBorders>
              <w:top w:val="nil"/>
              <w:left w:val="nil"/>
              <w:bottom w:val="single" w:sz="4" w:space="0" w:color="auto"/>
              <w:right w:val="single" w:sz="4" w:space="0" w:color="auto"/>
            </w:tcBorders>
            <w:shd w:val="clear" w:color="auto" w:fill="auto"/>
            <w:noWrap/>
            <w:hideMark/>
          </w:tcPr>
          <w:p w14:paraId="1D5D0F83"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4,000</w:t>
            </w:r>
          </w:p>
        </w:tc>
        <w:tc>
          <w:tcPr>
            <w:tcW w:w="990" w:type="dxa"/>
            <w:tcBorders>
              <w:top w:val="nil"/>
              <w:left w:val="nil"/>
              <w:bottom w:val="single" w:sz="4" w:space="0" w:color="auto"/>
              <w:right w:val="single" w:sz="4" w:space="0" w:color="auto"/>
            </w:tcBorders>
            <w:shd w:val="clear" w:color="auto" w:fill="auto"/>
            <w:noWrap/>
            <w:hideMark/>
          </w:tcPr>
          <w:p w14:paraId="1628D6C1"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41,000</w:t>
            </w:r>
          </w:p>
        </w:tc>
        <w:tc>
          <w:tcPr>
            <w:tcW w:w="690" w:type="dxa"/>
            <w:tcBorders>
              <w:top w:val="nil"/>
              <w:left w:val="nil"/>
              <w:bottom w:val="single" w:sz="4" w:space="0" w:color="auto"/>
              <w:right w:val="single" w:sz="4" w:space="0" w:color="auto"/>
            </w:tcBorders>
            <w:shd w:val="clear" w:color="auto" w:fill="auto"/>
            <w:noWrap/>
            <w:hideMark/>
          </w:tcPr>
          <w:p w14:paraId="37C36C80" w14:textId="514EBF12" w:rsidR="00DD755D" w:rsidRPr="00CD1D92" w:rsidRDefault="001D57AA" w:rsidP="001D57AA">
            <w:pPr>
              <w:spacing w:after="0"/>
              <w:jc w:val="center"/>
              <w:rPr>
                <w:rFonts w:eastAsia="Times New Roman"/>
                <w:color w:val="000000"/>
                <w:sz w:val="18"/>
                <w:szCs w:val="18"/>
              </w:rPr>
            </w:pPr>
            <w:r w:rsidRPr="00CD1D92">
              <w:rPr>
                <w:rFonts w:eastAsia="Times New Roman"/>
                <w:color w:val="000000"/>
                <w:sz w:val="18"/>
                <w:szCs w:val="18"/>
              </w:rPr>
              <w:t>2</w:t>
            </w:r>
            <w:r>
              <w:rPr>
                <w:rFonts w:eastAsia="Times New Roman"/>
                <w:color w:val="000000"/>
                <w:sz w:val="18"/>
                <w:szCs w:val="18"/>
              </w:rPr>
              <w:t>3</w:t>
            </w:r>
          </w:p>
        </w:tc>
      </w:tr>
      <w:tr w:rsidR="00093AEB" w:rsidRPr="00CD1D92" w14:paraId="42ECF427"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59B6D3AC"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55E35FE6"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0EE2E269"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3114802E" w14:textId="77777777" w:rsidR="00DD755D" w:rsidRPr="00CD1D92" w:rsidRDefault="00DD755D" w:rsidP="00D32FA2">
            <w:pPr>
              <w:spacing w:after="0"/>
              <w:jc w:val="left"/>
              <w:rPr>
                <w:rFonts w:eastAsia="Times New Roman"/>
                <w:color w:val="000000"/>
                <w:sz w:val="18"/>
                <w:szCs w:val="18"/>
              </w:rPr>
            </w:pPr>
          </w:p>
        </w:tc>
        <w:tc>
          <w:tcPr>
            <w:tcW w:w="1129" w:type="dxa"/>
            <w:tcBorders>
              <w:top w:val="nil"/>
              <w:left w:val="nil"/>
              <w:bottom w:val="single" w:sz="4" w:space="0" w:color="auto"/>
              <w:right w:val="single" w:sz="4" w:space="0" w:color="auto"/>
            </w:tcBorders>
            <w:shd w:val="clear" w:color="auto" w:fill="auto"/>
            <w:noWrap/>
            <w:hideMark/>
          </w:tcPr>
          <w:p w14:paraId="7A863ABA" w14:textId="573E4172" w:rsidR="00DD755D" w:rsidRPr="00CD1D92" w:rsidRDefault="001D57AA" w:rsidP="00D32FA2">
            <w:pPr>
              <w:spacing w:after="0"/>
              <w:jc w:val="center"/>
              <w:rPr>
                <w:rFonts w:eastAsia="Times New Roman"/>
                <w:color w:val="000000"/>
                <w:sz w:val="18"/>
                <w:szCs w:val="18"/>
              </w:rPr>
            </w:pPr>
            <w:r>
              <w:rPr>
                <w:rFonts w:eastAsia="Times New Roman"/>
                <w:color w:val="000000"/>
                <w:sz w:val="18"/>
                <w:szCs w:val="18"/>
              </w:rPr>
              <w:t>74500</w:t>
            </w:r>
          </w:p>
        </w:tc>
        <w:tc>
          <w:tcPr>
            <w:tcW w:w="1870" w:type="dxa"/>
            <w:tcBorders>
              <w:top w:val="nil"/>
              <w:left w:val="nil"/>
              <w:bottom w:val="single" w:sz="4" w:space="0" w:color="auto"/>
              <w:right w:val="single" w:sz="4" w:space="0" w:color="auto"/>
            </w:tcBorders>
            <w:shd w:val="clear" w:color="auto" w:fill="auto"/>
            <w:noWrap/>
            <w:hideMark/>
          </w:tcPr>
          <w:p w14:paraId="0A87DF7E" w14:textId="06326AF7" w:rsidR="00DD755D" w:rsidRPr="00CD1D92" w:rsidRDefault="001D57AA" w:rsidP="00D32FA2">
            <w:pPr>
              <w:spacing w:after="0"/>
              <w:jc w:val="left"/>
              <w:rPr>
                <w:rFonts w:eastAsia="Times New Roman"/>
                <w:color w:val="000000"/>
                <w:sz w:val="18"/>
                <w:szCs w:val="18"/>
              </w:rPr>
            </w:pPr>
            <w:r>
              <w:rPr>
                <w:rFonts w:eastAsia="Times New Roman"/>
                <w:color w:val="000000"/>
                <w:sz w:val="18"/>
                <w:szCs w:val="18"/>
              </w:rPr>
              <w:t>Miscellaneous Expenses</w:t>
            </w:r>
          </w:p>
        </w:tc>
        <w:tc>
          <w:tcPr>
            <w:tcW w:w="920" w:type="dxa"/>
            <w:tcBorders>
              <w:top w:val="nil"/>
              <w:left w:val="nil"/>
              <w:bottom w:val="single" w:sz="4" w:space="0" w:color="auto"/>
              <w:right w:val="single" w:sz="4" w:space="0" w:color="auto"/>
            </w:tcBorders>
            <w:shd w:val="clear" w:color="auto" w:fill="auto"/>
            <w:noWrap/>
            <w:hideMark/>
          </w:tcPr>
          <w:p w14:paraId="1995AA3C"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1DB081E3"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5,000</w:t>
            </w:r>
          </w:p>
        </w:tc>
        <w:tc>
          <w:tcPr>
            <w:tcW w:w="990" w:type="dxa"/>
            <w:tcBorders>
              <w:top w:val="nil"/>
              <w:left w:val="nil"/>
              <w:bottom w:val="single" w:sz="4" w:space="0" w:color="auto"/>
              <w:right w:val="single" w:sz="4" w:space="0" w:color="auto"/>
            </w:tcBorders>
            <w:shd w:val="clear" w:color="auto" w:fill="auto"/>
            <w:noWrap/>
            <w:hideMark/>
          </w:tcPr>
          <w:p w14:paraId="17739CE3"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5,000</w:t>
            </w:r>
          </w:p>
        </w:tc>
        <w:tc>
          <w:tcPr>
            <w:tcW w:w="990" w:type="dxa"/>
            <w:tcBorders>
              <w:top w:val="nil"/>
              <w:left w:val="nil"/>
              <w:bottom w:val="single" w:sz="4" w:space="0" w:color="auto"/>
              <w:right w:val="single" w:sz="4" w:space="0" w:color="auto"/>
            </w:tcBorders>
            <w:shd w:val="clear" w:color="auto" w:fill="auto"/>
            <w:noWrap/>
            <w:hideMark/>
          </w:tcPr>
          <w:p w14:paraId="49566584"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5,000</w:t>
            </w:r>
          </w:p>
        </w:tc>
        <w:tc>
          <w:tcPr>
            <w:tcW w:w="900" w:type="dxa"/>
            <w:tcBorders>
              <w:top w:val="nil"/>
              <w:left w:val="nil"/>
              <w:bottom w:val="single" w:sz="4" w:space="0" w:color="auto"/>
              <w:right w:val="single" w:sz="4" w:space="0" w:color="auto"/>
            </w:tcBorders>
            <w:shd w:val="clear" w:color="auto" w:fill="auto"/>
            <w:noWrap/>
            <w:hideMark/>
          </w:tcPr>
          <w:p w14:paraId="12814383"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60" w:type="dxa"/>
            <w:tcBorders>
              <w:top w:val="nil"/>
              <w:left w:val="nil"/>
              <w:bottom w:val="single" w:sz="4" w:space="0" w:color="auto"/>
              <w:right w:val="single" w:sz="4" w:space="0" w:color="auto"/>
            </w:tcBorders>
            <w:shd w:val="clear" w:color="auto" w:fill="auto"/>
            <w:noWrap/>
            <w:hideMark/>
          </w:tcPr>
          <w:p w14:paraId="0407A1CE"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33D70B91"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15,000</w:t>
            </w:r>
          </w:p>
        </w:tc>
        <w:tc>
          <w:tcPr>
            <w:tcW w:w="690" w:type="dxa"/>
            <w:tcBorders>
              <w:top w:val="nil"/>
              <w:left w:val="nil"/>
              <w:bottom w:val="single" w:sz="4" w:space="0" w:color="auto"/>
              <w:right w:val="single" w:sz="4" w:space="0" w:color="auto"/>
            </w:tcBorders>
            <w:shd w:val="clear" w:color="auto" w:fill="auto"/>
            <w:noWrap/>
            <w:hideMark/>
          </w:tcPr>
          <w:p w14:paraId="5BE38833" w14:textId="5504E736" w:rsidR="00DD755D" w:rsidRPr="00CD1D92" w:rsidRDefault="001D57AA" w:rsidP="001D57AA">
            <w:pPr>
              <w:spacing w:after="0"/>
              <w:jc w:val="center"/>
              <w:rPr>
                <w:rFonts w:eastAsia="Times New Roman"/>
                <w:color w:val="000000"/>
                <w:sz w:val="18"/>
                <w:szCs w:val="18"/>
              </w:rPr>
            </w:pPr>
            <w:r w:rsidRPr="00CD1D92">
              <w:rPr>
                <w:rFonts w:eastAsia="Times New Roman"/>
                <w:color w:val="000000"/>
                <w:sz w:val="18"/>
                <w:szCs w:val="18"/>
              </w:rPr>
              <w:t>2</w:t>
            </w:r>
            <w:r>
              <w:rPr>
                <w:rFonts w:eastAsia="Times New Roman"/>
                <w:color w:val="000000"/>
                <w:sz w:val="18"/>
                <w:szCs w:val="18"/>
              </w:rPr>
              <w:t>4</w:t>
            </w:r>
          </w:p>
        </w:tc>
      </w:tr>
      <w:tr w:rsidR="00093AEB" w:rsidRPr="00CD1D92" w14:paraId="7F6FE8DA"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175F5E07"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40A6EE90"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5F1AD0BE"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22C6FF56" w14:textId="77777777" w:rsidR="00DD755D" w:rsidRPr="00CD1D92" w:rsidRDefault="00DD755D" w:rsidP="00D32FA2">
            <w:pPr>
              <w:spacing w:after="0"/>
              <w:jc w:val="left"/>
              <w:rPr>
                <w:rFonts w:eastAsia="Times New Roman"/>
                <w:color w:val="000000"/>
                <w:sz w:val="18"/>
                <w:szCs w:val="18"/>
              </w:rPr>
            </w:pPr>
          </w:p>
        </w:tc>
        <w:tc>
          <w:tcPr>
            <w:tcW w:w="1129" w:type="dxa"/>
            <w:tcBorders>
              <w:top w:val="nil"/>
              <w:left w:val="nil"/>
              <w:bottom w:val="single" w:sz="4" w:space="0" w:color="auto"/>
              <w:right w:val="single" w:sz="4" w:space="0" w:color="auto"/>
            </w:tcBorders>
            <w:shd w:val="clear" w:color="auto" w:fill="auto"/>
            <w:noWrap/>
            <w:hideMark/>
          </w:tcPr>
          <w:p w14:paraId="473E58D0" w14:textId="275BC21C" w:rsidR="00DD755D" w:rsidRPr="00CD1D92" w:rsidRDefault="001D57AA" w:rsidP="001D57AA">
            <w:pPr>
              <w:spacing w:after="0"/>
              <w:jc w:val="center"/>
              <w:rPr>
                <w:rFonts w:eastAsia="Times New Roman"/>
                <w:color w:val="000000"/>
                <w:sz w:val="18"/>
                <w:szCs w:val="18"/>
              </w:rPr>
            </w:pPr>
            <w:r w:rsidRPr="00CD1D92">
              <w:rPr>
                <w:rFonts w:eastAsia="Times New Roman"/>
                <w:color w:val="000000"/>
                <w:sz w:val="18"/>
                <w:szCs w:val="18"/>
              </w:rPr>
              <w:t>7</w:t>
            </w:r>
            <w:r>
              <w:rPr>
                <w:rFonts w:eastAsia="Times New Roman"/>
                <w:color w:val="000000"/>
                <w:sz w:val="18"/>
                <w:szCs w:val="18"/>
              </w:rPr>
              <w:t>34</w:t>
            </w:r>
            <w:r w:rsidRPr="00CD1D92">
              <w:rPr>
                <w:rFonts w:eastAsia="Times New Roman"/>
                <w:color w:val="000000"/>
                <w:sz w:val="18"/>
                <w:szCs w:val="18"/>
              </w:rPr>
              <w:t>00</w:t>
            </w:r>
          </w:p>
        </w:tc>
        <w:tc>
          <w:tcPr>
            <w:tcW w:w="1870" w:type="dxa"/>
            <w:tcBorders>
              <w:top w:val="nil"/>
              <w:left w:val="nil"/>
              <w:bottom w:val="single" w:sz="4" w:space="0" w:color="auto"/>
              <w:right w:val="single" w:sz="4" w:space="0" w:color="auto"/>
            </w:tcBorders>
            <w:shd w:val="clear" w:color="auto" w:fill="auto"/>
            <w:noWrap/>
            <w:hideMark/>
          </w:tcPr>
          <w:p w14:paraId="3DE203D9" w14:textId="535E330F"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Rental and Maintenance</w:t>
            </w:r>
            <w:r w:rsidR="001D57AA">
              <w:rPr>
                <w:rFonts w:eastAsia="Times New Roman"/>
                <w:color w:val="000000"/>
                <w:sz w:val="18"/>
                <w:szCs w:val="18"/>
              </w:rPr>
              <w:t xml:space="preserve"> of Other Equipment</w:t>
            </w:r>
          </w:p>
        </w:tc>
        <w:tc>
          <w:tcPr>
            <w:tcW w:w="920" w:type="dxa"/>
            <w:tcBorders>
              <w:top w:val="nil"/>
              <w:left w:val="nil"/>
              <w:bottom w:val="single" w:sz="4" w:space="0" w:color="auto"/>
              <w:right w:val="single" w:sz="4" w:space="0" w:color="auto"/>
            </w:tcBorders>
            <w:shd w:val="clear" w:color="auto" w:fill="auto"/>
            <w:noWrap/>
            <w:hideMark/>
          </w:tcPr>
          <w:p w14:paraId="22BA5EF8"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5,000</w:t>
            </w:r>
          </w:p>
        </w:tc>
        <w:tc>
          <w:tcPr>
            <w:tcW w:w="990" w:type="dxa"/>
            <w:tcBorders>
              <w:top w:val="nil"/>
              <w:left w:val="nil"/>
              <w:bottom w:val="single" w:sz="4" w:space="0" w:color="auto"/>
              <w:right w:val="single" w:sz="4" w:space="0" w:color="auto"/>
            </w:tcBorders>
            <w:shd w:val="clear" w:color="auto" w:fill="auto"/>
            <w:noWrap/>
            <w:hideMark/>
          </w:tcPr>
          <w:p w14:paraId="62DA2057"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10,000</w:t>
            </w:r>
          </w:p>
        </w:tc>
        <w:tc>
          <w:tcPr>
            <w:tcW w:w="990" w:type="dxa"/>
            <w:tcBorders>
              <w:top w:val="nil"/>
              <w:left w:val="nil"/>
              <w:bottom w:val="single" w:sz="4" w:space="0" w:color="auto"/>
              <w:right w:val="single" w:sz="4" w:space="0" w:color="auto"/>
            </w:tcBorders>
            <w:shd w:val="clear" w:color="auto" w:fill="auto"/>
            <w:noWrap/>
            <w:hideMark/>
          </w:tcPr>
          <w:p w14:paraId="6517980C"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5530FA85"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00" w:type="dxa"/>
            <w:tcBorders>
              <w:top w:val="nil"/>
              <w:left w:val="nil"/>
              <w:bottom w:val="single" w:sz="4" w:space="0" w:color="auto"/>
              <w:right w:val="single" w:sz="4" w:space="0" w:color="auto"/>
            </w:tcBorders>
            <w:shd w:val="clear" w:color="auto" w:fill="auto"/>
            <w:noWrap/>
            <w:hideMark/>
          </w:tcPr>
          <w:p w14:paraId="5307AB50"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60" w:type="dxa"/>
            <w:tcBorders>
              <w:top w:val="nil"/>
              <w:left w:val="nil"/>
              <w:bottom w:val="single" w:sz="4" w:space="0" w:color="auto"/>
              <w:right w:val="single" w:sz="4" w:space="0" w:color="auto"/>
            </w:tcBorders>
            <w:shd w:val="clear" w:color="auto" w:fill="auto"/>
            <w:noWrap/>
            <w:hideMark/>
          </w:tcPr>
          <w:p w14:paraId="68440496"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1470D73F"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15,000</w:t>
            </w:r>
          </w:p>
        </w:tc>
        <w:tc>
          <w:tcPr>
            <w:tcW w:w="690" w:type="dxa"/>
            <w:tcBorders>
              <w:top w:val="nil"/>
              <w:left w:val="nil"/>
              <w:bottom w:val="single" w:sz="4" w:space="0" w:color="auto"/>
              <w:right w:val="single" w:sz="4" w:space="0" w:color="auto"/>
            </w:tcBorders>
            <w:shd w:val="clear" w:color="auto" w:fill="auto"/>
            <w:noWrap/>
            <w:hideMark/>
          </w:tcPr>
          <w:p w14:paraId="47FE3CD1" w14:textId="20724CF6" w:rsidR="00DD755D" w:rsidRPr="00CD1D92" w:rsidRDefault="001D57AA" w:rsidP="001D57AA">
            <w:pPr>
              <w:spacing w:after="0"/>
              <w:jc w:val="center"/>
              <w:rPr>
                <w:rFonts w:eastAsia="Times New Roman"/>
                <w:color w:val="000000"/>
                <w:sz w:val="18"/>
                <w:szCs w:val="18"/>
              </w:rPr>
            </w:pPr>
            <w:r w:rsidRPr="00CD1D92">
              <w:rPr>
                <w:rFonts w:eastAsia="Times New Roman"/>
                <w:color w:val="000000"/>
                <w:sz w:val="18"/>
                <w:szCs w:val="18"/>
              </w:rPr>
              <w:t>2</w:t>
            </w:r>
            <w:r>
              <w:rPr>
                <w:rFonts w:eastAsia="Times New Roman"/>
                <w:color w:val="000000"/>
                <w:sz w:val="18"/>
                <w:szCs w:val="18"/>
              </w:rPr>
              <w:t>5</w:t>
            </w:r>
          </w:p>
        </w:tc>
      </w:tr>
      <w:tr w:rsidR="00093AEB" w:rsidRPr="00CD1D92" w14:paraId="14839A2F"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0344E59D"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0529799A"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232AB9F4"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392C882B" w14:textId="77777777" w:rsidR="00DD755D" w:rsidRPr="00CD1D92" w:rsidRDefault="00DD755D" w:rsidP="00D32FA2">
            <w:pPr>
              <w:spacing w:after="0"/>
              <w:jc w:val="left"/>
              <w:rPr>
                <w:rFonts w:eastAsia="Times New Roman"/>
                <w:color w:val="000000"/>
                <w:sz w:val="18"/>
                <w:szCs w:val="18"/>
              </w:rPr>
            </w:pPr>
          </w:p>
        </w:tc>
        <w:tc>
          <w:tcPr>
            <w:tcW w:w="1129" w:type="dxa"/>
            <w:tcBorders>
              <w:top w:val="nil"/>
              <w:left w:val="nil"/>
              <w:bottom w:val="single" w:sz="4" w:space="0" w:color="auto"/>
              <w:right w:val="single" w:sz="4" w:space="0" w:color="auto"/>
            </w:tcBorders>
            <w:shd w:val="clear" w:color="auto" w:fill="auto"/>
            <w:noWrap/>
            <w:hideMark/>
          </w:tcPr>
          <w:p w14:paraId="7C70AF99"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72500</w:t>
            </w:r>
          </w:p>
        </w:tc>
        <w:tc>
          <w:tcPr>
            <w:tcW w:w="1870" w:type="dxa"/>
            <w:tcBorders>
              <w:top w:val="nil"/>
              <w:left w:val="nil"/>
              <w:bottom w:val="single" w:sz="4" w:space="0" w:color="auto"/>
              <w:right w:val="single" w:sz="4" w:space="0" w:color="auto"/>
            </w:tcBorders>
            <w:shd w:val="clear" w:color="auto" w:fill="auto"/>
            <w:noWrap/>
            <w:hideMark/>
          </w:tcPr>
          <w:p w14:paraId="0A0D7E2A" w14:textId="4C63AFCA" w:rsidR="00DD755D" w:rsidRPr="00CD1D92" w:rsidRDefault="001D57AA" w:rsidP="00D32FA2">
            <w:pPr>
              <w:spacing w:after="0"/>
              <w:jc w:val="left"/>
              <w:rPr>
                <w:rFonts w:eastAsia="Times New Roman"/>
                <w:color w:val="000000"/>
                <w:sz w:val="18"/>
                <w:szCs w:val="18"/>
              </w:rPr>
            </w:pPr>
            <w:r>
              <w:rPr>
                <w:rFonts w:eastAsia="Times New Roman"/>
                <w:color w:val="000000"/>
                <w:sz w:val="18"/>
                <w:szCs w:val="18"/>
              </w:rPr>
              <w:t>Supplies</w:t>
            </w:r>
          </w:p>
        </w:tc>
        <w:tc>
          <w:tcPr>
            <w:tcW w:w="920" w:type="dxa"/>
            <w:tcBorders>
              <w:top w:val="nil"/>
              <w:left w:val="nil"/>
              <w:bottom w:val="single" w:sz="4" w:space="0" w:color="auto"/>
              <w:right w:val="single" w:sz="4" w:space="0" w:color="auto"/>
            </w:tcBorders>
            <w:shd w:val="clear" w:color="auto" w:fill="auto"/>
            <w:noWrap/>
            <w:hideMark/>
          </w:tcPr>
          <w:p w14:paraId="42ADD538"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21D99585"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3,000</w:t>
            </w:r>
          </w:p>
        </w:tc>
        <w:tc>
          <w:tcPr>
            <w:tcW w:w="990" w:type="dxa"/>
            <w:tcBorders>
              <w:top w:val="nil"/>
              <w:left w:val="nil"/>
              <w:bottom w:val="single" w:sz="4" w:space="0" w:color="auto"/>
              <w:right w:val="single" w:sz="4" w:space="0" w:color="auto"/>
            </w:tcBorders>
            <w:shd w:val="clear" w:color="auto" w:fill="auto"/>
            <w:noWrap/>
            <w:hideMark/>
          </w:tcPr>
          <w:p w14:paraId="3349D06E"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3,000</w:t>
            </w:r>
          </w:p>
        </w:tc>
        <w:tc>
          <w:tcPr>
            <w:tcW w:w="990" w:type="dxa"/>
            <w:tcBorders>
              <w:top w:val="nil"/>
              <w:left w:val="nil"/>
              <w:bottom w:val="single" w:sz="4" w:space="0" w:color="auto"/>
              <w:right w:val="single" w:sz="4" w:space="0" w:color="auto"/>
            </w:tcBorders>
            <w:shd w:val="clear" w:color="auto" w:fill="auto"/>
            <w:noWrap/>
            <w:hideMark/>
          </w:tcPr>
          <w:p w14:paraId="31CDDFE2"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3,000</w:t>
            </w:r>
          </w:p>
        </w:tc>
        <w:tc>
          <w:tcPr>
            <w:tcW w:w="900" w:type="dxa"/>
            <w:tcBorders>
              <w:top w:val="nil"/>
              <w:left w:val="nil"/>
              <w:bottom w:val="single" w:sz="4" w:space="0" w:color="auto"/>
              <w:right w:val="single" w:sz="4" w:space="0" w:color="auto"/>
            </w:tcBorders>
            <w:shd w:val="clear" w:color="auto" w:fill="auto"/>
            <w:noWrap/>
            <w:hideMark/>
          </w:tcPr>
          <w:p w14:paraId="4212A55D"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3,000</w:t>
            </w:r>
          </w:p>
        </w:tc>
        <w:tc>
          <w:tcPr>
            <w:tcW w:w="960" w:type="dxa"/>
            <w:tcBorders>
              <w:top w:val="nil"/>
              <w:left w:val="nil"/>
              <w:bottom w:val="single" w:sz="4" w:space="0" w:color="auto"/>
              <w:right w:val="single" w:sz="4" w:space="0" w:color="auto"/>
            </w:tcBorders>
            <w:shd w:val="clear" w:color="auto" w:fill="auto"/>
            <w:noWrap/>
            <w:hideMark/>
          </w:tcPr>
          <w:p w14:paraId="605EA678"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3,000</w:t>
            </w:r>
          </w:p>
        </w:tc>
        <w:tc>
          <w:tcPr>
            <w:tcW w:w="990" w:type="dxa"/>
            <w:tcBorders>
              <w:top w:val="nil"/>
              <w:left w:val="nil"/>
              <w:bottom w:val="single" w:sz="4" w:space="0" w:color="auto"/>
              <w:right w:val="single" w:sz="4" w:space="0" w:color="auto"/>
            </w:tcBorders>
            <w:shd w:val="clear" w:color="auto" w:fill="auto"/>
            <w:noWrap/>
            <w:hideMark/>
          </w:tcPr>
          <w:p w14:paraId="2A252096"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15,000</w:t>
            </w:r>
          </w:p>
        </w:tc>
        <w:tc>
          <w:tcPr>
            <w:tcW w:w="690" w:type="dxa"/>
            <w:tcBorders>
              <w:top w:val="nil"/>
              <w:left w:val="nil"/>
              <w:bottom w:val="single" w:sz="4" w:space="0" w:color="auto"/>
              <w:right w:val="single" w:sz="4" w:space="0" w:color="auto"/>
            </w:tcBorders>
            <w:shd w:val="clear" w:color="auto" w:fill="auto"/>
            <w:noWrap/>
            <w:hideMark/>
          </w:tcPr>
          <w:p w14:paraId="6D5FEFE8" w14:textId="03C10F3D" w:rsidR="00DD755D" w:rsidRPr="00CD1D92" w:rsidRDefault="001D57AA" w:rsidP="001D57AA">
            <w:pPr>
              <w:spacing w:after="0"/>
              <w:jc w:val="center"/>
              <w:rPr>
                <w:rFonts w:eastAsia="Times New Roman"/>
                <w:color w:val="000000"/>
                <w:sz w:val="18"/>
                <w:szCs w:val="18"/>
              </w:rPr>
            </w:pPr>
            <w:r w:rsidRPr="00CD1D92">
              <w:rPr>
                <w:rFonts w:eastAsia="Times New Roman"/>
                <w:color w:val="000000"/>
                <w:sz w:val="18"/>
                <w:szCs w:val="18"/>
              </w:rPr>
              <w:t>2</w:t>
            </w:r>
            <w:r>
              <w:rPr>
                <w:rFonts w:eastAsia="Times New Roman"/>
                <w:color w:val="000000"/>
                <w:sz w:val="18"/>
                <w:szCs w:val="18"/>
              </w:rPr>
              <w:t>6</w:t>
            </w:r>
          </w:p>
        </w:tc>
      </w:tr>
      <w:tr w:rsidR="00093AEB" w:rsidRPr="00CD1D92" w14:paraId="6314A83D"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17BEBD24"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0B6ACD2C" w14:textId="77777777" w:rsidR="00DD755D" w:rsidRPr="00CD1D92" w:rsidRDefault="00DD755D" w:rsidP="00D32FA2">
            <w:pPr>
              <w:spacing w:after="0"/>
              <w:jc w:val="left"/>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000000" w:fill="C6E0B4"/>
            <w:noWrap/>
            <w:hideMark/>
          </w:tcPr>
          <w:p w14:paraId="1B4DC237"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 </w:t>
            </w:r>
          </w:p>
        </w:tc>
        <w:tc>
          <w:tcPr>
            <w:tcW w:w="810" w:type="dxa"/>
            <w:tcBorders>
              <w:top w:val="nil"/>
              <w:left w:val="nil"/>
              <w:bottom w:val="single" w:sz="4" w:space="0" w:color="auto"/>
              <w:right w:val="single" w:sz="4" w:space="0" w:color="auto"/>
            </w:tcBorders>
            <w:shd w:val="clear" w:color="000000" w:fill="C6E0B4"/>
            <w:noWrap/>
            <w:hideMark/>
          </w:tcPr>
          <w:p w14:paraId="1120786C"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 </w:t>
            </w:r>
          </w:p>
        </w:tc>
        <w:tc>
          <w:tcPr>
            <w:tcW w:w="1129" w:type="dxa"/>
            <w:tcBorders>
              <w:top w:val="nil"/>
              <w:left w:val="nil"/>
              <w:bottom w:val="single" w:sz="4" w:space="0" w:color="auto"/>
              <w:right w:val="single" w:sz="4" w:space="0" w:color="auto"/>
            </w:tcBorders>
            <w:shd w:val="clear" w:color="000000" w:fill="C6E0B4"/>
            <w:noWrap/>
            <w:hideMark/>
          </w:tcPr>
          <w:p w14:paraId="25B882CE"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 </w:t>
            </w:r>
          </w:p>
        </w:tc>
        <w:tc>
          <w:tcPr>
            <w:tcW w:w="1870" w:type="dxa"/>
            <w:tcBorders>
              <w:top w:val="nil"/>
              <w:left w:val="nil"/>
              <w:bottom w:val="single" w:sz="4" w:space="0" w:color="auto"/>
              <w:right w:val="single" w:sz="4" w:space="0" w:color="auto"/>
            </w:tcBorders>
            <w:shd w:val="clear" w:color="000000" w:fill="C6E0B4"/>
            <w:noWrap/>
            <w:hideMark/>
          </w:tcPr>
          <w:p w14:paraId="327EDBD3"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GEF Subtotal</w:t>
            </w:r>
          </w:p>
        </w:tc>
        <w:tc>
          <w:tcPr>
            <w:tcW w:w="920" w:type="dxa"/>
            <w:tcBorders>
              <w:top w:val="nil"/>
              <w:left w:val="nil"/>
              <w:bottom w:val="single" w:sz="4" w:space="0" w:color="auto"/>
              <w:right w:val="single" w:sz="4" w:space="0" w:color="auto"/>
            </w:tcBorders>
            <w:shd w:val="clear" w:color="000000" w:fill="C6E0B4"/>
            <w:noWrap/>
            <w:hideMark/>
          </w:tcPr>
          <w:p w14:paraId="47C3EFF7"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127,000</w:t>
            </w:r>
          </w:p>
        </w:tc>
        <w:tc>
          <w:tcPr>
            <w:tcW w:w="990" w:type="dxa"/>
            <w:tcBorders>
              <w:top w:val="nil"/>
              <w:left w:val="nil"/>
              <w:bottom w:val="single" w:sz="4" w:space="0" w:color="auto"/>
              <w:right w:val="single" w:sz="4" w:space="0" w:color="auto"/>
            </w:tcBorders>
            <w:shd w:val="clear" w:color="000000" w:fill="C6E0B4"/>
            <w:noWrap/>
            <w:hideMark/>
          </w:tcPr>
          <w:p w14:paraId="42D9A70E"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219,000</w:t>
            </w:r>
          </w:p>
        </w:tc>
        <w:tc>
          <w:tcPr>
            <w:tcW w:w="990" w:type="dxa"/>
            <w:tcBorders>
              <w:top w:val="nil"/>
              <w:left w:val="nil"/>
              <w:bottom w:val="single" w:sz="4" w:space="0" w:color="auto"/>
              <w:right w:val="single" w:sz="4" w:space="0" w:color="auto"/>
            </w:tcBorders>
            <w:shd w:val="clear" w:color="000000" w:fill="C6E0B4"/>
            <w:noWrap/>
            <w:hideMark/>
          </w:tcPr>
          <w:p w14:paraId="32EA9323"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238,000</w:t>
            </w:r>
          </w:p>
        </w:tc>
        <w:tc>
          <w:tcPr>
            <w:tcW w:w="990" w:type="dxa"/>
            <w:tcBorders>
              <w:top w:val="nil"/>
              <w:left w:val="nil"/>
              <w:bottom w:val="single" w:sz="4" w:space="0" w:color="auto"/>
              <w:right w:val="single" w:sz="4" w:space="0" w:color="auto"/>
            </w:tcBorders>
            <w:shd w:val="clear" w:color="000000" w:fill="C6E0B4"/>
            <w:noWrap/>
            <w:hideMark/>
          </w:tcPr>
          <w:p w14:paraId="6C1B7164"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214,000</w:t>
            </w:r>
          </w:p>
        </w:tc>
        <w:tc>
          <w:tcPr>
            <w:tcW w:w="900" w:type="dxa"/>
            <w:tcBorders>
              <w:top w:val="nil"/>
              <w:left w:val="nil"/>
              <w:bottom w:val="single" w:sz="4" w:space="0" w:color="auto"/>
              <w:right w:val="single" w:sz="4" w:space="0" w:color="auto"/>
            </w:tcBorders>
            <w:shd w:val="clear" w:color="000000" w:fill="C6E0B4"/>
            <w:noWrap/>
            <w:hideMark/>
          </w:tcPr>
          <w:p w14:paraId="73D9F4B3"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117,000</w:t>
            </w:r>
          </w:p>
        </w:tc>
        <w:tc>
          <w:tcPr>
            <w:tcW w:w="960" w:type="dxa"/>
            <w:tcBorders>
              <w:top w:val="nil"/>
              <w:left w:val="nil"/>
              <w:bottom w:val="single" w:sz="4" w:space="0" w:color="auto"/>
              <w:right w:val="single" w:sz="4" w:space="0" w:color="auto"/>
            </w:tcBorders>
            <w:shd w:val="clear" w:color="000000" w:fill="C6E0B4"/>
            <w:noWrap/>
            <w:hideMark/>
          </w:tcPr>
          <w:p w14:paraId="0B8D5C1C"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45,000</w:t>
            </w:r>
          </w:p>
        </w:tc>
        <w:tc>
          <w:tcPr>
            <w:tcW w:w="990" w:type="dxa"/>
            <w:tcBorders>
              <w:top w:val="nil"/>
              <w:left w:val="nil"/>
              <w:bottom w:val="single" w:sz="4" w:space="0" w:color="auto"/>
              <w:right w:val="single" w:sz="4" w:space="0" w:color="auto"/>
            </w:tcBorders>
            <w:shd w:val="clear" w:color="000000" w:fill="C6E0B4"/>
            <w:noWrap/>
            <w:hideMark/>
          </w:tcPr>
          <w:p w14:paraId="491352FF"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960,000</w:t>
            </w:r>
          </w:p>
        </w:tc>
        <w:tc>
          <w:tcPr>
            <w:tcW w:w="690" w:type="dxa"/>
            <w:tcBorders>
              <w:top w:val="nil"/>
              <w:left w:val="nil"/>
              <w:bottom w:val="single" w:sz="4" w:space="0" w:color="auto"/>
              <w:right w:val="single" w:sz="4" w:space="0" w:color="auto"/>
            </w:tcBorders>
            <w:shd w:val="clear" w:color="000000" w:fill="C6E0B4"/>
            <w:noWrap/>
            <w:hideMark/>
          </w:tcPr>
          <w:p w14:paraId="0563DCA7" w14:textId="77777777" w:rsidR="00DD755D" w:rsidRPr="00CD1D92" w:rsidRDefault="00DD755D" w:rsidP="00D32FA2">
            <w:pPr>
              <w:spacing w:after="0"/>
              <w:jc w:val="center"/>
              <w:rPr>
                <w:rFonts w:eastAsia="Times New Roman"/>
                <w:color w:val="000000"/>
                <w:sz w:val="18"/>
                <w:szCs w:val="18"/>
              </w:rPr>
            </w:pPr>
          </w:p>
        </w:tc>
      </w:tr>
      <w:tr w:rsidR="00093AEB" w:rsidRPr="00CD1D92" w14:paraId="1EB82B5C"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2A87277E"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1E02E5DE" w14:textId="77777777" w:rsidR="00DD755D" w:rsidRPr="00CD1D92" w:rsidRDefault="00DD755D" w:rsidP="00D32FA2">
            <w:pPr>
              <w:spacing w:after="0"/>
              <w:jc w:val="left"/>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000000" w:fill="A9D08E"/>
            <w:noWrap/>
            <w:hideMark/>
          </w:tcPr>
          <w:p w14:paraId="703927FF"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 </w:t>
            </w:r>
          </w:p>
        </w:tc>
        <w:tc>
          <w:tcPr>
            <w:tcW w:w="810" w:type="dxa"/>
            <w:tcBorders>
              <w:top w:val="nil"/>
              <w:left w:val="nil"/>
              <w:bottom w:val="single" w:sz="4" w:space="0" w:color="auto"/>
              <w:right w:val="single" w:sz="4" w:space="0" w:color="auto"/>
            </w:tcBorders>
            <w:shd w:val="clear" w:color="000000" w:fill="A9D08E"/>
            <w:noWrap/>
            <w:hideMark/>
          </w:tcPr>
          <w:p w14:paraId="5BC0643C"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 </w:t>
            </w:r>
          </w:p>
        </w:tc>
        <w:tc>
          <w:tcPr>
            <w:tcW w:w="1129" w:type="dxa"/>
            <w:tcBorders>
              <w:top w:val="nil"/>
              <w:left w:val="nil"/>
              <w:bottom w:val="single" w:sz="4" w:space="0" w:color="auto"/>
              <w:right w:val="single" w:sz="4" w:space="0" w:color="auto"/>
            </w:tcBorders>
            <w:shd w:val="clear" w:color="000000" w:fill="A9D08E"/>
            <w:noWrap/>
            <w:hideMark/>
          </w:tcPr>
          <w:p w14:paraId="7ED242B6"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 </w:t>
            </w:r>
          </w:p>
        </w:tc>
        <w:tc>
          <w:tcPr>
            <w:tcW w:w="1870" w:type="dxa"/>
            <w:tcBorders>
              <w:top w:val="nil"/>
              <w:left w:val="nil"/>
              <w:bottom w:val="single" w:sz="4" w:space="0" w:color="auto"/>
              <w:right w:val="single" w:sz="4" w:space="0" w:color="auto"/>
            </w:tcBorders>
            <w:shd w:val="clear" w:color="000000" w:fill="A9D08E"/>
            <w:noWrap/>
            <w:hideMark/>
          </w:tcPr>
          <w:p w14:paraId="6356360D"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Total Outcome 3</w:t>
            </w:r>
          </w:p>
        </w:tc>
        <w:tc>
          <w:tcPr>
            <w:tcW w:w="920" w:type="dxa"/>
            <w:tcBorders>
              <w:top w:val="nil"/>
              <w:left w:val="nil"/>
              <w:bottom w:val="single" w:sz="4" w:space="0" w:color="auto"/>
              <w:right w:val="single" w:sz="4" w:space="0" w:color="auto"/>
            </w:tcBorders>
            <w:shd w:val="clear" w:color="000000" w:fill="A9D08E"/>
            <w:noWrap/>
            <w:hideMark/>
          </w:tcPr>
          <w:p w14:paraId="7D648D53"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127,000</w:t>
            </w:r>
          </w:p>
        </w:tc>
        <w:tc>
          <w:tcPr>
            <w:tcW w:w="990" w:type="dxa"/>
            <w:tcBorders>
              <w:top w:val="nil"/>
              <w:left w:val="nil"/>
              <w:bottom w:val="single" w:sz="4" w:space="0" w:color="auto"/>
              <w:right w:val="single" w:sz="4" w:space="0" w:color="auto"/>
            </w:tcBorders>
            <w:shd w:val="clear" w:color="000000" w:fill="A9D08E"/>
            <w:noWrap/>
            <w:hideMark/>
          </w:tcPr>
          <w:p w14:paraId="158EABFB"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219,000</w:t>
            </w:r>
          </w:p>
        </w:tc>
        <w:tc>
          <w:tcPr>
            <w:tcW w:w="990" w:type="dxa"/>
            <w:tcBorders>
              <w:top w:val="nil"/>
              <w:left w:val="nil"/>
              <w:bottom w:val="single" w:sz="4" w:space="0" w:color="auto"/>
              <w:right w:val="single" w:sz="4" w:space="0" w:color="auto"/>
            </w:tcBorders>
            <w:shd w:val="clear" w:color="000000" w:fill="A9D08E"/>
            <w:noWrap/>
            <w:hideMark/>
          </w:tcPr>
          <w:p w14:paraId="1D68755B"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238,000</w:t>
            </w:r>
          </w:p>
        </w:tc>
        <w:tc>
          <w:tcPr>
            <w:tcW w:w="990" w:type="dxa"/>
            <w:tcBorders>
              <w:top w:val="nil"/>
              <w:left w:val="nil"/>
              <w:bottom w:val="single" w:sz="4" w:space="0" w:color="auto"/>
              <w:right w:val="single" w:sz="4" w:space="0" w:color="auto"/>
            </w:tcBorders>
            <w:shd w:val="clear" w:color="000000" w:fill="A9D08E"/>
            <w:noWrap/>
            <w:hideMark/>
          </w:tcPr>
          <w:p w14:paraId="4B6AEE3D"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214,000</w:t>
            </w:r>
          </w:p>
        </w:tc>
        <w:tc>
          <w:tcPr>
            <w:tcW w:w="900" w:type="dxa"/>
            <w:tcBorders>
              <w:top w:val="nil"/>
              <w:left w:val="nil"/>
              <w:bottom w:val="single" w:sz="4" w:space="0" w:color="auto"/>
              <w:right w:val="single" w:sz="4" w:space="0" w:color="auto"/>
            </w:tcBorders>
            <w:shd w:val="clear" w:color="000000" w:fill="A9D08E"/>
            <w:noWrap/>
            <w:hideMark/>
          </w:tcPr>
          <w:p w14:paraId="60426D41"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117,000</w:t>
            </w:r>
          </w:p>
        </w:tc>
        <w:tc>
          <w:tcPr>
            <w:tcW w:w="960" w:type="dxa"/>
            <w:tcBorders>
              <w:top w:val="nil"/>
              <w:left w:val="nil"/>
              <w:bottom w:val="single" w:sz="4" w:space="0" w:color="auto"/>
              <w:right w:val="single" w:sz="4" w:space="0" w:color="auto"/>
            </w:tcBorders>
            <w:shd w:val="clear" w:color="000000" w:fill="A9D08E"/>
            <w:noWrap/>
            <w:hideMark/>
          </w:tcPr>
          <w:p w14:paraId="6F66414F"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45,000</w:t>
            </w:r>
          </w:p>
        </w:tc>
        <w:tc>
          <w:tcPr>
            <w:tcW w:w="990" w:type="dxa"/>
            <w:tcBorders>
              <w:top w:val="nil"/>
              <w:left w:val="nil"/>
              <w:bottom w:val="single" w:sz="4" w:space="0" w:color="auto"/>
              <w:right w:val="single" w:sz="4" w:space="0" w:color="auto"/>
            </w:tcBorders>
            <w:shd w:val="clear" w:color="000000" w:fill="A9D08E"/>
            <w:noWrap/>
            <w:hideMark/>
          </w:tcPr>
          <w:p w14:paraId="40E466B7"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960,000</w:t>
            </w:r>
          </w:p>
        </w:tc>
        <w:tc>
          <w:tcPr>
            <w:tcW w:w="690" w:type="dxa"/>
            <w:tcBorders>
              <w:top w:val="nil"/>
              <w:left w:val="nil"/>
              <w:bottom w:val="single" w:sz="4" w:space="0" w:color="auto"/>
              <w:right w:val="single" w:sz="4" w:space="0" w:color="auto"/>
            </w:tcBorders>
            <w:shd w:val="clear" w:color="000000" w:fill="A9D08E"/>
            <w:noWrap/>
            <w:hideMark/>
          </w:tcPr>
          <w:p w14:paraId="15454D6E" w14:textId="77777777" w:rsidR="00DD755D" w:rsidRPr="00CD1D92" w:rsidRDefault="00DD755D" w:rsidP="00D32FA2">
            <w:pPr>
              <w:spacing w:after="0"/>
              <w:jc w:val="center"/>
              <w:rPr>
                <w:rFonts w:eastAsia="Times New Roman"/>
                <w:color w:val="000000"/>
                <w:sz w:val="18"/>
                <w:szCs w:val="18"/>
              </w:rPr>
            </w:pPr>
          </w:p>
        </w:tc>
      </w:tr>
      <w:tr w:rsidR="00093AEB" w:rsidRPr="00CD1D92" w14:paraId="7AC6A1D5" w14:textId="77777777" w:rsidTr="001D57AA">
        <w:trPr>
          <w:trHeight w:val="300"/>
        </w:trPr>
        <w:tc>
          <w:tcPr>
            <w:tcW w:w="1235" w:type="dxa"/>
            <w:vMerge w:val="restart"/>
            <w:tcBorders>
              <w:top w:val="nil"/>
              <w:left w:val="single" w:sz="4" w:space="0" w:color="auto"/>
              <w:bottom w:val="single" w:sz="4" w:space="0" w:color="000000"/>
              <w:right w:val="single" w:sz="4" w:space="0" w:color="auto"/>
            </w:tcBorders>
            <w:shd w:val="clear" w:color="auto" w:fill="auto"/>
            <w:hideMark/>
          </w:tcPr>
          <w:p w14:paraId="105B5EC9" w14:textId="419E4196" w:rsidR="00093AEB" w:rsidRDefault="00DD755D" w:rsidP="00D32FA2">
            <w:pPr>
              <w:spacing w:after="0"/>
              <w:jc w:val="left"/>
              <w:rPr>
                <w:rFonts w:eastAsia="Times New Roman"/>
                <w:color w:val="000000"/>
                <w:sz w:val="18"/>
                <w:szCs w:val="18"/>
              </w:rPr>
            </w:pPr>
            <w:r w:rsidRPr="00CD1D92">
              <w:rPr>
                <w:rFonts w:eastAsia="Times New Roman"/>
                <w:b/>
                <w:bCs/>
                <w:color w:val="000000"/>
                <w:sz w:val="18"/>
                <w:szCs w:val="18"/>
              </w:rPr>
              <w:t xml:space="preserve">Outcome 4: </w:t>
            </w:r>
            <w:r w:rsidRPr="00CD1D92">
              <w:rPr>
                <w:rFonts w:eastAsia="Times New Roman"/>
                <w:color w:val="000000"/>
                <w:sz w:val="18"/>
                <w:szCs w:val="18"/>
              </w:rPr>
              <w:t>Knowledge managemen</w:t>
            </w:r>
            <w:r w:rsidR="00093AEB">
              <w:rPr>
                <w:rFonts w:eastAsia="Times New Roman"/>
                <w:color w:val="000000"/>
                <w:sz w:val="18"/>
                <w:szCs w:val="18"/>
              </w:rPr>
              <w:t>t</w:t>
            </w:r>
          </w:p>
          <w:p w14:paraId="1A643D51" w14:textId="3E990B82"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 xml:space="preserve">monitoring and evaluation, equitable gender benefits and biodiversity </w:t>
            </w:r>
            <w:r w:rsidRPr="00CD1D92">
              <w:rPr>
                <w:rFonts w:eastAsia="Times New Roman"/>
                <w:color w:val="000000"/>
                <w:sz w:val="18"/>
                <w:szCs w:val="18"/>
              </w:rPr>
              <w:lastRenderedPageBreak/>
              <w:t xml:space="preserve">conservation </w:t>
            </w:r>
          </w:p>
        </w:tc>
        <w:tc>
          <w:tcPr>
            <w:tcW w:w="1212" w:type="dxa"/>
            <w:vMerge w:val="restart"/>
            <w:tcBorders>
              <w:top w:val="nil"/>
              <w:left w:val="single" w:sz="4" w:space="0" w:color="auto"/>
              <w:bottom w:val="single" w:sz="4" w:space="0" w:color="000000"/>
              <w:right w:val="single" w:sz="4" w:space="0" w:color="auto"/>
            </w:tcBorders>
            <w:shd w:val="clear" w:color="auto" w:fill="auto"/>
            <w:hideMark/>
          </w:tcPr>
          <w:p w14:paraId="12911E8D"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lastRenderedPageBreak/>
              <w:t>MNRET</w:t>
            </w:r>
          </w:p>
        </w:tc>
        <w:tc>
          <w:tcPr>
            <w:tcW w:w="810" w:type="dxa"/>
            <w:vMerge w:val="restart"/>
            <w:tcBorders>
              <w:top w:val="nil"/>
              <w:left w:val="single" w:sz="4" w:space="0" w:color="auto"/>
              <w:bottom w:val="single" w:sz="4" w:space="0" w:color="000000"/>
              <w:right w:val="single" w:sz="4" w:space="0" w:color="auto"/>
            </w:tcBorders>
            <w:shd w:val="clear" w:color="auto" w:fill="auto"/>
            <w:noWrap/>
            <w:hideMark/>
          </w:tcPr>
          <w:p w14:paraId="644DBDB2"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62000</w:t>
            </w:r>
          </w:p>
        </w:tc>
        <w:tc>
          <w:tcPr>
            <w:tcW w:w="810" w:type="dxa"/>
            <w:vMerge w:val="restart"/>
            <w:tcBorders>
              <w:top w:val="nil"/>
              <w:left w:val="single" w:sz="4" w:space="0" w:color="auto"/>
              <w:bottom w:val="single" w:sz="4" w:space="0" w:color="000000"/>
              <w:right w:val="single" w:sz="4" w:space="0" w:color="auto"/>
            </w:tcBorders>
            <w:shd w:val="clear" w:color="auto" w:fill="auto"/>
            <w:noWrap/>
            <w:hideMark/>
          </w:tcPr>
          <w:p w14:paraId="15733187"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GEF</w:t>
            </w:r>
          </w:p>
        </w:tc>
        <w:tc>
          <w:tcPr>
            <w:tcW w:w="1129" w:type="dxa"/>
            <w:tcBorders>
              <w:top w:val="nil"/>
              <w:left w:val="nil"/>
              <w:bottom w:val="single" w:sz="4" w:space="0" w:color="auto"/>
              <w:right w:val="single" w:sz="4" w:space="0" w:color="auto"/>
            </w:tcBorders>
            <w:shd w:val="clear" w:color="auto" w:fill="auto"/>
            <w:noWrap/>
            <w:hideMark/>
          </w:tcPr>
          <w:p w14:paraId="7F3FD60A"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71200</w:t>
            </w:r>
          </w:p>
        </w:tc>
        <w:tc>
          <w:tcPr>
            <w:tcW w:w="1870" w:type="dxa"/>
            <w:tcBorders>
              <w:top w:val="nil"/>
              <w:left w:val="nil"/>
              <w:bottom w:val="single" w:sz="4" w:space="0" w:color="auto"/>
              <w:right w:val="single" w:sz="4" w:space="0" w:color="auto"/>
            </w:tcBorders>
            <w:shd w:val="clear" w:color="auto" w:fill="auto"/>
            <w:noWrap/>
            <w:hideMark/>
          </w:tcPr>
          <w:p w14:paraId="4F034135"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International Consultants</w:t>
            </w:r>
          </w:p>
        </w:tc>
        <w:tc>
          <w:tcPr>
            <w:tcW w:w="920" w:type="dxa"/>
            <w:tcBorders>
              <w:top w:val="nil"/>
              <w:left w:val="nil"/>
              <w:bottom w:val="single" w:sz="4" w:space="0" w:color="auto"/>
              <w:right w:val="single" w:sz="4" w:space="0" w:color="auto"/>
            </w:tcBorders>
            <w:shd w:val="clear" w:color="auto" w:fill="auto"/>
            <w:noWrap/>
            <w:hideMark/>
          </w:tcPr>
          <w:p w14:paraId="4AE96698"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7711B4F9"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7D58B9E7" w14:textId="18372C34" w:rsidR="00DD755D" w:rsidRPr="00CD1D92" w:rsidRDefault="006A4858" w:rsidP="00D32FA2">
            <w:pPr>
              <w:spacing w:after="0"/>
              <w:jc w:val="right"/>
              <w:rPr>
                <w:rFonts w:eastAsia="Times New Roman"/>
                <w:color w:val="000000"/>
                <w:sz w:val="18"/>
                <w:szCs w:val="18"/>
              </w:rPr>
            </w:pPr>
            <w:r>
              <w:rPr>
                <w:rFonts w:eastAsia="Times New Roman"/>
                <w:color w:val="000000"/>
                <w:sz w:val="18"/>
                <w:szCs w:val="18"/>
              </w:rPr>
              <w:t>5</w:t>
            </w:r>
            <w:r w:rsidRPr="00CD1D92">
              <w:rPr>
                <w:rFonts w:eastAsia="Times New Roman"/>
                <w:color w:val="000000"/>
                <w:sz w:val="18"/>
                <w:szCs w:val="18"/>
              </w:rPr>
              <w:t>3</w:t>
            </w:r>
            <w:r w:rsidR="00DD755D" w:rsidRPr="00CD1D92">
              <w:rPr>
                <w:rFonts w:eastAsia="Times New Roman"/>
                <w:color w:val="000000"/>
                <w:sz w:val="18"/>
                <w:szCs w:val="18"/>
              </w:rPr>
              <w:t>,000</w:t>
            </w:r>
          </w:p>
        </w:tc>
        <w:tc>
          <w:tcPr>
            <w:tcW w:w="990" w:type="dxa"/>
            <w:tcBorders>
              <w:top w:val="nil"/>
              <w:left w:val="nil"/>
              <w:bottom w:val="single" w:sz="4" w:space="0" w:color="auto"/>
              <w:right w:val="single" w:sz="4" w:space="0" w:color="auto"/>
            </w:tcBorders>
            <w:shd w:val="clear" w:color="auto" w:fill="auto"/>
            <w:noWrap/>
            <w:hideMark/>
          </w:tcPr>
          <w:p w14:paraId="4FE0C016"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35,000</w:t>
            </w:r>
          </w:p>
        </w:tc>
        <w:tc>
          <w:tcPr>
            <w:tcW w:w="900" w:type="dxa"/>
            <w:tcBorders>
              <w:top w:val="nil"/>
              <w:left w:val="nil"/>
              <w:bottom w:val="single" w:sz="4" w:space="0" w:color="auto"/>
              <w:right w:val="single" w:sz="4" w:space="0" w:color="auto"/>
            </w:tcBorders>
            <w:shd w:val="clear" w:color="auto" w:fill="auto"/>
            <w:noWrap/>
            <w:hideMark/>
          </w:tcPr>
          <w:p w14:paraId="7C35FEDB"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60" w:type="dxa"/>
            <w:tcBorders>
              <w:top w:val="nil"/>
              <w:left w:val="nil"/>
              <w:bottom w:val="single" w:sz="4" w:space="0" w:color="auto"/>
              <w:right w:val="single" w:sz="4" w:space="0" w:color="auto"/>
            </w:tcBorders>
            <w:shd w:val="clear" w:color="auto" w:fill="auto"/>
            <w:noWrap/>
            <w:hideMark/>
          </w:tcPr>
          <w:p w14:paraId="3E7F02DB"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40,000</w:t>
            </w:r>
          </w:p>
        </w:tc>
        <w:tc>
          <w:tcPr>
            <w:tcW w:w="990" w:type="dxa"/>
            <w:tcBorders>
              <w:top w:val="nil"/>
              <w:left w:val="nil"/>
              <w:bottom w:val="single" w:sz="4" w:space="0" w:color="auto"/>
              <w:right w:val="single" w:sz="4" w:space="0" w:color="auto"/>
            </w:tcBorders>
            <w:shd w:val="clear" w:color="auto" w:fill="auto"/>
            <w:noWrap/>
            <w:hideMark/>
          </w:tcPr>
          <w:p w14:paraId="299D6998" w14:textId="17A78131" w:rsidR="00DD755D" w:rsidRPr="00CD1D92" w:rsidRDefault="006A4858" w:rsidP="006A4858">
            <w:pPr>
              <w:spacing w:after="0"/>
              <w:jc w:val="right"/>
              <w:rPr>
                <w:rFonts w:eastAsia="Times New Roman"/>
                <w:color w:val="000000"/>
                <w:sz w:val="18"/>
                <w:szCs w:val="18"/>
              </w:rPr>
            </w:pPr>
            <w:r w:rsidRPr="00CD1D92">
              <w:rPr>
                <w:rFonts w:eastAsia="Times New Roman"/>
                <w:color w:val="000000"/>
                <w:sz w:val="18"/>
                <w:szCs w:val="18"/>
              </w:rPr>
              <w:t>1</w:t>
            </w:r>
            <w:r>
              <w:rPr>
                <w:rFonts w:eastAsia="Times New Roman"/>
                <w:color w:val="000000"/>
                <w:sz w:val="18"/>
                <w:szCs w:val="18"/>
              </w:rPr>
              <w:t>2</w:t>
            </w:r>
            <w:r w:rsidRPr="00CD1D92">
              <w:rPr>
                <w:rFonts w:eastAsia="Times New Roman"/>
                <w:color w:val="000000"/>
                <w:sz w:val="18"/>
                <w:szCs w:val="18"/>
              </w:rPr>
              <w:t>8</w:t>
            </w:r>
            <w:r w:rsidR="00DD755D" w:rsidRPr="00CD1D92">
              <w:rPr>
                <w:rFonts w:eastAsia="Times New Roman"/>
                <w:color w:val="000000"/>
                <w:sz w:val="18"/>
                <w:szCs w:val="18"/>
              </w:rPr>
              <w:t>,000</w:t>
            </w:r>
          </w:p>
        </w:tc>
        <w:tc>
          <w:tcPr>
            <w:tcW w:w="690" w:type="dxa"/>
            <w:tcBorders>
              <w:top w:val="nil"/>
              <w:left w:val="nil"/>
              <w:bottom w:val="single" w:sz="4" w:space="0" w:color="auto"/>
              <w:right w:val="single" w:sz="4" w:space="0" w:color="auto"/>
            </w:tcBorders>
            <w:shd w:val="clear" w:color="auto" w:fill="auto"/>
            <w:noWrap/>
            <w:hideMark/>
          </w:tcPr>
          <w:p w14:paraId="16E8C47D" w14:textId="49F557F8" w:rsidR="00DD755D" w:rsidRPr="00CD1D92" w:rsidRDefault="001D57AA" w:rsidP="001D57AA">
            <w:pPr>
              <w:spacing w:after="0"/>
              <w:jc w:val="center"/>
              <w:rPr>
                <w:rFonts w:eastAsia="Times New Roman"/>
                <w:color w:val="000000"/>
                <w:sz w:val="18"/>
                <w:szCs w:val="18"/>
              </w:rPr>
            </w:pPr>
            <w:r w:rsidRPr="00CD1D92">
              <w:rPr>
                <w:rFonts w:eastAsia="Times New Roman"/>
                <w:color w:val="000000"/>
                <w:sz w:val="18"/>
                <w:szCs w:val="18"/>
              </w:rPr>
              <w:t>2</w:t>
            </w:r>
            <w:r>
              <w:rPr>
                <w:rFonts w:eastAsia="Times New Roman"/>
                <w:color w:val="000000"/>
                <w:sz w:val="18"/>
                <w:szCs w:val="18"/>
              </w:rPr>
              <w:t>7</w:t>
            </w:r>
          </w:p>
        </w:tc>
      </w:tr>
      <w:tr w:rsidR="00093AEB" w:rsidRPr="00CD1D92" w14:paraId="7F151450"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313B71F3"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508F3DA2"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223C5F32"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011CD7DC" w14:textId="77777777" w:rsidR="00DD755D" w:rsidRPr="00CD1D92" w:rsidRDefault="00DD755D" w:rsidP="00D32FA2">
            <w:pPr>
              <w:spacing w:after="0"/>
              <w:jc w:val="left"/>
              <w:rPr>
                <w:rFonts w:eastAsia="Times New Roman"/>
                <w:color w:val="000000"/>
                <w:sz w:val="18"/>
                <w:szCs w:val="18"/>
              </w:rPr>
            </w:pPr>
          </w:p>
        </w:tc>
        <w:tc>
          <w:tcPr>
            <w:tcW w:w="1129" w:type="dxa"/>
            <w:tcBorders>
              <w:top w:val="nil"/>
              <w:left w:val="nil"/>
              <w:bottom w:val="single" w:sz="4" w:space="0" w:color="auto"/>
              <w:right w:val="single" w:sz="4" w:space="0" w:color="auto"/>
            </w:tcBorders>
            <w:shd w:val="clear" w:color="auto" w:fill="auto"/>
            <w:noWrap/>
            <w:hideMark/>
          </w:tcPr>
          <w:p w14:paraId="4A91CC77"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71300</w:t>
            </w:r>
          </w:p>
        </w:tc>
        <w:tc>
          <w:tcPr>
            <w:tcW w:w="1870" w:type="dxa"/>
            <w:tcBorders>
              <w:top w:val="nil"/>
              <w:left w:val="nil"/>
              <w:bottom w:val="single" w:sz="4" w:space="0" w:color="auto"/>
              <w:right w:val="single" w:sz="4" w:space="0" w:color="auto"/>
            </w:tcBorders>
            <w:shd w:val="clear" w:color="auto" w:fill="auto"/>
            <w:noWrap/>
            <w:hideMark/>
          </w:tcPr>
          <w:p w14:paraId="565DDE40"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National Consultants</w:t>
            </w:r>
          </w:p>
        </w:tc>
        <w:tc>
          <w:tcPr>
            <w:tcW w:w="920" w:type="dxa"/>
            <w:tcBorders>
              <w:top w:val="nil"/>
              <w:left w:val="nil"/>
              <w:bottom w:val="single" w:sz="4" w:space="0" w:color="auto"/>
              <w:right w:val="single" w:sz="4" w:space="0" w:color="auto"/>
            </w:tcBorders>
            <w:shd w:val="clear" w:color="auto" w:fill="auto"/>
            <w:noWrap/>
            <w:hideMark/>
          </w:tcPr>
          <w:p w14:paraId="6A242D91"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13,000</w:t>
            </w:r>
          </w:p>
        </w:tc>
        <w:tc>
          <w:tcPr>
            <w:tcW w:w="990" w:type="dxa"/>
            <w:tcBorders>
              <w:top w:val="nil"/>
              <w:left w:val="nil"/>
              <w:bottom w:val="single" w:sz="4" w:space="0" w:color="auto"/>
              <w:right w:val="single" w:sz="4" w:space="0" w:color="auto"/>
            </w:tcBorders>
            <w:shd w:val="clear" w:color="auto" w:fill="auto"/>
            <w:noWrap/>
            <w:hideMark/>
          </w:tcPr>
          <w:p w14:paraId="08F4F83C"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18,000</w:t>
            </w:r>
          </w:p>
        </w:tc>
        <w:tc>
          <w:tcPr>
            <w:tcW w:w="990" w:type="dxa"/>
            <w:tcBorders>
              <w:top w:val="nil"/>
              <w:left w:val="nil"/>
              <w:bottom w:val="single" w:sz="4" w:space="0" w:color="auto"/>
              <w:right w:val="single" w:sz="4" w:space="0" w:color="auto"/>
            </w:tcBorders>
            <w:shd w:val="clear" w:color="auto" w:fill="auto"/>
            <w:noWrap/>
            <w:hideMark/>
          </w:tcPr>
          <w:p w14:paraId="38E3C022"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29,000</w:t>
            </w:r>
          </w:p>
        </w:tc>
        <w:tc>
          <w:tcPr>
            <w:tcW w:w="990" w:type="dxa"/>
            <w:tcBorders>
              <w:top w:val="nil"/>
              <w:left w:val="nil"/>
              <w:bottom w:val="single" w:sz="4" w:space="0" w:color="auto"/>
              <w:right w:val="single" w:sz="4" w:space="0" w:color="auto"/>
            </w:tcBorders>
            <w:shd w:val="clear" w:color="auto" w:fill="auto"/>
            <w:noWrap/>
            <w:hideMark/>
          </w:tcPr>
          <w:p w14:paraId="144EA3E2"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8,000</w:t>
            </w:r>
          </w:p>
        </w:tc>
        <w:tc>
          <w:tcPr>
            <w:tcW w:w="900" w:type="dxa"/>
            <w:tcBorders>
              <w:top w:val="nil"/>
              <w:left w:val="nil"/>
              <w:bottom w:val="single" w:sz="4" w:space="0" w:color="auto"/>
              <w:right w:val="single" w:sz="4" w:space="0" w:color="auto"/>
            </w:tcBorders>
            <w:shd w:val="clear" w:color="auto" w:fill="auto"/>
            <w:noWrap/>
            <w:hideMark/>
          </w:tcPr>
          <w:p w14:paraId="27F1CC2D"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3,000</w:t>
            </w:r>
          </w:p>
        </w:tc>
        <w:tc>
          <w:tcPr>
            <w:tcW w:w="960" w:type="dxa"/>
            <w:tcBorders>
              <w:top w:val="nil"/>
              <w:left w:val="nil"/>
              <w:bottom w:val="single" w:sz="4" w:space="0" w:color="auto"/>
              <w:right w:val="single" w:sz="4" w:space="0" w:color="auto"/>
            </w:tcBorders>
            <w:shd w:val="clear" w:color="auto" w:fill="auto"/>
            <w:noWrap/>
            <w:hideMark/>
          </w:tcPr>
          <w:p w14:paraId="0232A13C"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13,000</w:t>
            </w:r>
          </w:p>
        </w:tc>
        <w:tc>
          <w:tcPr>
            <w:tcW w:w="990" w:type="dxa"/>
            <w:tcBorders>
              <w:top w:val="nil"/>
              <w:left w:val="nil"/>
              <w:bottom w:val="single" w:sz="4" w:space="0" w:color="auto"/>
              <w:right w:val="single" w:sz="4" w:space="0" w:color="auto"/>
            </w:tcBorders>
            <w:shd w:val="clear" w:color="auto" w:fill="auto"/>
            <w:noWrap/>
            <w:hideMark/>
          </w:tcPr>
          <w:p w14:paraId="6B6027D4"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84,000</w:t>
            </w:r>
          </w:p>
        </w:tc>
        <w:tc>
          <w:tcPr>
            <w:tcW w:w="690" w:type="dxa"/>
            <w:tcBorders>
              <w:top w:val="nil"/>
              <w:left w:val="nil"/>
              <w:bottom w:val="single" w:sz="4" w:space="0" w:color="auto"/>
              <w:right w:val="single" w:sz="4" w:space="0" w:color="auto"/>
            </w:tcBorders>
            <w:shd w:val="clear" w:color="auto" w:fill="auto"/>
            <w:noWrap/>
            <w:hideMark/>
          </w:tcPr>
          <w:p w14:paraId="62E4D039" w14:textId="10E20563" w:rsidR="00DD755D" w:rsidRPr="00CD1D92" w:rsidRDefault="001D57AA" w:rsidP="001D57AA">
            <w:pPr>
              <w:spacing w:after="0"/>
              <w:jc w:val="center"/>
              <w:rPr>
                <w:rFonts w:eastAsia="Times New Roman"/>
                <w:color w:val="000000"/>
                <w:sz w:val="18"/>
                <w:szCs w:val="18"/>
              </w:rPr>
            </w:pPr>
            <w:r w:rsidRPr="00CD1D92">
              <w:rPr>
                <w:rFonts w:eastAsia="Times New Roman"/>
                <w:color w:val="000000"/>
                <w:sz w:val="18"/>
                <w:szCs w:val="18"/>
              </w:rPr>
              <w:t>2</w:t>
            </w:r>
            <w:r>
              <w:rPr>
                <w:rFonts w:eastAsia="Times New Roman"/>
                <w:color w:val="000000"/>
                <w:sz w:val="18"/>
                <w:szCs w:val="18"/>
              </w:rPr>
              <w:t>8</w:t>
            </w:r>
          </w:p>
        </w:tc>
      </w:tr>
      <w:tr w:rsidR="00093AEB" w:rsidRPr="00CD1D92" w14:paraId="7AD13B04"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66B939B2"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6AE74C96"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4671F80C"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1D45D162" w14:textId="77777777" w:rsidR="00DD755D" w:rsidRPr="00CD1D92" w:rsidRDefault="00DD755D" w:rsidP="00D32FA2">
            <w:pPr>
              <w:spacing w:after="0"/>
              <w:jc w:val="left"/>
              <w:rPr>
                <w:rFonts w:eastAsia="Times New Roman"/>
                <w:color w:val="000000"/>
                <w:sz w:val="18"/>
                <w:szCs w:val="18"/>
              </w:rPr>
            </w:pPr>
          </w:p>
        </w:tc>
        <w:tc>
          <w:tcPr>
            <w:tcW w:w="1129" w:type="dxa"/>
            <w:tcBorders>
              <w:top w:val="nil"/>
              <w:left w:val="nil"/>
              <w:bottom w:val="single" w:sz="4" w:space="0" w:color="auto"/>
              <w:right w:val="single" w:sz="4" w:space="0" w:color="auto"/>
            </w:tcBorders>
            <w:shd w:val="clear" w:color="auto" w:fill="auto"/>
            <w:noWrap/>
            <w:hideMark/>
          </w:tcPr>
          <w:p w14:paraId="1A7E5B18" w14:textId="76CDB347" w:rsidR="00DD755D" w:rsidRPr="00CD1D92" w:rsidRDefault="001D57AA" w:rsidP="001D57AA">
            <w:pPr>
              <w:spacing w:after="0"/>
              <w:jc w:val="center"/>
              <w:rPr>
                <w:rFonts w:eastAsia="Times New Roman"/>
                <w:color w:val="000000"/>
                <w:sz w:val="18"/>
                <w:szCs w:val="18"/>
              </w:rPr>
            </w:pPr>
            <w:r w:rsidRPr="00CD1D92">
              <w:rPr>
                <w:rFonts w:eastAsia="Times New Roman"/>
                <w:color w:val="000000"/>
                <w:sz w:val="18"/>
                <w:szCs w:val="18"/>
              </w:rPr>
              <w:t>7</w:t>
            </w:r>
            <w:r>
              <w:rPr>
                <w:rFonts w:eastAsia="Times New Roman"/>
                <w:color w:val="000000"/>
                <w:sz w:val="18"/>
                <w:szCs w:val="18"/>
              </w:rPr>
              <w:t>2100</w:t>
            </w:r>
          </w:p>
        </w:tc>
        <w:tc>
          <w:tcPr>
            <w:tcW w:w="1870" w:type="dxa"/>
            <w:tcBorders>
              <w:top w:val="nil"/>
              <w:left w:val="nil"/>
              <w:bottom w:val="single" w:sz="4" w:space="0" w:color="auto"/>
              <w:right w:val="single" w:sz="4" w:space="0" w:color="auto"/>
            </w:tcBorders>
            <w:shd w:val="clear" w:color="auto" w:fill="auto"/>
            <w:noWrap/>
            <w:hideMark/>
          </w:tcPr>
          <w:p w14:paraId="7C796DEC" w14:textId="06F83750" w:rsidR="00DD755D" w:rsidRPr="00CD1D92" w:rsidRDefault="00DD755D" w:rsidP="001D57AA">
            <w:pPr>
              <w:spacing w:after="0"/>
              <w:jc w:val="left"/>
              <w:rPr>
                <w:rFonts w:eastAsia="Times New Roman"/>
                <w:color w:val="000000"/>
                <w:sz w:val="18"/>
                <w:szCs w:val="18"/>
              </w:rPr>
            </w:pPr>
            <w:r w:rsidRPr="00CD1D92">
              <w:rPr>
                <w:rFonts w:eastAsia="Times New Roman"/>
                <w:color w:val="000000"/>
                <w:sz w:val="18"/>
                <w:szCs w:val="18"/>
              </w:rPr>
              <w:t>Contractual Services</w:t>
            </w:r>
            <w:r w:rsidR="001D57AA">
              <w:rPr>
                <w:rFonts w:eastAsia="Times New Roman"/>
                <w:color w:val="000000"/>
                <w:sz w:val="18"/>
                <w:szCs w:val="18"/>
              </w:rPr>
              <w:t>-Companies</w:t>
            </w:r>
          </w:p>
        </w:tc>
        <w:tc>
          <w:tcPr>
            <w:tcW w:w="920" w:type="dxa"/>
            <w:tcBorders>
              <w:top w:val="nil"/>
              <w:left w:val="nil"/>
              <w:bottom w:val="single" w:sz="4" w:space="0" w:color="auto"/>
              <w:right w:val="single" w:sz="4" w:space="0" w:color="auto"/>
            </w:tcBorders>
            <w:shd w:val="clear" w:color="auto" w:fill="auto"/>
            <w:noWrap/>
            <w:hideMark/>
          </w:tcPr>
          <w:p w14:paraId="597AFE81"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13,000</w:t>
            </w:r>
          </w:p>
        </w:tc>
        <w:tc>
          <w:tcPr>
            <w:tcW w:w="990" w:type="dxa"/>
            <w:tcBorders>
              <w:top w:val="nil"/>
              <w:left w:val="nil"/>
              <w:bottom w:val="single" w:sz="4" w:space="0" w:color="auto"/>
              <w:right w:val="single" w:sz="4" w:space="0" w:color="auto"/>
            </w:tcBorders>
            <w:shd w:val="clear" w:color="auto" w:fill="auto"/>
            <w:noWrap/>
            <w:hideMark/>
          </w:tcPr>
          <w:p w14:paraId="5E8279CC"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49,000</w:t>
            </w:r>
          </w:p>
        </w:tc>
        <w:tc>
          <w:tcPr>
            <w:tcW w:w="990" w:type="dxa"/>
            <w:tcBorders>
              <w:top w:val="nil"/>
              <w:left w:val="nil"/>
              <w:bottom w:val="single" w:sz="4" w:space="0" w:color="auto"/>
              <w:right w:val="single" w:sz="4" w:space="0" w:color="auto"/>
            </w:tcBorders>
            <w:shd w:val="clear" w:color="auto" w:fill="auto"/>
            <w:noWrap/>
            <w:hideMark/>
          </w:tcPr>
          <w:p w14:paraId="4E876645" w14:textId="69E56DCF" w:rsidR="00DD755D" w:rsidRPr="00CD1D92" w:rsidRDefault="006A4858" w:rsidP="00D32FA2">
            <w:pPr>
              <w:spacing w:after="0"/>
              <w:jc w:val="right"/>
              <w:rPr>
                <w:rFonts w:eastAsia="Times New Roman"/>
                <w:color w:val="000000"/>
                <w:sz w:val="18"/>
                <w:szCs w:val="18"/>
              </w:rPr>
            </w:pPr>
            <w:r>
              <w:rPr>
                <w:rFonts w:eastAsia="Times New Roman"/>
                <w:color w:val="000000"/>
                <w:sz w:val="18"/>
                <w:szCs w:val="18"/>
              </w:rPr>
              <w:t>93</w:t>
            </w:r>
            <w:r w:rsidR="00DD755D" w:rsidRPr="00CD1D92">
              <w:rPr>
                <w:rFonts w:eastAsia="Times New Roman"/>
                <w:color w:val="000000"/>
                <w:sz w:val="18"/>
                <w:szCs w:val="18"/>
              </w:rPr>
              <w:t>,000</w:t>
            </w:r>
          </w:p>
        </w:tc>
        <w:tc>
          <w:tcPr>
            <w:tcW w:w="990" w:type="dxa"/>
            <w:tcBorders>
              <w:top w:val="nil"/>
              <w:left w:val="nil"/>
              <w:bottom w:val="single" w:sz="4" w:space="0" w:color="auto"/>
              <w:right w:val="single" w:sz="4" w:space="0" w:color="auto"/>
            </w:tcBorders>
            <w:shd w:val="clear" w:color="auto" w:fill="auto"/>
            <w:noWrap/>
            <w:hideMark/>
          </w:tcPr>
          <w:p w14:paraId="3B6B32C5"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47,000</w:t>
            </w:r>
          </w:p>
        </w:tc>
        <w:tc>
          <w:tcPr>
            <w:tcW w:w="900" w:type="dxa"/>
            <w:tcBorders>
              <w:top w:val="nil"/>
              <w:left w:val="nil"/>
              <w:bottom w:val="single" w:sz="4" w:space="0" w:color="auto"/>
              <w:right w:val="single" w:sz="4" w:space="0" w:color="auto"/>
            </w:tcBorders>
            <w:shd w:val="clear" w:color="auto" w:fill="auto"/>
            <w:noWrap/>
            <w:hideMark/>
          </w:tcPr>
          <w:p w14:paraId="1A8770E8"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28,000</w:t>
            </w:r>
          </w:p>
        </w:tc>
        <w:tc>
          <w:tcPr>
            <w:tcW w:w="960" w:type="dxa"/>
            <w:tcBorders>
              <w:top w:val="nil"/>
              <w:left w:val="nil"/>
              <w:bottom w:val="single" w:sz="4" w:space="0" w:color="auto"/>
              <w:right w:val="single" w:sz="4" w:space="0" w:color="auto"/>
            </w:tcBorders>
            <w:shd w:val="clear" w:color="auto" w:fill="auto"/>
            <w:noWrap/>
            <w:hideMark/>
          </w:tcPr>
          <w:p w14:paraId="590336BE"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27,000</w:t>
            </w:r>
          </w:p>
        </w:tc>
        <w:tc>
          <w:tcPr>
            <w:tcW w:w="990" w:type="dxa"/>
            <w:tcBorders>
              <w:top w:val="nil"/>
              <w:left w:val="nil"/>
              <w:bottom w:val="single" w:sz="4" w:space="0" w:color="auto"/>
              <w:right w:val="single" w:sz="4" w:space="0" w:color="auto"/>
            </w:tcBorders>
            <w:shd w:val="clear" w:color="auto" w:fill="auto"/>
            <w:noWrap/>
            <w:hideMark/>
          </w:tcPr>
          <w:p w14:paraId="6B57F548" w14:textId="21B28D65" w:rsidR="00DD755D" w:rsidRPr="00CD1D92" w:rsidRDefault="006A4858" w:rsidP="006A4858">
            <w:pPr>
              <w:spacing w:after="0"/>
              <w:jc w:val="right"/>
              <w:rPr>
                <w:rFonts w:eastAsia="Times New Roman"/>
                <w:color w:val="000000"/>
                <w:sz w:val="18"/>
                <w:szCs w:val="18"/>
              </w:rPr>
            </w:pPr>
            <w:r w:rsidRPr="00CD1D92">
              <w:rPr>
                <w:rFonts w:eastAsia="Times New Roman"/>
                <w:color w:val="000000"/>
                <w:sz w:val="18"/>
                <w:szCs w:val="18"/>
              </w:rPr>
              <w:t>2</w:t>
            </w:r>
            <w:r>
              <w:rPr>
                <w:rFonts w:eastAsia="Times New Roman"/>
                <w:color w:val="000000"/>
                <w:sz w:val="18"/>
                <w:szCs w:val="18"/>
              </w:rPr>
              <w:t>5</w:t>
            </w:r>
            <w:r w:rsidRPr="00CD1D92">
              <w:rPr>
                <w:rFonts w:eastAsia="Times New Roman"/>
                <w:color w:val="000000"/>
                <w:sz w:val="18"/>
                <w:szCs w:val="18"/>
              </w:rPr>
              <w:t>7</w:t>
            </w:r>
            <w:r w:rsidR="00DD755D" w:rsidRPr="00CD1D92">
              <w:rPr>
                <w:rFonts w:eastAsia="Times New Roman"/>
                <w:color w:val="000000"/>
                <w:sz w:val="18"/>
                <w:szCs w:val="18"/>
              </w:rPr>
              <w:t>,000</w:t>
            </w:r>
          </w:p>
        </w:tc>
        <w:tc>
          <w:tcPr>
            <w:tcW w:w="690" w:type="dxa"/>
            <w:tcBorders>
              <w:top w:val="nil"/>
              <w:left w:val="nil"/>
              <w:bottom w:val="single" w:sz="4" w:space="0" w:color="auto"/>
              <w:right w:val="single" w:sz="4" w:space="0" w:color="auto"/>
            </w:tcBorders>
            <w:shd w:val="clear" w:color="auto" w:fill="auto"/>
            <w:noWrap/>
            <w:hideMark/>
          </w:tcPr>
          <w:p w14:paraId="2869B854" w14:textId="123831FA" w:rsidR="00DD755D" w:rsidRPr="00CD1D92" w:rsidRDefault="001D57AA" w:rsidP="00D32FA2">
            <w:pPr>
              <w:spacing w:after="0"/>
              <w:jc w:val="center"/>
              <w:rPr>
                <w:rFonts w:eastAsia="Times New Roman"/>
                <w:color w:val="000000"/>
                <w:sz w:val="18"/>
                <w:szCs w:val="18"/>
              </w:rPr>
            </w:pPr>
            <w:r>
              <w:rPr>
                <w:rFonts w:eastAsia="Times New Roman"/>
                <w:color w:val="000000"/>
                <w:sz w:val="18"/>
                <w:szCs w:val="18"/>
              </w:rPr>
              <w:t>29</w:t>
            </w:r>
          </w:p>
        </w:tc>
      </w:tr>
      <w:tr w:rsidR="00093AEB" w:rsidRPr="00CD1D92" w14:paraId="29AF1D35"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47D1F3C0"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5C80EAC9"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58BBF949"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3E573E4F" w14:textId="77777777" w:rsidR="00DD755D" w:rsidRPr="00CD1D92" w:rsidRDefault="00DD755D" w:rsidP="00D32FA2">
            <w:pPr>
              <w:spacing w:after="0"/>
              <w:jc w:val="left"/>
              <w:rPr>
                <w:rFonts w:eastAsia="Times New Roman"/>
                <w:color w:val="000000"/>
                <w:sz w:val="18"/>
                <w:szCs w:val="18"/>
              </w:rPr>
            </w:pPr>
          </w:p>
        </w:tc>
        <w:tc>
          <w:tcPr>
            <w:tcW w:w="1129" w:type="dxa"/>
            <w:tcBorders>
              <w:top w:val="nil"/>
              <w:left w:val="nil"/>
              <w:bottom w:val="single" w:sz="4" w:space="0" w:color="auto"/>
              <w:right w:val="single" w:sz="4" w:space="0" w:color="auto"/>
            </w:tcBorders>
            <w:shd w:val="clear" w:color="auto" w:fill="auto"/>
            <w:noWrap/>
            <w:hideMark/>
          </w:tcPr>
          <w:p w14:paraId="33FE3FE8" w14:textId="60E50B4D" w:rsidR="00DD755D" w:rsidRPr="00CD1D92" w:rsidRDefault="001D57AA" w:rsidP="001D57AA">
            <w:pPr>
              <w:spacing w:after="0"/>
              <w:jc w:val="center"/>
              <w:rPr>
                <w:rFonts w:eastAsia="Times New Roman"/>
                <w:color w:val="000000"/>
                <w:sz w:val="18"/>
                <w:szCs w:val="18"/>
              </w:rPr>
            </w:pPr>
            <w:r w:rsidRPr="00CD1D92">
              <w:rPr>
                <w:rFonts w:eastAsia="Times New Roman"/>
                <w:color w:val="000000"/>
                <w:sz w:val="18"/>
                <w:szCs w:val="18"/>
              </w:rPr>
              <w:t>7</w:t>
            </w:r>
            <w:r>
              <w:rPr>
                <w:rFonts w:eastAsia="Times New Roman"/>
                <w:color w:val="000000"/>
                <w:sz w:val="18"/>
                <w:szCs w:val="18"/>
              </w:rPr>
              <w:t>1600</w:t>
            </w:r>
          </w:p>
        </w:tc>
        <w:tc>
          <w:tcPr>
            <w:tcW w:w="1870" w:type="dxa"/>
            <w:tcBorders>
              <w:top w:val="nil"/>
              <w:left w:val="nil"/>
              <w:bottom w:val="single" w:sz="4" w:space="0" w:color="auto"/>
              <w:right w:val="single" w:sz="4" w:space="0" w:color="auto"/>
            </w:tcBorders>
            <w:shd w:val="clear" w:color="auto" w:fill="auto"/>
            <w:noWrap/>
            <w:hideMark/>
          </w:tcPr>
          <w:p w14:paraId="3BE66DA4"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Travel</w:t>
            </w:r>
          </w:p>
        </w:tc>
        <w:tc>
          <w:tcPr>
            <w:tcW w:w="920" w:type="dxa"/>
            <w:tcBorders>
              <w:top w:val="nil"/>
              <w:left w:val="nil"/>
              <w:bottom w:val="single" w:sz="4" w:space="0" w:color="auto"/>
              <w:right w:val="single" w:sz="4" w:space="0" w:color="auto"/>
            </w:tcBorders>
            <w:shd w:val="clear" w:color="auto" w:fill="auto"/>
            <w:noWrap/>
            <w:hideMark/>
          </w:tcPr>
          <w:p w14:paraId="1208F590"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7CC145A3"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1D99847D"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7,000</w:t>
            </w:r>
          </w:p>
        </w:tc>
        <w:tc>
          <w:tcPr>
            <w:tcW w:w="990" w:type="dxa"/>
            <w:tcBorders>
              <w:top w:val="nil"/>
              <w:left w:val="nil"/>
              <w:bottom w:val="single" w:sz="4" w:space="0" w:color="auto"/>
              <w:right w:val="single" w:sz="4" w:space="0" w:color="auto"/>
            </w:tcBorders>
            <w:shd w:val="clear" w:color="auto" w:fill="auto"/>
            <w:noWrap/>
            <w:hideMark/>
          </w:tcPr>
          <w:p w14:paraId="257C7612"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00" w:type="dxa"/>
            <w:tcBorders>
              <w:top w:val="nil"/>
              <w:left w:val="nil"/>
              <w:bottom w:val="single" w:sz="4" w:space="0" w:color="auto"/>
              <w:right w:val="single" w:sz="4" w:space="0" w:color="auto"/>
            </w:tcBorders>
            <w:shd w:val="clear" w:color="auto" w:fill="auto"/>
            <w:noWrap/>
            <w:hideMark/>
          </w:tcPr>
          <w:p w14:paraId="32CA4F08"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60" w:type="dxa"/>
            <w:tcBorders>
              <w:top w:val="nil"/>
              <w:left w:val="nil"/>
              <w:bottom w:val="single" w:sz="4" w:space="0" w:color="auto"/>
              <w:right w:val="single" w:sz="4" w:space="0" w:color="auto"/>
            </w:tcBorders>
            <w:shd w:val="clear" w:color="auto" w:fill="auto"/>
            <w:noWrap/>
            <w:hideMark/>
          </w:tcPr>
          <w:p w14:paraId="1646AC1E"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3045B5F1"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7,000</w:t>
            </w:r>
          </w:p>
        </w:tc>
        <w:tc>
          <w:tcPr>
            <w:tcW w:w="690" w:type="dxa"/>
            <w:tcBorders>
              <w:top w:val="nil"/>
              <w:left w:val="nil"/>
              <w:bottom w:val="single" w:sz="4" w:space="0" w:color="auto"/>
              <w:right w:val="single" w:sz="4" w:space="0" w:color="auto"/>
            </w:tcBorders>
            <w:shd w:val="clear" w:color="auto" w:fill="auto"/>
            <w:noWrap/>
            <w:hideMark/>
          </w:tcPr>
          <w:p w14:paraId="7D61BD7B" w14:textId="78C755EC" w:rsidR="00DD755D" w:rsidRPr="00CD1D92" w:rsidRDefault="001D57AA" w:rsidP="001D57AA">
            <w:pPr>
              <w:spacing w:after="0"/>
              <w:jc w:val="center"/>
              <w:rPr>
                <w:rFonts w:eastAsia="Times New Roman"/>
                <w:color w:val="000000"/>
                <w:sz w:val="18"/>
                <w:szCs w:val="18"/>
              </w:rPr>
            </w:pPr>
            <w:r w:rsidRPr="00CD1D92">
              <w:rPr>
                <w:rFonts w:eastAsia="Times New Roman"/>
                <w:color w:val="000000"/>
                <w:sz w:val="18"/>
                <w:szCs w:val="18"/>
              </w:rPr>
              <w:t>3</w:t>
            </w:r>
            <w:r>
              <w:rPr>
                <w:rFonts w:eastAsia="Times New Roman"/>
                <w:color w:val="000000"/>
                <w:sz w:val="18"/>
                <w:szCs w:val="18"/>
              </w:rPr>
              <w:t>0</w:t>
            </w:r>
          </w:p>
        </w:tc>
      </w:tr>
      <w:tr w:rsidR="00093AEB" w:rsidRPr="00CD1D92" w14:paraId="5DE9E976"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3E00481B"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2BDB0316"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0C121D37"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2DF77FA1" w14:textId="77777777" w:rsidR="00DD755D" w:rsidRPr="00CD1D92" w:rsidRDefault="00DD755D" w:rsidP="00D32FA2">
            <w:pPr>
              <w:spacing w:after="0"/>
              <w:jc w:val="left"/>
              <w:rPr>
                <w:rFonts w:eastAsia="Times New Roman"/>
                <w:color w:val="000000"/>
                <w:sz w:val="18"/>
                <w:szCs w:val="18"/>
              </w:rPr>
            </w:pPr>
          </w:p>
        </w:tc>
        <w:tc>
          <w:tcPr>
            <w:tcW w:w="1129" w:type="dxa"/>
            <w:tcBorders>
              <w:top w:val="nil"/>
              <w:left w:val="nil"/>
              <w:bottom w:val="single" w:sz="4" w:space="0" w:color="auto"/>
              <w:right w:val="single" w:sz="4" w:space="0" w:color="auto"/>
            </w:tcBorders>
            <w:shd w:val="clear" w:color="auto" w:fill="auto"/>
            <w:noWrap/>
            <w:hideMark/>
          </w:tcPr>
          <w:p w14:paraId="0AE80341"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72200</w:t>
            </w:r>
          </w:p>
        </w:tc>
        <w:tc>
          <w:tcPr>
            <w:tcW w:w="1870" w:type="dxa"/>
            <w:tcBorders>
              <w:top w:val="nil"/>
              <w:left w:val="nil"/>
              <w:bottom w:val="single" w:sz="4" w:space="0" w:color="auto"/>
              <w:right w:val="single" w:sz="4" w:space="0" w:color="auto"/>
            </w:tcBorders>
            <w:shd w:val="clear" w:color="auto" w:fill="auto"/>
            <w:noWrap/>
            <w:hideMark/>
          </w:tcPr>
          <w:p w14:paraId="01D19E32" w14:textId="595D699E"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Equipment</w:t>
            </w:r>
            <w:r w:rsidR="001D57AA">
              <w:rPr>
                <w:rFonts w:eastAsia="Times New Roman"/>
                <w:color w:val="000000"/>
                <w:sz w:val="18"/>
                <w:szCs w:val="18"/>
              </w:rPr>
              <w:t xml:space="preserve"> and Furniture</w:t>
            </w:r>
          </w:p>
        </w:tc>
        <w:tc>
          <w:tcPr>
            <w:tcW w:w="920" w:type="dxa"/>
            <w:tcBorders>
              <w:top w:val="nil"/>
              <w:left w:val="nil"/>
              <w:bottom w:val="single" w:sz="4" w:space="0" w:color="auto"/>
              <w:right w:val="single" w:sz="4" w:space="0" w:color="auto"/>
            </w:tcBorders>
            <w:shd w:val="clear" w:color="auto" w:fill="auto"/>
            <w:noWrap/>
            <w:hideMark/>
          </w:tcPr>
          <w:p w14:paraId="61AEA5E0"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041E67AF"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1D7C5EDF"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7,000</w:t>
            </w:r>
          </w:p>
        </w:tc>
        <w:tc>
          <w:tcPr>
            <w:tcW w:w="990" w:type="dxa"/>
            <w:tcBorders>
              <w:top w:val="nil"/>
              <w:left w:val="nil"/>
              <w:bottom w:val="single" w:sz="4" w:space="0" w:color="auto"/>
              <w:right w:val="single" w:sz="4" w:space="0" w:color="auto"/>
            </w:tcBorders>
            <w:shd w:val="clear" w:color="auto" w:fill="auto"/>
            <w:noWrap/>
            <w:hideMark/>
          </w:tcPr>
          <w:p w14:paraId="475050A0"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00" w:type="dxa"/>
            <w:tcBorders>
              <w:top w:val="nil"/>
              <w:left w:val="nil"/>
              <w:bottom w:val="single" w:sz="4" w:space="0" w:color="auto"/>
              <w:right w:val="single" w:sz="4" w:space="0" w:color="auto"/>
            </w:tcBorders>
            <w:shd w:val="clear" w:color="auto" w:fill="auto"/>
            <w:noWrap/>
            <w:hideMark/>
          </w:tcPr>
          <w:p w14:paraId="6F31EC21"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10,000</w:t>
            </w:r>
          </w:p>
        </w:tc>
        <w:tc>
          <w:tcPr>
            <w:tcW w:w="960" w:type="dxa"/>
            <w:tcBorders>
              <w:top w:val="nil"/>
              <w:left w:val="nil"/>
              <w:bottom w:val="single" w:sz="4" w:space="0" w:color="auto"/>
              <w:right w:val="single" w:sz="4" w:space="0" w:color="auto"/>
            </w:tcBorders>
            <w:shd w:val="clear" w:color="auto" w:fill="auto"/>
            <w:noWrap/>
            <w:hideMark/>
          </w:tcPr>
          <w:p w14:paraId="693C9E4E"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5591FAF7"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17,000</w:t>
            </w:r>
          </w:p>
        </w:tc>
        <w:tc>
          <w:tcPr>
            <w:tcW w:w="690" w:type="dxa"/>
            <w:tcBorders>
              <w:top w:val="nil"/>
              <w:left w:val="nil"/>
              <w:bottom w:val="single" w:sz="4" w:space="0" w:color="auto"/>
              <w:right w:val="single" w:sz="4" w:space="0" w:color="auto"/>
            </w:tcBorders>
            <w:shd w:val="clear" w:color="auto" w:fill="auto"/>
            <w:noWrap/>
            <w:hideMark/>
          </w:tcPr>
          <w:p w14:paraId="5C55AD65" w14:textId="17718350" w:rsidR="00DD755D" w:rsidRPr="00CD1D92" w:rsidRDefault="001D57AA" w:rsidP="001D57AA">
            <w:pPr>
              <w:spacing w:after="0"/>
              <w:jc w:val="center"/>
              <w:rPr>
                <w:rFonts w:eastAsia="Times New Roman"/>
                <w:color w:val="000000"/>
                <w:sz w:val="18"/>
                <w:szCs w:val="18"/>
              </w:rPr>
            </w:pPr>
            <w:r w:rsidRPr="00CD1D92">
              <w:rPr>
                <w:rFonts w:eastAsia="Times New Roman"/>
                <w:color w:val="000000"/>
                <w:sz w:val="18"/>
                <w:szCs w:val="18"/>
              </w:rPr>
              <w:t>3</w:t>
            </w:r>
            <w:r>
              <w:rPr>
                <w:rFonts w:eastAsia="Times New Roman"/>
                <w:color w:val="000000"/>
                <w:sz w:val="18"/>
                <w:szCs w:val="18"/>
              </w:rPr>
              <w:t>1</w:t>
            </w:r>
          </w:p>
        </w:tc>
      </w:tr>
      <w:tr w:rsidR="00093AEB" w:rsidRPr="00CD1D92" w14:paraId="5EEFAF65"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71AE31AD"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42B4A392"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26F3FD45"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794802C0" w14:textId="77777777" w:rsidR="00DD755D" w:rsidRPr="00CD1D92" w:rsidRDefault="00DD755D" w:rsidP="00D32FA2">
            <w:pPr>
              <w:spacing w:after="0"/>
              <w:jc w:val="left"/>
              <w:rPr>
                <w:rFonts w:eastAsia="Times New Roman"/>
                <w:color w:val="000000"/>
                <w:sz w:val="18"/>
                <w:szCs w:val="18"/>
              </w:rPr>
            </w:pPr>
          </w:p>
        </w:tc>
        <w:tc>
          <w:tcPr>
            <w:tcW w:w="1129" w:type="dxa"/>
            <w:tcBorders>
              <w:top w:val="nil"/>
              <w:left w:val="nil"/>
              <w:bottom w:val="single" w:sz="4" w:space="0" w:color="auto"/>
              <w:right w:val="single" w:sz="4" w:space="0" w:color="auto"/>
            </w:tcBorders>
            <w:shd w:val="clear" w:color="auto" w:fill="auto"/>
            <w:noWrap/>
            <w:hideMark/>
          </w:tcPr>
          <w:p w14:paraId="5A9E72EA" w14:textId="4DEF77A4" w:rsidR="00DD755D" w:rsidRPr="00CD1D92" w:rsidRDefault="001D57AA" w:rsidP="001D57AA">
            <w:pPr>
              <w:spacing w:after="0"/>
              <w:jc w:val="center"/>
              <w:rPr>
                <w:rFonts w:eastAsia="Times New Roman"/>
                <w:color w:val="000000"/>
                <w:sz w:val="18"/>
                <w:szCs w:val="18"/>
              </w:rPr>
            </w:pPr>
            <w:r w:rsidRPr="00CD1D92">
              <w:rPr>
                <w:rFonts w:eastAsia="Times New Roman"/>
                <w:color w:val="000000"/>
                <w:sz w:val="18"/>
                <w:szCs w:val="18"/>
              </w:rPr>
              <w:t>7</w:t>
            </w:r>
            <w:r>
              <w:rPr>
                <w:rFonts w:eastAsia="Times New Roman"/>
                <w:color w:val="000000"/>
                <w:sz w:val="18"/>
                <w:szCs w:val="18"/>
              </w:rPr>
              <w:t>5700</w:t>
            </w:r>
          </w:p>
        </w:tc>
        <w:tc>
          <w:tcPr>
            <w:tcW w:w="1870" w:type="dxa"/>
            <w:tcBorders>
              <w:top w:val="nil"/>
              <w:left w:val="nil"/>
              <w:bottom w:val="single" w:sz="4" w:space="0" w:color="auto"/>
              <w:right w:val="single" w:sz="4" w:space="0" w:color="auto"/>
            </w:tcBorders>
            <w:shd w:val="clear" w:color="auto" w:fill="auto"/>
            <w:noWrap/>
            <w:hideMark/>
          </w:tcPr>
          <w:p w14:paraId="0BAB5BE5" w14:textId="326B7E9D" w:rsidR="00DD755D" w:rsidRPr="00CD1D92" w:rsidRDefault="00DD755D" w:rsidP="001D57AA">
            <w:pPr>
              <w:spacing w:after="0"/>
              <w:jc w:val="left"/>
              <w:rPr>
                <w:rFonts w:eastAsia="Times New Roman"/>
                <w:color w:val="000000"/>
                <w:sz w:val="18"/>
                <w:szCs w:val="18"/>
              </w:rPr>
            </w:pPr>
            <w:r w:rsidRPr="00CD1D92">
              <w:rPr>
                <w:rFonts w:eastAsia="Times New Roman"/>
                <w:color w:val="000000"/>
                <w:sz w:val="18"/>
                <w:szCs w:val="18"/>
              </w:rPr>
              <w:t>Trainings</w:t>
            </w:r>
            <w:r w:rsidR="001D57AA">
              <w:rPr>
                <w:rFonts w:eastAsia="Times New Roman"/>
                <w:color w:val="000000"/>
                <w:sz w:val="18"/>
                <w:szCs w:val="18"/>
              </w:rPr>
              <w:t>,</w:t>
            </w:r>
            <w:r w:rsidRPr="00CD1D92">
              <w:rPr>
                <w:rFonts w:eastAsia="Times New Roman"/>
                <w:color w:val="000000"/>
                <w:sz w:val="18"/>
                <w:szCs w:val="18"/>
              </w:rPr>
              <w:t xml:space="preserve"> Workshops</w:t>
            </w:r>
            <w:r w:rsidR="001D57AA">
              <w:rPr>
                <w:rFonts w:eastAsia="Times New Roman"/>
                <w:color w:val="000000"/>
                <w:sz w:val="18"/>
                <w:szCs w:val="18"/>
              </w:rPr>
              <w:t xml:space="preserve"> </w:t>
            </w:r>
            <w:r w:rsidR="001D57AA">
              <w:rPr>
                <w:rFonts w:eastAsia="Times New Roman"/>
                <w:color w:val="000000"/>
                <w:sz w:val="18"/>
                <w:szCs w:val="18"/>
              </w:rPr>
              <w:lastRenderedPageBreak/>
              <w:t>and Conferences</w:t>
            </w:r>
          </w:p>
        </w:tc>
        <w:tc>
          <w:tcPr>
            <w:tcW w:w="920" w:type="dxa"/>
            <w:tcBorders>
              <w:top w:val="nil"/>
              <w:left w:val="nil"/>
              <w:bottom w:val="single" w:sz="4" w:space="0" w:color="auto"/>
              <w:right w:val="single" w:sz="4" w:space="0" w:color="auto"/>
            </w:tcBorders>
            <w:shd w:val="clear" w:color="auto" w:fill="auto"/>
            <w:noWrap/>
            <w:hideMark/>
          </w:tcPr>
          <w:p w14:paraId="47F10E59"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lastRenderedPageBreak/>
              <w:t>13,500</w:t>
            </w:r>
          </w:p>
        </w:tc>
        <w:tc>
          <w:tcPr>
            <w:tcW w:w="990" w:type="dxa"/>
            <w:tcBorders>
              <w:top w:val="nil"/>
              <w:left w:val="nil"/>
              <w:bottom w:val="single" w:sz="4" w:space="0" w:color="auto"/>
              <w:right w:val="single" w:sz="4" w:space="0" w:color="auto"/>
            </w:tcBorders>
            <w:shd w:val="clear" w:color="auto" w:fill="auto"/>
            <w:noWrap/>
            <w:hideMark/>
          </w:tcPr>
          <w:p w14:paraId="05C041FB"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3,500</w:t>
            </w:r>
          </w:p>
        </w:tc>
        <w:tc>
          <w:tcPr>
            <w:tcW w:w="990" w:type="dxa"/>
            <w:tcBorders>
              <w:top w:val="nil"/>
              <w:left w:val="nil"/>
              <w:bottom w:val="single" w:sz="4" w:space="0" w:color="auto"/>
              <w:right w:val="single" w:sz="4" w:space="0" w:color="auto"/>
            </w:tcBorders>
            <w:shd w:val="clear" w:color="auto" w:fill="auto"/>
            <w:noWrap/>
            <w:hideMark/>
          </w:tcPr>
          <w:p w14:paraId="3BAFDEE6"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3,500</w:t>
            </w:r>
          </w:p>
        </w:tc>
        <w:tc>
          <w:tcPr>
            <w:tcW w:w="990" w:type="dxa"/>
            <w:tcBorders>
              <w:top w:val="nil"/>
              <w:left w:val="nil"/>
              <w:bottom w:val="single" w:sz="4" w:space="0" w:color="auto"/>
              <w:right w:val="single" w:sz="4" w:space="0" w:color="auto"/>
            </w:tcBorders>
            <w:shd w:val="clear" w:color="auto" w:fill="auto"/>
            <w:noWrap/>
            <w:hideMark/>
          </w:tcPr>
          <w:p w14:paraId="6506F78B"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22,500</w:t>
            </w:r>
          </w:p>
        </w:tc>
        <w:tc>
          <w:tcPr>
            <w:tcW w:w="900" w:type="dxa"/>
            <w:tcBorders>
              <w:top w:val="nil"/>
              <w:left w:val="nil"/>
              <w:bottom w:val="single" w:sz="4" w:space="0" w:color="auto"/>
              <w:right w:val="single" w:sz="4" w:space="0" w:color="auto"/>
            </w:tcBorders>
            <w:shd w:val="clear" w:color="auto" w:fill="auto"/>
            <w:noWrap/>
            <w:hideMark/>
          </w:tcPr>
          <w:p w14:paraId="57536F1A"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3,500</w:t>
            </w:r>
          </w:p>
        </w:tc>
        <w:tc>
          <w:tcPr>
            <w:tcW w:w="960" w:type="dxa"/>
            <w:tcBorders>
              <w:top w:val="nil"/>
              <w:left w:val="nil"/>
              <w:bottom w:val="single" w:sz="4" w:space="0" w:color="auto"/>
              <w:right w:val="single" w:sz="4" w:space="0" w:color="auto"/>
            </w:tcBorders>
            <w:shd w:val="clear" w:color="auto" w:fill="auto"/>
            <w:noWrap/>
            <w:hideMark/>
          </w:tcPr>
          <w:p w14:paraId="36DA2FF5"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3,500</w:t>
            </w:r>
          </w:p>
        </w:tc>
        <w:tc>
          <w:tcPr>
            <w:tcW w:w="990" w:type="dxa"/>
            <w:tcBorders>
              <w:top w:val="nil"/>
              <w:left w:val="nil"/>
              <w:bottom w:val="single" w:sz="4" w:space="0" w:color="auto"/>
              <w:right w:val="single" w:sz="4" w:space="0" w:color="auto"/>
            </w:tcBorders>
            <w:shd w:val="clear" w:color="auto" w:fill="auto"/>
            <w:noWrap/>
            <w:hideMark/>
          </w:tcPr>
          <w:p w14:paraId="6B6E98FA"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50,000</w:t>
            </w:r>
          </w:p>
        </w:tc>
        <w:tc>
          <w:tcPr>
            <w:tcW w:w="690" w:type="dxa"/>
            <w:tcBorders>
              <w:top w:val="nil"/>
              <w:left w:val="nil"/>
              <w:bottom w:val="single" w:sz="4" w:space="0" w:color="auto"/>
              <w:right w:val="single" w:sz="4" w:space="0" w:color="auto"/>
            </w:tcBorders>
            <w:shd w:val="clear" w:color="auto" w:fill="auto"/>
            <w:noWrap/>
            <w:hideMark/>
          </w:tcPr>
          <w:p w14:paraId="0CEF99E5" w14:textId="256B10D5" w:rsidR="00DD755D" w:rsidRPr="00CD1D92" w:rsidRDefault="001D57AA" w:rsidP="001D57AA">
            <w:pPr>
              <w:spacing w:after="0"/>
              <w:jc w:val="center"/>
              <w:rPr>
                <w:rFonts w:eastAsia="Times New Roman"/>
                <w:color w:val="000000"/>
                <w:sz w:val="18"/>
                <w:szCs w:val="18"/>
              </w:rPr>
            </w:pPr>
            <w:r w:rsidRPr="00CD1D92">
              <w:rPr>
                <w:rFonts w:eastAsia="Times New Roman"/>
                <w:color w:val="000000"/>
                <w:sz w:val="18"/>
                <w:szCs w:val="18"/>
              </w:rPr>
              <w:t>3</w:t>
            </w:r>
            <w:r>
              <w:rPr>
                <w:rFonts w:eastAsia="Times New Roman"/>
                <w:color w:val="000000"/>
                <w:sz w:val="18"/>
                <w:szCs w:val="18"/>
              </w:rPr>
              <w:t>2</w:t>
            </w:r>
          </w:p>
        </w:tc>
      </w:tr>
      <w:tr w:rsidR="00093AEB" w:rsidRPr="00CD1D92" w14:paraId="3E3C9A32"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2C28A14A"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2DC0676E"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494CAEBE"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1DD88950" w14:textId="77777777" w:rsidR="00DD755D" w:rsidRPr="00CD1D92" w:rsidRDefault="00DD755D" w:rsidP="00D32FA2">
            <w:pPr>
              <w:spacing w:after="0"/>
              <w:jc w:val="left"/>
              <w:rPr>
                <w:rFonts w:eastAsia="Times New Roman"/>
                <w:color w:val="000000"/>
                <w:sz w:val="18"/>
                <w:szCs w:val="18"/>
              </w:rPr>
            </w:pPr>
          </w:p>
        </w:tc>
        <w:tc>
          <w:tcPr>
            <w:tcW w:w="1129" w:type="dxa"/>
            <w:tcBorders>
              <w:top w:val="nil"/>
              <w:left w:val="nil"/>
              <w:bottom w:val="single" w:sz="4" w:space="0" w:color="auto"/>
              <w:right w:val="single" w:sz="4" w:space="0" w:color="auto"/>
            </w:tcBorders>
            <w:shd w:val="clear" w:color="auto" w:fill="auto"/>
            <w:noWrap/>
            <w:hideMark/>
          </w:tcPr>
          <w:p w14:paraId="1718972F" w14:textId="0269DDB8" w:rsidR="00DD755D" w:rsidRPr="00CD1D92" w:rsidRDefault="001D57AA" w:rsidP="001D57AA">
            <w:pPr>
              <w:spacing w:after="0"/>
              <w:jc w:val="center"/>
              <w:rPr>
                <w:rFonts w:eastAsia="Times New Roman"/>
                <w:color w:val="000000"/>
                <w:sz w:val="18"/>
                <w:szCs w:val="18"/>
              </w:rPr>
            </w:pPr>
            <w:r w:rsidRPr="00CD1D92">
              <w:rPr>
                <w:rFonts w:eastAsia="Times New Roman"/>
                <w:color w:val="000000"/>
                <w:sz w:val="18"/>
                <w:szCs w:val="18"/>
              </w:rPr>
              <w:t>7</w:t>
            </w:r>
            <w:r>
              <w:rPr>
                <w:rFonts w:eastAsia="Times New Roman"/>
                <w:color w:val="000000"/>
                <w:sz w:val="18"/>
                <w:szCs w:val="18"/>
              </w:rPr>
              <w:t>2500</w:t>
            </w:r>
          </w:p>
        </w:tc>
        <w:tc>
          <w:tcPr>
            <w:tcW w:w="1870" w:type="dxa"/>
            <w:tcBorders>
              <w:top w:val="nil"/>
              <w:left w:val="nil"/>
              <w:bottom w:val="single" w:sz="4" w:space="0" w:color="auto"/>
              <w:right w:val="single" w:sz="4" w:space="0" w:color="auto"/>
            </w:tcBorders>
            <w:shd w:val="clear" w:color="auto" w:fill="auto"/>
            <w:noWrap/>
            <w:hideMark/>
          </w:tcPr>
          <w:p w14:paraId="256CA6BD"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Supplies</w:t>
            </w:r>
          </w:p>
        </w:tc>
        <w:tc>
          <w:tcPr>
            <w:tcW w:w="920" w:type="dxa"/>
            <w:tcBorders>
              <w:top w:val="nil"/>
              <w:left w:val="nil"/>
              <w:bottom w:val="single" w:sz="4" w:space="0" w:color="auto"/>
              <w:right w:val="single" w:sz="4" w:space="0" w:color="auto"/>
            </w:tcBorders>
            <w:shd w:val="clear" w:color="auto" w:fill="auto"/>
            <w:noWrap/>
            <w:hideMark/>
          </w:tcPr>
          <w:p w14:paraId="54457122"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07120257"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5,000</w:t>
            </w:r>
          </w:p>
        </w:tc>
        <w:tc>
          <w:tcPr>
            <w:tcW w:w="990" w:type="dxa"/>
            <w:tcBorders>
              <w:top w:val="nil"/>
              <w:left w:val="nil"/>
              <w:bottom w:val="single" w:sz="4" w:space="0" w:color="auto"/>
              <w:right w:val="single" w:sz="4" w:space="0" w:color="auto"/>
            </w:tcBorders>
            <w:shd w:val="clear" w:color="auto" w:fill="auto"/>
            <w:noWrap/>
            <w:hideMark/>
          </w:tcPr>
          <w:p w14:paraId="58F0870A"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13,000</w:t>
            </w:r>
          </w:p>
        </w:tc>
        <w:tc>
          <w:tcPr>
            <w:tcW w:w="990" w:type="dxa"/>
            <w:tcBorders>
              <w:top w:val="nil"/>
              <w:left w:val="nil"/>
              <w:bottom w:val="single" w:sz="4" w:space="0" w:color="auto"/>
              <w:right w:val="single" w:sz="4" w:space="0" w:color="auto"/>
            </w:tcBorders>
            <w:shd w:val="clear" w:color="auto" w:fill="auto"/>
            <w:noWrap/>
            <w:hideMark/>
          </w:tcPr>
          <w:p w14:paraId="1E7976C2"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13,000</w:t>
            </w:r>
          </w:p>
        </w:tc>
        <w:tc>
          <w:tcPr>
            <w:tcW w:w="900" w:type="dxa"/>
            <w:tcBorders>
              <w:top w:val="nil"/>
              <w:left w:val="nil"/>
              <w:bottom w:val="single" w:sz="4" w:space="0" w:color="auto"/>
              <w:right w:val="single" w:sz="4" w:space="0" w:color="auto"/>
            </w:tcBorders>
            <w:shd w:val="clear" w:color="auto" w:fill="auto"/>
            <w:noWrap/>
            <w:hideMark/>
          </w:tcPr>
          <w:p w14:paraId="34CDA813"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10,500</w:t>
            </w:r>
          </w:p>
        </w:tc>
        <w:tc>
          <w:tcPr>
            <w:tcW w:w="960" w:type="dxa"/>
            <w:tcBorders>
              <w:top w:val="nil"/>
              <w:left w:val="nil"/>
              <w:bottom w:val="single" w:sz="4" w:space="0" w:color="auto"/>
              <w:right w:val="single" w:sz="4" w:space="0" w:color="auto"/>
            </w:tcBorders>
            <w:shd w:val="clear" w:color="auto" w:fill="auto"/>
            <w:noWrap/>
            <w:hideMark/>
          </w:tcPr>
          <w:p w14:paraId="50B5B233"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10,500</w:t>
            </w:r>
          </w:p>
        </w:tc>
        <w:tc>
          <w:tcPr>
            <w:tcW w:w="990" w:type="dxa"/>
            <w:tcBorders>
              <w:top w:val="nil"/>
              <w:left w:val="nil"/>
              <w:bottom w:val="single" w:sz="4" w:space="0" w:color="auto"/>
              <w:right w:val="single" w:sz="4" w:space="0" w:color="auto"/>
            </w:tcBorders>
            <w:shd w:val="clear" w:color="auto" w:fill="auto"/>
            <w:noWrap/>
            <w:hideMark/>
          </w:tcPr>
          <w:p w14:paraId="65822B70"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52,000</w:t>
            </w:r>
          </w:p>
        </w:tc>
        <w:tc>
          <w:tcPr>
            <w:tcW w:w="690" w:type="dxa"/>
            <w:tcBorders>
              <w:top w:val="nil"/>
              <w:left w:val="nil"/>
              <w:bottom w:val="single" w:sz="4" w:space="0" w:color="auto"/>
              <w:right w:val="single" w:sz="4" w:space="0" w:color="auto"/>
            </w:tcBorders>
            <w:shd w:val="clear" w:color="auto" w:fill="auto"/>
            <w:noWrap/>
            <w:hideMark/>
          </w:tcPr>
          <w:p w14:paraId="4DC94A84" w14:textId="2D8D670D" w:rsidR="00DD755D" w:rsidRPr="00CD1D92" w:rsidRDefault="001D57AA" w:rsidP="001D57AA">
            <w:pPr>
              <w:spacing w:after="0"/>
              <w:jc w:val="center"/>
              <w:rPr>
                <w:rFonts w:eastAsia="Times New Roman"/>
                <w:color w:val="000000"/>
                <w:sz w:val="18"/>
                <w:szCs w:val="18"/>
              </w:rPr>
            </w:pPr>
            <w:r w:rsidRPr="00CD1D92">
              <w:rPr>
                <w:rFonts w:eastAsia="Times New Roman"/>
                <w:color w:val="000000"/>
                <w:sz w:val="18"/>
                <w:szCs w:val="18"/>
              </w:rPr>
              <w:t>3</w:t>
            </w:r>
            <w:r>
              <w:rPr>
                <w:rFonts w:eastAsia="Times New Roman"/>
                <w:color w:val="000000"/>
                <w:sz w:val="18"/>
                <w:szCs w:val="18"/>
              </w:rPr>
              <w:t>3</w:t>
            </w:r>
          </w:p>
        </w:tc>
      </w:tr>
      <w:tr w:rsidR="00093AEB" w:rsidRPr="00CD1D92" w14:paraId="61D46676"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35F44DC0"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78579391"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52C51331"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6D7E1FD5" w14:textId="77777777" w:rsidR="00DD755D" w:rsidRPr="00CD1D92" w:rsidRDefault="00DD755D" w:rsidP="00D32FA2">
            <w:pPr>
              <w:spacing w:after="0"/>
              <w:jc w:val="left"/>
              <w:rPr>
                <w:rFonts w:eastAsia="Times New Roman"/>
                <w:color w:val="000000"/>
                <w:sz w:val="18"/>
                <w:szCs w:val="18"/>
              </w:rPr>
            </w:pPr>
          </w:p>
        </w:tc>
        <w:tc>
          <w:tcPr>
            <w:tcW w:w="1129" w:type="dxa"/>
            <w:tcBorders>
              <w:top w:val="nil"/>
              <w:left w:val="nil"/>
              <w:bottom w:val="single" w:sz="4" w:space="0" w:color="auto"/>
              <w:right w:val="single" w:sz="4" w:space="0" w:color="auto"/>
            </w:tcBorders>
            <w:shd w:val="clear" w:color="auto" w:fill="auto"/>
            <w:noWrap/>
            <w:hideMark/>
          </w:tcPr>
          <w:p w14:paraId="1A9810D6"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74500</w:t>
            </w:r>
          </w:p>
        </w:tc>
        <w:tc>
          <w:tcPr>
            <w:tcW w:w="1870" w:type="dxa"/>
            <w:tcBorders>
              <w:top w:val="nil"/>
              <w:left w:val="nil"/>
              <w:bottom w:val="single" w:sz="4" w:space="0" w:color="auto"/>
              <w:right w:val="single" w:sz="4" w:space="0" w:color="auto"/>
            </w:tcBorders>
            <w:shd w:val="clear" w:color="auto" w:fill="auto"/>
            <w:noWrap/>
            <w:hideMark/>
          </w:tcPr>
          <w:p w14:paraId="56CAAF4B" w14:textId="25502842"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Rental and Maintenance</w:t>
            </w:r>
            <w:r w:rsidR="001D57AA">
              <w:rPr>
                <w:rFonts w:eastAsia="Times New Roman"/>
                <w:color w:val="000000"/>
                <w:sz w:val="18"/>
                <w:szCs w:val="18"/>
              </w:rPr>
              <w:t xml:space="preserve"> of Other Equipment</w:t>
            </w:r>
          </w:p>
        </w:tc>
        <w:tc>
          <w:tcPr>
            <w:tcW w:w="920" w:type="dxa"/>
            <w:tcBorders>
              <w:top w:val="nil"/>
              <w:left w:val="nil"/>
              <w:bottom w:val="single" w:sz="4" w:space="0" w:color="auto"/>
              <w:right w:val="single" w:sz="4" w:space="0" w:color="auto"/>
            </w:tcBorders>
            <w:shd w:val="clear" w:color="auto" w:fill="auto"/>
            <w:noWrap/>
            <w:hideMark/>
          </w:tcPr>
          <w:p w14:paraId="38B3AA03"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5F8DFFCB"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659AEC41"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5,000</w:t>
            </w:r>
          </w:p>
        </w:tc>
        <w:tc>
          <w:tcPr>
            <w:tcW w:w="990" w:type="dxa"/>
            <w:tcBorders>
              <w:top w:val="nil"/>
              <w:left w:val="nil"/>
              <w:bottom w:val="single" w:sz="4" w:space="0" w:color="auto"/>
              <w:right w:val="single" w:sz="4" w:space="0" w:color="auto"/>
            </w:tcBorders>
            <w:shd w:val="clear" w:color="auto" w:fill="auto"/>
            <w:noWrap/>
            <w:hideMark/>
          </w:tcPr>
          <w:p w14:paraId="03666DD5"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5,000</w:t>
            </w:r>
          </w:p>
        </w:tc>
        <w:tc>
          <w:tcPr>
            <w:tcW w:w="900" w:type="dxa"/>
            <w:tcBorders>
              <w:top w:val="nil"/>
              <w:left w:val="nil"/>
              <w:bottom w:val="single" w:sz="4" w:space="0" w:color="auto"/>
              <w:right w:val="single" w:sz="4" w:space="0" w:color="auto"/>
            </w:tcBorders>
            <w:shd w:val="clear" w:color="auto" w:fill="auto"/>
            <w:noWrap/>
            <w:hideMark/>
          </w:tcPr>
          <w:p w14:paraId="0B902D4B"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2,500</w:t>
            </w:r>
          </w:p>
        </w:tc>
        <w:tc>
          <w:tcPr>
            <w:tcW w:w="960" w:type="dxa"/>
            <w:tcBorders>
              <w:top w:val="nil"/>
              <w:left w:val="nil"/>
              <w:bottom w:val="single" w:sz="4" w:space="0" w:color="auto"/>
              <w:right w:val="single" w:sz="4" w:space="0" w:color="auto"/>
            </w:tcBorders>
            <w:shd w:val="clear" w:color="auto" w:fill="auto"/>
            <w:noWrap/>
            <w:hideMark/>
          </w:tcPr>
          <w:p w14:paraId="35265077"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2,500</w:t>
            </w:r>
          </w:p>
        </w:tc>
        <w:tc>
          <w:tcPr>
            <w:tcW w:w="990" w:type="dxa"/>
            <w:tcBorders>
              <w:top w:val="nil"/>
              <w:left w:val="nil"/>
              <w:bottom w:val="single" w:sz="4" w:space="0" w:color="auto"/>
              <w:right w:val="single" w:sz="4" w:space="0" w:color="auto"/>
            </w:tcBorders>
            <w:shd w:val="clear" w:color="auto" w:fill="auto"/>
            <w:noWrap/>
            <w:hideMark/>
          </w:tcPr>
          <w:p w14:paraId="19E9C43E"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15,000</w:t>
            </w:r>
          </w:p>
        </w:tc>
        <w:tc>
          <w:tcPr>
            <w:tcW w:w="690" w:type="dxa"/>
            <w:tcBorders>
              <w:top w:val="nil"/>
              <w:left w:val="nil"/>
              <w:bottom w:val="single" w:sz="4" w:space="0" w:color="auto"/>
              <w:right w:val="single" w:sz="4" w:space="0" w:color="auto"/>
            </w:tcBorders>
            <w:shd w:val="clear" w:color="auto" w:fill="auto"/>
            <w:noWrap/>
            <w:hideMark/>
          </w:tcPr>
          <w:p w14:paraId="381A3E4A" w14:textId="01BC3D6E" w:rsidR="00DD755D" w:rsidRPr="00CD1D92" w:rsidRDefault="001D57AA" w:rsidP="001D57AA">
            <w:pPr>
              <w:spacing w:after="0"/>
              <w:jc w:val="center"/>
              <w:rPr>
                <w:rFonts w:eastAsia="Times New Roman"/>
                <w:color w:val="000000"/>
                <w:sz w:val="18"/>
                <w:szCs w:val="18"/>
              </w:rPr>
            </w:pPr>
            <w:r w:rsidRPr="00CD1D92">
              <w:rPr>
                <w:rFonts w:eastAsia="Times New Roman"/>
                <w:color w:val="000000"/>
                <w:sz w:val="18"/>
                <w:szCs w:val="18"/>
              </w:rPr>
              <w:t>3</w:t>
            </w:r>
            <w:r>
              <w:rPr>
                <w:rFonts w:eastAsia="Times New Roman"/>
                <w:color w:val="000000"/>
                <w:sz w:val="18"/>
                <w:szCs w:val="18"/>
              </w:rPr>
              <w:t>4</w:t>
            </w:r>
          </w:p>
        </w:tc>
      </w:tr>
      <w:tr w:rsidR="00093AEB" w:rsidRPr="00CD1D92" w14:paraId="19527810"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2C6BA4F2"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38A396DB"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76DF1936"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67D71BA9" w14:textId="77777777" w:rsidR="00DD755D" w:rsidRPr="00CD1D92" w:rsidRDefault="00DD755D" w:rsidP="00D32FA2">
            <w:pPr>
              <w:spacing w:after="0"/>
              <w:jc w:val="left"/>
              <w:rPr>
                <w:rFonts w:eastAsia="Times New Roman"/>
                <w:color w:val="000000"/>
                <w:sz w:val="18"/>
                <w:szCs w:val="18"/>
              </w:rPr>
            </w:pPr>
          </w:p>
        </w:tc>
        <w:tc>
          <w:tcPr>
            <w:tcW w:w="1129" w:type="dxa"/>
            <w:tcBorders>
              <w:top w:val="nil"/>
              <w:left w:val="nil"/>
              <w:bottom w:val="single" w:sz="4" w:space="0" w:color="auto"/>
              <w:right w:val="single" w:sz="4" w:space="0" w:color="auto"/>
            </w:tcBorders>
            <w:shd w:val="clear" w:color="auto" w:fill="auto"/>
            <w:noWrap/>
            <w:hideMark/>
          </w:tcPr>
          <w:p w14:paraId="424D03BA"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72500</w:t>
            </w:r>
          </w:p>
        </w:tc>
        <w:tc>
          <w:tcPr>
            <w:tcW w:w="1870" w:type="dxa"/>
            <w:tcBorders>
              <w:top w:val="nil"/>
              <w:left w:val="nil"/>
              <w:bottom w:val="single" w:sz="4" w:space="0" w:color="auto"/>
              <w:right w:val="single" w:sz="4" w:space="0" w:color="auto"/>
            </w:tcBorders>
            <w:shd w:val="clear" w:color="auto" w:fill="auto"/>
            <w:noWrap/>
            <w:hideMark/>
          </w:tcPr>
          <w:p w14:paraId="1F94CE8A"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Miscellaneous</w:t>
            </w:r>
          </w:p>
        </w:tc>
        <w:tc>
          <w:tcPr>
            <w:tcW w:w="920" w:type="dxa"/>
            <w:tcBorders>
              <w:top w:val="nil"/>
              <w:left w:val="nil"/>
              <w:bottom w:val="single" w:sz="4" w:space="0" w:color="auto"/>
              <w:right w:val="single" w:sz="4" w:space="0" w:color="auto"/>
            </w:tcBorders>
            <w:shd w:val="clear" w:color="auto" w:fill="auto"/>
            <w:noWrap/>
            <w:hideMark/>
          </w:tcPr>
          <w:p w14:paraId="2AC4410D"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46005D0C"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w:t>
            </w:r>
          </w:p>
        </w:tc>
        <w:tc>
          <w:tcPr>
            <w:tcW w:w="990" w:type="dxa"/>
            <w:tcBorders>
              <w:top w:val="nil"/>
              <w:left w:val="nil"/>
              <w:bottom w:val="single" w:sz="4" w:space="0" w:color="auto"/>
              <w:right w:val="single" w:sz="4" w:space="0" w:color="auto"/>
            </w:tcBorders>
            <w:shd w:val="clear" w:color="auto" w:fill="auto"/>
            <w:noWrap/>
            <w:hideMark/>
          </w:tcPr>
          <w:p w14:paraId="16FE8096"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5,000</w:t>
            </w:r>
          </w:p>
        </w:tc>
        <w:tc>
          <w:tcPr>
            <w:tcW w:w="990" w:type="dxa"/>
            <w:tcBorders>
              <w:top w:val="nil"/>
              <w:left w:val="nil"/>
              <w:bottom w:val="single" w:sz="4" w:space="0" w:color="auto"/>
              <w:right w:val="single" w:sz="4" w:space="0" w:color="auto"/>
            </w:tcBorders>
            <w:shd w:val="clear" w:color="auto" w:fill="auto"/>
            <w:noWrap/>
            <w:hideMark/>
          </w:tcPr>
          <w:p w14:paraId="3C97AB32"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5,000</w:t>
            </w:r>
          </w:p>
        </w:tc>
        <w:tc>
          <w:tcPr>
            <w:tcW w:w="900" w:type="dxa"/>
            <w:tcBorders>
              <w:top w:val="nil"/>
              <w:left w:val="nil"/>
              <w:bottom w:val="single" w:sz="4" w:space="0" w:color="auto"/>
              <w:right w:val="single" w:sz="4" w:space="0" w:color="auto"/>
            </w:tcBorders>
            <w:shd w:val="clear" w:color="auto" w:fill="auto"/>
            <w:noWrap/>
            <w:hideMark/>
          </w:tcPr>
          <w:p w14:paraId="218F798E"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5,000</w:t>
            </w:r>
          </w:p>
        </w:tc>
        <w:tc>
          <w:tcPr>
            <w:tcW w:w="960" w:type="dxa"/>
            <w:tcBorders>
              <w:top w:val="nil"/>
              <w:left w:val="nil"/>
              <w:bottom w:val="single" w:sz="4" w:space="0" w:color="auto"/>
              <w:right w:val="single" w:sz="4" w:space="0" w:color="auto"/>
            </w:tcBorders>
            <w:shd w:val="clear" w:color="auto" w:fill="auto"/>
            <w:noWrap/>
            <w:hideMark/>
          </w:tcPr>
          <w:p w14:paraId="1836EEA4"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5,000</w:t>
            </w:r>
          </w:p>
        </w:tc>
        <w:tc>
          <w:tcPr>
            <w:tcW w:w="990" w:type="dxa"/>
            <w:tcBorders>
              <w:top w:val="nil"/>
              <w:left w:val="nil"/>
              <w:bottom w:val="single" w:sz="4" w:space="0" w:color="auto"/>
              <w:right w:val="single" w:sz="4" w:space="0" w:color="auto"/>
            </w:tcBorders>
            <w:shd w:val="clear" w:color="auto" w:fill="auto"/>
            <w:noWrap/>
            <w:hideMark/>
          </w:tcPr>
          <w:p w14:paraId="0E6DC9F2"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20,000</w:t>
            </w:r>
          </w:p>
        </w:tc>
        <w:tc>
          <w:tcPr>
            <w:tcW w:w="690" w:type="dxa"/>
            <w:tcBorders>
              <w:top w:val="nil"/>
              <w:left w:val="nil"/>
              <w:bottom w:val="single" w:sz="4" w:space="0" w:color="auto"/>
              <w:right w:val="single" w:sz="4" w:space="0" w:color="auto"/>
            </w:tcBorders>
            <w:shd w:val="clear" w:color="auto" w:fill="auto"/>
            <w:noWrap/>
            <w:hideMark/>
          </w:tcPr>
          <w:p w14:paraId="24E8FD84" w14:textId="1976E858" w:rsidR="00DD755D" w:rsidRPr="00CD1D92" w:rsidRDefault="001D57AA" w:rsidP="001D57AA">
            <w:pPr>
              <w:spacing w:after="0"/>
              <w:jc w:val="center"/>
              <w:rPr>
                <w:rFonts w:eastAsia="Times New Roman"/>
                <w:color w:val="000000"/>
                <w:sz w:val="18"/>
                <w:szCs w:val="18"/>
              </w:rPr>
            </w:pPr>
            <w:r w:rsidRPr="00CD1D92">
              <w:rPr>
                <w:rFonts w:eastAsia="Times New Roman"/>
                <w:color w:val="000000"/>
                <w:sz w:val="18"/>
                <w:szCs w:val="18"/>
              </w:rPr>
              <w:t>3</w:t>
            </w:r>
            <w:r>
              <w:rPr>
                <w:rFonts w:eastAsia="Times New Roman"/>
                <w:color w:val="000000"/>
                <w:sz w:val="18"/>
                <w:szCs w:val="18"/>
              </w:rPr>
              <w:t>5</w:t>
            </w:r>
          </w:p>
        </w:tc>
      </w:tr>
      <w:tr w:rsidR="00093AEB" w:rsidRPr="00CD1D92" w14:paraId="1F60ABFE"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0BD4BFC1"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7BCCFC97" w14:textId="77777777" w:rsidR="00DD755D" w:rsidRPr="00CD1D92" w:rsidRDefault="00DD755D" w:rsidP="00D32FA2">
            <w:pPr>
              <w:spacing w:after="0"/>
              <w:jc w:val="left"/>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000000" w:fill="C6E0B4"/>
            <w:noWrap/>
            <w:hideMark/>
          </w:tcPr>
          <w:p w14:paraId="020336E1"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 </w:t>
            </w:r>
          </w:p>
        </w:tc>
        <w:tc>
          <w:tcPr>
            <w:tcW w:w="810" w:type="dxa"/>
            <w:tcBorders>
              <w:top w:val="nil"/>
              <w:left w:val="nil"/>
              <w:bottom w:val="single" w:sz="4" w:space="0" w:color="auto"/>
              <w:right w:val="single" w:sz="4" w:space="0" w:color="auto"/>
            </w:tcBorders>
            <w:shd w:val="clear" w:color="000000" w:fill="C6E0B4"/>
            <w:noWrap/>
            <w:hideMark/>
          </w:tcPr>
          <w:p w14:paraId="505CF954"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 </w:t>
            </w:r>
          </w:p>
        </w:tc>
        <w:tc>
          <w:tcPr>
            <w:tcW w:w="1129" w:type="dxa"/>
            <w:tcBorders>
              <w:top w:val="nil"/>
              <w:left w:val="nil"/>
              <w:bottom w:val="single" w:sz="4" w:space="0" w:color="auto"/>
              <w:right w:val="single" w:sz="4" w:space="0" w:color="auto"/>
            </w:tcBorders>
            <w:shd w:val="clear" w:color="000000" w:fill="C6E0B4"/>
            <w:noWrap/>
            <w:hideMark/>
          </w:tcPr>
          <w:p w14:paraId="19D5F013"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 </w:t>
            </w:r>
          </w:p>
        </w:tc>
        <w:tc>
          <w:tcPr>
            <w:tcW w:w="1870" w:type="dxa"/>
            <w:tcBorders>
              <w:top w:val="nil"/>
              <w:left w:val="nil"/>
              <w:bottom w:val="single" w:sz="4" w:space="0" w:color="auto"/>
              <w:right w:val="single" w:sz="4" w:space="0" w:color="auto"/>
            </w:tcBorders>
            <w:shd w:val="clear" w:color="000000" w:fill="C6E0B4"/>
            <w:noWrap/>
            <w:hideMark/>
          </w:tcPr>
          <w:p w14:paraId="3F67CA3D"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GEF Subtotal</w:t>
            </w:r>
          </w:p>
        </w:tc>
        <w:tc>
          <w:tcPr>
            <w:tcW w:w="920" w:type="dxa"/>
            <w:tcBorders>
              <w:top w:val="nil"/>
              <w:left w:val="nil"/>
              <w:bottom w:val="single" w:sz="4" w:space="0" w:color="auto"/>
              <w:right w:val="single" w:sz="4" w:space="0" w:color="auto"/>
            </w:tcBorders>
            <w:shd w:val="clear" w:color="000000" w:fill="C6E0B4"/>
            <w:noWrap/>
            <w:hideMark/>
          </w:tcPr>
          <w:p w14:paraId="0BC66EFD"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39,500</w:t>
            </w:r>
          </w:p>
        </w:tc>
        <w:tc>
          <w:tcPr>
            <w:tcW w:w="990" w:type="dxa"/>
            <w:tcBorders>
              <w:top w:val="nil"/>
              <w:left w:val="nil"/>
              <w:bottom w:val="single" w:sz="4" w:space="0" w:color="auto"/>
              <w:right w:val="single" w:sz="4" w:space="0" w:color="auto"/>
            </w:tcBorders>
            <w:shd w:val="clear" w:color="000000" w:fill="C6E0B4"/>
            <w:noWrap/>
            <w:hideMark/>
          </w:tcPr>
          <w:p w14:paraId="569C97CE"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75,500</w:t>
            </w:r>
          </w:p>
        </w:tc>
        <w:tc>
          <w:tcPr>
            <w:tcW w:w="990" w:type="dxa"/>
            <w:tcBorders>
              <w:top w:val="nil"/>
              <w:left w:val="nil"/>
              <w:bottom w:val="single" w:sz="4" w:space="0" w:color="auto"/>
              <w:right w:val="single" w:sz="4" w:space="0" w:color="auto"/>
            </w:tcBorders>
            <w:shd w:val="clear" w:color="000000" w:fill="C6E0B4"/>
            <w:noWrap/>
            <w:hideMark/>
          </w:tcPr>
          <w:p w14:paraId="5078A701"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215,500</w:t>
            </w:r>
          </w:p>
        </w:tc>
        <w:tc>
          <w:tcPr>
            <w:tcW w:w="990" w:type="dxa"/>
            <w:tcBorders>
              <w:top w:val="nil"/>
              <w:left w:val="nil"/>
              <w:bottom w:val="single" w:sz="4" w:space="0" w:color="auto"/>
              <w:right w:val="single" w:sz="4" w:space="0" w:color="auto"/>
            </w:tcBorders>
            <w:shd w:val="clear" w:color="000000" w:fill="C6E0B4"/>
            <w:noWrap/>
            <w:hideMark/>
          </w:tcPr>
          <w:p w14:paraId="3FABC427"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135,500</w:t>
            </w:r>
          </w:p>
        </w:tc>
        <w:tc>
          <w:tcPr>
            <w:tcW w:w="900" w:type="dxa"/>
            <w:tcBorders>
              <w:top w:val="nil"/>
              <w:left w:val="nil"/>
              <w:bottom w:val="single" w:sz="4" w:space="0" w:color="auto"/>
              <w:right w:val="single" w:sz="4" w:space="0" w:color="auto"/>
            </w:tcBorders>
            <w:shd w:val="clear" w:color="000000" w:fill="C6E0B4"/>
            <w:noWrap/>
            <w:hideMark/>
          </w:tcPr>
          <w:p w14:paraId="3B90F07F"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62,500</w:t>
            </w:r>
          </w:p>
        </w:tc>
        <w:tc>
          <w:tcPr>
            <w:tcW w:w="960" w:type="dxa"/>
            <w:tcBorders>
              <w:top w:val="nil"/>
              <w:left w:val="nil"/>
              <w:bottom w:val="single" w:sz="4" w:space="0" w:color="auto"/>
              <w:right w:val="single" w:sz="4" w:space="0" w:color="auto"/>
            </w:tcBorders>
            <w:shd w:val="clear" w:color="000000" w:fill="C6E0B4"/>
            <w:noWrap/>
            <w:hideMark/>
          </w:tcPr>
          <w:p w14:paraId="42671A4B"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101,500</w:t>
            </w:r>
          </w:p>
        </w:tc>
        <w:tc>
          <w:tcPr>
            <w:tcW w:w="990" w:type="dxa"/>
            <w:tcBorders>
              <w:top w:val="nil"/>
              <w:left w:val="nil"/>
              <w:bottom w:val="single" w:sz="4" w:space="0" w:color="auto"/>
              <w:right w:val="single" w:sz="4" w:space="0" w:color="auto"/>
            </w:tcBorders>
            <w:shd w:val="clear" w:color="000000" w:fill="C6E0B4"/>
            <w:noWrap/>
            <w:hideMark/>
          </w:tcPr>
          <w:p w14:paraId="08688724"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630,000</w:t>
            </w:r>
          </w:p>
        </w:tc>
        <w:tc>
          <w:tcPr>
            <w:tcW w:w="690" w:type="dxa"/>
            <w:tcBorders>
              <w:top w:val="nil"/>
              <w:left w:val="nil"/>
              <w:bottom w:val="single" w:sz="4" w:space="0" w:color="auto"/>
              <w:right w:val="single" w:sz="4" w:space="0" w:color="auto"/>
            </w:tcBorders>
            <w:shd w:val="clear" w:color="000000" w:fill="C6E0B4"/>
            <w:noWrap/>
            <w:hideMark/>
          </w:tcPr>
          <w:p w14:paraId="2D152607" w14:textId="77777777" w:rsidR="00DD755D" w:rsidRPr="00CD1D92" w:rsidRDefault="00DD755D" w:rsidP="00D32FA2">
            <w:pPr>
              <w:spacing w:after="0"/>
              <w:jc w:val="center"/>
              <w:rPr>
                <w:rFonts w:eastAsia="Times New Roman"/>
                <w:color w:val="000000"/>
                <w:sz w:val="18"/>
                <w:szCs w:val="18"/>
              </w:rPr>
            </w:pPr>
          </w:p>
        </w:tc>
      </w:tr>
      <w:tr w:rsidR="00093AEB" w:rsidRPr="00CD1D92" w14:paraId="39CBA3B1"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5AB2F3C2" w14:textId="77777777" w:rsidR="00DD755D" w:rsidRPr="00CD1D92" w:rsidRDefault="00DD755D" w:rsidP="00D32FA2">
            <w:pPr>
              <w:spacing w:after="0"/>
              <w:jc w:val="left"/>
              <w:rPr>
                <w:rFonts w:eastAsia="Times New Roman"/>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1E3E3411" w14:textId="77777777" w:rsidR="00DD755D" w:rsidRPr="00CD1D92" w:rsidRDefault="00DD755D" w:rsidP="00D32FA2">
            <w:pPr>
              <w:spacing w:after="0"/>
              <w:jc w:val="left"/>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000000" w:fill="A9D08E"/>
            <w:noWrap/>
            <w:hideMark/>
          </w:tcPr>
          <w:p w14:paraId="53603ACE"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 </w:t>
            </w:r>
          </w:p>
        </w:tc>
        <w:tc>
          <w:tcPr>
            <w:tcW w:w="810" w:type="dxa"/>
            <w:tcBorders>
              <w:top w:val="nil"/>
              <w:left w:val="nil"/>
              <w:bottom w:val="single" w:sz="4" w:space="0" w:color="auto"/>
              <w:right w:val="single" w:sz="4" w:space="0" w:color="auto"/>
            </w:tcBorders>
            <w:shd w:val="clear" w:color="000000" w:fill="A9D08E"/>
            <w:noWrap/>
            <w:hideMark/>
          </w:tcPr>
          <w:p w14:paraId="2DBCC761"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 </w:t>
            </w:r>
          </w:p>
        </w:tc>
        <w:tc>
          <w:tcPr>
            <w:tcW w:w="1129" w:type="dxa"/>
            <w:tcBorders>
              <w:top w:val="nil"/>
              <w:left w:val="nil"/>
              <w:bottom w:val="single" w:sz="4" w:space="0" w:color="auto"/>
              <w:right w:val="single" w:sz="4" w:space="0" w:color="auto"/>
            </w:tcBorders>
            <w:shd w:val="clear" w:color="000000" w:fill="A9D08E"/>
            <w:noWrap/>
            <w:hideMark/>
          </w:tcPr>
          <w:p w14:paraId="3E39A636"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 </w:t>
            </w:r>
          </w:p>
        </w:tc>
        <w:tc>
          <w:tcPr>
            <w:tcW w:w="1870" w:type="dxa"/>
            <w:tcBorders>
              <w:top w:val="nil"/>
              <w:left w:val="nil"/>
              <w:bottom w:val="single" w:sz="4" w:space="0" w:color="auto"/>
              <w:right w:val="single" w:sz="4" w:space="0" w:color="auto"/>
            </w:tcBorders>
            <w:shd w:val="clear" w:color="000000" w:fill="A9D08E"/>
            <w:noWrap/>
            <w:hideMark/>
          </w:tcPr>
          <w:p w14:paraId="44AA3484"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Total Outcome 4</w:t>
            </w:r>
          </w:p>
        </w:tc>
        <w:tc>
          <w:tcPr>
            <w:tcW w:w="920" w:type="dxa"/>
            <w:tcBorders>
              <w:top w:val="nil"/>
              <w:left w:val="nil"/>
              <w:bottom w:val="single" w:sz="4" w:space="0" w:color="auto"/>
              <w:right w:val="single" w:sz="4" w:space="0" w:color="auto"/>
            </w:tcBorders>
            <w:shd w:val="clear" w:color="000000" w:fill="A9D08E"/>
            <w:noWrap/>
            <w:hideMark/>
          </w:tcPr>
          <w:p w14:paraId="50AD900E"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39,500</w:t>
            </w:r>
          </w:p>
        </w:tc>
        <w:tc>
          <w:tcPr>
            <w:tcW w:w="990" w:type="dxa"/>
            <w:tcBorders>
              <w:top w:val="nil"/>
              <w:left w:val="nil"/>
              <w:bottom w:val="single" w:sz="4" w:space="0" w:color="auto"/>
              <w:right w:val="single" w:sz="4" w:space="0" w:color="auto"/>
            </w:tcBorders>
            <w:shd w:val="clear" w:color="000000" w:fill="A9D08E"/>
            <w:noWrap/>
            <w:hideMark/>
          </w:tcPr>
          <w:p w14:paraId="2D7C5CB4"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75,500</w:t>
            </w:r>
          </w:p>
        </w:tc>
        <w:tc>
          <w:tcPr>
            <w:tcW w:w="990" w:type="dxa"/>
            <w:tcBorders>
              <w:top w:val="nil"/>
              <w:left w:val="nil"/>
              <w:bottom w:val="single" w:sz="4" w:space="0" w:color="auto"/>
              <w:right w:val="single" w:sz="4" w:space="0" w:color="auto"/>
            </w:tcBorders>
            <w:shd w:val="clear" w:color="000000" w:fill="A9D08E"/>
            <w:noWrap/>
            <w:hideMark/>
          </w:tcPr>
          <w:p w14:paraId="16FD2349"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215,500</w:t>
            </w:r>
          </w:p>
        </w:tc>
        <w:tc>
          <w:tcPr>
            <w:tcW w:w="990" w:type="dxa"/>
            <w:tcBorders>
              <w:top w:val="nil"/>
              <w:left w:val="nil"/>
              <w:bottom w:val="single" w:sz="4" w:space="0" w:color="auto"/>
              <w:right w:val="single" w:sz="4" w:space="0" w:color="auto"/>
            </w:tcBorders>
            <w:shd w:val="clear" w:color="000000" w:fill="A9D08E"/>
            <w:noWrap/>
            <w:hideMark/>
          </w:tcPr>
          <w:p w14:paraId="083F5C59"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135,500</w:t>
            </w:r>
          </w:p>
        </w:tc>
        <w:tc>
          <w:tcPr>
            <w:tcW w:w="900" w:type="dxa"/>
            <w:tcBorders>
              <w:top w:val="nil"/>
              <w:left w:val="nil"/>
              <w:bottom w:val="single" w:sz="4" w:space="0" w:color="auto"/>
              <w:right w:val="single" w:sz="4" w:space="0" w:color="auto"/>
            </w:tcBorders>
            <w:shd w:val="clear" w:color="000000" w:fill="A9D08E"/>
            <w:noWrap/>
            <w:hideMark/>
          </w:tcPr>
          <w:p w14:paraId="01C677FC"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62,500</w:t>
            </w:r>
          </w:p>
        </w:tc>
        <w:tc>
          <w:tcPr>
            <w:tcW w:w="960" w:type="dxa"/>
            <w:tcBorders>
              <w:top w:val="nil"/>
              <w:left w:val="nil"/>
              <w:bottom w:val="single" w:sz="4" w:space="0" w:color="auto"/>
              <w:right w:val="single" w:sz="4" w:space="0" w:color="auto"/>
            </w:tcBorders>
            <w:shd w:val="clear" w:color="000000" w:fill="A9D08E"/>
            <w:noWrap/>
            <w:hideMark/>
          </w:tcPr>
          <w:p w14:paraId="35F5B41F"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101,500</w:t>
            </w:r>
          </w:p>
        </w:tc>
        <w:tc>
          <w:tcPr>
            <w:tcW w:w="990" w:type="dxa"/>
            <w:tcBorders>
              <w:top w:val="nil"/>
              <w:left w:val="nil"/>
              <w:bottom w:val="single" w:sz="4" w:space="0" w:color="auto"/>
              <w:right w:val="single" w:sz="4" w:space="0" w:color="auto"/>
            </w:tcBorders>
            <w:shd w:val="clear" w:color="000000" w:fill="A9D08E"/>
            <w:noWrap/>
            <w:hideMark/>
          </w:tcPr>
          <w:p w14:paraId="2E0BDE3C"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630,000</w:t>
            </w:r>
          </w:p>
        </w:tc>
        <w:tc>
          <w:tcPr>
            <w:tcW w:w="690" w:type="dxa"/>
            <w:tcBorders>
              <w:top w:val="nil"/>
              <w:left w:val="nil"/>
              <w:bottom w:val="single" w:sz="4" w:space="0" w:color="auto"/>
              <w:right w:val="single" w:sz="4" w:space="0" w:color="auto"/>
            </w:tcBorders>
            <w:shd w:val="clear" w:color="000000" w:fill="A9D08E"/>
            <w:noWrap/>
            <w:hideMark/>
          </w:tcPr>
          <w:p w14:paraId="18596D87" w14:textId="77777777" w:rsidR="00DD755D" w:rsidRPr="00CD1D92" w:rsidRDefault="00DD755D" w:rsidP="00D32FA2">
            <w:pPr>
              <w:spacing w:after="0"/>
              <w:jc w:val="center"/>
              <w:rPr>
                <w:rFonts w:eastAsia="Times New Roman"/>
                <w:color w:val="000000"/>
                <w:sz w:val="18"/>
                <w:szCs w:val="18"/>
              </w:rPr>
            </w:pPr>
          </w:p>
        </w:tc>
      </w:tr>
      <w:tr w:rsidR="00093AEB" w:rsidRPr="00CD1D92" w14:paraId="6670002E" w14:textId="77777777" w:rsidTr="001D57AA">
        <w:trPr>
          <w:trHeight w:val="300"/>
        </w:trPr>
        <w:tc>
          <w:tcPr>
            <w:tcW w:w="1235" w:type="dxa"/>
            <w:vMerge w:val="restart"/>
            <w:tcBorders>
              <w:top w:val="nil"/>
              <w:left w:val="single" w:sz="4" w:space="0" w:color="auto"/>
              <w:bottom w:val="single" w:sz="4" w:space="0" w:color="000000"/>
              <w:right w:val="single" w:sz="4" w:space="0" w:color="auto"/>
            </w:tcBorders>
            <w:shd w:val="clear" w:color="auto" w:fill="auto"/>
            <w:hideMark/>
          </w:tcPr>
          <w:p w14:paraId="54539A5C" w14:textId="77777777" w:rsidR="00DD755D" w:rsidRPr="00CD1D92" w:rsidRDefault="00DD755D" w:rsidP="00D32FA2">
            <w:pPr>
              <w:spacing w:after="0"/>
              <w:jc w:val="left"/>
              <w:rPr>
                <w:rFonts w:eastAsia="Times New Roman"/>
                <w:b/>
                <w:bCs/>
                <w:color w:val="000000"/>
                <w:sz w:val="18"/>
                <w:szCs w:val="18"/>
              </w:rPr>
            </w:pPr>
            <w:r w:rsidRPr="00CD1D92">
              <w:rPr>
                <w:rFonts w:eastAsia="Times New Roman"/>
                <w:b/>
                <w:bCs/>
                <w:color w:val="000000"/>
                <w:sz w:val="18"/>
                <w:szCs w:val="18"/>
              </w:rPr>
              <w:t>Project Management</w:t>
            </w:r>
          </w:p>
        </w:tc>
        <w:tc>
          <w:tcPr>
            <w:tcW w:w="1212" w:type="dxa"/>
            <w:vMerge w:val="restart"/>
            <w:tcBorders>
              <w:top w:val="nil"/>
              <w:left w:val="single" w:sz="4" w:space="0" w:color="auto"/>
              <w:bottom w:val="single" w:sz="4" w:space="0" w:color="000000"/>
              <w:right w:val="single" w:sz="4" w:space="0" w:color="auto"/>
            </w:tcBorders>
            <w:shd w:val="clear" w:color="auto" w:fill="auto"/>
            <w:noWrap/>
            <w:hideMark/>
          </w:tcPr>
          <w:p w14:paraId="2655AC31"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MNRET</w:t>
            </w:r>
          </w:p>
        </w:tc>
        <w:tc>
          <w:tcPr>
            <w:tcW w:w="810" w:type="dxa"/>
            <w:vMerge w:val="restart"/>
            <w:tcBorders>
              <w:top w:val="nil"/>
              <w:left w:val="single" w:sz="4" w:space="0" w:color="auto"/>
              <w:bottom w:val="single" w:sz="4" w:space="0" w:color="000000"/>
              <w:right w:val="single" w:sz="4" w:space="0" w:color="auto"/>
            </w:tcBorders>
            <w:shd w:val="clear" w:color="auto" w:fill="auto"/>
            <w:noWrap/>
            <w:hideMark/>
          </w:tcPr>
          <w:p w14:paraId="3FBB9570"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62000</w:t>
            </w:r>
          </w:p>
        </w:tc>
        <w:tc>
          <w:tcPr>
            <w:tcW w:w="810" w:type="dxa"/>
            <w:vMerge w:val="restart"/>
            <w:tcBorders>
              <w:top w:val="nil"/>
              <w:left w:val="single" w:sz="4" w:space="0" w:color="auto"/>
              <w:bottom w:val="single" w:sz="4" w:space="0" w:color="000000"/>
              <w:right w:val="single" w:sz="4" w:space="0" w:color="auto"/>
            </w:tcBorders>
            <w:shd w:val="clear" w:color="auto" w:fill="auto"/>
            <w:noWrap/>
            <w:hideMark/>
          </w:tcPr>
          <w:p w14:paraId="1A60C806"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GEF</w:t>
            </w:r>
          </w:p>
        </w:tc>
        <w:tc>
          <w:tcPr>
            <w:tcW w:w="1129" w:type="dxa"/>
            <w:tcBorders>
              <w:top w:val="nil"/>
              <w:left w:val="nil"/>
              <w:bottom w:val="single" w:sz="4" w:space="0" w:color="auto"/>
              <w:right w:val="single" w:sz="4" w:space="0" w:color="auto"/>
            </w:tcBorders>
            <w:shd w:val="clear" w:color="auto" w:fill="auto"/>
            <w:noWrap/>
            <w:hideMark/>
          </w:tcPr>
          <w:p w14:paraId="0DE65BF5"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72100</w:t>
            </w:r>
          </w:p>
        </w:tc>
        <w:tc>
          <w:tcPr>
            <w:tcW w:w="1870" w:type="dxa"/>
            <w:tcBorders>
              <w:top w:val="nil"/>
              <w:left w:val="nil"/>
              <w:bottom w:val="single" w:sz="4" w:space="0" w:color="auto"/>
              <w:right w:val="single" w:sz="4" w:space="0" w:color="auto"/>
            </w:tcBorders>
            <w:shd w:val="clear" w:color="auto" w:fill="auto"/>
            <w:noWrap/>
            <w:hideMark/>
          </w:tcPr>
          <w:p w14:paraId="59628E4F"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Travel</w:t>
            </w:r>
          </w:p>
        </w:tc>
        <w:tc>
          <w:tcPr>
            <w:tcW w:w="920" w:type="dxa"/>
            <w:tcBorders>
              <w:top w:val="nil"/>
              <w:left w:val="nil"/>
              <w:bottom w:val="single" w:sz="4" w:space="0" w:color="auto"/>
              <w:right w:val="single" w:sz="4" w:space="0" w:color="auto"/>
            </w:tcBorders>
            <w:shd w:val="clear" w:color="auto" w:fill="auto"/>
            <w:noWrap/>
            <w:hideMark/>
          </w:tcPr>
          <w:p w14:paraId="34FA5167" w14:textId="77777777" w:rsidR="00DD755D" w:rsidRPr="00CD1D92" w:rsidRDefault="00DD755D" w:rsidP="00D32FA2">
            <w:pPr>
              <w:spacing w:after="0"/>
              <w:jc w:val="right"/>
              <w:rPr>
                <w:rFonts w:eastAsia="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hideMark/>
          </w:tcPr>
          <w:p w14:paraId="0211BB0E"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4,500</w:t>
            </w:r>
          </w:p>
        </w:tc>
        <w:tc>
          <w:tcPr>
            <w:tcW w:w="990" w:type="dxa"/>
            <w:tcBorders>
              <w:top w:val="nil"/>
              <w:left w:val="nil"/>
              <w:bottom w:val="single" w:sz="4" w:space="0" w:color="auto"/>
              <w:right w:val="single" w:sz="4" w:space="0" w:color="auto"/>
            </w:tcBorders>
            <w:shd w:val="clear" w:color="auto" w:fill="auto"/>
            <w:noWrap/>
            <w:hideMark/>
          </w:tcPr>
          <w:p w14:paraId="7D41CB5E" w14:textId="77777777" w:rsidR="00DD755D" w:rsidRPr="00CD1D92" w:rsidRDefault="00DD755D" w:rsidP="00D32FA2">
            <w:pPr>
              <w:spacing w:after="0"/>
              <w:jc w:val="right"/>
              <w:rPr>
                <w:rFonts w:eastAsia="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hideMark/>
          </w:tcPr>
          <w:p w14:paraId="6023D9B3" w14:textId="77777777" w:rsidR="00DD755D" w:rsidRPr="00CD1D92" w:rsidRDefault="00DD755D" w:rsidP="00D32FA2">
            <w:pPr>
              <w:spacing w:after="0"/>
              <w:jc w:val="right"/>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hideMark/>
          </w:tcPr>
          <w:p w14:paraId="5A637EDE"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4,500</w:t>
            </w:r>
          </w:p>
        </w:tc>
        <w:tc>
          <w:tcPr>
            <w:tcW w:w="960" w:type="dxa"/>
            <w:tcBorders>
              <w:top w:val="nil"/>
              <w:left w:val="nil"/>
              <w:bottom w:val="single" w:sz="4" w:space="0" w:color="auto"/>
              <w:right w:val="single" w:sz="4" w:space="0" w:color="auto"/>
            </w:tcBorders>
            <w:shd w:val="clear" w:color="auto" w:fill="auto"/>
            <w:noWrap/>
            <w:hideMark/>
          </w:tcPr>
          <w:p w14:paraId="3606F87F" w14:textId="77777777" w:rsidR="00DD755D" w:rsidRPr="00CD1D92" w:rsidRDefault="00DD755D" w:rsidP="00D32FA2">
            <w:pPr>
              <w:spacing w:after="0"/>
              <w:jc w:val="right"/>
              <w:rPr>
                <w:rFonts w:eastAsia="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hideMark/>
          </w:tcPr>
          <w:p w14:paraId="4477DE8D"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9,000</w:t>
            </w:r>
          </w:p>
        </w:tc>
        <w:tc>
          <w:tcPr>
            <w:tcW w:w="690" w:type="dxa"/>
            <w:tcBorders>
              <w:top w:val="nil"/>
              <w:left w:val="nil"/>
              <w:bottom w:val="single" w:sz="4" w:space="0" w:color="auto"/>
              <w:right w:val="single" w:sz="4" w:space="0" w:color="auto"/>
            </w:tcBorders>
            <w:shd w:val="clear" w:color="auto" w:fill="auto"/>
            <w:noWrap/>
            <w:hideMark/>
          </w:tcPr>
          <w:p w14:paraId="45A1ACD3" w14:textId="725DF46D" w:rsidR="00DD755D" w:rsidRPr="00CD1D92" w:rsidRDefault="001D57AA" w:rsidP="001D57AA">
            <w:pPr>
              <w:spacing w:after="0"/>
              <w:jc w:val="center"/>
              <w:rPr>
                <w:rFonts w:eastAsia="Times New Roman"/>
                <w:color w:val="000000"/>
                <w:sz w:val="18"/>
                <w:szCs w:val="18"/>
              </w:rPr>
            </w:pPr>
            <w:r w:rsidRPr="00CD1D92">
              <w:rPr>
                <w:rFonts w:eastAsia="Times New Roman"/>
                <w:color w:val="000000"/>
                <w:sz w:val="18"/>
                <w:szCs w:val="18"/>
              </w:rPr>
              <w:t>3</w:t>
            </w:r>
            <w:r>
              <w:rPr>
                <w:rFonts w:eastAsia="Times New Roman"/>
                <w:color w:val="000000"/>
                <w:sz w:val="18"/>
                <w:szCs w:val="18"/>
              </w:rPr>
              <w:t>6</w:t>
            </w:r>
          </w:p>
        </w:tc>
      </w:tr>
      <w:tr w:rsidR="00093AEB" w:rsidRPr="00CD1D92" w14:paraId="194C91B1"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71C3C345" w14:textId="77777777" w:rsidR="00DD755D" w:rsidRPr="00CD1D92" w:rsidRDefault="00DD755D" w:rsidP="00D32FA2">
            <w:pPr>
              <w:spacing w:after="0"/>
              <w:jc w:val="left"/>
              <w:rPr>
                <w:rFonts w:eastAsia="Times New Roman"/>
                <w:b/>
                <w:bCs/>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7E2710BE"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3BBA51C5"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75DFB912" w14:textId="77777777" w:rsidR="00DD755D" w:rsidRPr="00CD1D92" w:rsidRDefault="00DD755D" w:rsidP="00D32FA2">
            <w:pPr>
              <w:spacing w:after="0"/>
              <w:jc w:val="left"/>
              <w:rPr>
                <w:rFonts w:eastAsia="Times New Roman"/>
                <w:color w:val="000000"/>
                <w:sz w:val="18"/>
                <w:szCs w:val="18"/>
              </w:rPr>
            </w:pPr>
          </w:p>
        </w:tc>
        <w:tc>
          <w:tcPr>
            <w:tcW w:w="1129" w:type="dxa"/>
            <w:tcBorders>
              <w:top w:val="nil"/>
              <w:left w:val="nil"/>
              <w:bottom w:val="single" w:sz="4" w:space="0" w:color="auto"/>
              <w:right w:val="single" w:sz="4" w:space="0" w:color="auto"/>
            </w:tcBorders>
            <w:shd w:val="clear" w:color="auto" w:fill="auto"/>
            <w:noWrap/>
            <w:hideMark/>
          </w:tcPr>
          <w:p w14:paraId="22CBE4D2" w14:textId="77777777" w:rsidR="00DD755D" w:rsidRPr="00CD1D92" w:rsidRDefault="00DD755D" w:rsidP="00D32FA2">
            <w:pPr>
              <w:spacing w:after="0"/>
              <w:jc w:val="center"/>
              <w:rPr>
                <w:rFonts w:eastAsia="Times New Roman"/>
                <w:color w:val="000000"/>
                <w:sz w:val="18"/>
                <w:szCs w:val="18"/>
              </w:rPr>
            </w:pPr>
            <w:r w:rsidRPr="00CD1D92">
              <w:rPr>
                <w:rFonts w:eastAsia="Times New Roman"/>
                <w:color w:val="000000"/>
                <w:sz w:val="18"/>
                <w:szCs w:val="18"/>
              </w:rPr>
              <w:t>73400</w:t>
            </w:r>
          </w:p>
        </w:tc>
        <w:tc>
          <w:tcPr>
            <w:tcW w:w="1870" w:type="dxa"/>
            <w:tcBorders>
              <w:top w:val="nil"/>
              <w:left w:val="nil"/>
              <w:bottom w:val="single" w:sz="4" w:space="0" w:color="auto"/>
              <w:right w:val="single" w:sz="4" w:space="0" w:color="auto"/>
            </w:tcBorders>
            <w:shd w:val="clear" w:color="auto" w:fill="auto"/>
            <w:noWrap/>
            <w:hideMark/>
          </w:tcPr>
          <w:p w14:paraId="03161ABE"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Supplies</w:t>
            </w:r>
          </w:p>
        </w:tc>
        <w:tc>
          <w:tcPr>
            <w:tcW w:w="920" w:type="dxa"/>
            <w:tcBorders>
              <w:top w:val="nil"/>
              <w:left w:val="nil"/>
              <w:bottom w:val="single" w:sz="4" w:space="0" w:color="auto"/>
              <w:right w:val="single" w:sz="4" w:space="0" w:color="auto"/>
            </w:tcBorders>
            <w:shd w:val="clear" w:color="auto" w:fill="auto"/>
            <w:noWrap/>
            <w:hideMark/>
          </w:tcPr>
          <w:p w14:paraId="020CA552"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2,094</w:t>
            </w:r>
          </w:p>
        </w:tc>
        <w:tc>
          <w:tcPr>
            <w:tcW w:w="990" w:type="dxa"/>
            <w:tcBorders>
              <w:top w:val="nil"/>
              <w:left w:val="nil"/>
              <w:bottom w:val="single" w:sz="4" w:space="0" w:color="auto"/>
              <w:right w:val="single" w:sz="4" w:space="0" w:color="auto"/>
            </w:tcBorders>
            <w:shd w:val="clear" w:color="auto" w:fill="auto"/>
            <w:noWrap/>
            <w:hideMark/>
          </w:tcPr>
          <w:p w14:paraId="3A2EFA68"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2,094</w:t>
            </w:r>
          </w:p>
        </w:tc>
        <w:tc>
          <w:tcPr>
            <w:tcW w:w="990" w:type="dxa"/>
            <w:tcBorders>
              <w:top w:val="nil"/>
              <w:left w:val="nil"/>
              <w:bottom w:val="single" w:sz="4" w:space="0" w:color="auto"/>
              <w:right w:val="single" w:sz="4" w:space="0" w:color="auto"/>
            </w:tcBorders>
            <w:shd w:val="clear" w:color="auto" w:fill="auto"/>
            <w:noWrap/>
            <w:hideMark/>
          </w:tcPr>
          <w:p w14:paraId="37493A6C"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2,094</w:t>
            </w:r>
          </w:p>
        </w:tc>
        <w:tc>
          <w:tcPr>
            <w:tcW w:w="990" w:type="dxa"/>
            <w:tcBorders>
              <w:top w:val="nil"/>
              <w:left w:val="nil"/>
              <w:bottom w:val="single" w:sz="4" w:space="0" w:color="auto"/>
              <w:right w:val="single" w:sz="4" w:space="0" w:color="auto"/>
            </w:tcBorders>
            <w:shd w:val="clear" w:color="auto" w:fill="auto"/>
            <w:noWrap/>
            <w:hideMark/>
          </w:tcPr>
          <w:p w14:paraId="0F5320D9"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2,094</w:t>
            </w:r>
          </w:p>
        </w:tc>
        <w:tc>
          <w:tcPr>
            <w:tcW w:w="900" w:type="dxa"/>
            <w:tcBorders>
              <w:top w:val="nil"/>
              <w:left w:val="nil"/>
              <w:bottom w:val="single" w:sz="4" w:space="0" w:color="auto"/>
              <w:right w:val="single" w:sz="4" w:space="0" w:color="auto"/>
            </w:tcBorders>
            <w:shd w:val="clear" w:color="auto" w:fill="auto"/>
            <w:noWrap/>
            <w:hideMark/>
          </w:tcPr>
          <w:p w14:paraId="031FCF9F"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2,094</w:t>
            </w:r>
          </w:p>
        </w:tc>
        <w:tc>
          <w:tcPr>
            <w:tcW w:w="960" w:type="dxa"/>
            <w:tcBorders>
              <w:top w:val="nil"/>
              <w:left w:val="nil"/>
              <w:bottom w:val="single" w:sz="4" w:space="0" w:color="auto"/>
              <w:right w:val="single" w:sz="4" w:space="0" w:color="auto"/>
            </w:tcBorders>
            <w:shd w:val="clear" w:color="auto" w:fill="auto"/>
            <w:noWrap/>
            <w:hideMark/>
          </w:tcPr>
          <w:p w14:paraId="766CAF5F" w14:textId="178FCAF5" w:rsidR="00DD755D" w:rsidRPr="00CD1D92" w:rsidRDefault="00DD755D" w:rsidP="001D57AA">
            <w:pPr>
              <w:spacing w:after="0"/>
              <w:jc w:val="right"/>
              <w:rPr>
                <w:rFonts w:eastAsia="Times New Roman"/>
                <w:color w:val="000000"/>
                <w:sz w:val="18"/>
                <w:szCs w:val="18"/>
              </w:rPr>
            </w:pPr>
            <w:r w:rsidRPr="00CD1D92">
              <w:rPr>
                <w:rFonts w:eastAsia="Times New Roman"/>
                <w:color w:val="000000"/>
                <w:sz w:val="18"/>
                <w:szCs w:val="18"/>
              </w:rPr>
              <w:t>2,</w:t>
            </w:r>
            <w:r w:rsidR="001D57AA" w:rsidRPr="00CD1D92">
              <w:rPr>
                <w:rFonts w:eastAsia="Times New Roman"/>
                <w:color w:val="000000"/>
                <w:sz w:val="18"/>
                <w:szCs w:val="18"/>
              </w:rPr>
              <w:t>09</w:t>
            </w:r>
            <w:r w:rsidR="001D57AA">
              <w:rPr>
                <w:rFonts w:eastAsia="Times New Roman"/>
                <w:color w:val="000000"/>
                <w:sz w:val="18"/>
                <w:szCs w:val="18"/>
              </w:rPr>
              <w:t>2</w:t>
            </w:r>
          </w:p>
        </w:tc>
        <w:tc>
          <w:tcPr>
            <w:tcW w:w="990" w:type="dxa"/>
            <w:tcBorders>
              <w:top w:val="nil"/>
              <w:left w:val="nil"/>
              <w:bottom w:val="single" w:sz="4" w:space="0" w:color="auto"/>
              <w:right w:val="single" w:sz="4" w:space="0" w:color="auto"/>
            </w:tcBorders>
            <w:shd w:val="clear" w:color="auto" w:fill="auto"/>
            <w:noWrap/>
            <w:hideMark/>
          </w:tcPr>
          <w:p w14:paraId="4290BA96"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12,562</w:t>
            </w:r>
          </w:p>
        </w:tc>
        <w:tc>
          <w:tcPr>
            <w:tcW w:w="690" w:type="dxa"/>
            <w:tcBorders>
              <w:top w:val="nil"/>
              <w:left w:val="nil"/>
              <w:bottom w:val="single" w:sz="4" w:space="0" w:color="auto"/>
              <w:right w:val="single" w:sz="4" w:space="0" w:color="auto"/>
            </w:tcBorders>
            <w:shd w:val="clear" w:color="auto" w:fill="auto"/>
            <w:noWrap/>
            <w:hideMark/>
          </w:tcPr>
          <w:p w14:paraId="4552ECA0" w14:textId="5FF919C1" w:rsidR="00DD755D" w:rsidRPr="00CD1D92" w:rsidRDefault="001D57AA" w:rsidP="001D57AA">
            <w:pPr>
              <w:spacing w:after="0"/>
              <w:jc w:val="center"/>
              <w:rPr>
                <w:rFonts w:eastAsia="Times New Roman"/>
                <w:color w:val="000000"/>
                <w:sz w:val="18"/>
                <w:szCs w:val="18"/>
              </w:rPr>
            </w:pPr>
            <w:r w:rsidRPr="00CD1D92">
              <w:rPr>
                <w:rFonts w:eastAsia="Times New Roman"/>
                <w:color w:val="000000"/>
                <w:sz w:val="18"/>
                <w:szCs w:val="18"/>
              </w:rPr>
              <w:t>3</w:t>
            </w:r>
            <w:r>
              <w:rPr>
                <w:rFonts w:eastAsia="Times New Roman"/>
                <w:color w:val="000000"/>
                <w:sz w:val="18"/>
                <w:szCs w:val="18"/>
              </w:rPr>
              <w:t>7</w:t>
            </w:r>
          </w:p>
        </w:tc>
      </w:tr>
      <w:tr w:rsidR="00093AEB" w:rsidRPr="00CD1D92" w14:paraId="200C620D"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297DE56E" w14:textId="77777777" w:rsidR="00DD755D" w:rsidRPr="00CD1D92" w:rsidRDefault="00DD755D" w:rsidP="00D32FA2">
            <w:pPr>
              <w:spacing w:after="0"/>
              <w:jc w:val="left"/>
              <w:rPr>
                <w:rFonts w:eastAsia="Times New Roman"/>
                <w:b/>
                <w:bCs/>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5DD7744B"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2D953817" w14:textId="77777777" w:rsidR="00DD755D" w:rsidRPr="00CD1D92" w:rsidRDefault="00DD755D" w:rsidP="00D32FA2">
            <w:pPr>
              <w:spacing w:after="0"/>
              <w:jc w:val="left"/>
              <w:rPr>
                <w:rFonts w:eastAsia="Times New Roman"/>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509591D6" w14:textId="77777777" w:rsidR="00DD755D" w:rsidRPr="00CD1D92" w:rsidRDefault="00DD755D" w:rsidP="00D32FA2">
            <w:pPr>
              <w:spacing w:after="0"/>
              <w:jc w:val="left"/>
              <w:rPr>
                <w:rFonts w:eastAsia="Times New Roman"/>
                <w:color w:val="000000"/>
                <w:sz w:val="18"/>
                <w:szCs w:val="18"/>
              </w:rPr>
            </w:pPr>
          </w:p>
        </w:tc>
        <w:tc>
          <w:tcPr>
            <w:tcW w:w="1129" w:type="dxa"/>
            <w:tcBorders>
              <w:top w:val="nil"/>
              <w:left w:val="nil"/>
              <w:bottom w:val="single" w:sz="4" w:space="0" w:color="auto"/>
              <w:right w:val="single" w:sz="4" w:space="0" w:color="auto"/>
            </w:tcBorders>
            <w:shd w:val="clear" w:color="auto" w:fill="auto"/>
            <w:noWrap/>
            <w:hideMark/>
          </w:tcPr>
          <w:p w14:paraId="1508A386" w14:textId="7253E547" w:rsidR="00DD755D" w:rsidRPr="00CD1D92" w:rsidRDefault="001D57AA" w:rsidP="00D32FA2">
            <w:pPr>
              <w:spacing w:after="0"/>
              <w:jc w:val="center"/>
              <w:rPr>
                <w:rFonts w:eastAsia="Times New Roman"/>
                <w:color w:val="000000"/>
                <w:sz w:val="18"/>
                <w:szCs w:val="18"/>
              </w:rPr>
            </w:pPr>
            <w:r>
              <w:rPr>
                <w:rFonts w:eastAsia="Times New Roman"/>
                <w:color w:val="000000"/>
                <w:sz w:val="18"/>
                <w:szCs w:val="18"/>
              </w:rPr>
              <w:t>64397/74596</w:t>
            </w:r>
          </w:p>
        </w:tc>
        <w:tc>
          <w:tcPr>
            <w:tcW w:w="1870" w:type="dxa"/>
            <w:tcBorders>
              <w:top w:val="nil"/>
              <w:left w:val="nil"/>
              <w:bottom w:val="single" w:sz="4" w:space="0" w:color="auto"/>
              <w:right w:val="single" w:sz="4" w:space="0" w:color="auto"/>
            </w:tcBorders>
            <w:shd w:val="clear" w:color="auto" w:fill="auto"/>
            <w:noWrap/>
            <w:hideMark/>
          </w:tcPr>
          <w:p w14:paraId="07760AEC" w14:textId="1E16F8CF" w:rsidR="00DD755D" w:rsidRPr="00CD1D92" w:rsidRDefault="001D57AA" w:rsidP="00D32FA2">
            <w:pPr>
              <w:spacing w:after="0"/>
              <w:jc w:val="left"/>
              <w:rPr>
                <w:rFonts w:eastAsia="Times New Roman"/>
                <w:color w:val="000000"/>
                <w:sz w:val="18"/>
                <w:szCs w:val="18"/>
              </w:rPr>
            </w:pPr>
            <w:r>
              <w:rPr>
                <w:rFonts w:eastAsia="Times New Roman"/>
                <w:color w:val="000000"/>
                <w:sz w:val="18"/>
                <w:szCs w:val="18"/>
              </w:rPr>
              <w:t>Services to Projects</w:t>
            </w:r>
          </w:p>
        </w:tc>
        <w:tc>
          <w:tcPr>
            <w:tcW w:w="920" w:type="dxa"/>
            <w:tcBorders>
              <w:top w:val="nil"/>
              <w:left w:val="nil"/>
              <w:bottom w:val="single" w:sz="4" w:space="0" w:color="auto"/>
              <w:right w:val="single" w:sz="4" w:space="0" w:color="auto"/>
            </w:tcBorders>
            <w:shd w:val="clear" w:color="auto" w:fill="auto"/>
            <w:noWrap/>
            <w:hideMark/>
          </w:tcPr>
          <w:p w14:paraId="568DBEE6"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30,000</w:t>
            </w:r>
          </w:p>
        </w:tc>
        <w:tc>
          <w:tcPr>
            <w:tcW w:w="990" w:type="dxa"/>
            <w:tcBorders>
              <w:top w:val="nil"/>
              <w:left w:val="nil"/>
              <w:bottom w:val="single" w:sz="4" w:space="0" w:color="auto"/>
              <w:right w:val="single" w:sz="4" w:space="0" w:color="auto"/>
            </w:tcBorders>
            <w:shd w:val="clear" w:color="auto" w:fill="auto"/>
            <w:noWrap/>
            <w:hideMark/>
          </w:tcPr>
          <w:p w14:paraId="16E15C1E"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30,000</w:t>
            </w:r>
          </w:p>
        </w:tc>
        <w:tc>
          <w:tcPr>
            <w:tcW w:w="990" w:type="dxa"/>
            <w:tcBorders>
              <w:top w:val="nil"/>
              <w:left w:val="nil"/>
              <w:bottom w:val="single" w:sz="4" w:space="0" w:color="auto"/>
              <w:right w:val="single" w:sz="4" w:space="0" w:color="auto"/>
            </w:tcBorders>
            <w:shd w:val="clear" w:color="auto" w:fill="auto"/>
            <w:noWrap/>
            <w:hideMark/>
          </w:tcPr>
          <w:p w14:paraId="5E97A737"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30,000</w:t>
            </w:r>
          </w:p>
        </w:tc>
        <w:tc>
          <w:tcPr>
            <w:tcW w:w="990" w:type="dxa"/>
            <w:tcBorders>
              <w:top w:val="nil"/>
              <w:left w:val="nil"/>
              <w:bottom w:val="single" w:sz="4" w:space="0" w:color="auto"/>
              <w:right w:val="single" w:sz="4" w:space="0" w:color="auto"/>
            </w:tcBorders>
            <w:shd w:val="clear" w:color="auto" w:fill="auto"/>
            <w:noWrap/>
            <w:hideMark/>
          </w:tcPr>
          <w:p w14:paraId="7AF6CB48"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30,000</w:t>
            </w:r>
          </w:p>
        </w:tc>
        <w:tc>
          <w:tcPr>
            <w:tcW w:w="900" w:type="dxa"/>
            <w:tcBorders>
              <w:top w:val="nil"/>
              <w:left w:val="nil"/>
              <w:bottom w:val="single" w:sz="4" w:space="0" w:color="auto"/>
              <w:right w:val="single" w:sz="4" w:space="0" w:color="auto"/>
            </w:tcBorders>
            <w:shd w:val="clear" w:color="auto" w:fill="auto"/>
            <w:noWrap/>
            <w:hideMark/>
          </w:tcPr>
          <w:p w14:paraId="68E19558"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30,000</w:t>
            </w:r>
          </w:p>
        </w:tc>
        <w:tc>
          <w:tcPr>
            <w:tcW w:w="960" w:type="dxa"/>
            <w:tcBorders>
              <w:top w:val="nil"/>
              <w:left w:val="nil"/>
              <w:bottom w:val="single" w:sz="4" w:space="0" w:color="auto"/>
              <w:right w:val="single" w:sz="4" w:space="0" w:color="auto"/>
            </w:tcBorders>
            <w:shd w:val="clear" w:color="auto" w:fill="auto"/>
            <w:noWrap/>
            <w:hideMark/>
          </w:tcPr>
          <w:p w14:paraId="312B4B7A"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30,000</w:t>
            </w:r>
          </w:p>
        </w:tc>
        <w:tc>
          <w:tcPr>
            <w:tcW w:w="990" w:type="dxa"/>
            <w:tcBorders>
              <w:top w:val="nil"/>
              <w:left w:val="nil"/>
              <w:bottom w:val="single" w:sz="4" w:space="0" w:color="auto"/>
              <w:right w:val="single" w:sz="4" w:space="0" w:color="auto"/>
            </w:tcBorders>
            <w:shd w:val="clear" w:color="auto" w:fill="auto"/>
            <w:noWrap/>
            <w:hideMark/>
          </w:tcPr>
          <w:p w14:paraId="64FB607C"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180,000</w:t>
            </w:r>
          </w:p>
        </w:tc>
        <w:tc>
          <w:tcPr>
            <w:tcW w:w="690" w:type="dxa"/>
            <w:tcBorders>
              <w:top w:val="nil"/>
              <w:left w:val="nil"/>
              <w:bottom w:val="single" w:sz="4" w:space="0" w:color="auto"/>
              <w:right w:val="single" w:sz="4" w:space="0" w:color="auto"/>
            </w:tcBorders>
            <w:shd w:val="clear" w:color="auto" w:fill="auto"/>
            <w:noWrap/>
            <w:hideMark/>
          </w:tcPr>
          <w:p w14:paraId="1AB154BC" w14:textId="7D55CF28" w:rsidR="00DD755D" w:rsidRPr="00CD1D92" w:rsidRDefault="001D57AA" w:rsidP="001D57AA">
            <w:pPr>
              <w:spacing w:after="0"/>
              <w:jc w:val="center"/>
              <w:rPr>
                <w:rFonts w:eastAsia="Times New Roman"/>
                <w:color w:val="000000"/>
                <w:sz w:val="18"/>
                <w:szCs w:val="18"/>
              </w:rPr>
            </w:pPr>
            <w:r w:rsidRPr="00CD1D92">
              <w:rPr>
                <w:rFonts w:eastAsia="Times New Roman"/>
                <w:color w:val="000000"/>
                <w:sz w:val="18"/>
                <w:szCs w:val="18"/>
              </w:rPr>
              <w:t>3</w:t>
            </w:r>
            <w:r>
              <w:rPr>
                <w:rFonts w:eastAsia="Times New Roman"/>
                <w:color w:val="000000"/>
                <w:sz w:val="18"/>
                <w:szCs w:val="18"/>
              </w:rPr>
              <w:t>8</w:t>
            </w:r>
          </w:p>
        </w:tc>
      </w:tr>
      <w:tr w:rsidR="00093AEB" w:rsidRPr="00CD1D92" w14:paraId="4338151F"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161A5794" w14:textId="77777777" w:rsidR="00DD755D" w:rsidRPr="00CD1D92" w:rsidRDefault="00DD755D" w:rsidP="00D32FA2">
            <w:pPr>
              <w:spacing w:after="0"/>
              <w:jc w:val="left"/>
              <w:rPr>
                <w:rFonts w:eastAsia="Times New Roman"/>
                <w:b/>
                <w:bCs/>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0B9E8DDA" w14:textId="77777777" w:rsidR="00DD755D" w:rsidRPr="00CD1D92" w:rsidRDefault="00DD755D" w:rsidP="00D32FA2">
            <w:pPr>
              <w:spacing w:after="0"/>
              <w:jc w:val="left"/>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000000" w:fill="C6E0B4"/>
            <w:noWrap/>
            <w:hideMark/>
          </w:tcPr>
          <w:p w14:paraId="5CB4A9CD"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 </w:t>
            </w:r>
          </w:p>
        </w:tc>
        <w:tc>
          <w:tcPr>
            <w:tcW w:w="810" w:type="dxa"/>
            <w:tcBorders>
              <w:top w:val="nil"/>
              <w:left w:val="nil"/>
              <w:bottom w:val="single" w:sz="4" w:space="0" w:color="auto"/>
              <w:right w:val="single" w:sz="4" w:space="0" w:color="auto"/>
            </w:tcBorders>
            <w:shd w:val="clear" w:color="000000" w:fill="C6E0B4"/>
            <w:noWrap/>
            <w:hideMark/>
          </w:tcPr>
          <w:p w14:paraId="19E313DD"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 </w:t>
            </w:r>
          </w:p>
        </w:tc>
        <w:tc>
          <w:tcPr>
            <w:tcW w:w="1129" w:type="dxa"/>
            <w:tcBorders>
              <w:top w:val="nil"/>
              <w:left w:val="nil"/>
              <w:bottom w:val="single" w:sz="4" w:space="0" w:color="auto"/>
              <w:right w:val="single" w:sz="4" w:space="0" w:color="auto"/>
            </w:tcBorders>
            <w:shd w:val="clear" w:color="000000" w:fill="C6E0B4"/>
            <w:noWrap/>
            <w:hideMark/>
          </w:tcPr>
          <w:p w14:paraId="377DB876"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 </w:t>
            </w:r>
          </w:p>
        </w:tc>
        <w:tc>
          <w:tcPr>
            <w:tcW w:w="1870" w:type="dxa"/>
            <w:tcBorders>
              <w:top w:val="nil"/>
              <w:left w:val="nil"/>
              <w:bottom w:val="single" w:sz="4" w:space="0" w:color="auto"/>
              <w:right w:val="single" w:sz="4" w:space="0" w:color="auto"/>
            </w:tcBorders>
            <w:shd w:val="clear" w:color="000000" w:fill="C6E0B4"/>
            <w:noWrap/>
            <w:hideMark/>
          </w:tcPr>
          <w:p w14:paraId="6D1A6307"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GEF Subtotal</w:t>
            </w:r>
          </w:p>
        </w:tc>
        <w:tc>
          <w:tcPr>
            <w:tcW w:w="920" w:type="dxa"/>
            <w:tcBorders>
              <w:top w:val="nil"/>
              <w:left w:val="nil"/>
              <w:bottom w:val="single" w:sz="4" w:space="0" w:color="auto"/>
              <w:right w:val="single" w:sz="4" w:space="0" w:color="auto"/>
            </w:tcBorders>
            <w:shd w:val="clear" w:color="000000" w:fill="C6E0B4"/>
            <w:noWrap/>
            <w:hideMark/>
          </w:tcPr>
          <w:p w14:paraId="2855ED6B"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32,094</w:t>
            </w:r>
          </w:p>
        </w:tc>
        <w:tc>
          <w:tcPr>
            <w:tcW w:w="990" w:type="dxa"/>
            <w:tcBorders>
              <w:top w:val="nil"/>
              <w:left w:val="nil"/>
              <w:bottom w:val="single" w:sz="4" w:space="0" w:color="auto"/>
              <w:right w:val="single" w:sz="4" w:space="0" w:color="auto"/>
            </w:tcBorders>
            <w:shd w:val="clear" w:color="000000" w:fill="C6E0B4"/>
            <w:noWrap/>
            <w:hideMark/>
          </w:tcPr>
          <w:p w14:paraId="0381EEAD"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36,594</w:t>
            </w:r>
          </w:p>
        </w:tc>
        <w:tc>
          <w:tcPr>
            <w:tcW w:w="990" w:type="dxa"/>
            <w:tcBorders>
              <w:top w:val="nil"/>
              <w:left w:val="nil"/>
              <w:bottom w:val="single" w:sz="4" w:space="0" w:color="auto"/>
              <w:right w:val="single" w:sz="4" w:space="0" w:color="auto"/>
            </w:tcBorders>
            <w:shd w:val="clear" w:color="000000" w:fill="C6E0B4"/>
            <w:noWrap/>
            <w:hideMark/>
          </w:tcPr>
          <w:p w14:paraId="2AAE1D4B"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32,094</w:t>
            </w:r>
          </w:p>
        </w:tc>
        <w:tc>
          <w:tcPr>
            <w:tcW w:w="990" w:type="dxa"/>
            <w:tcBorders>
              <w:top w:val="nil"/>
              <w:left w:val="nil"/>
              <w:bottom w:val="single" w:sz="4" w:space="0" w:color="auto"/>
              <w:right w:val="single" w:sz="4" w:space="0" w:color="auto"/>
            </w:tcBorders>
            <w:shd w:val="clear" w:color="000000" w:fill="C6E0B4"/>
            <w:noWrap/>
            <w:hideMark/>
          </w:tcPr>
          <w:p w14:paraId="74A693CB"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32,094</w:t>
            </w:r>
          </w:p>
        </w:tc>
        <w:tc>
          <w:tcPr>
            <w:tcW w:w="900" w:type="dxa"/>
            <w:tcBorders>
              <w:top w:val="nil"/>
              <w:left w:val="nil"/>
              <w:bottom w:val="single" w:sz="4" w:space="0" w:color="auto"/>
              <w:right w:val="single" w:sz="4" w:space="0" w:color="auto"/>
            </w:tcBorders>
            <w:shd w:val="clear" w:color="000000" w:fill="C6E0B4"/>
            <w:noWrap/>
            <w:hideMark/>
          </w:tcPr>
          <w:p w14:paraId="3580D2E0"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36,594</w:t>
            </w:r>
          </w:p>
        </w:tc>
        <w:tc>
          <w:tcPr>
            <w:tcW w:w="960" w:type="dxa"/>
            <w:tcBorders>
              <w:top w:val="nil"/>
              <w:left w:val="nil"/>
              <w:bottom w:val="single" w:sz="4" w:space="0" w:color="auto"/>
              <w:right w:val="single" w:sz="4" w:space="0" w:color="auto"/>
            </w:tcBorders>
            <w:shd w:val="clear" w:color="000000" w:fill="C6E0B4"/>
            <w:noWrap/>
            <w:hideMark/>
          </w:tcPr>
          <w:p w14:paraId="2A26A63B"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32,094</w:t>
            </w:r>
          </w:p>
        </w:tc>
        <w:tc>
          <w:tcPr>
            <w:tcW w:w="990" w:type="dxa"/>
            <w:tcBorders>
              <w:top w:val="nil"/>
              <w:left w:val="nil"/>
              <w:bottom w:val="single" w:sz="4" w:space="0" w:color="auto"/>
              <w:right w:val="single" w:sz="4" w:space="0" w:color="auto"/>
            </w:tcBorders>
            <w:shd w:val="clear" w:color="000000" w:fill="C6E0B4"/>
            <w:noWrap/>
            <w:hideMark/>
          </w:tcPr>
          <w:p w14:paraId="27C3EA85"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201,562</w:t>
            </w:r>
          </w:p>
        </w:tc>
        <w:tc>
          <w:tcPr>
            <w:tcW w:w="690" w:type="dxa"/>
            <w:tcBorders>
              <w:top w:val="nil"/>
              <w:left w:val="nil"/>
              <w:bottom w:val="single" w:sz="4" w:space="0" w:color="auto"/>
              <w:right w:val="single" w:sz="4" w:space="0" w:color="auto"/>
            </w:tcBorders>
            <w:shd w:val="clear" w:color="000000" w:fill="C6E0B4"/>
            <w:noWrap/>
            <w:hideMark/>
          </w:tcPr>
          <w:p w14:paraId="2208B5ED" w14:textId="77777777" w:rsidR="00DD755D" w:rsidRPr="00CD1D92" w:rsidRDefault="00DD755D" w:rsidP="00D32FA2">
            <w:pPr>
              <w:spacing w:after="0"/>
              <w:jc w:val="center"/>
              <w:rPr>
                <w:rFonts w:eastAsia="Times New Roman"/>
                <w:color w:val="000000"/>
                <w:sz w:val="18"/>
                <w:szCs w:val="18"/>
              </w:rPr>
            </w:pPr>
          </w:p>
        </w:tc>
      </w:tr>
      <w:tr w:rsidR="00093AEB" w:rsidRPr="00CD1D92" w14:paraId="686F2186" w14:textId="77777777" w:rsidTr="001D57AA">
        <w:trPr>
          <w:trHeight w:val="300"/>
        </w:trPr>
        <w:tc>
          <w:tcPr>
            <w:tcW w:w="1235" w:type="dxa"/>
            <w:vMerge/>
            <w:tcBorders>
              <w:top w:val="nil"/>
              <w:left w:val="single" w:sz="4" w:space="0" w:color="auto"/>
              <w:bottom w:val="single" w:sz="4" w:space="0" w:color="000000"/>
              <w:right w:val="single" w:sz="4" w:space="0" w:color="auto"/>
            </w:tcBorders>
            <w:vAlign w:val="center"/>
            <w:hideMark/>
          </w:tcPr>
          <w:p w14:paraId="598F1FCD" w14:textId="77777777" w:rsidR="00DD755D" w:rsidRPr="00CD1D92" w:rsidRDefault="00DD755D" w:rsidP="00D32FA2">
            <w:pPr>
              <w:spacing w:after="0"/>
              <w:jc w:val="left"/>
              <w:rPr>
                <w:rFonts w:eastAsia="Times New Roman"/>
                <w:b/>
                <w:bCs/>
                <w:color w:val="000000"/>
                <w:sz w:val="18"/>
                <w:szCs w:val="18"/>
              </w:rPr>
            </w:pPr>
          </w:p>
        </w:tc>
        <w:tc>
          <w:tcPr>
            <w:tcW w:w="1212" w:type="dxa"/>
            <w:vMerge/>
            <w:tcBorders>
              <w:top w:val="nil"/>
              <w:left w:val="single" w:sz="4" w:space="0" w:color="auto"/>
              <w:bottom w:val="single" w:sz="4" w:space="0" w:color="000000"/>
              <w:right w:val="single" w:sz="4" w:space="0" w:color="auto"/>
            </w:tcBorders>
            <w:vAlign w:val="center"/>
            <w:hideMark/>
          </w:tcPr>
          <w:p w14:paraId="62C3D7A2" w14:textId="77777777" w:rsidR="00DD755D" w:rsidRPr="00CD1D92" w:rsidRDefault="00DD755D" w:rsidP="00D32FA2">
            <w:pPr>
              <w:spacing w:after="0"/>
              <w:jc w:val="left"/>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000000" w:fill="A9D08E"/>
            <w:noWrap/>
            <w:hideMark/>
          </w:tcPr>
          <w:p w14:paraId="0E344BBB"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 </w:t>
            </w:r>
          </w:p>
        </w:tc>
        <w:tc>
          <w:tcPr>
            <w:tcW w:w="810" w:type="dxa"/>
            <w:tcBorders>
              <w:top w:val="nil"/>
              <w:left w:val="nil"/>
              <w:bottom w:val="single" w:sz="4" w:space="0" w:color="auto"/>
              <w:right w:val="single" w:sz="4" w:space="0" w:color="auto"/>
            </w:tcBorders>
            <w:shd w:val="clear" w:color="000000" w:fill="A9D08E"/>
            <w:noWrap/>
            <w:hideMark/>
          </w:tcPr>
          <w:p w14:paraId="0749EB4D"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 </w:t>
            </w:r>
          </w:p>
        </w:tc>
        <w:tc>
          <w:tcPr>
            <w:tcW w:w="1129" w:type="dxa"/>
            <w:tcBorders>
              <w:top w:val="nil"/>
              <w:left w:val="nil"/>
              <w:bottom w:val="single" w:sz="4" w:space="0" w:color="auto"/>
              <w:right w:val="single" w:sz="4" w:space="0" w:color="auto"/>
            </w:tcBorders>
            <w:shd w:val="clear" w:color="000000" w:fill="A9D08E"/>
            <w:noWrap/>
            <w:hideMark/>
          </w:tcPr>
          <w:p w14:paraId="39D49C73"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 </w:t>
            </w:r>
          </w:p>
        </w:tc>
        <w:tc>
          <w:tcPr>
            <w:tcW w:w="1870" w:type="dxa"/>
            <w:tcBorders>
              <w:top w:val="nil"/>
              <w:left w:val="nil"/>
              <w:bottom w:val="single" w:sz="4" w:space="0" w:color="auto"/>
              <w:right w:val="single" w:sz="4" w:space="0" w:color="auto"/>
            </w:tcBorders>
            <w:shd w:val="clear" w:color="000000" w:fill="A9D08E"/>
            <w:noWrap/>
            <w:hideMark/>
          </w:tcPr>
          <w:p w14:paraId="2C82B973" w14:textId="77777777" w:rsidR="00DD755D" w:rsidRPr="00CD1D92" w:rsidRDefault="00DD755D" w:rsidP="00D32FA2">
            <w:pPr>
              <w:spacing w:after="0"/>
              <w:jc w:val="left"/>
              <w:rPr>
                <w:rFonts w:eastAsia="Times New Roman"/>
                <w:color w:val="000000"/>
                <w:sz w:val="18"/>
                <w:szCs w:val="18"/>
              </w:rPr>
            </w:pPr>
            <w:r w:rsidRPr="00CD1D92">
              <w:rPr>
                <w:rFonts w:eastAsia="Times New Roman"/>
                <w:color w:val="000000"/>
                <w:sz w:val="18"/>
                <w:szCs w:val="18"/>
              </w:rPr>
              <w:t>Total Outcome 4</w:t>
            </w:r>
          </w:p>
        </w:tc>
        <w:tc>
          <w:tcPr>
            <w:tcW w:w="920" w:type="dxa"/>
            <w:tcBorders>
              <w:top w:val="nil"/>
              <w:left w:val="nil"/>
              <w:bottom w:val="single" w:sz="4" w:space="0" w:color="auto"/>
              <w:right w:val="single" w:sz="4" w:space="0" w:color="auto"/>
            </w:tcBorders>
            <w:shd w:val="clear" w:color="000000" w:fill="A9D08E"/>
            <w:noWrap/>
            <w:hideMark/>
          </w:tcPr>
          <w:p w14:paraId="2E114A2B"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32,094</w:t>
            </w:r>
          </w:p>
        </w:tc>
        <w:tc>
          <w:tcPr>
            <w:tcW w:w="990" w:type="dxa"/>
            <w:tcBorders>
              <w:top w:val="nil"/>
              <w:left w:val="nil"/>
              <w:bottom w:val="single" w:sz="4" w:space="0" w:color="auto"/>
              <w:right w:val="single" w:sz="4" w:space="0" w:color="auto"/>
            </w:tcBorders>
            <w:shd w:val="clear" w:color="000000" w:fill="A9D08E"/>
            <w:noWrap/>
            <w:hideMark/>
          </w:tcPr>
          <w:p w14:paraId="685721D8"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36,594</w:t>
            </w:r>
          </w:p>
        </w:tc>
        <w:tc>
          <w:tcPr>
            <w:tcW w:w="990" w:type="dxa"/>
            <w:tcBorders>
              <w:top w:val="nil"/>
              <w:left w:val="nil"/>
              <w:bottom w:val="single" w:sz="4" w:space="0" w:color="auto"/>
              <w:right w:val="single" w:sz="4" w:space="0" w:color="auto"/>
            </w:tcBorders>
            <w:shd w:val="clear" w:color="000000" w:fill="A9D08E"/>
            <w:noWrap/>
            <w:hideMark/>
          </w:tcPr>
          <w:p w14:paraId="71BA4D95"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32,094</w:t>
            </w:r>
          </w:p>
        </w:tc>
        <w:tc>
          <w:tcPr>
            <w:tcW w:w="990" w:type="dxa"/>
            <w:tcBorders>
              <w:top w:val="nil"/>
              <w:left w:val="nil"/>
              <w:bottom w:val="single" w:sz="4" w:space="0" w:color="auto"/>
              <w:right w:val="single" w:sz="4" w:space="0" w:color="auto"/>
            </w:tcBorders>
            <w:shd w:val="clear" w:color="000000" w:fill="A9D08E"/>
            <w:noWrap/>
            <w:hideMark/>
          </w:tcPr>
          <w:p w14:paraId="133F3F79"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32,094</w:t>
            </w:r>
          </w:p>
        </w:tc>
        <w:tc>
          <w:tcPr>
            <w:tcW w:w="900" w:type="dxa"/>
            <w:tcBorders>
              <w:top w:val="nil"/>
              <w:left w:val="nil"/>
              <w:bottom w:val="single" w:sz="4" w:space="0" w:color="auto"/>
              <w:right w:val="single" w:sz="4" w:space="0" w:color="auto"/>
            </w:tcBorders>
            <w:shd w:val="clear" w:color="000000" w:fill="A9D08E"/>
            <w:noWrap/>
            <w:hideMark/>
          </w:tcPr>
          <w:p w14:paraId="7C72BF9F"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36,594</w:t>
            </w:r>
          </w:p>
        </w:tc>
        <w:tc>
          <w:tcPr>
            <w:tcW w:w="960" w:type="dxa"/>
            <w:tcBorders>
              <w:top w:val="nil"/>
              <w:left w:val="nil"/>
              <w:bottom w:val="single" w:sz="4" w:space="0" w:color="auto"/>
              <w:right w:val="single" w:sz="4" w:space="0" w:color="auto"/>
            </w:tcBorders>
            <w:shd w:val="clear" w:color="000000" w:fill="A9D08E"/>
            <w:noWrap/>
            <w:hideMark/>
          </w:tcPr>
          <w:p w14:paraId="592E3F94"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32,094</w:t>
            </w:r>
          </w:p>
        </w:tc>
        <w:tc>
          <w:tcPr>
            <w:tcW w:w="990" w:type="dxa"/>
            <w:tcBorders>
              <w:top w:val="nil"/>
              <w:left w:val="nil"/>
              <w:bottom w:val="single" w:sz="4" w:space="0" w:color="auto"/>
              <w:right w:val="single" w:sz="4" w:space="0" w:color="auto"/>
            </w:tcBorders>
            <w:shd w:val="clear" w:color="000000" w:fill="A9D08E"/>
            <w:noWrap/>
            <w:hideMark/>
          </w:tcPr>
          <w:p w14:paraId="5E4A04AE" w14:textId="77777777" w:rsidR="00DD755D" w:rsidRPr="00CD1D92" w:rsidRDefault="00DD755D" w:rsidP="00D32FA2">
            <w:pPr>
              <w:spacing w:after="0"/>
              <w:jc w:val="right"/>
              <w:rPr>
                <w:rFonts w:eastAsia="Times New Roman"/>
                <w:color w:val="000000"/>
                <w:sz w:val="18"/>
                <w:szCs w:val="18"/>
              </w:rPr>
            </w:pPr>
            <w:r w:rsidRPr="00CD1D92">
              <w:rPr>
                <w:rFonts w:eastAsia="Times New Roman"/>
                <w:color w:val="000000"/>
                <w:sz w:val="18"/>
                <w:szCs w:val="18"/>
              </w:rPr>
              <w:t>201,562</w:t>
            </w:r>
          </w:p>
        </w:tc>
        <w:tc>
          <w:tcPr>
            <w:tcW w:w="690" w:type="dxa"/>
            <w:tcBorders>
              <w:top w:val="nil"/>
              <w:left w:val="nil"/>
              <w:bottom w:val="single" w:sz="4" w:space="0" w:color="auto"/>
              <w:right w:val="single" w:sz="4" w:space="0" w:color="auto"/>
            </w:tcBorders>
            <w:shd w:val="clear" w:color="000000" w:fill="A9D08E"/>
            <w:noWrap/>
            <w:hideMark/>
          </w:tcPr>
          <w:p w14:paraId="58A260F9" w14:textId="77777777" w:rsidR="00DD755D" w:rsidRPr="00CD1D92" w:rsidRDefault="00DD755D" w:rsidP="00D32FA2">
            <w:pPr>
              <w:spacing w:after="0"/>
              <w:jc w:val="center"/>
              <w:rPr>
                <w:rFonts w:eastAsia="Times New Roman"/>
                <w:color w:val="000000"/>
                <w:sz w:val="18"/>
                <w:szCs w:val="18"/>
              </w:rPr>
            </w:pPr>
          </w:p>
        </w:tc>
      </w:tr>
      <w:tr w:rsidR="00093AEB" w:rsidRPr="00CD1D92" w14:paraId="5D2570CA" w14:textId="77777777" w:rsidTr="001D57AA">
        <w:trPr>
          <w:trHeight w:val="300"/>
        </w:trPr>
        <w:tc>
          <w:tcPr>
            <w:tcW w:w="1235" w:type="dxa"/>
            <w:tcBorders>
              <w:top w:val="nil"/>
              <w:left w:val="single" w:sz="4" w:space="0" w:color="auto"/>
              <w:bottom w:val="single" w:sz="4" w:space="0" w:color="auto"/>
              <w:right w:val="single" w:sz="4" w:space="0" w:color="auto"/>
            </w:tcBorders>
            <w:shd w:val="clear" w:color="000000" w:fill="548235"/>
            <w:hideMark/>
          </w:tcPr>
          <w:p w14:paraId="0A65EF32" w14:textId="77777777" w:rsidR="00DD755D" w:rsidRPr="00CD1D92" w:rsidRDefault="00DD755D" w:rsidP="00D32FA2">
            <w:pPr>
              <w:spacing w:after="0"/>
              <w:jc w:val="left"/>
              <w:rPr>
                <w:rFonts w:eastAsia="Times New Roman"/>
                <w:b/>
                <w:bCs/>
                <w:color w:val="000000"/>
                <w:sz w:val="18"/>
                <w:szCs w:val="18"/>
              </w:rPr>
            </w:pPr>
            <w:r w:rsidRPr="00CD1D92">
              <w:rPr>
                <w:rFonts w:eastAsia="Times New Roman"/>
                <w:b/>
                <w:bCs/>
                <w:color w:val="000000"/>
                <w:sz w:val="18"/>
                <w:szCs w:val="18"/>
              </w:rPr>
              <w:t> </w:t>
            </w:r>
          </w:p>
        </w:tc>
        <w:tc>
          <w:tcPr>
            <w:tcW w:w="1212" w:type="dxa"/>
            <w:tcBorders>
              <w:top w:val="nil"/>
              <w:left w:val="nil"/>
              <w:bottom w:val="single" w:sz="4" w:space="0" w:color="auto"/>
              <w:right w:val="single" w:sz="4" w:space="0" w:color="auto"/>
            </w:tcBorders>
            <w:shd w:val="clear" w:color="000000" w:fill="548235"/>
            <w:noWrap/>
            <w:hideMark/>
          </w:tcPr>
          <w:p w14:paraId="0395F8A8" w14:textId="77777777" w:rsidR="00DD755D" w:rsidRPr="00CD1D92" w:rsidRDefault="00DD755D" w:rsidP="00D32FA2">
            <w:pPr>
              <w:spacing w:after="0"/>
              <w:jc w:val="left"/>
              <w:rPr>
                <w:rFonts w:eastAsia="Times New Roman"/>
                <w:b/>
                <w:bCs/>
                <w:color w:val="000000"/>
                <w:sz w:val="18"/>
                <w:szCs w:val="18"/>
              </w:rPr>
            </w:pPr>
            <w:r w:rsidRPr="00CD1D92">
              <w:rPr>
                <w:rFonts w:eastAsia="Times New Roman"/>
                <w:b/>
                <w:bCs/>
                <w:color w:val="000000"/>
                <w:sz w:val="18"/>
                <w:szCs w:val="18"/>
              </w:rPr>
              <w:t> </w:t>
            </w:r>
          </w:p>
        </w:tc>
        <w:tc>
          <w:tcPr>
            <w:tcW w:w="810" w:type="dxa"/>
            <w:tcBorders>
              <w:top w:val="nil"/>
              <w:left w:val="nil"/>
              <w:bottom w:val="single" w:sz="4" w:space="0" w:color="auto"/>
              <w:right w:val="single" w:sz="4" w:space="0" w:color="auto"/>
            </w:tcBorders>
            <w:shd w:val="clear" w:color="000000" w:fill="548235"/>
            <w:noWrap/>
            <w:hideMark/>
          </w:tcPr>
          <w:p w14:paraId="2B70EDF2" w14:textId="77777777" w:rsidR="00DD755D" w:rsidRPr="00CD1D92" w:rsidRDefault="00DD755D" w:rsidP="00D32FA2">
            <w:pPr>
              <w:spacing w:after="0"/>
              <w:jc w:val="left"/>
              <w:rPr>
                <w:rFonts w:eastAsia="Times New Roman"/>
                <w:b/>
                <w:bCs/>
                <w:color w:val="000000"/>
                <w:sz w:val="18"/>
                <w:szCs w:val="18"/>
              </w:rPr>
            </w:pPr>
            <w:r w:rsidRPr="00CD1D92">
              <w:rPr>
                <w:rFonts w:eastAsia="Times New Roman"/>
                <w:b/>
                <w:bCs/>
                <w:color w:val="000000"/>
                <w:sz w:val="18"/>
                <w:szCs w:val="18"/>
              </w:rPr>
              <w:t> </w:t>
            </w:r>
          </w:p>
        </w:tc>
        <w:tc>
          <w:tcPr>
            <w:tcW w:w="810" w:type="dxa"/>
            <w:tcBorders>
              <w:top w:val="nil"/>
              <w:left w:val="nil"/>
              <w:bottom w:val="single" w:sz="4" w:space="0" w:color="auto"/>
              <w:right w:val="single" w:sz="4" w:space="0" w:color="auto"/>
            </w:tcBorders>
            <w:shd w:val="clear" w:color="000000" w:fill="548235"/>
            <w:noWrap/>
            <w:hideMark/>
          </w:tcPr>
          <w:p w14:paraId="26651723" w14:textId="77777777" w:rsidR="00DD755D" w:rsidRPr="00CD1D92" w:rsidRDefault="00DD755D" w:rsidP="00D32FA2">
            <w:pPr>
              <w:spacing w:after="0"/>
              <w:jc w:val="left"/>
              <w:rPr>
                <w:rFonts w:eastAsia="Times New Roman"/>
                <w:b/>
                <w:bCs/>
                <w:color w:val="000000"/>
                <w:sz w:val="18"/>
                <w:szCs w:val="18"/>
              </w:rPr>
            </w:pPr>
            <w:r w:rsidRPr="00CD1D92">
              <w:rPr>
                <w:rFonts w:eastAsia="Times New Roman"/>
                <w:b/>
                <w:bCs/>
                <w:color w:val="000000"/>
                <w:sz w:val="18"/>
                <w:szCs w:val="18"/>
              </w:rPr>
              <w:t> </w:t>
            </w:r>
          </w:p>
        </w:tc>
        <w:tc>
          <w:tcPr>
            <w:tcW w:w="1129" w:type="dxa"/>
            <w:tcBorders>
              <w:top w:val="nil"/>
              <w:left w:val="nil"/>
              <w:bottom w:val="single" w:sz="4" w:space="0" w:color="auto"/>
              <w:right w:val="single" w:sz="4" w:space="0" w:color="auto"/>
            </w:tcBorders>
            <w:shd w:val="clear" w:color="000000" w:fill="548235"/>
            <w:noWrap/>
            <w:hideMark/>
          </w:tcPr>
          <w:p w14:paraId="0F35525D" w14:textId="77777777" w:rsidR="00DD755D" w:rsidRPr="00CD1D92" w:rsidRDefault="00DD755D" w:rsidP="00D32FA2">
            <w:pPr>
              <w:spacing w:after="0"/>
              <w:jc w:val="left"/>
              <w:rPr>
                <w:rFonts w:eastAsia="Times New Roman"/>
                <w:b/>
                <w:bCs/>
                <w:color w:val="000000"/>
                <w:sz w:val="18"/>
                <w:szCs w:val="18"/>
              </w:rPr>
            </w:pPr>
            <w:r w:rsidRPr="00CD1D92">
              <w:rPr>
                <w:rFonts w:eastAsia="Times New Roman"/>
                <w:b/>
                <w:bCs/>
                <w:color w:val="000000"/>
                <w:sz w:val="18"/>
                <w:szCs w:val="18"/>
              </w:rPr>
              <w:t> </w:t>
            </w:r>
          </w:p>
        </w:tc>
        <w:tc>
          <w:tcPr>
            <w:tcW w:w="1870" w:type="dxa"/>
            <w:tcBorders>
              <w:top w:val="nil"/>
              <w:left w:val="nil"/>
              <w:bottom w:val="single" w:sz="4" w:space="0" w:color="auto"/>
              <w:right w:val="single" w:sz="4" w:space="0" w:color="auto"/>
            </w:tcBorders>
            <w:shd w:val="clear" w:color="000000" w:fill="548235"/>
            <w:noWrap/>
            <w:hideMark/>
          </w:tcPr>
          <w:p w14:paraId="0BA5798D" w14:textId="77777777" w:rsidR="00DD755D" w:rsidRPr="00CD1D92" w:rsidRDefault="00DD755D" w:rsidP="00D32FA2">
            <w:pPr>
              <w:spacing w:after="0"/>
              <w:jc w:val="left"/>
              <w:rPr>
                <w:rFonts w:eastAsia="Times New Roman"/>
                <w:b/>
                <w:bCs/>
                <w:color w:val="000000"/>
                <w:sz w:val="18"/>
                <w:szCs w:val="18"/>
              </w:rPr>
            </w:pPr>
            <w:r w:rsidRPr="00CD1D92">
              <w:rPr>
                <w:rFonts w:eastAsia="Times New Roman"/>
                <w:b/>
                <w:bCs/>
                <w:color w:val="000000"/>
                <w:sz w:val="18"/>
                <w:szCs w:val="18"/>
              </w:rPr>
              <w:t>GEF TOTAL</w:t>
            </w:r>
          </w:p>
        </w:tc>
        <w:tc>
          <w:tcPr>
            <w:tcW w:w="920" w:type="dxa"/>
            <w:tcBorders>
              <w:top w:val="nil"/>
              <w:left w:val="nil"/>
              <w:bottom w:val="single" w:sz="4" w:space="0" w:color="auto"/>
              <w:right w:val="single" w:sz="4" w:space="0" w:color="auto"/>
            </w:tcBorders>
            <w:shd w:val="clear" w:color="000000" w:fill="548235"/>
            <w:noWrap/>
            <w:hideMark/>
          </w:tcPr>
          <w:p w14:paraId="6634DFCD" w14:textId="77777777" w:rsidR="00DD755D" w:rsidRPr="00CD1D92" w:rsidRDefault="00DD755D" w:rsidP="00D32FA2">
            <w:pPr>
              <w:spacing w:after="0"/>
              <w:jc w:val="right"/>
              <w:rPr>
                <w:rFonts w:eastAsia="Times New Roman"/>
                <w:b/>
                <w:bCs/>
                <w:color w:val="000000"/>
                <w:sz w:val="18"/>
                <w:szCs w:val="18"/>
              </w:rPr>
            </w:pPr>
            <w:r w:rsidRPr="00CD1D92">
              <w:rPr>
                <w:rFonts w:eastAsia="Times New Roman"/>
                <w:b/>
                <w:bCs/>
                <w:color w:val="000000"/>
                <w:sz w:val="18"/>
                <w:szCs w:val="18"/>
              </w:rPr>
              <w:t>793,594</w:t>
            </w:r>
          </w:p>
        </w:tc>
        <w:tc>
          <w:tcPr>
            <w:tcW w:w="990" w:type="dxa"/>
            <w:tcBorders>
              <w:top w:val="nil"/>
              <w:left w:val="nil"/>
              <w:bottom w:val="single" w:sz="4" w:space="0" w:color="auto"/>
              <w:right w:val="single" w:sz="4" w:space="0" w:color="auto"/>
            </w:tcBorders>
            <w:shd w:val="clear" w:color="000000" w:fill="548235"/>
            <w:noWrap/>
            <w:hideMark/>
          </w:tcPr>
          <w:p w14:paraId="157AA38D" w14:textId="77777777" w:rsidR="00DD755D" w:rsidRPr="00CD1D92" w:rsidRDefault="00DD755D" w:rsidP="00D32FA2">
            <w:pPr>
              <w:spacing w:after="0"/>
              <w:jc w:val="right"/>
              <w:rPr>
                <w:rFonts w:eastAsia="Times New Roman"/>
                <w:b/>
                <w:bCs/>
                <w:color w:val="000000"/>
                <w:sz w:val="18"/>
                <w:szCs w:val="18"/>
              </w:rPr>
            </w:pPr>
            <w:r w:rsidRPr="00CD1D92">
              <w:rPr>
                <w:rFonts w:eastAsia="Times New Roman"/>
                <w:b/>
                <w:bCs/>
                <w:color w:val="000000"/>
                <w:sz w:val="18"/>
                <w:szCs w:val="18"/>
              </w:rPr>
              <w:t>1,005,094</w:t>
            </w:r>
          </w:p>
        </w:tc>
        <w:tc>
          <w:tcPr>
            <w:tcW w:w="990" w:type="dxa"/>
            <w:tcBorders>
              <w:top w:val="nil"/>
              <w:left w:val="nil"/>
              <w:bottom w:val="single" w:sz="4" w:space="0" w:color="auto"/>
              <w:right w:val="single" w:sz="4" w:space="0" w:color="auto"/>
            </w:tcBorders>
            <w:shd w:val="clear" w:color="000000" w:fill="548235"/>
            <w:noWrap/>
            <w:hideMark/>
          </w:tcPr>
          <w:p w14:paraId="1CE1172A" w14:textId="77777777" w:rsidR="00DD755D" w:rsidRPr="00CD1D92" w:rsidRDefault="00DD755D" w:rsidP="00D32FA2">
            <w:pPr>
              <w:spacing w:after="0"/>
              <w:jc w:val="right"/>
              <w:rPr>
                <w:rFonts w:eastAsia="Times New Roman"/>
                <w:b/>
                <w:bCs/>
                <w:color w:val="000000"/>
                <w:sz w:val="18"/>
                <w:szCs w:val="18"/>
              </w:rPr>
            </w:pPr>
            <w:r w:rsidRPr="00CD1D92">
              <w:rPr>
                <w:rFonts w:eastAsia="Times New Roman"/>
                <w:b/>
                <w:bCs/>
                <w:color w:val="000000"/>
                <w:sz w:val="18"/>
                <w:szCs w:val="18"/>
              </w:rPr>
              <w:t>1,086,594</w:t>
            </w:r>
          </w:p>
        </w:tc>
        <w:tc>
          <w:tcPr>
            <w:tcW w:w="990" w:type="dxa"/>
            <w:tcBorders>
              <w:top w:val="nil"/>
              <w:left w:val="nil"/>
              <w:bottom w:val="single" w:sz="4" w:space="0" w:color="auto"/>
              <w:right w:val="single" w:sz="4" w:space="0" w:color="auto"/>
            </w:tcBorders>
            <w:shd w:val="clear" w:color="000000" w:fill="548235"/>
            <w:noWrap/>
            <w:hideMark/>
          </w:tcPr>
          <w:p w14:paraId="02426FEB" w14:textId="77777777" w:rsidR="00DD755D" w:rsidRPr="00CD1D92" w:rsidRDefault="00DD755D" w:rsidP="00D32FA2">
            <w:pPr>
              <w:spacing w:after="0"/>
              <w:jc w:val="right"/>
              <w:rPr>
                <w:rFonts w:eastAsia="Times New Roman"/>
                <w:b/>
                <w:bCs/>
                <w:color w:val="000000"/>
                <w:sz w:val="18"/>
                <w:szCs w:val="18"/>
              </w:rPr>
            </w:pPr>
            <w:r w:rsidRPr="00CD1D92">
              <w:rPr>
                <w:rFonts w:eastAsia="Times New Roman"/>
                <w:b/>
                <w:bCs/>
                <w:color w:val="000000"/>
                <w:sz w:val="18"/>
                <w:szCs w:val="18"/>
              </w:rPr>
              <w:t>663,594</w:t>
            </w:r>
          </w:p>
        </w:tc>
        <w:tc>
          <w:tcPr>
            <w:tcW w:w="900" w:type="dxa"/>
            <w:tcBorders>
              <w:top w:val="nil"/>
              <w:left w:val="nil"/>
              <w:bottom w:val="single" w:sz="4" w:space="0" w:color="auto"/>
              <w:right w:val="single" w:sz="4" w:space="0" w:color="auto"/>
            </w:tcBorders>
            <w:shd w:val="clear" w:color="000000" w:fill="548235"/>
            <w:noWrap/>
            <w:hideMark/>
          </w:tcPr>
          <w:p w14:paraId="49CC2CB0" w14:textId="77777777" w:rsidR="00DD755D" w:rsidRPr="00CD1D92" w:rsidRDefault="00DD755D" w:rsidP="00D32FA2">
            <w:pPr>
              <w:spacing w:after="0"/>
              <w:jc w:val="right"/>
              <w:rPr>
                <w:rFonts w:eastAsia="Times New Roman"/>
                <w:b/>
                <w:bCs/>
                <w:color w:val="000000"/>
                <w:sz w:val="18"/>
                <w:szCs w:val="18"/>
              </w:rPr>
            </w:pPr>
            <w:r w:rsidRPr="00CD1D92">
              <w:rPr>
                <w:rFonts w:eastAsia="Times New Roman"/>
                <w:b/>
                <w:bCs/>
                <w:color w:val="000000"/>
                <w:sz w:val="18"/>
                <w:szCs w:val="18"/>
              </w:rPr>
              <w:t>406,094</w:t>
            </w:r>
          </w:p>
        </w:tc>
        <w:tc>
          <w:tcPr>
            <w:tcW w:w="960" w:type="dxa"/>
            <w:tcBorders>
              <w:top w:val="nil"/>
              <w:left w:val="nil"/>
              <w:bottom w:val="single" w:sz="4" w:space="0" w:color="auto"/>
              <w:right w:val="single" w:sz="4" w:space="0" w:color="auto"/>
            </w:tcBorders>
            <w:shd w:val="clear" w:color="000000" w:fill="548235"/>
            <w:noWrap/>
            <w:hideMark/>
          </w:tcPr>
          <w:p w14:paraId="38DB3D1F" w14:textId="77777777" w:rsidR="00DD755D" w:rsidRPr="00CD1D92" w:rsidRDefault="00DD755D" w:rsidP="00D32FA2">
            <w:pPr>
              <w:spacing w:after="0"/>
              <w:jc w:val="right"/>
              <w:rPr>
                <w:rFonts w:eastAsia="Times New Roman"/>
                <w:b/>
                <w:bCs/>
                <w:color w:val="000000"/>
                <w:sz w:val="18"/>
                <w:szCs w:val="18"/>
              </w:rPr>
            </w:pPr>
            <w:r w:rsidRPr="00CD1D92">
              <w:rPr>
                <w:rFonts w:eastAsia="Times New Roman"/>
                <w:b/>
                <w:bCs/>
                <w:color w:val="000000"/>
                <w:sz w:val="18"/>
                <w:szCs w:val="18"/>
              </w:rPr>
              <w:t>278,594</w:t>
            </w:r>
          </w:p>
        </w:tc>
        <w:tc>
          <w:tcPr>
            <w:tcW w:w="990" w:type="dxa"/>
            <w:tcBorders>
              <w:top w:val="nil"/>
              <w:left w:val="nil"/>
              <w:bottom w:val="single" w:sz="4" w:space="0" w:color="auto"/>
              <w:right w:val="single" w:sz="4" w:space="0" w:color="auto"/>
            </w:tcBorders>
            <w:shd w:val="clear" w:color="000000" w:fill="548235"/>
            <w:noWrap/>
            <w:hideMark/>
          </w:tcPr>
          <w:p w14:paraId="4DC4AF4B" w14:textId="77777777" w:rsidR="00DD755D" w:rsidRPr="00CD1D92" w:rsidRDefault="00DD755D" w:rsidP="00D32FA2">
            <w:pPr>
              <w:spacing w:after="0"/>
              <w:jc w:val="right"/>
              <w:rPr>
                <w:rFonts w:eastAsia="Times New Roman"/>
                <w:b/>
                <w:bCs/>
                <w:color w:val="000000"/>
                <w:sz w:val="18"/>
                <w:szCs w:val="18"/>
              </w:rPr>
            </w:pPr>
            <w:r w:rsidRPr="00CD1D92">
              <w:rPr>
                <w:rFonts w:eastAsia="Times New Roman"/>
                <w:b/>
                <w:bCs/>
                <w:color w:val="000000"/>
                <w:sz w:val="18"/>
                <w:szCs w:val="18"/>
              </w:rPr>
              <w:t>4,233,562</w:t>
            </w:r>
          </w:p>
        </w:tc>
        <w:tc>
          <w:tcPr>
            <w:tcW w:w="690" w:type="dxa"/>
            <w:tcBorders>
              <w:top w:val="nil"/>
              <w:left w:val="nil"/>
              <w:bottom w:val="single" w:sz="4" w:space="0" w:color="auto"/>
              <w:right w:val="single" w:sz="4" w:space="0" w:color="auto"/>
            </w:tcBorders>
            <w:shd w:val="clear" w:color="000000" w:fill="548235"/>
            <w:noWrap/>
            <w:hideMark/>
          </w:tcPr>
          <w:p w14:paraId="0D85B2B5" w14:textId="77777777" w:rsidR="00DD755D" w:rsidRPr="00CD1D92" w:rsidRDefault="00DD755D" w:rsidP="00D32FA2">
            <w:pPr>
              <w:spacing w:after="0"/>
              <w:jc w:val="center"/>
              <w:rPr>
                <w:rFonts w:eastAsia="Times New Roman"/>
                <w:b/>
                <w:bCs/>
                <w:color w:val="000000"/>
                <w:sz w:val="18"/>
                <w:szCs w:val="18"/>
              </w:rPr>
            </w:pPr>
          </w:p>
        </w:tc>
      </w:tr>
    </w:tbl>
    <w:p w14:paraId="0064E794" w14:textId="77777777" w:rsidR="00DD755D" w:rsidRDefault="00DD755D" w:rsidP="00DD755D">
      <w:pPr>
        <w:spacing w:after="0"/>
        <w:rPr>
          <w:rFonts w:ascii="Cambria" w:hAnsi="Cambria"/>
          <w:sz w:val="18"/>
          <w:szCs w:val="18"/>
        </w:rPr>
      </w:pPr>
    </w:p>
    <w:p w14:paraId="3A14C559" w14:textId="77777777" w:rsidR="00DD755D" w:rsidRDefault="00DD755D" w:rsidP="00DD755D">
      <w:pPr>
        <w:spacing w:after="0"/>
        <w:rPr>
          <w:rFonts w:ascii="Cambria" w:hAnsi="Cambria"/>
          <w:sz w:val="18"/>
          <w:szCs w:val="18"/>
        </w:rPr>
      </w:pPr>
    </w:p>
    <w:p w14:paraId="49E3C418" w14:textId="77777777" w:rsidR="00DD755D" w:rsidRDefault="00DD755D" w:rsidP="00DD755D">
      <w:pPr>
        <w:spacing w:after="0"/>
        <w:rPr>
          <w:rFonts w:ascii="Cambria" w:hAnsi="Cambria"/>
          <w:sz w:val="18"/>
          <w:szCs w:val="18"/>
        </w:rPr>
      </w:pPr>
    </w:p>
    <w:tbl>
      <w:tblPr>
        <w:tblW w:w="12849" w:type="dxa"/>
        <w:tblInd w:w="118" w:type="dxa"/>
        <w:tblLook w:val="04A0" w:firstRow="1" w:lastRow="0" w:firstColumn="1" w:lastColumn="0" w:noHBand="0" w:noVBand="1"/>
      </w:tblPr>
      <w:tblGrid>
        <w:gridCol w:w="4130"/>
        <w:gridCol w:w="1285"/>
        <w:gridCol w:w="1089"/>
        <w:gridCol w:w="1089"/>
        <w:gridCol w:w="1248"/>
        <w:gridCol w:w="1579"/>
        <w:gridCol w:w="1220"/>
        <w:gridCol w:w="1209"/>
      </w:tblGrid>
      <w:tr w:rsidR="00DD755D" w:rsidRPr="003341D9" w14:paraId="24A500FB" w14:textId="77777777" w:rsidTr="00D32FA2">
        <w:trPr>
          <w:trHeight w:val="300"/>
        </w:trPr>
        <w:tc>
          <w:tcPr>
            <w:tcW w:w="4130" w:type="dxa"/>
            <w:vMerge w:val="restart"/>
            <w:tcBorders>
              <w:top w:val="single" w:sz="8" w:space="0" w:color="auto"/>
              <w:left w:val="single" w:sz="8" w:space="0" w:color="auto"/>
              <w:bottom w:val="single" w:sz="8" w:space="0" w:color="000000"/>
              <w:right w:val="single" w:sz="8" w:space="0" w:color="auto"/>
            </w:tcBorders>
            <w:shd w:val="clear" w:color="000000" w:fill="C2D69B"/>
            <w:noWrap/>
            <w:vAlign w:val="center"/>
            <w:hideMark/>
          </w:tcPr>
          <w:p w14:paraId="41E6B000" w14:textId="77777777" w:rsidR="00DD755D" w:rsidRPr="003341D9" w:rsidRDefault="00DD755D" w:rsidP="00D32FA2">
            <w:pPr>
              <w:spacing w:after="0"/>
              <w:jc w:val="left"/>
              <w:rPr>
                <w:rFonts w:eastAsia="Times New Roman"/>
                <w:color w:val="000000"/>
                <w:sz w:val="20"/>
                <w:szCs w:val="16"/>
              </w:rPr>
            </w:pPr>
            <w:r w:rsidRPr="003341D9">
              <w:rPr>
                <w:rFonts w:eastAsia="Times New Roman"/>
                <w:color w:val="000000"/>
                <w:sz w:val="20"/>
                <w:szCs w:val="16"/>
              </w:rPr>
              <w:t> Donor</w:t>
            </w:r>
          </w:p>
        </w:tc>
        <w:tc>
          <w:tcPr>
            <w:tcW w:w="1285" w:type="dxa"/>
            <w:vMerge w:val="restart"/>
            <w:tcBorders>
              <w:top w:val="single" w:sz="8" w:space="0" w:color="auto"/>
              <w:left w:val="single" w:sz="8" w:space="0" w:color="auto"/>
              <w:bottom w:val="single" w:sz="8" w:space="0" w:color="000000"/>
              <w:right w:val="single" w:sz="8" w:space="0" w:color="auto"/>
            </w:tcBorders>
            <w:shd w:val="clear" w:color="000000" w:fill="C2D69B"/>
            <w:vAlign w:val="center"/>
            <w:hideMark/>
          </w:tcPr>
          <w:p w14:paraId="49FABD53" w14:textId="77777777" w:rsidR="00DD755D" w:rsidRPr="003341D9" w:rsidRDefault="00DD755D" w:rsidP="00D32FA2">
            <w:pPr>
              <w:spacing w:after="0"/>
              <w:jc w:val="center"/>
              <w:rPr>
                <w:rFonts w:eastAsia="Times New Roman"/>
                <w:b/>
                <w:bCs/>
                <w:color w:val="000000"/>
                <w:sz w:val="20"/>
                <w:szCs w:val="16"/>
              </w:rPr>
            </w:pPr>
            <w:r w:rsidRPr="003341D9">
              <w:rPr>
                <w:rFonts w:eastAsia="Times New Roman"/>
                <w:b/>
                <w:bCs/>
                <w:color w:val="000000"/>
                <w:sz w:val="20"/>
                <w:szCs w:val="16"/>
              </w:rPr>
              <w:t>Amount Year 1 (USD)</w:t>
            </w:r>
          </w:p>
        </w:tc>
        <w:tc>
          <w:tcPr>
            <w:tcW w:w="1089" w:type="dxa"/>
            <w:vMerge w:val="restart"/>
            <w:tcBorders>
              <w:top w:val="single" w:sz="8" w:space="0" w:color="auto"/>
              <w:left w:val="single" w:sz="8" w:space="0" w:color="auto"/>
              <w:bottom w:val="single" w:sz="8" w:space="0" w:color="000000"/>
              <w:right w:val="single" w:sz="8" w:space="0" w:color="auto"/>
            </w:tcBorders>
            <w:shd w:val="clear" w:color="000000" w:fill="C2D69B"/>
            <w:vAlign w:val="center"/>
            <w:hideMark/>
          </w:tcPr>
          <w:p w14:paraId="333E0460" w14:textId="77777777" w:rsidR="00DD755D" w:rsidRPr="003341D9" w:rsidRDefault="00DD755D" w:rsidP="00D32FA2">
            <w:pPr>
              <w:spacing w:after="0"/>
              <w:jc w:val="center"/>
              <w:rPr>
                <w:rFonts w:eastAsia="Times New Roman"/>
                <w:b/>
                <w:bCs/>
                <w:color w:val="000000"/>
                <w:sz w:val="20"/>
                <w:szCs w:val="16"/>
              </w:rPr>
            </w:pPr>
            <w:r w:rsidRPr="003341D9">
              <w:rPr>
                <w:rFonts w:eastAsia="Times New Roman"/>
                <w:b/>
                <w:bCs/>
                <w:color w:val="000000"/>
                <w:sz w:val="20"/>
                <w:szCs w:val="16"/>
              </w:rPr>
              <w:t>Amount Year 2 (USD)</w:t>
            </w:r>
          </w:p>
        </w:tc>
        <w:tc>
          <w:tcPr>
            <w:tcW w:w="1089" w:type="dxa"/>
            <w:vMerge w:val="restart"/>
            <w:tcBorders>
              <w:top w:val="single" w:sz="8" w:space="0" w:color="auto"/>
              <w:left w:val="single" w:sz="8" w:space="0" w:color="auto"/>
              <w:bottom w:val="single" w:sz="8" w:space="0" w:color="000000"/>
              <w:right w:val="single" w:sz="8" w:space="0" w:color="auto"/>
            </w:tcBorders>
            <w:shd w:val="clear" w:color="000000" w:fill="C2D69B"/>
            <w:vAlign w:val="center"/>
            <w:hideMark/>
          </w:tcPr>
          <w:p w14:paraId="6D3AADF0" w14:textId="77777777" w:rsidR="00DD755D" w:rsidRPr="003341D9" w:rsidRDefault="00DD755D" w:rsidP="00D32FA2">
            <w:pPr>
              <w:spacing w:after="0"/>
              <w:jc w:val="center"/>
              <w:rPr>
                <w:rFonts w:eastAsia="Times New Roman"/>
                <w:b/>
                <w:bCs/>
                <w:color w:val="000000"/>
                <w:sz w:val="20"/>
                <w:szCs w:val="16"/>
              </w:rPr>
            </w:pPr>
            <w:r w:rsidRPr="003341D9">
              <w:rPr>
                <w:rFonts w:eastAsia="Times New Roman"/>
                <w:b/>
                <w:bCs/>
                <w:color w:val="000000"/>
                <w:sz w:val="20"/>
                <w:szCs w:val="16"/>
              </w:rPr>
              <w:t>Amount Year 3 (USD)</w:t>
            </w:r>
          </w:p>
        </w:tc>
        <w:tc>
          <w:tcPr>
            <w:tcW w:w="1248" w:type="dxa"/>
            <w:vMerge w:val="restart"/>
            <w:tcBorders>
              <w:top w:val="single" w:sz="8" w:space="0" w:color="auto"/>
              <w:left w:val="single" w:sz="8" w:space="0" w:color="auto"/>
              <w:bottom w:val="single" w:sz="8" w:space="0" w:color="000000"/>
              <w:right w:val="single" w:sz="8" w:space="0" w:color="auto"/>
            </w:tcBorders>
            <w:shd w:val="clear" w:color="000000" w:fill="C2D69B"/>
            <w:vAlign w:val="center"/>
            <w:hideMark/>
          </w:tcPr>
          <w:p w14:paraId="7F2FD2EF" w14:textId="77777777" w:rsidR="00DD755D" w:rsidRPr="003341D9" w:rsidRDefault="00DD755D" w:rsidP="00D32FA2">
            <w:pPr>
              <w:spacing w:after="0"/>
              <w:jc w:val="center"/>
              <w:rPr>
                <w:rFonts w:eastAsia="Times New Roman"/>
                <w:b/>
                <w:bCs/>
                <w:color w:val="000000"/>
                <w:sz w:val="20"/>
                <w:szCs w:val="16"/>
              </w:rPr>
            </w:pPr>
            <w:r w:rsidRPr="003341D9">
              <w:rPr>
                <w:rFonts w:eastAsia="Times New Roman"/>
                <w:b/>
                <w:bCs/>
                <w:color w:val="000000"/>
                <w:sz w:val="20"/>
                <w:szCs w:val="16"/>
              </w:rPr>
              <w:t>Amount Year 4 (USD)</w:t>
            </w:r>
          </w:p>
        </w:tc>
        <w:tc>
          <w:tcPr>
            <w:tcW w:w="1579" w:type="dxa"/>
            <w:vMerge w:val="restart"/>
            <w:tcBorders>
              <w:top w:val="single" w:sz="8" w:space="0" w:color="auto"/>
              <w:left w:val="single" w:sz="8" w:space="0" w:color="auto"/>
              <w:bottom w:val="single" w:sz="8" w:space="0" w:color="000000"/>
              <w:right w:val="single" w:sz="8" w:space="0" w:color="auto"/>
            </w:tcBorders>
            <w:shd w:val="clear" w:color="000000" w:fill="C2D69B"/>
            <w:vAlign w:val="center"/>
            <w:hideMark/>
          </w:tcPr>
          <w:p w14:paraId="68BC19AD" w14:textId="77777777" w:rsidR="00DD755D" w:rsidRPr="003341D9" w:rsidRDefault="00DD755D" w:rsidP="00D32FA2">
            <w:pPr>
              <w:spacing w:after="0"/>
              <w:jc w:val="center"/>
              <w:rPr>
                <w:rFonts w:eastAsia="Times New Roman"/>
                <w:b/>
                <w:bCs/>
                <w:color w:val="000000"/>
                <w:sz w:val="20"/>
                <w:szCs w:val="16"/>
              </w:rPr>
            </w:pPr>
            <w:r w:rsidRPr="003341D9">
              <w:rPr>
                <w:rFonts w:eastAsia="Times New Roman"/>
                <w:b/>
                <w:bCs/>
                <w:color w:val="000000"/>
                <w:sz w:val="20"/>
                <w:szCs w:val="16"/>
              </w:rPr>
              <w:t>Amount Year 5 (USD)</w:t>
            </w:r>
          </w:p>
        </w:tc>
        <w:tc>
          <w:tcPr>
            <w:tcW w:w="1220" w:type="dxa"/>
            <w:vMerge w:val="restart"/>
            <w:tcBorders>
              <w:top w:val="single" w:sz="8" w:space="0" w:color="auto"/>
              <w:left w:val="single" w:sz="8" w:space="0" w:color="auto"/>
              <w:bottom w:val="single" w:sz="8" w:space="0" w:color="000000"/>
              <w:right w:val="single" w:sz="8" w:space="0" w:color="auto"/>
            </w:tcBorders>
            <w:shd w:val="clear" w:color="000000" w:fill="C2D69B"/>
            <w:vAlign w:val="center"/>
            <w:hideMark/>
          </w:tcPr>
          <w:p w14:paraId="1331EF9F" w14:textId="77777777" w:rsidR="00DD755D" w:rsidRPr="003341D9" w:rsidRDefault="00DD755D" w:rsidP="00D32FA2">
            <w:pPr>
              <w:spacing w:after="0"/>
              <w:jc w:val="center"/>
              <w:rPr>
                <w:rFonts w:eastAsia="Times New Roman"/>
                <w:b/>
                <w:bCs/>
                <w:color w:val="000000"/>
                <w:sz w:val="20"/>
                <w:szCs w:val="16"/>
              </w:rPr>
            </w:pPr>
            <w:r w:rsidRPr="003341D9">
              <w:rPr>
                <w:rFonts w:eastAsia="Times New Roman"/>
                <w:b/>
                <w:bCs/>
                <w:color w:val="000000"/>
                <w:sz w:val="20"/>
                <w:szCs w:val="16"/>
              </w:rPr>
              <w:t>Amount Year 6 (USD)</w:t>
            </w:r>
          </w:p>
        </w:tc>
        <w:tc>
          <w:tcPr>
            <w:tcW w:w="1209" w:type="dxa"/>
            <w:vMerge w:val="restart"/>
            <w:tcBorders>
              <w:top w:val="single" w:sz="8" w:space="0" w:color="auto"/>
              <w:left w:val="single" w:sz="8" w:space="0" w:color="auto"/>
              <w:bottom w:val="single" w:sz="8" w:space="0" w:color="000000"/>
              <w:right w:val="single" w:sz="8" w:space="0" w:color="auto"/>
            </w:tcBorders>
            <w:shd w:val="clear" w:color="000000" w:fill="C2D69B"/>
            <w:vAlign w:val="center"/>
            <w:hideMark/>
          </w:tcPr>
          <w:p w14:paraId="7DC25E35" w14:textId="77777777" w:rsidR="00DD755D" w:rsidRPr="003341D9" w:rsidRDefault="00DD755D" w:rsidP="00D32FA2">
            <w:pPr>
              <w:spacing w:after="0"/>
              <w:jc w:val="center"/>
              <w:rPr>
                <w:rFonts w:eastAsia="Times New Roman"/>
                <w:b/>
                <w:bCs/>
                <w:color w:val="000000"/>
                <w:sz w:val="20"/>
                <w:szCs w:val="16"/>
              </w:rPr>
            </w:pPr>
            <w:r w:rsidRPr="003341D9">
              <w:rPr>
                <w:rFonts w:eastAsia="Times New Roman"/>
                <w:b/>
                <w:bCs/>
                <w:color w:val="000000"/>
                <w:sz w:val="20"/>
                <w:szCs w:val="16"/>
              </w:rPr>
              <w:t>Total (USD)</w:t>
            </w:r>
          </w:p>
        </w:tc>
      </w:tr>
      <w:tr w:rsidR="00DD755D" w:rsidRPr="003341D9" w14:paraId="523887FB" w14:textId="77777777" w:rsidTr="00D32FA2">
        <w:trPr>
          <w:trHeight w:val="315"/>
        </w:trPr>
        <w:tc>
          <w:tcPr>
            <w:tcW w:w="4130" w:type="dxa"/>
            <w:vMerge/>
            <w:tcBorders>
              <w:top w:val="single" w:sz="8" w:space="0" w:color="auto"/>
              <w:left w:val="single" w:sz="8" w:space="0" w:color="auto"/>
              <w:bottom w:val="single" w:sz="8" w:space="0" w:color="000000"/>
              <w:right w:val="single" w:sz="8" w:space="0" w:color="auto"/>
            </w:tcBorders>
            <w:vAlign w:val="center"/>
            <w:hideMark/>
          </w:tcPr>
          <w:p w14:paraId="69235C0C" w14:textId="77777777" w:rsidR="00DD755D" w:rsidRPr="003341D9" w:rsidRDefault="00DD755D" w:rsidP="00D32FA2">
            <w:pPr>
              <w:spacing w:after="0"/>
              <w:jc w:val="left"/>
              <w:rPr>
                <w:rFonts w:eastAsia="Times New Roman"/>
                <w:color w:val="000000"/>
                <w:sz w:val="20"/>
                <w:szCs w:val="16"/>
              </w:rPr>
            </w:pPr>
          </w:p>
        </w:tc>
        <w:tc>
          <w:tcPr>
            <w:tcW w:w="1285" w:type="dxa"/>
            <w:vMerge/>
            <w:tcBorders>
              <w:top w:val="single" w:sz="8" w:space="0" w:color="auto"/>
              <w:left w:val="single" w:sz="8" w:space="0" w:color="auto"/>
              <w:bottom w:val="single" w:sz="8" w:space="0" w:color="000000"/>
              <w:right w:val="single" w:sz="8" w:space="0" w:color="auto"/>
            </w:tcBorders>
            <w:vAlign w:val="center"/>
            <w:hideMark/>
          </w:tcPr>
          <w:p w14:paraId="0C8F216A" w14:textId="77777777" w:rsidR="00DD755D" w:rsidRPr="003341D9" w:rsidRDefault="00DD755D" w:rsidP="00D32FA2">
            <w:pPr>
              <w:spacing w:after="0"/>
              <w:jc w:val="left"/>
              <w:rPr>
                <w:rFonts w:eastAsia="Times New Roman"/>
                <w:b/>
                <w:bCs/>
                <w:color w:val="000000"/>
                <w:sz w:val="20"/>
                <w:szCs w:val="16"/>
              </w:rPr>
            </w:pPr>
          </w:p>
        </w:tc>
        <w:tc>
          <w:tcPr>
            <w:tcW w:w="1089" w:type="dxa"/>
            <w:vMerge/>
            <w:tcBorders>
              <w:top w:val="single" w:sz="8" w:space="0" w:color="auto"/>
              <w:left w:val="single" w:sz="8" w:space="0" w:color="auto"/>
              <w:bottom w:val="single" w:sz="8" w:space="0" w:color="000000"/>
              <w:right w:val="single" w:sz="8" w:space="0" w:color="auto"/>
            </w:tcBorders>
            <w:vAlign w:val="center"/>
            <w:hideMark/>
          </w:tcPr>
          <w:p w14:paraId="6A0185F2" w14:textId="77777777" w:rsidR="00DD755D" w:rsidRPr="003341D9" w:rsidRDefault="00DD755D" w:rsidP="00D32FA2">
            <w:pPr>
              <w:spacing w:after="0"/>
              <w:jc w:val="left"/>
              <w:rPr>
                <w:rFonts w:eastAsia="Times New Roman"/>
                <w:b/>
                <w:bCs/>
                <w:color w:val="000000"/>
                <w:sz w:val="20"/>
                <w:szCs w:val="16"/>
              </w:rPr>
            </w:pPr>
          </w:p>
        </w:tc>
        <w:tc>
          <w:tcPr>
            <w:tcW w:w="1089" w:type="dxa"/>
            <w:vMerge/>
            <w:tcBorders>
              <w:top w:val="single" w:sz="8" w:space="0" w:color="auto"/>
              <w:left w:val="single" w:sz="8" w:space="0" w:color="auto"/>
              <w:bottom w:val="single" w:sz="8" w:space="0" w:color="000000"/>
              <w:right w:val="single" w:sz="8" w:space="0" w:color="auto"/>
            </w:tcBorders>
            <w:vAlign w:val="center"/>
            <w:hideMark/>
          </w:tcPr>
          <w:p w14:paraId="577C75B8" w14:textId="77777777" w:rsidR="00DD755D" w:rsidRPr="003341D9" w:rsidRDefault="00DD755D" w:rsidP="00D32FA2">
            <w:pPr>
              <w:spacing w:after="0"/>
              <w:jc w:val="left"/>
              <w:rPr>
                <w:rFonts w:eastAsia="Times New Roman"/>
                <w:b/>
                <w:bCs/>
                <w:color w:val="000000"/>
                <w:sz w:val="20"/>
                <w:szCs w:val="16"/>
              </w:rPr>
            </w:pPr>
          </w:p>
        </w:tc>
        <w:tc>
          <w:tcPr>
            <w:tcW w:w="1248" w:type="dxa"/>
            <w:vMerge/>
            <w:tcBorders>
              <w:top w:val="single" w:sz="8" w:space="0" w:color="auto"/>
              <w:left w:val="single" w:sz="8" w:space="0" w:color="auto"/>
              <w:bottom w:val="single" w:sz="8" w:space="0" w:color="000000"/>
              <w:right w:val="single" w:sz="8" w:space="0" w:color="auto"/>
            </w:tcBorders>
            <w:vAlign w:val="center"/>
            <w:hideMark/>
          </w:tcPr>
          <w:p w14:paraId="5CBD07C2" w14:textId="77777777" w:rsidR="00DD755D" w:rsidRPr="003341D9" w:rsidRDefault="00DD755D" w:rsidP="00D32FA2">
            <w:pPr>
              <w:spacing w:after="0"/>
              <w:jc w:val="left"/>
              <w:rPr>
                <w:rFonts w:eastAsia="Times New Roman"/>
                <w:b/>
                <w:bCs/>
                <w:color w:val="000000"/>
                <w:sz w:val="20"/>
                <w:szCs w:val="16"/>
              </w:rPr>
            </w:pPr>
          </w:p>
        </w:tc>
        <w:tc>
          <w:tcPr>
            <w:tcW w:w="1579" w:type="dxa"/>
            <w:vMerge/>
            <w:tcBorders>
              <w:top w:val="single" w:sz="8" w:space="0" w:color="auto"/>
              <w:left w:val="single" w:sz="8" w:space="0" w:color="auto"/>
              <w:bottom w:val="single" w:sz="8" w:space="0" w:color="000000"/>
              <w:right w:val="single" w:sz="8" w:space="0" w:color="auto"/>
            </w:tcBorders>
            <w:vAlign w:val="center"/>
            <w:hideMark/>
          </w:tcPr>
          <w:p w14:paraId="5ADF773D" w14:textId="77777777" w:rsidR="00DD755D" w:rsidRPr="003341D9" w:rsidRDefault="00DD755D" w:rsidP="00D32FA2">
            <w:pPr>
              <w:spacing w:after="0"/>
              <w:jc w:val="left"/>
              <w:rPr>
                <w:rFonts w:eastAsia="Times New Roman"/>
                <w:b/>
                <w:bCs/>
                <w:color w:val="000000"/>
                <w:sz w:val="20"/>
                <w:szCs w:val="16"/>
              </w:rPr>
            </w:pPr>
          </w:p>
        </w:tc>
        <w:tc>
          <w:tcPr>
            <w:tcW w:w="1220" w:type="dxa"/>
            <w:vMerge/>
            <w:tcBorders>
              <w:top w:val="single" w:sz="8" w:space="0" w:color="auto"/>
              <w:left w:val="single" w:sz="8" w:space="0" w:color="auto"/>
              <w:bottom w:val="single" w:sz="8" w:space="0" w:color="000000"/>
              <w:right w:val="single" w:sz="8" w:space="0" w:color="auto"/>
            </w:tcBorders>
            <w:vAlign w:val="center"/>
            <w:hideMark/>
          </w:tcPr>
          <w:p w14:paraId="49EE503A" w14:textId="77777777" w:rsidR="00DD755D" w:rsidRPr="003341D9" w:rsidRDefault="00DD755D" w:rsidP="00D32FA2">
            <w:pPr>
              <w:spacing w:after="0"/>
              <w:jc w:val="left"/>
              <w:rPr>
                <w:rFonts w:eastAsia="Times New Roman"/>
                <w:b/>
                <w:bCs/>
                <w:color w:val="000000"/>
                <w:sz w:val="20"/>
                <w:szCs w:val="16"/>
              </w:rPr>
            </w:pPr>
          </w:p>
        </w:tc>
        <w:tc>
          <w:tcPr>
            <w:tcW w:w="1209" w:type="dxa"/>
            <w:vMerge/>
            <w:tcBorders>
              <w:top w:val="single" w:sz="8" w:space="0" w:color="auto"/>
              <w:left w:val="single" w:sz="8" w:space="0" w:color="auto"/>
              <w:bottom w:val="single" w:sz="8" w:space="0" w:color="000000"/>
              <w:right w:val="single" w:sz="8" w:space="0" w:color="auto"/>
            </w:tcBorders>
            <w:vAlign w:val="center"/>
            <w:hideMark/>
          </w:tcPr>
          <w:p w14:paraId="56889E94" w14:textId="77777777" w:rsidR="00DD755D" w:rsidRPr="003341D9" w:rsidRDefault="00DD755D" w:rsidP="00D32FA2">
            <w:pPr>
              <w:spacing w:after="0"/>
              <w:jc w:val="left"/>
              <w:rPr>
                <w:rFonts w:eastAsia="Times New Roman"/>
                <w:b/>
                <w:bCs/>
                <w:color w:val="000000"/>
                <w:sz w:val="20"/>
                <w:szCs w:val="16"/>
              </w:rPr>
            </w:pPr>
          </w:p>
        </w:tc>
      </w:tr>
      <w:tr w:rsidR="00DD755D" w:rsidRPr="003341D9" w14:paraId="0FE208B5" w14:textId="77777777" w:rsidTr="00D32FA2">
        <w:trPr>
          <w:trHeight w:val="315"/>
        </w:trPr>
        <w:tc>
          <w:tcPr>
            <w:tcW w:w="4130" w:type="dxa"/>
            <w:tcBorders>
              <w:top w:val="nil"/>
              <w:left w:val="single" w:sz="8" w:space="0" w:color="auto"/>
              <w:bottom w:val="single" w:sz="8" w:space="0" w:color="auto"/>
              <w:right w:val="single" w:sz="8" w:space="0" w:color="auto"/>
            </w:tcBorders>
            <w:shd w:val="clear" w:color="auto" w:fill="auto"/>
            <w:noWrap/>
            <w:vAlign w:val="center"/>
            <w:hideMark/>
          </w:tcPr>
          <w:p w14:paraId="5DC57775" w14:textId="77777777" w:rsidR="00DD755D" w:rsidRPr="003341D9" w:rsidRDefault="00DD755D" w:rsidP="00D32FA2">
            <w:pPr>
              <w:spacing w:after="0"/>
              <w:jc w:val="left"/>
              <w:rPr>
                <w:rFonts w:eastAsia="Times New Roman"/>
                <w:color w:val="000000"/>
                <w:sz w:val="20"/>
                <w:szCs w:val="16"/>
              </w:rPr>
            </w:pPr>
            <w:r w:rsidRPr="003341D9">
              <w:rPr>
                <w:rFonts w:eastAsia="Times New Roman"/>
                <w:color w:val="000000"/>
                <w:sz w:val="20"/>
                <w:szCs w:val="16"/>
              </w:rPr>
              <w:t>Grant – GEF</w:t>
            </w:r>
          </w:p>
        </w:tc>
        <w:tc>
          <w:tcPr>
            <w:tcW w:w="1285" w:type="dxa"/>
            <w:tcBorders>
              <w:top w:val="nil"/>
              <w:left w:val="nil"/>
              <w:bottom w:val="single" w:sz="8" w:space="0" w:color="auto"/>
              <w:right w:val="single" w:sz="8" w:space="0" w:color="auto"/>
            </w:tcBorders>
            <w:shd w:val="clear" w:color="000000" w:fill="FFFFFF"/>
            <w:noWrap/>
            <w:vAlign w:val="center"/>
            <w:hideMark/>
          </w:tcPr>
          <w:p w14:paraId="7B84A415" w14:textId="77777777" w:rsidR="00DD755D" w:rsidRPr="003341D9" w:rsidRDefault="00DD755D" w:rsidP="00D32FA2">
            <w:pPr>
              <w:spacing w:after="0"/>
              <w:jc w:val="center"/>
              <w:rPr>
                <w:rFonts w:eastAsia="Times New Roman"/>
                <w:color w:val="000000"/>
                <w:sz w:val="20"/>
                <w:szCs w:val="16"/>
              </w:rPr>
            </w:pPr>
            <w:r w:rsidRPr="003341D9">
              <w:rPr>
                <w:rFonts w:eastAsia="Times New Roman"/>
                <w:color w:val="000000"/>
                <w:sz w:val="20"/>
                <w:szCs w:val="16"/>
              </w:rPr>
              <w:t xml:space="preserve">793,594 </w:t>
            </w:r>
          </w:p>
        </w:tc>
        <w:tc>
          <w:tcPr>
            <w:tcW w:w="1089" w:type="dxa"/>
            <w:tcBorders>
              <w:top w:val="nil"/>
              <w:left w:val="nil"/>
              <w:bottom w:val="single" w:sz="8" w:space="0" w:color="auto"/>
              <w:right w:val="single" w:sz="8" w:space="0" w:color="auto"/>
            </w:tcBorders>
            <w:shd w:val="clear" w:color="000000" w:fill="FFFFFF"/>
            <w:noWrap/>
            <w:vAlign w:val="center"/>
            <w:hideMark/>
          </w:tcPr>
          <w:p w14:paraId="2A97BF01" w14:textId="77777777" w:rsidR="00DD755D" w:rsidRPr="003341D9" w:rsidRDefault="00DD755D" w:rsidP="00D32FA2">
            <w:pPr>
              <w:spacing w:after="0"/>
              <w:jc w:val="center"/>
              <w:rPr>
                <w:rFonts w:eastAsia="Times New Roman"/>
                <w:color w:val="000000"/>
                <w:sz w:val="20"/>
                <w:szCs w:val="16"/>
              </w:rPr>
            </w:pPr>
            <w:r w:rsidRPr="003341D9">
              <w:rPr>
                <w:rFonts w:eastAsia="Times New Roman"/>
                <w:color w:val="000000"/>
                <w:sz w:val="20"/>
                <w:szCs w:val="16"/>
              </w:rPr>
              <w:t xml:space="preserve">1,005,094 </w:t>
            </w:r>
          </w:p>
        </w:tc>
        <w:tc>
          <w:tcPr>
            <w:tcW w:w="1089" w:type="dxa"/>
            <w:tcBorders>
              <w:top w:val="nil"/>
              <w:left w:val="nil"/>
              <w:bottom w:val="single" w:sz="8" w:space="0" w:color="auto"/>
              <w:right w:val="single" w:sz="8" w:space="0" w:color="auto"/>
            </w:tcBorders>
            <w:shd w:val="clear" w:color="000000" w:fill="FFFFFF"/>
            <w:noWrap/>
            <w:vAlign w:val="center"/>
            <w:hideMark/>
          </w:tcPr>
          <w:p w14:paraId="1A874921" w14:textId="77777777" w:rsidR="00DD755D" w:rsidRPr="003341D9" w:rsidRDefault="00DD755D" w:rsidP="00D32FA2">
            <w:pPr>
              <w:spacing w:after="0"/>
              <w:jc w:val="center"/>
              <w:rPr>
                <w:rFonts w:eastAsia="Times New Roman"/>
                <w:color w:val="000000"/>
                <w:sz w:val="20"/>
                <w:szCs w:val="16"/>
              </w:rPr>
            </w:pPr>
            <w:r w:rsidRPr="003341D9">
              <w:rPr>
                <w:rFonts w:eastAsia="Times New Roman"/>
                <w:color w:val="000000"/>
                <w:sz w:val="20"/>
                <w:szCs w:val="16"/>
              </w:rPr>
              <w:t xml:space="preserve">1,086,594 </w:t>
            </w:r>
          </w:p>
        </w:tc>
        <w:tc>
          <w:tcPr>
            <w:tcW w:w="1248" w:type="dxa"/>
            <w:tcBorders>
              <w:top w:val="nil"/>
              <w:left w:val="nil"/>
              <w:bottom w:val="single" w:sz="8" w:space="0" w:color="auto"/>
              <w:right w:val="single" w:sz="8" w:space="0" w:color="auto"/>
            </w:tcBorders>
            <w:shd w:val="clear" w:color="000000" w:fill="FFFFFF"/>
            <w:noWrap/>
            <w:vAlign w:val="center"/>
            <w:hideMark/>
          </w:tcPr>
          <w:p w14:paraId="530D4091" w14:textId="77777777" w:rsidR="00DD755D" w:rsidRPr="003341D9" w:rsidRDefault="00DD755D" w:rsidP="00D32FA2">
            <w:pPr>
              <w:spacing w:after="0"/>
              <w:jc w:val="center"/>
              <w:rPr>
                <w:rFonts w:eastAsia="Times New Roman"/>
                <w:color w:val="000000"/>
                <w:sz w:val="20"/>
                <w:szCs w:val="16"/>
              </w:rPr>
            </w:pPr>
            <w:r w:rsidRPr="003341D9">
              <w:rPr>
                <w:rFonts w:eastAsia="Times New Roman"/>
                <w:color w:val="000000"/>
                <w:sz w:val="20"/>
                <w:szCs w:val="16"/>
              </w:rPr>
              <w:t xml:space="preserve"> 663,594 </w:t>
            </w:r>
          </w:p>
        </w:tc>
        <w:tc>
          <w:tcPr>
            <w:tcW w:w="1579" w:type="dxa"/>
            <w:tcBorders>
              <w:top w:val="nil"/>
              <w:left w:val="nil"/>
              <w:bottom w:val="single" w:sz="8" w:space="0" w:color="auto"/>
              <w:right w:val="single" w:sz="8" w:space="0" w:color="auto"/>
            </w:tcBorders>
            <w:shd w:val="clear" w:color="000000" w:fill="FFFFFF"/>
            <w:noWrap/>
            <w:vAlign w:val="center"/>
            <w:hideMark/>
          </w:tcPr>
          <w:p w14:paraId="3E72E2C0" w14:textId="77777777" w:rsidR="00DD755D" w:rsidRPr="003341D9" w:rsidRDefault="00DD755D" w:rsidP="00D32FA2">
            <w:pPr>
              <w:spacing w:after="0"/>
              <w:jc w:val="center"/>
              <w:rPr>
                <w:rFonts w:eastAsia="Times New Roman"/>
                <w:color w:val="000000"/>
                <w:sz w:val="20"/>
                <w:szCs w:val="16"/>
              </w:rPr>
            </w:pPr>
            <w:r w:rsidRPr="003341D9">
              <w:rPr>
                <w:rFonts w:eastAsia="Times New Roman"/>
                <w:color w:val="000000"/>
                <w:sz w:val="20"/>
                <w:szCs w:val="16"/>
              </w:rPr>
              <w:t xml:space="preserve">406,094 </w:t>
            </w:r>
          </w:p>
        </w:tc>
        <w:tc>
          <w:tcPr>
            <w:tcW w:w="1220" w:type="dxa"/>
            <w:tcBorders>
              <w:top w:val="nil"/>
              <w:left w:val="nil"/>
              <w:bottom w:val="single" w:sz="8" w:space="0" w:color="auto"/>
              <w:right w:val="single" w:sz="8" w:space="0" w:color="auto"/>
            </w:tcBorders>
            <w:shd w:val="clear" w:color="000000" w:fill="FFFFFF"/>
            <w:noWrap/>
            <w:vAlign w:val="center"/>
            <w:hideMark/>
          </w:tcPr>
          <w:p w14:paraId="5871C50D" w14:textId="77777777" w:rsidR="00DD755D" w:rsidRPr="003341D9" w:rsidRDefault="00DD755D" w:rsidP="00D32FA2">
            <w:pPr>
              <w:spacing w:after="0"/>
              <w:jc w:val="center"/>
              <w:rPr>
                <w:rFonts w:eastAsia="Times New Roman"/>
                <w:color w:val="000000"/>
                <w:sz w:val="20"/>
                <w:szCs w:val="16"/>
              </w:rPr>
            </w:pPr>
            <w:r w:rsidRPr="003341D9">
              <w:rPr>
                <w:rFonts w:eastAsia="Times New Roman"/>
                <w:color w:val="000000"/>
                <w:sz w:val="20"/>
                <w:szCs w:val="16"/>
              </w:rPr>
              <w:t xml:space="preserve">278,594 </w:t>
            </w:r>
          </w:p>
        </w:tc>
        <w:tc>
          <w:tcPr>
            <w:tcW w:w="1209" w:type="dxa"/>
            <w:tcBorders>
              <w:top w:val="nil"/>
              <w:left w:val="nil"/>
              <w:bottom w:val="single" w:sz="8" w:space="0" w:color="auto"/>
              <w:right w:val="single" w:sz="8" w:space="0" w:color="auto"/>
            </w:tcBorders>
            <w:shd w:val="clear" w:color="000000" w:fill="FFFFFF"/>
            <w:noWrap/>
            <w:vAlign w:val="center"/>
            <w:hideMark/>
          </w:tcPr>
          <w:p w14:paraId="1FA173BE" w14:textId="77777777" w:rsidR="00DD755D" w:rsidRPr="003341D9" w:rsidRDefault="00DD755D" w:rsidP="00D32FA2">
            <w:pPr>
              <w:spacing w:after="0"/>
              <w:jc w:val="center"/>
              <w:rPr>
                <w:rFonts w:eastAsia="Times New Roman"/>
                <w:color w:val="000000"/>
                <w:sz w:val="20"/>
                <w:szCs w:val="16"/>
              </w:rPr>
            </w:pPr>
            <w:r w:rsidRPr="003341D9">
              <w:rPr>
                <w:rFonts w:eastAsia="Times New Roman"/>
                <w:color w:val="000000"/>
                <w:sz w:val="20"/>
                <w:szCs w:val="16"/>
              </w:rPr>
              <w:t xml:space="preserve">4,233,562 </w:t>
            </w:r>
          </w:p>
        </w:tc>
      </w:tr>
      <w:tr w:rsidR="00DD755D" w:rsidRPr="003341D9" w14:paraId="528144B7" w14:textId="77777777" w:rsidTr="00D32FA2">
        <w:trPr>
          <w:trHeight w:val="315"/>
        </w:trPr>
        <w:tc>
          <w:tcPr>
            <w:tcW w:w="4130" w:type="dxa"/>
            <w:tcBorders>
              <w:top w:val="nil"/>
              <w:left w:val="single" w:sz="8" w:space="0" w:color="auto"/>
              <w:bottom w:val="single" w:sz="8" w:space="0" w:color="auto"/>
              <w:right w:val="single" w:sz="8" w:space="0" w:color="auto"/>
            </w:tcBorders>
            <w:shd w:val="clear" w:color="auto" w:fill="auto"/>
            <w:noWrap/>
            <w:vAlign w:val="center"/>
            <w:hideMark/>
          </w:tcPr>
          <w:p w14:paraId="6D74C292" w14:textId="77777777" w:rsidR="00DD755D" w:rsidRPr="003341D9" w:rsidRDefault="00DD755D" w:rsidP="00D32FA2">
            <w:pPr>
              <w:spacing w:after="0"/>
              <w:jc w:val="left"/>
              <w:rPr>
                <w:rFonts w:eastAsia="Times New Roman"/>
                <w:color w:val="000000"/>
                <w:sz w:val="20"/>
                <w:szCs w:val="16"/>
              </w:rPr>
            </w:pPr>
            <w:r w:rsidRPr="003341D9">
              <w:rPr>
                <w:rFonts w:eastAsia="Times New Roman"/>
                <w:color w:val="000000"/>
                <w:sz w:val="20"/>
                <w:szCs w:val="16"/>
              </w:rPr>
              <w:t>Co-finance – Government and Palau Partners</w:t>
            </w:r>
          </w:p>
        </w:tc>
        <w:tc>
          <w:tcPr>
            <w:tcW w:w="1285" w:type="dxa"/>
            <w:tcBorders>
              <w:top w:val="nil"/>
              <w:left w:val="nil"/>
              <w:bottom w:val="single" w:sz="8" w:space="0" w:color="auto"/>
              <w:right w:val="single" w:sz="8" w:space="0" w:color="auto"/>
            </w:tcBorders>
            <w:shd w:val="clear" w:color="000000" w:fill="FFFFFF"/>
            <w:noWrap/>
            <w:vAlign w:val="center"/>
            <w:hideMark/>
          </w:tcPr>
          <w:p w14:paraId="33594B6F" w14:textId="77777777" w:rsidR="00DD755D" w:rsidRPr="003341D9" w:rsidRDefault="00DD755D" w:rsidP="00D32FA2">
            <w:pPr>
              <w:spacing w:after="0"/>
              <w:jc w:val="center"/>
              <w:rPr>
                <w:rFonts w:eastAsia="Times New Roman"/>
                <w:color w:val="000000"/>
                <w:sz w:val="20"/>
                <w:szCs w:val="16"/>
              </w:rPr>
            </w:pPr>
            <w:r w:rsidRPr="003341D9">
              <w:rPr>
                <w:rFonts w:eastAsia="Times New Roman"/>
                <w:color w:val="000000"/>
                <w:sz w:val="20"/>
                <w:szCs w:val="16"/>
              </w:rPr>
              <w:t xml:space="preserve">3,328,550 </w:t>
            </w:r>
          </w:p>
        </w:tc>
        <w:tc>
          <w:tcPr>
            <w:tcW w:w="1089" w:type="dxa"/>
            <w:tcBorders>
              <w:top w:val="nil"/>
              <w:left w:val="nil"/>
              <w:bottom w:val="single" w:sz="8" w:space="0" w:color="auto"/>
              <w:right w:val="single" w:sz="8" w:space="0" w:color="auto"/>
            </w:tcBorders>
            <w:shd w:val="clear" w:color="000000" w:fill="FFFFFF"/>
            <w:noWrap/>
            <w:vAlign w:val="center"/>
            <w:hideMark/>
          </w:tcPr>
          <w:p w14:paraId="03AFA67D" w14:textId="128A9A57" w:rsidR="00DD755D" w:rsidRPr="003341D9" w:rsidRDefault="00DD755D" w:rsidP="00387D47">
            <w:pPr>
              <w:spacing w:after="0"/>
              <w:jc w:val="center"/>
              <w:rPr>
                <w:rFonts w:eastAsia="Times New Roman"/>
                <w:color w:val="000000"/>
                <w:sz w:val="20"/>
                <w:szCs w:val="16"/>
              </w:rPr>
            </w:pPr>
            <w:r w:rsidRPr="003341D9">
              <w:rPr>
                <w:rFonts w:eastAsia="Times New Roman"/>
                <w:color w:val="000000"/>
                <w:sz w:val="20"/>
                <w:szCs w:val="16"/>
              </w:rPr>
              <w:t>3,</w:t>
            </w:r>
            <w:r w:rsidR="00387D47">
              <w:rPr>
                <w:rFonts w:eastAsia="Times New Roman"/>
                <w:color w:val="000000"/>
                <w:sz w:val="20"/>
                <w:szCs w:val="16"/>
              </w:rPr>
              <w:t>5</w:t>
            </w:r>
            <w:r w:rsidR="00387D47" w:rsidRPr="003341D9">
              <w:rPr>
                <w:rFonts w:eastAsia="Times New Roman"/>
                <w:color w:val="000000"/>
                <w:sz w:val="20"/>
                <w:szCs w:val="16"/>
              </w:rPr>
              <w:t>33</w:t>
            </w:r>
            <w:r w:rsidRPr="003341D9">
              <w:rPr>
                <w:rFonts w:eastAsia="Times New Roman"/>
                <w:color w:val="000000"/>
                <w:sz w:val="20"/>
                <w:szCs w:val="16"/>
              </w:rPr>
              <w:t xml:space="preserve">,550 </w:t>
            </w:r>
          </w:p>
        </w:tc>
        <w:tc>
          <w:tcPr>
            <w:tcW w:w="1089" w:type="dxa"/>
            <w:tcBorders>
              <w:top w:val="nil"/>
              <w:left w:val="nil"/>
              <w:bottom w:val="single" w:sz="8" w:space="0" w:color="auto"/>
              <w:right w:val="single" w:sz="8" w:space="0" w:color="auto"/>
            </w:tcBorders>
            <w:shd w:val="clear" w:color="000000" w:fill="FFFFFF"/>
            <w:noWrap/>
            <w:vAlign w:val="center"/>
            <w:hideMark/>
          </w:tcPr>
          <w:p w14:paraId="0492AFA1" w14:textId="6A4FC27C" w:rsidR="00DD755D" w:rsidRPr="003341D9" w:rsidRDefault="00DD755D" w:rsidP="00387D47">
            <w:pPr>
              <w:spacing w:after="0"/>
              <w:jc w:val="center"/>
              <w:rPr>
                <w:rFonts w:eastAsia="Times New Roman"/>
                <w:color w:val="000000"/>
                <w:sz w:val="20"/>
                <w:szCs w:val="16"/>
              </w:rPr>
            </w:pPr>
            <w:r w:rsidRPr="003341D9">
              <w:rPr>
                <w:rFonts w:eastAsia="Times New Roman"/>
                <w:color w:val="000000"/>
                <w:sz w:val="20"/>
                <w:szCs w:val="16"/>
              </w:rPr>
              <w:t>3,</w:t>
            </w:r>
            <w:r w:rsidR="00387D47">
              <w:rPr>
                <w:rFonts w:eastAsia="Times New Roman"/>
                <w:color w:val="000000"/>
                <w:sz w:val="20"/>
                <w:szCs w:val="16"/>
              </w:rPr>
              <w:t>7</w:t>
            </w:r>
            <w:r w:rsidR="00387D47" w:rsidRPr="003341D9">
              <w:rPr>
                <w:rFonts w:eastAsia="Times New Roman"/>
                <w:color w:val="000000"/>
                <w:sz w:val="20"/>
                <w:szCs w:val="16"/>
              </w:rPr>
              <w:t>53</w:t>
            </w:r>
            <w:r w:rsidRPr="003341D9">
              <w:rPr>
                <w:rFonts w:eastAsia="Times New Roman"/>
                <w:color w:val="000000"/>
                <w:sz w:val="20"/>
                <w:szCs w:val="16"/>
              </w:rPr>
              <w:t xml:space="preserve">,551 </w:t>
            </w:r>
          </w:p>
        </w:tc>
        <w:tc>
          <w:tcPr>
            <w:tcW w:w="1248" w:type="dxa"/>
            <w:tcBorders>
              <w:top w:val="nil"/>
              <w:left w:val="nil"/>
              <w:bottom w:val="single" w:sz="8" w:space="0" w:color="auto"/>
              <w:right w:val="single" w:sz="8" w:space="0" w:color="auto"/>
            </w:tcBorders>
            <w:shd w:val="clear" w:color="000000" w:fill="FFFFFF"/>
            <w:noWrap/>
            <w:vAlign w:val="center"/>
            <w:hideMark/>
          </w:tcPr>
          <w:p w14:paraId="0A685908" w14:textId="10E508CF" w:rsidR="00DD755D" w:rsidRPr="003341D9" w:rsidRDefault="00DD755D" w:rsidP="00387D47">
            <w:pPr>
              <w:spacing w:after="0"/>
              <w:jc w:val="center"/>
              <w:rPr>
                <w:rFonts w:eastAsia="Times New Roman"/>
                <w:color w:val="000000"/>
                <w:sz w:val="20"/>
                <w:szCs w:val="16"/>
              </w:rPr>
            </w:pPr>
            <w:r w:rsidRPr="003341D9">
              <w:rPr>
                <w:rFonts w:eastAsia="Times New Roman"/>
                <w:color w:val="000000"/>
                <w:sz w:val="20"/>
                <w:szCs w:val="16"/>
              </w:rPr>
              <w:t>3,</w:t>
            </w:r>
            <w:r w:rsidR="00387D47">
              <w:rPr>
                <w:rFonts w:eastAsia="Times New Roman"/>
                <w:color w:val="000000"/>
                <w:sz w:val="20"/>
                <w:szCs w:val="16"/>
              </w:rPr>
              <w:t>6</w:t>
            </w:r>
            <w:r w:rsidR="00387D47" w:rsidRPr="003341D9">
              <w:rPr>
                <w:rFonts w:eastAsia="Times New Roman"/>
                <w:color w:val="000000"/>
                <w:sz w:val="20"/>
                <w:szCs w:val="16"/>
              </w:rPr>
              <w:t>18</w:t>
            </w:r>
            <w:r w:rsidRPr="003341D9">
              <w:rPr>
                <w:rFonts w:eastAsia="Times New Roman"/>
                <w:color w:val="000000"/>
                <w:sz w:val="20"/>
                <w:szCs w:val="16"/>
              </w:rPr>
              <w:t xml:space="preserve">,552 </w:t>
            </w:r>
          </w:p>
        </w:tc>
        <w:tc>
          <w:tcPr>
            <w:tcW w:w="1579" w:type="dxa"/>
            <w:tcBorders>
              <w:top w:val="nil"/>
              <w:left w:val="nil"/>
              <w:bottom w:val="single" w:sz="8" w:space="0" w:color="auto"/>
              <w:right w:val="single" w:sz="8" w:space="0" w:color="auto"/>
            </w:tcBorders>
            <w:shd w:val="clear" w:color="000000" w:fill="FFFFFF"/>
            <w:noWrap/>
            <w:vAlign w:val="center"/>
            <w:hideMark/>
          </w:tcPr>
          <w:p w14:paraId="602C3B75" w14:textId="3D8FA70B" w:rsidR="00DD755D" w:rsidRPr="003341D9" w:rsidRDefault="00DD755D" w:rsidP="00387D47">
            <w:pPr>
              <w:spacing w:after="0"/>
              <w:jc w:val="center"/>
              <w:rPr>
                <w:rFonts w:eastAsia="Times New Roman"/>
                <w:color w:val="000000"/>
                <w:sz w:val="20"/>
                <w:szCs w:val="16"/>
              </w:rPr>
            </w:pPr>
            <w:r w:rsidRPr="003341D9">
              <w:rPr>
                <w:rFonts w:eastAsia="Times New Roman"/>
                <w:color w:val="000000"/>
                <w:sz w:val="20"/>
                <w:szCs w:val="16"/>
              </w:rPr>
              <w:t>4,</w:t>
            </w:r>
            <w:r w:rsidR="00387D47">
              <w:rPr>
                <w:rFonts w:eastAsia="Times New Roman"/>
                <w:color w:val="000000"/>
                <w:sz w:val="20"/>
                <w:szCs w:val="16"/>
              </w:rPr>
              <w:t>3</w:t>
            </w:r>
            <w:r w:rsidR="00387D47" w:rsidRPr="003341D9">
              <w:rPr>
                <w:rFonts w:eastAsia="Times New Roman"/>
                <w:color w:val="000000"/>
                <w:sz w:val="20"/>
                <w:szCs w:val="16"/>
              </w:rPr>
              <w:t>21</w:t>
            </w:r>
            <w:r w:rsidRPr="003341D9">
              <w:rPr>
                <w:rFonts w:eastAsia="Times New Roman"/>
                <w:color w:val="000000"/>
                <w:sz w:val="20"/>
                <w:szCs w:val="16"/>
              </w:rPr>
              <w:t xml:space="preserve">,052 </w:t>
            </w:r>
          </w:p>
        </w:tc>
        <w:tc>
          <w:tcPr>
            <w:tcW w:w="1220" w:type="dxa"/>
            <w:tcBorders>
              <w:top w:val="nil"/>
              <w:left w:val="nil"/>
              <w:bottom w:val="single" w:sz="8" w:space="0" w:color="auto"/>
              <w:right w:val="single" w:sz="8" w:space="0" w:color="auto"/>
            </w:tcBorders>
            <w:shd w:val="clear" w:color="000000" w:fill="FFFFFF"/>
            <w:noWrap/>
            <w:vAlign w:val="center"/>
            <w:hideMark/>
          </w:tcPr>
          <w:p w14:paraId="1BF1D026" w14:textId="77777777" w:rsidR="00DD755D" w:rsidRPr="003341D9" w:rsidRDefault="00DD755D" w:rsidP="00D32FA2">
            <w:pPr>
              <w:spacing w:after="0"/>
              <w:jc w:val="center"/>
              <w:rPr>
                <w:rFonts w:eastAsia="Times New Roman"/>
                <w:color w:val="000000"/>
                <w:sz w:val="20"/>
                <w:szCs w:val="16"/>
              </w:rPr>
            </w:pPr>
            <w:r w:rsidRPr="003341D9">
              <w:rPr>
                <w:rFonts w:eastAsia="Times New Roman"/>
                <w:color w:val="000000"/>
                <w:sz w:val="20"/>
                <w:szCs w:val="16"/>
              </w:rPr>
              <w:t xml:space="preserve">4,116,051 </w:t>
            </w:r>
          </w:p>
        </w:tc>
        <w:tc>
          <w:tcPr>
            <w:tcW w:w="1209" w:type="dxa"/>
            <w:tcBorders>
              <w:top w:val="nil"/>
              <w:left w:val="nil"/>
              <w:bottom w:val="single" w:sz="8" w:space="0" w:color="auto"/>
              <w:right w:val="single" w:sz="8" w:space="0" w:color="auto"/>
            </w:tcBorders>
            <w:shd w:val="clear" w:color="000000" w:fill="FFFFFF"/>
            <w:noWrap/>
            <w:vAlign w:val="center"/>
            <w:hideMark/>
          </w:tcPr>
          <w:p w14:paraId="26CAF0B6" w14:textId="4B083387" w:rsidR="00DD755D" w:rsidRPr="003341D9" w:rsidRDefault="00DD755D" w:rsidP="00387D47">
            <w:pPr>
              <w:spacing w:after="0"/>
              <w:jc w:val="center"/>
              <w:rPr>
                <w:rFonts w:eastAsia="Times New Roman"/>
                <w:color w:val="000000"/>
                <w:sz w:val="20"/>
                <w:szCs w:val="16"/>
              </w:rPr>
            </w:pPr>
            <w:r w:rsidRPr="003341D9">
              <w:rPr>
                <w:rFonts w:eastAsia="Times New Roman"/>
                <w:color w:val="000000"/>
                <w:sz w:val="20"/>
                <w:szCs w:val="16"/>
              </w:rPr>
              <w:t xml:space="preserve"> </w:t>
            </w:r>
            <w:r w:rsidR="00387D47">
              <w:rPr>
                <w:rFonts w:eastAsia="Times New Roman"/>
                <w:color w:val="000000"/>
                <w:sz w:val="20"/>
                <w:szCs w:val="16"/>
              </w:rPr>
              <w:t>22,671</w:t>
            </w:r>
            <w:r w:rsidRPr="003341D9">
              <w:rPr>
                <w:rFonts w:eastAsia="Times New Roman"/>
                <w:color w:val="000000"/>
                <w:sz w:val="20"/>
                <w:szCs w:val="16"/>
              </w:rPr>
              <w:t xml:space="preserve">,306 </w:t>
            </w:r>
          </w:p>
        </w:tc>
      </w:tr>
      <w:tr w:rsidR="00DD755D" w:rsidRPr="003341D9" w14:paraId="36DCBF3C" w14:textId="77777777" w:rsidTr="00D32FA2">
        <w:trPr>
          <w:trHeight w:val="315"/>
        </w:trPr>
        <w:tc>
          <w:tcPr>
            <w:tcW w:w="4130" w:type="dxa"/>
            <w:tcBorders>
              <w:top w:val="nil"/>
              <w:left w:val="single" w:sz="8" w:space="0" w:color="auto"/>
              <w:bottom w:val="single" w:sz="8" w:space="0" w:color="auto"/>
              <w:right w:val="single" w:sz="8" w:space="0" w:color="auto"/>
            </w:tcBorders>
            <w:shd w:val="clear" w:color="000000" w:fill="9BBB59"/>
            <w:noWrap/>
            <w:vAlign w:val="center"/>
            <w:hideMark/>
          </w:tcPr>
          <w:p w14:paraId="44360F13" w14:textId="77777777" w:rsidR="00DD755D" w:rsidRPr="003341D9" w:rsidRDefault="00DD755D" w:rsidP="00D32FA2">
            <w:pPr>
              <w:spacing w:after="0"/>
              <w:jc w:val="left"/>
              <w:rPr>
                <w:rFonts w:eastAsia="Times New Roman"/>
                <w:b/>
                <w:bCs/>
                <w:color w:val="000000"/>
                <w:sz w:val="20"/>
                <w:szCs w:val="16"/>
              </w:rPr>
            </w:pPr>
            <w:r w:rsidRPr="003341D9">
              <w:rPr>
                <w:rFonts w:eastAsia="Times New Roman"/>
                <w:b/>
                <w:bCs/>
                <w:color w:val="000000"/>
                <w:sz w:val="20"/>
                <w:szCs w:val="16"/>
              </w:rPr>
              <w:t>TOTAL</w:t>
            </w:r>
          </w:p>
        </w:tc>
        <w:tc>
          <w:tcPr>
            <w:tcW w:w="1285" w:type="dxa"/>
            <w:tcBorders>
              <w:top w:val="nil"/>
              <w:left w:val="nil"/>
              <w:bottom w:val="single" w:sz="8" w:space="0" w:color="auto"/>
              <w:right w:val="single" w:sz="8" w:space="0" w:color="auto"/>
            </w:tcBorders>
            <w:shd w:val="clear" w:color="000000" w:fill="9BBB59"/>
            <w:noWrap/>
            <w:vAlign w:val="center"/>
            <w:hideMark/>
          </w:tcPr>
          <w:p w14:paraId="68ED29A3" w14:textId="77777777" w:rsidR="00DD755D" w:rsidRPr="003341D9" w:rsidRDefault="00DD755D" w:rsidP="00D32FA2">
            <w:pPr>
              <w:spacing w:after="0"/>
              <w:jc w:val="center"/>
              <w:rPr>
                <w:rFonts w:eastAsia="Times New Roman"/>
                <w:b/>
                <w:bCs/>
                <w:color w:val="000000"/>
                <w:sz w:val="20"/>
                <w:szCs w:val="16"/>
              </w:rPr>
            </w:pPr>
            <w:r w:rsidRPr="003341D9">
              <w:rPr>
                <w:rFonts w:eastAsia="Times New Roman"/>
                <w:b/>
                <w:bCs/>
                <w:color w:val="000000"/>
                <w:sz w:val="20"/>
                <w:szCs w:val="16"/>
              </w:rPr>
              <w:t xml:space="preserve">4,122,144 </w:t>
            </w:r>
          </w:p>
        </w:tc>
        <w:tc>
          <w:tcPr>
            <w:tcW w:w="1089" w:type="dxa"/>
            <w:tcBorders>
              <w:top w:val="nil"/>
              <w:left w:val="nil"/>
              <w:bottom w:val="single" w:sz="8" w:space="0" w:color="auto"/>
              <w:right w:val="single" w:sz="8" w:space="0" w:color="auto"/>
            </w:tcBorders>
            <w:shd w:val="clear" w:color="000000" w:fill="9BBB59"/>
            <w:noWrap/>
            <w:vAlign w:val="center"/>
            <w:hideMark/>
          </w:tcPr>
          <w:p w14:paraId="6D6334F8" w14:textId="14AD966A" w:rsidR="00DD755D" w:rsidRPr="003341D9" w:rsidRDefault="00DD755D" w:rsidP="00387D47">
            <w:pPr>
              <w:spacing w:after="0"/>
              <w:jc w:val="center"/>
              <w:rPr>
                <w:rFonts w:eastAsia="Times New Roman"/>
                <w:b/>
                <w:bCs/>
                <w:color w:val="000000"/>
                <w:sz w:val="20"/>
                <w:szCs w:val="16"/>
              </w:rPr>
            </w:pPr>
            <w:r w:rsidRPr="003341D9">
              <w:rPr>
                <w:rFonts w:eastAsia="Times New Roman"/>
                <w:b/>
                <w:bCs/>
                <w:color w:val="000000"/>
                <w:sz w:val="20"/>
                <w:szCs w:val="16"/>
              </w:rPr>
              <w:t>4,</w:t>
            </w:r>
            <w:r w:rsidR="00387D47">
              <w:rPr>
                <w:rFonts w:eastAsia="Times New Roman"/>
                <w:b/>
                <w:bCs/>
                <w:color w:val="000000"/>
                <w:sz w:val="20"/>
                <w:szCs w:val="16"/>
              </w:rPr>
              <w:t>5</w:t>
            </w:r>
            <w:r w:rsidR="00387D47" w:rsidRPr="003341D9">
              <w:rPr>
                <w:rFonts w:eastAsia="Times New Roman"/>
                <w:b/>
                <w:bCs/>
                <w:color w:val="000000"/>
                <w:sz w:val="20"/>
                <w:szCs w:val="16"/>
              </w:rPr>
              <w:t>38</w:t>
            </w:r>
            <w:r w:rsidRPr="003341D9">
              <w:rPr>
                <w:rFonts w:eastAsia="Times New Roman"/>
                <w:b/>
                <w:bCs/>
                <w:color w:val="000000"/>
                <w:sz w:val="20"/>
                <w:szCs w:val="16"/>
              </w:rPr>
              <w:t xml:space="preserve">,644 </w:t>
            </w:r>
          </w:p>
        </w:tc>
        <w:tc>
          <w:tcPr>
            <w:tcW w:w="1089" w:type="dxa"/>
            <w:tcBorders>
              <w:top w:val="nil"/>
              <w:left w:val="nil"/>
              <w:bottom w:val="single" w:sz="8" w:space="0" w:color="auto"/>
              <w:right w:val="single" w:sz="8" w:space="0" w:color="auto"/>
            </w:tcBorders>
            <w:shd w:val="clear" w:color="000000" w:fill="9BBB59"/>
            <w:noWrap/>
            <w:vAlign w:val="center"/>
            <w:hideMark/>
          </w:tcPr>
          <w:p w14:paraId="11F3F75F" w14:textId="62702836" w:rsidR="00DD755D" w:rsidRPr="003341D9" w:rsidRDefault="00DD755D" w:rsidP="00387D47">
            <w:pPr>
              <w:spacing w:after="0"/>
              <w:jc w:val="center"/>
              <w:rPr>
                <w:rFonts w:eastAsia="Times New Roman"/>
                <w:b/>
                <w:bCs/>
                <w:color w:val="000000"/>
                <w:sz w:val="20"/>
                <w:szCs w:val="16"/>
              </w:rPr>
            </w:pPr>
            <w:r w:rsidRPr="003341D9">
              <w:rPr>
                <w:rFonts w:eastAsia="Times New Roman"/>
                <w:b/>
                <w:bCs/>
                <w:color w:val="000000"/>
                <w:sz w:val="20"/>
                <w:szCs w:val="16"/>
              </w:rPr>
              <w:t>4,</w:t>
            </w:r>
            <w:r w:rsidR="00387D47">
              <w:rPr>
                <w:rFonts w:eastAsia="Times New Roman"/>
                <w:b/>
                <w:bCs/>
                <w:color w:val="000000"/>
                <w:sz w:val="20"/>
                <w:szCs w:val="16"/>
              </w:rPr>
              <w:t>8</w:t>
            </w:r>
            <w:r w:rsidR="00387D47" w:rsidRPr="003341D9">
              <w:rPr>
                <w:rFonts w:eastAsia="Times New Roman"/>
                <w:b/>
                <w:bCs/>
                <w:color w:val="000000"/>
                <w:sz w:val="20"/>
                <w:szCs w:val="16"/>
              </w:rPr>
              <w:t>40</w:t>
            </w:r>
            <w:r w:rsidRPr="003341D9">
              <w:rPr>
                <w:rFonts w:eastAsia="Times New Roman"/>
                <w:b/>
                <w:bCs/>
                <w:color w:val="000000"/>
                <w:sz w:val="20"/>
                <w:szCs w:val="16"/>
              </w:rPr>
              <w:t xml:space="preserve">,145 </w:t>
            </w:r>
          </w:p>
        </w:tc>
        <w:tc>
          <w:tcPr>
            <w:tcW w:w="1248" w:type="dxa"/>
            <w:tcBorders>
              <w:top w:val="nil"/>
              <w:left w:val="nil"/>
              <w:bottom w:val="single" w:sz="8" w:space="0" w:color="auto"/>
              <w:right w:val="single" w:sz="8" w:space="0" w:color="auto"/>
            </w:tcBorders>
            <w:shd w:val="clear" w:color="000000" w:fill="9BBB59"/>
            <w:noWrap/>
            <w:vAlign w:val="center"/>
            <w:hideMark/>
          </w:tcPr>
          <w:p w14:paraId="5765B2EE" w14:textId="03C3994E" w:rsidR="00DD755D" w:rsidRPr="003341D9" w:rsidRDefault="00DD755D" w:rsidP="00387D47">
            <w:pPr>
              <w:spacing w:after="0"/>
              <w:jc w:val="center"/>
              <w:rPr>
                <w:rFonts w:eastAsia="Times New Roman"/>
                <w:b/>
                <w:bCs/>
                <w:color w:val="000000"/>
                <w:sz w:val="20"/>
                <w:szCs w:val="16"/>
              </w:rPr>
            </w:pPr>
            <w:r w:rsidRPr="003341D9">
              <w:rPr>
                <w:rFonts w:eastAsia="Times New Roman"/>
                <w:b/>
                <w:bCs/>
                <w:color w:val="000000"/>
                <w:sz w:val="20"/>
                <w:szCs w:val="16"/>
              </w:rPr>
              <w:t>4,</w:t>
            </w:r>
            <w:r w:rsidR="00387D47">
              <w:rPr>
                <w:rFonts w:eastAsia="Times New Roman"/>
                <w:b/>
                <w:bCs/>
                <w:color w:val="000000"/>
                <w:sz w:val="20"/>
                <w:szCs w:val="16"/>
              </w:rPr>
              <w:t>2</w:t>
            </w:r>
            <w:r w:rsidR="00387D47" w:rsidRPr="003341D9">
              <w:rPr>
                <w:rFonts w:eastAsia="Times New Roman"/>
                <w:b/>
                <w:bCs/>
                <w:color w:val="000000"/>
                <w:sz w:val="20"/>
                <w:szCs w:val="16"/>
              </w:rPr>
              <w:t>82</w:t>
            </w:r>
            <w:r w:rsidRPr="003341D9">
              <w:rPr>
                <w:rFonts w:eastAsia="Times New Roman"/>
                <w:b/>
                <w:bCs/>
                <w:color w:val="000000"/>
                <w:sz w:val="20"/>
                <w:szCs w:val="16"/>
              </w:rPr>
              <w:t xml:space="preserve">,146 </w:t>
            </w:r>
          </w:p>
        </w:tc>
        <w:tc>
          <w:tcPr>
            <w:tcW w:w="1579" w:type="dxa"/>
            <w:tcBorders>
              <w:top w:val="nil"/>
              <w:left w:val="nil"/>
              <w:bottom w:val="single" w:sz="8" w:space="0" w:color="auto"/>
              <w:right w:val="single" w:sz="8" w:space="0" w:color="auto"/>
            </w:tcBorders>
            <w:shd w:val="clear" w:color="000000" w:fill="9BBB59"/>
            <w:noWrap/>
            <w:vAlign w:val="center"/>
            <w:hideMark/>
          </w:tcPr>
          <w:p w14:paraId="738E2FDF" w14:textId="01DCF837" w:rsidR="00DD755D" w:rsidRPr="003341D9" w:rsidRDefault="00DD755D" w:rsidP="00387D47">
            <w:pPr>
              <w:spacing w:after="0"/>
              <w:jc w:val="center"/>
              <w:rPr>
                <w:rFonts w:eastAsia="Times New Roman"/>
                <w:b/>
                <w:bCs/>
                <w:color w:val="000000"/>
                <w:sz w:val="20"/>
                <w:szCs w:val="16"/>
              </w:rPr>
            </w:pPr>
            <w:r w:rsidRPr="003341D9">
              <w:rPr>
                <w:rFonts w:eastAsia="Times New Roman"/>
                <w:b/>
                <w:bCs/>
                <w:color w:val="000000"/>
                <w:sz w:val="20"/>
                <w:szCs w:val="16"/>
              </w:rPr>
              <w:t>4,</w:t>
            </w:r>
            <w:r w:rsidR="00387D47">
              <w:rPr>
                <w:rFonts w:eastAsia="Times New Roman"/>
                <w:b/>
                <w:bCs/>
                <w:color w:val="000000"/>
                <w:sz w:val="20"/>
                <w:szCs w:val="16"/>
              </w:rPr>
              <w:t>7</w:t>
            </w:r>
            <w:r w:rsidR="00387D47" w:rsidRPr="003341D9">
              <w:rPr>
                <w:rFonts w:eastAsia="Times New Roman"/>
                <w:b/>
                <w:bCs/>
                <w:color w:val="000000"/>
                <w:sz w:val="20"/>
                <w:szCs w:val="16"/>
              </w:rPr>
              <w:t>27</w:t>
            </w:r>
            <w:r w:rsidRPr="003341D9">
              <w:rPr>
                <w:rFonts w:eastAsia="Times New Roman"/>
                <w:b/>
                <w:bCs/>
                <w:color w:val="000000"/>
                <w:sz w:val="20"/>
                <w:szCs w:val="16"/>
              </w:rPr>
              <w:t xml:space="preserve">,146 </w:t>
            </w:r>
          </w:p>
        </w:tc>
        <w:tc>
          <w:tcPr>
            <w:tcW w:w="1220" w:type="dxa"/>
            <w:tcBorders>
              <w:top w:val="nil"/>
              <w:left w:val="nil"/>
              <w:bottom w:val="single" w:sz="8" w:space="0" w:color="auto"/>
              <w:right w:val="single" w:sz="8" w:space="0" w:color="auto"/>
            </w:tcBorders>
            <w:shd w:val="clear" w:color="000000" w:fill="9BBB59"/>
            <w:noWrap/>
            <w:vAlign w:val="center"/>
            <w:hideMark/>
          </w:tcPr>
          <w:p w14:paraId="30CF6EEE" w14:textId="77777777" w:rsidR="00DD755D" w:rsidRPr="003341D9" w:rsidRDefault="00DD755D" w:rsidP="00D32FA2">
            <w:pPr>
              <w:spacing w:after="0"/>
              <w:jc w:val="center"/>
              <w:rPr>
                <w:rFonts w:eastAsia="Times New Roman"/>
                <w:b/>
                <w:bCs/>
                <w:color w:val="000000"/>
                <w:sz w:val="20"/>
                <w:szCs w:val="16"/>
              </w:rPr>
            </w:pPr>
            <w:r w:rsidRPr="003341D9">
              <w:rPr>
                <w:rFonts w:eastAsia="Times New Roman"/>
                <w:b/>
                <w:bCs/>
                <w:color w:val="000000"/>
                <w:sz w:val="20"/>
                <w:szCs w:val="16"/>
              </w:rPr>
              <w:t xml:space="preserve">4,394,645 </w:t>
            </w:r>
          </w:p>
        </w:tc>
        <w:tc>
          <w:tcPr>
            <w:tcW w:w="1209" w:type="dxa"/>
            <w:tcBorders>
              <w:top w:val="nil"/>
              <w:left w:val="nil"/>
              <w:bottom w:val="single" w:sz="8" w:space="0" w:color="auto"/>
              <w:right w:val="single" w:sz="8" w:space="0" w:color="auto"/>
            </w:tcBorders>
            <w:shd w:val="clear" w:color="000000" w:fill="9BBB59"/>
            <w:noWrap/>
            <w:vAlign w:val="center"/>
            <w:hideMark/>
          </w:tcPr>
          <w:p w14:paraId="20DF701D" w14:textId="5E42DDDB" w:rsidR="00DD755D" w:rsidRPr="003341D9" w:rsidRDefault="00DD755D" w:rsidP="00D32FA2">
            <w:pPr>
              <w:spacing w:after="0"/>
              <w:jc w:val="center"/>
              <w:rPr>
                <w:rFonts w:eastAsia="Times New Roman"/>
                <w:b/>
                <w:bCs/>
                <w:color w:val="000000"/>
                <w:sz w:val="20"/>
                <w:szCs w:val="16"/>
              </w:rPr>
            </w:pPr>
            <w:r w:rsidRPr="003341D9">
              <w:rPr>
                <w:rFonts w:eastAsia="Times New Roman"/>
                <w:b/>
                <w:bCs/>
                <w:color w:val="000000"/>
                <w:sz w:val="20"/>
                <w:szCs w:val="16"/>
              </w:rPr>
              <w:t xml:space="preserve"> 26,</w:t>
            </w:r>
            <w:r w:rsidR="00387D47">
              <w:rPr>
                <w:rFonts w:eastAsia="Times New Roman"/>
                <w:b/>
                <w:bCs/>
                <w:color w:val="000000"/>
                <w:sz w:val="20"/>
                <w:szCs w:val="16"/>
              </w:rPr>
              <w:t>9</w:t>
            </w:r>
            <w:r w:rsidRPr="003341D9">
              <w:rPr>
                <w:rFonts w:eastAsia="Times New Roman"/>
                <w:b/>
                <w:bCs/>
                <w:color w:val="000000"/>
                <w:sz w:val="20"/>
                <w:szCs w:val="16"/>
              </w:rPr>
              <w:t xml:space="preserve">04,868 </w:t>
            </w:r>
          </w:p>
        </w:tc>
      </w:tr>
    </w:tbl>
    <w:p w14:paraId="4DA12B33" w14:textId="77777777" w:rsidR="00DD755D" w:rsidRDefault="00DD755D" w:rsidP="00DD755D">
      <w:pPr>
        <w:spacing w:after="0"/>
        <w:rPr>
          <w:rFonts w:ascii="Cambria" w:hAnsi="Cambria"/>
          <w:sz w:val="18"/>
          <w:szCs w:val="18"/>
        </w:rPr>
      </w:pPr>
    </w:p>
    <w:p w14:paraId="3B032B87" w14:textId="77777777" w:rsidR="00DD755D" w:rsidRDefault="00DD755D" w:rsidP="00DD755D">
      <w:pPr>
        <w:spacing w:after="0"/>
        <w:rPr>
          <w:i/>
          <w:szCs w:val="20"/>
        </w:rPr>
      </w:pPr>
    </w:p>
    <w:p w14:paraId="1BF01248" w14:textId="77777777" w:rsidR="00EA4043" w:rsidRDefault="00EA4043" w:rsidP="00DD755D">
      <w:pPr>
        <w:spacing w:after="0"/>
        <w:rPr>
          <w:i/>
          <w:szCs w:val="20"/>
        </w:rPr>
      </w:pPr>
    </w:p>
    <w:p w14:paraId="63FA05D5" w14:textId="77777777" w:rsidR="00EA4043" w:rsidRDefault="00EA4043" w:rsidP="00DD755D">
      <w:pPr>
        <w:spacing w:after="0"/>
        <w:rPr>
          <w:i/>
          <w:szCs w:val="20"/>
        </w:rPr>
      </w:pPr>
    </w:p>
    <w:p w14:paraId="09BEA6A2" w14:textId="77777777" w:rsidR="00EA4043" w:rsidRDefault="00EA4043" w:rsidP="00DD755D">
      <w:pPr>
        <w:spacing w:after="0"/>
        <w:rPr>
          <w:i/>
          <w:szCs w:val="20"/>
        </w:rPr>
      </w:pPr>
    </w:p>
    <w:p w14:paraId="720B37B1" w14:textId="77777777" w:rsidR="00EA4043" w:rsidRDefault="00EA4043" w:rsidP="00DD755D">
      <w:pPr>
        <w:spacing w:after="0"/>
        <w:rPr>
          <w:i/>
          <w:szCs w:val="20"/>
        </w:rPr>
      </w:pPr>
    </w:p>
    <w:p w14:paraId="33646CE6" w14:textId="77777777" w:rsidR="00EA4043" w:rsidRDefault="00EA4043" w:rsidP="00DD755D">
      <w:pPr>
        <w:spacing w:after="0"/>
        <w:rPr>
          <w:i/>
          <w:szCs w:val="20"/>
        </w:rPr>
      </w:pPr>
    </w:p>
    <w:p w14:paraId="2EB2871A" w14:textId="77777777" w:rsidR="00EA4043" w:rsidRDefault="00EA4043" w:rsidP="00DD755D">
      <w:pPr>
        <w:spacing w:after="0"/>
        <w:rPr>
          <w:i/>
          <w:szCs w:val="20"/>
        </w:rPr>
      </w:pPr>
    </w:p>
    <w:p w14:paraId="11F5B83B" w14:textId="77777777" w:rsidR="00EA4043" w:rsidRDefault="00EA4043" w:rsidP="00DD755D">
      <w:pPr>
        <w:spacing w:after="0"/>
        <w:rPr>
          <w:i/>
          <w:szCs w:val="20"/>
        </w:rPr>
      </w:pPr>
    </w:p>
    <w:p w14:paraId="1AA9635D" w14:textId="77777777" w:rsidR="00EA4043" w:rsidRDefault="00EA4043" w:rsidP="00DD755D">
      <w:pPr>
        <w:spacing w:after="0"/>
        <w:rPr>
          <w:i/>
          <w:szCs w:val="20"/>
        </w:rPr>
      </w:pPr>
    </w:p>
    <w:p w14:paraId="6F55958A" w14:textId="77777777" w:rsidR="00EA4043" w:rsidRDefault="00EA4043" w:rsidP="00DD755D">
      <w:pPr>
        <w:spacing w:after="0"/>
        <w:rPr>
          <w:i/>
          <w:szCs w:val="20"/>
        </w:rPr>
      </w:pPr>
    </w:p>
    <w:p w14:paraId="03A9B862" w14:textId="77777777" w:rsidR="00DD755D" w:rsidRPr="00272963" w:rsidRDefault="00DD755D" w:rsidP="00DD755D">
      <w:pPr>
        <w:spacing w:after="0"/>
        <w:rPr>
          <w:i/>
          <w:szCs w:val="20"/>
        </w:rPr>
      </w:pPr>
      <w:r w:rsidRPr="006722B1">
        <w:rPr>
          <w:rFonts w:ascii="Cambria" w:hAnsi="Cambria"/>
          <w:sz w:val="18"/>
          <w:szCs w:val="18"/>
        </w:rPr>
        <w:t>Budget notes:</w:t>
      </w:r>
    </w:p>
    <w:tbl>
      <w:tblPr>
        <w:tblW w:w="143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13860"/>
      </w:tblGrid>
      <w:tr w:rsidR="00DD755D" w:rsidRPr="00FC1173" w14:paraId="0282C51B" w14:textId="77777777" w:rsidTr="00D32FA2">
        <w:trPr>
          <w:trHeight w:val="503"/>
        </w:trPr>
        <w:tc>
          <w:tcPr>
            <w:tcW w:w="450" w:type="dxa"/>
            <w:shd w:val="clear" w:color="auto" w:fill="auto"/>
            <w:vAlign w:val="center"/>
            <w:hideMark/>
          </w:tcPr>
          <w:p w14:paraId="21132F04" w14:textId="77777777" w:rsidR="00DD755D" w:rsidRPr="00FC1173" w:rsidRDefault="00DD755D" w:rsidP="00D32FA2">
            <w:pPr>
              <w:spacing w:after="0"/>
              <w:jc w:val="center"/>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1</w:t>
            </w:r>
          </w:p>
        </w:tc>
        <w:tc>
          <w:tcPr>
            <w:tcW w:w="13860" w:type="dxa"/>
            <w:shd w:val="clear" w:color="auto" w:fill="auto"/>
            <w:vAlign w:val="center"/>
          </w:tcPr>
          <w:p w14:paraId="77FF74C1" w14:textId="77777777" w:rsidR="00DD755D" w:rsidRPr="00FC1173" w:rsidRDefault="00DD755D" w:rsidP="00D32FA2">
            <w:pPr>
              <w:spacing w:after="0"/>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Fees for international consultants/expert recruited by MNRET to:</w:t>
            </w:r>
          </w:p>
          <w:p w14:paraId="1E2F1B2F" w14:textId="77777777" w:rsidR="00DD755D" w:rsidRPr="00FC1173" w:rsidRDefault="00DD755D" w:rsidP="00D17561">
            <w:pPr>
              <w:pStyle w:val="ListParagraph"/>
              <w:numPr>
                <w:ilvl w:val="0"/>
                <w:numId w:val="117"/>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Strategic Environmental Assessment (SEA) process developed and integrated with EA/EIS process at EQPB (Combined with Outputs 1.2, 2.1, and 3.1) , (Approximately 4 MM in Years 3-4) = $50,000</w:t>
            </w:r>
          </w:p>
          <w:p w14:paraId="10329259" w14:textId="77777777" w:rsidR="00DD755D" w:rsidRPr="00FC1173" w:rsidRDefault="00DD755D" w:rsidP="00D17561">
            <w:pPr>
              <w:pStyle w:val="ListParagraph"/>
              <w:numPr>
                <w:ilvl w:val="0"/>
                <w:numId w:val="117"/>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Serve as Senior Advisor to Local Land Use Planning Facilitator, plus develop: Guidelines, standardized framework, and templates for the elaboration of the landscape/seascape  plans and elaboration of minimum standards and operational guidelines, at the landscape/seascape level, to manage activities in the 5 key sectors (Approximately 7 MM over Years 1-3) = $80,000</w:t>
            </w:r>
          </w:p>
          <w:p w14:paraId="7F25239D" w14:textId="77777777" w:rsidR="00DD755D" w:rsidRPr="00FC1173" w:rsidRDefault="00DD755D" w:rsidP="00D17561">
            <w:pPr>
              <w:pStyle w:val="ListParagraph"/>
              <w:numPr>
                <w:ilvl w:val="0"/>
                <w:numId w:val="117"/>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Develop a protocol to improve the PALARIS database, including minimum standards for GIS data, aligned with the landscape/seascape planning process; and Identify and improve coordination of existing landscape/seascape data (Combined with Output 4.3) (approx. 1.5 MM in Year 2) = $18,000</w:t>
            </w:r>
          </w:p>
          <w:p w14:paraId="4ED44295" w14:textId="77777777" w:rsidR="00DD755D" w:rsidRPr="00FC1173" w:rsidRDefault="00DD755D" w:rsidP="00D17561">
            <w:pPr>
              <w:pStyle w:val="ListParagraph"/>
              <w:numPr>
                <w:ilvl w:val="0"/>
                <w:numId w:val="117"/>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Draft the NISSAP, including to develop and implement specific protocols for risk assessments for proposed species importation (risk assessments should be funded by the importer and conducted by topical experts selected by BOA); including black and white lists; Develop protocols for new biosecurity regulations, policies, etc. including specific elements to address marine biosecurity including hull inspection and treatment options; protocols for addressing novel species at ports (Approx 5 MM in Years 1-2) = $70,000.</w:t>
            </w:r>
          </w:p>
          <w:p w14:paraId="400B3468" w14:textId="1CC80BAC" w:rsidR="00DD755D" w:rsidRPr="00FC1173" w:rsidRDefault="00DD755D" w:rsidP="00D17561">
            <w:pPr>
              <w:pStyle w:val="ListParagraph"/>
              <w:numPr>
                <w:ilvl w:val="0"/>
                <w:numId w:val="117"/>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Develop national-state EDRR strategy (including monitoring, outreach, linkages to regional resources, reporting mechanisms, interview forms, response capacitation, personnel to be trained and specif</w:t>
            </w:r>
            <w:r w:rsidR="00A37488">
              <w:rPr>
                <w:rFonts w:asciiTheme="majorHAnsi" w:eastAsia="Times New Roman" w:hAnsiTheme="majorHAnsi"/>
                <w:color w:val="000000"/>
                <w:sz w:val="16"/>
                <w:szCs w:val="16"/>
              </w:rPr>
              <w:t>i</w:t>
            </w:r>
            <w:r w:rsidRPr="00FC1173">
              <w:rPr>
                <w:rFonts w:asciiTheme="majorHAnsi" w:eastAsia="Times New Roman" w:hAnsiTheme="majorHAnsi"/>
                <w:color w:val="000000"/>
                <w:sz w:val="16"/>
                <w:szCs w:val="16"/>
              </w:rPr>
              <w:t xml:space="preserve">c training needs); this will include updating existing ERPs as well as developing generic ERPs for terrestrial, freshwater and marine systems (Approx 4 MM in Year 2) = $45,000 </w:t>
            </w:r>
          </w:p>
          <w:p w14:paraId="08E6514D" w14:textId="77777777" w:rsidR="00DD755D" w:rsidRPr="00FC1173" w:rsidRDefault="00DD755D" w:rsidP="00D17561">
            <w:pPr>
              <w:pStyle w:val="ListParagraph"/>
              <w:numPr>
                <w:ilvl w:val="0"/>
                <w:numId w:val="117"/>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 xml:space="preserve">Develop/Improve Biosecurity Cost Recovery mechanisms with both policy and regulations (including fees that would specifically support EDRR and marine biosecurity inspections) (Combined with other financial analysis in Output 2.2) (Approx 2.5 MM in Years 1-2) = $50,000. </w:t>
            </w:r>
          </w:p>
          <w:p w14:paraId="06C9B072" w14:textId="77777777" w:rsidR="00DD755D" w:rsidRPr="00FC1173" w:rsidRDefault="00DD755D" w:rsidP="00D32FA2">
            <w:pPr>
              <w:pStyle w:val="ListParagraph"/>
              <w:rPr>
                <w:rFonts w:asciiTheme="majorHAnsi" w:eastAsia="Times New Roman" w:hAnsiTheme="majorHAnsi"/>
                <w:color w:val="000000"/>
                <w:sz w:val="16"/>
                <w:szCs w:val="16"/>
              </w:rPr>
            </w:pPr>
          </w:p>
        </w:tc>
      </w:tr>
      <w:tr w:rsidR="00DD755D" w:rsidRPr="00FC1173" w14:paraId="32165B86" w14:textId="77777777" w:rsidTr="00D32FA2">
        <w:trPr>
          <w:trHeight w:val="503"/>
        </w:trPr>
        <w:tc>
          <w:tcPr>
            <w:tcW w:w="450" w:type="dxa"/>
            <w:shd w:val="clear" w:color="auto" w:fill="auto"/>
            <w:vAlign w:val="center"/>
            <w:hideMark/>
          </w:tcPr>
          <w:p w14:paraId="6DD05F6B" w14:textId="77777777" w:rsidR="00DD755D" w:rsidRPr="00FC1173" w:rsidRDefault="00DD755D" w:rsidP="00D32FA2">
            <w:pPr>
              <w:spacing w:after="0"/>
              <w:jc w:val="center"/>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2</w:t>
            </w:r>
          </w:p>
        </w:tc>
        <w:tc>
          <w:tcPr>
            <w:tcW w:w="13860" w:type="dxa"/>
            <w:shd w:val="clear" w:color="auto" w:fill="auto"/>
            <w:vAlign w:val="center"/>
          </w:tcPr>
          <w:p w14:paraId="6DE97811" w14:textId="77777777" w:rsidR="00DD755D" w:rsidRPr="00FC1173" w:rsidRDefault="00DD755D" w:rsidP="00D32FA2">
            <w:pPr>
              <w:spacing w:after="0"/>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Cost of hiring National Consultants for:</w:t>
            </w:r>
          </w:p>
          <w:p w14:paraId="30B0202F" w14:textId="77777777" w:rsidR="00DD755D" w:rsidRPr="00FC1173" w:rsidRDefault="00DD755D" w:rsidP="00D17561">
            <w:pPr>
              <w:pStyle w:val="ListParagraph"/>
              <w:numPr>
                <w:ilvl w:val="0"/>
                <w:numId w:val="121"/>
              </w:numPr>
              <w:contextualSpacing/>
              <w:jc w:val="both"/>
              <w:rPr>
                <w:rFonts w:asciiTheme="majorHAnsi" w:eastAsia="Times New Roman" w:hAnsiTheme="majorHAnsi"/>
                <w:color w:val="000000"/>
                <w:sz w:val="16"/>
                <w:szCs w:val="16"/>
              </w:rPr>
            </w:pPr>
            <w:r>
              <w:rPr>
                <w:rFonts w:asciiTheme="majorHAnsi" w:eastAsia="Times New Roman" w:hAnsiTheme="majorHAnsi"/>
                <w:color w:val="000000"/>
                <w:sz w:val="16"/>
                <w:szCs w:val="16"/>
              </w:rPr>
              <w:t xml:space="preserve">Establishing and leading the Environmental Planning Unit (EPU) as its first </w:t>
            </w:r>
            <w:r w:rsidRPr="00FC1173">
              <w:rPr>
                <w:rFonts w:asciiTheme="majorHAnsi" w:eastAsia="Times New Roman" w:hAnsiTheme="majorHAnsi"/>
                <w:color w:val="000000"/>
                <w:sz w:val="16"/>
                <w:szCs w:val="16"/>
              </w:rPr>
              <w:t xml:space="preserve">EPU Coordinator </w:t>
            </w:r>
            <w:r>
              <w:rPr>
                <w:rFonts w:asciiTheme="majorHAnsi" w:eastAsia="Times New Roman" w:hAnsiTheme="majorHAnsi"/>
                <w:color w:val="000000"/>
                <w:sz w:val="16"/>
                <w:szCs w:val="16"/>
              </w:rPr>
              <w:t xml:space="preserve">and acting </w:t>
            </w:r>
            <w:r w:rsidRPr="00FC1173">
              <w:rPr>
                <w:rFonts w:asciiTheme="majorHAnsi" w:eastAsia="Times New Roman" w:hAnsiTheme="majorHAnsi"/>
                <w:color w:val="000000"/>
                <w:sz w:val="16"/>
                <w:szCs w:val="16"/>
              </w:rPr>
              <w:t>as the Secretariat for JCB. Total amount will be increasingly co-financed by other grants and/or MNRET, especially after the Bureau of Environment is established and funded as part of the Government’s operating structure. (Total amount declines per year, starting at $30,000 in Year 1 and ending at $14,000 in Year 5 (fully co-financed in Year 6)) = $109,000</w:t>
            </w:r>
          </w:p>
          <w:p w14:paraId="6FCF763A" w14:textId="77777777" w:rsidR="00DD755D" w:rsidRPr="00FC1173" w:rsidRDefault="00DD755D" w:rsidP="00D17561">
            <w:pPr>
              <w:pStyle w:val="ListParagraph"/>
              <w:numPr>
                <w:ilvl w:val="0"/>
                <w:numId w:val="121"/>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Developing a framework and legal procedure to discuss and approve the landscape/seascape plans at the inter-institutional level (national and state levels), under the JCB (Year 3) = $10,000</w:t>
            </w:r>
          </w:p>
          <w:p w14:paraId="04F77008" w14:textId="77777777" w:rsidR="00DD755D" w:rsidRDefault="00DD755D" w:rsidP="00D17561">
            <w:pPr>
              <w:pStyle w:val="ListParagraph"/>
              <w:numPr>
                <w:ilvl w:val="0"/>
                <w:numId w:val="121"/>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Developing and pilot Green Certification program criteria and launch program (Year 1) = $20,000</w:t>
            </w:r>
          </w:p>
          <w:p w14:paraId="2391982F" w14:textId="77777777" w:rsidR="00DD755D" w:rsidRPr="00FC1173" w:rsidRDefault="00DD755D" w:rsidP="00D17561">
            <w:pPr>
              <w:pStyle w:val="ListParagraph"/>
              <w:numPr>
                <w:ilvl w:val="0"/>
                <w:numId w:val="121"/>
              </w:numPr>
              <w:contextualSpacing/>
              <w:jc w:val="both"/>
              <w:rPr>
                <w:rFonts w:asciiTheme="majorHAnsi" w:eastAsia="Times New Roman" w:hAnsiTheme="majorHAnsi"/>
                <w:color w:val="000000"/>
                <w:sz w:val="16"/>
                <w:szCs w:val="16"/>
              </w:rPr>
            </w:pPr>
            <w:r>
              <w:rPr>
                <w:rFonts w:asciiTheme="majorHAnsi" w:eastAsia="Times New Roman" w:hAnsiTheme="majorHAnsi"/>
                <w:color w:val="000000"/>
                <w:sz w:val="16"/>
                <w:szCs w:val="16"/>
              </w:rPr>
              <w:t>Improving the functioning of the</w:t>
            </w:r>
            <w:r w:rsidRPr="00FC1173">
              <w:rPr>
                <w:rFonts w:asciiTheme="majorHAnsi" w:eastAsia="Times New Roman" w:hAnsiTheme="majorHAnsi"/>
                <w:color w:val="000000"/>
                <w:sz w:val="16"/>
                <w:szCs w:val="16"/>
              </w:rPr>
              <w:t xml:space="preserve"> National Invasive Species Coordination Office (NISCO) </w:t>
            </w:r>
            <w:r>
              <w:rPr>
                <w:rFonts w:asciiTheme="majorHAnsi" w:eastAsia="Times New Roman" w:hAnsiTheme="majorHAnsi"/>
                <w:color w:val="000000"/>
                <w:sz w:val="16"/>
                <w:szCs w:val="16"/>
              </w:rPr>
              <w:t xml:space="preserve">(including coordination and resource management) </w:t>
            </w:r>
            <w:r w:rsidRPr="00FC1173">
              <w:rPr>
                <w:rFonts w:asciiTheme="majorHAnsi" w:eastAsia="Times New Roman" w:hAnsiTheme="majorHAnsi"/>
                <w:color w:val="000000"/>
                <w:sz w:val="16"/>
                <w:szCs w:val="16"/>
              </w:rPr>
              <w:t xml:space="preserve">(by year 3 </w:t>
            </w:r>
            <w:r>
              <w:rPr>
                <w:rFonts w:asciiTheme="majorHAnsi" w:eastAsia="Times New Roman" w:hAnsiTheme="majorHAnsi"/>
                <w:color w:val="000000"/>
                <w:sz w:val="16"/>
                <w:szCs w:val="16"/>
              </w:rPr>
              <w:t>these costs</w:t>
            </w:r>
            <w:r w:rsidRPr="00FC1173">
              <w:rPr>
                <w:rFonts w:asciiTheme="majorHAnsi" w:eastAsia="Times New Roman" w:hAnsiTheme="majorHAnsi"/>
                <w:color w:val="000000"/>
                <w:sz w:val="16"/>
                <w:szCs w:val="16"/>
              </w:rPr>
              <w:t xml:space="preserve"> should be supported by internal mechanisms) ($15,000 per year x 2 years) (Years 1-2) = $30,000.</w:t>
            </w:r>
          </w:p>
          <w:p w14:paraId="2387FC2C" w14:textId="77777777" w:rsidR="00DD755D" w:rsidRPr="00FC1173" w:rsidRDefault="00DD755D" w:rsidP="00D17561">
            <w:pPr>
              <w:pStyle w:val="ListParagraph"/>
              <w:numPr>
                <w:ilvl w:val="0"/>
                <w:numId w:val="121"/>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Developing national framework for inter-state/inter-island biosecurity that details how national-state mechanisms work and where oversight sits; with standardized roles (Year 2) = $12,000</w:t>
            </w:r>
          </w:p>
          <w:p w14:paraId="32E1E732" w14:textId="77777777" w:rsidR="00DD755D" w:rsidRPr="00FC1173" w:rsidRDefault="00DD755D" w:rsidP="00D17561">
            <w:pPr>
              <w:pStyle w:val="ListParagraph"/>
              <w:numPr>
                <w:ilvl w:val="0"/>
                <w:numId w:val="121"/>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Developing guidelines and best practices for use of native species for landscaping, aquaculture, agriculture and forestry (Combined with Output 2.3) (Year 3) = $5,000</w:t>
            </w:r>
          </w:p>
          <w:p w14:paraId="1F6F4062" w14:textId="77777777" w:rsidR="00DD755D" w:rsidRPr="00FC1173" w:rsidRDefault="00DD755D" w:rsidP="00D17561">
            <w:pPr>
              <w:pStyle w:val="ListParagraph"/>
              <w:numPr>
                <w:ilvl w:val="0"/>
                <w:numId w:val="121"/>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Developing national reporting hotline and go live (capacitation for use will be part of the EDRR training listed separately) (Year 3) = $10,000</w:t>
            </w:r>
          </w:p>
          <w:p w14:paraId="0A05B391" w14:textId="77777777" w:rsidR="00DD755D" w:rsidRPr="00FC1173" w:rsidRDefault="00DD755D" w:rsidP="00D17561">
            <w:pPr>
              <w:pStyle w:val="ListParagraph"/>
              <w:numPr>
                <w:ilvl w:val="0"/>
                <w:numId w:val="121"/>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Developing and implement an online reporting mechanism (or app) (Year 3) = $10,000</w:t>
            </w:r>
          </w:p>
          <w:p w14:paraId="17C66B7D" w14:textId="77777777" w:rsidR="00DD755D" w:rsidRPr="00FC1173" w:rsidRDefault="00DD755D" w:rsidP="00D17561">
            <w:pPr>
              <w:pStyle w:val="ListParagraph"/>
              <w:numPr>
                <w:ilvl w:val="0"/>
                <w:numId w:val="121"/>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National review of monitoring, surveillance, and enforcement systems and capacities across national and state offices, including needs; including in regards to Biosecurity needs and capacity (Year 2) = $15,000</w:t>
            </w:r>
          </w:p>
        </w:tc>
      </w:tr>
      <w:tr w:rsidR="00DD755D" w:rsidRPr="00FC1173" w14:paraId="7BA655DD" w14:textId="77777777" w:rsidTr="00D32FA2">
        <w:trPr>
          <w:trHeight w:val="300"/>
        </w:trPr>
        <w:tc>
          <w:tcPr>
            <w:tcW w:w="450" w:type="dxa"/>
            <w:shd w:val="clear" w:color="auto" w:fill="auto"/>
            <w:vAlign w:val="center"/>
            <w:hideMark/>
          </w:tcPr>
          <w:p w14:paraId="1EC1F79A" w14:textId="77777777" w:rsidR="00DD755D" w:rsidRPr="00FC1173" w:rsidRDefault="00DD755D" w:rsidP="00D32FA2">
            <w:pPr>
              <w:spacing w:after="0"/>
              <w:jc w:val="center"/>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3</w:t>
            </w:r>
          </w:p>
        </w:tc>
        <w:tc>
          <w:tcPr>
            <w:tcW w:w="13860" w:type="dxa"/>
            <w:shd w:val="clear" w:color="auto" w:fill="auto"/>
            <w:vAlign w:val="center"/>
          </w:tcPr>
          <w:p w14:paraId="12449335" w14:textId="77777777" w:rsidR="00DD755D" w:rsidRPr="00FC1173" w:rsidRDefault="00DD755D" w:rsidP="00D32FA2">
            <w:pPr>
              <w:spacing w:after="0"/>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Following government procurement protocols to contract law firms, NGOs, or companies to:</w:t>
            </w:r>
          </w:p>
          <w:p w14:paraId="6BD01DEF" w14:textId="77777777" w:rsidR="00DD755D" w:rsidRPr="00FC1173" w:rsidRDefault="00DD755D" w:rsidP="00D17561">
            <w:pPr>
              <w:pStyle w:val="ListParagraph"/>
              <w:numPr>
                <w:ilvl w:val="0"/>
                <w:numId w:val="122"/>
              </w:numPr>
              <w:contextualSpacing/>
              <w:jc w:val="both"/>
              <w:rPr>
                <w:rFonts w:asciiTheme="majorHAnsi" w:eastAsia="Times New Roman" w:hAnsiTheme="majorHAnsi"/>
                <w:color w:val="000000"/>
                <w:sz w:val="16"/>
                <w:szCs w:val="16"/>
              </w:rPr>
            </w:pPr>
            <w:r>
              <w:rPr>
                <w:rFonts w:asciiTheme="majorHAnsi" w:eastAsia="Times New Roman" w:hAnsiTheme="majorHAnsi"/>
                <w:color w:val="000000"/>
                <w:sz w:val="16"/>
                <w:szCs w:val="16"/>
              </w:rPr>
              <w:t>I</w:t>
            </w:r>
            <w:r w:rsidRPr="00FC1173">
              <w:rPr>
                <w:rFonts w:asciiTheme="majorHAnsi" w:eastAsia="Times New Roman" w:hAnsiTheme="majorHAnsi"/>
                <w:color w:val="000000"/>
                <w:sz w:val="16"/>
                <w:szCs w:val="16"/>
              </w:rPr>
              <w:t>ntegrate EQPB activities (e.g. monitoring and permitting requirements) for the environmental compliance of development initiatives at the site level into landscape/seascape governance protocols (</w:t>
            </w:r>
            <w:r>
              <w:rPr>
                <w:rFonts w:asciiTheme="majorHAnsi" w:eastAsia="Times New Roman" w:hAnsiTheme="majorHAnsi"/>
                <w:color w:val="000000"/>
                <w:sz w:val="16"/>
                <w:szCs w:val="16"/>
              </w:rPr>
              <w:t xml:space="preserve">e.g. </w:t>
            </w:r>
            <w:r w:rsidRPr="00FC1173">
              <w:rPr>
                <w:rFonts w:asciiTheme="majorHAnsi" w:eastAsia="Times New Roman" w:hAnsiTheme="majorHAnsi"/>
                <w:color w:val="000000"/>
                <w:sz w:val="16"/>
                <w:szCs w:val="16"/>
              </w:rPr>
              <w:t>establishing feedback mechanisms) ($15,000 pe</w:t>
            </w:r>
            <w:r>
              <w:rPr>
                <w:rFonts w:asciiTheme="majorHAnsi" w:eastAsia="Times New Roman" w:hAnsiTheme="majorHAnsi"/>
                <w:color w:val="000000"/>
                <w:sz w:val="16"/>
                <w:szCs w:val="16"/>
              </w:rPr>
              <w:t xml:space="preserve">r year x 2 years) (Year 2-3) = </w:t>
            </w:r>
            <w:r w:rsidRPr="00FC1173">
              <w:rPr>
                <w:rFonts w:asciiTheme="majorHAnsi" w:eastAsia="Times New Roman" w:hAnsiTheme="majorHAnsi"/>
                <w:color w:val="000000"/>
                <w:sz w:val="16"/>
                <w:szCs w:val="16"/>
              </w:rPr>
              <w:t>$30,000</w:t>
            </w:r>
          </w:p>
          <w:p w14:paraId="2A19572E" w14:textId="77777777" w:rsidR="00DD755D" w:rsidRPr="00FC1173" w:rsidRDefault="00DD755D" w:rsidP="00D17561">
            <w:pPr>
              <w:pStyle w:val="ListParagraph"/>
              <w:numPr>
                <w:ilvl w:val="0"/>
                <w:numId w:val="122"/>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Draft Standard Operating Protocols and Bylaws and orientation materials for the JCB (Year 1) = $5,000</w:t>
            </w:r>
          </w:p>
          <w:p w14:paraId="29325535" w14:textId="77777777" w:rsidR="00DD755D" w:rsidRPr="00FC1173" w:rsidRDefault="00DD755D" w:rsidP="00D17561">
            <w:pPr>
              <w:pStyle w:val="ListParagraph"/>
              <w:numPr>
                <w:ilvl w:val="0"/>
                <w:numId w:val="122"/>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Review national and state level legislation and policies to identify gaps and inconsistencies regarding biodiversity conservation and biosecurity (Year 1) = $15,000</w:t>
            </w:r>
          </w:p>
          <w:p w14:paraId="0AFB8F66" w14:textId="77777777" w:rsidR="00DD755D" w:rsidRPr="00FC1173" w:rsidRDefault="00DD755D" w:rsidP="00D17561">
            <w:pPr>
              <w:pStyle w:val="ListParagraph"/>
              <w:numPr>
                <w:ilvl w:val="0"/>
                <w:numId w:val="122"/>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Update existing laws, policies, and regulations on fishery, aquaculture, agriculture, forestry, and tourism to mainstream biodiversity and biosecurity conservation and fix gaps; e.g. on leasing, development permitting, business loans, FIB approval, business licensing, import and export laws, PAN legislation, etc. (Year 2) = $25,000</w:t>
            </w:r>
          </w:p>
          <w:p w14:paraId="6FB8F7EB" w14:textId="77777777" w:rsidR="00DD755D" w:rsidRPr="00FC1173" w:rsidRDefault="00DD755D" w:rsidP="00D17561">
            <w:pPr>
              <w:pStyle w:val="ListParagraph"/>
              <w:numPr>
                <w:ilvl w:val="0"/>
                <w:numId w:val="122"/>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Develop a GIS based environmental monitoring system that fits into the PALARIS database based on the landscape/seascape planning and evaluation approach(Year 3) = $15,000</w:t>
            </w:r>
          </w:p>
          <w:p w14:paraId="260BF798" w14:textId="77777777" w:rsidR="00DD755D" w:rsidRPr="00FC1173" w:rsidRDefault="00DD755D" w:rsidP="00D17561">
            <w:pPr>
              <w:pStyle w:val="ListParagraph"/>
              <w:numPr>
                <w:ilvl w:val="0"/>
                <w:numId w:val="122"/>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Prepare and implement a  capacity building program to broaden the number of GIS users in public administrations (Years 3-5) = $18,000</w:t>
            </w:r>
          </w:p>
          <w:p w14:paraId="34265A8F" w14:textId="77777777" w:rsidR="00DD755D" w:rsidRPr="00FC1173" w:rsidRDefault="00DD755D" w:rsidP="00D17561">
            <w:pPr>
              <w:pStyle w:val="ListParagraph"/>
              <w:numPr>
                <w:ilvl w:val="0"/>
                <w:numId w:val="122"/>
              </w:numPr>
              <w:contextualSpacing/>
              <w:jc w:val="both"/>
              <w:rPr>
                <w:rFonts w:asciiTheme="majorHAnsi" w:eastAsia="Times New Roman" w:hAnsiTheme="majorHAnsi"/>
                <w:color w:val="000000"/>
                <w:sz w:val="16"/>
                <w:szCs w:val="16"/>
              </w:rPr>
            </w:pPr>
            <w:r>
              <w:rPr>
                <w:rFonts w:asciiTheme="majorHAnsi" w:eastAsia="Times New Roman" w:hAnsiTheme="majorHAnsi"/>
                <w:color w:val="000000"/>
                <w:sz w:val="16"/>
                <w:szCs w:val="16"/>
              </w:rPr>
              <w:t>Expand</w:t>
            </w:r>
            <w:r w:rsidRPr="00FC1173">
              <w:rPr>
                <w:rFonts w:asciiTheme="majorHAnsi" w:eastAsia="Times New Roman" w:hAnsiTheme="majorHAnsi"/>
                <w:color w:val="000000"/>
                <w:sz w:val="16"/>
                <w:szCs w:val="16"/>
              </w:rPr>
              <w:t xml:space="preserve"> the Biosecurity Division</w:t>
            </w:r>
            <w:r>
              <w:rPr>
                <w:rFonts w:asciiTheme="majorHAnsi" w:eastAsia="Times New Roman" w:hAnsiTheme="majorHAnsi"/>
                <w:color w:val="000000"/>
                <w:sz w:val="16"/>
                <w:szCs w:val="16"/>
              </w:rPr>
              <w:t xml:space="preserve"> capacity in the first 3 years</w:t>
            </w:r>
            <w:r w:rsidRPr="00FC1173">
              <w:rPr>
                <w:rFonts w:asciiTheme="majorHAnsi" w:eastAsia="Times New Roman" w:hAnsiTheme="majorHAnsi"/>
                <w:color w:val="000000"/>
                <w:sz w:val="16"/>
                <w:szCs w:val="16"/>
              </w:rPr>
              <w:t xml:space="preserve"> (by year </w:t>
            </w:r>
            <w:r>
              <w:rPr>
                <w:rFonts w:asciiTheme="majorHAnsi" w:eastAsia="Times New Roman" w:hAnsiTheme="majorHAnsi"/>
                <w:color w:val="000000"/>
                <w:sz w:val="16"/>
                <w:szCs w:val="16"/>
              </w:rPr>
              <w:t>4 costs</w:t>
            </w:r>
            <w:r w:rsidRPr="00FC1173">
              <w:rPr>
                <w:rFonts w:asciiTheme="majorHAnsi" w:eastAsia="Times New Roman" w:hAnsiTheme="majorHAnsi"/>
                <w:color w:val="000000"/>
                <w:sz w:val="16"/>
                <w:szCs w:val="16"/>
              </w:rPr>
              <w:t xml:space="preserve"> should be covered by Palau BD cost-recovery mechanisms) ($12,500 x 4 people per year x 3 years) (Year 1-3) = $150,000</w:t>
            </w:r>
          </w:p>
          <w:p w14:paraId="3E6CFFB5" w14:textId="77777777" w:rsidR="00DD755D" w:rsidRDefault="00DD755D" w:rsidP="00D17561">
            <w:pPr>
              <w:pStyle w:val="ListParagraph"/>
              <w:numPr>
                <w:ilvl w:val="0"/>
                <w:numId w:val="122"/>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Develop site plans for biosecurity office, storage, quarantine, treatment and inspection area (Year 1) = $20,000</w:t>
            </w:r>
          </w:p>
          <w:p w14:paraId="769AA1D6" w14:textId="77777777" w:rsidR="00DD755D" w:rsidRPr="00FC1173" w:rsidRDefault="00DD755D" w:rsidP="00D17561">
            <w:pPr>
              <w:pStyle w:val="ListParagraph"/>
              <w:numPr>
                <w:ilvl w:val="0"/>
                <w:numId w:val="122"/>
              </w:numPr>
              <w:contextualSpacing/>
              <w:jc w:val="both"/>
              <w:rPr>
                <w:rFonts w:asciiTheme="majorHAnsi" w:eastAsia="Times New Roman" w:hAnsiTheme="majorHAnsi"/>
                <w:color w:val="000000"/>
                <w:sz w:val="16"/>
                <w:szCs w:val="16"/>
              </w:rPr>
            </w:pPr>
            <w:r>
              <w:rPr>
                <w:rFonts w:asciiTheme="majorHAnsi" w:eastAsia="Times New Roman" w:hAnsiTheme="majorHAnsi"/>
                <w:color w:val="000000"/>
                <w:sz w:val="16"/>
                <w:szCs w:val="16"/>
              </w:rPr>
              <w:t>Conduct Nationwide mapping</w:t>
            </w:r>
            <w:r w:rsidRPr="00FC1173">
              <w:rPr>
                <w:rFonts w:asciiTheme="majorHAnsi" w:eastAsia="Times New Roman" w:hAnsiTheme="majorHAnsi"/>
                <w:color w:val="000000"/>
                <w:sz w:val="16"/>
                <w:szCs w:val="16"/>
              </w:rPr>
              <w:t xml:space="preserve"> of IAS  (Year 1) = $20,000</w:t>
            </w:r>
          </w:p>
          <w:p w14:paraId="253F7BD7" w14:textId="77777777" w:rsidR="00DD755D" w:rsidRPr="00FC1173" w:rsidRDefault="00DD755D" w:rsidP="00D17561">
            <w:pPr>
              <w:pStyle w:val="ListParagraph"/>
              <w:numPr>
                <w:ilvl w:val="0"/>
                <w:numId w:val="122"/>
              </w:numPr>
              <w:contextualSpacing/>
              <w:jc w:val="both"/>
              <w:rPr>
                <w:rFonts w:asciiTheme="majorHAnsi" w:eastAsia="Times New Roman" w:hAnsiTheme="majorHAnsi"/>
                <w:color w:val="000000"/>
                <w:sz w:val="16"/>
                <w:szCs w:val="16"/>
              </w:rPr>
            </w:pPr>
            <w:r>
              <w:rPr>
                <w:rFonts w:asciiTheme="majorHAnsi" w:eastAsia="Times New Roman" w:hAnsiTheme="majorHAnsi"/>
                <w:color w:val="000000"/>
                <w:sz w:val="16"/>
                <w:szCs w:val="16"/>
              </w:rPr>
              <w:t>M</w:t>
            </w:r>
            <w:r w:rsidRPr="00FC1173">
              <w:rPr>
                <w:rFonts w:asciiTheme="majorHAnsi" w:eastAsia="Times New Roman" w:hAnsiTheme="majorHAnsi"/>
                <w:color w:val="000000"/>
                <w:sz w:val="16"/>
                <w:szCs w:val="16"/>
              </w:rPr>
              <w:t>ap Coconut Rhinoceras Beetles and Freshwater Fish in trial states and</w:t>
            </w:r>
            <w:r>
              <w:rPr>
                <w:rFonts w:asciiTheme="majorHAnsi" w:eastAsia="Times New Roman" w:hAnsiTheme="majorHAnsi"/>
                <w:color w:val="000000"/>
                <w:sz w:val="16"/>
                <w:szCs w:val="16"/>
              </w:rPr>
              <w:t xml:space="preserve"> set up expansion of nationwide mapping after Year 3 </w:t>
            </w:r>
            <w:r w:rsidRPr="00FC1173">
              <w:rPr>
                <w:rFonts w:asciiTheme="majorHAnsi" w:eastAsia="Times New Roman" w:hAnsiTheme="majorHAnsi"/>
                <w:color w:val="000000"/>
                <w:sz w:val="16"/>
                <w:szCs w:val="16"/>
              </w:rPr>
              <w:t>(Year 3) = $11,000</w:t>
            </w:r>
          </w:p>
          <w:p w14:paraId="0F7EAC91" w14:textId="77777777" w:rsidR="00DD755D" w:rsidRPr="00FC1173" w:rsidRDefault="00DD755D" w:rsidP="00D17561">
            <w:pPr>
              <w:pStyle w:val="ListParagraph"/>
              <w:numPr>
                <w:ilvl w:val="0"/>
                <w:numId w:val="122"/>
              </w:numPr>
              <w:contextualSpacing/>
              <w:jc w:val="both"/>
              <w:rPr>
                <w:rFonts w:asciiTheme="majorHAnsi" w:eastAsia="Times New Roman" w:hAnsiTheme="majorHAnsi"/>
                <w:color w:val="000000"/>
                <w:sz w:val="16"/>
                <w:szCs w:val="16"/>
              </w:rPr>
            </w:pPr>
            <w:r>
              <w:rPr>
                <w:rFonts w:asciiTheme="majorHAnsi" w:eastAsia="Times New Roman" w:hAnsiTheme="majorHAnsi"/>
                <w:color w:val="000000"/>
                <w:sz w:val="16"/>
                <w:szCs w:val="16"/>
              </w:rPr>
              <w:t>Compile all existing</w:t>
            </w:r>
            <w:r w:rsidRPr="00FC1173">
              <w:rPr>
                <w:rFonts w:asciiTheme="majorHAnsi" w:eastAsia="Times New Roman" w:hAnsiTheme="majorHAnsi"/>
                <w:color w:val="000000"/>
                <w:sz w:val="16"/>
                <w:szCs w:val="16"/>
              </w:rPr>
              <w:t xml:space="preserve"> IAS information for Palau (Year 1) = $10,000</w:t>
            </w:r>
          </w:p>
          <w:p w14:paraId="09AEF8C4" w14:textId="77777777" w:rsidR="00DD755D" w:rsidRPr="00FC1173" w:rsidRDefault="00DD755D" w:rsidP="00D17561">
            <w:pPr>
              <w:pStyle w:val="ListParagraph"/>
              <w:numPr>
                <w:ilvl w:val="0"/>
                <w:numId w:val="122"/>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Develop 2016 Biosecurity Act Regulations (Year 1) = $45,000</w:t>
            </w:r>
          </w:p>
          <w:p w14:paraId="188A32A0" w14:textId="77777777" w:rsidR="00DD755D" w:rsidRPr="00FC1173" w:rsidRDefault="00DD755D" w:rsidP="00D17561">
            <w:pPr>
              <w:pStyle w:val="ListParagraph"/>
              <w:numPr>
                <w:ilvl w:val="0"/>
                <w:numId w:val="122"/>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Develop and/or update of national/state level regulations (Year 3) = $15,000</w:t>
            </w:r>
          </w:p>
          <w:p w14:paraId="08C4D92E" w14:textId="77777777" w:rsidR="00DD755D" w:rsidRDefault="00DD755D" w:rsidP="00D17561">
            <w:pPr>
              <w:pStyle w:val="ListParagraph"/>
              <w:numPr>
                <w:ilvl w:val="0"/>
                <w:numId w:val="122"/>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Develop protocols, guidelines, baselines, and enforceable standards/regulations for improving monitoring, surveillance and compliance management of biodiversity and IAS (Year 3) = $15,000</w:t>
            </w:r>
          </w:p>
          <w:p w14:paraId="02CC5DE8" w14:textId="77777777" w:rsidR="00DD755D" w:rsidRPr="00FC1173" w:rsidRDefault="00DD755D" w:rsidP="00D17561">
            <w:pPr>
              <w:pStyle w:val="ListParagraph"/>
              <w:numPr>
                <w:ilvl w:val="0"/>
                <w:numId w:val="122"/>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 xml:space="preserve">EQPB, BOA, and DFWP </w:t>
            </w:r>
            <w:r>
              <w:rPr>
                <w:rFonts w:asciiTheme="majorHAnsi" w:eastAsia="Times New Roman" w:hAnsiTheme="majorHAnsi"/>
                <w:color w:val="000000"/>
                <w:sz w:val="16"/>
                <w:szCs w:val="16"/>
              </w:rPr>
              <w:t>each</w:t>
            </w:r>
            <w:r w:rsidRPr="00FC1173">
              <w:rPr>
                <w:rFonts w:asciiTheme="majorHAnsi" w:eastAsia="Times New Roman" w:hAnsiTheme="majorHAnsi"/>
                <w:color w:val="000000"/>
                <w:sz w:val="16"/>
                <w:szCs w:val="16"/>
              </w:rPr>
              <w:t xml:space="preserve"> develop cross-sector plans, actions, protocols, procedures, and baselines to improve enforcement, monitoring, and surveillance ($5,000 per agency per year x 3 years) </w:t>
            </w:r>
            <w:r w:rsidRPr="00FC1173">
              <w:rPr>
                <w:rFonts w:asciiTheme="majorHAnsi" w:eastAsia="Times New Roman" w:hAnsiTheme="majorHAnsi"/>
                <w:color w:val="000000"/>
                <w:sz w:val="16"/>
                <w:szCs w:val="16"/>
              </w:rPr>
              <w:lastRenderedPageBreak/>
              <w:t>(Years 2-3) = $30,000</w:t>
            </w:r>
          </w:p>
          <w:p w14:paraId="753B367D" w14:textId="77777777" w:rsidR="00DD755D" w:rsidRPr="003F2CB0" w:rsidRDefault="00DD755D" w:rsidP="00D17561">
            <w:pPr>
              <w:pStyle w:val="ListParagraph"/>
              <w:numPr>
                <w:ilvl w:val="0"/>
                <w:numId w:val="122"/>
              </w:numPr>
              <w:contextualSpacing/>
              <w:jc w:val="both"/>
              <w:rPr>
                <w:rFonts w:asciiTheme="majorHAnsi" w:eastAsia="Times New Roman" w:hAnsiTheme="majorHAnsi"/>
                <w:color w:val="000000"/>
                <w:sz w:val="16"/>
                <w:szCs w:val="16"/>
              </w:rPr>
            </w:pPr>
            <w:r>
              <w:rPr>
                <w:rFonts w:asciiTheme="majorHAnsi" w:eastAsia="Times New Roman" w:hAnsiTheme="majorHAnsi"/>
                <w:color w:val="000000"/>
                <w:sz w:val="16"/>
                <w:szCs w:val="16"/>
              </w:rPr>
              <w:t>Expand capacity</w:t>
            </w:r>
            <w:r w:rsidRPr="00FC1173">
              <w:rPr>
                <w:rFonts w:asciiTheme="majorHAnsi" w:eastAsia="Times New Roman" w:hAnsiTheme="majorHAnsi"/>
                <w:color w:val="000000"/>
                <w:sz w:val="16"/>
                <w:szCs w:val="16"/>
              </w:rPr>
              <w:t xml:space="preserve"> at EQPB and DFWP to conduct monitoring, surveillance, and enforcement, according to national review (Amount varies, $5,000 to $10,000 per year per agency x 3 years) (Years 2-4) = $50,000</w:t>
            </w:r>
          </w:p>
        </w:tc>
      </w:tr>
      <w:tr w:rsidR="00DD755D" w:rsidRPr="00FC1173" w14:paraId="1817BC84" w14:textId="77777777" w:rsidTr="00D32FA2">
        <w:trPr>
          <w:trHeight w:val="314"/>
        </w:trPr>
        <w:tc>
          <w:tcPr>
            <w:tcW w:w="450" w:type="dxa"/>
            <w:shd w:val="clear" w:color="auto" w:fill="auto"/>
            <w:vAlign w:val="center"/>
            <w:hideMark/>
          </w:tcPr>
          <w:p w14:paraId="37390B2D" w14:textId="77777777" w:rsidR="00DD755D" w:rsidRPr="00FC1173" w:rsidRDefault="00DD755D" w:rsidP="00D32FA2">
            <w:pPr>
              <w:spacing w:after="0"/>
              <w:jc w:val="center"/>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lastRenderedPageBreak/>
              <w:t>4</w:t>
            </w:r>
          </w:p>
        </w:tc>
        <w:tc>
          <w:tcPr>
            <w:tcW w:w="13860" w:type="dxa"/>
            <w:shd w:val="clear" w:color="auto" w:fill="auto"/>
            <w:vAlign w:val="center"/>
          </w:tcPr>
          <w:p w14:paraId="226E9BFC" w14:textId="77777777" w:rsidR="00DD755D" w:rsidRPr="00FC1173" w:rsidRDefault="00DD755D" w:rsidP="00D32FA2">
            <w:pPr>
              <w:spacing w:after="0"/>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Travel costs associated with the following:</w:t>
            </w:r>
          </w:p>
          <w:p w14:paraId="0862D5D6" w14:textId="77777777" w:rsidR="00DD755D" w:rsidRPr="00FC1173" w:rsidRDefault="00DD755D" w:rsidP="00D17561">
            <w:pPr>
              <w:pStyle w:val="ListParagraph"/>
              <w:numPr>
                <w:ilvl w:val="0"/>
                <w:numId w:val="123"/>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Participation of the Environmental Protection Unit Coordinator in conferences and off-island capacity building ($4,000 per trip x 4 trips in Years 1,2,3&amp;6) = $16,000</w:t>
            </w:r>
          </w:p>
          <w:p w14:paraId="52B22A90" w14:textId="77777777" w:rsidR="00DD755D" w:rsidRPr="00FC1173" w:rsidRDefault="00DD755D" w:rsidP="00D17561">
            <w:pPr>
              <w:pStyle w:val="ListParagraph"/>
              <w:numPr>
                <w:ilvl w:val="0"/>
                <w:numId w:val="123"/>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Travel to support initial support for biosecurity actions - e.g. inspections, quarantine, and treatment at state and international borders; also as a result of state plans ($2,500 x 3 years in Years 3,4,&amp;5) = $7,500</w:t>
            </w:r>
          </w:p>
        </w:tc>
      </w:tr>
      <w:tr w:rsidR="00DD755D" w:rsidRPr="00FC1173" w14:paraId="5C11D836" w14:textId="77777777" w:rsidTr="00D32FA2">
        <w:trPr>
          <w:trHeight w:val="620"/>
        </w:trPr>
        <w:tc>
          <w:tcPr>
            <w:tcW w:w="450" w:type="dxa"/>
            <w:shd w:val="clear" w:color="auto" w:fill="auto"/>
            <w:vAlign w:val="center"/>
            <w:hideMark/>
          </w:tcPr>
          <w:p w14:paraId="61A7E480" w14:textId="77777777" w:rsidR="00DD755D" w:rsidRPr="00FC1173" w:rsidRDefault="00DD755D" w:rsidP="00D32FA2">
            <w:pPr>
              <w:spacing w:after="0"/>
              <w:jc w:val="center"/>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5</w:t>
            </w:r>
          </w:p>
        </w:tc>
        <w:tc>
          <w:tcPr>
            <w:tcW w:w="13860" w:type="dxa"/>
            <w:shd w:val="clear" w:color="auto" w:fill="auto"/>
            <w:vAlign w:val="center"/>
          </w:tcPr>
          <w:p w14:paraId="00F5E675" w14:textId="77777777" w:rsidR="00DD755D" w:rsidRPr="00FC1173" w:rsidRDefault="00DD755D" w:rsidP="00D32FA2">
            <w:pPr>
              <w:spacing w:after="0"/>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Purchase and construction of:</w:t>
            </w:r>
          </w:p>
          <w:p w14:paraId="7496D5D1" w14:textId="77777777" w:rsidR="00DD755D" w:rsidRPr="00FC1173" w:rsidRDefault="00DD755D" w:rsidP="00D17561">
            <w:pPr>
              <w:pStyle w:val="ListParagraph"/>
              <w:numPr>
                <w:ilvl w:val="0"/>
                <w:numId w:val="124"/>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Construction and installation of quarantine facility (Developing the site according to contracted site plans (will include prefab office/storage building, washdown/treatment area with capture drains, incinerator, quarantine and inspection zones)) (Year 1) = $95,000</w:t>
            </w:r>
          </w:p>
          <w:p w14:paraId="59959F6C" w14:textId="77777777" w:rsidR="00DD755D" w:rsidRPr="00FC1173" w:rsidRDefault="00DD755D" w:rsidP="00D17561">
            <w:pPr>
              <w:pStyle w:val="ListParagraph"/>
              <w:numPr>
                <w:ilvl w:val="0"/>
                <w:numId w:val="124"/>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Provision of tools to capacitate biosecurity, including basic tools like PPE, headlamps, snake handling equipment; Purchase mobil sprayer, treatment tarps; Equipment for marine inspections, according to the NISSAP and EDRR (Years 1-3 with varying amounts) = $55,000</w:t>
            </w:r>
          </w:p>
        </w:tc>
      </w:tr>
      <w:tr w:rsidR="00DD755D" w:rsidRPr="00FC1173" w14:paraId="0DAC6492" w14:textId="77777777" w:rsidTr="00D32FA2">
        <w:trPr>
          <w:trHeight w:val="386"/>
        </w:trPr>
        <w:tc>
          <w:tcPr>
            <w:tcW w:w="450" w:type="dxa"/>
            <w:shd w:val="clear" w:color="auto" w:fill="auto"/>
            <w:vAlign w:val="center"/>
            <w:hideMark/>
          </w:tcPr>
          <w:p w14:paraId="33A071A0" w14:textId="77777777" w:rsidR="00DD755D" w:rsidRPr="00FC1173" w:rsidRDefault="00DD755D" w:rsidP="00D32FA2">
            <w:pPr>
              <w:spacing w:after="0"/>
              <w:jc w:val="center"/>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6</w:t>
            </w:r>
          </w:p>
        </w:tc>
        <w:tc>
          <w:tcPr>
            <w:tcW w:w="13860" w:type="dxa"/>
            <w:shd w:val="clear" w:color="auto" w:fill="auto"/>
            <w:vAlign w:val="center"/>
          </w:tcPr>
          <w:p w14:paraId="2D33D115" w14:textId="77777777" w:rsidR="00DD755D" w:rsidRPr="00FC1173" w:rsidRDefault="00DD755D" w:rsidP="00D32FA2">
            <w:pPr>
              <w:spacing w:after="0"/>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Trainings, Workshops, and Meetings as follows:</w:t>
            </w:r>
          </w:p>
          <w:p w14:paraId="37E8D0D2" w14:textId="77777777" w:rsidR="00DD755D" w:rsidRPr="00FC1173" w:rsidRDefault="00DD755D" w:rsidP="00D17561">
            <w:pPr>
              <w:pStyle w:val="ListParagraph"/>
              <w:numPr>
                <w:ilvl w:val="0"/>
                <w:numId w:val="125"/>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Meetings to set up JCB under NEPC with MOU or Executive Order; including to identify, recruit, and onboard members (Years 1-2) = $3,000</w:t>
            </w:r>
          </w:p>
          <w:p w14:paraId="799FD8FC" w14:textId="77777777" w:rsidR="00DD755D" w:rsidRPr="00FC1173" w:rsidRDefault="00DD755D" w:rsidP="00D17561">
            <w:pPr>
              <w:pStyle w:val="ListParagraph"/>
              <w:numPr>
                <w:ilvl w:val="0"/>
                <w:numId w:val="125"/>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Quarterly meetings in Years 1-2 and then 2x yearly meetings thereafter ($1,000 per meeting x 16 meetings) = $16,000</w:t>
            </w:r>
          </w:p>
          <w:p w14:paraId="04542D71" w14:textId="77777777" w:rsidR="00DD755D" w:rsidRPr="00FC1173" w:rsidRDefault="00DD755D" w:rsidP="00D17561">
            <w:pPr>
              <w:pStyle w:val="ListParagraph"/>
              <w:numPr>
                <w:ilvl w:val="0"/>
                <w:numId w:val="125"/>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Capacitating core EDRR team at national level as well as state teams for each state (will likely involve multiple training events in various locations throughout the country to build skiils and capacity of team members and train individuals tasked with manning reporting mechanisms as well as joint coordination of various agencies and offices involved; training will include mock field responses); follow-up training to be conducted in year 5 of the project ($40,000 in Year 3 and $20,000 in Year 5) = $60,000</w:t>
            </w:r>
          </w:p>
          <w:p w14:paraId="2C5FFF20" w14:textId="77777777" w:rsidR="00DD755D" w:rsidRPr="00FC1173" w:rsidRDefault="00DD755D" w:rsidP="00D17561">
            <w:pPr>
              <w:pStyle w:val="ListParagraph"/>
              <w:numPr>
                <w:ilvl w:val="0"/>
                <w:numId w:val="125"/>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Meetings to develop walk in reporting locations at state government facilities (Year 3) = $10,000</w:t>
            </w:r>
          </w:p>
          <w:p w14:paraId="79CB3581" w14:textId="77777777" w:rsidR="00DD755D" w:rsidRPr="00FC1173" w:rsidRDefault="00DD755D" w:rsidP="00D17561">
            <w:pPr>
              <w:pStyle w:val="ListParagraph"/>
              <w:numPr>
                <w:ilvl w:val="0"/>
                <w:numId w:val="125"/>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Training all BD staff on new regulations, protocols and fee collections (Year 2) = $20,000</w:t>
            </w:r>
          </w:p>
          <w:p w14:paraId="03D08FA0" w14:textId="77777777" w:rsidR="00DD755D" w:rsidRPr="00FC1173" w:rsidRDefault="00DD755D" w:rsidP="00D17561">
            <w:pPr>
              <w:pStyle w:val="ListParagraph"/>
              <w:numPr>
                <w:ilvl w:val="0"/>
                <w:numId w:val="125"/>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Managerial and Coordination capacity building for Biosecurity Office Manager and NISC Coordinator (Year 2) = $15,000</w:t>
            </w:r>
          </w:p>
          <w:p w14:paraId="7322A70B" w14:textId="77777777" w:rsidR="00DD755D" w:rsidRPr="00FC1173" w:rsidRDefault="00DD755D" w:rsidP="00D17561">
            <w:pPr>
              <w:pStyle w:val="ListParagraph"/>
              <w:numPr>
                <w:ilvl w:val="0"/>
                <w:numId w:val="125"/>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Train BD officers in use of X-ray machines (Year 1) = $18,000</w:t>
            </w:r>
          </w:p>
          <w:p w14:paraId="136F3A80" w14:textId="77777777" w:rsidR="00DD755D" w:rsidRPr="00FC1173" w:rsidRDefault="00DD755D" w:rsidP="00D17561">
            <w:pPr>
              <w:pStyle w:val="ListParagraph"/>
              <w:numPr>
                <w:ilvl w:val="0"/>
                <w:numId w:val="125"/>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Import risk assessment training (Year 3) = $7,000</w:t>
            </w:r>
          </w:p>
          <w:p w14:paraId="2D23EA63" w14:textId="77777777" w:rsidR="00DD755D" w:rsidRPr="00FC1173" w:rsidRDefault="00DD755D" w:rsidP="00D17561">
            <w:pPr>
              <w:pStyle w:val="ListParagraph"/>
              <w:numPr>
                <w:ilvl w:val="0"/>
                <w:numId w:val="125"/>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Biosafety training (Year 3) = $7,000</w:t>
            </w:r>
          </w:p>
          <w:p w14:paraId="55E3A00B" w14:textId="77777777" w:rsidR="00DD755D" w:rsidRPr="00FC1173" w:rsidRDefault="00DD755D" w:rsidP="00D17561">
            <w:pPr>
              <w:pStyle w:val="ListParagraph"/>
              <w:numPr>
                <w:ilvl w:val="0"/>
                <w:numId w:val="125"/>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Improved training for biosecurity division officers and other staff: inspection capacity and their tools and expansion, pest identification, use of EDRR system, rapid response, database entry, etc.; As well as cross-training of other agencies ($10,000 per year x 4 years) (Years 2-5) = $40,000</w:t>
            </w:r>
          </w:p>
          <w:p w14:paraId="187FBC29" w14:textId="77777777" w:rsidR="00DD755D" w:rsidRPr="00FC1173" w:rsidRDefault="00DD755D" w:rsidP="00D17561">
            <w:pPr>
              <w:pStyle w:val="ListParagraph"/>
              <w:numPr>
                <w:ilvl w:val="0"/>
                <w:numId w:val="125"/>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Training personnel (including community members) for monitoring, surveillance and enforcement, including to manage and enforce IAS plans and regulations (Amount declines each year) (Years 2-5) = $35,000</w:t>
            </w:r>
          </w:p>
          <w:p w14:paraId="77623587" w14:textId="77777777" w:rsidR="00DD755D" w:rsidRPr="00FC1173" w:rsidRDefault="00DD755D" w:rsidP="00D32FA2">
            <w:pPr>
              <w:spacing w:after="0"/>
              <w:rPr>
                <w:rFonts w:asciiTheme="majorHAnsi" w:eastAsia="Times New Roman" w:hAnsiTheme="majorHAnsi"/>
                <w:color w:val="000000"/>
                <w:sz w:val="16"/>
                <w:szCs w:val="16"/>
              </w:rPr>
            </w:pPr>
          </w:p>
        </w:tc>
      </w:tr>
      <w:tr w:rsidR="00DD755D" w:rsidRPr="00FC1173" w14:paraId="139D4AA6" w14:textId="77777777" w:rsidTr="00D32FA2">
        <w:trPr>
          <w:trHeight w:val="492"/>
        </w:trPr>
        <w:tc>
          <w:tcPr>
            <w:tcW w:w="450" w:type="dxa"/>
            <w:shd w:val="clear" w:color="auto" w:fill="auto"/>
            <w:vAlign w:val="center"/>
          </w:tcPr>
          <w:p w14:paraId="299AF781" w14:textId="77777777" w:rsidR="00DD755D" w:rsidRPr="00FC1173" w:rsidRDefault="00DD755D" w:rsidP="00D32FA2">
            <w:pPr>
              <w:spacing w:after="0"/>
              <w:jc w:val="center"/>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7</w:t>
            </w:r>
          </w:p>
        </w:tc>
        <w:tc>
          <w:tcPr>
            <w:tcW w:w="13860" w:type="dxa"/>
            <w:shd w:val="clear" w:color="auto" w:fill="auto"/>
            <w:vAlign w:val="center"/>
          </w:tcPr>
          <w:p w14:paraId="3915C7C3" w14:textId="7070499C" w:rsidR="00DD755D" w:rsidRPr="00FC1173" w:rsidRDefault="00EA4043" w:rsidP="00D32FA2">
            <w:pPr>
              <w:spacing w:after="0"/>
              <w:rPr>
                <w:rFonts w:asciiTheme="majorHAnsi" w:eastAsia="Times New Roman" w:hAnsiTheme="majorHAnsi"/>
                <w:color w:val="000000"/>
                <w:sz w:val="16"/>
                <w:szCs w:val="16"/>
              </w:rPr>
            </w:pPr>
            <w:r>
              <w:rPr>
                <w:rFonts w:asciiTheme="majorHAnsi" w:eastAsia="Times New Roman" w:hAnsiTheme="majorHAnsi"/>
                <w:color w:val="000000"/>
                <w:sz w:val="16"/>
                <w:szCs w:val="16"/>
              </w:rPr>
              <w:t>Miscellaneous costs (s</w:t>
            </w:r>
            <w:r w:rsidR="00DD755D" w:rsidRPr="00FC1173">
              <w:rPr>
                <w:rFonts w:asciiTheme="majorHAnsi" w:eastAsia="Times New Roman" w:hAnsiTheme="majorHAnsi"/>
                <w:color w:val="000000"/>
                <w:sz w:val="16"/>
                <w:szCs w:val="16"/>
              </w:rPr>
              <w:t xml:space="preserve">upplies </w:t>
            </w:r>
            <w:r w:rsidR="00690E6F">
              <w:rPr>
                <w:rFonts w:asciiTheme="majorHAnsi" w:eastAsia="Times New Roman" w:hAnsiTheme="majorHAnsi"/>
                <w:color w:val="000000"/>
                <w:sz w:val="16"/>
                <w:szCs w:val="16"/>
              </w:rPr>
              <w:t>and consumables</w:t>
            </w:r>
            <w:r>
              <w:rPr>
                <w:rFonts w:asciiTheme="majorHAnsi" w:eastAsia="Times New Roman" w:hAnsiTheme="majorHAnsi"/>
                <w:color w:val="000000"/>
                <w:sz w:val="16"/>
                <w:szCs w:val="16"/>
              </w:rPr>
              <w:t>)</w:t>
            </w:r>
            <w:r w:rsidR="00690E6F">
              <w:rPr>
                <w:rFonts w:asciiTheme="majorHAnsi" w:eastAsia="Times New Roman" w:hAnsiTheme="majorHAnsi"/>
                <w:color w:val="000000"/>
                <w:sz w:val="16"/>
                <w:szCs w:val="16"/>
              </w:rPr>
              <w:t xml:space="preserve"> </w:t>
            </w:r>
            <w:r w:rsidR="00DD755D" w:rsidRPr="00FC1173">
              <w:rPr>
                <w:rFonts w:asciiTheme="majorHAnsi" w:eastAsia="Times New Roman" w:hAnsiTheme="majorHAnsi"/>
                <w:color w:val="000000"/>
                <w:sz w:val="16"/>
                <w:szCs w:val="16"/>
              </w:rPr>
              <w:t>to support initial support for biosecurity actions - e.g. inspections, quarantine, and treatment at state and international borders; also as a result of state plans  ($2,500 x 3 years in Years 3,4,&amp;5) = $7,500</w:t>
            </w:r>
          </w:p>
        </w:tc>
      </w:tr>
      <w:tr w:rsidR="00DD755D" w:rsidRPr="00FC1173" w14:paraId="42226C7F" w14:textId="77777777" w:rsidTr="00D32FA2">
        <w:trPr>
          <w:trHeight w:val="492"/>
        </w:trPr>
        <w:tc>
          <w:tcPr>
            <w:tcW w:w="450" w:type="dxa"/>
            <w:shd w:val="clear" w:color="auto" w:fill="auto"/>
            <w:vAlign w:val="center"/>
            <w:hideMark/>
          </w:tcPr>
          <w:p w14:paraId="14458EBC" w14:textId="77777777" w:rsidR="00DD755D" w:rsidRPr="00FC1173" w:rsidRDefault="00DD755D" w:rsidP="00D32FA2">
            <w:pPr>
              <w:spacing w:after="0"/>
              <w:jc w:val="center"/>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8</w:t>
            </w:r>
          </w:p>
        </w:tc>
        <w:tc>
          <w:tcPr>
            <w:tcW w:w="13860" w:type="dxa"/>
            <w:shd w:val="clear" w:color="auto" w:fill="auto"/>
            <w:vAlign w:val="center"/>
          </w:tcPr>
          <w:p w14:paraId="4B818043" w14:textId="652377D5" w:rsidR="00DD755D" w:rsidRPr="00FC1173" w:rsidRDefault="00DD755D" w:rsidP="00D32FA2">
            <w:pPr>
              <w:spacing w:after="0"/>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 xml:space="preserve">Rental of boats </w:t>
            </w:r>
            <w:r w:rsidR="00F3624F">
              <w:rPr>
                <w:rFonts w:asciiTheme="majorHAnsi" w:eastAsia="Times New Roman" w:hAnsiTheme="majorHAnsi"/>
                <w:color w:val="000000"/>
                <w:sz w:val="16"/>
                <w:szCs w:val="16"/>
              </w:rPr>
              <w:t xml:space="preserve">(leased vehicles) </w:t>
            </w:r>
            <w:r w:rsidRPr="00FC1173">
              <w:rPr>
                <w:rFonts w:asciiTheme="majorHAnsi" w:eastAsia="Times New Roman" w:hAnsiTheme="majorHAnsi"/>
                <w:color w:val="000000"/>
                <w:sz w:val="16"/>
                <w:szCs w:val="16"/>
              </w:rPr>
              <w:t>to support Freshwater fish and macro-invertebrate mapping in trial states (Year 3) = $11,000</w:t>
            </w:r>
          </w:p>
        </w:tc>
      </w:tr>
      <w:tr w:rsidR="00DD755D" w:rsidRPr="00FC1173" w14:paraId="247981E2" w14:textId="77777777" w:rsidTr="00D32FA2">
        <w:trPr>
          <w:trHeight w:val="260"/>
        </w:trPr>
        <w:tc>
          <w:tcPr>
            <w:tcW w:w="450" w:type="dxa"/>
            <w:shd w:val="clear" w:color="auto" w:fill="auto"/>
            <w:vAlign w:val="center"/>
            <w:hideMark/>
          </w:tcPr>
          <w:p w14:paraId="3DA91C07" w14:textId="77777777" w:rsidR="00DD755D" w:rsidRPr="00FC1173" w:rsidRDefault="00DD755D" w:rsidP="00D32FA2">
            <w:pPr>
              <w:spacing w:after="0"/>
              <w:jc w:val="center"/>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9</w:t>
            </w:r>
          </w:p>
        </w:tc>
        <w:tc>
          <w:tcPr>
            <w:tcW w:w="13860" w:type="dxa"/>
            <w:shd w:val="clear" w:color="auto" w:fill="auto"/>
            <w:vAlign w:val="center"/>
          </w:tcPr>
          <w:p w14:paraId="1BA514DB" w14:textId="1AD75F48" w:rsidR="00DD755D" w:rsidRPr="00FC1173" w:rsidRDefault="001D57AA" w:rsidP="00D32FA2">
            <w:pPr>
              <w:spacing w:after="0"/>
              <w:rPr>
                <w:rFonts w:asciiTheme="majorHAnsi" w:eastAsia="Times New Roman" w:hAnsiTheme="majorHAnsi"/>
                <w:color w:val="000000"/>
                <w:sz w:val="16"/>
                <w:szCs w:val="16"/>
              </w:rPr>
            </w:pPr>
            <w:r>
              <w:rPr>
                <w:rFonts w:asciiTheme="majorHAnsi" w:eastAsia="Times New Roman" w:hAnsiTheme="majorHAnsi"/>
                <w:color w:val="000000"/>
                <w:sz w:val="16"/>
                <w:szCs w:val="16"/>
              </w:rPr>
              <w:t xml:space="preserve">Supplies (including print and electronic requirements) </w:t>
            </w:r>
            <w:r w:rsidR="00DD755D">
              <w:rPr>
                <w:rFonts w:asciiTheme="majorHAnsi" w:eastAsia="Times New Roman" w:hAnsiTheme="majorHAnsi"/>
                <w:color w:val="000000"/>
                <w:sz w:val="16"/>
                <w:szCs w:val="16"/>
              </w:rPr>
              <w:t>associated with:</w:t>
            </w:r>
          </w:p>
          <w:p w14:paraId="271DE702" w14:textId="77777777" w:rsidR="00DD755D" w:rsidRPr="00FC1173" w:rsidRDefault="00DD755D" w:rsidP="00D17561">
            <w:pPr>
              <w:pStyle w:val="ListParagraph"/>
              <w:numPr>
                <w:ilvl w:val="0"/>
                <w:numId w:val="126"/>
              </w:numPr>
              <w:contextualSpacing/>
              <w:jc w:val="both"/>
              <w:rPr>
                <w:rFonts w:asciiTheme="majorHAnsi" w:eastAsia="Times New Roman" w:hAnsiTheme="majorHAnsi"/>
                <w:color w:val="000000"/>
                <w:sz w:val="16"/>
                <w:szCs w:val="16"/>
              </w:rPr>
            </w:pPr>
            <w:r>
              <w:rPr>
                <w:rFonts w:asciiTheme="majorHAnsi" w:eastAsia="Times New Roman" w:hAnsiTheme="majorHAnsi"/>
                <w:color w:val="000000"/>
                <w:sz w:val="16"/>
                <w:szCs w:val="16"/>
              </w:rPr>
              <w:t>P</w:t>
            </w:r>
            <w:r w:rsidRPr="00FC1173">
              <w:rPr>
                <w:rFonts w:asciiTheme="majorHAnsi" w:eastAsia="Times New Roman" w:hAnsiTheme="majorHAnsi"/>
                <w:color w:val="000000"/>
                <w:sz w:val="16"/>
                <w:szCs w:val="16"/>
              </w:rPr>
              <w:t>rovid</w:t>
            </w:r>
            <w:r>
              <w:rPr>
                <w:rFonts w:asciiTheme="majorHAnsi" w:eastAsia="Times New Roman" w:hAnsiTheme="majorHAnsi"/>
                <w:color w:val="000000"/>
                <w:sz w:val="16"/>
                <w:szCs w:val="16"/>
              </w:rPr>
              <w:t>ing</w:t>
            </w:r>
            <w:r w:rsidRPr="00FC1173">
              <w:rPr>
                <w:rFonts w:asciiTheme="majorHAnsi" w:eastAsia="Times New Roman" w:hAnsiTheme="majorHAnsi"/>
                <w:color w:val="000000"/>
                <w:sz w:val="16"/>
                <w:szCs w:val="16"/>
              </w:rPr>
              <w:t xml:space="preserve"> participatory input and evaluation in year 1 and Year 6 to the NISSAP ($3,000 x 2) (Year 1 and Year 6) = $6,000</w:t>
            </w:r>
          </w:p>
          <w:p w14:paraId="4133FC36" w14:textId="77777777" w:rsidR="00DD755D" w:rsidRPr="00FC1173" w:rsidRDefault="00DD755D" w:rsidP="00D17561">
            <w:pPr>
              <w:pStyle w:val="ListParagraph"/>
              <w:numPr>
                <w:ilvl w:val="0"/>
                <w:numId w:val="126"/>
              </w:numPr>
              <w:contextualSpacing/>
              <w:jc w:val="both"/>
              <w:rPr>
                <w:rFonts w:asciiTheme="majorHAnsi" w:eastAsia="Times New Roman" w:hAnsiTheme="majorHAnsi"/>
                <w:color w:val="000000"/>
                <w:sz w:val="16"/>
                <w:szCs w:val="16"/>
              </w:rPr>
            </w:pPr>
            <w:r>
              <w:rPr>
                <w:rFonts w:asciiTheme="majorHAnsi" w:eastAsia="Times New Roman" w:hAnsiTheme="majorHAnsi"/>
                <w:color w:val="000000"/>
                <w:sz w:val="16"/>
                <w:szCs w:val="16"/>
              </w:rPr>
              <w:t>H</w:t>
            </w:r>
            <w:r w:rsidRPr="00FC1173">
              <w:rPr>
                <w:rFonts w:asciiTheme="majorHAnsi" w:eastAsia="Times New Roman" w:hAnsiTheme="majorHAnsi"/>
                <w:color w:val="000000"/>
                <w:sz w:val="16"/>
                <w:szCs w:val="16"/>
              </w:rPr>
              <w:t>igh-level MNRET and policymaker participation in shepherding of regulation and cost recovery components through government acceptance mechanisms (Year 1) = $5,000</w:t>
            </w:r>
          </w:p>
          <w:p w14:paraId="025F7E36" w14:textId="77777777" w:rsidR="00DD755D" w:rsidRPr="003F2CB0" w:rsidRDefault="00DD755D" w:rsidP="00D32FA2">
            <w:pPr>
              <w:contextualSpacing/>
              <w:rPr>
                <w:rFonts w:asciiTheme="majorHAnsi" w:eastAsia="Times New Roman" w:hAnsiTheme="majorHAnsi"/>
                <w:color w:val="000000"/>
                <w:sz w:val="16"/>
                <w:szCs w:val="16"/>
              </w:rPr>
            </w:pPr>
          </w:p>
        </w:tc>
      </w:tr>
      <w:tr w:rsidR="00DD755D" w:rsidRPr="00FC1173" w14:paraId="2C1AA78B" w14:textId="77777777" w:rsidTr="00D32FA2">
        <w:trPr>
          <w:trHeight w:val="350"/>
        </w:trPr>
        <w:tc>
          <w:tcPr>
            <w:tcW w:w="450" w:type="dxa"/>
            <w:shd w:val="clear" w:color="auto" w:fill="auto"/>
            <w:vAlign w:val="center"/>
          </w:tcPr>
          <w:p w14:paraId="647891A5" w14:textId="77777777" w:rsidR="00DD755D" w:rsidRPr="00FC1173" w:rsidRDefault="00DD755D" w:rsidP="00D32FA2">
            <w:pPr>
              <w:spacing w:after="0"/>
              <w:jc w:val="center"/>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10</w:t>
            </w:r>
          </w:p>
        </w:tc>
        <w:tc>
          <w:tcPr>
            <w:tcW w:w="13860" w:type="dxa"/>
            <w:shd w:val="clear" w:color="auto" w:fill="auto"/>
            <w:vAlign w:val="center"/>
          </w:tcPr>
          <w:p w14:paraId="00784FEC" w14:textId="77777777" w:rsidR="00DD755D" w:rsidRPr="00FC1173" w:rsidRDefault="00DD755D" w:rsidP="00D32FA2">
            <w:pPr>
              <w:spacing w:after="0"/>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Fees for international consultants/expert/or firm recruited by MNRET to:</w:t>
            </w:r>
          </w:p>
          <w:p w14:paraId="229EB035" w14:textId="77777777" w:rsidR="00DD755D" w:rsidRPr="00FC1173" w:rsidRDefault="00DD755D" w:rsidP="00D17561">
            <w:pPr>
              <w:pStyle w:val="ListParagraph"/>
              <w:numPr>
                <w:ilvl w:val="0"/>
                <w:numId w:val="118"/>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Conduct political advocacy and outreach to create political support for ILSMPs (Combined with Output 3.1) (Approx 1 MM in Year 1) = $8,000</w:t>
            </w:r>
          </w:p>
          <w:p w14:paraId="3CDA9FD2" w14:textId="049100FF" w:rsidR="00DD755D" w:rsidRPr="00FC1173" w:rsidRDefault="00DD755D" w:rsidP="00D17561">
            <w:pPr>
              <w:pStyle w:val="ListParagraph"/>
              <w:numPr>
                <w:ilvl w:val="0"/>
                <w:numId w:val="118"/>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Conduct Island-wide mapping of environmental and socio-economic</w:t>
            </w:r>
            <w:r w:rsidR="00EB71A9">
              <w:rPr>
                <w:rFonts w:asciiTheme="majorHAnsi" w:eastAsia="Times New Roman" w:hAnsiTheme="majorHAnsi"/>
                <w:color w:val="000000"/>
                <w:sz w:val="16"/>
                <w:szCs w:val="16"/>
              </w:rPr>
              <w:t xml:space="preserve"> factors (Combined with Output </w:t>
            </w:r>
            <w:r w:rsidRPr="00FC1173">
              <w:rPr>
                <w:rFonts w:asciiTheme="majorHAnsi" w:eastAsia="Times New Roman" w:hAnsiTheme="majorHAnsi"/>
                <w:color w:val="000000"/>
                <w:sz w:val="16"/>
                <w:szCs w:val="16"/>
              </w:rPr>
              <w:t>3.1) (Approx 7 MM in Year 1) = $85,000</w:t>
            </w:r>
          </w:p>
          <w:p w14:paraId="2A3213F8" w14:textId="77777777" w:rsidR="00DD755D" w:rsidRPr="00FC1173" w:rsidRDefault="00DD755D" w:rsidP="00D17561">
            <w:pPr>
              <w:pStyle w:val="ListParagraph"/>
              <w:numPr>
                <w:ilvl w:val="0"/>
                <w:numId w:val="118"/>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Conduct SEA Process for ILSMP (impact assessment, analysis of alternatives, monitoring of plan); independent review of plans to ensure alignment with national biodiversity and biosecurity policies (Combined with Outcome 1.2 and 3.1) (Approximately 1.5 MM in Year 2) = $14,000</w:t>
            </w:r>
          </w:p>
          <w:p w14:paraId="5E34D6A0" w14:textId="77777777" w:rsidR="00DD755D" w:rsidRPr="00FC1173" w:rsidRDefault="00DD755D" w:rsidP="00D17561">
            <w:pPr>
              <w:pStyle w:val="ListParagraph"/>
              <w:numPr>
                <w:ilvl w:val="0"/>
                <w:numId w:val="118"/>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Design specific arrangements for benefit-sharing (e.g. financial benefits) and testing of financial incentives and tools, including analysis of Payment for Ecosystem Services and Carbon Credits, tax deductions, credits, etc. (Combined with Output 1.3) (Approx 1.5 MM in Year 4) = $20,000</w:t>
            </w:r>
          </w:p>
        </w:tc>
      </w:tr>
      <w:tr w:rsidR="00DD755D" w:rsidRPr="00FC1173" w14:paraId="10094C6D" w14:textId="77777777" w:rsidTr="00D32FA2">
        <w:trPr>
          <w:trHeight w:val="296"/>
        </w:trPr>
        <w:tc>
          <w:tcPr>
            <w:tcW w:w="450" w:type="dxa"/>
            <w:shd w:val="clear" w:color="auto" w:fill="auto"/>
            <w:vAlign w:val="center"/>
            <w:hideMark/>
          </w:tcPr>
          <w:p w14:paraId="159A5D29" w14:textId="77777777" w:rsidR="00DD755D" w:rsidRPr="00FC1173" w:rsidRDefault="00DD755D" w:rsidP="00D32FA2">
            <w:pPr>
              <w:spacing w:after="0"/>
              <w:jc w:val="center"/>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11</w:t>
            </w:r>
          </w:p>
        </w:tc>
        <w:tc>
          <w:tcPr>
            <w:tcW w:w="13860" w:type="dxa"/>
            <w:shd w:val="clear" w:color="auto" w:fill="auto"/>
            <w:vAlign w:val="center"/>
          </w:tcPr>
          <w:p w14:paraId="5DF4A351" w14:textId="77777777" w:rsidR="00DD755D" w:rsidRPr="00FC1173" w:rsidRDefault="00DD755D" w:rsidP="00D32FA2">
            <w:pPr>
              <w:spacing w:after="0"/>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Cost of hiring National Consultants for:</w:t>
            </w:r>
          </w:p>
          <w:p w14:paraId="0D2A47D3" w14:textId="77777777" w:rsidR="00DD755D" w:rsidRDefault="00DD755D" w:rsidP="00D17561">
            <w:pPr>
              <w:pStyle w:val="ListParagraph"/>
              <w:numPr>
                <w:ilvl w:val="0"/>
                <w:numId w:val="127"/>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Incorporate information from state level reviews into state planning documents and develop state specific EDRR plans that are integrated into ILSMPs; include national mapping (CRB, freshwater fish from 1.2) into State plans ($1,000 x 7 states per year x 3 years) = $21,000</w:t>
            </w:r>
          </w:p>
          <w:p w14:paraId="2A12249F" w14:textId="77777777" w:rsidR="00DD755D" w:rsidRPr="00FC1173" w:rsidRDefault="00DD755D" w:rsidP="00D17561">
            <w:pPr>
              <w:pStyle w:val="ListParagraph"/>
              <w:numPr>
                <w:ilvl w:val="0"/>
                <w:numId w:val="127"/>
              </w:numPr>
              <w:contextualSpacing/>
              <w:jc w:val="both"/>
              <w:rPr>
                <w:rFonts w:asciiTheme="majorHAnsi" w:eastAsia="Times New Roman" w:hAnsiTheme="majorHAnsi"/>
                <w:color w:val="000000"/>
                <w:sz w:val="16"/>
                <w:szCs w:val="16"/>
              </w:rPr>
            </w:pPr>
            <w:r>
              <w:rPr>
                <w:rFonts w:asciiTheme="majorHAnsi" w:eastAsia="Times New Roman" w:hAnsiTheme="majorHAnsi"/>
                <w:color w:val="000000"/>
                <w:sz w:val="16"/>
                <w:szCs w:val="16"/>
              </w:rPr>
              <w:lastRenderedPageBreak/>
              <w:t>A</w:t>
            </w:r>
            <w:r w:rsidRPr="00FC1173">
              <w:rPr>
                <w:rFonts w:asciiTheme="majorHAnsi" w:eastAsia="Times New Roman" w:hAnsiTheme="majorHAnsi"/>
                <w:color w:val="000000"/>
                <w:sz w:val="16"/>
                <w:szCs w:val="16"/>
              </w:rPr>
              <w:t>ssist</w:t>
            </w:r>
            <w:r>
              <w:rPr>
                <w:rFonts w:asciiTheme="majorHAnsi" w:eastAsia="Times New Roman" w:hAnsiTheme="majorHAnsi"/>
                <w:color w:val="000000"/>
                <w:sz w:val="16"/>
                <w:szCs w:val="16"/>
              </w:rPr>
              <w:t>ing</w:t>
            </w:r>
            <w:r w:rsidRPr="00FC1173">
              <w:rPr>
                <w:rFonts w:asciiTheme="majorHAnsi" w:eastAsia="Times New Roman" w:hAnsiTheme="majorHAnsi"/>
                <w:color w:val="000000"/>
                <w:sz w:val="16"/>
                <w:szCs w:val="16"/>
              </w:rPr>
              <w:t xml:space="preserve"> with preparation of rehabilitation and restoration plans for the identified restoration sites ($5,000 x 2 years) (Years 4-5) = $10,000</w:t>
            </w:r>
          </w:p>
          <w:p w14:paraId="1513BFBB" w14:textId="77777777" w:rsidR="00DD755D" w:rsidRPr="00FC1173" w:rsidRDefault="00DD755D" w:rsidP="00D17561">
            <w:pPr>
              <w:pStyle w:val="ListParagraph"/>
              <w:numPr>
                <w:ilvl w:val="0"/>
                <w:numId w:val="127"/>
              </w:numPr>
              <w:contextualSpacing/>
              <w:jc w:val="both"/>
              <w:rPr>
                <w:rFonts w:asciiTheme="majorHAnsi" w:eastAsia="Times New Roman" w:hAnsiTheme="majorHAnsi"/>
                <w:color w:val="000000"/>
                <w:sz w:val="16"/>
                <w:szCs w:val="16"/>
              </w:rPr>
            </w:pPr>
            <w:r>
              <w:rPr>
                <w:rFonts w:asciiTheme="majorHAnsi" w:eastAsia="Times New Roman" w:hAnsiTheme="majorHAnsi"/>
                <w:color w:val="000000"/>
                <w:sz w:val="16"/>
                <w:szCs w:val="16"/>
              </w:rPr>
              <w:t>D</w:t>
            </w:r>
            <w:r w:rsidRPr="00FC1173">
              <w:rPr>
                <w:rFonts w:asciiTheme="majorHAnsi" w:eastAsia="Times New Roman" w:hAnsiTheme="majorHAnsi"/>
                <w:color w:val="000000"/>
                <w:sz w:val="16"/>
                <w:szCs w:val="16"/>
              </w:rPr>
              <w:t>ocument</w:t>
            </w:r>
            <w:r>
              <w:rPr>
                <w:rFonts w:asciiTheme="majorHAnsi" w:eastAsia="Times New Roman" w:hAnsiTheme="majorHAnsi"/>
                <w:color w:val="000000"/>
                <w:sz w:val="16"/>
                <w:szCs w:val="16"/>
              </w:rPr>
              <w:t>ing and disseminating</w:t>
            </w:r>
            <w:r w:rsidRPr="00FC1173">
              <w:rPr>
                <w:rFonts w:asciiTheme="majorHAnsi" w:eastAsia="Times New Roman" w:hAnsiTheme="majorHAnsi"/>
                <w:color w:val="000000"/>
                <w:sz w:val="16"/>
                <w:szCs w:val="16"/>
              </w:rPr>
              <w:t xml:space="preserve"> successes and failures of restoration efforts (on paper, via the Internet, and by meetings) (Year 4 and Year 6) = $12,000</w:t>
            </w:r>
          </w:p>
          <w:p w14:paraId="31AF25DA" w14:textId="77777777" w:rsidR="00DD755D" w:rsidRPr="00FC1173" w:rsidRDefault="00DD755D" w:rsidP="00D17561">
            <w:pPr>
              <w:pStyle w:val="ListParagraph"/>
              <w:numPr>
                <w:ilvl w:val="0"/>
                <w:numId w:val="127"/>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Preparation of site-specific plans for HCVFs and HCVMAs, including for sustainable tourism (e.g. identification of tourism products); including biosecurity activities (Development of protocols for conservation of species and removal of IAS) (Years 2-3) = $20,000</w:t>
            </w:r>
          </w:p>
          <w:p w14:paraId="274BE986" w14:textId="77777777" w:rsidR="00DD755D" w:rsidRPr="00FC1173" w:rsidRDefault="00DD755D" w:rsidP="00D17561">
            <w:pPr>
              <w:pStyle w:val="ListParagraph"/>
              <w:numPr>
                <w:ilvl w:val="0"/>
                <w:numId w:val="127"/>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Review of best practices and selection of appropriate ones for the 5 key sectors (with an emphasis on land restoration) (Combined with Output 1.3 also on Best Practices) (Year 1) = $10,000</w:t>
            </w:r>
          </w:p>
          <w:p w14:paraId="264A7E8A" w14:textId="77777777" w:rsidR="00DD755D" w:rsidRPr="00FC1173" w:rsidRDefault="00DD755D" w:rsidP="00D17561">
            <w:pPr>
              <w:pStyle w:val="ListParagraph"/>
              <w:numPr>
                <w:ilvl w:val="0"/>
                <w:numId w:val="127"/>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Preparation of a Restoration Manual (Year 5) = $10,000</w:t>
            </w:r>
          </w:p>
          <w:p w14:paraId="12E54B34" w14:textId="77777777" w:rsidR="00DD755D" w:rsidRPr="00FC1173" w:rsidRDefault="00DD755D" w:rsidP="00D17561">
            <w:pPr>
              <w:pStyle w:val="ListParagraph"/>
              <w:numPr>
                <w:ilvl w:val="0"/>
                <w:numId w:val="127"/>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Independently analyze, recommend, and help s</w:t>
            </w:r>
          </w:p>
          <w:p w14:paraId="0182BFEB" w14:textId="77777777" w:rsidR="00DD755D" w:rsidRPr="00FC1173" w:rsidRDefault="00DD755D" w:rsidP="00D17561">
            <w:pPr>
              <w:pStyle w:val="ListParagraph"/>
              <w:numPr>
                <w:ilvl w:val="0"/>
                <w:numId w:val="127"/>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et up and agree on the direct financing mechanisms and selection/evaluation of best practices by states based on the outcomes of ILSMPs; including criteria, reporting, and standards (Years 2-3) = $10,000</w:t>
            </w:r>
          </w:p>
        </w:tc>
      </w:tr>
      <w:tr w:rsidR="00DD755D" w:rsidRPr="00FC1173" w14:paraId="456D62BE" w14:textId="77777777" w:rsidTr="00D32FA2">
        <w:trPr>
          <w:trHeight w:val="300"/>
        </w:trPr>
        <w:tc>
          <w:tcPr>
            <w:tcW w:w="450" w:type="dxa"/>
            <w:shd w:val="clear" w:color="auto" w:fill="auto"/>
            <w:vAlign w:val="center"/>
            <w:hideMark/>
          </w:tcPr>
          <w:p w14:paraId="4FC5B1F6" w14:textId="77777777" w:rsidR="00DD755D" w:rsidRPr="00FC1173" w:rsidRDefault="00DD755D" w:rsidP="00D32FA2">
            <w:pPr>
              <w:spacing w:after="0"/>
              <w:jc w:val="center"/>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lastRenderedPageBreak/>
              <w:t>12</w:t>
            </w:r>
          </w:p>
        </w:tc>
        <w:tc>
          <w:tcPr>
            <w:tcW w:w="13860" w:type="dxa"/>
            <w:shd w:val="clear" w:color="auto" w:fill="auto"/>
            <w:vAlign w:val="center"/>
          </w:tcPr>
          <w:p w14:paraId="6E4910D4" w14:textId="77777777" w:rsidR="00DD755D" w:rsidRPr="00FC1173" w:rsidRDefault="00DD755D" w:rsidP="00D32FA2">
            <w:pPr>
              <w:spacing w:after="0"/>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Following government procurement protocols to contract law firms, NGOs, or companies to:</w:t>
            </w:r>
          </w:p>
          <w:p w14:paraId="0417911A" w14:textId="77777777" w:rsidR="00DD755D" w:rsidRPr="00FC1173" w:rsidRDefault="00DD755D" w:rsidP="00D17561">
            <w:pPr>
              <w:pStyle w:val="ListParagraph"/>
              <w:numPr>
                <w:ilvl w:val="0"/>
                <w:numId w:val="128"/>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Lead participatory visioning to start integrated planning ($1,000 per state x 7 states x 2 years) (Years 1-2) = $14,000</w:t>
            </w:r>
          </w:p>
          <w:p w14:paraId="17263E22" w14:textId="77777777" w:rsidR="00DD755D" w:rsidRPr="00FC1173" w:rsidRDefault="00DD755D" w:rsidP="00D17561">
            <w:pPr>
              <w:pStyle w:val="ListParagraph"/>
              <w:numPr>
                <w:ilvl w:val="0"/>
                <w:numId w:val="128"/>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Coordinate cooperative drafting and finalization of the ILSMP through consultations and participatory analyses ($5,000 per year x 2 years) (Years 2-3) = $10,000</w:t>
            </w:r>
          </w:p>
          <w:p w14:paraId="312A4DDB" w14:textId="77777777" w:rsidR="00DD755D" w:rsidRPr="00FC1173" w:rsidRDefault="00DD755D" w:rsidP="00D17561">
            <w:pPr>
              <w:pStyle w:val="ListParagraph"/>
              <w:numPr>
                <w:ilvl w:val="0"/>
                <w:numId w:val="128"/>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Facilitate states through planning ($15,000 x year x 3 years (approx. $2000 per state per year)) (Years 2-4) = $45,000</w:t>
            </w:r>
          </w:p>
          <w:p w14:paraId="3EF9AA8B" w14:textId="77777777" w:rsidR="00DD755D" w:rsidRPr="00FC1173" w:rsidRDefault="00DD755D" w:rsidP="00D17561">
            <w:pPr>
              <w:pStyle w:val="ListParagraph"/>
              <w:numPr>
                <w:ilvl w:val="0"/>
                <w:numId w:val="128"/>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(Particularly by engaging high level NGO staff), draft and seek approval for state ILSMPs from elected leadership, as well as private sector / landowners / leaseholders ($5,000 per year x 4 years) (Years 2-5) = $20,000</w:t>
            </w:r>
          </w:p>
          <w:p w14:paraId="0B106420" w14:textId="77777777" w:rsidR="00DD755D" w:rsidRPr="00FC1173" w:rsidRDefault="00DD755D" w:rsidP="00D17561">
            <w:pPr>
              <w:pStyle w:val="ListParagraph"/>
              <w:numPr>
                <w:ilvl w:val="0"/>
                <w:numId w:val="128"/>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Assisting each individual state team to set up and follow best practices for planning teams; or subsuming management planning within tasks of existing land use planning or conservation planning teams ($1,000 x 7 states) (Year 2) = $7,000</w:t>
            </w:r>
          </w:p>
          <w:p w14:paraId="0EDDD9FF" w14:textId="77777777" w:rsidR="00DD755D" w:rsidRPr="00FC1173" w:rsidRDefault="00DD755D" w:rsidP="00D17561">
            <w:pPr>
              <w:pStyle w:val="ListParagraph"/>
              <w:numPr>
                <w:ilvl w:val="0"/>
                <w:numId w:val="128"/>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Collect of information, including IAS, for sites where planning is occurring ($500 x 7 states x 3 years) (Years 2-4) = $10,500</w:t>
            </w:r>
          </w:p>
          <w:p w14:paraId="7000D237" w14:textId="77777777" w:rsidR="00DD755D" w:rsidRPr="00FC1173" w:rsidRDefault="00DD755D" w:rsidP="00D17561">
            <w:pPr>
              <w:pStyle w:val="ListParagraph"/>
              <w:numPr>
                <w:ilvl w:val="0"/>
                <w:numId w:val="128"/>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Support state proposals to access funds for best practices from SGP and GEF6 - e.g. helping state staff to write the proposals ($4000 per year x 4 years) (Years 2-5) = $16,000</w:t>
            </w:r>
          </w:p>
          <w:p w14:paraId="6A8D8C3A" w14:textId="77777777" w:rsidR="00DD755D" w:rsidRDefault="00DD755D" w:rsidP="00D17561">
            <w:pPr>
              <w:pStyle w:val="ListParagraph"/>
              <w:numPr>
                <w:ilvl w:val="0"/>
                <w:numId w:val="128"/>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Preparing and signing of agreements with land owners and beneficiaries (Around $1000 per state) (Years 2-4) = $8,000</w:t>
            </w:r>
          </w:p>
          <w:p w14:paraId="53497DD6" w14:textId="77777777" w:rsidR="00DD755D" w:rsidRPr="00FC1173" w:rsidRDefault="00DD755D" w:rsidP="00D17561">
            <w:pPr>
              <w:pStyle w:val="ListParagraph"/>
              <w:numPr>
                <w:ilvl w:val="0"/>
                <w:numId w:val="128"/>
              </w:numPr>
              <w:contextualSpacing/>
              <w:jc w:val="both"/>
              <w:rPr>
                <w:rFonts w:asciiTheme="majorHAnsi" w:eastAsia="Times New Roman" w:hAnsiTheme="majorHAnsi"/>
                <w:color w:val="000000"/>
                <w:sz w:val="16"/>
                <w:szCs w:val="16"/>
              </w:rPr>
            </w:pPr>
            <w:r>
              <w:rPr>
                <w:rFonts w:asciiTheme="majorHAnsi" w:eastAsia="Times New Roman" w:hAnsiTheme="majorHAnsi"/>
                <w:color w:val="000000"/>
                <w:sz w:val="16"/>
                <w:szCs w:val="16"/>
              </w:rPr>
              <w:t>R</w:t>
            </w:r>
            <w:r w:rsidRPr="00FC1173">
              <w:rPr>
                <w:rFonts w:asciiTheme="majorHAnsi" w:eastAsia="Times New Roman" w:hAnsiTheme="majorHAnsi"/>
                <w:color w:val="000000"/>
                <w:sz w:val="16"/>
                <w:szCs w:val="16"/>
              </w:rPr>
              <w:t xml:space="preserve">elease </w:t>
            </w:r>
            <w:r>
              <w:rPr>
                <w:rFonts w:asciiTheme="majorHAnsi" w:eastAsia="Times New Roman" w:hAnsiTheme="majorHAnsi"/>
                <w:color w:val="000000"/>
                <w:sz w:val="16"/>
                <w:szCs w:val="16"/>
              </w:rPr>
              <w:t xml:space="preserve">and manage </w:t>
            </w:r>
            <w:r w:rsidRPr="00FC1173">
              <w:rPr>
                <w:rFonts w:asciiTheme="majorHAnsi" w:eastAsia="Times New Roman" w:hAnsiTheme="majorHAnsi"/>
                <w:color w:val="000000"/>
                <w:sz w:val="16"/>
                <w:szCs w:val="16"/>
              </w:rPr>
              <w:t>"Calls for Proposals" or open funding window; assist states with proposal planning, access of direct financing, and use of funds, including reporting ($2,000 x 5 years) = $10,000</w:t>
            </w:r>
          </w:p>
        </w:tc>
      </w:tr>
      <w:tr w:rsidR="00DD755D" w:rsidRPr="00FC1173" w14:paraId="3D8A80D5" w14:textId="77777777" w:rsidTr="00D32FA2">
        <w:trPr>
          <w:trHeight w:val="584"/>
        </w:trPr>
        <w:tc>
          <w:tcPr>
            <w:tcW w:w="450" w:type="dxa"/>
            <w:shd w:val="clear" w:color="auto" w:fill="auto"/>
            <w:vAlign w:val="center"/>
            <w:hideMark/>
          </w:tcPr>
          <w:p w14:paraId="1071F15D" w14:textId="77777777" w:rsidR="00DD755D" w:rsidRPr="00FC1173" w:rsidRDefault="00DD755D" w:rsidP="00D32FA2">
            <w:pPr>
              <w:spacing w:after="0"/>
              <w:jc w:val="center"/>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13</w:t>
            </w:r>
          </w:p>
        </w:tc>
        <w:tc>
          <w:tcPr>
            <w:tcW w:w="13860" w:type="dxa"/>
            <w:shd w:val="clear" w:color="auto" w:fill="auto"/>
            <w:vAlign w:val="center"/>
          </w:tcPr>
          <w:p w14:paraId="197F62D5" w14:textId="77777777" w:rsidR="00DD755D" w:rsidRDefault="00DD755D" w:rsidP="00D32FA2">
            <w:pPr>
              <w:spacing w:after="0"/>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Travel by international consultants to and from Palau, as well as within Palau, to conduct island-wide mapping (Year 1) = $15,000</w:t>
            </w:r>
          </w:p>
          <w:p w14:paraId="7E452432" w14:textId="46FF5241" w:rsidR="001D57AA" w:rsidRPr="00FC1173" w:rsidRDefault="001D57AA" w:rsidP="00D32FA2">
            <w:pPr>
              <w:spacing w:after="0"/>
              <w:rPr>
                <w:rFonts w:asciiTheme="majorHAnsi" w:eastAsia="Times New Roman" w:hAnsiTheme="majorHAnsi"/>
                <w:color w:val="000000"/>
                <w:sz w:val="16"/>
                <w:szCs w:val="16"/>
              </w:rPr>
            </w:pPr>
            <w:r>
              <w:rPr>
                <w:rFonts w:asciiTheme="majorHAnsi" w:eastAsia="Times New Roman" w:hAnsiTheme="majorHAnsi"/>
                <w:color w:val="000000"/>
                <w:sz w:val="16"/>
                <w:szCs w:val="16"/>
              </w:rPr>
              <w:t>V</w:t>
            </w:r>
            <w:r w:rsidRPr="00FC1173">
              <w:rPr>
                <w:rFonts w:asciiTheme="majorHAnsi" w:eastAsia="Times New Roman" w:hAnsiTheme="majorHAnsi"/>
                <w:color w:val="000000"/>
                <w:sz w:val="16"/>
                <w:szCs w:val="16"/>
              </w:rPr>
              <w:t>isit</w:t>
            </w:r>
            <w:r>
              <w:rPr>
                <w:rFonts w:asciiTheme="majorHAnsi" w:eastAsia="Times New Roman" w:hAnsiTheme="majorHAnsi"/>
                <w:color w:val="000000"/>
                <w:sz w:val="16"/>
                <w:szCs w:val="16"/>
              </w:rPr>
              <w:t>ing and working in the field with</w:t>
            </w:r>
            <w:r w:rsidRPr="00FC1173">
              <w:rPr>
                <w:rFonts w:asciiTheme="majorHAnsi" w:eastAsia="Times New Roman" w:hAnsiTheme="majorHAnsi"/>
                <w:color w:val="000000"/>
                <w:sz w:val="16"/>
                <w:szCs w:val="16"/>
              </w:rPr>
              <w:t xml:space="preserve"> each state to link them into national-state novel species reporting network, including state specific walk in reporting service at government office ($2,000 per state x 7 states) (Year 2) = $14,000</w:t>
            </w:r>
          </w:p>
        </w:tc>
      </w:tr>
      <w:tr w:rsidR="00DD755D" w:rsidRPr="00FC1173" w14:paraId="7A6B6851" w14:textId="77777777" w:rsidTr="00D32FA2">
        <w:trPr>
          <w:trHeight w:val="359"/>
        </w:trPr>
        <w:tc>
          <w:tcPr>
            <w:tcW w:w="450" w:type="dxa"/>
            <w:shd w:val="clear" w:color="auto" w:fill="auto"/>
            <w:vAlign w:val="center"/>
            <w:hideMark/>
          </w:tcPr>
          <w:p w14:paraId="057D5029" w14:textId="77777777" w:rsidR="00DD755D" w:rsidRPr="00FC1173" w:rsidRDefault="00DD755D" w:rsidP="00D32FA2">
            <w:pPr>
              <w:spacing w:after="0"/>
              <w:jc w:val="center"/>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14</w:t>
            </w:r>
          </w:p>
        </w:tc>
        <w:tc>
          <w:tcPr>
            <w:tcW w:w="13860" w:type="dxa"/>
            <w:shd w:val="clear" w:color="auto" w:fill="auto"/>
            <w:vAlign w:val="center"/>
          </w:tcPr>
          <w:p w14:paraId="3378F423" w14:textId="20C752BB" w:rsidR="00DD755D" w:rsidRPr="00FC1173" w:rsidRDefault="00A37488" w:rsidP="00D32FA2">
            <w:pPr>
              <w:spacing w:after="0"/>
              <w:rPr>
                <w:rFonts w:asciiTheme="majorHAnsi" w:eastAsia="Times New Roman" w:hAnsiTheme="majorHAnsi"/>
                <w:color w:val="000000"/>
                <w:sz w:val="16"/>
                <w:szCs w:val="16"/>
              </w:rPr>
            </w:pPr>
            <w:r>
              <w:rPr>
                <w:rFonts w:asciiTheme="majorHAnsi" w:eastAsia="Times New Roman" w:hAnsiTheme="majorHAnsi"/>
                <w:color w:val="000000"/>
                <w:sz w:val="16"/>
                <w:szCs w:val="16"/>
              </w:rPr>
              <w:t xml:space="preserve">Grants: </w:t>
            </w:r>
            <w:r w:rsidR="00DD755D" w:rsidRPr="00FC1173">
              <w:rPr>
                <w:rFonts w:asciiTheme="majorHAnsi" w:eastAsia="Times New Roman" w:hAnsiTheme="majorHAnsi"/>
                <w:color w:val="000000"/>
                <w:sz w:val="16"/>
                <w:szCs w:val="16"/>
              </w:rPr>
              <w:t>Starting in Year 2 and following the direct financing mechanism determined by the National Consultant in Output 2.4, directing financing that project states in Babeldaob can access to implement activities, including:</w:t>
            </w:r>
          </w:p>
          <w:p w14:paraId="423AA1E1" w14:textId="77777777" w:rsidR="00DD755D" w:rsidRPr="00FC1173" w:rsidRDefault="00DD755D" w:rsidP="00D17561">
            <w:pPr>
              <w:pStyle w:val="ListParagraph"/>
              <w:numPr>
                <w:ilvl w:val="0"/>
                <w:numId w:val="129"/>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Implementation of best practices within plans (Non-IAS) ($9,000 per year x 5 years) = $45,000</w:t>
            </w:r>
          </w:p>
          <w:p w14:paraId="5E61134C" w14:textId="77777777" w:rsidR="00DD755D" w:rsidRPr="00FC1173" w:rsidRDefault="00DD755D" w:rsidP="00D17561">
            <w:pPr>
              <w:pStyle w:val="ListParagraph"/>
              <w:numPr>
                <w:ilvl w:val="0"/>
                <w:numId w:val="129"/>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Implementation of best practices within plans, (management and removal of IAS) ($6,000 per year x 5 years) = $30,000</w:t>
            </w:r>
          </w:p>
          <w:p w14:paraId="4D2E2D4A" w14:textId="77777777" w:rsidR="00DD755D" w:rsidRPr="00FC1173" w:rsidRDefault="00DD755D" w:rsidP="00D17561">
            <w:pPr>
              <w:pStyle w:val="ListParagraph"/>
              <w:numPr>
                <w:ilvl w:val="0"/>
                <w:numId w:val="129"/>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On the ground efforts including fencing, land restoration, fire prevention, soil amendments, biosecurity, and IAS management ($7,000 in Year 2 and 4) = ($14,000)</w:t>
            </w:r>
          </w:p>
          <w:p w14:paraId="7F8C522F" w14:textId="77777777" w:rsidR="00DD755D" w:rsidRPr="00FC1173" w:rsidRDefault="00DD755D" w:rsidP="00D17561">
            <w:pPr>
              <w:pStyle w:val="ListParagraph"/>
              <w:numPr>
                <w:ilvl w:val="0"/>
                <w:numId w:val="129"/>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On the ground efforts including fencing, land restoration, fire prevention, soil amendments (non IAS) ($7,000 in Year 3 and 5) = ($14,000)</w:t>
            </w:r>
          </w:p>
          <w:p w14:paraId="4539E144" w14:textId="77777777" w:rsidR="00DD755D" w:rsidRPr="00FC1173" w:rsidRDefault="00DD755D" w:rsidP="00D17561">
            <w:pPr>
              <w:pStyle w:val="ListParagraph"/>
              <w:numPr>
                <w:ilvl w:val="0"/>
                <w:numId w:val="129"/>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Trials to manage Coconut Rhinoceros Beetle and/or Freshwater fish ($12,000 per year x 3 years) = $36,000</w:t>
            </w:r>
          </w:p>
          <w:p w14:paraId="5883C1D9" w14:textId="77777777" w:rsidR="00DD755D" w:rsidRPr="00FC1173" w:rsidRDefault="00DD755D" w:rsidP="00D17561">
            <w:pPr>
              <w:pStyle w:val="ListParagraph"/>
              <w:numPr>
                <w:ilvl w:val="0"/>
                <w:numId w:val="129"/>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Support for individual state's implementation of Best Practices within agriculture, aquaculture, forestry, fisheries, and sustainable tourism; or for IAS management and/or biosecurity, including to acquire Green Certification (Various between $50,000 and $60,000 per year x 5 years) = $280,000</w:t>
            </w:r>
          </w:p>
          <w:p w14:paraId="51B07AFF" w14:textId="77777777" w:rsidR="00DD755D" w:rsidRPr="00FC1173" w:rsidRDefault="00DD755D" w:rsidP="00D17561">
            <w:pPr>
              <w:pStyle w:val="ListParagraph"/>
              <w:numPr>
                <w:ilvl w:val="0"/>
                <w:numId w:val="129"/>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Implement and improve weed management efforts, CRB control efforts, native species use in landscaping, native species use in projects; Develop educational materials and BMPs for use of native species, implement BMPs on native species ($15,000 per year x 5 years) = $75,000</w:t>
            </w:r>
          </w:p>
        </w:tc>
      </w:tr>
      <w:tr w:rsidR="00DD755D" w:rsidRPr="00FC1173" w14:paraId="141FE1A4" w14:textId="77777777" w:rsidTr="00D32FA2">
        <w:trPr>
          <w:trHeight w:val="300"/>
        </w:trPr>
        <w:tc>
          <w:tcPr>
            <w:tcW w:w="450" w:type="dxa"/>
            <w:shd w:val="clear" w:color="auto" w:fill="auto"/>
            <w:vAlign w:val="center"/>
            <w:hideMark/>
          </w:tcPr>
          <w:p w14:paraId="058DE9E9" w14:textId="77777777" w:rsidR="00DD755D" w:rsidRPr="00FC1173" w:rsidRDefault="00DD755D" w:rsidP="00D32FA2">
            <w:pPr>
              <w:spacing w:after="0"/>
              <w:jc w:val="center"/>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15</w:t>
            </w:r>
          </w:p>
        </w:tc>
        <w:tc>
          <w:tcPr>
            <w:tcW w:w="13860" w:type="dxa"/>
            <w:shd w:val="clear" w:color="auto" w:fill="auto"/>
            <w:vAlign w:val="center"/>
          </w:tcPr>
          <w:p w14:paraId="30533423" w14:textId="77777777" w:rsidR="00DD755D" w:rsidRPr="00FC1173" w:rsidRDefault="00DD755D" w:rsidP="00D32FA2">
            <w:pPr>
              <w:spacing w:after="0"/>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Trainings, Workshops, and Meetings as follows:</w:t>
            </w:r>
          </w:p>
          <w:p w14:paraId="0303E7CE" w14:textId="77777777" w:rsidR="00DD755D" w:rsidRPr="00FC1173" w:rsidRDefault="00DD755D" w:rsidP="00D17561">
            <w:pPr>
              <w:pStyle w:val="ListParagraph"/>
              <w:numPr>
                <w:ilvl w:val="0"/>
                <w:numId w:val="130"/>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Building capacity for state level planners to utilize tools from Output 1.2 (e.g. use tools and framework and standards and areas for biosecurity and biodiversity integration); adopt local criteria for plans to capture HCVFs, HCVMRs, climate adaptation, suitability, and economic development ($2,000 x 7 states) (Year 2) = $14,000</w:t>
            </w:r>
          </w:p>
          <w:p w14:paraId="47E06915" w14:textId="77777777" w:rsidR="00DD755D" w:rsidRPr="00FC1173" w:rsidRDefault="00DD755D" w:rsidP="00D17561">
            <w:pPr>
              <w:pStyle w:val="ListParagraph"/>
              <w:numPr>
                <w:ilvl w:val="0"/>
                <w:numId w:val="130"/>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Meetings as part of International Consultant Outreach to create political support for ILSMPs (Year 2) = $6,000</w:t>
            </w:r>
          </w:p>
          <w:p w14:paraId="072C1AA9" w14:textId="77777777" w:rsidR="00DD755D" w:rsidRPr="00FC1173" w:rsidRDefault="00DD755D" w:rsidP="00D17561">
            <w:pPr>
              <w:pStyle w:val="ListParagraph"/>
              <w:numPr>
                <w:ilvl w:val="0"/>
                <w:numId w:val="130"/>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Meetings to set up planning teams for each state and assist with resolutions/legislation ($1,000 per state x 2 years) (Years 1-2) = $14,000</w:t>
            </w:r>
          </w:p>
          <w:p w14:paraId="42076936" w14:textId="77777777" w:rsidR="00DD755D" w:rsidRPr="00FC1173" w:rsidRDefault="00DD755D" w:rsidP="00D17561">
            <w:pPr>
              <w:pStyle w:val="ListParagraph"/>
              <w:numPr>
                <w:ilvl w:val="0"/>
                <w:numId w:val="130"/>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Political advocacy to determine boundaries and management regimes for 15,000 ha of new protected areas and community-managed areas, including passing legislation/resolutions (Year 4) = $3,000</w:t>
            </w:r>
          </w:p>
          <w:p w14:paraId="315C0FB7" w14:textId="77777777" w:rsidR="00DD755D" w:rsidRPr="00FC1173" w:rsidRDefault="00DD755D" w:rsidP="00D17561">
            <w:pPr>
              <w:pStyle w:val="ListParagraph"/>
              <w:numPr>
                <w:ilvl w:val="0"/>
                <w:numId w:val="130"/>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Capacity building for management of HCVFs (Year 3) = $5,000</w:t>
            </w:r>
          </w:p>
          <w:p w14:paraId="33D3A3D1" w14:textId="77777777" w:rsidR="00DD755D" w:rsidRPr="00FC1173" w:rsidRDefault="00DD755D" w:rsidP="00D17561">
            <w:pPr>
              <w:pStyle w:val="ListParagraph"/>
              <w:numPr>
                <w:ilvl w:val="0"/>
                <w:numId w:val="130"/>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Disseminate and conduct training/Capacity Building programs on best practices, including use of native species (Declining amount every year, from $5,000 in Year 2 to $2,000 in Year 6) = $15,000.</w:t>
            </w:r>
          </w:p>
          <w:p w14:paraId="59405594" w14:textId="77777777" w:rsidR="00DD755D" w:rsidRPr="00FC1173" w:rsidRDefault="00DD755D" w:rsidP="00D17561">
            <w:pPr>
              <w:pStyle w:val="ListParagraph"/>
              <w:numPr>
                <w:ilvl w:val="0"/>
                <w:numId w:val="130"/>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Training state core EDRR team members at the state level (Year 2) = $16,000</w:t>
            </w:r>
          </w:p>
        </w:tc>
      </w:tr>
      <w:tr w:rsidR="00DD755D" w:rsidRPr="00FC1173" w14:paraId="718DBBC4" w14:textId="77777777" w:rsidTr="00D32FA2">
        <w:trPr>
          <w:trHeight w:val="300"/>
        </w:trPr>
        <w:tc>
          <w:tcPr>
            <w:tcW w:w="450" w:type="dxa"/>
            <w:shd w:val="clear" w:color="auto" w:fill="auto"/>
            <w:vAlign w:val="center"/>
            <w:hideMark/>
          </w:tcPr>
          <w:p w14:paraId="26200002" w14:textId="77777777" w:rsidR="00DD755D" w:rsidRPr="00FC1173" w:rsidRDefault="00DD755D" w:rsidP="00D32FA2">
            <w:pPr>
              <w:spacing w:after="0"/>
              <w:jc w:val="center"/>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16</w:t>
            </w:r>
          </w:p>
        </w:tc>
        <w:tc>
          <w:tcPr>
            <w:tcW w:w="13860" w:type="dxa"/>
            <w:shd w:val="clear" w:color="auto" w:fill="auto"/>
            <w:vAlign w:val="center"/>
          </w:tcPr>
          <w:p w14:paraId="34AD25BE" w14:textId="678C8373" w:rsidR="00DD755D" w:rsidRPr="00FC1173" w:rsidRDefault="00EA4043" w:rsidP="00D32FA2">
            <w:pPr>
              <w:spacing w:after="0"/>
              <w:rPr>
                <w:rFonts w:asciiTheme="majorHAnsi" w:eastAsia="Times New Roman" w:hAnsiTheme="majorHAnsi"/>
                <w:color w:val="000000"/>
                <w:sz w:val="16"/>
                <w:szCs w:val="16"/>
              </w:rPr>
            </w:pPr>
            <w:r>
              <w:rPr>
                <w:rFonts w:asciiTheme="majorHAnsi" w:eastAsia="Times New Roman" w:hAnsiTheme="majorHAnsi"/>
                <w:color w:val="000000"/>
                <w:sz w:val="16"/>
                <w:szCs w:val="16"/>
              </w:rPr>
              <w:t>Miscellaneous (</w:t>
            </w:r>
            <w:r w:rsidR="00DD755D" w:rsidRPr="00FC1173">
              <w:rPr>
                <w:rFonts w:asciiTheme="majorHAnsi" w:eastAsia="Times New Roman" w:hAnsiTheme="majorHAnsi"/>
                <w:color w:val="000000"/>
                <w:sz w:val="16"/>
                <w:szCs w:val="16"/>
              </w:rPr>
              <w:t xml:space="preserve">Supplies </w:t>
            </w:r>
            <w:r w:rsidR="00F3624F">
              <w:rPr>
                <w:rFonts w:asciiTheme="majorHAnsi" w:eastAsia="Times New Roman" w:hAnsiTheme="majorHAnsi"/>
                <w:color w:val="000000"/>
                <w:sz w:val="16"/>
                <w:szCs w:val="16"/>
              </w:rPr>
              <w:t>and consumables</w:t>
            </w:r>
            <w:r>
              <w:rPr>
                <w:rFonts w:asciiTheme="majorHAnsi" w:eastAsia="Times New Roman" w:hAnsiTheme="majorHAnsi"/>
                <w:color w:val="000000"/>
                <w:sz w:val="16"/>
                <w:szCs w:val="16"/>
              </w:rPr>
              <w:t>0</w:t>
            </w:r>
            <w:r w:rsidR="00F3624F">
              <w:rPr>
                <w:rFonts w:asciiTheme="majorHAnsi" w:eastAsia="Times New Roman" w:hAnsiTheme="majorHAnsi"/>
                <w:color w:val="000000"/>
                <w:sz w:val="16"/>
                <w:szCs w:val="16"/>
              </w:rPr>
              <w:t xml:space="preserve"> </w:t>
            </w:r>
            <w:r w:rsidR="00DD755D" w:rsidRPr="00FC1173">
              <w:rPr>
                <w:rFonts w:asciiTheme="majorHAnsi" w:eastAsia="Times New Roman" w:hAnsiTheme="majorHAnsi"/>
                <w:color w:val="000000"/>
                <w:sz w:val="16"/>
                <w:szCs w:val="16"/>
              </w:rPr>
              <w:t>needed for planning, particularly for visiting field sites ($3,500 per year x 4 years) (Years 2-5) = $14,000</w:t>
            </w:r>
          </w:p>
        </w:tc>
      </w:tr>
      <w:tr w:rsidR="00DD755D" w:rsidRPr="00FC1173" w14:paraId="702056E2" w14:textId="77777777" w:rsidTr="00D32FA2">
        <w:trPr>
          <w:trHeight w:val="260"/>
        </w:trPr>
        <w:tc>
          <w:tcPr>
            <w:tcW w:w="450" w:type="dxa"/>
            <w:shd w:val="clear" w:color="auto" w:fill="auto"/>
            <w:vAlign w:val="center"/>
            <w:hideMark/>
          </w:tcPr>
          <w:p w14:paraId="656954EC" w14:textId="77777777" w:rsidR="00DD755D" w:rsidRPr="00FC1173" w:rsidRDefault="00DD755D" w:rsidP="00D32FA2">
            <w:pPr>
              <w:spacing w:after="0"/>
              <w:jc w:val="center"/>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17</w:t>
            </w:r>
          </w:p>
        </w:tc>
        <w:tc>
          <w:tcPr>
            <w:tcW w:w="13860" w:type="dxa"/>
            <w:shd w:val="clear" w:color="auto" w:fill="auto"/>
            <w:vAlign w:val="center"/>
          </w:tcPr>
          <w:p w14:paraId="14EBD25B" w14:textId="77777777" w:rsidR="00DD755D" w:rsidRPr="00FC1173" w:rsidRDefault="00DD755D" w:rsidP="00D32FA2">
            <w:pPr>
              <w:spacing w:after="0"/>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Rental and maintenance of boats and vehicles to support field visits and planning, particularly for:</w:t>
            </w:r>
          </w:p>
          <w:p w14:paraId="35F1A0C3" w14:textId="77777777" w:rsidR="00DD755D" w:rsidRPr="00FC1173" w:rsidRDefault="00DD755D" w:rsidP="00D17561">
            <w:pPr>
              <w:pStyle w:val="ListParagraph"/>
              <w:numPr>
                <w:ilvl w:val="0"/>
                <w:numId w:val="131"/>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Cooperative drafting and finalization of the ILSMP through consultations and participatory analyses ($2,000 x 3 years) (Years 1-3) = $6,000</w:t>
            </w:r>
          </w:p>
          <w:p w14:paraId="11B1190E" w14:textId="77777777" w:rsidR="00DD755D" w:rsidRPr="00FC1173" w:rsidRDefault="00DD755D" w:rsidP="00D17561">
            <w:pPr>
              <w:pStyle w:val="ListParagraph"/>
              <w:numPr>
                <w:ilvl w:val="0"/>
                <w:numId w:val="131"/>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Support for meetings and field trips ($500 x 7 states x 4 years) (Years 2-5) = $14,000</w:t>
            </w:r>
          </w:p>
          <w:p w14:paraId="521AFB1D" w14:textId="77777777" w:rsidR="00DD755D" w:rsidRPr="00FC1173" w:rsidRDefault="00DD755D" w:rsidP="00D17561">
            <w:pPr>
              <w:pStyle w:val="ListParagraph"/>
              <w:numPr>
                <w:ilvl w:val="0"/>
                <w:numId w:val="131"/>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lastRenderedPageBreak/>
              <w:t>Collection of information, including IAS, for sites ($500 x 7 states x 3 years) (Years 2-5) = $10,500</w:t>
            </w:r>
          </w:p>
        </w:tc>
      </w:tr>
      <w:tr w:rsidR="00DD755D" w:rsidRPr="00FC1173" w14:paraId="41744A89" w14:textId="77777777" w:rsidTr="00D32FA2">
        <w:trPr>
          <w:trHeight w:val="273"/>
        </w:trPr>
        <w:tc>
          <w:tcPr>
            <w:tcW w:w="450" w:type="dxa"/>
            <w:shd w:val="clear" w:color="auto" w:fill="auto"/>
            <w:vAlign w:val="center"/>
          </w:tcPr>
          <w:p w14:paraId="70CA641F" w14:textId="1EC4CD9A" w:rsidR="00DD755D" w:rsidRPr="00FC1173" w:rsidRDefault="00EA4043" w:rsidP="00EA4043">
            <w:pPr>
              <w:spacing w:after="0"/>
              <w:jc w:val="center"/>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lastRenderedPageBreak/>
              <w:t>1</w:t>
            </w:r>
            <w:r>
              <w:rPr>
                <w:rFonts w:asciiTheme="majorHAnsi" w:eastAsia="Times New Roman" w:hAnsiTheme="majorHAnsi"/>
                <w:color w:val="000000"/>
                <w:sz w:val="16"/>
                <w:szCs w:val="16"/>
              </w:rPr>
              <w:t>8</w:t>
            </w:r>
          </w:p>
        </w:tc>
        <w:tc>
          <w:tcPr>
            <w:tcW w:w="13860" w:type="dxa"/>
            <w:shd w:val="clear" w:color="auto" w:fill="auto"/>
            <w:vAlign w:val="center"/>
          </w:tcPr>
          <w:p w14:paraId="1F6FF785" w14:textId="77777777" w:rsidR="00DD755D" w:rsidRPr="00FC1173" w:rsidRDefault="00DD755D" w:rsidP="00D32FA2">
            <w:pPr>
              <w:spacing w:after="0"/>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Fees for international consultants/expert recruited by MNRET to:</w:t>
            </w:r>
          </w:p>
          <w:p w14:paraId="25775F57" w14:textId="77777777" w:rsidR="00DD755D" w:rsidRPr="00FC1173" w:rsidRDefault="00DD755D" w:rsidP="00D17561">
            <w:pPr>
              <w:pStyle w:val="ListParagraph"/>
              <w:numPr>
                <w:ilvl w:val="0"/>
                <w:numId w:val="119"/>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Conduct political advocacy and outreach to create political support for ILSMPs (Combined with Output 2.1) (Approx 0.5 MM in Year 1) = $2,000</w:t>
            </w:r>
          </w:p>
          <w:p w14:paraId="6F916505" w14:textId="77777777" w:rsidR="00DD755D" w:rsidRPr="00FC1173" w:rsidRDefault="00DD755D" w:rsidP="00D17561">
            <w:pPr>
              <w:pStyle w:val="ListParagraph"/>
              <w:numPr>
                <w:ilvl w:val="0"/>
                <w:numId w:val="119"/>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Conduct Island-wide mapping of environmental and socio-economic factors (Combined with Output  3.1) (Approx 7 MM in Year 1) = $80,000</w:t>
            </w:r>
          </w:p>
          <w:p w14:paraId="37DD578B" w14:textId="24A56A08" w:rsidR="00DD755D" w:rsidRPr="00FC1173" w:rsidRDefault="00DD755D" w:rsidP="00D17561">
            <w:pPr>
              <w:pStyle w:val="ListParagraph"/>
              <w:numPr>
                <w:ilvl w:val="0"/>
                <w:numId w:val="119"/>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Conduct SEA Process for ILSMP (impact assessment, analysis of alternatives, monitoring of plan); independent review of plans to ensure alignment with national biodiversity and biosecurity policies (Combined with Out</w:t>
            </w:r>
            <w:r w:rsidR="004348B5">
              <w:rPr>
                <w:rFonts w:asciiTheme="majorHAnsi" w:eastAsia="Times New Roman" w:hAnsiTheme="majorHAnsi"/>
                <w:color w:val="000000"/>
                <w:sz w:val="16"/>
                <w:szCs w:val="16"/>
              </w:rPr>
              <w:t>put</w:t>
            </w:r>
            <w:r w:rsidRPr="00FC1173">
              <w:rPr>
                <w:rFonts w:asciiTheme="majorHAnsi" w:eastAsia="Times New Roman" w:hAnsiTheme="majorHAnsi"/>
                <w:color w:val="000000"/>
                <w:sz w:val="16"/>
                <w:szCs w:val="16"/>
              </w:rPr>
              <w:t xml:space="preserve"> 1.2 and 3.1) (Years 2-3) (Approximately 0.5 MM in Year 2) = $10,000</w:t>
            </w:r>
          </w:p>
        </w:tc>
      </w:tr>
      <w:tr w:rsidR="00DD755D" w:rsidRPr="00FC1173" w14:paraId="3A5FFB46" w14:textId="77777777" w:rsidTr="00D32FA2">
        <w:trPr>
          <w:trHeight w:val="269"/>
        </w:trPr>
        <w:tc>
          <w:tcPr>
            <w:tcW w:w="450" w:type="dxa"/>
            <w:shd w:val="clear" w:color="auto" w:fill="auto"/>
            <w:vAlign w:val="center"/>
          </w:tcPr>
          <w:p w14:paraId="255C37D9" w14:textId="7F103E05" w:rsidR="00DD755D" w:rsidRPr="00FC1173" w:rsidRDefault="00EA4043" w:rsidP="00D32FA2">
            <w:pPr>
              <w:spacing w:after="0"/>
              <w:jc w:val="center"/>
              <w:rPr>
                <w:rFonts w:asciiTheme="majorHAnsi" w:eastAsia="Times New Roman" w:hAnsiTheme="majorHAnsi"/>
                <w:color w:val="000000"/>
                <w:sz w:val="16"/>
                <w:szCs w:val="16"/>
              </w:rPr>
            </w:pPr>
            <w:r>
              <w:rPr>
                <w:rFonts w:asciiTheme="majorHAnsi" w:eastAsia="Times New Roman" w:hAnsiTheme="majorHAnsi"/>
                <w:color w:val="000000"/>
                <w:sz w:val="16"/>
                <w:szCs w:val="16"/>
              </w:rPr>
              <w:t>19</w:t>
            </w:r>
          </w:p>
        </w:tc>
        <w:tc>
          <w:tcPr>
            <w:tcW w:w="13860" w:type="dxa"/>
            <w:shd w:val="clear" w:color="auto" w:fill="auto"/>
            <w:vAlign w:val="center"/>
          </w:tcPr>
          <w:p w14:paraId="5DD73DA5" w14:textId="77777777" w:rsidR="00DD755D" w:rsidRPr="00FC1173" w:rsidRDefault="00DD755D" w:rsidP="00D32FA2">
            <w:pPr>
              <w:spacing w:after="0"/>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Cost of hiring National Consultants to:</w:t>
            </w:r>
          </w:p>
          <w:p w14:paraId="2564DD87" w14:textId="77777777" w:rsidR="00DD755D" w:rsidRPr="00FC1173" w:rsidRDefault="00DD755D" w:rsidP="00D17561">
            <w:pPr>
              <w:pStyle w:val="ListParagraph"/>
              <w:numPr>
                <w:ilvl w:val="0"/>
                <w:numId w:val="132"/>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Conduct Carrying Capacity Research for Koror, plus state biodiversity, IAS management, and Biosecurity review to assess status, capacity, regulations, and management needs (Years 1-2) = $25,000</w:t>
            </w:r>
          </w:p>
          <w:p w14:paraId="29933DD0" w14:textId="77777777" w:rsidR="00DD755D" w:rsidRPr="00FC1173" w:rsidRDefault="00DD755D" w:rsidP="00D17561">
            <w:pPr>
              <w:pStyle w:val="ListParagraph"/>
              <w:numPr>
                <w:ilvl w:val="0"/>
                <w:numId w:val="132"/>
              </w:numPr>
              <w:contextualSpacing/>
              <w:jc w:val="both"/>
              <w:rPr>
                <w:rFonts w:asciiTheme="majorHAnsi" w:eastAsia="Times New Roman" w:hAnsiTheme="majorHAnsi"/>
                <w:color w:val="000000"/>
                <w:sz w:val="16"/>
                <w:szCs w:val="16"/>
              </w:rPr>
            </w:pPr>
            <w:r>
              <w:rPr>
                <w:rFonts w:asciiTheme="majorHAnsi" w:eastAsia="Times New Roman" w:hAnsiTheme="majorHAnsi"/>
                <w:color w:val="000000"/>
                <w:sz w:val="16"/>
                <w:szCs w:val="16"/>
              </w:rPr>
              <w:t>I</w:t>
            </w:r>
            <w:r w:rsidRPr="00FC1173">
              <w:rPr>
                <w:rFonts w:asciiTheme="majorHAnsi" w:eastAsia="Times New Roman" w:hAnsiTheme="majorHAnsi"/>
                <w:color w:val="000000"/>
                <w:sz w:val="16"/>
                <w:szCs w:val="16"/>
              </w:rPr>
              <w:t>ntegrate information from state level reviews into state tourism framework</w:t>
            </w:r>
            <w:r>
              <w:rPr>
                <w:rFonts w:asciiTheme="majorHAnsi" w:eastAsia="Times New Roman" w:hAnsiTheme="majorHAnsi"/>
                <w:color w:val="000000"/>
                <w:sz w:val="16"/>
                <w:szCs w:val="16"/>
              </w:rPr>
              <w:t>s in Koror and Peleliu</w:t>
            </w:r>
            <w:r w:rsidRPr="00FC1173">
              <w:rPr>
                <w:rFonts w:asciiTheme="majorHAnsi" w:eastAsia="Times New Roman" w:hAnsiTheme="majorHAnsi"/>
                <w:color w:val="000000"/>
                <w:sz w:val="16"/>
                <w:szCs w:val="16"/>
              </w:rPr>
              <w:t xml:space="preserve"> (IAS and Biosecurity portion) (Year 3) = $10,000</w:t>
            </w:r>
          </w:p>
          <w:p w14:paraId="10B73021" w14:textId="77777777" w:rsidR="00DD755D" w:rsidRPr="00FC1173" w:rsidRDefault="00DD755D" w:rsidP="00D17561">
            <w:pPr>
              <w:pStyle w:val="ListParagraph"/>
              <w:numPr>
                <w:ilvl w:val="0"/>
                <w:numId w:val="132"/>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Incorporate information from state level reviews into state planning documents and develop state specific EDRR plans that are integrated into ILSMPs; include national mapping (CRB, freshwater fish from 1.2) into State plans ($1,000 x 2 states per year x 2 years) = $4,000</w:t>
            </w:r>
          </w:p>
          <w:p w14:paraId="5EBE141D" w14:textId="77777777" w:rsidR="00DD755D" w:rsidRPr="00FC1173" w:rsidRDefault="00DD755D" w:rsidP="00D17561">
            <w:pPr>
              <w:pStyle w:val="ListParagraph"/>
              <w:numPr>
                <w:ilvl w:val="0"/>
                <w:numId w:val="132"/>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Update rules and guidelines for leases to support and encourage environmentally friendly practices  (non-IAS) (Years 2-3) = $15,000</w:t>
            </w:r>
          </w:p>
          <w:p w14:paraId="3D168A3B" w14:textId="77777777" w:rsidR="00DD755D" w:rsidRPr="00FC1173" w:rsidRDefault="00DD755D" w:rsidP="00D17561">
            <w:pPr>
              <w:pStyle w:val="ListParagraph"/>
              <w:numPr>
                <w:ilvl w:val="0"/>
                <w:numId w:val="132"/>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Integrate information from state level reviews into Koror state’s tourism framework (non-IAS) (Year 4) = $10,000</w:t>
            </w:r>
          </w:p>
          <w:p w14:paraId="24C1D047" w14:textId="77777777" w:rsidR="00DD755D" w:rsidRPr="00FC1173" w:rsidRDefault="00DD755D" w:rsidP="00D17561">
            <w:pPr>
              <w:pStyle w:val="ListParagraph"/>
              <w:numPr>
                <w:ilvl w:val="0"/>
                <w:numId w:val="132"/>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Develop improved business planning guidelines and protocols and tools to mainstream biodiversity and biosecurity policies, especially for urban businesses (Year 4) = $20,000</w:t>
            </w:r>
          </w:p>
        </w:tc>
      </w:tr>
      <w:tr w:rsidR="00DD755D" w:rsidRPr="00FC1173" w14:paraId="15512B97" w14:textId="77777777" w:rsidTr="00D32FA2">
        <w:trPr>
          <w:trHeight w:val="273"/>
        </w:trPr>
        <w:tc>
          <w:tcPr>
            <w:tcW w:w="450" w:type="dxa"/>
            <w:shd w:val="clear" w:color="auto" w:fill="auto"/>
            <w:vAlign w:val="center"/>
          </w:tcPr>
          <w:p w14:paraId="0F379136" w14:textId="2D28450C" w:rsidR="00DD755D" w:rsidRPr="00FC1173" w:rsidRDefault="00EA4043" w:rsidP="00EA4043">
            <w:pPr>
              <w:spacing w:after="0"/>
              <w:jc w:val="center"/>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2</w:t>
            </w:r>
            <w:r>
              <w:rPr>
                <w:rFonts w:asciiTheme="majorHAnsi" w:eastAsia="Times New Roman" w:hAnsiTheme="majorHAnsi"/>
                <w:color w:val="000000"/>
                <w:sz w:val="16"/>
                <w:szCs w:val="16"/>
              </w:rPr>
              <w:t>0</w:t>
            </w:r>
          </w:p>
        </w:tc>
        <w:tc>
          <w:tcPr>
            <w:tcW w:w="13860" w:type="dxa"/>
            <w:shd w:val="clear" w:color="auto" w:fill="auto"/>
            <w:vAlign w:val="center"/>
          </w:tcPr>
          <w:p w14:paraId="61CA83DB" w14:textId="77777777" w:rsidR="00DD755D" w:rsidRPr="00FC1173" w:rsidRDefault="00DD755D" w:rsidP="00D32FA2">
            <w:pPr>
              <w:spacing w:after="0"/>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Following government procurement protocols to contract law firms, NGOs, or companies to:</w:t>
            </w:r>
          </w:p>
          <w:p w14:paraId="31314E16" w14:textId="77777777" w:rsidR="00DD755D" w:rsidRPr="00FC1173" w:rsidRDefault="00DD755D" w:rsidP="00D17561">
            <w:pPr>
              <w:pStyle w:val="ListParagraph"/>
              <w:numPr>
                <w:ilvl w:val="0"/>
                <w:numId w:val="133"/>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Lead participatory visioning to start integrated planning ($1,500 per state x 2 states x 2 years) (Years 1-2) = $6,000</w:t>
            </w:r>
          </w:p>
          <w:p w14:paraId="4B8D808D" w14:textId="77777777" w:rsidR="00DD755D" w:rsidRPr="00FC1173" w:rsidRDefault="00DD755D" w:rsidP="00D17561">
            <w:pPr>
              <w:pStyle w:val="ListParagraph"/>
              <w:numPr>
                <w:ilvl w:val="0"/>
                <w:numId w:val="133"/>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Coordinate cooperative drafting and finalization of the ILSMP through consultations and participatory analyses ($2,000 in the first year and $5,000 for next 2 years per state) (Years 1-3) = $14,000</w:t>
            </w:r>
          </w:p>
          <w:p w14:paraId="0E8983E8" w14:textId="77777777" w:rsidR="00DD755D" w:rsidRPr="00FC1173" w:rsidRDefault="00DD755D" w:rsidP="00D17561">
            <w:pPr>
              <w:pStyle w:val="ListParagraph"/>
              <w:numPr>
                <w:ilvl w:val="0"/>
                <w:numId w:val="133"/>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Facilitate states through planning ($12,500 per year x 2 years) (Years 2-3) = $25,000</w:t>
            </w:r>
          </w:p>
          <w:p w14:paraId="4C961739" w14:textId="77777777" w:rsidR="00DD755D" w:rsidRPr="00FC1173" w:rsidRDefault="00DD755D" w:rsidP="00D17561">
            <w:pPr>
              <w:pStyle w:val="ListParagraph"/>
              <w:numPr>
                <w:ilvl w:val="0"/>
                <w:numId w:val="133"/>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(Particularly by engaging high level NGO staff), draft and seek approval for state ILSMPs from elected leadership, as well as private sector / landowners / leaseholders (approx. $5,000 per year x 3 years) (Years 2-4) = $12,000</w:t>
            </w:r>
          </w:p>
          <w:p w14:paraId="3505CB89" w14:textId="77777777" w:rsidR="00DD755D" w:rsidRPr="00FC1173" w:rsidRDefault="00DD755D" w:rsidP="00D17561">
            <w:pPr>
              <w:pStyle w:val="ListParagraph"/>
              <w:numPr>
                <w:ilvl w:val="0"/>
                <w:numId w:val="133"/>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Review state legislation and regulations, and draft new laws or regulations to ensure sustainable aquaculture and fisheries (Year 2) = $25,000</w:t>
            </w:r>
          </w:p>
          <w:p w14:paraId="3A5E1AD7" w14:textId="77777777" w:rsidR="00DD755D" w:rsidRPr="00FC1173" w:rsidRDefault="00DD755D" w:rsidP="00D17561">
            <w:pPr>
              <w:pStyle w:val="ListParagraph"/>
              <w:numPr>
                <w:ilvl w:val="0"/>
                <w:numId w:val="133"/>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Update rules and guidelines for leases and environmentally friendly practices; including to support biosecurity and IAS management at the state level (Years 3-6) = $18,000</w:t>
            </w:r>
          </w:p>
          <w:p w14:paraId="47387C4D" w14:textId="77777777" w:rsidR="00DD755D" w:rsidRPr="00FC1173" w:rsidRDefault="00DD755D" w:rsidP="00D17561">
            <w:pPr>
              <w:pStyle w:val="ListParagraph"/>
              <w:numPr>
                <w:ilvl w:val="0"/>
                <w:numId w:val="133"/>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Support for environmentally-friendly business planning</w:t>
            </w:r>
          </w:p>
          <w:p w14:paraId="5D0579C7" w14:textId="77777777" w:rsidR="00DD755D" w:rsidRPr="00FC1173" w:rsidRDefault="00DD755D" w:rsidP="00D17561">
            <w:pPr>
              <w:pStyle w:val="ListParagraph"/>
              <w:numPr>
                <w:ilvl w:val="0"/>
                <w:numId w:val="133"/>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Defining and modifying rules and regulations for penalties and misconduct at the state level (Years 2-3) = $30,000</w:t>
            </w:r>
          </w:p>
          <w:p w14:paraId="361D9F09" w14:textId="77777777" w:rsidR="00DD755D" w:rsidRDefault="00DD755D" w:rsidP="00D17561">
            <w:pPr>
              <w:pStyle w:val="ListParagraph"/>
              <w:numPr>
                <w:ilvl w:val="0"/>
                <w:numId w:val="133"/>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Developing strengthened protocols for fisheries management (Years 3-5) = $27,000</w:t>
            </w:r>
          </w:p>
          <w:p w14:paraId="296AEAA5" w14:textId="77777777" w:rsidR="00DD755D" w:rsidRPr="00FC1173" w:rsidRDefault="00DD755D" w:rsidP="00D17561">
            <w:pPr>
              <w:pStyle w:val="ListParagraph"/>
              <w:numPr>
                <w:ilvl w:val="0"/>
                <w:numId w:val="133"/>
              </w:numPr>
              <w:contextualSpacing/>
              <w:jc w:val="both"/>
              <w:rPr>
                <w:rFonts w:asciiTheme="majorHAnsi" w:eastAsia="Times New Roman" w:hAnsiTheme="majorHAnsi"/>
                <w:color w:val="000000"/>
                <w:sz w:val="16"/>
                <w:szCs w:val="16"/>
              </w:rPr>
            </w:pPr>
            <w:r>
              <w:rPr>
                <w:rFonts w:asciiTheme="majorHAnsi" w:eastAsia="Times New Roman" w:hAnsiTheme="majorHAnsi"/>
                <w:color w:val="000000"/>
                <w:sz w:val="16"/>
                <w:szCs w:val="16"/>
              </w:rPr>
              <w:t>Expand capacity of Koror and Peleliu Biosecurity divisions</w:t>
            </w:r>
            <w:r w:rsidRPr="00FC1173">
              <w:rPr>
                <w:rFonts w:asciiTheme="majorHAnsi" w:eastAsia="Times New Roman" w:hAnsiTheme="majorHAnsi"/>
                <w:color w:val="000000"/>
                <w:sz w:val="16"/>
                <w:szCs w:val="16"/>
              </w:rPr>
              <w:t xml:space="preserve"> ($2,500 per state x 2 years) (Years 2-3) = $10,000</w:t>
            </w:r>
          </w:p>
          <w:p w14:paraId="05B895A2" w14:textId="77777777" w:rsidR="00DD755D" w:rsidRPr="00FC1173" w:rsidRDefault="00DD755D" w:rsidP="00D17561">
            <w:pPr>
              <w:pStyle w:val="ListParagraph"/>
              <w:numPr>
                <w:ilvl w:val="0"/>
                <w:numId w:val="133"/>
              </w:numPr>
              <w:contextualSpacing/>
              <w:jc w:val="both"/>
              <w:rPr>
                <w:rFonts w:asciiTheme="majorHAnsi" w:eastAsia="Times New Roman" w:hAnsiTheme="majorHAnsi"/>
                <w:color w:val="000000"/>
                <w:sz w:val="16"/>
                <w:szCs w:val="16"/>
              </w:rPr>
            </w:pPr>
            <w:r>
              <w:rPr>
                <w:rFonts w:asciiTheme="majorHAnsi" w:eastAsia="Times New Roman" w:hAnsiTheme="majorHAnsi"/>
                <w:color w:val="000000"/>
                <w:sz w:val="16"/>
                <w:szCs w:val="16"/>
              </w:rPr>
              <w:t xml:space="preserve">Expanding capacity </w:t>
            </w:r>
            <w:r w:rsidRPr="00FC1173">
              <w:rPr>
                <w:rFonts w:asciiTheme="majorHAnsi" w:eastAsia="Times New Roman" w:hAnsiTheme="majorHAnsi"/>
                <w:color w:val="000000"/>
                <w:sz w:val="16"/>
                <w:szCs w:val="16"/>
              </w:rPr>
              <w:t>at DFWP to conduct enforcement and surveillance (Declining amount from $20,000 in Year 2 to $10,000 in Year 5) = $60,000</w:t>
            </w:r>
          </w:p>
        </w:tc>
      </w:tr>
      <w:tr w:rsidR="00DD755D" w:rsidRPr="00FC1173" w14:paraId="6F4D8856" w14:textId="77777777" w:rsidTr="00D32FA2">
        <w:trPr>
          <w:trHeight w:val="273"/>
        </w:trPr>
        <w:tc>
          <w:tcPr>
            <w:tcW w:w="450" w:type="dxa"/>
            <w:shd w:val="clear" w:color="auto" w:fill="auto"/>
            <w:vAlign w:val="center"/>
          </w:tcPr>
          <w:p w14:paraId="6601FB1F" w14:textId="7CEDA151" w:rsidR="00DD755D" w:rsidRPr="00FC1173" w:rsidRDefault="00EA4043" w:rsidP="00EA4043">
            <w:pPr>
              <w:spacing w:after="0"/>
              <w:jc w:val="center"/>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2</w:t>
            </w:r>
            <w:r>
              <w:rPr>
                <w:rFonts w:asciiTheme="majorHAnsi" w:eastAsia="Times New Roman" w:hAnsiTheme="majorHAnsi"/>
                <w:color w:val="000000"/>
                <w:sz w:val="16"/>
                <w:szCs w:val="16"/>
              </w:rPr>
              <w:t>1</w:t>
            </w:r>
          </w:p>
        </w:tc>
        <w:tc>
          <w:tcPr>
            <w:tcW w:w="13860" w:type="dxa"/>
            <w:shd w:val="clear" w:color="auto" w:fill="auto"/>
            <w:vAlign w:val="center"/>
          </w:tcPr>
          <w:p w14:paraId="750BC819" w14:textId="77777777" w:rsidR="00DD755D" w:rsidRPr="00FC1173" w:rsidRDefault="00DD755D" w:rsidP="00D32FA2">
            <w:pPr>
              <w:spacing w:after="0"/>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Travel by international consultants to and from Palau, as well as within Palau, to</w:t>
            </w:r>
          </w:p>
          <w:p w14:paraId="6008603D" w14:textId="77777777" w:rsidR="00DD755D" w:rsidRPr="00FC1173" w:rsidRDefault="00DD755D" w:rsidP="00D17561">
            <w:pPr>
              <w:pStyle w:val="ListParagraph"/>
              <w:numPr>
                <w:ilvl w:val="0"/>
                <w:numId w:val="134"/>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Conduct outreach to create political support for ILSMPs (Year 1) = $15,000</w:t>
            </w:r>
          </w:p>
          <w:p w14:paraId="3C60F96C" w14:textId="77777777" w:rsidR="00DD755D" w:rsidRPr="00FC1173" w:rsidRDefault="00DD755D" w:rsidP="00D17561">
            <w:pPr>
              <w:pStyle w:val="ListParagraph"/>
              <w:numPr>
                <w:ilvl w:val="0"/>
                <w:numId w:val="134"/>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Conduct island-wide mapping (Year 1) = $15,000</w:t>
            </w:r>
          </w:p>
        </w:tc>
      </w:tr>
      <w:tr w:rsidR="00DD755D" w:rsidRPr="00FC1173" w14:paraId="31CEC6A0" w14:textId="77777777" w:rsidTr="00D32FA2">
        <w:trPr>
          <w:trHeight w:val="273"/>
        </w:trPr>
        <w:tc>
          <w:tcPr>
            <w:tcW w:w="450" w:type="dxa"/>
            <w:shd w:val="clear" w:color="auto" w:fill="auto"/>
            <w:vAlign w:val="center"/>
          </w:tcPr>
          <w:p w14:paraId="0C743EDC" w14:textId="435296F6" w:rsidR="00DD755D" w:rsidRPr="00FC1173" w:rsidRDefault="00EA4043" w:rsidP="00EA4043">
            <w:pPr>
              <w:spacing w:after="0"/>
              <w:jc w:val="center"/>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2</w:t>
            </w:r>
            <w:r>
              <w:rPr>
                <w:rFonts w:asciiTheme="majorHAnsi" w:eastAsia="Times New Roman" w:hAnsiTheme="majorHAnsi"/>
                <w:color w:val="000000"/>
                <w:sz w:val="16"/>
                <w:szCs w:val="16"/>
              </w:rPr>
              <w:t>2</w:t>
            </w:r>
          </w:p>
        </w:tc>
        <w:tc>
          <w:tcPr>
            <w:tcW w:w="13860" w:type="dxa"/>
            <w:shd w:val="clear" w:color="auto" w:fill="auto"/>
            <w:vAlign w:val="center"/>
          </w:tcPr>
          <w:p w14:paraId="629C3BE3" w14:textId="68A22F08" w:rsidR="00DD755D" w:rsidRPr="00FC1173" w:rsidRDefault="00A37488" w:rsidP="00D32FA2">
            <w:pPr>
              <w:spacing w:after="0"/>
              <w:rPr>
                <w:rFonts w:asciiTheme="majorHAnsi" w:eastAsia="Times New Roman" w:hAnsiTheme="majorHAnsi"/>
                <w:color w:val="000000"/>
                <w:sz w:val="16"/>
                <w:szCs w:val="16"/>
              </w:rPr>
            </w:pPr>
            <w:r>
              <w:rPr>
                <w:rFonts w:asciiTheme="majorHAnsi" w:eastAsia="Times New Roman" w:hAnsiTheme="majorHAnsi"/>
                <w:color w:val="000000"/>
                <w:sz w:val="16"/>
                <w:szCs w:val="16"/>
              </w:rPr>
              <w:t xml:space="preserve">Grants: </w:t>
            </w:r>
            <w:r w:rsidR="00DD755D" w:rsidRPr="00FC1173">
              <w:rPr>
                <w:rFonts w:asciiTheme="majorHAnsi" w:eastAsia="Times New Roman" w:hAnsiTheme="majorHAnsi"/>
                <w:color w:val="000000"/>
                <w:sz w:val="16"/>
                <w:szCs w:val="16"/>
              </w:rPr>
              <w:t>Starting in Year 2 and following the direct financing mechanism determined by the National Consultant in Output 2.4, directing financing that project states in Babeldaob can access to implement activities, including:</w:t>
            </w:r>
          </w:p>
          <w:p w14:paraId="1EB255A0" w14:textId="77777777" w:rsidR="00DD755D" w:rsidRPr="00FC1173" w:rsidRDefault="00DD755D" w:rsidP="00D17561">
            <w:pPr>
              <w:pStyle w:val="ListParagraph"/>
              <w:numPr>
                <w:ilvl w:val="0"/>
                <w:numId w:val="135"/>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Implementation of Biosecurity and IAS protocols within tourism sectors (e.g. to minimize spread of IAS) (Years 4-5) = $11,000</w:t>
            </w:r>
          </w:p>
          <w:p w14:paraId="3A8B8CA7" w14:textId="77777777" w:rsidR="00DD755D" w:rsidRPr="00FC1173" w:rsidRDefault="00DD755D" w:rsidP="00D17561">
            <w:pPr>
              <w:pStyle w:val="ListParagraph"/>
              <w:numPr>
                <w:ilvl w:val="0"/>
                <w:numId w:val="135"/>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Design and implementation of biodiversity-friendly tourism products ($10,000 x 4 years in Years 3-6) = $40,000</w:t>
            </w:r>
          </w:p>
          <w:p w14:paraId="169FBEFC" w14:textId="77777777" w:rsidR="00DD755D" w:rsidRPr="00FC1173" w:rsidRDefault="00DD755D" w:rsidP="00D17561">
            <w:pPr>
              <w:pStyle w:val="ListParagraph"/>
              <w:numPr>
                <w:ilvl w:val="0"/>
                <w:numId w:val="135"/>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Trial best practices for landscaping at a few resorts ($7,000 x 5 years) = $35,000</w:t>
            </w:r>
          </w:p>
          <w:p w14:paraId="096E74A2" w14:textId="77777777" w:rsidR="00DD755D" w:rsidRPr="00FC1173" w:rsidRDefault="00DD755D" w:rsidP="00D17561">
            <w:pPr>
              <w:pStyle w:val="ListParagraph"/>
              <w:numPr>
                <w:ilvl w:val="0"/>
                <w:numId w:val="135"/>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Pilot private-community partnership for conservation of mangrove forests (Years 3-4) = $20,000</w:t>
            </w:r>
          </w:p>
          <w:p w14:paraId="6D7D2F55" w14:textId="77777777" w:rsidR="00DD755D" w:rsidRPr="00FC1173" w:rsidRDefault="00DD755D" w:rsidP="00D17561">
            <w:pPr>
              <w:pStyle w:val="ListParagraph"/>
              <w:numPr>
                <w:ilvl w:val="0"/>
                <w:numId w:val="135"/>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Pilot biosecurity into green certification for tour operators before scaling up; Trial Green Certification Program ($20,000 per year in Years 3-5) = $60,000</w:t>
            </w:r>
          </w:p>
          <w:p w14:paraId="768DD0D4" w14:textId="77777777" w:rsidR="00DD755D" w:rsidRPr="00FC1173" w:rsidRDefault="00DD755D" w:rsidP="00D17561">
            <w:pPr>
              <w:pStyle w:val="ListParagraph"/>
              <w:numPr>
                <w:ilvl w:val="0"/>
                <w:numId w:val="135"/>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Implement best practices by tourist resorts or related to tourism ($10,000 per year x 5 years) = $50,000</w:t>
            </w:r>
          </w:p>
          <w:p w14:paraId="39914615" w14:textId="77777777" w:rsidR="00DD755D" w:rsidRPr="00FC1173" w:rsidRDefault="00DD755D" w:rsidP="00D17561">
            <w:pPr>
              <w:pStyle w:val="ListParagraph"/>
              <w:numPr>
                <w:ilvl w:val="0"/>
                <w:numId w:val="135"/>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Support for individual state's implementation of Best Practices within agriculture, aquaculture, forestry, fisheries, and sustainable tourism; or for IAS management and/or biosecurity, including to acquire Green Certification (approx. $40,000 per year x 4 years) = $150,000</w:t>
            </w:r>
          </w:p>
          <w:p w14:paraId="153A7138" w14:textId="77777777" w:rsidR="00DD755D" w:rsidRPr="00FC1173" w:rsidRDefault="00DD755D" w:rsidP="00D17561">
            <w:pPr>
              <w:pStyle w:val="ListParagraph"/>
              <w:numPr>
                <w:ilvl w:val="0"/>
                <w:numId w:val="135"/>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Trial updated rules and regulations for enforcement in tourism, fisheries, and aquaculture ($15,000 per year x 3 Years) (Years 2-4) = $45,000</w:t>
            </w:r>
          </w:p>
          <w:p w14:paraId="7E161FCC" w14:textId="77777777" w:rsidR="00DD755D" w:rsidRPr="00FC1173" w:rsidRDefault="00DD755D" w:rsidP="00D17561">
            <w:pPr>
              <w:pStyle w:val="ListParagraph"/>
              <w:numPr>
                <w:ilvl w:val="0"/>
                <w:numId w:val="135"/>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Implement biosecurity actions from state plans; Trial biosecurity actions through air and seacraft and quarantine (Years 4-6) = $20,000</w:t>
            </w:r>
          </w:p>
        </w:tc>
      </w:tr>
      <w:tr w:rsidR="00DD755D" w:rsidRPr="00FC1173" w14:paraId="23B06B95" w14:textId="77777777" w:rsidTr="00D32FA2">
        <w:trPr>
          <w:trHeight w:val="273"/>
        </w:trPr>
        <w:tc>
          <w:tcPr>
            <w:tcW w:w="450" w:type="dxa"/>
            <w:shd w:val="clear" w:color="auto" w:fill="auto"/>
            <w:vAlign w:val="center"/>
          </w:tcPr>
          <w:p w14:paraId="64A6C928" w14:textId="527642FE" w:rsidR="00DD755D" w:rsidRPr="00FC1173" w:rsidRDefault="00EA4043" w:rsidP="00EA4043">
            <w:pPr>
              <w:spacing w:after="0"/>
              <w:jc w:val="center"/>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2</w:t>
            </w:r>
            <w:r>
              <w:rPr>
                <w:rFonts w:asciiTheme="majorHAnsi" w:eastAsia="Times New Roman" w:hAnsiTheme="majorHAnsi"/>
                <w:color w:val="000000"/>
                <w:sz w:val="16"/>
                <w:szCs w:val="16"/>
              </w:rPr>
              <w:t>3</w:t>
            </w:r>
          </w:p>
        </w:tc>
        <w:tc>
          <w:tcPr>
            <w:tcW w:w="13860" w:type="dxa"/>
            <w:shd w:val="clear" w:color="auto" w:fill="auto"/>
            <w:vAlign w:val="center"/>
          </w:tcPr>
          <w:p w14:paraId="6D7FE5FC" w14:textId="77777777" w:rsidR="00DD755D" w:rsidRPr="00FC1173" w:rsidRDefault="00DD755D" w:rsidP="00D32FA2">
            <w:pPr>
              <w:spacing w:after="0"/>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Trainings, Workshops, and Meetings as follows:</w:t>
            </w:r>
          </w:p>
          <w:p w14:paraId="5EA6E84F" w14:textId="77777777" w:rsidR="00DD755D" w:rsidRPr="00FC1173" w:rsidRDefault="00DD755D" w:rsidP="00D17561">
            <w:pPr>
              <w:pStyle w:val="ListParagraph"/>
              <w:numPr>
                <w:ilvl w:val="0"/>
                <w:numId w:val="136"/>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Build capacity for state level planners to utilize tools from Output 1.2 (e.g. use tools and framework and standards and areas for biosecurity and biodiversity integration); adopt local criteria for plans to capture HCVFs, HCVMRs, climate adaptation, suitability, and economic development ($2,500 per state) (Year 2) = $5,000</w:t>
            </w:r>
          </w:p>
          <w:p w14:paraId="442B10F7" w14:textId="77777777" w:rsidR="00DD755D" w:rsidRPr="00FC1173" w:rsidRDefault="00DD755D" w:rsidP="00D17561">
            <w:pPr>
              <w:pStyle w:val="ListParagraph"/>
              <w:numPr>
                <w:ilvl w:val="0"/>
                <w:numId w:val="136"/>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Set up planning teams for each state and assist with resolutions/legislation ($2,500 per state x 2 years) (Years 1-2) = $10,000</w:t>
            </w:r>
          </w:p>
          <w:p w14:paraId="4336ADA5" w14:textId="2DF44E68" w:rsidR="00DD755D" w:rsidRPr="00FC1173" w:rsidRDefault="00DD755D" w:rsidP="00D17561">
            <w:pPr>
              <w:pStyle w:val="ListParagraph"/>
              <w:numPr>
                <w:ilvl w:val="0"/>
                <w:numId w:val="136"/>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Capacity building of enforcement personnel and regulatory staff (Declines every year from</w:t>
            </w:r>
            <w:r w:rsidR="00EB71A9">
              <w:rPr>
                <w:rFonts w:asciiTheme="majorHAnsi" w:eastAsia="Times New Roman" w:hAnsiTheme="majorHAnsi"/>
                <w:color w:val="000000"/>
                <w:sz w:val="16"/>
                <w:szCs w:val="16"/>
              </w:rPr>
              <w:t xml:space="preserve"> $7,000 </w:t>
            </w:r>
            <w:r w:rsidRPr="00FC1173">
              <w:rPr>
                <w:rFonts w:asciiTheme="majorHAnsi" w:eastAsia="Times New Roman" w:hAnsiTheme="majorHAnsi"/>
                <w:color w:val="000000"/>
                <w:sz w:val="16"/>
                <w:szCs w:val="16"/>
              </w:rPr>
              <w:t>in Year 2 to $4,000 in Year 6) = $26,000</w:t>
            </w:r>
          </w:p>
        </w:tc>
      </w:tr>
      <w:tr w:rsidR="00DD755D" w:rsidRPr="00FC1173" w14:paraId="31AE9843" w14:textId="77777777" w:rsidTr="00D32FA2">
        <w:trPr>
          <w:trHeight w:val="273"/>
        </w:trPr>
        <w:tc>
          <w:tcPr>
            <w:tcW w:w="450" w:type="dxa"/>
            <w:shd w:val="clear" w:color="auto" w:fill="auto"/>
            <w:vAlign w:val="center"/>
          </w:tcPr>
          <w:p w14:paraId="421C0866" w14:textId="1DF4EC22" w:rsidR="00DD755D" w:rsidRPr="00FC1173" w:rsidRDefault="00EA4043" w:rsidP="00EA4043">
            <w:pPr>
              <w:spacing w:after="0"/>
              <w:jc w:val="center"/>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2</w:t>
            </w:r>
            <w:r>
              <w:rPr>
                <w:rFonts w:asciiTheme="majorHAnsi" w:eastAsia="Times New Roman" w:hAnsiTheme="majorHAnsi"/>
                <w:color w:val="000000"/>
                <w:sz w:val="16"/>
                <w:szCs w:val="16"/>
              </w:rPr>
              <w:t>4</w:t>
            </w:r>
          </w:p>
        </w:tc>
        <w:tc>
          <w:tcPr>
            <w:tcW w:w="13860" w:type="dxa"/>
            <w:shd w:val="clear" w:color="auto" w:fill="auto"/>
            <w:vAlign w:val="center"/>
          </w:tcPr>
          <w:p w14:paraId="487AFFA7" w14:textId="1A884C2E" w:rsidR="00DD755D" w:rsidRPr="00FC1173" w:rsidRDefault="00EA4043" w:rsidP="00D32FA2">
            <w:pPr>
              <w:spacing w:after="0"/>
              <w:rPr>
                <w:rFonts w:asciiTheme="majorHAnsi" w:eastAsia="Times New Roman" w:hAnsiTheme="majorHAnsi"/>
                <w:color w:val="000000"/>
                <w:sz w:val="16"/>
                <w:szCs w:val="16"/>
              </w:rPr>
            </w:pPr>
            <w:r>
              <w:rPr>
                <w:rFonts w:asciiTheme="majorHAnsi" w:eastAsia="Times New Roman" w:hAnsiTheme="majorHAnsi"/>
                <w:color w:val="000000"/>
                <w:sz w:val="16"/>
                <w:szCs w:val="16"/>
              </w:rPr>
              <w:t>Miscellaneous costs (</w:t>
            </w:r>
            <w:r w:rsidR="00DD755D" w:rsidRPr="00FC1173">
              <w:rPr>
                <w:rFonts w:asciiTheme="majorHAnsi" w:eastAsia="Times New Roman" w:hAnsiTheme="majorHAnsi"/>
                <w:color w:val="000000"/>
                <w:sz w:val="16"/>
                <w:szCs w:val="16"/>
              </w:rPr>
              <w:t xml:space="preserve">Supplies </w:t>
            </w:r>
            <w:r w:rsidR="001D57AA">
              <w:rPr>
                <w:rFonts w:asciiTheme="majorHAnsi" w:eastAsia="Times New Roman" w:hAnsiTheme="majorHAnsi"/>
                <w:color w:val="000000"/>
                <w:sz w:val="16"/>
                <w:szCs w:val="16"/>
              </w:rPr>
              <w:t>and consumables</w:t>
            </w:r>
            <w:r>
              <w:rPr>
                <w:rFonts w:asciiTheme="majorHAnsi" w:eastAsia="Times New Roman" w:hAnsiTheme="majorHAnsi"/>
                <w:color w:val="000000"/>
                <w:sz w:val="16"/>
                <w:szCs w:val="16"/>
              </w:rPr>
              <w:t>)</w:t>
            </w:r>
            <w:r w:rsidR="001D57AA">
              <w:rPr>
                <w:rFonts w:asciiTheme="majorHAnsi" w:eastAsia="Times New Roman" w:hAnsiTheme="majorHAnsi"/>
                <w:color w:val="000000"/>
                <w:sz w:val="16"/>
                <w:szCs w:val="16"/>
              </w:rPr>
              <w:t xml:space="preserve"> </w:t>
            </w:r>
            <w:r w:rsidR="00DD755D" w:rsidRPr="00FC1173">
              <w:rPr>
                <w:rFonts w:asciiTheme="majorHAnsi" w:eastAsia="Times New Roman" w:hAnsiTheme="majorHAnsi"/>
                <w:color w:val="000000"/>
                <w:sz w:val="16"/>
                <w:szCs w:val="16"/>
              </w:rPr>
              <w:t>needed for planning, particularly for visiting field sites ($5,000 per year x 3 years) (Years 2-4) = $15,000</w:t>
            </w:r>
          </w:p>
        </w:tc>
      </w:tr>
      <w:tr w:rsidR="00DD755D" w:rsidRPr="00FC1173" w14:paraId="3F819171" w14:textId="77777777" w:rsidTr="00D32FA2">
        <w:trPr>
          <w:trHeight w:val="273"/>
        </w:trPr>
        <w:tc>
          <w:tcPr>
            <w:tcW w:w="450" w:type="dxa"/>
            <w:shd w:val="clear" w:color="auto" w:fill="auto"/>
            <w:vAlign w:val="center"/>
          </w:tcPr>
          <w:p w14:paraId="12142014" w14:textId="5813905E" w:rsidR="00DD755D" w:rsidRPr="00FC1173" w:rsidRDefault="00EA4043" w:rsidP="00EA4043">
            <w:pPr>
              <w:spacing w:after="0"/>
              <w:jc w:val="center"/>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lastRenderedPageBreak/>
              <w:t>2</w:t>
            </w:r>
            <w:r>
              <w:rPr>
                <w:rFonts w:asciiTheme="majorHAnsi" w:eastAsia="Times New Roman" w:hAnsiTheme="majorHAnsi"/>
                <w:color w:val="000000"/>
                <w:sz w:val="16"/>
                <w:szCs w:val="16"/>
              </w:rPr>
              <w:t>5</w:t>
            </w:r>
          </w:p>
        </w:tc>
        <w:tc>
          <w:tcPr>
            <w:tcW w:w="13860" w:type="dxa"/>
            <w:shd w:val="clear" w:color="auto" w:fill="auto"/>
            <w:vAlign w:val="center"/>
          </w:tcPr>
          <w:p w14:paraId="291F5BA9" w14:textId="77777777" w:rsidR="00DD755D" w:rsidRPr="00FC1173" w:rsidRDefault="00DD755D" w:rsidP="00D32FA2">
            <w:pPr>
              <w:spacing w:after="0"/>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Rental and maintenance of boats and vehicles to support field visits and planning, particularly for:</w:t>
            </w:r>
          </w:p>
          <w:p w14:paraId="330C254E" w14:textId="77777777" w:rsidR="00DD755D" w:rsidRPr="00FC1173" w:rsidRDefault="00DD755D" w:rsidP="00D17561">
            <w:pPr>
              <w:pStyle w:val="ListParagraph"/>
              <w:numPr>
                <w:ilvl w:val="0"/>
                <w:numId w:val="137"/>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Outreach to create political support for ILSMPs (year 2) = $5,000</w:t>
            </w:r>
          </w:p>
          <w:p w14:paraId="7400030A" w14:textId="77777777" w:rsidR="00DD755D" w:rsidRPr="00FC1173" w:rsidRDefault="00DD755D" w:rsidP="00D17561">
            <w:pPr>
              <w:pStyle w:val="ListParagraph"/>
              <w:numPr>
                <w:ilvl w:val="0"/>
                <w:numId w:val="137"/>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Carrying Capacity Research for Koror, plus state biodiversity, IAS management, and Biosecurity review to assess status, capacity, regulations, and management needs ($5,000 per year x 2) (Years 1-2) = $10,000</w:t>
            </w:r>
          </w:p>
        </w:tc>
      </w:tr>
      <w:tr w:rsidR="00DD755D" w:rsidRPr="00FC1173" w14:paraId="18A04B0C" w14:textId="77777777" w:rsidTr="00D32FA2">
        <w:trPr>
          <w:trHeight w:val="273"/>
        </w:trPr>
        <w:tc>
          <w:tcPr>
            <w:tcW w:w="450" w:type="dxa"/>
            <w:shd w:val="clear" w:color="auto" w:fill="auto"/>
            <w:vAlign w:val="center"/>
          </w:tcPr>
          <w:p w14:paraId="68B56ACC" w14:textId="019652F3" w:rsidR="00DD755D" w:rsidRPr="00FC1173" w:rsidRDefault="00EA4043" w:rsidP="00EA4043">
            <w:pPr>
              <w:spacing w:after="0"/>
              <w:jc w:val="center"/>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2</w:t>
            </w:r>
            <w:r>
              <w:rPr>
                <w:rFonts w:asciiTheme="majorHAnsi" w:eastAsia="Times New Roman" w:hAnsiTheme="majorHAnsi"/>
                <w:color w:val="000000"/>
                <w:sz w:val="16"/>
                <w:szCs w:val="16"/>
              </w:rPr>
              <w:t>6</w:t>
            </w:r>
          </w:p>
        </w:tc>
        <w:tc>
          <w:tcPr>
            <w:tcW w:w="13860" w:type="dxa"/>
            <w:shd w:val="clear" w:color="auto" w:fill="auto"/>
            <w:vAlign w:val="center"/>
          </w:tcPr>
          <w:p w14:paraId="12CF10A5" w14:textId="1A546051" w:rsidR="00DD755D" w:rsidRPr="00FC1173" w:rsidRDefault="001D57AA" w:rsidP="00D32FA2">
            <w:pPr>
              <w:spacing w:after="0"/>
              <w:rPr>
                <w:rFonts w:asciiTheme="majorHAnsi" w:eastAsia="Times New Roman" w:hAnsiTheme="majorHAnsi"/>
                <w:color w:val="000000"/>
                <w:sz w:val="16"/>
                <w:szCs w:val="16"/>
              </w:rPr>
            </w:pPr>
            <w:r>
              <w:rPr>
                <w:rFonts w:asciiTheme="majorHAnsi" w:eastAsia="Times New Roman" w:hAnsiTheme="majorHAnsi"/>
                <w:color w:val="000000"/>
                <w:sz w:val="16"/>
                <w:szCs w:val="16"/>
              </w:rPr>
              <w:t>Supplies (</w:t>
            </w:r>
            <w:r w:rsidR="00EA4043">
              <w:rPr>
                <w:rFonts w:asciiTheme="majorHAnsi" w:eastAsia="Times New Roman" w:hAnsiTheme="majorHAnsi"/>
                <w:color w:val="000000"/>
                <w:sz w:val="16"/>
                <w:szCs w:val="16"/>
              </w:rPr>
              <w:t xml:space="preserve">stationary, </w:t>
            </w:r>
            <w:r>
              <w:rPr>
                <w:rFonts w:asciiTheme="majorHAnsi" w:eastAsia="Times New Roman" w:hAnsiTheme="majorHAnsi"/>
                <w:color w:val="000000"/>
                <w:sz w:val="16"/>
                <w:szCs w:val="16"/>
              </w:rPr>
              <w:t>publication and print media)</w:t>
            </w:r>
            <w:r w:rsidR="00DD755D">
              <w:rPr>
                <w:rFonts w:asciiTheme="majorHAnsi" w:eastAsia="Times New Roman" w:hAnsiTheme="majorHAnsi"/>
                <w:color w:val="000000"/>
                <w:sz w:val="16"/>
                <w:szCs w:val="16"/>
              </w:rPr>
              <w:t xml:space="preserve"> associated with:</w:t>
            </w:r>
          </w:p>
          <w:p w14:paraId="2CBE3913" w14:textId="77777777" w:rsidR="00DD755D" w:rsidRPr="00FC1173" w:rsidRDefault="00DD755D" w:rsidP="00D32FA2">
            <w:pPr>
              <w:pStyle w:val="ListParagraph"/>
            </w:pPr>
            <w:r w:rsidRPr="00FC1173">
              <w:rPr>
                <w:rFonts w:asciiTheme="majorHAnsi" w:eastAsia="Times New Roman" w:hAnsiTheme="majorHAnsi"/>
                <w:color w:val="000000"/>
                <w:sz w:val="16"/>
                <w:szCs w:val="16"/>
              </w:rPr>
              <w:t>Implement</w:t>
            </w:r>
            <w:r>
              <w:rPr>
                <w:rFonts w:asciiTheme="majorHAnsi" w:eastAsia="Times New Roman" w:hAnsiTheme="majorHAnsi"/>
                <w:color w:val="000000"/>
                <w:sz w:val="16"/>
                <w:szCs w:val="16"/>
              </w:rPr>
              <w:t>ing</w:t>
            </w:r>
            <w:r w:rsidRPr="00FC1173">
              <w:rPr>
                <w:rFonts w:asciiTheme="majorHAnsi" w:eastAsia="Times New Roman" w:hAnsiTheme="majorHAnsi"/>
                <w:color w:val="000000"/>
                <w:sz w:val="16"/>
                <w:szCs w:val="16"/>
              </w:rPr>
              <w:t xml:space="preserve"> the EDRR at the state </w:t>
            </w:r>
            <w:r>
              <w:rPr>
                <w:rFonts w:asciiTheme="majorHAnsi" w:eastAsia="Times New Roman" w:hAnsiTheme="majorHAnsi"/>
                <w:color w:val="000000"/>
                <w:sz w:val="16"/>
                <w:szCs w:val="16"/>
              </w:rPr>
              <w:t xml:space="preserve">level in Koror and Peleliu and documenting the experience </w:t>
            </w:r>
            <w:r w:rsidRPr="00FC1173">
              <w:rPr>
                <w:rFonts w:asciiTheme="majorHAnsi" w:eastAsia="Times New Roman" w:hAnsiTheme="majorHAnsi"/>
                <w:color w:val="000000"/>
                <w:sz w:val="16"/>
                <w:szCs w:val="16"/>
              </w:rPr>
              <w:t>for later scaling up nationwide</w:t>
            </w:r>
            <w:r>
              <w:rPr>
                <w:rFonts w:asciiTheme="majorHAnsi" w:eastAsia="Times New Roman" w:hAnsiTheme="majorHAnsi"/>
                <w:color w:val="000000"/>
                <w:sz w:val="16"/>
                <w:szCs w:val="16"/>
              </w:rPr>
              <w:t xml:space="preserve"> ($3000 per year x 5 years after Year 1) = $15,000.</w:t>
            </w:r>
          </w:p>
        </w:tc>
      </w:tr>
      <w:tr w:rsidR="00DD755D" w:rsidRPr="00FC1173" w14:paraId="11720EA6" w14:textId="77777777" w:rsidTr="00D32FA2">
        <w:trPr>
          <w:trHeight w:val="273"/>
        </w:trPr>
        <w:tc>
          <w:tcPr>
            <w:tcW w:w="450" w:type="dxa"/>
            <w:shd w:val="clear" w:color="auto" w:fill="auto"/>
            <w:vAlign w:val="center"/>
          </w:tcPr>
          <w:p w14:paraId="586BC73A" w14:textId="7EF8DDDC" w:rsidR="00DD755D" w:rsidRPr="00FC1173" w:rsidRDefault="00EA4043" w:rsidP="00EA4043">
            <w:pPr>
              <w:spacing w:after="0"/>
              <w:jc w:val="center"/>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2</w:t>
            </w:r>
            <w:r>
              <w:rPr>
                <w:rFonts w:asciiTheme="majorHAnsi" w:eastAsia="Times New Roman" w:hAnsiTheme="majorHAnsi"/>
                <w:color w:val="000000"/>
                <w:sz w:val="16"/>
                <w:szCs w:val="16"/>
              </w:rPr>
              <w:t>7</w:t>
            </w:r>
          </w:p>
        </w:tc>
        <w:tc>
          <w:tcPr>
            <w:tcW w:w="13860" w:type="dxa"/>
            <w:shd w:val="clear" w:color="auto" w:fill="auto"/>
            <w:vAlign w:val="center"/>
          </w:tcPr>
          <w:p w14:paraId="39C6DAEE" w14:textId="77777777" w:rsidR="00DD755D" w:rsidRPr="00FC1173" w:rsidRDefault="00DD755D" w:rsidP="00D32FA2">
            <w:pPr>
              <w:spacing w:after="0"/>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Fees for international consultants/expert recruited by MNRET to:</w:t>
            </w:r>
          </w:p>
          <w:p w14:paraId="1CC9B4A7" w14:textId="77777777" w:rsidR="00DD755D" w:rsidRPr="00FC1173" w:rsidRDefault="00DD755D" w:rsidP="00D17561">
            <w:pPr>
              <w:pStyle w:val="ListParagraph"/>
              <w:numPr>
                <w:ilvl w:val="0"/>
                <w:numId w:val="120"/>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Develop a biosecurity database to hold detailed information on interceptions, treatments, fees collected, risk assessments conducted, novel organism reports, follow-up interviews, response field actions, monitoring and surveillence activities, organisms recovered, dispositions of all organisms recovered, current IAS established in the country and within each state, distribution of each established IAS at the state level, etc, with procedure for updating and access; Plus Align database and recording sheets for Landscape Planning and EDRR with national database (Approx 4.5 months in Years 2-3) = $48,000.</w:t>
            </w:r>
          </w:p>
          <w:p w14:paraId="01243C7E" w14:textId="1248FC19" w:rsidR="00DD755D" w:rsidRPr="00FC1173" w:rsidRDefault="00DD755D" w:rsidP="00D17561">
            <w:pPr>
              <w:pStyle w:val="ListParagraph"/>
              <w:numPr>
                <w:ilvl w:val="0"/>
                <w:numId w:val="120"/>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Conduct Mid-Term Review (Year 4) = $</w:t>
            </w:r>
            <w:r w:rsidR="006A4858">
              <w:rPr>
                <w:rFonts w:asciiTheme="majorHAnsi" w:eastAsia="Times New Roman" w:hAnsiTheme="majorHAnsi"/>
                <w:color w:val="000000"/>
                <w:sz w:val="16"/>
                <w:szCs w:val="16"/>
              </w:rPr>
              <w:t>4</w:t>
            </w:r>
            <w:r w:rsidR="006A4858" w:rsidRPr="00FC1173">
              <w:rPr>
                <w:rFonts w:asciiTheme="majorHAnsi" w:eastAsia="Times New Roman" w:hAnsiTheme="majorHAnsi"/>
                <w:color w:val="000000"/>
                <w:sz w:val="16"/>
                <w:szCs w:val="16"/>
              </w:rPr>
              <w:t>0</w:t>
            </w:r>
            <w:r w:rsidRPr="00FC1173">
              <w:rPr>
                <w:rFonts w:asciiTheme="majorHAnsi" w:eastAsia="Times New Roman" w:hAnsiTheme="majorHAnsi"/>
                <w:color w:val="000000"/>
                <w:sz w:val="16"/>
                <w:szCs w:val="16"/>
              </w:rPr>
              <w:t>,000</w:t>
            </w:r>
          </w:p>
          <w:p w14:paraId="66316EBC" w14:textId="6157FE41" w:rsidR="006A4858" w:rsidRPr="00EA4043" w:rsidRDefault="00DD755D" w:rsidP="00D17561">
            <w:pPr>
              <w:pStyle w:val="ListParagraph"/>
              <w:numPr>
                <w:ilvl w:val="0"/>
                <w:numId w:val="120"/>
              </w:numPr>
              <w:contextualSpacing/>
              <w:jc w:val="both"/>
            </w:pPr>
            <w:r w:rsidRPr="00FC1173">
              <w:rPr>
                <w:rFonts w:asciiTheme="majorHAnsi" w:eastAsia="Times New Roman" w:hAnsiTheme="majorHAnsi"/>
                <w:color w:val="000000"/>
                <w:sz w:val="16"/>
                <w:szCs w:val="16"/>
              </w:rPr>
              <w:t>Conduct Terminal Review (Year 6) = $40,000</w:t>
            </w:r>
          </w:p>
        </w:tc>
      </w:tr>
      <w:tr w:rsidR="00DD755D" w:rsidRPr="00FC1173" w14:paraId="4A6C7AAA" w14:textId="77777777" w:rsidTr="00D32FA2">
        <w:trPr>
          <w:trHeight w:val="273"/>
        </w:trPr>
        <w:tc>
          <w:tcPr>
            <w:tcW w:w="450" w:type="dxa"/>
            <w:shd w:val="clear" w:color="auto" w:fill="auto"/>
            <w:vAlign w:val="center"/>
          </w:tcPr>
          <w:p w14:paraId="5FA8A7E8" w14:textId="07C1F489" w:rsidR="00DD755D" w:rsidRPr="00FC1173" w:rsidRDefault="00EA4043" w:rsidP="00EA4043">
            <w:pPr>
              <w:spacing w:after="0"/>
              <w:jc w:val="center"/>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2</w:t>
            </w:r>
            <w:r>
              <w:rPr>
                <w:rFonts w:asciiTheme="majorHAnsi" w:eastAsia="Times New Roman" w:hAnsiTheme="majorHAnsi"/>
                <w:color w:val="000000"/>
                <w:sz w:val="16"/>
                <w:szCs w:val="16"/>
              </w:rPr>
              <w:t>8</w:t>
            </w:r>
          </w:p>
        </w:tc>
        <w:tc>
          <w:tcPr>
            <w:tcW w:w="13860" w:type="dxa"/>
            <w:shd w:val="clear" w:color="auto" w:fill="auto"/>
            <w:vAlign w:val="center"/>
          </w:tcPr>
          <w:p w14:paraId="643E528F" w14:textId="77777777" w:rsidR="00DD755D" w:rsidRPr="00FC1173" w:rsidRDefault="00DD755D" w:rsidP="00D32FA2">
            <w:pPr>
              <w:spacing w:after="0"/>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Cost of hiring National Consultants for:</w:t>
            </w:r>
          </w:p>
          <w:p w14:paraId="45F22BA3" w14:textId="77777777" w:rsidR="00DD755D" w:rsidRDefault="00DD755D" w:rsidP="00D17561">
            <w:pPr>
              <w:pStyle w:val="ListParagraph"/>
              <w:numPr>
                <w:ilvl w:val="0"/>
                <w:numId w:val="138"/>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Conducting an initial KAP and developing Key messages, as well as to update communications plan, letterhead, email products, regular meetings, set up digital media accounts, set up newsletter, website, etc. (Year 1) = $10,000</w:t>
            </w:r>
          </w:p>
          <w:p w14:paraId="7680F76F" w14:textId="77777777" w:rsidR="00DD755D" w:rsidRPr="00FC1173" w:rsidRDefault="00DD755D" w:rsidP="00D17561">
            <w:pPr>
              <w:pStyle w:val="ListParagraph"/>
              <w:numPr>
                <w:ilvl w:val="0"/>
                <w:numId w:val="138"/>
              </w:numPr>
              <w:contextualSpacing/>
              <w:jc w:val="both"/>
              <w:rPr>
                <w:rFonts w:asciiTheme="majorHAnsi" w:eastAsia="Times New Roman" w:hAnsiTheme="majorHAnsi"/>
                <w:color w:val="000000"/>
                <w:sz w:val="16"/>
                <w:szCs w:val="16"/>
              </w:rPr>
            </w:pPr>
            <w:r>
              <w:rPr>
                <w:rFonts w:asciiTheme="majorHAnsi" w:eastAsia="Times New Roman" w:hAnsiTheme="majorHAnsi"/>
                <w:color w:val="000000"/>
                <w:sz w:val="16"/>
                <w:szCs w:val="16"/>
              </w:rPr>
              <w:t>A</w:t>
            </w:r>
            <w:r w:rsidRPr="00FC1173">
              <w:rPr>
                <w:rFonts w:asciiTheme="majorHAnsi" w:eastAsia="Times New Roman" w:hAnsiTheme="majorHAnsi"/>
                <w:color w:val="000000"/>
                <w:sz w:val="16"/>
                <w:szCs w:val="16"/>
              </w:rPr>
              <w:t>ssist</w:t>
            </w:r>
            <w:r>
              <w:rPr>
                <w:rFonts w:asciiTheme="majorHAnsi" w:eastAsia="Times New Roman" w:hAnsiTheme="majorHAnsi"/>
                <w:color w:val="000000"/>
                <w:sz w:val="16"/>
                <w:szCs w:val="16"/>
              </w:rPr>
              <w:t>ing</w:t>
            </w:r>
            <w:r w:rsidRPr="00FC1173">
              <w:rPr>
                <w:rFonts w:asciiTheme="majorHAnsi" w:eastAsia="Times New Roman" w:hAnsiTheme="majorHAnsi"/>
                <w:color w:val="000000"/>
                <w:sz w:val="16"/>
                <w:szCs w:val="16"/>
              </w:rPr>
              <w:t xml:space="preserve"> with national survey of knowledge/understand of IAS issues and regular updating of Communications Strategy (Year 3) = $16,000</w:t>
            </w:r>
          </w:p>
          <w:p w14:paraId="4CA15AC1" w14:textId="77777777" w:rsidR="00DD755D" w:rsidRPr="00FC1173" w:rsidRDefault="00DD755D" w:rsidP="00D17561">
            <w:pPr>
              <w:pStyle w:val="ListParagraph"/>
              <w:numPr>
                <w:ilvl w:val="0"/>
                <w:numId w:val="138"/>
              </w:numPr>
              <w:contextualSpacing/>
              <w:jc w:val="both"/>
              <w:rPr>
                <w:rFonts w:asciiTheme="majorHAnsi" w:eastAsia="Times New Roman" w:hAnsiTheme="majorHAnsi"/>
                <w:color w:val="000000"/>
                <w:sz w:val="16"/>
                <w:szCs w:val="16"/>
              </w:rPr>
            </w:pPr>
            <w:r>
              <w:rPr>
                <w:rFonts w:asciiTheme="majorHAnsi" w:eastAsia="Times New Roman" w:hAnsiTheme="majorHAnsi"/>
                <w:color w:val="000000"/>
                <w:sz w:val="16"/>
                <w:szCs w:val="16"/>
              </w:rPr>
              <w:t>C</w:t>
            </w:r>
            <w:r w:rsidRPr="00FC1173">
              <w:rPr>
                <w:rFonts w:asciiTheme="majorHAnsi" w:eastAsia="Times New Roman" w:hAnsiTheme="majorHAnsi"/>
                <w:color w:val="000000"/>
                <w:sz w:val="16"/>
                <w:szCs w:val="16"/>
              </w:rPr>
              <w:t>onduct</w:t>
            </w:r>
            <w:r>
              <w:rPr>
                <w:rFonts w:asciiTheme="majorHAnsi" w:eastAsia="Times New Roman" w:hAnsiTheme="majorHAnsi"/>
                <w:color w:val="000000"/>
                <w:sz w:val="16"/>
                <w:szCs w:val="16"/>
              </w:rPr>
              <w:t>ing</w:t>
            </w:r>
            <w:r w:rsidRPr="00FC1173">
              <w:rPr>
                <w:rFonts w:asciiTheme="majorHAnsi" w:eastAsia="Times New Roman" w:hAnsiTheme="majorHAnsi"/>
                <w:color w:val="000000"/>
                <w:sz w:val="16"/>
                <w:szCs w:val="16"/>
              </w:rPr>
              <w:t xml:space="preserve"> research and mapping of gender roles within resource use and land planning (Years 2-3) = $25,000</w:t>
            </w:r>
          </w:p>
          <w:p w14:paraId="65237AA6" w14:textId="77777777" w:rsidR="00DD755D" w:rsidRPr="00FC1173" w:rsidRDefault="00DD755D" w:rsidP="00D17561">
            <w:pPr>
              <w:pStyle w:val="ListParagraph"/>
              <w:numPr>
                <w:ilvl w:val="0"/>
                <w:numId w:val="138"/>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Research and compile project indicators on an annual basis ($3,000 per year x 6 years) = $18,000</w:t>
            </w:r>
          </w:p>
          <w:p w14:paraId="1D2518A9" w14:textId="77777777" w:rsidR="00DD755D" w:rsidRPr="00FC1173" w:rsidRDefault="00DD755D" w:rsidP="00D17561">
            <w:pPr>
              <w:pStyle w:val="ListParagraph"/>
              <w:numPr>
                <w:ilvl w:val="0"/>
                <w:numId w:val="138"/>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Complete Mid-Term Tracking Tool Update (Year 4) = $5,000</w:t>
            </w:r>
          </w:p>
          <w:p w14:paraId="332FC384" w14:textId="77777777" w:rsidR="00DD755D" w:rsidRPr="00FC1173" w:rsidRDefault="00DD755D" w:rsidP="00D17561">
            <w:pPr>
              <w:pStyle w:val="ListParagraph"/>
              <w:numPr>
                <w:ilvl w:val="0"/>
                <w:numId w:val="138"/>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Complete Terminal Tracking Tool Update (Year 6) = $10,000</w:t>
            </w:r>
          </w:p>
        </w:tc>
      </w:tr>
      <w:tr w:rsidR="00DD755D" w:rsidRPr="00FC1173" w14:paraId="1247FE26" w14:textId="77777777" w:rsidTr="00D32FA2">
        <w:trPr>
          <w:trHeight w:val="251"/>
        </w:trPr>
        <w:tc>
          <w:tcPr>
            <w:tcW w:w="450" w:type="dxa"/>
            <w:shd w:val="clear" w:color="auto" w:fill="auto"/>
            <w:vAlign w:val="center"/>
          </w:tcPr>
          <w:p w14:paraId="3EAAB22F" w14:textId="36CED4FB" w:rsidR="00DD755D" w:rsidRPr="00FC1173" w:rsidRDefault="00EA4043" w:rsidP="00D32FA2">
            <w:pPr>
              <w:spacing w:after="0"/>
              <w:jc w:val="center"/>
              <w:rPr>
                <w:rFonts w:asciiTheme="majorHAnsi" w:eastAsia="Times New Roman" w:hAnsiTheme="majorHAnsi"/>
                <w:color w:val="000000"/>
                <w:sz w:val="16"/>
                <w:szCs w:val="16"/>
              </w:rPr>
            </w:pPr>
            <w:r>
              <w:rPr>
                <w:rFonts w:asciiTheme="majorHAnsi" w:eastAsia="Times New Roman" w:hAnsiTheme="majorHAnsi"/>
                <w:color w:val="000000"/>
                <w:sz w:val="16"/>
                <w:szCs w:val="16"/>
              </w:rPr>
              <w:t>29</w:t>
            </w:r>
          </w:p>
        </w:tc>
        <w:tc>
          <w:tcPr>
            <w:tcW w:w="13860" w:type="dxa"/>
            <w:shd w:val="clear" w:color="auto" w:fill="auto"/>
            <w:vAlign w:val="center"/>
          </w:tcPr>
          <w:p w14:paraId="35829A87" w14:textId="77777777" w:rsidR="00DD755D" w:rsidRPr="00FC1173" w:rsidRDefault="00DD755D" w:rsidP="00D32FA2">
            <w:pPr>
              <w:spacing w:after="0"/>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Following government procurement protocols to contract law firms, NGOs, or companies to:</w:t>
            </w:r>
          </w:p>
          <w:p w14:paraId="6E6F04A2" w14:textId="77777777" w:rsidR="00DD755D" w:rsidRPr="00FC1173" w:rsidRDefault="00DD755D" w:rsidP="00D17561">
            <w:pPr>
              <w:pStyle w:val="ListParagraph"/>
              <w:numPr>
                <w:ilvl w:val="0"/>
                <w:numId w:val="139"/>
              </w:numPr>
              <w:contextualSpacing/>
              <w:jc w:val="both"/>
              <w:rPr>
                <w:rFonts w:asciiTheme="majorHAnsi" w:eastAsia="Times New Roman" w:hAnsiTheme="majorHAnsi"/>
                <w:color w:val="000000"/>
                <w:sz w:val="16"/>
                <w:szCs w:val="16"/>
              </w:rPr>
            </w:pPr>
            <w:r>
              <w:rPr>
                <w:rFonts w:asciiTheme="majorHAnsi" w:eastAsia="Times New Roman" w:hAnsiTheme="majorHAnsi"/>
                <w:color w:val="000000"/>
                <w:sz w:val="16"/>
                <w:szCs w:val="16"/>
              </w:rPr>
              <w:t>R</w:t>
            </w:r>
            <w:r w:rsidRPr="00FC1173">
              <w:rPr>
                <w:rFonts w:asciiTheme="majorHAnsi" w:eastAsia="Times New Roman" w:hAnsiTheme="majorHAnsi"/>
                <w:color w:val="000000"/>
                <w:sz w:val="16"/>
                <w:szCs w:val="16"/>
              </w:rPr>
              <w:t>egularly implement the Gender Mainstreaming Action Plan (Approx $4,000 per year x 5 years after Year 1) = $20,000</w:t>
            </w:r>
          </w:p>
          <w:p w14:paraId="3411A1A7" w14:textId="77777777" w:rsidR="00DD755D" w:rsidRDefault="00DD755D" w:rsidP="00D17561">
            <w:pPr>
              <w:pStyle w:val="ListParagraph"/>
              <w:numPr>
                <w:ilvl w:val="0"/>
                <w:numId w:val="139"/>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Develop content, school lesson plans on IAS prevention and management; and do outreach with MOE (Year 3) = $25,000</w:t>
            </w:r>
          </w:p>
          <w:p w14:paraId="2373659A" w14:textId="77777777" w:rsidR="00DD755D" w:rsidRPr="00FC1173" w:rsidRDefault="00DD755D" w:rsidP="00D17561">
            <w:pPr>
              <w:pStyle w:val="ListParagraph"/>
              <w:numPr>
                <w:ilvl w:val="0"/>
                <w:numId w:val="139"/>
              </w:numPr>
              <w:contextualSpacing/>
              <w:jc w:val="both"/>
              <w:rPr>
                <w:rFonts w:asciiTheme="majorHAnsi" w:eastAsia="Times New Roman" w:hAnsiTheme="majorHAnsi"/>
                <w:color w:val="000000"/>
                <w:sz w:val="16"/>
                <w:szCs w:val="16"/>
              </w:rPr>
            </w:pPr>
            <w:r>
              <w:rPr>
                <w:rFonts w:asciiTheme="majorHAnsi" w:eastAsia="Times New Roman" w:hAnsiTheme="majorHAnsi"/>
                <w:color w:val="000000"/>
                <w:sz w:val="16"/>
                <w:szCs w:val="16"/>
              </w:rPr>
              <w:t>Update and/or d</w:t>
            </w:r>
            <w:r w:rsidRPr="00FC1173">
              <w:rPr>
                <w:rFonts w:asciiTheme="majorHAnsi" w:eastAsia="Times New Roman" w:hAnsiTheme="majorHAnsi"/>
                <w:color w:val="000000"/>
                <w:sz w:val="16"/>
                <w:szCs w:val="16"/>
              </w:rPr>
              <w:t>evelop and implement the Communications Plan, as well as</w:t>
            </w:r>
            <w:r>
              <w:rPr>
                <w:rFonts w:asciiTheme="majorHAnsi" w:eastAsia="Times New Roman" w:hAnsiTheme="majorHAnsi"/>
                <w:color w:val="000000"/>
                <w:sz w:val="16"/>
                <w:szCs w:val="16"/>
              </w:rPr>
              <w:t xml:space="preserve"> assist with the </w:t>
            </w:r>
            <w:r w:rsidRPr="00FC1173">
              <w:rPr>
                <w:rFonts w:asciiTheme="majorHAnsi" w:eastAsia="Times New Roman" w:hAnsiTheme="majorHAnsi"/>
                <w:color w:val="000000"/>
                <w:sz w:val="16"/>
                <w:szCs w:val="16"/>
              </w:rPr>
              <w:t>KAP survey (Year 1) = $10,000</w:t>
            </w:r>
          </w:p>
          <w:p w14:paraId="1D0D87EF" w14:textId="77777777" w:rsidR="00DD755D" w:rsidRPr="00FC1173" w:rsidRDefault="00DD755D" w:rsidP="00D17561">
            <w:pPr>
              <w:pStyle w:val="ListParagraph"/>
              <w:numPr>
                <w:ilvl w:val="0"/>
                <w:numId w:val="139"/>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Produce school IAS materials, including printing and distribution (Year 3) = $30,000</w:t>
            </w:r>
          </w:p>
          <w:p w14:paraId="2B249E23" w14:textId="77777777" w:rsidR="00DD755D" w:rsidRPr="00FC1173" w:rsidRDefault="00DD755D" w:rsidP="00D17561">
            <w:pPr>
              <w:pStyle w:val="ListParagraph"/>
              <w:numPr>
                <w:ilvl w:val="0"/>
                <w:numId w:val="139"/>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Develop national-state IAS awareness strategy (including conducing pre-survey and post survey format) and identifying linkages for support from Palau Community College (PCC) and other educational partners (Year 2) = $15,000</w:t>
            </w:r>
          </w:p>
          <w:p w14:paraId="36D3750A" w14:textId="1B12EF74" w:rsidR="00DD755D" w:rsidRDefault="00DD755D" w:rsidP="00D17561">
            <w:pPr>
              <w:pStyle w:val="ListParagraph"/>
              <w:numPr>
                <w:ilvl w:val="0"/>
                <w:numId w:val="139"/>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Develop materials and conducting planning for IAS and Biosecurity awareness activities; Implement the campaign, and conduct a post-campaign survey with final report (approx. $20,000 per year x 5 years) (Years 2-6) = $</w:t>
            </w:r>
            <w:r w:rsidR="006A4858" w:rsidRPr="00FC1173">
              <w:rPr>
                <w:rFonts w:asciiTheme="majorHAnsi" w:eastAsia="Times New Roman" w:hAnsiTheme="majorHAnsi"/>
                <w:color w:val="000000"/>
                <w:sz w:val="16"/>
                <w:szCs w:val="16"/>
              </w:rPr>
              <w:t>1</w:t>
            </w:r>
            <w:r w:rsidR="006A4858">
              <w:rPr>
                <w:rFonts w:asciiTheme="majorHAnsi" w:eastAsia="Times New Roman" w:hAnsiTheme="majorHAnsi"/>
                <w:color w:val="000000"/>
                <w:sz w:val="16"/>
                <w:szCs w:val="16"/>
              </w:rPr>
              <w:t>0</w:t>
            </w:r>
            <w:r w:rsidR="006A4858" w:rsidRPr="00FC1173">
              <w:rPr>
                <w:rFonts w:asciiTheme="majorHAnsi" w:eastAsia="Times New Roman" w:hAnsiTheme="majorHAnsi"/>
                <w:color w:val="000000"/>
                <w:sz w:val="16"/>
                <w:szCs w:val="16"/>
              </w:rPr>
              <w:t>0</w:t>
            </w:r>
            <w:r w:rsidRPr="00FC1173">
              <w:rPr>
                <w:rFonts w:asciiTheme="majorHAnsi" w:eastAsia="Times New Roman" w:hAnsiTheme="majorHAnsi"/>
                <w:color w:val="000000"/>
                <w:sz w:val="16"/>
                <w:szCs w:val="16"/>
              </w:rPr>
              <w:t>,000</w:t>
            </w:r>
          </w:p>
          <w:p w14:paraId="693DCFAE" w14:textId="77777777" w:rsidR="00DD755D" w:rsidRPr="00FC1173" w:rsidRDefault="00DD755D" w:rsidP="00D17561">
            <w:pPr>
              <w:pStyle w:val="ListParagraph"/>
              <w:numPr>
                <w:ilvl w:val="0"/>
                <w:numId w:val="139"/>
              </w:numPr>
              <w:contextualSpacing/>
              <w:jc w:val="both"/>
              <w:rPr>
                <w:rFonts w:asciiTheme="majorHAnsi" w:eastAsia="Times New Roman" w:hAnsiTheme="majorHAnsi"/>
                <w:color w:val="000000"/>
                <w:sz w:val="16"/>
                <w:szCs w:val="16"/>
              </w:rPr>
            </w:pPr>
            <w:r>
              <w:rPr>
                <w:rFonts w:asciiTheme="majorHAnsi" w:eastAsia="Times New Roman" w:hAnsiTheme="majorHAnsi"/>
                <w:color w:val="000000"/>
                <w:sz w:val="16"/>
                <w:szCs w:val="16"/>
              </w:rPr>
              <w:t>E</w:t>
            </w:r>
            <w:r w:rsidRPr="00FC1173">
              <w:rPr>
                <w:rFonts w:asciiTheme="majorHAnsi" w:eastAsia="Times New Roman" w:hAnsiTheme="majorHAnsi"/>
                <w:color w:val="000000"/>
                <w:sz w:val="16"/>
                <w:szCs w:val="16"/>
              </w:rPr>
              <w:t>stablish protocols and a regular schedule for information transfer between agencies and into PALARIS/IAS database (Year 3) = $5,000</w:t>
            </w:r>
          </w:p>
          <w:p w14:paraId="03553841" w14:textId="77777777" w:rsidR="00DD755D" w:rsidRPr="00FC1173" w:rsidRDefault="00DD755D" w:rsidP="00D17561">
            <w:pPr>
              <w:pStyle w:val="ListParagraph"/>
              <w:numPr>
                <w:ilvl w:val="0"/>
                <w:numId w:val="139"/>
              </w:numPr>
              <w:contextualSpacing/>
              <w:jc w:val="both"/>
              <w:rPr>
                <w:rFonts w:asciiTheme="majorHAnsi" w:eastAsia="Times New Roman" w:hAnsiTheme="majorHAnsi"/>
                <w:color w:val="000000"/>
                <w:sz w:val="16"/>
                <w:szCs w:val="16"/>
              </w:rPr>
            </w:pPr>
            <w:r>
              <w:rPr>
                <w:rFonts w:asciiTheme="majorHAnsi" w:eastAsia="Times New Roman" w:hAnsiTheme="majorHAnsi"/>
                <w:color w:val="000000"/>
                <w:sz w:val="16"/>
                <w:szCs w:val="16"/>
              </w:rPr>
              <w:t>I</w:t>
            </w:r>
            <w:r w:rsidRPr="00FC1173">
              <w:rPr>
                <w:rFonts w:asciiTheme="majorHAnsi" w:eastAsia="Times New Roman" w:hAnsiTheme="majorHAnsi"/>
                <w:color w:val="000000"/>
                <w:sz w:val="16"/>
                <w:szCs w:val="16"/>
              </w:rPr>
              <w:t>dentify, collect, catalog, and share sources of information publicly across sectors (Year 4) = $12,000</w:t>
            </w:r>
          </w:p>
          <w:p w14:paraId="775BDA9F" w14:textId="77777777" w:rsidR="00DD755D" w:rsidRPr="00FC1173" w:rsidRDefault="00DD755D" w:rsidP="00D17561">
            <w:pPr>
              <w:pStyle w:val="ListParagraph"/>
              <w:numPr>
                <w:ilvl w:val="0"/>
                <w:numId w:val="139"/>
              </w:numPr>
              <w:contextualSpacing/>
              <w:jc w:val="both"/>
              <w:rPr>
                <w:rFonts w:asciiTheme="majorHAnsi" w:eastAsia="Times New Roman" w:hAnsiTheme="majorHAnsi"/>
                <w:color w:val="000000"/>
                <w:sz w:val="16"/>
                <w:szCs w:val="16"/>
              </w:rPr>
            </w:pPr>
            <w:r>
              <w:rPr>
                <w:rFonts w:asciiTheme="majorHAnsi" w:eastAsia="Times New Roman" w:hAnsiTheme="majorHAnsi"/>
                <w:color w:val="000000"/>
                <w:sz w:val="16"/>
                <w:szCs w:val="16"/>
              </w:rPr>
              <w:t>U</w:t>
            </w:r>
            <w:r w:rsidRPr="00FC1173">
              <w:rPr>
                <w:rFonts w:asciiTheme="majorHAnsi" w:eastAsia="Times New Roman" w:hAnsiTheme="majorHAnsi"/>
                <w:color w:val="000000"/>
                <w:sz w:val="16"/>
                <w:szCs w:val="16"/>
              </w:rPr>
              <w:t>pdate national webpages</w:t>
            </w:r>
            <w:r>
              <w:rPr>
                <w:rFonts w:asciiTheme="majorHAnsi" w:eastAsia="Times New Roman" w:hAnsiTheme="majorHAnsi"/>
                <w:color w:val="000000"/>
                <w:sz w:val="16"/>
                <w:szCs w:val="16"/>
              </w:rPr>
              <w:t xml:space="preserve"> (with training)</w:t>
            </w:r>
            <w:r w:rsidRPr="00FC1173">
              <w:rPr>
                <w:rFonts w:asciiTheme="majorHAnsi" w:eastAsia="Times New Roman" w:hAnsiTheme="majorHAnsi"/>
                <w:color w:val="000000"/>
                <w:sz w:val="16"/>
                <w:szCs w:val="16"/>
              </w:rPr>
              <w:t xml:space="preserve"> (Approx $2,000 every other year) (Year 2, 4, &amp; 6) = $7,000</w:t>
            </w:r>
          </w:p>
          <w:p w14:paraId="19DEEAC5" w14:textId="77777777" w:rsidR="00DD755D" w:rsidRPr="00FC1173" w:rsidRDefault="00DD755D" w:rsidP="00D17561">
            <w:pPr>
              <w:pStyle w:val="ListParagraph"/>
              <w:numPr>
                <w:ilvl w:val="0"/>
                <w:numId w:val="139"/>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Update NISC website and maintain as regular sharing platform; add on so it becomes the Palau Pest Website (Approx $2,000 per year x 4 years) (Years 3-6) = $11,000</w:t>
            </w:r>
          </w:p>
          <w:p w14:paraId="17E14C6E" w14:textId="77777777" w:rsidR="00DD755D" w:rsidRPr="00FC1173" w:rsidRDefault="00DD755D" w:rsidP="00D17561">
            <w:pPr>
              <w:pStyle w:val="ListParagraph"/>
              <w:numPr>
                <w:ilvl w:val="0"/>
                <w:numId w:val="139"/>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Set up standards for information collection that are gender and socially inclusive (Year 2) = $4000</w:t>
            </w:r>
          </w:p>
          <w:p w14:paraId="393DC8AA" w14:textId="77777777" w:rsidR="00DD755D" w:rsidRPr="00FC1173" w:rsidRDefault="00DD755D" w:rsidP="00D17561">
            <w:pPr>
              <w:pStyle w:val="ListParagraph"/>
              <w:numPr>
                <w:ilvl w:val="0"/>
                <w:numId w:val="139"/>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Conduct a NIM Audit ($3,000 per year x 6 years) = $18,000</w:t>
            </w:r>
          </w:p>
        </w:tc>
      </w:tr>
      <w:tr w:rsidR="00DD755D" w:rsidRPr="00FC1173" w14:paraId="6962548E" w14:textId="77777777" w:rsidTr="00D32FA2">
        <w:trPr>
          <w:trHeight w:val="273"/>
        </w:trPr>
        <w:tc>
          <w:tcPr>
            <w:tcW w:w="450" w:type="dxa"/>
            <w:shd w:val="clear" w:color="auto" w:fill="auto"/>
            <w:vAlign w:val="center"/>
          </w:tcPr>
          <w:p w14:paraId="6EEDA9DB" w14:textId="37CD7747" w:rsidR="00DD755D" w:rsidRPr="00FC1173" w:rsidRDefault="00EA4043" w:rsidP="00EA4043">
            <w:pPr>
              <w:spacing w:after="0"/>
              <w:jc w:val="center"/>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3</w:t>
            </w:r>
            <w:r>
              <w:rPr>
                <w:rFonts w:asciiTheme="majorHAnsi" w:eastAsia="Times New Roman" w:hAnsiTheme="majorHAnsi"/>
                <w:color w:val="000000"/>
                <w:sz w:val="16"/>
                <w:szCs w:val="16"/>
              </w:rPr>
              <w:t>0</w:t>
            </w:r>
          </w:p>
        </w:tc>
        <w:tc>
          <w:tcPr>
            <w:tcW w:w="13860" w:type="dxa"/>
            <w:shd w:val="clear" w:color="auto" w:fill="auto"/>
            <w:vAlign w:val="center"/>
          </w:tcPr>
          <w:p w14:paraId="2E9A1D49" w14:textId="77777777" w:rsidR="00DD755D" w:rsidRPr="00FC1173" w:rsidRDefault="00DD755D" w:rsidP="00D32FA2">
            <w:pPr>
              <w:spacing w:after="0"/>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Travel by international consultants to and from Palau, as well as within Palau, to develop a biosecurity database (Year 3) = $7,000</w:t>
            </w:r>
          </w:p>
        </w:tc>
      </w:tr>
      <w:tr w:rsidR="00EA4043" w:rsidRPr="00FC1173" w14:paraId="34ABAB3B" w14:textId="77777777" w:rsidTr="00D32FA2">
        <w:trPr>
          <w:trHeight w:val="273"/>
        </w:trPr>
        <w:tc>
          <w:tcPr>
            <w:tcW w:w="450" w:type="dxa"/>
            <w:shd w:val="clear" w:color="auto" w:fill="auto"/>
            <w:vAlign w:val="center"/>
          </w:tcPr>
          <w:p w14:paraId="464A5CFB" w14:textId="38D4CF86" w:rsidR="00EA4043" w:rsidRPr="00FC1173" w:rsidRDefault="00EA4043" w:rsidP="00D32FA2">
            <w:pPr>
              <w:spacing w:after="0"/>
              <w:jc w:val="center"/>
              <w:rPr>
                <w:rFonts w:asciiTheme="majorHAnsi" w:eastAsia="Times New Roman" w:hAnsiTheme="majorHAnsi"/>
                <w:color w:val="000000"/>
                <w:sz w:val="16"/>
                <w:szCs w:val="16"/>
              </w:rPr>
            </w:pPr>
            <w:r>
              <w:rPr>
                <w:rFonts w:asciiTheme="majorHAnsi" w:eastAsia="Times New Roman" w:hAnsiTheme="majorHAnsi"/>
                <w:color w:val="000000"/>
                <w:sz w:val="16"/>
                <w:szCs w:val="16"/>
              </w:rPr>
              <w:t>31</w:t>
            </w:r>
          </w:p>
        </w:tc>
        <w:tc>
          <w:tcPr>
            <w:tcW w:w="13860" w:type="dxa"/>
            <w:shd w:val="clear" w:color="auto" w:fill="auto"/>
            <w:vAlign w:val="center"/>
          </w:tcPr>
          <w:p w14:paraId="2DDDE51F" w14:textId="76748DC9" w:rsidR="00EA4043" w:rsidRPr="00FC1173" w:rsidRDefault="00832213" w:rsidP="00D32FA2">
            <w:pPr>
              <w:spacing w:after="0"/>
              <w:rPr>
                <w:rFonts w:asciiTheme="majorHAnsi" w:eastAsia="Times New Roman" w:hAnsiTheme="majorHAnsi"/>
                <w:color w:val="000000"/>
                <w:sz w:val="16"/>
                <w:szCs w:val="16"/>
              </w:rPr>
            </w:pPr>
            <w:r>
              <w:rPr>
                <w:rFonts w:asciiTheme="majorHAnsi" w:eastAsia="Times New Roman" w:hAnsiTheme="majorHAnsi"/>
                <w:color w:val="000000"/>
                <w:sz w:val="16"/>
                <w:szCs w:val="16"/>
              </w:rPr>
              <w:t>Audio equipment to implement the awareness campaigns</w:t>
            </w:r>
          </w:p>
        </w:tc>
      </w:tr>
      <w:tr w:rsidR="00DD755D" w:rsidRPr="00FC1173" w14:paraId="186770F5" w14:textId="77777777" w:rsidTr="00D32FA2">
        <w:trPr>
          <w:trHeight w:val="273"/>
        </w:trPr>
        <w:tc>
          <w:tcPr>
            <w:tcW w:w="450" w:type="dxa"/>
            <w:shd w:val="clear" w:color="auto" w:fill="auto"/>
            <w:vAlign w:val="center"/>
          </w:tcPr>
          <w:p w14:paraId="7C52C005" w14:textId="77777777" w:rsidR="00DD755D" w:rsidRPr="00FC1173" w:rsidRDefault="00DD755D" w:rsidP="00D32FA2">
            <w:pPr>
              <w:spacing w:after="0"/>
              <w:jc w:val="center"/>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32</w:t>
            </w:r>
          </w:p>
        </w:tc>
        <w:tc>
          <w:tcPr>
            <w:tcW w:w="13860" w:type="dxa"/>
            <w:shd w:val="clear" w:color="auto" w:fill="auto"/>
            <w:vAlign w:val="center"/>
          </w:tcPr>
          <w:p w14:paraId="0D9D8A5D" w14:textId="77777777" w:rsidR="00DD755D" w:rsidRPr="00FC1173" w:rsidRDefault="00DD755D" w:rsidP="00D32FA2">
            <w:pPr>
              <w:spacing w:after="0"/>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Trainings, Workshops, and Meetings as follows:</w:t>
            </w:r>
          </w:p>
          <w:p w14:paraId="6FD1BFB7" w14:textId="77777777" w:rsidR="00DD755D" w:rsidRPr="00FC1173" w:rsidRDefault="00DD755D" w:rsidP="00D17561">
            <w:pPr>
              <w:pStyle w:val="ListParagraph"/>
              <w:numPr>
                <w:ilvl w:val="0"/>
                <w:numId w:val="140"/>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Annual workshops to disseminate findings and share lessons from the project ($2,500 per year x 6 years) = $15,000</w:t>
            </w:r>
          </w:p>
          <w:p w14:paraId="5CB4B695" w14:textId="77777777" w:rsidR="00DD755D" w:rsidRPr="00FC1173" w:rsidRDefault="00DD755D" w:rsidP="00D17561">
            <w:pPr>
              <w:pStyle w:val="ListParagraph"/>
              <w:numPr>
                <w:ilvl w:val="0"/>
                <w:numId w:val="140"/>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Teacher Training workshop on IAS and biosecurity curriculum (Year 4) = $15,000</w:t>
            </w:r>
          </w:p>
          <w:p w14:paraId="1BCD4993" w14:textId="77777777" w:rsidR="00DD755D" w:rsidRPr="00FC1173" w:rsidRDefault="00DD755D" w:rsidP="00D17561">
            <w:pPr>
              <w:pStyle w:val="ListParagraph"/>
              <w:numPr>
                <w:ilvl w:val="0"/>
                <w:numId w:val="140"/>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Training on how to use newly developed biosecurity database (Year 4) = $4,000</w:t>
            </w:r>
          </w:p>
          <w:p w14:paraId="2D8C3EE8" w14:textId="77777777" w:rsidR="00DD755D" w:rsidRPr="00FC1173" w:rsidRDefault="00DD755D" w:rsidP="00D17561">
            <w:pPr>
              <w:pStyle w:val="ListParagraph"/>
              <w:numPr>
                <w:ilvl w:val="0"/>
                <w:numId w:val="140"/>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Inception Workshop (Year 1) = $10,000</w:t>
            </w:r>
          </w:p>
          <w:p w14:paraId="78560E17" w14:textId="4F62BD89" w:rsidR="00EA4043" w:rsidRPr="00832213" w:rsidRDefault="00DD755D" w:rsidP="00D17561">
            <w:pPr>
              <w:pStyle w:val="ListParagraph"/>
              <w:numPr>
                <w:ilvl w:val="0"/>
                <w:numId w:val="140"/>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Project Board meetings ($1,000 per year x 6 years) = $6,000</w:t>
            </w:r>
          </w:p>
        </w:tc>
      </w:tr>
      <w:tr w:rsidR="00DD755D" w:rsidRPr="00FC1173" w14:paraId="0EEC8773" w14:textId="77777777" w:rsidTr="00D32FA2">
        <w:trPr>
          <w:trHeight w:val="273"/>
        </w:trPr>
        <w:tc>
          <w:tcPr>
            <w:tcW w:w="450" w:type="dxa"/>
            <w:shd w:val="clear" w:color="auto" w:fill="auto"/>
            <w:vAlign w:val="center"/>
          </w:tcPr>
          <w:p w14:paraId="5365305C" w14:textId="77777777" w:rsidR="00DD755D" w:rsidRPr="00FC1173" w:rsidRDefault="00DD755D" w:rsidP="00D32FA2">
            <w:pPr>
              <w:spacing w:after="0"/>
              <w:jc w:val="center"/>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33</w:t>
            </w:r>
          </w:p>
        </w:tc>
        <w:tc>
          <w:tcPr>
            <w:tcW w:w="13860" w:type="dxa"/>
            <w:shd w:val="clear" w:color="auto" w:fill="auto"/>
            <w:vAlign w:val="center"/>
          </w:tcPr>
          <w:p w14:paraId="544C6A34" w14:textId="77777777" w:rsidR="00EA4043" w:rsidRDefault="00DD755D" w:rsidP="00EA4043">
            <w:pPr>
              <w:spacing w:after="0"/>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 xml:space="preserve">Supplies </w:t>
            </w:r>
            <w:r w:rsidR="00EA4043" w:rsidRPr="00FC1173">
              <w:rPr>
                <w:rFonts w:asciiTheme="majorHAnsi" w:eastAsia="Times New Roman" w:hAnsiTheme="majorHAnsi"/>
                <w:color w:val="000000"/>
                <w:sz w:val="16"/>
                <w:szCs w:val="16"/>
              </w:rPr>
              <w:t>Supplies needed to implem</w:t>
            </w:r>
          </w:p>
          <w:p w14:paraId="33D6F35F" w14:textId="77777777" w:rsidR="00EA4043" w:rsidRDefault="00EA4043" w:rsidP="00EA4043">
            <w:pPr>
              <w:spacing w:after="0"/>
              <w:rPr>
                <w:rFonts w:asciiTheme="majorHAnsi" w:eastAsia="Times New Roman" w:hAnsiTheme="majorHAnsi"/>
                <w:color w:val="000000"/>
                <w:sz w:val="16"/>
                <w:szCs w:val="16"/>
              </w:rPr>
            </w:pPr>
          </w:p>
          <w:p w14:paraId="58435748" w14:textId="77777777" w:rsidR="00EA4043" w:rsidRDefault="00EA4043" w:rsidP="00EA4043">
            <w:pPr>
              <w:spacing w:after="0"/>
              <w:rPr>
                <w:rFonts w:asciiTheme="majorHAnsi" w:eastAsia="Times New Roman" w:hAnsiTheme="majorHAnsi"/>
                <w:color w:val="000000"/>
                <w:sz w:val="16"/>
                <w:szCs w:val="16"/>
              </w:rPr>
            </w:pPr>
          </w:p>
          <w:p w14:paraId="72593162" w14:textId="4E74FDEF" w:rsidR="00EA4043" w:rsidRPr="00FC1173" w:rsidRDefault="00EA4043" w:rsidP="00EA4043">
            <w:pPr>
              <w:spacing w:after="0"/>
              <w:rPr>
                <w:rFonts w:asciiTheme="majorHAnsi" w:eastAsia="Times New Roman" w:hAnsiTheme="majorHAnsi"/>
                <w:color w:val="000000"/>
                <w:sz w:val="16"/>
                <w:szCs w:val="16"/>
              </w:rPr>
            </w:pPr>
            <w:r>
              <w:rPr>
                <w:rFonts w:asciiTheme="majorHAnsi" w:eastAsia="Times New Roman" w:hAnsiTheme="majorHAnsi"/>
                <w:color w:val="000000"/>
                <w:sz w:val="16"/>
                <w:szCs w:val="16"/>
              </w:rPr>
              <w:t xml:space="preserve">Supplies and consumables needed to implement </w:t>
            </w:r>
            <w:r w:rsidRPr="00FC1173">
              <w:rPr>
                <w:rFonts w:asciiTheme="majorHAnsi" w:eastAsia="Times New Roman" w:hAnsiTheme="majorHAnsi"/>
                <w:color w:val="000000"/>
                <w:sz w:val="16"/>
                <w:szCs w:val="16"/>
              </w:rPr>
              <w:t>the following activities:</w:t>
            </w:r>
          </w:p>
          <w:p w14:paraId="62C87C47" w14:textId="77777777" w:rsidR="00EA4043" w:rsidRPr="00FC1173" w:rsidRDefault="00EA4043" w:rsidP="00D17561">
            <w:pPr>
              <w:pStyle w:val="ListParagraph"/>
              <w:numPr>
                <w:ilvl w:val="0"/>
                <w:numId w:val="141"/>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lastRenderedPageBreak/>
              <w:t>Regular implementation of communications activities ($5,000 per year x 5 Years starting Year 2) = $25,000</w:t>
            </w:r>
          </w:p>
          <w:p w14:paraId="40549D6A" w14:textId="77777777" w:rsidR="00EA4043" w:rsidRDefault="00EA4043" w:rsidP="00D17561">
            <w:pPr>
              <w:pStyle w:val="ListParagraph"/>
              <w:numPr>
                <w:ilvl w:val="0"/>
                <w:numId w:val="141"/>
              </w:numPr>
              <w:contextualSpacing/>
              <w:jc w:val="both"/>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Integrate into programs for school children at PICRC ($3,000 per year x 4 years) (Years 3-6) = $12,000</w:t>
            </w:r>
          </w:p>
          <w:p w14:paraId="793E9648" w14:textId="77777777" w:rsidR="00EA4043" w:rsidRPr="00832213" w:rsidRDefault="00EA4043" w:rsidP="00D17561">
            <w:pPr>
              <w:pStyle w:val="ListParagraph"/>
              <w:numPr>
                <w:ilvl w:val="0"/>
                <w:numId w:val="141"/>
              </w:numPr>
              <w:contextualSpacing/>
              <w:jc w:val="both"/>
              <w:rPr>
                <w:rFonts w:asciiTheme="majorHAnsi" w:eastAsia="Times New Roman" w:hAnsiTheme="majorHAnsi"/>
                <w:color w:val="000000"/>
                <w:sz w:val="16"/>
                <w:szCs w:val="16"/>
              </w:rPr>
            </w:pPr>
            <w:r w:rsidRPr="00832213">
              <w:rPr>
                <w:rFonts w:asciiTheme="majorHAnsi" w:eastAsia="Times New Roman" w:hAnsiTheme="majorHAnsi"/>
                <w:color w:val="000000"/>
                <w:sz w:val="16"/>
                <w:szCs w:val="16"/>
              </w:rPr>
              <w:t>Implement National Awareness Campaign (Years 3-6) = $15,000</w:t>
            </w:r>
          </w:p>
          <w:p w14:paraId="07DEF1BD" w14:textId="37B6E40D" w:rsidR="00DD755D" w:rsidRPr="00FC1173" w:rsidRDefault="00DD755D" w:rsidP="00832213">
            <w:pPr>
              <w:pStyle w:val="ListParagraph"/>
              <w:contextualSpacing/>
              <w:jc w:val="both"/>
              <w:rPr>
                <w:rFonts w:asciiTheme="majorHAnsi" w:eastAsia="Times New Roman" w:hAnsiTheme="majorHAnsi"/>
                <w:color w:val="000000"/>
                <w:sz w:val="16"/>
                <w:szCs w:val="16"/>
              </w:rPr>
            </w:pPr>
          </w:p>
        </w:tc>
      </w:tr>
      <w:tr w:rsidR="00DD755D" w:rsidRPr="00FC1173" w14:paraId="5B1793A7" w14:textId="77777777" w:rsidTr="00D32FA2">
        <w:trPr>
          <w:trHeight w:val="273"/>
        </w:trPr>
        <w:tc>
          <w:tcPr>
            <w:tcW w:w="450" w:type="dxa"/>
            <w:shd w:val="clear" w:color="auto" w:fill="auto"/>
            <w:vAlign w:val="center"/>
          </w:tcPr>
          <w:p w14:paraId="23150B90" w14:textId="77777777" w:rsidR="00DD755D" w:rsidRPr="00FC1173" w:rsidRDefault="00DD755D" w:rsidP="00D32FA2">
            <w:pPr>
              <w:spacing w:after="0"/>
              <w:jc w:val="center"/>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lastRenderedPageBreak/>
              <w:t>34</w:t>
            </w:r>
          </w:p>
        </w:tc>
        <w:tc>
          <w:tcPr>
            <w:tcW w:w="13860" w:type="dxa"/>
            <w:shd w:val="clear" w:color="auto" w:fill="auto"/>
            <w:vAlign w:val="center"/>
          </w:tcPr>
          <w:p w14:paraId="79696368" w14:textId="77777777" w:rsidR="00DD755D" w:rsidRPr="00FC1173" w:rsidRDefault="00DD755D" w:rsidP="00D32FA2">
            <w:pPr>
              <w:spacing w:after="0"/>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Rental and maintenance of boats and vehicles to support field visits as part of the National Awareness Campaign (Years 3-6) = $15,000</w:t>
            </w:r>
          </w:p>
        </w:tc>
      </w:tr>
      <w:tr w:rsidR="00DD755D" w:rsidRPr="00FC1173" w14:paraId="03B2AC47" w14:textId="77777777" w:rsidTr="00D32FA2">
        <w:trPr>
          <w:trHeight w:val="746"/>
        </w:trPr>
        <w:tc>
          <w:tcPr>
            <w:tcW w:w="450" w:type="dxa"/>
            <w:shd w:val="clear" w:color="auto" w:fill="auto"/>
            <w:vAlign w:val="center"/>
          </w:tcPr>
          <w:p w14:paraId="328845B6" w14:textId="77777777" w:rsidR="00DD755D" w:rsidRPr="00FC1173" w:rsidRDefault="00DD755D" w:rsidP="00D32FA2">
            <w:pPr>
              <w:spacing w:after="0"/>
              <w:jc w:val="center"/>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35</w:t>
            </w:r>
          </w:p>
        </w:tc>
        <w:tc>
          <w:tcPr>
            <w:tcW w:w="13860" w:type="dxa"/>
            <w:shd w:val="clear" w:color="auto" w:fill="auto"/>
            <w:vAlign w:val="center"/>
          </w:tcPr>
          <w:p w14:paraId="30E71B01" w14:textId="77777777" w:rsidR="00DD755D" w:rsidRPr="00FC1173" w:rsidRDefault="00DD755D" w:rsidP="00D32FA2">
            <w:pPr>
              <w:spacing w:after="0"/>
              <w:rPr>
                <w:rFonts w:asciiTheme="majorHAnsi" w:eastAsia="Times New Roman" w:hAnsiTheme="majorHAnsi"/>
                <w:color w:val="000000"/>
                <w:sz w:val="16"/>
                <w:szCs w:val="16"/>
              </w:rPr>
            </w:pPr>
            <w:r>
              <w:rPr>
                <w:rFonts w:asciiTheme="majorHAnsi" w:eastAsia="Times New Roman" w:hAnsiTheme="majorHAnsi"/>
                <w:color w:val="000000"/>
                <w:sz w:val="16"/>
                <w:szCs w:val="16"/>
              </w:rPr>
              <w:t>Miscellaneous costs associated with:</w:t>
            </w:r>
          </w:p>
          <w:p w14:paraId="2D03BE92" w14:textId="1796AABE" w:rsidR="00DD755D" w:rsidRPr="00FC1173" w:rsidRDefault="00DD755D" w:rsidP="00D17561">
            <w:pPr>
              <w:pStyle w:val="ListParagraph"/>
              <w:numPr>
                <w:ilvl w:val="0"/>
                <w:numId w:val="142"/>
              </w:numPr>
              <w:contextualSpacing/>
              <w:jc w:val="both"/>
            </w:pPr>
            <w:r>
              <w:rPr>
                <w:rFonts w:asciiTheme="majorHAnsi" w:eastAsia="Times New Roman" w:hAnsiTheme="majorHAnsi"/>
                <w:color w:val="000000"/>
                <w:sz w:val="16"/>
                <w:szCs w:val="16"/>
              </w:rPr>
              <w:t>I</w:t>
            </w:r>
            <w:r w:rsidRPr="00FC1173">
              <w:rPr>
                <w:rFonts w:asciiTheme="majorHAnsi" w:eastAsia="Times New Roman" w:hAnsiTheme="majorHAnsi"/>
                <w:color w:val="000000"/>
                <w:sz w:val="16"/>
                <w:szCs w:val="16"/>
              </w:rPr>
              <w:t>mplement</w:t>
            </w:r>
            <w:r>
              <w:rPr>
                <w:rFonts w:asciiTheme="majorHAnsi" w:eastAsia="Times New Roman" w:hAnsiTheme="majorHAnsi"/>
                <w:color w:val="000000"/>
                <w:sz w:val="16"/>
                <w:szCs w:val="16"/>
              </w:rPr>
              <w:t>ing</w:t>
            </w:r>
            <w:r w:rsidRPr="00FC1173">
              <w:rPr>
                <w:rFonts w:asciiTheme="majorHAnsi" w:eastAsia="Times New Roman" w:hAnsiTheme="majorHAnsi"/>
                <w:color w:val="000000"/>
                <w:sz w:val="16"/>
                <w:szCs w:val="16"/>
              </w:rPr>
              <w:t xml:space="preserve"> the National Awareness Campaign ($5,000 per year x 4 years) (Years 3-6) = $20,000</w:t>
            </w:r>
          </w:p>
        </w:tc>
      </w:tr>
      <w:tr w:rsidR="00DD755D" w:rsidRPr="00FC1173" w14:paraId="09D3A063" w14:textId="77777777" w:rsidTr="00D32FA2">
        <w:trPr>
          <w:trHeight w:val="273"/>
        </w:trPr>
        <w:tc>
          <w:tcPr>
            <w:tcW w:w="450" w:type="dxa"/>
            <w:shd w:val="clear" w:color="auto" w:fill="auto"/>
            <w:vAlign w:val="center"/>
          </w:tcPr>
          <w:p w14:paraId="7887CCF9" w14:textId="77777777" w:rsidR="00DD755D" w:rsidRPr="00FC1173" w:rsidRDefault="00DD755D" w:rsidP="00D32FA2">
            <w:pPr>
              <w:spacing w:after="0"/>
              <w:jc w:val="center"/>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36</w:t>
            </w:r>
          </w:p>
        </w:tc>
        <w:tc>
          <w:tcPr>
            <w:tcW w:w="13860" w:type="dxa"/>
            <w:shd w:val="clear" w:color="auto" w:fill="auto"/>
            <w:vAlign w:val="center"/>
          </w:tcPr>
          <w:p w14:paraId="0CCF5A9B" w14:textId="77777777" w:rsidR="00DD755D" w:rsidRPr="00FC1173" w:rsidRDefault="00DD755D" w:rsidP="00D32FA2">
            <w:pPr>
              <w:spacing w:after="0"/>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Travel by the Project Manager to and from Palau for capacity building and partnership building</w:t>
            </w:r>
          </w:p>
        </w:tc>
      </w:tr>
      <w:tr w:rsidR="00DD755D" w:rsidRPr="00FC1173" w14:paraId="1531E427" w14:textId="77777777" w:rsidTr="00D32FA2">
        <w:trPr>
          <w:trHeight w:val="273"/>
        </w:trPr>
        <w:tc>
          <w:tcPr>
            <w:tcW w:w="450" w:type="dxa"/>
            <w:shd w:val="clear" w:color="auto" w:fill="auto"/>
            <w:vAlign w:val="center"/>
          </w:tcPr>
          <w:p w14:paraId="16BCB2A9" w14:textId="77777777" w:rsidR="00DD755D" w:rsidRPr="00FC1173" w:rsidRDefault="00DD755D" w:rsidP="00D32FA2">
            <w:pPr>
              <w:spacing w:after="0"/>
              <w:jc w:val="center"/>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37</w:t>
            </w:r>
          </w:p>
        </w:tc>
        <w:tc>
          <w:tcPr>
            <w:tcW w:w="13860" w:type="dxa"/>
            <w:shd w:val="clear" w:color="auto" w:fill="auto"/>
            <w:vAlign w:val="center"/>
          </w:tcPr>
          <w:p w14:paraId="601EB5D0" w14:textId="77777777" w:rsidR="00DD755D" w:rsidRPr="00FC1173" w:rsidRDefault="00DD755D" w:rsidP="00D32FA2">
            <w:pPr>
              <w:spacing w:after="0"/>
              <w:rPr>
                <w:rFonts w:asciiTheme="majorHAnsi" w:eastAsia="Times New Roman" w:hAnsiTheme="majorHAnsi"/>
                <w:color w:val="000000"/>
                <w:sz w:val="16"/>
                <w:szCs w:val="16"/>
              </w:rPr>
            </w:pPr>
            <w:r>
              <w:rPr>
                <w:rFonts w:asciiTheme="majorHAnsi" w:eastAsia="Times New Roman" w:hAnsiTheme="majorHAnsi"/>
                <w:color w:val="000000"/>
                <w:sz w:val="16"/>
                <w:szCs w:val="16"/>
              </w:rPr>
              <w:t>S</w:t>
            </w:r>
            <w:r w:rsidRPr="00FC1173">
              <w:rPr>
                <w:rFonts w:asciiTheme="majorHAnsi" w:eastAsia="Times New Roman" w:hAnsiTheme="majorHAnsi"/>
                <w:color w:val="000000"/>
                <w:sz w:val="16"/>
                <w:szCs w:val="16"/>
              </w:rPr>
              <w:t xml:space="preserve">upplies to be used </w:t>
            </w:r>
            <w:r>
              <w:rPr>
                <w:rFonts w:asciiTheme="majorHAnsi" w:eastAsia="Times New Roman" w:hAnsiTheme="majorHAnsi"/>
                <w:color w:val="000000"/>
                <w:sz w:val="16"/>
                <w:szCs w:val="16"/>
              </w:rPr>
              <w:t xml:space="preserve">for </w:t>
            </w:r>
            <w:r w:rsidRPr="00FC1173">
              <w:rPr>
                <w:rFonts w:asciiTheme="majorHAnsi" w:eastAsia="Times New Roman" w:hAnsiTheme="majorHAnsi"/>
                <w:color w:val="000000"/>
                <w:sz w:val="16"/>
                <w:szCs w:val="16"/>
              </w:rPr>
              <w:t>project</w:t>
            </w:r>
            <w:r>
              <w:rPr>
                <w:rFonts w:asciiTheme="majorHAnsi" w:eastAsia="Times New Roman" w:hAnsiTheme="majorHAnsi"/>
                <w:color w:val="000000"/>
                <w:sz w:val="16"/>
                <w:szCs w:val="16"/>
              </w:rPr>
              <w:t xml:space="preserve"> management</w:t>
            </w:r>
            <w:r w:rsidRPr="00FC1173">
              <w:rPr>
                <w:rFonts w:asciiTheme="majorHAnsi" w:eastAsia="Times New Roman" w:hAnsiTheme="majorHAnsi"/>
                <w:color w:val="000000"/>
                <w:sz w:val="16"/>
                <w:szCs w:val="16"/>
              </w:rPr>
              <w:t xml:space="preserve"> ($2094 per year x 6 years) = $12,562</w:t>
            </w:r>
          </w:p>
        </w:tc>
      </w:tr>
      <w:tr w:rsidR="00DD755D" w:rsidRPr="00FC1173" w14:paraId="1B63F41D" w14:textId="77777777" w:rsidTr="00D32FA2">
        <w:trPr>
          <w:trHeight w:val="273"/>
        </w:trPr>
        <w:tc>
          <w:tcPr>
            <w:tcW w:w="450" w:type="dxa"/>
            <w:shd w:val="clear" w:color="auto" w:fill="auto"/>
            <w:vAlign w:val="center"/>
          </w:tcPr>
          <w:p w14:paraId="360A5BC0" w14:textId="77777777" w:rsidR="00DD755D" w:rsidRPr="00FC1173" w:rsidRDefault="00DD755D" w:rsidP="00D32FA2">
            <w:pPr>
              <w:spacing w:after="0"/>
              <w:jc w:val="center"/>
              <w:rPr>
                <w:rFonts w:asciiTheme="majorHAnsi" w:eastAsia="Times New Roman" w:hAnsiTheme="majorHAnsi"/>
                <w:color w:val="000000"/>
                <w:sz w:val="16"/>
                <w:szCs w:val="16"/>
              </w:rPr>
            </w:pPr>
            <w:r w:rsidRPr="00FC1173">
              <w:rPr>
                <w:rFonts w:asciiTheme="majorHAnsi" w:eastAsia="Times New Roman" w:hAnsiTheme="majorHAnsi"/>
                <w:color w:val="000000"/>
                <w:sz w:val="16"/>
                <w:szCs w:val="16"/>
              </w:rPr>
              <w:t>38</w:t>
            </w:r>
          </w:p>
        </w:tc>
        <w:tc>
          <w:tcPr>
            <w:tcW w:w="13860" w:type="dxa"/>
            <w:shd w:val="clear" w:color="auto" w:fill="auto"/>
            <w:vAlign w:val="center"/>
          </w:tcPr>
          <w:p w14:paraId="466E9557" w14:textId="77777777" w:rsidR="00DD755D" w:rsidRPr="00FC1173" w:rsidRDefault="00DD755D" w:rsidP="00D32FA2">
            <w:pPr>
              <w:spacing w:after="0"/>
              <w:rPr>
                <w:rFonts w:asciiTheme="majorHAnsi" w:eastAsia="Times New Roman" w:hAnsiTheme="majorHAnsi"/>
                <w:color w:val="000000"/>
                <w:sz w:val="16"/>
                <w:szCs w:val="16"/>
              </w:rPr>
            </w:pPr>
            <w:r>
              <w:rPr>
                <w:rFonts w:asciiTheme="majorHAnsi" w:eastAsia="Times New Roman" w:hAnsiTheme="majorHAnsi"/>
                <w:color w:val="000000"/>
                <w:sz w:val="16"/>
                <w:szCs w:val="16"/>
              </w:rPr>
              <w:t>Direct Project Costs</w:t>
            </w:r>
            <w:r w:rsidRPr="00FC1173">
              <w:rPr>
                <w:rFonts w:asciiTheme="majorHAnsi" w:eastAsia="Times New Roman" w:hAnsiTheme="majorHAnsi"/>
                <w:color w:val="000000"/>
                <w:sz w:val="16"/>
                <w:szCs w:val="16"/>
              </w:rPr>
              <w:t xml:space="preserve"> ($30,000 per year x 6 years) = $180,000.</w:t>
            </w:r>
          </w:p>
        </w:tc>
      </w:tr>
    </w:tbl>
    <w:p w14:paraId="6498B747" w14:textId="77777777" w:rsidR="00DD755D" w:rsidRPr="00FC1173" w:rsidRDefault="00DD755D" w:rsidP="00DD755D">
      <w:pPr>
        <w:rPr>
          <w:rFonts w:asciiTheme="majorHAnsi" w:hAnsiTheme="majorHAnsi"/>
          <w:b/>
          <w:i/>
          <w:sz w:val="16"/>
          <w:szCs w:val="16"/>
        </w:rPr>
      </w:pPr>
    </w:p>
    <w:p w14:paraId="30222C95" w14:textId="77777777" w:rsidR="00D90C42" w:rsidRDefault="00D90C42" w:rsidP="003B2A79">
      <w:pPr>
        <w:jc w:val="left"/>
        <w:rPr>
          <w:szCs w:val="28"/>
        </w:rPr>
        <w:sectPr w:rsidR="00D90C42" w:rsidSect="00740F26">
          <w:pgSz w:w="15840" w:h="12240" w:orient="landscape" w:code="1"/>
          <w:pgMar w:top="720" w:right="720" w:bottom="720" w:left="720" w:header="720" w:footer="432" w:gutter="0"/>
          <w:cols w:space="708"/>
          <w:titlePg/>
          <w:docGrid w:linePitch="360"/>
        </w:sectPr>
      </w:pPr>
    </w:p>
    <w:p w14:paraId="2A150F5F" w14:textId="77777777" w:rsidR="003E3ABA" w:rsidRPr="00D2065D" w:rsidRDefault="003E3ABA" w:rsidP="003B2A79">
      <w:pPr>
        <w:pStyle w:val="Heading1"/>
        <w:spacing w:before="0" w:after="60"/>
        <w:rPr>
          <w:rFonts w:ascii="Calibri" w:hAnsi="Calibri"/>
          <w:sz w:val="20"/>
        </w:rPr>
      </w:pPr>
      <w:bookmarkStart w:id="19" w:name="_Toc443050763"/>
      <w:r w:rsidRPr="00D2065D">
        <w:rPr>
          <w:rFonts w:ascii="Calibri" w:hAnsi="Calibri"/>
          <w:sz w:val="20"/>
        </w:rPr>
        <w:lastRenderedPageBreak/>
        <w:t>Legal Context</w:t>
      </w:r>
      <w:bookmarkEnd w:id="19"/>
    </w:p>
    <w:p w14:paraId="04FB6EAE" w14:textId="22ED6108" w:rsidR="00055F28" w:rsidRPr="00D2065D" w:rsidRDefault="003A77C8" w:rsidP="003B2A79">
      <w:pPr>
        <w:jc w:val="left"/>
        <w:rPr>
          <w:i/>
          <w:sz w:val="20"/>
          <w:szCs w:val="20"/>
        </w:rPr>
      </w:pPr>
      <w:r w:rsidRPr="00D2065D">
        <w:rPr>
          <w:rFonts w:cs="Arial"/>
          <w:b/>
          <w:i/>
          <w:noProof/>
          <w:sz w:val="20"/>
          <w:szCs w:val="20"/>
          <w:lang w:eastAsia="zh-CN"/>
        </w:rPr>
        <w:t>Guidance</w:t>
      </w:r>
      <w:r w:rsidR="003E3ABA" w:rsidRPr="00D2065D">
        <w:rPr>
          <w:rFonts w:cs="Arial"/>
          <w:b/>
          <w:i/>
          <w:noProof/>
          <w:sz w:val="20"/>
          <w:szCs w:val="20"/>
          <w:lang w:eastAsia="zh-CN"/>
        </w:rPr>
        <w:t xml:space="preserve"> to project developer</w:t>
      </w:r>
      <w:r w:rsidR="003E3ABA" w:rsidRPr="00D2065D">
        <w:rPr>
          <w:rFonts w:cs="Arial"/>
          <w:i/>
          <w:noProof/>
          <w:sz w:val="20"/>
          <w:szCs w:val="20"/>
          <w:lang w:eastAsia="zh-CN"/>
        </w:rPr>
        <w:t xml:space="preserve">:  </w:t>
      </w:r>
      <w:r w:rsidR="003E3ABA" w:rsidRPr="00D2065D">
        <w:rPr>
          <w:i/>
          <w:sz w:val="20"/>
          <w:szCs w:val="20"/>
        </w:rPr>
        <w:t xml:space="preserve">Click </w:t>
      </w:r>
      <w:hyperlink r:id="rId32" w:history="1">
        <w:r w:rsidR="003E3ABA" w:rsidRPr="00D2065D">
          <w:rPr>
            <w:rStyle w:val="Hyperlink"/>
            <w:i/>
            <w:sz w:val="20"/>
            <w:szCs w:val="20"/>
          </w:rPr>
          <w:t>here for the standard text</w:t>
        </w:r>
      </w:hyperlink>
      <w:r w:rsidR="003E3ABA" w:rsidRPr="00D2065D">
        <w:rPr>
          <w:i/>
          <w:sz w:val="20"/>
          <w:szCs w:val="20"/>
        </w:rPr>
        <w:t xml:space="preserve"> that must be added in this section</w:t>
      </w:r>
      <w:r w:rsidR="00194AA1">
        <w:rPr>
          <w:i/>
          <w:sz w:val="20"/>
          <w:szCs w:val="20"/>
        </w:rPr>
        <w:t xml:space="preserve">. </w:t>
      </w:r>
      <w:r w:rsidR="003E3ABA" w:rsidRPr="00D2065D">
        <w:rPr>
          <w:i/>
          <w:sz w:val="20"/>
          <w:szCs w:val="20"/>
        </w:rPr>
        <w:t>This text is updated by UNDP on a regular basis and posted to the UNDP intranet</w:t>
      </w:r>
      <w:r w:rsidR="00194AA1">
        <w:rPr>
          <w:i/>
          <w:sz w:val="20"/>
          <w:szCs w:val="20"/>
        </w:rPr>
        <w:t xml:space="preserve">. </w:t>
      </w:r>
      <w:r w:rsidR="003E3ABA" w:rsidRPr="00D2065D">
        <w:rPr>
          <w:i/>
          <w:sz w:val="20"/>
          <w:szCs w:val="20"/>
        </w:rPr>
        <w:t>Please use the most recent text</w:t>
      </w:r>
      <w:r w:rsidR="00194AA1">
        <w:rPr>
          <w:i/>
          <w:sz w:val="20"/>
          <w:szCs w:val="20"/>
        </w:rPr>
        <w:t xml:space="preserve">. </w:t>
      </w:r>
    </w:p>
    <w:p w14:paraId="3CD1C168" w14:textId="77777777" w:rsidR="00055F28" w:rsidRPr="00D2065D" w:rsidRDefault="00055F28" w:rsidP="003B2A79">
      <w:pPr>
        <w:jc w:val="left"/>
        <w:rPr>
          <w:i/>
          <w:sz w:val="20"/>
          <w:szCs w:val="20"/>
        </w:rPr>
      </w:pPr>
    </w:p>
    <w:p w14:paraId="55F59576" w14:textId="77777777" w:rsidR="003E3ABA" w:rsidRPr="00D2065D" w:rsidRDefault="003E3ABA" w:rsidP="00A04E6F">
      <w:pPr>
        <w:jc w:val="left"/>
        <w:rPr>
          <w:sz w:val="20"/>
          <w:szCs w:val="20"/>
        </w:rPr>
        <w:sectPr w:rsidR="003E3ABA" w:rsidRPr="00D2065D" w:rsidSect="00D90C42">
          <w:pgSz w:w="12240" w:h="15840" w:code="1"/>
          <w:pgMar w:top="1440" w:right="1440" w:bottom="1440" w:left="1440" w:header="720" w:footer="432" w:gutter="0"/>
          <w:cols w:space="708"/>
          <w:titlePg/>
          <w:docGrid w:linePitch="360"/>
        </w:sectPr>
      </w:pPr>
      <w:r w:rsidRPr="00D2065D">
        <w:rPr>
          <w:i/>
          <w:sz w:val="20"/>
          <w:szCs w:val="20"/>
        </w:rPr>
        <w:t xml:space="preserve">The following text must also be added: </w:t>
      </w:r>
      <w:r w:rsidRPr="00D2065D">
        <w:rPr>
          <w:sz w:val="20"/>
          <w:szCs w:val="20"/>
        </w:rPr>
        <w:t>Any designations on maps or other references employed in this project document do not imply the expression of any opinion whatsoever on the part of UNDP concerning the legal status of any country, territory, city or area or its authorities, or concerning the delimitation of its frontiers or boundaries. </w:t>
      </w:r>
    </w:p>
    <w:p w14:paraId="4973B22C" w14:textId="1580A742" w:rsidR="003E3ABA" w:rsidRDefault="003E3ABA" w:rsidP="003B2A79">
      <w:pPr>
        <w:pStyle w:val="Heading1"/>
        <w:spacing w:before="0" w:after="60"/>
        <w:rPr>
          <w:rFonts w:ascii="Calibri" w:hAnsi="Calibri"/>
        </w:rPr>
      </w:pPr>
      <w:bookmarkStart w:id="20" w:name="_Toc443050764"/>
      <w:r w:rsidRPr="0003763F">
        <w:rPr>
          <w:rFonts w:ascii="Calibri" w:hAnsi="Calibri"/>
        </w:rPr>
        <w:lastRenderedPageBreak/>
        <w:t>Annexes</w:t>
      </w:r>
      <w:bookmarkEnd w:id="20"/>
    </w:p>
    <w:p w14:paraId="01572206" w14:textId="77777777" w:rsidR="008710B4" w:rsidRPr="008710B4" w:rsidRDefault="008710B4" w:rsidP="0031479A"/>
    <w:p w14:paraId="5EDF0E87" w14:textId="77777777" w:rsidR="00415B14" w:rsidRPr="0003763F" w:rsidRDefault="00415B14" w:rsidP="00415B14">
      <w:pPr>
        <w:pStyle w:val="ListParagraph"/>
        <w:spacing w:after="60"/>
        <w:rPr>
          <w:rFonts w:ascii="Calibri" w:hAnsi="Calibri"/>
          <w:sz w:val="20"/>
          <w:szCs w:val="20"/>
        </w:rPr>
      </w:pPr>
    </w:p>
    <w:p w14:paraId="2E3D28A3" w14:textId="77777777" w:rsidR="003E3ABA" w:rsidRPr="0003763F" w:rsidRDefault="003E3ABA" w:rsidP="003B2A79">
      <w:pPr>
        <w:ind w:left="1080"/>
        <w:rPr>
          <w:szCs w:val="20"/>
        </w:rPr>
      </w:pPr>
    </w:p>
    <w:p w14:paraId="77F0711F" w14:textId="77777777" w:rsidR="00591632" w:rsidRDefault="00591632">
      <w:pPr>
        <w:spacing w:after="0"/>
        <w:jc w:val="left"/>
        <w:rPr>
          <w:szCs w:val="20"/>
        </w:rPr>
      </w:pPr>
      <w:r>
        <w:rPr>
          <w:szCs w:val="20"/>
        </w:rPr>
        <w:br w:type="page"/>
      </w:r>
    </w:p>
    <w:p w14:paraId="262E081A" w14:textId="24ECD255" w:rsidR="00C5414B" w:rsidRDefault="00C5414B" w:rsidP="00C5414B">
      <w:pPr>
        <w:jc w:val="right"/>
        <w:rPr>
          <w:rFonts w:asciiTheme="majorHAnsi" w:hAnsiTheme="majorHAnsi"/>
          <w:b/>
          <w:szCs w:val="20"/>
        </w:rPr>
      </w:pPr>
      <w:r>
        <w:rPr>
          <w:rFonts w:asciiTheme="majorHAnsi" w:hAnsiTheme="majorHAnsi"/>
          <w:b/>
          <w:szCs w:val="20"/>
        </w:rPr>
        <w:lastRenderedPageBreak/>
        <w:t xml:space="preserve">Annex </w:t>
      </w:r>
      <w:r w:rsidR="00D4414E">
        <w:rPr>
          <w:rFonts w:asciiTheme="majorHAnsi" w:hAnsiTheme="majorHAnsi"/>
          <w:b/>
          <w:szCs w:val="20"/>
        </w:rPr>
        <w:t>1</w:t>
      </w:r>
    </w:p>
    <w:p w14:paraId="4EF9A27D" w14:textId="77777777" w:rsidR="00C5414B" w:rsidRDefault="00C5414B" w:rsidP="00C5414B">
      <w:pPr>
        <w:jc w:val="center"/>
        <w:rPr>
          <w:rFonts w:asciiTheme="majorHAnsi" w:hAnsiTheme="majorHAnsi"/>
          <w:b/>
          <w:szCs w:val="20"/>
        </w:rPr>
      </w:pPr>
    </w:p>
    <w:p w14:paraId="59DB7578" w14:textId="77777777" w:rsidR="00C5414B" w:rsidRPr="006D63E5" w:rsidRDefault="00C5414B" w:rsidP="00C5414B">
      <w:pPr>
        <w:jc w:val="center"/>
        <w:rPr>
          <w:rFonts w:asciiTheme="majorHAnsi" w:hAnsiTheme="majorHAnsi"/>
          <w:b/>
          <w:sz w:val="20"/>
          <w:szCs w:val="20"/>
        </w:rPr>
      </w:pPr>
      <w:r w:rsidRPr="006D63E5">
        <w:rPr>
          <w:rFonts w:asciiTheme="majorHAnsi" w:hAnsiTheme="majorHAnsi"/>
          <w:b/>
          <w:sz w:val="20"/>
          <w:szCs w:val="20"/>
        </w:rPr>
        <w:t xml:space="preserve">Palau Policies and Legislative Gaps </w:t>
      </w:r>
    </w:p>
    <w:p w14:paraId="53365130" w14:textId="77777777" w:rsidR="00C5414B" w:rsidRPr="006D63E5" w:rsidRDefault="00C5414B" w:rsidP="00C5414B">
      <w:pPr>
        <w:rPr>
          <w:rFonts w:asciiTheme="majorHAnsi" w:hAnsiTheme="majorHAnsi"/>
          <w:sz w:val="20"/>
          <w:szCs w:val="20"/>
        </w:rPr>
      </w:pPr>
    </w:p>
    <w:p w14:paraId="65D57B0C" w14:textId="77777777" w:rsidR="00C5414B" w:rsidRPr="006D63E5" w:rsidRDefault="00C5414B" w:rsidP="00C5414B">
      <w:pPr>
        <w:rPr>
          <w:rFonts w:asciiTheme="majorHAnsi" w:hAnsiTheme="majorHAnsi"/>
          <w:sz w:val="20"/>
          <w:szCs w:val="20"/>
        </w:rPr>
      </w:pPr>
      <w:r w:rsidRPr="006D63E5">
        <w:rPr>
          <w:rFonts w:asciiTheme="majorHAnsi" w:hAnsiTheme="majorHAnsi"/>
          <w:sz w:val="20"/>
          <w:szCs w:val="20"/>
        </w:rPr>
        <w:t xml:space="preserve">In general, plans and policies are aligned, but the regulations to implement laws are not aligned with those policies. </w:t>
      </w:r>
      <w:r w:rsidRPr="006D63E5">
        <w:rPr>
          <w:rFonts w:asciiTheme="majorHAnsi" w:hAnsiTheme="majorHAnsi"/>
          <w:i/>
          <w:sz w:val="20"/>
          <w:szCs w:val="20"/>
        </w:rPr>
        <w:t>Well-aligned with national biodiversity goals:</w:t>
      </w:r>
      <w:r w:rsidRPr="006D63E5">
        <w:rPr>
          <w:rFonts w:asciiTheme="majorHAnsi" w:hAnsiTheme="majorHAnsi"/>
          <w:sz w:val="20"/>
          <w:szCs w:val="20"/>
        </w:rPr>
        <w:t xml:space="preserve"> PAN legislation and regulations; NBSAP, Climate Change Policy, Agriculture and Aquaculture Policy, Biosecurity legislation (and regulations as they are developed)</w:t>
      </w:r>
    </w:p>
    <w:p w14:paraId="49DE68AE" w14:textId="77777777" w:rsidR="00C5414B" w:rsidRPr="006D63E5" w:rsidRDefault="00C5414B" w:rsidP="00C5414B">
      <w:pPr>
        <w:rPr>
          <w:rFonts w:asciiTheme="majorHAnsi" w:hAnsiTheme="majorHAnsi"/>
          <w:sz w:val="20"/>
          <w:szCs w:val="20"/>
        </w:rPr>
      </w:pPr>
      <w:r w:rsidRPr="006D63E5">
        <w:rPr>
          <w:rFonts w:asciiTheme="majorHAnsi" w:hAnsiTheme="majorHAnsi"/>
          <w:i/>
          <w:sz w:val="20"/>
          <w:szCs w:val="20"/>
        </w:rPr>
        <w:t>Not well-aligned with national biodiversity goals or conflict in some way</w:t>
      </w:r>
      <w:r w:rsidRPr="006D63E5">
        <w:rPr>
          <w:rFonts w:asciiTheme="majorHAnsi" w:hAnsiTheme="majorHAnsi"/>
          <w:sz w:val="20"/>
          <w:szCs w:val="20"/>
        </w:rPr>
        <w:t>: Some State PAN Legislation and PAN Management Plans (for biosecurity), EQPB Permitting regulations for agriculture and earthmoving, State Leasing Procedures and Policies, Foreign Investment Board procedures and policies, National Development Bank of Palau procedures (for agriculture and aquaculture), National tax codes, especially on fisheries and agriculture products, import and export laws, Business Licensing requirements. EQPB has no regulatory/legal basis for implementing or following a State or National Landscape Plan – if the developer follows the conditions on the earthmoving permit (which are focused on erosion and water) then EQPB cannot stop the work. EA/EIS process can only introduce conditions, not enable protection.</w:t>
      </w:r>
    </w:p>
    <w:p w14:paraId="7462B592" w14:textId="77777777" w:rsidR="00C5414B" w:rsidRPr="006D63E5" w:rsidRDefault="00C5414B" w:rsidP="00C5414B">
      <w:pPr>
        <w:rPr>
          <w:rFonts w:asciiTheme="majorHAnsi" w:hAnsiTheme="majorHAnsi"/>
          <w:sz w:val="20"/>
          <w:szCs w:val="20"/>
        </w:rPr>
      </w:pPr>
    </w:p>
    <w:p w14:paraId="709F3263" w14:textId="35C5B8F3" w:rsidR="00C5414B" w:rsidRPr="00DC75B2" w:rsidRDefault="00DB6EB8" w:rsidP="00C5414B">
      <w:pPr>
        <w:rPr>
          <w:rFonts w:asciiTheme="majorHAnsi" w:hAnsiTheme="majorHAnsi"/>
          <w:szCs w:val="20"/>
        </w:rPr>
      </w:pPr>
      <w:r w:rsidRPr="006D63E5">
        <w:rPr>
          <w:rFonts w:asciiTheme="majorHAnsi" w:hAnsiTheme="majorHAnsi"/>
          <w:b/>
          <w:sz w:val="20"/>
          <w:szCs w:val="20"/>
        </w:rPr>
        <w:t>Polic</w:t>
      </w:r>
      <w:r>
        <w:rPr>
          <w:rFonts w:asciiTheme="majorHAnsi" w:hAnsiTheme="majorHAnsi"/>
          <w:b/>
          <w:sz w:val="20"/>
          <w:szCs w:val="20"/>
        </w:rPr>
        <w:t>y</w:t>
      </w:r>
      <w:r w:rsidRPr="006D63E5">
        <w:rPr>
          <w:rFonts w:asciiTheme="majorHAnsi" w:hAnsiTheme="majorHAnsi"/>
          <w:b/>
          <w:sz w:val="20"/>
          <w:szCs w:val="20"/>
        </w:rPr>
        <w:t xml:space="preserve"> </w:t>
      </w:r>
      <w:r w:rsidR="00C5414B" w:rsidRPr="006D63E5">
        <w:rPr>
          <w:rFonts w:asciiTheme="majorHAnsi" w:hAnsiTheme="majorHAnsi"/>
          <w:b/>
          <w:sz w:val="20"/>
          <w:szCs w:val="20"/>
        </w:rPr>
        <w:t xml:space="preserve">gaps: </w:t>
      </w:r>
    </w:p>
    <w:tbl>
      <w:tblPr>
        <w:tblW w:w="0" w:type="auto"/>
        <w:tblLook w:val="04A0" w:firstRow="1" w:lastRow="0" w:firstColumn="1" w:lastColumn="0" w:noHBand="0" w:noVBand="1"/>
      </w:tblPr>
      <w:tblGrid>
        <w:gridCol w:w="3348"/>
        <w:gridCol w:w="5508"/>
      </w:tblGrid>
      <w:tr w:rsidR="00C5414B" w:rsidRPr="00590BD4" w14:paraId="73A14296" w14:textId="77777777" w:rsidTr="00C5414B">
        <w:tc>
          <w:tcPr>
            <w:tcW w:w="3348" w:type="dxa"/>
          </w:tcPr>
          <w:p w14:paraId="265CFE25" w14:textId="77777777" w:rsidR="00C5414B" w:rsidRPr="003574F7" w:rsidRDefault="00C5414B" w:rsidP="00437251">
            <w:pPr>
              <w:spacing w:after="0"/>
              <w:jc w:val="left"/>
              <w:rPr>
                <w:rFonts w:asciiTheme="majorHAnsi" w:hAnsiTheme="majorHAnsi"/>
                <w:b/>
                <w:sz w:val="18"/>
                <w:szCs w:val="18"/>
              </w:rPr>
            </w:pPr>
            <w:r w:rsidRPr="003574F7">
              <w:rPr>
                <w:rFonts w:asciiTheme="majorHAnsi" w:hAnsiTheme="majorHAnsi"/>
                <w:b/>
                <w:sz w:val="18"/>
                <w:szCs w:val="18"/>
              </w:rPr>
              <w:t>Current Policies</w:t>
            </w:r>
          </w:p>
        </w:tc>
        <w:tc>
          <w:tcPr>
            <w:tcW w:w="5508" w:type="dxa"/>
          </w:tcPr>
          <w:p w14:paraId="588EA6C9" w14:textId="77777777" w:rsidR="00C5414B" w:rsidRPr="003574F7" w:rsidRDefault="00C5414B" w:rsidP="00437251">
            <w:pPr>
              <w:spacing w:after="0"/>
              <w:jc w:val="left"/>
              <w:rPr>
                <w:rFonts w:asciiTheme="majorHAnsi" w:hAnsiTheme="majorHAnsi"/>
                <w:b/>
                <w:sz w:val="18"/>
                <w:szCs w:val="18"/>
              </w:rPr>
            </w:pPr>
            <w:r w:rsidRPr="003574F7">
              <w:rPr>
                <w:rFonts w:asciiTheme="majorHAnsi" w:hAnsiTheme="majorHAnsi"/>
                <w:b/>
                <w:sz w:val="18"/>
                <w:szCs w:val="18"/>
              </w:rPr>
              <w:t>Gaps in Policies to be Addressed</w:t>
            </w:r>
          </w:p>
        </w:tc>
      </w:tr>
      <w:tr w:rsidR="00C5414B" w:rsidRPr="00590BD4" w14:paraId="4878222A" w14:textId="77777777" w:rsidTr="00C5414B">
        <w:tc>
          <w:tcPr>
            <w:tcW w:w="3348" w:type="dxa"/>
          </w:tcPr>
          <w:p w14:paraId="0C845EF8" w14:textId="7777777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t>National tax policies</w:t>
            </w:r>
          </w:p>
        </w:tc>
        <w:tc>
          <w:tcPr>
            <w:tcW w:w="5508" w:type="dxa"/>
          </w:tcPr>
          <w:p w14:paraId="4D3C07EA" w14:textId="7777777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t>Food and agriculture policies need reform in order to actually prioritize and favor local sustainable production, transformation, and consumption, following the principles of the short value chain. Small local businesses face the same difficult tax hurdles and requirements as larger businesses.</w:t>
            </w:r>
          </w:p>
          <w:p w14:paraId="13088237" w14:textId="77777777" w:rsidR="00C5414B" w:rsidRPr="003574F7" w:rsidRDefault="00C5414B" w:rsidP="00437251">
            <w:pPr>
              <w:spacing w:after="0"/>
              <w:jc w:val="left"/>
              <w:rPr>
                <w:rFonts w:asciiTheme="majorHAnsi" w:hAnsiTheme="majorHAnsi"/>
                <w:sz w:val="18"/>
                <w:szCs w:val="18"/>
              </w:rPr>
            </w:pPr>
          </w:p>
        </w:tc>
      </w:tr>
      <w:tr w:rsidR="00C5414B" w:rsidRPr="00590BD4" w14:paraId="0F238A77" w14:textId="77777777" w:rsidTr="00C5414B">
        <w:tc>
          <w:tcPr>
            <w:tcW w:w="3348" w:type="dxa"/>
          </w:tcPr>
          <w:p w14:paraId="43C38936" w14:textId="7777777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t>Fisheries tax and fee policies</w:t>
            </w:r>
          </w:p>
        </w:tc>
        <w:tc>
          <w:tcPr>
            <w:tcW w:w="5508" w:type="dxa"/>
          </w:tcPr>
          <w:p w14:paraId="3F73C24C" w14:textId="7777777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t>Are so low that fish are undervalued and thus the tax policy favors overfishing; which is in direct contrast to the NBSAP, PAN, and other biodiversity policies.</w:t>
            </w:r>
          </w:p>
          <w:p w14:paraId="56F1A3BE" w14:textId="77777777" w:rsidR="00C5414B" w:rsidRPr="003574F7" w:rsidRDefault="00C5414B" w:rsidP="00437251">
            <w:pPr>
              <w:spacing w:after="0"/>
              <w:jc w:val="left"/>
              <w:rPr>
                <w:rFonts w:asciiTheme="majorHAnsi" w:hAnsiTheme="majorHAnsi"/>
                <w:sz w:val="18"/>
                <w:szCs w:val="18"/>
              </w:rPr>
            </w:pPr>
          </w:p>
        </w:tc>
      </w:tr>
      <w:tr w:rsidR="00C5414B" w:rsidRPr="00590BD4" w14:paraId="5FF68213" w14:textId="77777777" w:rsidTr="00C5414B">
        <w:tc>
          <w:tcPr>
            <w:tcW w:w="3348" w:type="dxa"/>
          </w:tcPr>
          <w:p w14:paraId="6183B3EC" w14:textId="7777777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t>Forestry policies</w:t>
            </w:r>
          </w:p>
        </w:tc>
        <w:tc>
          <w:tcPr>
            <w:tcW w:w="5508" w:type="dxa"/>
          </w:tcPr>
          <w:p w14:paraId="149A4386" w14:textId="7777777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t xml:space="preserve">Do not exist. The 2010 Statewide Assessment of Forest Resources and Resource Strategy acts as the </w:t>
            </w:r>
            <w:r w:rsidRPr="003574F7">
              <w:rPr>
                <w:rFonts w:asciiTheme="majorHAnsi" w:hAnsiTheme="majorHAnsi"/>
                <w:i/>
                <w:sz w:val="18"/>
                <w:szCs w:val="18"/>
              </w:rPr>
              <w:t>de facto</w:t>
            </w:r>
            <w:r w:rsidRPr="003574F7">
              <w:rPr>
                <w:rFonts w:asciiTheme="majorHAnsi" w:hAnsiTheme="majorHAnsi"/>
                <w:sz w:val="18"/>
                <w:szCs w:val="18"/>
              </w:rPr>
              <w:t xml:space="preserve"> Forestry Policy. It does not address Payment for Ecosystem Services (PES), carbon sequestration.</w:t>
            </w:r>
          </w:p>
          <w:p w14:paraId="7D1D1689" w14:textId="77777777" w:rsidR="00C5414B" w:rsidRPr="003574F7" w:rsidRDefault="00C5414B" w:rsidP="00437251">
            <w:pPr>
              <w:spacing w:after="0"/>
              <w:jc w:val="left"/>
              <w:rPr>
                <w:rFonts w:asciiTheme="majorHAnsi" w:hAnsiTheme="majorHAnsi"/>
                <w:sz w:val="18"/>
                <w:szCs w:val="18"/>
              </w:rPr>
            </w:pPr>
          </w:p>
        </w:tc>
      </w:tr>
      <w:tr w:rsidR="00C5414B" w:rsidRPr="00590BD4" w14:paraId="29A980D0" w14:textId="77777777" w:rsidTr="00C5414B">
        <w:tc>
          <w:tcPr>
            <w:tcW w:w="3348" w:type="dxa"/>
          </w:tcPr>
          <w:p w14:paraId="0EE8F9EF" w14:textId="7777777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t>Mangrove policies</w:t>
            </w:r>
          </w:p>
        </w:tc>
        <w:tc>
          <w:tcPr>
            <w:tcW w:w="5508" w:type="dxa"/>
          </w:tcPr>
          <w:p w14:paraId="1AC8EFF0" w14:textId="7777777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t>The 2000 Mangrove Management Plan proposed a “No Net Loss” approach but does not have any legal authority and is not followed. State leasing is often in direct odds. Plan update required to consider environmental and economic priorities for both national and state governments and change existing status quo over award of water leases to ensure awards are based on policies and procedures defined by legislation</w:t>
            </w:r>
          </w:p>
        </w:tc>
      </w:tr>
      <w:tr w:rsidR="00C5414B" w:rsidRPr="00590BD4" w14:paraId="65E6A1FC" w14:textId="77777777" w:rsidTr="00C5414B">
        <w:tc>
          <w:tcPr>
            <w:tcW w:w="3348" w:type="dxa"/>
          </w:tcPr>
          <w:p w14:paraId="66BF6EFF" w14:textId="7777777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t>PAN management</w:t>
            </w:r>
          </w:p>
        </w:tc>
        <w:tc>
          <w:tcPr>
            <w:tcW w:w="5508" w:type="dxa"/>
          </w:tcPr>
          <w:p w14:paraId="591218C2" w14:textId="7777777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t>Some State’s PAN Management Plans (e.g. Ngardok Nature Reserve in Melekeok) use non-native species for soil amendments; which is in direct contrast to NBSAP and Biosecurity goals</w:t>
            </w:r>
          </w:p>
          <w:p w14:paraId="264CA870" w14:textId="77777777" w:rsidR="00C5414B" w:rsidRPr="003574F7" w:rsidRDefault="00C5414B" w:rsidP="00437251">
            <w:pPr>
              <w:spacing w:after="0"/>
              <w:jc w:val="left"/>
              <w:rPr>
                <w:rFonts w:asciiTheme="majorHAnsi" w:hAnsiTheme="majorHAnsi"/>
                <w:sz w:val="18"/>
                <w:szCs w:val="18"/>
              </w:rPr>
            </w:pPr>
          </w:p>
        </w:tc>
      </w:tr>
      <w:tr w:rsidR="00C5414B" w:rsidRPr="00590BD4" w14:paraId="7231511E" w14:textId="77777777" w:rsidTr="00C5414B">
        <w:tc>
          <w:tcPr>
            <w:tcW w:w="3348" w:type="dxa"/>
          </w:tcPr>
          <w:p w14:paraId="5BE11D75" w14:textId="7777777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t>Agriculture and Aquaculture Policy</w:t>
            </w:r>
          </w:p>
        </w:tc>
        <w:tc>
          <w:tcPr>
            <w:tcW w:w="5508" w:type="dxa"/>
          </w:tcPr>
          <w:p w14:paraId="6633F455" w14:textId="7777777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t>These policies are well aligned with Climate Change and NBSAP Policies and prioritizes sustainable agriculture and aquaculture, but EQPB permitting and NDBP loan programs are faster and easier for folks using more conventional (e.g. row cropping) farming techniques with faster (but unsustainable) output.</w:t>
            </w:r>
          </w:p>
        </w:tc>
      </w:tr>
      <w:tr w:rsidR="00C5414B" w:rsidRPr="00590BD4" w14:paraId="66CFADB1" w14:textId="77777777" w:rsidTr="00C5414B">
        <w:tc>
          <w:tcPr>
            <w:tcW w:w="3348" w:type="dxa"/>
          </w:tcPr>
          <w:p w14:paraId="6901EFD8" w14:textId="7777777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t>Responsible tourism framework</w:t>
            </w:r>
          </w:p>
        </w:tc>
        <w:tc>
          <w:tcPr>
            <w:tcW w:w="5508" w:type="dxa"/>
          </w:tcPr>
          <w:p w14:paraId="0A5B2CBB" w14:textId="7777777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t>Develop responsible ecotourism guidelines for specific biologically and culturally significant, unique and/or sensitive sites</w:t>
            </w:r>
          </w:p>
        </w:tc>
      </w:tr>
      <w:tr w:rsidR="00C5414B" w:rsidRPr="00590BD4" w14:paraId="3BCC89C4" w14:textId="77777777" w:rsidTr="00C5414B">
        <w:tc>
          <w:tcPr>
            <w:tcW w:w="3348" w:type="dxa"/>
          </w:tcPr>
          <w:p w14:paraId="48473C23" w14:textId="7777777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t>National and State level Land policies</w:t>
            </w:r>
          </w:p>
        </w:tc>
        <w:tc>
          <w:tcPr>
            <w:tcW w:w="5508" w:type="dxa"/>
          </w:tcPr>
          <w:p w14:paraId="6FDAE693" w14:textId="7777777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t>Need to establish a standardized mechanism for public input regarding land use and leasing arrangements</w:t>
            </w:r>
          </w:p>
        </w:tc>
      </w:tr>
      <w:tr w:rsidR="00C5414B" w:rsidRPr="00590BD4" w14:paraId="4DFB297B" w14:textId="77777777" w:rsidTr="00C5414B">
        <w:tc>
          <w:tcPr>
            <w:tcW w:w="3348" w:type="dxa"/>
          </w:tcPr>
          <w:p w14:paraId="30CE017D" w14:textId="7777777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lastRenderedPageBreak/>
              <w:t>Water classification</w:t>
            </w:r>
          </w:p>
        </w:tc>
        <w:tc>
          <w:tcPr>
            <w:tcW w:w="5508" w:type="dxa"/>
          </w:tcPr>
          <w:p w14:paraId="6A1BF7B7" w14:textId="7777777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t>Water classification system weak and sole authority for award of water leases at discretion of states. Need for a improved and clearer process for water lease award at national and state levels</w:t>
            </w:r>
          </w:p>
        </w:tc>
      </w:tr>
      <w:tr w:rsidR="00C5414B" w:rsidRPr="00590BD4" w14:paraId="4B7A3EE2" w14:textId="77777777" w:rsidTr="00C5414B">
        <w:tc>
          <w:tcPr>
            <w:tcW w:w="3348" w:type="dxa"/>
          </w:tcPr>
          <w:p w14:paraId="37733325" w14:textId="7777777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t>Foreign investment board licensing</w:t>
            </w:r>
          </w:p>
        </w:tc>
        <w:tc>
          <w:tcPr>
            <w:tcW w:w="5508" w:type="dxa"/>
          </w:tcPr>
          <w:p w14:paraId="597DD5A7" w14:textId="7777777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t>Not aligned with any biodiversity policies.</w:t>
            </w:r>
          </w:p>
        </w:tc>
      </w:tr>
      <w:tr w:rsidR="00C5414B" w:rsidRPr="00590BD4" w14:paraId="75751C0A" w14:textId="77777777" w:rsidTr="00C5414B">
        <w:tc>
          <w:tcPr>
            <w:tcW w:w="3348" w:type="dxa"/>
          </w:tcPr>
          <w:p w14:paraId="2BCB4E6D" w14:textId="7777777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t>Importation policies and permits</w:t>
            </w:r>
          </w:p>
        </w:tc>
        <w:tc>
          <w:tcPr>
            <w:tcW w:w="5508" w:type="dxa"/>
          </w:tcPr>
          <w:p w14:paraId="318C7BC6" w14:textId="7777777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t xml:space="preserve">Not aligned with the biosecurity legislation. </w:t>
            </w:r>
          </w:p>
        </w:tc>
      </w:tr>
      <w:tr w:rsidR="00C5414B" w:rsidRPr="00590BD4" w14:paraId="2CB0C889" w14:textId="77777777" w:rsidTr="00437251">
        <w:trPr>
          <w:trHeight w:val="1341"/>
        </w:trPr>
        <w:tc>
          <w:tcPr>
            <w:tcW w:w="3348" w:type="dxa"/>
          </w:tcPr>
          <w:p w14:paraId="28C1A5EB" w14:textId="7777777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t xml:space="preserve">Other relevant </w:t>
            </w:r>
          </w:p>
        </w:tc>
        <w:tc>
          <w:tcPr>
            <w:tcW w:w="5508" w:type="dxa"/>
          </w:tcPr>
          <w:p w14:paraId="2806ECA2" w14:textId="7777777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t>Cutting across many policies is the need to address Equitable sharing of benefits coming from natural resources, valorization of ecosystem services, payments for ecosystem services (PES), incentives for ecosystem services (IES), in order to introduce in the landscape and seascape plans specific measures for sustainable financing and green financing</w:t>
            </w:r>
            <w:r w:rsidRPr="003574F7">
              <w:rPr>
                <w:rStyle w:val="FootnoteReference"/>
                <w:rFonts w:asciiTheme="majorHAnsi" w:hAnsiTheme="majorHAnsi"/>
                <w:szCs w:val="18"/>
              </w:rPr>
              <w:footnoteReference w:id="33"/>
            </w:r>
            <w:r w:rsidRPr="003574F7">
              <w:rPr>
                <w:rFonts w:asciiTheme="majorHAnsi" w:hAnsiTheme="majorHAnsi"/>
                <w:sz w:val="18"/>
                <w:szCs w:val="18"/>
              </w:rPr>
              <w:t>;</w:t>
            </w:r>
          </w:p>
        </w:tc>
      </w:tr>
    </w:tbl>
    <w:p w14:paraId="150A06C4" w14:textId="77777777" w:rsidR="00C5414B" w:rsidRPr="00590BD4" w:rsidRDefault="00C5414B" w:rsidP="00C5414B">
      <w:pPr>
        <w:jc w:val="left"/>
        <w:rPr>
          <w:rFonts w:asciiTheme="majorHAnsi" w:hAnsiTheme="majorHAnsi"/>
          <w:szCs w:val="20"/>
        </w:rPr>
      </w:pPr>
    </w:p>
    <w:p w14:paraId="1CBE8C84" w14:textId="78238CD8" w:rsidR="00C5414B" w:rsidRPr="00590BD4" w:rsidRDefault="00C5414B" w:rsidP="00C5414B">
      <w:pPr>
        <w:jc w:val="left"/>
        <w:rPr>
          <w:rFonts w:asciiTheme="majorHAnsi" w:hAnsiTheme="majorHAnsi"/>
          <w:szCs w:val="20"/>
        </w:rPr>
      </w:pPr>
      <w:r w:rsidRPr="00DB6EB8">
        <w:rPr>
          <w:rFonts w:asciiTheme="majorHAnsi" w:hAnsiTheme="majorHAnsi"/>
          <w:b/>
          <w:sz w:val="20"/>
          <w:szCs w:val="20"/>
        </w:rPr>
        <w:t xml:space="preserve">Legislative gaps </w:t>
      </w:r>
    </w:p>
    <w:tbl>
      <w:tblPr>
        <w:tblW w:w="0" w:type="auto"/>
        <w:tblLook w:val="04A0" w:firstRow="1" w:lastRow="0" w:firstColumn="1" w:lastColumn="0" w:noHBand="0" w:noVBand="1"/>
      </w:tblPr>
      <w:tblGrid>
        <w:gridCol w:w="3348"/>
        <w:gridCol w:w="5508"/>
      </w:tblGrid>
      <w:tr w:rsidR="00C5414B" w:rsidRPr="00590BD4" w14:paraId="1B8F7BFC" w14:textId="77777777" w:rsidTr="00C5414B">
        <w:tc>
          <w:tcPr>
            <w:tcW w:w="3348" w:type="dxa"/>
          </w:tcPr>
          <w:p w14:paraId="552163F1" w14:textId="77777777" w:rsidR="00C5414B" w:rsidRPr="003574F7" w:rsidRDefault="00C5414B" w:rsidP="00437251">
            <w:pPr>
              <w:spacing w:after="0"/>
              <w:jc w:val="left"/>
              <w:rPr>
                <w:rFonts w:asciiTheme="majorHAnsi" w:hAnsiTheme="majorHAnsi"/>
                <w:b/>
                <w:sz w:val="18"/>
                <w:szCs w:val="18"/>
              </w:rPr>
            </w:pPr>
            <w:r w:rsidRPr="003574F7">
              <w:rPr>
                <w:rFonts w:asciiTheme="majorHAnsi" w:hAnsiTheme="majorHAnsi"/>
                <w:b/>
                <w:sz w:val="18"/>
                <w:szCs w:val="18"/>
              </w:rPr>
              <w:t>Current Legislation</w:t>
            </w:r>
          </w:p>
        </w:tc>
        <w:tc>
          <w:tcPr>
            <w:tcW w:w="5508" w:type="dxa"/>
          </w:tcPr>
          <w:p w14:paraId="7D03F308" w14:textId="77777777" w:rsidR="00C5414B" w:rsidRPr="003574F7" w:rsidRDefault="00C5414B" w:rsidP="00437251">
            <w:pPr>
              <w:spacing w:after="0"/>
              <w:jc w:val="left"/>
              <w:rPr>
                <w:rFonts w:asciiTheme="majorHAnsi" w:hAnsiTheme="majorHAnsi"/>
                <w:b/>
                <w:sz w:val="18"/>
                <w:szCs w:val="18"/>
              </w:rPr>
            </w:pPr>
            <w:r w:rsidRPr="003574F7">
              <w:rPr>
                <w:rFonts w:asciiTheme="majorHAnsi" w:hAnsiTheme="majorHAnsi"/>
                <w:b/>
                <w:sz w:val="18"/>
                <w:szCs w:val="18"/>
              </w:rPr>
              <w:t>Gaps in legislation to be Addressed</w:t>
            </w:r>
          </w:p>
        </w:tc>
      </w:tr>
      <w:tr w:rsidR="00C5414B" w:rsidRPr="00590BD4" w14:paraId="3EE85337" w14:textId="77777777" w:rsidTr="00C5414B">
        <w:tc>
          <w:tcPr>
            <w:tcW w:w="3348" w:type="dxa"/>
          </w:tcPr>
          <w:p w14:paraId="6A94329C" w14:textId="7777777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t>The Environmental Quality Protection Act</w:t>
            </w:r>
          </w:p>
        </w:tc>
        <w:tc>
          <w:tcPr>
            <w:tcW w:w="5508" w:type="dxa"/>
          </w:tcPr>
          <w:p w14:paraId="52667020" w14:textId="7777777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t>To be updated to consider landscape/seascapes and to regulate how landscape/seascape plans are incorporated into permitting.</w:t>
            </w:r>
          </w:p>
        </w:tc>
      </w:tr>
      <w:tr w:rsidR="00C5414B" w:rsidRPr="00590BD4" w14:paraId="3DF5CD1F" w14:textId="77777777" w:rsidTr="00C5414B">
        <w:tc>
          <w:tcPr>
            <w:tcW w:w="3348" w:type="dxa"/>
          </w:tcPr>
          <w:p w14:paraId="71CD4BC8" w14:textId="7777777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t>EQPB’s regulations</w:t>
            </w:r>
          </w:p>
        </w:tc>
        <w:tc>
          <w:tcPr>
            <w:tcW w:w="5508" w:type="dxa"/>
          </w:tcPr>
          <w:p w14:paraId="359F78EB" w14:textId="7D550D4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t xml:space="preserve">Although EQPB’s regulations are undergoing review, there are gaps related to this project: </w:t>
            </w:r>
          </w:p>
          <w:p w14:paraId="7965EABD" w14:textId="42EB562D" w:rsidR="00C5414B" w:rsidRPr="006D63E5" w:rsidRDefault="00C5414B" w:rsidP="00EA4043">
            <w:pPr>
              <w:pStyle w:val="ListParagraph"/>
              <w:numPr>
                <w:ilvl w:val="0"/>
                <w:numId w:val="82"/>
              </w:numPr>
              <w:spacing w:line="259" w:lineRule="auto"/>
              <w:contextualSpacing/>
              <w:rPr>
                <w:rFonts w:asciiTheme="majorHAnsi" w:hAnsiTheme="majorHAnsi"/>
                <w:sz w:val="18"/>
                <w:szCs w:val="18"/>
              </w:rPr>
            </w:pPr>
            <w:r w:rsidRPr="003574F7">
              <w:rPr>
                <w:rFonts w:asciiTheme="majorHAnsi" w:hAnsiTheme="majorHAnsi"/>
                <w:sz w:val="18"/>
                <w:szCs w:val="18"/>
              </w:rPr>
              <w:t>EQPB Agriculture Permitting regulations are not aligned with Biosecurity legislation.</w:t>
            </w:r>
          </w:p>
          <w:p w14:paraId="55EB4653" w14:textId="77777777" w:rsidR="00C5414B" w:rsidRPr="003574F7" w:rsidRDefault="00C5414B" w:rsidP="00EA4043">
            <w:pPr>
              <w:pStyle w:val="ListParagraph"/>
              <w:numPr>
                <w:ilvl w:val="0"/>
                <w:numId w:val="82"/>
              </w:numPr>
              <w:spacing w:line="259" w:lineRule="auto"/>
              <w:contextualSpacing/>
              <w:rPr>
                <w:rFonts w:asciiTheme="majorHAnsi" w:hAnsiTheme="majorHAnsi"/>
                <w:sz w:val="18"/>
                <w:szCs w:val="18"/>
              </w:rPr>
            </w:pPr>
            <w:r w:rsidRPr="003574F7">
              <w:rPr>
                <w:rFonts w:asciiTheme="majorHAnsi" w:hAnsiTheme="majorHAnsi"/>
                <w:sz w:val="18"/>
                <w:szCs w:val="18"/>
              </w:rPr>
              <w:t>EQPB Development Permitting regulations have the significant gap of not being able to protect loss biodiversity; they can only apply conditions based on earthmoving and soil and water protection.</w:t>
            </w:r>
          </w:p>
        </w:tc>
      </w:tr>
      <w:tr w:rsidR="00C5414B" w:rsidRPr="00590BD4" w14:paraId="34229CBE" w14:textId="77777777" w:rsidTr="00C5414B">
        <w:tc>
          <w:tcPr>
            <w:tcW w:w="3348" w:type="dxa"/>
          </w:tcPr>
          <w:p w14:paraId="19CAF87A" w14:textId="7777777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t>The Environmental Impact statement (EIS) and Environmental Impact Assessment (EIA) regulations (Palau National Code 2401) is weak and review process is voluntary and not mandatory</w:t>
            </w:r>
          </w:p>
        </w:tc>
        <w:tc>
          <w:tcPr>
            <w:tcW w:w="5508" w:type="dxa"/>
          </w:tcPr>
          <w:p w14:paraId="1AAB2E79" w14:textId="7777777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t>Need to make review process mandatory for both national and state projects, strengthen procedures for feedback and comment and develop guidelines for mainstreaming biodiversity into the EIS and EIA processes</w:t>
            </w:r>
          </w:p>
        </w:tc>
      </w:tr>
      <w:tr w:rsidR="00C5414B" w:rsidRPr="00590BD4" w14:paraId="72220B9B" w14:textId="77777777" w:rsidTr="00C5414B">
        <w:tc>
          <w:tcPr>
            <w:tcW w:w="3348" w:type="dxa"/>
          </w:tcPr>
          <w:p w14:paraId="2EE3F520" w14:textId="7777777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t>Palau’s Sustainable Tourism Framework and Bureau of Tourism</w:t>
            </w:r>
          </w:p>
        </w:tc>
        <w:tc>
          <w:tcPr>
            <w:tcW w:w="5508" w:type="dxa"/>
          </w:tcPr>
          <w:p w14:paraId="7A3F86C4" w14:textId="7777777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t>Need to promulgate regulations and draft and adopt sustainable tourism policies. The Bureau of Tourism also needs to be better aligned with the President’s Economic Advisory Group, which has developed a proposed sustainable tourism policy.</w:t>
            </w:r>
          </w:p>
        </w:tc>
      </w:tr>
      <w:tr w:rsidR="00C5414B" w:rsidRPr="00590BD4" w14:paraId="372A8387" w14:textId="77777777" w:rsidTr="00C5414B">
        <w:tc>
          <w:tcPr>
            <w:tcW w:w="3348" w:type="dxa"/>
          </w:tcPr>
          <w:p w14:paraId="1F2423A2" w14:textId="7777777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t>Regulations on fisheries</w:t>
            </w:r>
          </w:p>
        </w:tc>
        <w:tc>
          <w:tcPr>
            <w:tcW w:w="5508" w:type="dxa"/>
          </w:tcPr>
          <w:p w14:paraId="4877CE19" w14:textId="7777777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t>Needs to be improved to better define law enforcement and monitoring and address gaps associated with overfishing (e.g. total harvest rather than size and seasonality).</w:t>
            </w:r>
          </w:p>
        </w:tc>
      </w:tr>
      <w:tr w:rsidR="00C5414B" w:rsidRPr="00590BD4" w14:paraId="1827EDF9" w14:textId="77777777" w:rsidTr="00C5414B">
        <w:tc>
          <w:tcPr>
            <w:tcW w:w="3348" w:type="dxa"/>
          </w:tcPr>
          <w:p w14:paraId="7504A1D7" w14:textId="7777777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t xml:space="preserve">Public law on land planning and zoning  </w:t>
            </w:r>
          </w:p>
        </w:tc>
        <w:tc>
          <w:tcPr>
            <w:tcW w:w="5508" w:type="dxa"/>
          </w:tcPr>
          <w:p w14:paraId="4DC1A01A" w14:textId="77777777" w:rsidR="00C5414B" w:rsidRPr="003574F7" w:rsidRDefault="00C5414B" w:rsidP="00437251">
            <w:pPr>
              <w:spacing w:after="0"/>
              <w:jc w:val="left"/>
              <w:rPr>
                <w:rFonts w:asciiTheme="majorHAnsi" w:hAnsiTheme="majorHAnsi"/>
                <w:sz w:val="18"/>
                <w:szCs w:val="18"/>
              </w:rPr>
            </w:pPr>
            <w:r w:rsidRPr="003574F7">
              <w:rPr>
                <w:rFonts w:asciiTheme="majorHAnsi" w:hAnsiTheme="majorHAnsi"/>
                <w:sz w:val="18"/>
                <w:szCs w:val="18"/>
              </w:rPr>
              <w:t>Such a law should institutionalize the SLM Policy and describe minimum contents and procedures for planning and zoning (including land values).</w:t>
            </w:r>
          </w:p>
        </w:tc>
      </w:tr>
    </w:tbl>
    <w:p w14:paraId="6268463C" w14:textId="77777777" w:rsidR="00C5414B" w:rsidRDefault="00C5414B" w:rsidP="00590BD4">
      <w:pPr>
        <w:pStyle w:val="Footer"/>
        <w:spacing w:before="120" w:after="120"/>
        <w:rPr>
          <w:b/>
          <w:highlight w:val="yellow"/>
        </w:rPr>
        <w:sectPr w:rsidR="00C5414B" w:rsidSect="00F20987">
          <w:pgSz w:w="12240" w:h="15840" w:code="1"/>
          <w:pgMar w:top="1440" w:right="1440" w:bottom="1440" w:left="1440" w:header="720" w:footer="720" w:gutter="0"/>
          <w:cols w:space="720"/>
          <w:docGrid w:linePitch="360"/>
        </w:sectPr>
      </w:pPr>
    </w:p>
    <w:p w14:paraId="53035481" w14:textId="77777777" w:rsidR="00573F86" w:rsidRDefault="00573F86" w:rsidP="00590BD4">
      <w:pPr>
        <w:pStyle w:val="Footer"/>
        <w:spacing w:before="120" w:after="120"/>
        <w:rPr>
          <w:b/>
          <w:highlight w:val="yellow"/>
        </w:rPr>
        <w:sectPr w:rsidR="00573F86" w:rsidSect="00F20987">
          <w:pgSz w:w="12240" w:h="15840" w:code="1"/>
          <w:pgMar w:top="1440" w:right="1440" w:bottom="1440" w:left="1440" w:header="720" w:footer="720" w:gutter="0"/>
          <w:cols w:space="720"/>
          <w:docGrid w:linePitch="360"/>
        </w:sectPr>
      </w:pPr>
    </w:p>
    <w:p w14:paraId="55826EAC" w14:textId="2C4DBB1B" w:rsidR="00573F86" w:rsidRDefault="00573F86" w:rsidP="00573F86">
      <w:pPr>
        <w:pStyle w:val="ListParagraph"/>
        <w:ind w:left="90"/>
        <w:jc w:val="right"/>
        <w:rPr>
          <w:rFonts w:asciiTheme="majorHAnsi" w:hAnsiTheme="majorHAnsi"/>
          <w:b/>
          <w:sz w:val="22"/>
          <w:szCs w:val="22"/>
        </w:rPr>
      </w:pPr>
      <w:r>
        <w:rPr>
          <w:rFonts w:asciiTheme="majorHAnsi" w:hAnsiTheme="majorHAnsi"/>
          <w:b/>
          <w:sz w:val="22"/>
          <w:szCs w:val="22"/>
        </w:rPr>
        <w:lastRenderedPageBreak/>
        <w:t xml:space="preserve">Annex </w:t>
      </w:r>
      <w:r w:rsidR="00D4414E">
        <w:rPr>
          <w:rFonts w:asciiTheme="majorHAnsi" w:hAnsiTheme="majorHAnsi"/>
          <w:b/>
          <w:sz w:val="22"/>
          <w:szCs w:val="22"/>
        </w:rPr>
        <w:t>2</w:t>
      </w:r>
    </w:p>
    <w:p w14:paraId="07DCB007" w14:textId="77777777" w:rsidR="00573F86" w:rsidRDefault="00573F86" w:rsidP="00573F86">
      <w:pPr>
        <w:pStyle w:val="ListParagraph"/>
        <w:ind w:left="90"/>
        <w:jc w:val="center"/>
        <w:rPr>
          <w:rFonts w:asciiTheme="majorHAnsi" w:hAnsiTheme="majorHAnsi"/>
          <w:b/>
          <w:sz w:val="22"/>
          <w:szCs w:val="22"/>
        </w:rPr>
      </w:pPr>
    </w:p>
    <w:p w14:paraId="41CDC476" w14:textId="6365B8C0" w:rsidR="00573F86" w:rsidRPr="002B351D" w:rsidRDefault="00573F86" w:rsidP="00573F86">
      <w:pPr>
        <w:pStyle w:val="ListParagraph"/>
        <w:ind w:left="90"/>
        <w:jc w:val="center"/>
        <w:rPr>
          <w:rFonts w:asciiTheme="majorHAnsi" w:hAnsiTheme="majorHAnsi"/>
          <w:b/>
          <w:sz w:val="20"/>
          <w:szCs w:val="20"/>
        </w:rPr>
      </w:pPr>
      <w:r w:rsidRPr="002B351D">
        <w:rPr>
          <w:rFonts w:asciiTheme="majorHAnsi" w:hAnsiTheme="majorHAnsi"/>
          <w:b/>
          <w:sz w:val="20"/>
          <w:szCs w:val="20"/>
        </w:rPr>
        <w:t xml:space="preserve">Outline of Proposed Palau National Invasive Species Strategic Action Plan (NISSAP) </w:t>
      </w:r>
    </w:p>
    <w:p w14:paraId="0DF6B66A" w14:textId="77777777" w:rsidR="00573F86" w:rsidRPr="002B351D" w:rsidRDefault="00573F86" w:rsidP="00573F86">
      <w:pPr>
        <w:pStyle w:val="ListParagraph"/>
        <w:ind w:left="1440"/>
        <w:rPr>
          <w:rFonts w:asciiTheme="majorHAnsi" w:hAnsiTheme="majorHAnsi"/>
          <w:b/>
          <w:sz w:val="20"/>
          <w:szCs w:val="20"/>
        </w:rPr>
      </w:pPr>
    </w:p>
    <w:p w14:paraId="4CC0C84A" w14:textId="71642E3E" w:rsidR="00573F86" w:rsidRPr="002B351D" w:rsidRDefault="00573F86" w:rsidP="00EA4043">
      <w:pPr>
        <w:pStyle w:val="ListParagraph"/>
        <w:numPr>
          <w:ilvl w:val="0"/>
          <w:numId w:val="83"/>
        </w:numPr>
        <w:spacing w:after="200"/>
        <w:contextualSpacing/>
        <w:rPr>
          <w:rFonts w:asciiTheme="majorHAnsi" w:hAnsiTheme="majorHAnsi"/>
          <w:sz w:val="20"/>
          <w:szCs w:val="20"/>
        </w:rPr>
      </w:pPr>
      <w:r w:rsidRPr="002B351D">
        <w:rPr>
          <w:rFonts w:asciiTheme="majorHAnsi" w:hAnsiTheme="majorHAnsi"/>
          <w:sz w:val="20"/>
          <w:szCs w:val="20"/>
        </w:rPr>
        <w:t>NISSAP</w:t>
      </w:r>
    </w:p>
    <w:p w14:paraId="1AD0992D" w14:textId="77777777" w:rsidR="00573F86" w:rsidRPr="002B351D" w:rsidRDefault="00573F86" w:rsidP="00EA4043">
      <w:pPr>
        <w:pStyle w:val="ListParagraph"/>
        <w:numPr>
          <w:ilvl w:val="0"/>
          <w:numId w:val="84"/>
        </w:numPr>
        <w:spacing w:after="200"/>
        <w:contextualSpacing/>
        <w:rPr>
          <w:rFonts w:asciiTheme="majorHAnsi" w:hAnsiTheme="majorHAnsi"/>
          <w:sz w:val="20"/>
          <w:szCs w:val="20"/>
        </w:rPr>
      </w:pPr>
      <w:r w:rsidRPr="002B351D">
        <w:rPr>
          <w:rFonts w:asciiTheme="majorHAnsi" w:hAnsiTheme="majorHAnsi"/>
          <w:sz w:val="20"/>
          <w:szCs w:val="20"/>
        </w:rPr>
        <w:t>Introduction</w:t>
      </w:r>
    </w:p>
    <w:p w14:paraId="4F91021A" w14:textId="17ECCFD7" w:rsidR="00573F86" w:rsidRPr="002B351D" w:rsidRDefault="00573F86" w:rsidP="00EA4043">
      <w:pPr>
        <w:pStyle w:val="ListParagraph"/>
        <w:numPr>
          <w:ilvl w:val="0"/>
          <w:numId w:val="91"/>
        </w:numPr>
        <w:spacing w:after="200"/>
        <w:contextualSpacing/>
        <w:rPr>
          <w:rFonts w:asciiTheme="majorHAnsi" w:hAnsiTheme="majorHAnsi"/>
          <w:sz w:val="20"/>
          <w:szCs w:val="20"/>
        </w:rPr>
      </w:pPr>
      <w:r w:rsidRPr="002B351D">
        <w:rPr>
          <w:rFonts w:asciiTheme="majorHAnsi" w:hAnsiTheme="majorHAnsi"/>
          <w:sz w:val="20"/>
          <w:szCs w:val="20"/>
        </w:rPr>
        <w:t>Introduction to Palau</w:t>
      </w:r>
    </w:p>
    <w:p w14:paraId="090A867A" w14:textId="3864FA45" w:rsidR="00573F86" w:rsidRPr="002B351D" w:rsidRDefault="00573F86" w:rsidP="00EA4043">
      <w:pPr>
        <w:pStyle w:val="ListParagraph"/>
        <w:numPr>
          <w:ilvl w:val="0"/>
          <w:numId w:val="91"/>
        </w:numPr>
        <w:spacing w:after="200"/>
        <w:contextualSpacing/>
        <w:rPr>
          <w:rFonts w:asciiTheme="majorHAnsi" w:hAnsiTheme="majorHAnsi"/>
          <w:sz w:val="20"/>
          <w:szCs w:val="20"/>
        </w:rPr>
      </w:pPr>
      <w:r w:rsidRPr="002B351D">
        <w:rPr>
          <w:rFonts w:asciiTheme="majorHAnsi" w:hAnsiTheme="majorHAnsi"/>
          <w:sz w:val="20"/>
          <w:szCs w:val="20"/>
        </w:rPr>
        <w:t>The significant threat of IAS to Palau</w:t>
      </w:r>
    </w:p>
    <w:p w14:paraId="73D5A06D" w14:textId="77777777" w:rsidR="00573F86" w:rsidRPr="002B351D" w:rsidRDefault="00573F86" w:rsidP="00EA4043">
      <w:pPr>
        <w:pStyle w:val="ListParagraph"/>
        <w:numPr>
          <w:ilvl w:val="0"/>
          <w:numId w:val="92"/>
        </w:numPr>
        <w:spacing w:after="200"/>
        <w:contextualSpacing/>
        <w:rPr>
          <w:rFonts w:asciiTheme="majorHAnsi" w:hAnsiTheme="majorHAnsi"/>
          <w:sz w:val="20"/>
          <w:szCs w:val="20"/>
        </w:rPr>
      </w:pPr>
      <w:r w:rsidRPr="002B351D">
        <w:rPr>
          <w:rFonts w:asciiTheme="majorHAnsi" w:hAnsiTheme="majorHAnsi"/>
          <w:sz w:val="20"/>
          <w:szCs w:val="20"/>
        </w:rPr>
        <w:t>Terrestrial</w:t>
      </w:r>
    </w:p>
    <w:p w14:paraId="657878F2" w14:textId="77777777" w:rsidR="00573F86" w:rsidRPr="002B351D" w:rsidRDefault="00573F86" w:rsidP="00EA4043">
      <w:pPr>
        <w:pStyle w:val="ListParagraph"/>
        <w:numPr>
          <w:ilvl w:val="0"/>
          <w:numId w:val="92"/>
        </w:numPr>
        <w:spacing w:after="200"/>
        <w:contextualSpacing/>
        <w:rPr>
          <w:rFonts w:asciiTheme="majorHAnsi" w:hAnsiTheme="majorHAnsi"/>
          <w:sz w:val="20"/>
          <w:szCs w:val="20"/>
        </w:rPr>
      </w:pPr>
      <w:r w:rsidRPr="002B351D">
        <w:rPr>
          <w:rFonts w:asciiTheme="majorHAnsi" w:hAnsiTheme="majorHAnsi"/>
          <w:sz w:val="20"/>
          <w:szCs w:val="20"/>
        </w:rPr>
        <w:t>Freshwater</w:t>
      </w:r>
    </w:p>
    <w:p w14:paraId="59C4C5C9" w14:textId="77777777" w:rsidR="00573F86" w:rsidRPr="002B351D" w:rsidRDefault="00573F86" w:rsidP="00EA4043">
      <w:pPr>
        <w:pStyle w:val="ListParagraph"/>
        <w:numPr>
          <w:ilvl w:val="0"/>
          <w:numId w:val="92"/>
        </w:numPr>
        <w:spacing w:after="200"/>
        <w:contextualSpacing/>
        <w:rPr>
          <w:rFonts w:asciiTheme="majorHAnsi" w:hAnsiTheme="majorHAnsi"/>
          <w:sz w:val="20"/>
          <w:szCs w:val="20"/>
        </w:rPr>
      </w:pPr>
      <w:r w:rsidRPr="002B351D">
        <w:rPr>
          <w:rFonts w:asciiTheme="majorHAnsi" w:hAnsiTheme="majorHAnsi"/>
          <w:sz w:val="20"/>
          <w:szCs w:val="20"/>
        </w:rPr>
        <w:t>Marine</w:t>
      </w:r>
    </w:p>
    <w:p w14:paraId="6CE4A31B" w14:textId="77777777" w:rsidR="00573F86" w:rsidRPr="002B351D" w:rsidRDefault="00573F86" w:rsidP="00EA4043">
      <w:pPr>
        <w:pStyle w:val="ListParagraph"/>
        <w:numPr>
          <w:ilvl w:val="0"/>
          <w:numId w:val="91"/>
        </w:numPr>
        <w:spacing w:after="200"/>
        <w:contextualSpacing/>
        <w:rPr>
          <w:rFonts w:asciiTheme="majorHAnsi" w:hAnsiTheme="majorHAnsi"/>
          <w:sz w:val="20"/>
          <w:szCs w:val="20"/>
        </w:rPr>
      </w:pPr>
      <w:r w:rsidRPr="002B351D">
        <w:rPr>
          <w:rFonts w:asciiTheme="majorHAnsi" w:hAnsiTheme="majorHAnsi"/>
          <w:sz w:val="20"/>
          <w:szCs w:val="20"/>
        </w:rPr>
        <w:t>IAS everyone’s responsibility</w:t>
      </w:r>
    </w:p>
    <w:p w14:paraId="1A524303" w14:textId="77777777" w:rsidR="00573F86" w:rsidRPr="002B351D" w:rsidRDefault="00573F86" w:rsidP="00EA4043">
      <w:pPr>
        <w:pStyle w:val="ListParagraph"/>
        <w:numPr>
          <w:ilvl w:val="0"/>
          <w:numId w:val="91"/>
        </w:numPr>
        <w:spacing w:after="200"/>
        <w:contextualSpacing/>
        <w:rPr>
          <w:rFonts w:asciiTheme="majorHAnsi" w:hAnsiTheme="majorHAnsi"/>
          <w:sz w:val="20"/>
          <w:szCs w:val="20"/>
        </w:rPr>
      </w:pPr>
      <w:r w:rsidRPr="002B351D">
        <w:rPr>
          <w:rFonts w:asciiTheme="majorHAnsi" w:hAnsiTheme="majorHAnsi"/>
          <w:sz w:val="20"/>
          <w:szCs w:val="20"/>
        </w:rPr>
        <w:t>Biodiversity at risk</w:t>
      </w:r>
    </w:p>
    <w:p w14:paraId="60E19BD6" w14:textId="14E1FD10" w:rsidR="00573F86" w:rsidRPr="002B351D" w:rsidRDefault="00573F86" w:rsidP="00EA4043">
      <w:pPr>
        <w:pStyle w:val="ListParagraph"/>
        <w:numPr>
          <w:ilvl w:val="0"/>
          <w:numId w:val="91"/>
        </w:numPr>
        <w:spacing w:after="200"/>
        <w:contextualSpacing/>
        <w:rPr>
          <w:rFonts w:asciiTheme="majorHAnsi" w:hAnsiTheme="majorHAnsi"/>
          <w:sz w:val="20"/>
          <w:szCs w:val="20"/>
        </w:rPr>
      </w:pPr>
      <w:r w:rsidRPr="002B351D">
        <w:rPr>
          <w:rFonts w:asciiTheme="majorHAnsi" w:hAnsiTheme="majorHAnsi"/>
          <w:sz w:val="20"/>
          <w:szCs w:val="20"/>
        </w:rPr>
        <w:t>The need for a NISSAP</w:t>
      </w:r>
    </w:p>
    <w:p w14:paraId="4A24411A" w14:textId="3CB61A0B" w:rsidR="00573F86" w:rsidRPr="002B351D" w:rsidRDefault="00573F86" w:rsidP="00EA4043">
      <w:pPr>
        <w:pStyle w:val="ListParagraph"/>
        <w:numPr>
          <w:ilvl w:val="0"/>
          <w:numId w:val="91"/>
        </w:numPr>
        <w:spacing w:after="200"/>
        <w:contextualSpacing/>
        <w:rPr>
          <w:rFonts w:asciiTheme="majorHAnsi" w:hAnsiTheme="majorHAnsi"/>
          <w:sz w:val="20"/>
          <w:szCs w:val="20"/>
        </w:rPr>
      </w:pPr>
      <w:r w:rsidRPr="002B351D">
        <w:rPr>
          <w:rFonts w:asciiTheme="majorHAnsi" w:hAnsiTheme="majorHAnsi"/>
          <w:sz w:val="20"/>
          <w:szCs w:val="20"/>
        </w:rPr>
        <w:t>NISSAP development process</w:t>
      </w:r>
    </w:p>
    <w:p w14:paraId="6BE24C8C" w14:textId="3111D98F" w:rsidR="00573F86" w:rsidRPr="002B351D" w:rsidRDefault="00573F86" w:rsidP="00EA4043">
      <w:pPr>
        <w:pStyle w:val="ListParagraph"/>
        <w:numPr>
          <w:ilvl w:val="0"/>
          <w:numId w:val="91"/>
        </w:numPr>
        <w:spacing w:after="200"/>
        <w:contextualSpacing/>
        <w:rPr>
          <w:rFonts w:asciiTheme="majorHAnsi" w:hAnsiTheme="majorHAnsi"/>
          <w:sz w:val="20"/>
          <w:szCs w:val="20"/>
        </w:rPr>
      </w:pPr>
      <w:r w:rsidRPr="002B351D">
        <w:rPr>
          <w:rFonts w:asciiTheme="majorHAnsi" w:hAnsiTheme="majorHAnsi"/>
          <w:sz w:val="20"/>
          <w:szCs w:val="20"/>
        </w:rPr>
        <w:t>NISSAP linkages to other strategies, plans, frameworks, guidelines, etc.</w:t>
      </w:r>
    </w:p>
    <w:p w14:paraId="639F8959" w14:textId="77777777" w:rsidR="00573F86" w:rsidRPr="002B351D" w:rsidRDefault="00573F86" w:rsidP="00EA4043">
      <w:pPr>
        <w:pStyle w:val="ListParagraph"/>
        <w:numPr>
          <w:ilvl w:val="0"/>
          <w:numId w:val="84"/>
        </w:numPr>
        <w:spacing w:after="200"/>
        <w:contextualSpacing/>
        <w:rPr>
          <w:rFonts w:asciiTheme="majorHAnsi" w:hAnsiTheme="majorHAnsi"/>
          <w:sz w:val="20"/>
          <w:szCs w:val="20"/>
        </w:rPr>
      </w:pPr>
      <w:r w:rsidRPr="002B351D">
        <w:rPr>
          <w:rFonts w:asciiTheme="majorHAnsi" w:hAnsiTheme="majorHAnsi"/>
          <w:sz w:val="20"/>
          <w:szCs w:val="20"/>
        </w:rPr>
        <w:t>Guiding principles</w:t>
      </w:r>
    </w:p>
    <w:p w14:paraId="7A650A26" w14:textId="77777777" w:rsidR="00573F86" w:rsidRPr="002B351D" w:rsidRDefault="00573F86" w:rsidP="00EA4043">
      <w:pPr>
        <w:pStyle w:val="ListParagraph"/>
        <w:numPr>
          <w:ilvl w:val="0"/>
          <w:numId w:val="84"/>
        </w:numPr>
        <w:spacing w:after="200"/>
        <w:contextualSpacing/>
        <w:rPr>
          <w:rFonts w:asciiTheme="majorHAnsi" w:hAnsiTheme="majorHAnsi"/>
          <w:sz w:val="20"/>
          <w:szCs w:val="20"/>
        </w:rPr>
      </w:pPr>
      <w:r w:rsidRPr="002B351D">
        <w:rPr>
          <w:rFonts w:asciiTheme="majorHAnsi" w:hAnsiTheme="majorHAnsi"/>
          <w:sz w:val="20"/>
          <w:szCs w:val="20"/>
        </w:rPr>
        <w:t>Goals, Themes and Outcomes</w:t>
      </w:r>
    </w:p>
    <w:p w14:paraId="11434673" w14:textId="77777777" w:rsidR="00573F86" w:rsidRPr="002B351D" w:rsidRDefault="00573F86" w:rsidP="00EA4043">
      <w:pPr>
        <w:pStyle w:val="ListParagraph"/>
        <w:numPr>
          <w:ilvl w:val="0"/>
          <w:numId w:val="84"/>
        </w:numPr>
        <w:spacing w:after="200"/>
        <w:contextualSpacing/>
        <w:rPr>
          <w:rFonts w:asciiTheme="majorHAnsi" w:hAnsiTheme="majorHAnsi"/>
          <w:sz w:val="20"/>
          <w:szCs w:val="20"/>
        </w:rPr>
      </w:pPr>
      <w:r w:rsidRPr="002B351D">
        <w:rPr>
          <w:rFonts w:asciiTheme="majorHAnsi" w:hAnsiTheme="majorHAnsi"/>
          <w:sz w:val="20"/>
          <w:szCs w:val="20"/>
        </w:rPr>
        <w:t>Pathways analysis</w:t>
      </w:r>
    </w:p>
    <w:p w14:paraId="5CF259F4" w14:textId="77777777" w:rsidR="00573F86" w:rsidRPr="002B351D" w:rsidRDefault="00573F86" w:rsidP="00EA4043">
      <w:pPr>
        <w:pStyle w:val="ListParagraph"/>
        <w:numPr>
          <w:ilvl w:val="0"/>
          <w:numId w:val="89"/>
        </w:numPr>
        <w:spacing w:after="200"/>
        <w:contextualSpacing/>
        <w:rPr>
          <w:rFonts w:asciiTheme="majorHAnsi" w:hAnsiTheme="majorHAnsi"/>
          <w:sz w:val="20"/>
          <w:szCs w:val="20"/>
        </w:rPr>
      </w:pPr>
      <w:r w:rsidRPr="002B351D">
        <w:rPr>
          <w:rFonts w:asciiTheme="majorHAnsi" w:hAnsiTheme="majorHAnsi"/>
          <w:sz w:val="20"/>
          <w:szCs w:val="20"/>
        </w:rPr>
        <w:t>International</w:t>
      </w:r>
    </w:p>
    <w:p w14:paraId="5871DDF9" w14:textId="77777777" w:rsidR="00573F86" w:rsidRPr="002B351D" w:rsidRDefault="00573F86" w:rsidP="00EA4043">
      <w:pPr>
        <w:pStyle w:val="ListParagraph"/>
        <w:numPr>
          <w:ilvl w:val="0"/>
          <w:numId w:val="93"/>
        </w:numPr>
        <w:spacing w:after="200"/>
        <w:contextualSpacing/>
        <w:rPr>
          <w:rFonts w:asciiTheme="majorHAnsi" w:hAnsiTheme="majorHAnsi"/>
          <w:sz w:val="20"/>
          <w:szCs w:val="20"/>
        </w:rPr>
      </w:pPr>
      <w:r w:rsidRPr="002B351D">
        <w:rPr>
          <w:rFonts w:asciiTheme="majorHAnsi" w:hAnsiTheme="majorHAnsi"/>
          <w:sz w:val="20"/>
          <w:szCs w:val="20"/>
        </w:rPr>
        <w:t>Sea</w:t>
      </w:r>
    </w:p>
    <w:p w14:paraId="235D8EB9" w14:textId="77777777" w:rsidR="00573F86" w:rsidRPr="002B351D" w:rsidRDefault="00573F86" w:rsidP="00EA4043">
      <w:pPr>
        <w:pStyle w:val="ListParagraph"/>
        <w:numPr>
          <w:ilvl w:val="0"/>
          <w:numId w:val="93"/>
        </w:numPr>
        <w:spacing w:after="200"/>
        <w:contextualSpacing/>
        <w:rPr>
          <w:rFonts w:asciiTheme="majorHAnsi" w:hAnsiTheme="majorHAnsi"/>
          <w:sz w:val="20"/>
          <w:szCs w:val="20"/>
        </w:rPr>
      </w:pPr>
      <w:r w:rsidRPr="002B351D">
        <w:rPr>
          <w:rFonts w:asciiTheme="majorHAnsi" w:hAnsiTheme="majorHAnsi"/>
          <w:sz w:val="20"/>
          <w:szCs w:val="20"/>
        </w:rPr>
        <w:t>Air</w:t>
      </w:r>
    </w:p>
    <w:p w14:paraId="57390CF2" w14:textId="77777777" w:rsidR="00573F86" w:rsidRPr="002B351D" w:rsidRDefault="00573F86" w:rsidP="00EA4043">
      <w:pPr>
        <w:pStyle w:val="ListParagraph"/>
        <w:numPr>
          <w:ilvl w:val="0"/>
          <w:numId w:val="93"/>
        </w:numPr>
        <w:spacing w:after="200"/>
        <w:contextualSpacing/>
        <w:rPr>
          <w:rFonts w:asciiTheme="majorHAnsi" w:hAnsiTheme="majorHAnsi"/>
          <w:sz w:val="20"/>
          <w:szCs w:val="20"/>
        </w:rPr>
      </w:pPr>
      <w:r w:rsidRPr="002B351D">
        <w:rPr>
          <w:rFonts w:asciiTheme="majorHAnsi" w:hAnsiTheme="majorHAnsi"/>
          <w:sz w:val="20"/>
          <w:szCs w:val="20"/>
        </w:rPr>
        <w:t>Other</w:t>
      </w:r>
    </w:p>
    <w:p w14:paraId="42B29387" w14:textId="77777777" w:rsidR="00573F86" w:rsidRPr="002B351D" w:rsidRDefault="00573F86" w:rsidP="00EA4043">
      <w:pPr>
        <w:pStyle w:val="ListParagraph"/>
        <w:numPr>
          <w:ilvl w:val="0"/>
          <w:numId w:val="89"/>
        </w:numPr>
        <w:spacing w:after="200"/>
        <w:contextualSpacing/>
        <w:rPr>
          <w:rFonts w:asciiTheme="majorHAnsi" w:hAnsiTheme="majorHAnsi"/>
          <w:sz w:val="20"/>
          <w:szCs w:val="20"/>
        </w:rPr>
      </w:pPr>
      <w:r w:rsidRPr="002B351D">
        <w:rPr>
          <w:rFonts w:asciiTheme="majorHAnsi" w:hAnsiTheme="majorHAnsi"/>
          <w:sz w:val="20"/>
          <w:szCs w:val="20"/>
        </w:rPr>
        <w:t>Internal</w:t>
      </w:r>
    </w:p>
    <w:p w14:paraId="57D2864C" w14:textId="77777777" w:rsidR="00573F86" w:rsidRPr="002B351D" w:rsidRDefault="00573F86" w:rsidP="00EA4043">
      <w:pPr>
        <w:pStyle w:val="ListParagraph"/>
        <w:numPr>
          <w:ilvl w:val="0"/>
          <w:numId w:val="90"/>
        </w:numPr>
        <w:spacing w:after="200"/>
        <w:contextualSpacing/>
        <w:rPr>
          <w:rFonts w:asciiTheme="majorHAnsi" w:hAnsiTheme="majorHAnsi"/>
          <w:sz w:val="20"/>
          <w:szCs w:val="20"/>
        </w:rPr>
      </w:pPr>
      <w:r w:rsidRPr="002B351D">
        <w:rPr>
          <w:rFonts w:asciiTheme="majorHAnsi" w:hAnsiTheme="majorHAnsi"/>
          <w:sz w:val="20"/>
          <w:szCs w:val="20"/>
        </w:rPr>
        <w:t>Sea</w:t>
      </w:r>
    </w:p>
    <w:p w14:paraId="4276ECCC" w14:textId="77777777" w:rsidR="00573F86" w:rsidRPr="002B351D" w:rsidRDefault="00573F86" w:rsidP="00EA4043">
      <w:pPr>
        <w:pStyle w:val="ListParagraph"/>
        <w:numPr>
          <w:ilvl w:val="0"/>
          <w:numId w:val="90"/>
        </w:numPr>
        <w:spacing w:after="200"/>
        <w:contextualSpacing/>
        <w:rPr>
          <w:rFonts w:asciiTheme="majorHAnsi" w:hAnsiTheme="majorHAnsi"/>
          <w:sz w:val="20"/>
          <w:szCs w:val="20"/>
        </w:rPr>
      </w:pPr>
      <w:r w:rsidRPr="002B351D">
        <w:rPr>
          <w:rFonts w:asciiTheme="majorHAnsi" w:hAnsiTheme="majorHAnsi"/>
          <w:sz w:val="20"/>
          <w:szCs w:val="20"/>
        </w:rPr>
        <w:t>Air</w:t>
      </w:r>
    </w:p>
    <w:p w14:paraId="67672A1F" w14:textId="77777777" w:rsidR="00573F86" w:rsidRPr="002B351D" w:rsidRDefault="00573F86" w:rsidP="00EA4043">
      <w:pPr>
        <w:pStyle w:val="ListParagraph"/>
        <w:numPr>
          <w:ilvl w:val="0"/>
          <w:numId w:val="90"/>
        </w:numPr>
        <w:spacing w:after="200"/>
        <w:contextualSpacing/>
        <w:rPr>
          <w:rFonts w:asciiTheme="majorHAnsi" w:hAnsiTheme="majorHAnsi"/>
          <w:sz w:val="20"/>
          <w:szCs w:val="20"/>
        </w:rPr>
      </w:pPr>
      <w:r w:rsidRPr="002B351D">
        <w:rPr>
          <w:rFonts w:asciiTheme="majorHAnsi" w:hAnsiTheme="majorHAnsi"/>
          <w:sz w:val="20"/>
          <w:szCs w:val="20"/>
        </w:rPr>
        <w:t xml:space="preserve">Other </w:t>
      </w:r>
    </w:p>
    <w:p w14:paraId="7BC7C332" w14:textId="77777777" w:rsidR="00573F86" w:rsidRPr="002B351D" w:rsidRDefault="00573F86" w:rsidP="00EA4043">
      <w:pPr>
        <w:pStyle w:val="ListParagraph"/>
        <w:numPr>
          <w:ilvl w:val="0"/>
          <w:numId w:val="84"/>
        </w:numPr>
        <w:spacing w:after="200"/>
        <w:contextualSpacing/>
        <w:rPr>
          <w:rFonts w:asciiTheme="majorHAnsi" w:hAnsiTheme="majorHAnsi"/>
          <w:sz w:val="20"/>
          <w:szCs w:val="20"/>
        </w:rPr>
      </w:pPr>
      <w:r w:rsidRPr="002B351D">
        <w:rPr>
          <w:rFonts w:asciiTheme="majorHAnsi" w:hAnsiTheme="majorHAnsi"/>
          <w:sz w:val="20"/>
          <w:szCs w:val="20"/>
        </w:rPr>
        <w:t>Roles and responsibilities</w:t>
      </w:r>
    </w:p>
    <w:p w14:paraId="3998507F" w14:textId="77777777" w:rsidR="00573F86" w:rsidRPr="002B351D" w:rsidRDefault="00573F86" w:rsidP="00EA4043">
      <w:pPr>
        <w:pStyle w:val="ListParagraph"/>
        <w:numPr>
          <w:ilvl w:val="0"/>
          <w:numId w:val="84"/>
        </w:numPr>
        <w:spacing w:after="200"/>
        <w:contextualSpacing/>
        <w:rPr>
          <w:rFonts w:asciiTheme="majorHAnsi" w:hAnsiTheme="majorHAnsi"/>
          <w:sz w:val="20"/>
          <w:szCs w:val="20"/>
        </w:rPr>
      </w:pPr>
      <w:r w:rsidRPr="002B351D">
        <w:rPr>
          <w:rFonts w:asciiTheme="majorHAnsi" w:hAnsiTheme="majorHAnsi"/>
          <w:sz w:val="20"/>
          <w:szCs w:val="20"/>
        </w:rPr>
        <w:t>Past and current programs/capacity</w:t>
      </w:r>
    </w:p>
    <w:p w14:paraId="2354F161" w14:textId="77777777" w:rsidR="00573F86" w:rsidRPr="002B351D" w:rsidRDefault="00573F86" w:rsidP="00EA4043">
      <w:pPr>
        <w:pStyle w:val="ListParagraph"/>
        <w:numPr>
          <w:ilvl w:val="0"/>
          <w:numId w:val="85"/>
        </w:numPr>
        <w:spacing w:after="200"/>
        <w:contextualSpacing/>
        <w:rPr>
          <w:rFonts w:asciiTheme="majorHAnsi" w:hAnsiTheme="majorHAnsi"/>
          <w:sz w:val="20"/>
          <w:szCs w:val="20"/>
        </w:rPr>
      </w:pPr>
      <w:r w:rsidRPr="002B351D">
        <w:rPr>
          <w:rFonts w:asciiTheme="majorHAnsi" w:hAnsiTheme="majorHAnsi"/>
          <w:sz w:val="20"/>
          <w:szCs w:val="20"/>
        </w:rPr>
        <w:t>Pre-border</w:t>
      </w:r>
    </w:p>
    <w:p w14:paraId="0CBCD688" w14:textId="77777777" w:rsidR="00573F86" w:rsidRPr="002B351D" w:rsidRDefault="00573F86" w:rsidP="00EA4043">
      <w:pPr>
        <w:pStyle w:val="ListParagraph"/>
        <w:numPr>
          <w:ilvl w:val="0"/>
          <w:numId w:val="88"/>
        </w:numPr>
        <w:spacing w:after="200"/>
        <w:contextualSpacing/>
        <w:rPr>
          <w:rFonts w:asciiTheme="majorHAnsi" w:hAnsiTheme="majorHAnsi"/>
          <w:sz w:val="20"/>
          <w:szCs w:val="20"/>
        </w:rPr>
      </w:pPr>
      <w:r w:rsidRPr="002B351D">
        <w:rPr>
          <w:rFonts w:asciiTheme="majorHAnsi" w:hAnsiTheme="majorHAnsi"/>
          <w:sz w:val="20"/>
          <w:szCs w:val="20"/>
        </w:rPr>
        <w:t>Sanitation</w:t>
      </w:r>
    </w:p>
    <w:p w14:paraId="437ECD0A" w14:textId="77777777" w:rsidR="00573F86" w:rsidRPr="002B351D" w:rsidRDefault="00573F86" w:rsidP="00EA4043">
      <w:pPr>
        <w:pStyle w:val="ListParagraph"/>
        <w:numPr>
          <w:ilvl w:val="0"/>
          <w:numId w:val="88"/>
        </w:numPr>
        <w:spacing w:after="200"/>
        <w:contextualSpacing/>
        <w:rPr>
          <w:rFonts w:asciiTheme="majorHAnsi" w:hAnsiTheme="majorHAnsi"/>
          <w:sz w:val="20"/>
          <w:szCs w:val="20"/>
        </w:rPr>
      </w:pPr>
      <w:r w:rsidRPr="002B351D">
        <w:rPr>
          <w:rFonts w:asciiTheme="majorHAnsi" w:hAnsiTheme="majorHAnsi"/>
          <w:sz w:val="20"/>
          <w:szCs w:val="20"/>
        </w:rPr>
        <w:t>Import risk assessments</w:t>
      </w:r>
    </w:p>
    <w:p w14:paraId="728CC3DC" w14:textId="77777777" w:rsidR="00573F86" w:rsidRPr="002B351D" w:rsidRDefault="00573F86" w:rsidP="00EA4043">
      <w:pPr>
        <w:pStyle w:val="ListParagraph"/>
        <w:numPr>
          <w:ilvl w:val="0"/>
          <w:numId w:val="88"/>
        </w:numPr>
        <w:spacing w:after="200"/>
        <w:contextualSpacing/>
        <w:rPr>
          <w:rFonts w:asciiTheme="majorHAnsi" w:hAnsiTheme="majorHAnsi"/>
          <w:sz w:val="20"/>
          <w:szCs w:val="20"/>
        </w:rPr>
      </w:pPr>
      <w:r w:rsidRPr="002B351D">
        <w:rPr>
          <w:rFonts w:asciiTheme="majorHAnsi" w:hAnsiTheme="majorHAnsi"/>
          <w:sz w:val="20"/>
          <w:szCs w:val="20"/>
        </w:rPr>
        <w:t>Preferred vendors</w:t>
      </w:r>
    </w:p>
    <w:p w14:paraId="1D42B6DA" w14:textId="77777777" w:rsidR="00573F86" w:rsidRPr="002B351D" w:rsidRDefault="00573F86" w:rsidP="00EA4043">
      <w:pPr>
        <w:pStyle w:val="ListParagraph"/>
        <w:numPr>
          <w:ilvl w:val="0"/>
          <w:numId w:val="85"/>
        </w:numPr>
        <w:spacing w:after="200"/>
        <w:contextualSpacing/>
        <w:rPr>
          <w:rFonts w:asciiTheme="majorHAnsi" w:hAnsiTheme="majorHAnsi"/>
          <w:sz w:val="20"/>
          <w:szCs w:val="20"/>
        </w:rPr>
      </w:pPr>
      <w:r w:rsidRPr="002B351D">
        <w:rPr>
          <w:rFonts w:asciiTheme="majorHAnsi" w:hAnsiTheme="majorHAnsi"/>
          <w:sz w:val="20"/>
          <w:szCs w:val="20"/>
        </w:rPr>
        <w:t>Border</w:t>
      </w:r>
    </w:p>
    <w:p w14:paraId="236D7A47" w14:textId="77777777" w:rsidR="00573F86" w:rsidRPr="002B351D" w:rsidRDefault="00573F86" w:rsidP="00EA4043">
      <w:pPr>
        <w:pStyle w:val="ListParagraph"/>
        <w:numPr>
          <w:ilvl w:val="0"/>
          <w:numId w:val="86"/>
        </w:numPr>
        <w:spacing w:after="200"/>
        <w:contextualSpacing/>
        <w:rPr>
          <w:rFonts w:asciiTheme="majorHAnsi" w:hAnsiTheme="majorHAnsi"/>
          <w:sz w:val="20"/>
          <w:szCs w:val="20"/>
        </w:rPr>
      </w:pPr>
      <w:r w:rsidRPr="002B351D">
        <w:rPr>
          <w:rFonts w:asciiTheme="majorHAnsi" w:hAnsiTheme="majorHAnsi"/>
          <w:sz w:val="20"/>
          <w:szCs w:val="20"/>
        </w:rPr>
        <w:t>Inspection</w:t>
      </w:r>
    </w:p>
    <w:p w14:paraId="39F8A84C" w14:textId="77777777" w:rsidR="00573F86" w:rsidRPr="002B351D" w:rsidRDefault="00573F86" w:rsidP="00EA4043">
      <w:pPr>
        <w:pStyle w:val="ListParagraph"/>
        <w:numPr>
          <w:ilvl w:val="0"/>
          <w:numId w:val="86"/>
        </w:numPr>
        <w:spacing w:after="200"/>
        <w:contextualSpacing/>
        <w:rPr>
          <w:rFonts w:asciiTheme="majorHAnsi" w:hAnsiTheme="majorHAnsi"/>
          <w:sz w:val="20"/>
          <w:szCs w:val="20"/>
        </w:rPr>
      </w:pPr>
      <w:r w:rsidRPr="002B351D">
        <w:rPr>
          <w:rFonts w:asciiTheme="majorHAnsi" w:hAnsiTheme="majorHAnsi"/>
          <w:sz w:val="20"/>
          <w:szCs w:val="20"/>
        </w:rPr>
        <w:t>Quarantine</w:t>
      </w:r>
    </w:p>
    <w:p w14:paraId="135D2F6C" w14:textId="77777777" w:rsidR="00573F86" w:rsidRPr="002B351D" w:rsidRDefault="00573F86" w:rsidP="00EA4043">
      <w:pPr>
        <w:pStyle w:val="ListParagraph"/>
        <w:numPr>
          <w:ilvl w:val="0"/>
          <w:numId w:val="85"/>
        </w:numPr>
        <w:spacing w:after="200"/>
        <w:contextualSpacing/>
        <w:rPr>
          <w:rFonts w:asciiTheme="majorHAnsi" w:hAnsiTheme="majorHAnsi"/>
          <w:sz w:val="20"/>
          <w:szCs w:val="20"/>
        </w:rPr>
      </w:pPr>
      <w:r w:rsidRPr="002B351D">
        <w:rPr>
          <w:rFonts w:asciiTheme="majorHAnsi" w:hAnsiTheme="majorHAnsi"/>
          <w:sz w:val="20"/>
          <w:szCs w:val="20"/>
        </w:rPr>
        <w:t>Post Border</w:t>
      </w:r>
    </w:p>
    <w:p w14:paraId="78F10478" w14:textId="77777777" w:rsidR="00573F86" w:rsidRPr="002B351D" w:rsidRDefault="00573F86" w:rsidP="00EA4043">
      <w:pPr>
        <w:pStyle w:val="ListParagraph"/>
        <w:numPr>
          <w:ilvl w:val="0"/>
          <w:numId w:val="87"/>
        </w:numPr>
        <w:spacing w:after="200"/>
        <w:contextualSpacing/>
        <w:rPr>
          <w:rFonts w:asciiTheme="majorHAnsi" w:hAnsiTheme="majorHAnsi"/>
          <w:sz w:val="20"/>
          <w:szCs w:val="20"/>
        </w:rPr>
      </w:pPr>
      <w:r w:rsidRPr="002B351D">
        <w:rPr>
          <w:rFonts w:asciiTheme="majorHAnsi" w:hAnsiTheme="majorHAnsi"/>
          <w:sz w:val="20"/>
          <w:szCs w:val="20"/>
        </w:rPr>
        <w:t>Awareness</w:t>
      </w:r>
    </w:p>
    <w:p w14:paraId="51455F50" w14:textId="77777777" w:rsidR="00573F86" w:rsidRPr="002B351D" w:rsidRDefault="00573F86" w:rsidP="00EA4043">
      <w:pPr>
        <w:pStyle w:val="ListParagraph"/>
        <w:numPr>
          <w:ilvl w:val="0"/>
          <w:numId w:val="87"/>
        </w:numPr>
        <w:spacing w:after="200"/>
        <w:contextualSpacing/>
        <w:rPr>
          <w:rFonts w:asciiTheme="majorHAnsi" w:hAnsiTheme="majorHAnsi"/>
          <w:sz w:val="20"/>
          <w:szCs w:val="20"/>
        </w:rPr>
      </w:pPr>
      <w:r w:rsidRPr="002B351D">
        <w:rPr>
          <w:rFonts w:asciiTheme="majorHAnsi" w:hAnsiTheme="majorHAnsi"/>
          <w:sz w:val="20"/>
          <w:szCs w:val="20"/>
        </w:rPr>
        <w:t>Buy-in</w:t>
      </w:r>
    </w:p>
    <w:p w14:paraId="6D66534E" w14:textId="77777777" w:rsidR="00573F86" w:rsidRPr="002B351D" w:rsidRDefault="00573F86" w:rsidP="00EA4043">
      <w:pPr>
        <w:pStyle w:val="ListParagraph"/>
        <w:numPr>
          <w:ilvl w:val="0"/>
          <w:numId w:val="87"/>
        </w:numPr>
        <w:spacing w:after="200"/>
        <w:contextualSpacing/>
        <w:rPr>
          <w:rFonts w:asciiTheme="majorHAnsi" w:hAnsiTheme="majorHAnsi"/>
          <w:sz w:val="20"/>
          <w:szCs w:val="20"/>
        </w:rPr>
      </w:pPr>
      <w:r w:rsidRPr="002B351D">
        <w:rPr>
          <w:rFonts w:asciiTheme="majorHAnsi" w:hAnsiTheme="majorHAnsi"/>
          <w:sz w:val="20"/>
          <w:szCs w:val="20"/>
        </w:rPr>
        <w:t>Reporting network</w:t>
      </w:r>
    </w:p>
    <w:p w14:paraId="0996CFF9" w14:textId="77777777" w:rsidR="00573F86" w:rsidRPr="002B351D" w:rsidRDefault="00573F86" w:rsidP="00EA4043">
      <w:pPr>
        <w:pStyle w:val="ListParagraph"/>
        <w:numPr>
          <w:ilvl w:val="0"/>
          <w:numId w:val="87"/>
        </w:numPr>
        <w:spacing w:after="200"/>
        <w:contextualSpacing/>
        <w:rPr>
          <w:rFonts w:asciiTheme="majorHAnsi" w:hAnsiTheme="majorHAnsi"/>
          <w:sz w:val="20"/>
          <w:szCs w:val="20"/>
        </w:rPr>
      </w:pPr>
      <w:r w:rsidRPr="002B351D">
        <w:rPr>
          <w:rFonts w:asciiTheme="majorHAnsi" w:hAnsiTheme="majorHAnsi"/>
          <w:sz w:val="20"/>
          <w:szCs w:val="20"/>
        </w:rPr>
        <w:t>Early Detection</w:t>
      </w:r>
    </w:p>
    <w:p w14:paraId="79B54803" w14:textId="77777777" w:rsidR="00573F86" w:rsidRPr="002B351D" w:rsidRDefault="00573F86" w:rsidP="00EA4043">
      <w:pPr>
        <w:pStyle w:val="ListParagraph"/>
        <w:numPr>
          <w:ilvl w:val="0"/>
          <w:numId w:val="87"/>
        </w:numPr>
        <w:spacing w:after="200"/>
        <w:contextualSpacing/>
        <w:rPr>
          <w:rFonts w:asciiTheme="majorHAnsi" w:hAnsiTheme="majorHAnsi"/>
          <w:sz w:val="20"/>
          <w:szCs w:val="20"/>
        </w:rPr>
      </w:pPr>
      <w:r w:rsidRPr="002B351D">
        <w:rPr>
          <w:rFonts w:asciiTheme="majorHAnsi" w:hAnsiTheme="majorHAnsi"/>
          <w:sz w:val="20"/>
          <w:szCs w:val="20"/>
        </w:rPr>
        <w:t>Rapid Response</w:t>
      </w:r>
    </w:p>
    <w:p w14:paraId="3A98A303" w14:textId="77777777" w:rsidR="00573F86" w:rsidRPr="002B351D" w:rsidRDefault="00573F86" w:rsidP="00EA4043">
      <w:pPr>
        <w:pStyle w:val="ListParagraph"/>
        <w:numPr>
          <w:ilvl w:val="0"/>
          <w:numId w:val="84"/>
        </w:numPr>
        <w:spacing w:after="200"/>
        <w:contextualSpacing/>
        <w:rPr>
          <w:rFonts w:asciiTheme="majorHAnsi" w:hAnsiTheme="majorHAnsi"/>
          <w:sz w:val="20"/>
          <w:szCs w:val="20"/>
        </w:rPr>
      </w:pPr>
      <w:r w:rsidRPr="002B351D">
        <w:rPr>
          <w:rFonts w:asciiTheme="majorHAnsi" w:hAnsiTheme="majorHAnsi"/>
          <w:sz w:val="20"/>
          <w:szCs w:val="20"/>
        </w:rPr>
        <w:t>Legislation, conventions and agreements</w:t>
      </w:r>
    </w:p>
    <w:p w14:paraId="0CB270C0" w14:textId="77777777" w:rsidR="00573F86" w:rsidRPr="002B351D" w:rsidRDefault="00573F86" w:rsidP="00EA4043">
      <w:pPr>
        <w:pStyle w:val="ListParagraph"/>
        <w:numPr>
          <w:ilvl w:val="0"/>
          <w:numId w:val="84"/>
        </w:numPr>
        <w:spacing w:after="200"/>
        <w:contextualSpacing/>
        <w:rPr>
          <w:rFonts w:asciiTheme="majorHAnsi" w:hAnsiTheme="majorHAnsi"/>
          <w:sz w:val="20"/>
          <w:szCs w:val="20"/>
        </w:rPr>
      </w:pPr>
      <w:r w:rsidRPr="002B351D">
        <w:rPr>
          <w:rFonts w:asciiTheme="majorHAnsi" w:hAnsiTheme="majorHAnsi"/>
          <w:sz w:val="20"/>
          <w:szCs w:val="20"/>
        </w:rPr>
        <w:t>Action Plan, including: indicators, risks, costs, timing and responsibilities</w:t>
      </w:r>
    </w:p>
    <w:p w14:paraId="349C343E" w14:textId="77777777" w:rsidR="00573F86" w:rsidRPr="002B351D" w:rsidRDefault="00573F86" w:rsidP="00EA4043">
      <w:pPr>
        <w:pStyle w:val="ListParagraph"/>
        <w:numPr>
          <w:ilvl w:val="0"/>
          <w:numId w:val="94"/>
        </w:numPr>
        <w:spacing w:after="200"/>
        <w:contextualSpacing/>
        <w:rPr>
          <w:rFonts w:asciiTheme="majorHAnsi" w:hAnsiTheme="majorHAnsi"/>
          <w:sz w:val="20"/>
          <w:szCs w:val="20"/>
        </w:rPr>
      </w:pPr>
      <w:r w:rsidRPr="002B351D">
        <w:rPr>
          <w:rFonts w:asciiTheme="majorHAnsi" w:hAnsiTheme="majorHAnsi"/>
          <w:sz w:val="20"/>
          <w:szCs w:val="20"/>
        </w:rPr>
        <w:t>Generating support</w:t>
      </w:r>
    </w:p>
    <w:p w14:paraId="678CF4BB" w14:textId="77777777" w:rsidR="00573F86" w:rsidRPr="002B351D" w:rsidRDefault="00573F86" w:rsidP="00EA4043">
      <w:pPr>
        <w:pStyle w:val="ListParagraph"/>
        <w:numPr>
          <w:ilvl w:val="0"/>
          <w:numId w:val="94"/>
        </w:numPr>
        <w:spacing w:after="200"/>
        <w:contextualSpacing/>
        <w:rPr>
          <w:rFonts w:asciiTheme="majorHAnsi" w:hAnsiTheme="majorHAnsi"/>
          <w:sz w:val="20"/>
          <w:szCs w:val="20"/>
        </w:rPr>
      </w:pPr>
      <w:r w:rsidRPr="002B351D">
        <w:rPr>
          <w:rFonts w:asciiTheme="majorHAnsi" w:hAnsiTheme="majorHAnsi"/>
          <w:sz w:val="20"/>
          <w:szCs w:val="20"/>
        </w:rPr>
        <w:t>Building capacity</w:t>
      </w:r>
    </w:p>
    <w:p w14:paraId="25958B58" w14:textId="77777777" w:rsidR="00573F86" w:rsidRPr="002B351D" w:rsidRDefault="00573F86" w:rsidP="00EA4043">
      <w:pPr>
        <w:pStyle w:val="ListParagraph"/>
        <w:numPr>
          <w:ilvl w:val="0"/>
          <w:numId w:val="94"/>
        </w:numPr>
        <w:spacing w:after="200"/>
        <w:contextualSpacing/>
        <w:rPr>
          <w:rFonts w:asciiTheme="majorHAnsi" w:hAnsiTheme="majorHAnsi"/>
          <w:sz w:val="20"/>
          <w:szCs w:val="20"/>
        </w:rPr>
      </w:pPr>
      <w:r w:rsidRPr="002B351D">
        <w:rPr>
          <w:rFonts w:asciiTheme="majorHAnsi" w:hAnsiTheme="majorHAnsi"/>
          <w:sz w:val="20"/>
          <w:szCs w:val="20"/>
        </w:rPr>
        <w:t>Legislation, policy and protocols</w:t>
      </w:r>
    </w:p>
    <w:p w14:paraId="750F6789" w14:textId="77777777" w:rsidR="00573F86" w:rsidRPr="002B351D" w:rsidRDefault="00573F86" w:rsidP="00EA4043">
      <w:pPr>
        <w:pStyle w:val="ListParagraph"/>
        <w:numPr>
          <w:ilvl w:val="0"/>
          <w:numId w:val="94"/>
        </w:numPr>
        <w:spacing w:after="200"/>
        <w:contextualSpacing/>
        <w:rPr>
          <w:rFonts w:asciiTheme="majorHAnsi" w:hAnsiTheme="majorHAnsi"/>
          <w:sz w:val="20"/>
          <w:szCs w:val="20"/>
        </w:rPr>
      </w:pPr>
      <w:r w:rsidRPr="002B351D">
        <w:rPr>
          <w:rFonts w:asciiTheme="majorHAnsi" w:hAnsiTheme="majorHAnsi"/>
          <w:sz w:val="20"/>
          <w:szCs w:val="20"/>
        </w:rPr>
        <w:t>Baseline and monitoring</w:t>
      </w:r>
    </w:p>
    <w:p w14:paraId="6B03F84A" w14:textId="77777777" w:rsidR="00573F86" w:rsidRPr="002B351D" w:rsidRDefault="00573F86" w:rsidP="00EA4043">
      <w:pPr>
        <w:pStyle w:val="ListParagraph"/>
        <w:numPr>
          <w:ilvl w:val="0"/>
          <w:numId w:val="94"/>
        </w:numPr>
        <w:spacing w:after="200"/>
        <w:contextualSpacing/>
        <w:rPr>
          <w:rFonts w:asciiTheme="majorHAnsi" w:hAnsiTheme="majorHAnsi"/>
          <w:sz w:val="20"/>
          <w:szCs w:val="20"/>
        </w:rPr>
      </w:pPr>
      <w:r w:rsidRPr="002B351D">
        <w:rPr>
          <w:rFonts w:asciiTheme="majorHAnsi" w:hAnsiTheme="majorHAnsi"/>
          <w:sz w:val="20"/>
          <w:szCs w:val="20"/>
        </w:rPr>
        <w:t>Prioritization</w:t>
      </w:r>
    </w:p>
    <w:p w14:paraId="1259231A" w14:textId="77777777" w:rsidR="00573F86" w:rsidRPr="002B351D" w:rsidRDefault="00573F86" w:rsidP="00EA4043">
      <w:pPr>
        <w:pStyle w:val="ListParagraph"/>
        <w:numPr>
          <w:ilvl w:val="0"/>
          <w:numId w:val="94"/>
        </w:numPr>
        <w:spacing w:after="200"/>
        <w:contextualSpacing/>
        <w:rPr>
          <w:rFonts w:asciiTheme="majorHAnsi" w:hAnsiTheme="majorHAnsi"/>
          <w:sz w:val="20"/>
          <w:szCs w:val="20"/>
        </w:rPr>
      </w:pPr>
      <w:r w:rsidRPr="002B351D">
        <w:rPr>
          <w:rFonts w:asciiTheme="majorHAnsi" w:hAnsiTheme="majorHAnsi"/>
          <w:sz w:val="20"/>
          <w:szCs w:val="20"/>
        </w:rPr>
        <w:t>Research on priorities</w:t>
      </w:r>
    </w:p>
    <w:p w14:paraId="00A4456F" w14:textId="77777777" w:rsidR="00573F86" w:rsidRPr="002B351D" w:rsidRDefault="00573F86" w:rsidP="00EA4043">
      <w:pPr>
        <w:pStyle w:val="ListParagraph"/>
        <w:numPr>
          <w:ilvl w:val="0"/>
          <w:numId w:val="94"/>
        </w:numPr>
        <w:spacing w:after="200"/>
        <w:contextualSpacing/>
        <w:rPr>
          <w:rFonts w:asciiTheme="majorHAnsi" w:hAnsiTheme="majorHAnsi"/>
          <w:sz w:val="20"/>
          <w:szCs w:val="20"/>
        </w:rPr>
      </w:pPr>
      <w:r w:rsidRPr="002B351D">
        <w:rPr>
          <w:rFonts w:asciiTheme="majorHAnsi" w:hAnsiTheme="majorHAnsi"/>
          <w:sz w:val="20"/>
          <w:szCs w:val="20"/>
        </w:rPr>
        <w:t>Biosecurity</w:t>
      </w:r>
    </w:p>
    <w:p w14:paraId="39087483" w14:textId="77777777" w:rsidR="00573F86" w:rsidRPr="002B351D" w:rsidRDefault="00573F86" w:rsidP="00EA4043">
      <w:pPr>
        <w:pStyle w:val="ListParagraph"/>
        <w:numPr>
          <w:ilvl w:val="0"/>
          <w:numId w:val="95"/>
        </w:numPr>
        <w:spacing w:after="200"/>
        <w:contextualSpacing/>
        <w:rPr>
          <w:rFonts w:asciiTheme="majorHAnsi" w:hAnsiTheme="majorHAnsi"/>
          <w:sz w:val="20"/>
          <w:szCs w:val="20"/>
        </w:rPr>
      </w:pPr>
      <w:r w:rsidRPr="002B351D">
        <w:rPr>
          <w:rFonts w:asciiTheme="majorHAnsi" w:hAnsiTheme="majorHAnsi"/>
          <w:sz w:val="20"/>
          <w:szCs w:val="20"/>
        </w:rPr>
        <w:lastRenderedPageBreak/>
        <w:t>Recommendations for strengthening national coordination</w:t>
      </w:r>
    </w:p>
    <w:p w14:paraId="146AA07B" w14:textId="77777777" w:rsidR="00573F86" w:rsidRPr="002B351D" w:rsidRDefault="00573F86" w:rsidP="00EA4043">
      <w:pPr>
        <w:pStyle w:val="ListParagraph"/>
        <w:numPr>
          <w:ilvl w:val="0"/>
          <w:numId w:val="95"/>
        </w:numPr>
        <w:spacing w:after="200"/>
        <w:contextualSpacing/>
        <w:rPr>
          <w:rFonts w:asciiTheme="majorHAnsi" w:hAnsiTheme="majorHAnsi"/>
          <w:sz w:val="20"/>
          <w:szCs w:val="20"/>
        </w:rPr>
      </w:pPr>
      <w:r w:rsidRPr="002B351D">
        <w:rPr>
          <w:rFonts w:asciiTheme="majorHAnsi" w:hAnsiTheme="majorHAnsi"/>
          <w:sz w:val="20"/>
          <w:szCs w:val="20"/>
        </w:rPr>
        <w:t>Recommendations for strengthening national IAS prevention</w:t>
      </w:r>
    </w:p>
    <w:p w14:paraId="599B5A49" w14:textId="77777777" w:rsidR="00573F86" w:rsidRPr="002B351D" w:rsidRDefault="00573F86" w:rsidP="00EA4043">
      <w:pPr>
        <w:pStyle w:val="ListParagraph"/>
        <w:numPr>
          <w:ilvl w:val="0"/>
          <w:numId w:val="96"/>
        </w:numPr>
        <w:spacing w:after="200"/>
        <w:contextualSpacing/>
        <w:rPr>
          <w:rFonts w:asciiTheme="majorHAnsi" w:hAnsiTheme="majorHAnsi"/>
          <w:sz w:val="20"/>
          <w:szCs w:val="20"/>
        </w:rPr>
      </w:pPr>
      <w:r w:rsidRPr="002B351D">
        <w:rPr>
          <w:rFonts w:asciiTheme="majorHAnsi" w:hAnsiTheme="majorHAnsi"/>
          <w:sz w:val="20"/>
          <w:szCs w:val="20"/>
        </w:rPr>
        <w:t>Develop National Black List</w:t>
      </w:r>
    </w:p>
    <w:p w14:paraId="37E386ED" w14:textId="77777777" w:rsidR="00573F86" w:rsidRPr="002B351D" w:rsidRDefault="00573F86" w:rsidP="00EA4043">
      <w:pPr>
        <w:pStyle w:val="ListParagraph"/>
        <w:numPr>
          <w:ilvl w:val="0"/>
          <w:numId w:val="96"/>
        </w:numPr>
        <w:spacing w:after="200"/>
        <w:contextualSpacing/>
        <w:rPr>
          <w:rFonts w:asciiTheme="majorHAnsi" w:hAnsiTheme="majorHAnsi"/>
          <w:sz w:val="20"/>
          <w:szCs w:val="20"/>
        </w:rPr>
      </w:pPr>
      <w:r w:rsidRPr="002B351D">
        <w:rPr>
          <w:rFonts w:asciiTheme="majorHAnsi" w:hAnsiTheme="majorHAnsi"/>
          <w:sz w:val="20"/>
          <w:szCs w:val="20"/>
        </w:rPr>
        <w:t>Appropriate distribution of black list (possible posting on BAF website)</w:t>
      </w:r>
    </w:p>
    <w:p w14:paraId="2EBBF4DC" w14:textId="77777777" w:rsidR="00573F86" w:rsidRPr="002B351D" w:rsidRDefault="00573F86" w:rsidP="00EA4043">
      <w:pPr>
        <w:pStyle w:val="ListParagraph"/>
        <w:numPr>
          <w:ilvl w:val="0"/>
          <w:numId w:val="96"/>
        </w:numPr>
        <w:spacing w:after="200"/>
        <w:contextualSpacing/>
        <w:rPr>
          <w:rFonts w:asciiTheme="majorHAnsi" w:hAnsiTheme="majorHAnsi"/>
          <w:sz w:val="20"/>
          <w:szCs w:val="20"/>
        </w:rPr>
      </w:pPr>
      <w:r w:rsidRPr="002B351D">
        <w:rPr>
          <w:rFonts w:asciiTheme="majorHAnsi" w:hAnsiTheme="majorHAnsi"/>
          <w:sz w:val="20"/>
          <w:szCs w:val="20"/>
        </w:rPr>
        <w:t>Regular updating of black list (as need arises)</w:t>
      </w:r>
    </w:p>
    <w:p w14:paraId="7BAD6FB0" w14:textId="77777777" w:rsidR="00573F86" w:rsidRPr="002B351D" w:rsidRDefault="00573F86" w:rsidP="00EA4043">
      <w:pPr>
        <w:pStyle w:val="ListParagraph"/>
        <w:numPr>
          <w:ilvl w:val="0"/>
          <w:numId w:val="96"/>
        </w:numPr>
        <w:spacing w:after="200"/>
        <w:contextualSpacing/>
        <w:rPr>
          <w:rFonts w:asciiTheme="majorHAnsi" w:hAnsiTheme="majorHAnsi"/>
          <w:sz w:val="20"/>
          <w:szCs w:val="20"/>
        </w:rPr>
      </w:pPr>
      <w:r w:rsidRPr="002B351D">
        <w:rPr>
          <w:rFonts w:asciiTheme="majorHAnsi" w:hAnsiTheme="majorHAnsi"/>
          <w:sz w:val="20"/>
          <w:szCs w:val="20"/>
        </w:rPr>
        <w:t>Develop National White List</w:t>
      </w:r>
    </w:p>
    <w:p w14:paraId="47A2B5FD" w14:textId="77777777" w:rsidR="00573F86" w:rsidRPr="002B351D" w:rsidRDefault="00573F86" w:rsidP="00EA4043">
      <w:pPr>
        <w:pStyle w:val="ListParagraph"/>
        <w:numPr>
          <w:ilvl w:val="0"/>
          <w:numId w:val="96"/>
        </w:numPr>
        <w:spacing w:after="200"/>
        <w:contextualSpacing/>
        <w:rPr>
          <w:rFonts w:asciiTheme="majorHAnsi" w:hAnsiTheme="majorHAnsi"/>
          <w:sz w:val="20"/>
          <w:szCs w:val="20"/>
        </w:rPr>
      </w:pPr>
      <w:r w:rsidRPr="002B351D">
        <w:rPr>
          <w:rFonts w:asciiTheme="majorHAnsi" w:hAnsiTheme="majorHAnsi"/>
          <w:sz w:val="20"/>
          <w:szCs w:val="20"/>
        </w:rPr>
        <w:t>Update date white list as needed</w:t>
      </w:r>
    </w:p>
    <w:p w14:paraId="482C78E9" w14:textId="77777777" w:rsidR="00573F86" w:rsidRPr="002B351D" w:rsidRDefault="00573F86" w:rsidP="00EA4043">
      <w:pPr>
        <w:pStyle w:val="ListParagraph"/>
        <w:numPr>
          <w:ilvl w:val="0"/>
          <w:numId w:val="95"/>
        </w:numPr>
        <w:spacing w:after="200"/>
        <w:contextualSpacing/>
        <w:rPr>
          <w:rFonts w:asciiTheme="majorHAnsi" w:hAnsiTheme="majorHAnsi"/>
          <w:sz w:val="20"/>
          <w:szCs w:val="20"/>
        </w:rPr>
      </w:pPr>
      <w:r w:rsidRPr="002B351D">
        <w:rPr>
          <w:rFonts w:asciiTheme="majorHAnsi" w:hAnsiTheme="majorHAnsi"/>
          <w:sz w:val="20"/>
          <w:szCs w:val="20"/>
        </w:rPr>
        <w:t>Recommendations for strengthening national quarantine response</w:t>
      </w:r>
    </w:p>
    <w:p w14:paraId="6D275FDA" w14:textId="77777777" w:rsidR="00573F86" w:rsidRPr="002B351D" w:rsidRDefault="00573F86" w:rsidP="00EA4043">
      <w:pPr>
        <w:pStyle w:val="ListParagraph"/>
        <w:numPr>
          <w:ilvl w:val="0"/>
          <w:numId w:val="94"/>
        </w:numPr>
        <w:spacing w:after="200"/>
        <w:contextualSpacing/>
        <w:rPr>
          <w:rFonts w:asciiTheme="majorHAnsi" w:hAnsiTheme="majorHAnsi"/>
          <w:sz w:val="20"/>
          <w:szCs w:val="20"/>
        </w:rPr>
      </w:pPr>
      <w:r w:rsidRPr="002B351D">
        <w:rPr>
          <w:rFonts w:asciiTheme="majorHAnsi" w:hAnsiTheme="majorHAnsi"/>
          <w:sz w:val="20"/>
          <w:szCs w:val="20"/>
        </w:rPr>
        <w:t>Management of established IAS</w:t>
      </w:r>
    </w:p>
    <w:p w14:paraId="1A952CE7" w14:textId="77777777" w:rsidR="00573F86" w:rsidRPr="002B351D" w:rsidRDefault="00573F86" w:rsidP="00EA4043">
      <w:pPr>
        <w:pStyle w:val="ListParagraph"/>
        <w:numPr>
          <w:ilvl w:val="0"/>
          <w:numId w:val="94"/>
        </w:numPr>
        <w:spacing w:after="200"/>
        <w:contextualSpacing/>
        <w:rPr>
          <w:rFonts w:asciiTheme="majorHAnsi" w:hAnsiTheme="majorHAnsi"/>
          <w:sz w:val="20"/>
          <w:szCs w:val="20"/>
        </w:rPr>
      </w:pPr>
      <w:r w:rsidRPr="002B351D">
        <w:rPr>
          <w:rFonts w:asciiTheme="majorHAnsi" w:hAnsiTheme="majorHAnsi"/>
          <w:sz w:val="20"/>
          <w:szCs w:val="20"/>
        </w:rPr>
        <w:t>Restoration</w:t>
      </w:r>
    </w:p>
    <w:p w14:paraId="67E85363" w14:textId="77777777" w:rsidR="00573F86" w:rsidRPr="002B351D" w:rsidRDefault="00573F86" w:rsidP="00EA4043">
      <w:pPr>
        <w:pStyle w:val="ListParagraph"/>
        <w:numPr>
          <w:ilvl w:val="0"/>
          <w:numId w:val="94"/>
        </w:numPr>
        <w:spacing w:after="200"/>
        <w:contextualSpacing/>
        <w:rPr>
          <w:rFonts w:asciiTheme="majorHAnsi" w:hAnsiTheme="majorHAnsi"/>
          <w:sz w:val="20"/>
          <w:szCs w:val="20"/>
        </w:rPr>
      </w:pPr>
      <w:r w:rsidRPr="002B351D">
        <w:rPr>
          <w:rFonts w:asciiTheme="majorHAnsi" w:hAnsiTheme="majorHAnsi"/>
          <w:sz w:val="20"/>
          <w:szCs w:val="20"/>
        </w:rPr>
        <w:t>Impacts of climate change of IAS</w:t>
      </w:r>
    </w:p>
    <w:p w14:paraId="56D3E304" w14:textId="77777777" w:rsidR="00573F86" w:rsidRPr="002B351D" w:rsidRDefault="00573F86" w:rsidP="00EA4043">
      <w:pPr>
        <w:pStyle w:val="ListParagraph"/>
        <w:numPr>
          <w:ilvl w:val="0"/>
          <w:numId w:val="84"/>
        </w:numPr>
        <w:spacing w:after="200"/>
        <w:contextualSpacing/>
        <w:rPr>
          <w:rFonts w:asciiTheme="majorHAnsi" w:hAnsiTheme="majorHAnsi"/>
          <w:sz w:val="20"/>
          <w:szCs w:val="20"/>
        </w:rPr>
      </w:pPr>
      <w:r w:rsidRPr="002B351D">
        <w:rPr>
          <w:rFonts w:asciiTheme="majorHAnsi" w:hAnsiTheme="majorHAnsi"/>
          <w:sz w:val="20"/>
          <w:szCs w:val="20"/>
        </w:rPr>
        <w:t>Monitoring and evaluation</w:t>
      </w:r>
    </w:p>
    <w:p w14:paraId="6B451967" w14:textId="77777777" w:rsidR="00D4414E" w:rsidRDefault="00D4414E" w:rsidP="00D4414E">
      <w:pPr>
        <w:pStyle w:val="ListParagraph"/>
        <w:spacing w:after="200"/>
        <w:ind w:left="1800"/>
        <w:contextualSpacing/>
        <w:rPr>
          <w:rFonts w:asciiTheme="majorHAnsi" w:hAnsiTheme="majorHAnsi"/>
          <w:sz w:val="22"/>
          <w:szCs w:val="22"/>
        </w:rPr>
        <w:sectPr w:rsidR="00D4414E" w:rsidSect="00F20987">
          <w:pgSz w:w="12240" w:h="15840" w:code="1"/>
          <w:pgMar w:top="1440" w:right="1440" w:bottom="1440" w:left="1440" w:header="720" w:footer="720" w:gutter="0"/>
          <w:cols w:space="720"/>
          <w:docGrid w:linePitch="360"/>
        </w:sectPr>
      </w:pPr>
    </w:p>
    <w:p w14:paraId="3AD2A2B3" w14:textId="3DB87EB3" w:rsidR="00D4414E" w:rsidRPr="0031479A" w:rsidRDefault="00D4414E" w:rsidP="00D4414E">
      <w:pPr>
        <w:spacing w:after="180"/>
        <w:jc w:val="right"/>
        <w:rPr>
          <w:b/>
          <w:sz w:val="20"/>
          <w:szCs w:val="20"/>
        </w:rPr>
      </w:pPr>
      <w:r w:rsidRPr="0031479A">
        <w:rPr>
          <w:b/>
          <w:sz w:val="20"/>
          <w:szCs w:val="20"/>
        </w:rPr>
        <w:lastRenderedPageBreak/>
        <w:t>Annex 3</w:t>
      </w:r>
    </w:p>
    <w:p w14:paraId="0F04EC65" w14:textId="2989BE97" w:rsidR="00D4414E" w:rsidRPr="006D63E5" w:rsidRDefault="00D4414E" w:rsidP="00827CBE">
      <w:pPr>
        <w:spacing w:after="180"/>
        <w:jc w:val="center"/>
        <w:rPr>
          <w:sz w:val="20"/>
          <w:szCs w:val="20"/>
        </w:rPr>
      </w:pPr>
      <w:r w:rsidRPr="006D63E5">
        <w:rPr>
          <w:b/>
          <w:sz w:val="20"/>
          <w:szCs w:val="20"/>
        </w:rPr>
        <w:t>Status of Master Planning Conditions in Babeldaob and Southern Lagoon States</w:t>
      </w:r>
    </w:p>
    <w:tbl>
      <w:tblPr>
        <w:tblW w:w="1014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418"/>
        <w:gridCol w:w="1372"/>
        <w:gridCol w:w="1260"/>
        <w:gridCol w:w="1260"/>
        <w:gridCol w:w="1170"/>
        <w:gridCol w:w="1080"/>
        <w:gridCol w:w="25"/>
        <w:gridCol w:w="1390"/>
      </w:tblGrid>
      <w:tr w:rsidR="00D4414E" w:rsidRPr="00301A03" w14:paraId="6383A6A1" w14:textId="77777777" w:rsidTr="00827CBE">
        <w:trPr>
          <w:cantSplit/>
          <w:trHeight w:val="1340"/>
          <w:tblHeader/>
        </w:trPr>
        <w:tc>
          <w:tcPr>
            <w:tcW w:w="1170" w:type="dxa"/>
            <w:shd w:val="clear" w:color="auto" w:fill="AEAAAA"/>
          </w:tcPr>
          <w:p w14:paraId="4AED8C8C" w14:textId="77777777" w:rsidR="00D4414E" w:rsidRPr="00D4414E" w:rsidRDefault="00D4414E" w:rsidP="00D4414E">
            <w:pPr>
              <w:spacing w:after="180"/>
              <w:jc w:val="left"/>
              <w:rPr>
                <w:b/>
                <w:sz w:val="16"/>
                <w:szCs w:val="16"/>
              </w:rPr>
            </w:pPr>
            <w:r w:rsidRPr="00D4414E">
              <w:rPr>
                <w:b/>
                <w:sz w:val="16"/>
                <w:szCs w:val="16"/>
              </w:rPr>
              <w:t>State</w:t>
            </w:r>
          </w:p>
        </w:tc>
        <w:tc>
          <w:tcPr>
            <w:tcW w:w="1418" w:type="dxa"/>
            <w:shd w:val="clear" w:color="auto" w:fill="AEAAAA"/>
          </w:tcPr>
          <w:p w14:paraId="1635B6FF" w14:textId="77777777" w:rsidR="00D4414E" w:rsidRPr="00D4414E" w:rsidRDefault="00D4414E" w:rsidP="00D4414E">
            <w:pPr>
              <w:spacing w:after="180"/>
              <w:jc w:val="left"/>
              <w:rPr>
                <w:b/>
                <w:sz w:val="16"/>
                <w:szCs w:val="16"/>
              </w:rPr>
            </w:pPr>
            <w:r w:rsidRPr="00D4414E">
              <w:rPr>
                <w:b/>
                <w:sz w:val="16"/>
                <w:szCs w:val="16"/>
              </w:rPr>
              <w:t>Status of Statewide Master Plan</w:t>
            </w:r>
          </w:p>
        </w:tc>
        <w:tc>
          <w:tcPr>
            <w:tcW w:w="1372" w:type="dxa"/>
            <w:shd w:val="clear" w:color="auto" w:fill="AEAAAA"/>
          </w:tcPr>
          <w:p w14:paraId="25BA09D6" w14:textId="77777777" w:rsidR="00D4414E" w:rsidRPr="00D4414E" w:rsidRDefault="00D4414E" w:rsidP="00D4414E">
            <w:pPr>
              <w:spacing w:after="180"/>
              <w:jc w:val="left"/>
              <w:rPr>
                <w:b/>
                <w:sz w:val="16"/>
                <w:szCs w:val="16"/>
              </w:rPr>
            </w:pPr>
            <w:r w:rsidRPr="00D4414E">
              <w:rPr>
                <w:b/>
                <w:sz w:val="16"/>
                <w:szCs w:val="16"/>
              </w:rPr>
              <w:t>Ongoing/ Other relevant actions that lead to are the foundation of statewide planning</w:t>
            </w:r>
          </w:p>
        </w:tc>
        <w:tc>
          <w:tcPr>
            <w:tcW w:w="1260" w:type="dxa"/>
            <w:shd w:val="clear" w:color="auto" w:fill="AEAAAA"/>
          </w:tcPr>
          <w:p w14:paraId="6D182F3B" w14:textId="77777777" w:rsidR="00D4414E" w:rsidRPr="00D4414E" w:rsidRDefault="00D4414E" w:rsidP="00D4414E">
            <w:pPr>
              <w:spacing w:after="180"/>
              <w:jc w:val="left"/>
              <w:rPr>
                <w:b/>
                <w:sz w:val="16"/>
                <w:szCs w:val="16"/>
              </w:rPr>
            </w:pPr>
            <w:r w:rsidRPr="00D4414E">
              <w:rPr>
                <w:b/>
                <w:sz w:val="16"/>
                <w:szCs w:val="16"/>
              </w:rPr>
              <w:t>Are there Joint environmental Planning Bodies?</w:t>
            </w:r>
          </w:p>
        </w:tc>
        <w:tc>
          <w:tcPr>
            <w:tcW w:w="1260" w:type="dxa"/>
            <w:shd w:val="clear" w:color="auto" w:fill="AEAAAA"/>
          </w:tcPr>
          <w:p w14:paraId="53D8D821" w14:textId="77777777" w:rsidR="00D4414E" w:rsidRPr="00D4414E" w:rsidRDefault="00D4414E" w:rsidP="00D4414E">
            <w:pPr>
              <w:spacing w:after="180"/>
              <w:jc w:val="left"/>
              <w:rPr>
                <w:b/>
                <w:sz w:val="16"/>
                <w:szCs w:val="16"/>
              </w:rPr>
            </w:pPr>
            <w:r w:rsidRPr="00D4414E">
              <w:rPr>
                <w:b/>
                <w:sz w:val="16"/>
                <w:szCs w:val="16"/>
              </w:rPr>
              <w:t>PAN Management Plan: Status, linked to other spatial processes, or consider cross-state boundaries?</w:t>
            </w:r>
          </w:p>
        </w:tc>
        <w:tc>
          <w:tcPr>
            <w:tcW w:w="1170" w:type="dxa"/>
            <w:shd w:val="clear" w:color="auto" w:fill="AEAAAA"/>
          </w:tcPr>
          <w:p w14:paraId="40E840D5" w14:textId="77777777" w:rsidR="00D4414E" w:rsidRPr="00D4414E" w:rsidRDefault="00D4414E" w:rsidP="00D4414E">
            <w:pPr>
              <w:spacing w:after="180"/>
              <w:jc w:val="left"/>
              <w:rPr>
                <w:b/>
                <w:sz w:val="16"/>
                <w:szCs w:val="16"/>
              </w:rPr>
            </w:pPr>
            <w:r w:rsidRPr="00D4414E">
              <w:rPr>
                <w:b/>
                <w:sz w:val="16"/>
                <w:szCs w:val="16"/>
              </w:rPr>
              <w:t>Is there support from elected and traditional leaders for implementing and following Master Plans?</w:t>
            </w:r>
          </w:p>
        </w:tc>
        <w:tc>
          <w:tcPr>
            <w:tcW w:w="1080" w:type="dxa"/>
            <w:shd w:val="clear" w:color="auto" w:fill="AEAAAA"/>
          </w:tcPr>
          <w:p w14:paraId="290BF2DD" w14:textId="77777777" w:rsidR="00D4414E" w:rsidRPr="00D4414E" w:rsidRDefault="00D4414E" w:rsidP="00D4414E">
            <w:pPr>
              <w:spacing w:after="180"/>
              <w:jc w:val="left"/>
              <w:rPr>
                <w:b/>
                <w:sz w:val="16"/>
                <w:szCs w:val="16"/>
              </w:rPr>
            </w:pPr>
            <w:r w:rsidRPr="00D4414E">
              <w:rPr>
                <w:b/>
                <w:sz w:val="16"/>
                <w:szCs w:val="16"/>
              </w:rPr>
              <w:t>Starting Point for Landscape/ Seascape Planning</w:t>
            </w:r>
          </w:p>
        </w:tc>
        <w:tc>
          <w:tcPr>
            <w:tcW w:w="1415" w:type="dxa"/>
            <w:gridSpan w:val="2"/>
            <w:shd w:val="clear" w:color="auto" w:fill="AEAAAA"/>
          </w:tcPr>
          <w:p w14:paraId="4A70C6B3" w14:textId="77777777" w:rsidR="00D4414E" w:rsidRPr="00D4414E" w:rsidRDefault="00D4414E" w:rsidP="00D4414E">
            <w:pPr>
              <w:spacing w:after="180"/>
              <w:jc w:val="left"/>
              <w:rPr>
                <w:b/>
                <w:sz w:val="16"/>
                <w:szCs w:val="16"/>
              </w:rPr>
            </w:pPr>
            <w:r w:rsidRPr="00D4414E">
              <w:rPr>
                <w:b/>
                <w:sz w:val="16"/>
                <w:szCs w:val="16"/>
              </w:rPr>
              <w:t>Likely interest in Best Practice Implementation</w:t>
            </w:r>
          </w:p>
        </w:tc>
      </w:tr>
      <w:tr w:rsidR="00D4414E" w:rsidRPr="00D4414E" w14:paraId="1361D3B4" w14:textId="77777777" w:rsidTr="00827CBE">
        <w:tc>
          <w:tcPr>
            <w:tcW w:w="1170" w:type="dxa"/>
            <w:shd w:val="clear" w:color="auto" w:fill="auto"/>
          </w:tcPr>
          <w:p w14:paraId="4C9C5404" w14:textId="77777777" w:rsidR="00D4414E" w:rsidRPr="00D4414E" w:rsidRDefault="00D4414E" w:rsidP="00D4414E">
            <w:pPr>
              <w:spacing w:after="180"/>
              <w:jc w:val="left"/>
              <w:rPr>
                <w:sz w:val="16"/>
                <w:szCs w:val="16"/>
              </w:rPr>
            </w:pPr>
            <w:r w:rsidRPr="00D4414E">
              <w:rPr>
                <w:sz w:val="16"/>
                <w:szCs w:val="16"/>
              </w:rPr>
              <w:t>Ngarchelong</w:t>
            </w:r>
          </w:p>
        </w:tc>
        <w:tc>
          <w:tcPr>
            <w:tcW w:w="1418" w:type="dxa"/>
            <w:shd w:val="clear" w:color="auto" w:fill="auto"/>
          </w:tcPr>
          <w:p w14:paraId="244FFC04" w14:textId="77777777" w:rsidR="00D4414E" w:rsidRPr="00D4414E" w:rsidRDefault="00D4414E" w:rsidP="00D4414E">
            <w:pPr>
              <w:spacing w:after="180"/>
              <w:jc w:val="left"/>
              <w:rPr>
                <w:sz w:val="16"/>
                <w:szCs w:val="16"/>
              </w:rPr>
            </w:pPr>
            <w:r w:rsidRPr="00D4414E">
              <w:rPr>
                <w:sz w:val="16"/>
                <w:szCs w:val="16"/>
              </w:rPr>
              <w:t>Old, unused</w:t>
            </w:r>
          </w:p>
          <w:p w14:paraId="2B83E1C6" w14:textId="77777777" w:rsidR="00D4414E" w:rsidRPr="00D4414E" w:rsidRDefault="00D4414E" w:rsidP="00D4414E">
            <w:pPr>
              <w:spacing w:after="180"/>
              <w:jc w:val="left"/>
              <w:rPr>
                <w:sz w:val="16"/>
                <w:szCs w:val="16"/>
              </w:rPr>
            </w:pPr>
            <w:r w:rsidRPr="00D4414E">
              <w:rPr>
                <w:sz w:val="16"/>
                <w:szCs w:val="16"/>
              </w:rPr>
              <w:t>The Legislature has passed legislation to create a committee to do a Master Plan.</w:t>
            </w:r>
          </w:p>
          <w:p w14:paraId="7D7924DE" w14:textId="77777777" w:rsidR="00D4414E" w:rsidRPr="00D4414E" w:rsidRDefault="00D4414E" w:rsidP="00D4414E">
            <w:pPr>
              <w:spacing w:after="180"/>
              <w:jc w:val="left"/>
              <w:rPr>
                <w:sz w:val="16"/>
                <w:szCs w:val="16"/>
              </w:rPr>
            </w:pPr>
            <w:r w:rsidRPr="00D4414E">
              <w:rPr>
                <w:sz w:val="16"/>
                <w:szCs w:val="16"/>
              </w:rPr>
              <w:t>Northern Marine Management Area (NMMA; Seascape Plan for marine waters)</w:t>
            </w:r>
          </w:p>
        </w:tc>
        <w:tc>
          <w:tcPr>
            <w:tcW w:w="1372" w:type="dxa"/>
          </w:tcPr>
          <w:p w14:paraId="2B8864D7" w14:textId="77777777" w:rsidR="00D4414E" w:rsidRPr="00D4414E" w:rsidRDefault="00D4414E" w:rsidP="00D4414E">
            <w:pPr>
              <w:spacing w:after="180"/>
              <w:jc w:val="left"/>
              <w:rPr>
                <w:sz w:val="16"/>
                <w:szCs w:val="16"/>
              </w:rPr>
            </w:pPr>
            <w:r w:rsidRPr="00D4414E">
              <w:rPr>
                <w:sz w:val="16"/>
                <w:szCs w:val="16"/>
              </w:rPr>
              <w:t>State had held community summits on environmental protection.</w:t>
            </w:r>
          </w:p>
          <w:p w14:paraId="2A916040" w14:textId="77777777" w:rsidR="00D4414E" w:rsidRPr="00D4414E" w:rsidRDefault="00D4414E" w:rsidP="00D4414E">
            <w:pPr>
              <w:spacing w:after="180"/>
              <w:jc w:val="left"/>
              <w:rPr>
                <w:sz w:val="16"/>
                <w:szCs w:val="16"/>
              </w:rPr>
            </w:pPr>
            <w:r w:rsidRPr="00D4414E">
              <w:rPr>
                <w:sz w:val="16"/>
                <w:szCs w:val="16"/>
              </w:rPr>
              <w:t>Draft Policy for strengthens fisheries.</w:t>
            </w:r>
          </w:p>
          <w:p w14:paraId="2626506B" w14:textId="77777777" w:rsidR="00D4414E" w:rsidRPr="00D4414E" w:rsidRDefault="00D4414E" w:rsidP="00D4414E">
            <w:pPr>
              <w:spacing w:after="180"/>
              <w:jc w:val="left"/>
              <w:rPr>
                <w:sz w:val="16"/>
                <w:szCs w:val="16"/>
              </w:rPr>
            </w:pPr>
            <w:r w:rsidRPr="00D4414E">
              <w:rPr>
                <w:sz w:val="16"/>
                <w:szCs w:val="16"/>
              </w:rPr>
              <w:t>May 2017 signing of regulations for NMMA</w:t>
            </w:r>
          </w:p>
          <w:p w14:paraId="26E7D231" w14:textId="77777777" w:rsidR="00D4414E" w:rsidRPr="00D4414E" w:rsidRDefault="00D4414E" w:rsidP="00D4414E">
            <w:pPr>
              <w:spacing w:after="180"/>
              <w:jc w:val="left"/>
              <w:rPr>
                <w:sz w:val="16"/>
                <w:szCs w:val="16"/>
              </w:rPr>
            </w:pPr>
            <w:r w:rsidRPr="00D4414E">
              <w:rPr>
                <w:sz w:val="16"/>
                <w:szCs w:val="16"/>
              </w:rPr>
              <w:t>Strong local NGO (Ebiil Society)</w:t>
            </w:r>
          </w:p>
        </w:tc>
        <w:tc>
          <w:tcPr>
            <w:tcW w:w="1260" w:type="dxa"/>
            <w:shd w:val="clear" w:color="auto" w:fill="auto"/>
          </w:tcPr>
          <w:p w14:paraId="267779EB" w14:textId="77777777" w:rsidR="00D4414E" w:rsidRPr="00D4414E" w:rsidRDefault="00D4414E" w:rsidP="00D4414E">
            <w:pPr>
              <w:spacing w:after="180"/>
              <w:jc w:val="left"/>
              <w:rPr>
                <w:sz w:val="16"/>
                <w:szCs w:val="16"/>
              </w:rPr>
            </w:pPr>
            <w:r w:rsidRPr="00D4414E">
              <w:rPr>
                <w:sz w:val="16"/>
                <w:szCs w:val="16"/>
              </w:rPr>
              <w:t>State PLA</w:t>
            </w:r>
          </w:p>
          <w:p w14:paraId="508CF739" w14:textId="77777777" w:rsidR="00D4414E" w:rsidRPr="00D4414E" w:rsidRDefault="00D4414E" w:rsidP="00D4414E">
            <w:pPr>
              <w:spacing w:after="180"/>
              <w:jc w:val="left"/>
              <w:rPr>
                <w:sz w:val="16"/>
                <w:szCs w:val="16"/>
              </w:rPr>
            </w:pPr>
            <w:r w:rsidRPr="00D4414E">
              <w:rPr>
                <w:sz w:val="16"/>
                <w:szCs w:val="16"/>
              </w:rPr>
              <w:t>NMMA Planning Team (completed regulations) was empowered by the Governor</w:t>
            </w:r>
          </w:p>
          <w:p w14:paraId="4AF53127" w14:textId="77777777" w:rsidR="00D4414E" w:rsidRPr="00D4414E" w:rsidRDefault="00D4414E" w:rsidP="00D4414E">
            <w:pPr>
              <w:spacing w:after="180"/>
              <w:jc w:val="left"/>
              <w:rPr>
                <w:sz w:val="16"/>
                <w:szCs w:val="16"/>
              </w:rPr>
            </w:pPr>
            <w:r w:rsidRPr="00D4414E">
              <w:rPr>
                <w:sz w:val="16"/>
                <w:szCs w:val="16"/>
              </w:rPr>
              <w:t>Tourism planning underway</w:t>
            </w:r>
          </w:p>
        </w:tc>
        <w:tc>
          <w:tcPr>
            <w:tcW w:w="1260" w:type="dxa"/>
            <w:shd w:val="clear" w:color="auto" w:fill="auto"/>
          </w:tcPr>
          <w:p w14:paraId="3B6B9124" w14:textId="77777777" w:rsidR="00D4414E" w:rsidRPr="00D4414E" w:rsidRDefault="00D4414E" w:rsidP="00D4414E">
            <w:pPr>
              <w:spacing w:after="180"/>
              <w:jc w:val="left"/>
              <w:rPr>
                <w:sz w:val="16"/>
                <w:szCs w:val="16"/>
              </w:rPr>
            </w:pPr>
            <w:r w:rsidRPr="00D4414E">
              <w:rPr>
                <w:sz w:val="16"/>
                <w:szCs w:val="16"/>
              </w:rPr>
              <w:t>Current, being actively implemented</w:t>
            </w:r>
          </w:p>
          <w:p w14:paraId="28ABE21A" w14:textId="77777777" w:rsidR="00D4414E" w:rsidRPr="00D4414E" w:rsidRDefault="00D4414E" w:rsidP="00D4414E">
            <w:pPr>
              <w:spacing w:after="180"/>
              <w:jc w:val="left"/>
              <w:rPr>
                <w:sz w:val="16"/>
                <w:szCs w:val="16"/>
              </w:rPr>
            </w:pPr>
            <w:r w:rsidRPr="00D4414E">
              <w:rPr>
                <w:sz w:val="16"/>
                <w:szCs w:val="16"/>
              </w:rPr>
              <w:t>Overseen by the Governor</w:t>
            </w:r>
          </w:p>
          <w:p w14:paraId="650DD8FC" w14:textId="77777777" w:rsidR="00D4414E" w:rsidRPr="00D4414E" w:rsidRDefault="00D4414E" w:rsidP="00D4414E">
            <w:pPr>
              <w:spacing w:after="180"/>
              <w:jc w:val="left"/>
              <w:rPr>
                <w:sz w:val="16"/>
                <w:szCs w:val="16"/>
              </w:rPr>
            </w:pPr>
            <w:r w:rsidRPr="00D4414E">
              <w:rPr>
                <w:sz w:val="16"/>
                <w:szCs w:val="16"/>
              </w:rPr>
              <w:t>Ngarchelong has been working with Kayangel on a Northern Reefs Plan.</w:t>
            </w:r>
          </w:p>
          <w:p w14:paraId="5F4A17B5" w14:textId="77777777" w:rsidR="00D4414E" w:rsidRPr="00D4414E" w:rsidRDefault="00D4414E" w:rsidP="00D4414E">
            <w:pPr>
              <w:spacing w:after="180"/>
              <w:jc w:val="left"/>
              <w:rPr>
                <w:sz w:val="16"/>
                <w:szCs w:val="16"/>
              </w:rPr>
            </w:pPr>
            <w:r w:rsidRPr="00D4414E">
              <w:rPr>
                <w:sz w:val="16"/>
                <w:szCs w:val="16"/>
              </w:rPr>
              <w:t>It has not incorporated land yet.</w:t>
            </w:r>
          </w:p>
        </w:tc>
        <w:tc>
          <w:tcPr>
            <w:tcW w:w="1170" w:type="dxa"/>
            <w:shd w:val="clear" w:color="auto" w:fill="auto"/>
          </w:tcPr>
          <w:p w14:paraId="387C64A1" w14:textId="77777777" w:rsidR="00D4414E" w:rsidRPr="00D4414E" w:rsidRDefault="00D4414E" w:rsidP="00D4414E">
            <w:pPr>
              <w:spacing w:after="180"/>
              <w:jc w:val="left"/>
              <w:rPr>
                <w:sz w:val="16"/>
                <w:szCs w:val="16"/>
              </w:rPr>
            </w:pPr>
            <w:r w:rsidRPr="00D4414E">
              <w:rPr>
                <w:sz w:val="16"/>
                <w:szCs w:val="16"/>
              </w:rPr>
              <w:t xml:space="preserve">Yes, the Chiefs are the ones who wrote the planning law. </w:t>
            </w:r>
          </w:p>
          <w:p w14:paraId="172D4138" w14:textId="053F3416" w:rsidR="00D4414E" w:rsidRPr="00D4414E" w:rsidRDefault="00D4414E" w:rsidP="00D4414E">
            <w:pPr>
              <w:spacing w:after="180"/>
              <w:jc w:val="left"/>
              <w:rPr>
                <w:sz w:val="16"/>
                <w:szCs w:val="16"/>
              </w:rPr>
            </w:pPr>
            <w:r w:rsidRPr="00D4414E">
              <w:rPr>
                <w:sz w:val="16"/>
                <w:szCs w:val="16"/>
              </w:rPr>
              <w:t>There is a capacity gap, need capacity to facilitate with other landowners and business owners.</w:t>
            </w:r>
          </w:p>
        </w:tc>
        <w:tc>
          <w:tcPr>
            <w:tcW w:w="1105" w:type="dxa"/>
            <w:gridSpan w:val="2"/>
          </w:tcPr>
          <w:p w14:paraId="3E2BB4D2" w14:textId="77777777" w:rsidR="00D4414E" w:rsidRPr="00D4414E" w:rsidRDefault="00D4414E" w:rsidP="00D4414E">
            <w:pPr>
              <w:spacing w:after="180"/>
              <w:jc w:val="left"/>
              <w:rPr>
                <w:sz w:val="16"/>
                <w:szCs w:val="16"/>
              </w:rPr>
            </w:pPr>
            <w:r w:rsidRPr="00D4414E">
              <w:rPr>
                <w:sz w:val="16"/>
                <w:szCs w:val="16"/>
              </w:rPr>
              <w:t>After mapping, Landscape Planning that links to NMMA Plan using the existing legislation.</w:t>
            </w:r>
          </w:p>
        </w:tc>
        <w:tc>
          <w:tcPr>
            <w:tcW w:w="1390" w:type="dxa"/>
          </w:tcPr>
          <w:p w14:paraId="2DC4ADF6" w14:textId="77777777" w:rsidR="00D4414E" w:rsidRPr="00D4414E" w:rsidRDefault="00D4414E" w:rsidP="00D4414E">
            <w:pPr>
              <w:spacing w:after="180"/>
              <w:jc w:val="left"/>
              <w:rPr>
                <w:sz w:val="16"/>
                <w:szCs w:val="16"/>
              </w:rPr>
            </w:pPr>
            <w:r w:rsidRPr="00D4414E">
              <w:rPr>
                <w:sz w:val="16"/>
                <w:szCs w:val="16"/>
              </w:rPr>
              <w:t>1. Sustainable Tourism</w:t>
            </w:r>
          </w:p>
          <w:p w14:paraId="6D528FC1" w14:textId="77777777" w:rsidR="00D4414E" w:rsidRPr="00D4414E" w:rsidRDefault="00D4414E" w:rsidP="00D4414E">
            <w:pPr>
              <w:spacing w:after="180"/>
              <w:jc w:val="left"/>
              <w:rPr>
                <w:sz w:val="16"/>
                <w:szCs w:val="16"/>
              </w:rPr>
            </w:pPr>
            <w:r w:rsidRPr="00D4414E">
              <w:rPr>
                <w:sz w:val="16"/>
                <w:szCs w:val="16"/>
              </w:rPr>
              <w:t>2. Fisheries</w:t>
            </w:r>
          </w:p>
        </w:tc>
      </w:tr>
      <w:tr w:rsidR="00D4414E" w:rsidRPr="00D4414E" w14:paraId="1308F811" w14:textId="77777777" w:rsidTr="00827CBE">
        <w:tc>
          <w:tcPr>
            <w:tcW w:w="1170" w:type="dxa"/>
            <w:shd w:val="clear" w:color="auto" w:fill="auto"/>
          </w:tcPr>
          <w:p w14:paraId="2B036C25" w14:textId="77777777" w:rsidR="00D4414E" w:rsidRPr="00D4414E" w:rsidRDefault="00D4414E" w:rsidP="00D4414E">
            <w:pPr>
              <w:spacing w:after="180"/>
              <w:jc w:val="left"/>
              <w:rPr>
                <w:sz w:val="16"/>
                <w:szCs w:val="16"/>
              </w:rPr>
            </w:pPr>
            <w:r w:rsidRPr="00D4414E">
              <w:rPr>
                <w:sz w:val="16"/>
                <w:szCs w:val="16"/>
              </w:rPr>
              <w:t>Ngaraard</w:t>
            </w:r>
          </w:p>
        </w:tc>
        <w:tc>
          <w:tcPr>
            <w:tcW w:w="1418" w:type="dxa"/>
            <w:shd w:val="clear" w:color="auto" w:fill="auto"/>
          </w:tcPr>
          <w:p w14:paraId="3D58936B" w14:textId="77777777" w:rsidR="00D4414E" w:rsidRPr="00D4414E" w:rsidRDefault="00D4414E" w:rsidP="00D4414E">
            <w:pPr>
              <w:spacing w:after="180"/>
              <w:jc w:val="left"/>
              <w:rPr>
                <w:sz w:val="16"/>
                <w:szCs w:val="16"/>
              </w:rPr>
            </w:pPr>
            <w:r w:rsidRPr="00D4414E">
              <w:rPr>
                <w:sz w:val="16"/>
                <w:szCs w:val="16"/>
              </w:rPr>
              <w:t>15-year old expired plan, not being used</w:t>
            </w:r>
          </w:p>
        </w:tc>
        <w:tc>
          <w:tcPr>
            <w:tcW w:w="1372" w:type="dxa"/>
          </w:tcPr>
          <w:p w14:paraId="0A1C50C2" w14:textId="77777777" w:rsidR="00D4414E" w:rsidRPr="00D4414E" w:rsidRDefault="00D4414E" w:rsidP="00D4414E">
            <w:pPr>
              <w:spacing w:after="180"/>
              <w:jc w:val="left"/>
              <w:rPr>
                <w:sz w:val="16"/>
                <w:szCs w:val="16"/>
              </w:rPr>
            </w:pPr>
            <w:r w:rsidRPr="00D4414E">
              <w:rPr>
                <w:sz w:val="16"/>
                <w:szCs w:val="16"/>
              </w:rPr>
              <w:t>Emergency response and PAN Plans are in place, but have not yet been taken to stakeholders.</w:t>
            </w:r>
          </w:p>
          <w:p w14:paraId="7B52D0A1" w14:textId="77777777" w:rsidR="00D4414E" w:rsidRPr="00D4414E" w:rsidRDefault="00D4414E" w:rsidP="00D4414E">
            <w:pPr>
              <w:spacing w:after="180"/>
              <w:jc w:val="left"/>
              <w:rPr>
                <w:sz w:val="16"/>
                <w:szCs w:val="16"/>
              </w:rPr>
            </w:pPr>
            <w:r w:rsidRPr="00D4414E">
              <w:rPr>
                <w:sz w:val="16"/>
                <w:szCs w:val="16"/>
              </w:rPr>
              <w:t>There are some Best Practices in laws (e.g. stream buffers) but not fully effective. Not actively engaging in Best Practices.</w:t>
            </w:r>
          </w:p>
          <w:p w14:paraId="331AAC7F" w14:textId="77777777" w:rsidR="00D4414E" w:rsidRPr="00D4414E" w:rsidRDefault="00D4414E" w:rsidP="00D4414E">
            <w:pPr>
              <w:spacing w:after="180"/>
              <w:jc w:val="left"/>
              <w:rPr>
                <w:sz w:val="16"/>
                <w:szCs w:val="16"/>
              </w:rPr>
            </w:pPr>
            <w:r w:rsidRPr="00D4414E">
              <w:rPr>
                <w:sz w:val="16"/>
                <w:szCs w:val="16"/>
              </w:rPr>
              <w:t>Road paving to reduce sedimentation.</w:t>
            </w:r>
          </w:p>
        </w:tc>
        <w:tc>
          <w:tcPr>
            <w:tcW w:w="1260" w:type="dxa"/>
            <w:shd w:val="clear" w:color="auto" w:fill="auto"/>
          </w:tcPr>
          <w:p w14:paraId="21584F4B" w14:textId="77777777" w:rsidR="00D4414E" w:rsidRPr="00D4414E" w:rsidRDefault="00D4414E" w:rsidP="00D4414E">
            <w:pPr>
              <w:spacing w:after="180"/>
              <w:jc w:val="left"/>
              <w:rPr>
                <w:sz w:val="16"/>
                <w:szCs w:val="16"/>
              </w:rPr>
            </w:pPr>
            <w:r w:rsidRPr="00D4414E">
              <w:rPr>
                <w:sz w:val="16"/>
                <w:szCs w:val="16"/>
              </w:rPr>
              <w:t xml:space="preserve">The Kerradel Conservation Network planning team, Boundary Commission, and PLA are all active. </w:t>
            </w:r>
          </w:p>
          <w:p w14:paraId="53E6AAD7" w14:textId="77777777" w:rsidR="00D4414E" w:rsidRPr="00D4414E" w:rsidRDefault="00D4414E" w:rsidP="00D4414E">
            <w:pPr>
              <w:spacing w:after="180"/>
              <w:jc w:val="left"/>
              <w:rPr>
                <w:sz w:val="16"/>
                <w:szCs w:val="16"/>
              </w:rPr>
            </w:pPr>
            <w:r w:rsidRPr="00D4414E">
              <w:rPr>
                <w:sz w:val="16"/>
                <w:szCs w:val="16"/>
              </w:rPr>
              <w:t>The PLA only gives leases, it does not actively plan land uses.</w:t>
            </w:r>
          </w:p>
        </w:tc>
        <w:tc>
          <w:tcPr>
            <w:tcW w:w="1260" w:type="dxa"/>
            <w:shd w:val="clear" w:color="auto" w:fill="auto"/>
          </w:tcPr>
          <w:p w14:paraId="5334D598" w14:textId="77777777" w:rsidR="00D4414E" w:rsidRPr="00D4414E" w:rsidRDefault="00D4414E" w:rsidP="00D4414E">
            <w:pPr>
              <w:spacing w:after="180"/>
              <w:jc w:val="left"/>
              <w:rPr>
                <w:sz w:val="16"/>
                <w:szCs w:val="16"/>
              </w:rPr>
            </w:pPr>
            <w:r w:rsidRPr="00D4414E">
              <w:rPr>
                <w:sz w:val="16"/>
                <w:szCs w:val="16"/>
              </w:rPr>
              <w:t>The PAN Management Plan has expired and is under revision.</w:t>
            </w:r>
          </w:p>
          <w:p w14:paraId="2CF2F9BE" w14:textId="77777777" w:rsidR="00D4414E" w:rsidRPr="00D4414E" w:rsidRDefault="00D4414E" w:rsidP="00D4414E">
            <w:pPr>
              <w:spacing w:after="180"/>
              <w:jc w:val="left"/>
              <w:rPr>
                <w:sz w:val="16"/>
                <w:szCs w:val="16"/>
              </w:rPr>
            </w:pPr>
            <w:r w:rsidRPr="00D4414E">
              <w:rPr>
                <w:sz w:val="16"/>
                <w:szCs w:val="16"/>
              </w:rPr>
              <w:t>The PAN Plan considered land to sea links.</w:t>
            </w:r>
          </w:p>
          <w:p w14:paraId="0063B97B" w14:textId="77777777" w:rsidR="00D4414E" w:rsidRPr="00D4414E" w:rsidRDefault="00D4414E" w:rsidP="00D4414E">
            <w:pPr>
              <w:spacing w:after="180"/>
              <w:jc w:val="left"/>
              <w:rPr>
                <w:sz w:val="16"/>
                <w:szCs w:val="16"/>
              </w:rPr>
            </w:pPr>
            <w:r w:rsidRPr="00D4414E">
              <w:rPr>
                <w:sz w:val="16"/>
                <w:szCs w:val="16"/>
              </w:rPr>
              <w:t>It does not cover cross-state boundaries.</w:t>
            </w:r>
          </w:p>
        </w:tc>
        <w:tc>
          <w:tcPr>
            <w:tcW w:w="1170" w:type="dxa"/>
            <w:shd w:val="clear" w:color="auto" w:fill="auto"/>
          </w:tcPr>
          <w:p w14:paraId="0CCF53CA" w14:textId="77777777" w:rsidR="00D4414E" w:rsidRPr="00D4414E" w:rsidRDefault="00D4414E" w:rsidP="00D4414E">
            <w:pPr>
              <w:spacing w:after="180"/>
              <w:jc w:val="left"/>
              <w:rPr>
                <w:sz w:val="16"/>
                <w:szCs w:val="16"/>
              </w:rPr>
            </w:pPr>
            <w:r w:rsidRPr="00D4414E">
              <w:rPr>
                <w:sz w:val="16"/>
                <w:szCs w:val="16"/>
              </w:rPr>
              <w:t>There is some support from leadership. They proposed a resolution and are talking about Master Planning.</w:t>
            </w:r>
          </w:p>
        </w:tc>
        <w:tc>
          <w:tcPr>
            <w:tcW w:w="1105" w:type="dxa"/>
            <w:gridSpan w:val="2"/>
          </w:tcPr>
          <w:p w14:paraId="08CE3764" w14:textId="77777777" w:rsidR="00D4414E" w:rsidRPr="00D4414E" w:rsidRDefault="00D4414E" w:rsidP="00D4414E">
            <w:pPr>
              <w:spacing w:after="180"/>
              <w:jc w:val="left"/>
              <w:rPr>
                <w:sz w:val="16"/>
                <w:szCs w:val="16"/>
              </w:rPr>
            </w:pPr>
            <w:r w:rsidRPr="00D4414E">
              <w:rPr>
                <w:sz w:val="16"/>
                <w:szCs w:val="16"/>
              </w:rPr>
              <w:t>Outreach on the importance of a Master Plan, followed by preliminary steps to set up and empower Planning Teams (helping draft legislation, select stakeholders, visioning).</w:t>
            </w:r>
          </w:p>
        </w:tc>
        <w:tc>
          <w:tcPr>
            <w:tcW w:w="1390" w:type="dxa"/>
          </w:tcPr>
          <w:p w14:paraId="6A2FB25C" w14:textId="77777777" w:rsidR="00D4414E" w:rsidRPr="00D4414E" w:rsidRDefault="00D4414E" w:rsidP="00D4414E">
            <w:pPr>
              <w:spacing w:after="180"/>
              <w:jc w:val="left"/>
              <w:rPr>
                <w:sz w:val="16"/>
                <w:szCs w:val="16"/>
              </w:rPr>
            </w:pPr>
            <w:r w:rsidRPr="00D4414E">
              <w:rPr>
                <w:sz w:val="16"/>
                <w:szCs w:val="16"/>
              </w:rPr>
              <w:t>1. Sustainable Tourism</w:t>
            </w:r>
          </w:p>
          <w:p w14:paraId="42DA6976" w14:textId="77777777" w:rsidR="00D4414E" w:rsidRPr="00D4414E" w:rsidRDefault="00D4414E" w:rsidP="00D4414E">
            <w:pPr>
              <w:spacing w:after="180"/>
              <w:jc w:val="left"/>
              <w:rPr>
                <w:sz w:val="16"/>
                <w:szCs w:val="16"/>
              </w:rPr>
            </w:pPr>
            <w:r w:rsidRPr="00D4414E">
              <w:rPr>
                <w:sz w:val="16"/>
                <w:szCs w:val="16"/>
              </w:rPr>
              <w:t>2. Forestry</w:t>
            </w:r>
          </w:p>
          <w:p w14:paraId="500CB858" w14:textId="77777777" w:rsidR="00D4414E" w:rsidRPr="00D4414E" w:rsidRDefault="00D4414E" w:rsidP="00D4414E">
            <w:pPr>
              <w:spacing w:after="180"/>
              <w:jc w:val="left"/>
              <w:rPr>
                <w:sz w:val="16"/>
                <w:szCs w:val="16"/>
              </w:rPr>
            </w:pPr>
            <w:r w:rsidRPr="00D4414E">
              <w:rPr>
                <w:sz w:val="16"/>
                <w:szCs w:val="16"/>
              </w:rPr>
              <w:t>3. Agriculture (taro)</w:t>
            </w:r>
          </w:p>
        </w:tc>
      </w:tr>
      <w:tr w:rsidR="00D4414E" w:rsidRPr="00D4414E" w14:paraId="7A133BD0" w14:textId="77777777" w:rsidTr="00827CBE">
        <w:tc>
          <w:tcPr>
            <w:tcW w:w="1170" w:type="dxa"/>
            <w:shd w:val="clear" w:color="auto" w:fill="auto"/>
          </w:tcPr>
          <w:p w14:paraId="5A214D76" w14:textId="77777777" w:rsidR="00D4414E" w:rsidRPr="00D4414E" w:rsidRDefault="00D4414E" w:rsidP="00D4414E">
            <w:pPr>
              <w:spacing w:after="180"/>
              <w:jc w:val="left"/>
              <w:rPr>
                <w:sz w:val="16"/>
                <w:szCs w:val="16"/>
              </w:rPr>
            </w:pPr>
            <w:r w:rsidRPr="00D4414E">
              <w:rPr>
                <w:sz w:val="16"/>
                <w:szCs w:val="16"/>
              </w:rPr>
              <w:t>Ngardmau</w:t>
            </w:r>
          </w:p>
        </w:tc>
        <w:tc>
          <w:tcPr>
            <w:tcW w:w="1418" w:type="dxa"/>
            <w:shd w:val="clear" w:color="auto" w:fill="auto"/>
          </w:tcPr>
          <w:p w14:paraId="4AA584EE" w14:textId="77777777" w:rsidR="00D4414E" w:rsidRPr="00D4414E" w:rsidRDefault="00D4414E" w:rsidP="00D4414E">
            <w:pPr>
              <w:spacing w:after="180"/>
              <w:jc w:val="left"/>
              <w:rPr>
                <w:sz w:val="16"/>
                <w:szCs w:val="16"/>
              </w:rPr>
            </w:pPr>
            <w:r w:rsidRPr="00D4414E">
              <w:rPr>
                <w:sz w:val="16"/>
                <w:szCs w:val="16"/>
              </w:rPr>
              <w:t>New 2016 Master Plan has been drafted but has not yet been approved (political blockage)</w:t>
            </w:r>
          </w:p>
        </w:tc>
        <w:tc>
          <w:tcPr>
            <w:tcW w:w="1372" w:type="dxa"/>
          </w:tcPr>
          <w:p w14:paraId="4AE968DD" w14:textId="77777777" w:rsidR="00D4414E" w:rsidRPr="00D4414E" w:rsidRDefault="00D4414E" w:rsidP="00D4414E">
            <w:pPr>
              <w:spacing w:after="180"/>
              <w:jc w:val="left"/>
              <w:rPr>
                <w:sz w:val="16"/>
                <w:szCs w:val="16"/>
              </w:rPr>
            </w:pPr>
            <w:r w:rsidRPr="00D4414E">
              <w:rPr>
                <w:sz w:val="16"/>
                <w:szCs w:val="16"/>
              </w:rPr>
              <w:t>Land Use Planning is actively underway. They are currently defining marine and land uses. Still need to do a consultation process.</w:t>
            </w:r>
          </w:p>
        </w:tc>
        <w:tc>
          <w:tcPr>
            <w:tcW w:w="1260" w:type="dxa"/>
            <w:shd w:val="clear" w:color="auto" w:fill="auto"/>
          </w:tcPr>
          <w:p w14:paraId="7768CE48" w14:textId="77777777" w:rsidR="00D4414E" w:rsidRPr="00D4414E" w:rsidRDefault="00D4414E" w:rsidP="00D4414E">
            <w:pPr>
              <w:spacing w:after="180"/>
              <w:jc w:val="left"/>
              <w:rPr>
                <w:sz w:val="16"/>
                <w:szCs w:val="16"/>
              </w:rPr>
            </w:pPr>
            <w:r w:rsidRPr="00D4414E">
              <w:rPr>
                <w:sz w:val="16"/>
                <w:szCs w:val="16"/>
              </w:rPr>
              <w:t>The Planning Commission is active and empowered with 1 paid staff. The legislature needs some capacity building.</w:t>
            </w:r>
          </w:p>
          <w:p w14:paraId="0ABEA4DC" w14:textId="77777777" w:rsidR="00D4414E" w:rsidRPr="00D4414E" w:rsidRDefault="00D4414E" w:rsidP="00D4414E">
            <w:pPr>
              <w:spacing w:after="180"/>
              <w:jc w:val="left"/>
              <w:rPr>
                <w:sz w:val="16"/>
                <w:szCs w:val="16"/>
              </w:rPr>
            </w:pPr>
            <w:r w:rsidRPr="00D4414E">
              <w:rPr>
                <w:sz w:val="16"/>
                <w:szCs w:val="16"/>
              </w:rPr>
              <w:lastRenderedPageBreak/>
              <w:t>There is also a separate OSCA (PAN Site) Planning Team.</w:t>
            </w:r>
          </w:p>
        </w:tc>
        <w:tc>
          <w:tcPr>
            <w:tcW w:w="1260" w:type="dxa"/>
            <w:shd w:val="clear" w:color="auto" w:fill="auto"/>
          </w:tcPr>
          <w:p w14:paraId="4EC73369" w14:textId="77777777" w:rsidR="00D4414E" w:rsidRPr="00D4414E" w:rsidRDefault="00D4414E" w:rsidP="00D4414E">
            <w:pPr>
              <w:spacing w:after="180"/>
              <w:jc w:val="left"/>
              <w:rPr>
                <w:sz w:val="16"/>
                <w:szCs w:val="16"/>
              </w:rPr>
            </w:pPr>
            <w:r w:rsidRPr="00D4414E">
              <w:rPr>
                <w:sz w:val="16"/>
                <w:szCs w:val="16"/>
              </w:rPr>
              <w:lastRenderedPageBreak/>
              <w:t>The Plan is active and up to date. Oversight is by the OSCA Board and the State’s Department of Environment implements.</w:t>
            </w:r>
          </w:p>
          <w:p w14:paraId="4B0C126B" w14:textId="77777777" w:rsidR="00D4414E" w:rsidRPr="00D4414E" w:rsidRDefault="00D4414E" w:rsidP="00D4414E">
            <w:pPr>
              <w:spacing w:after="180"/>
              <w:jc w:val="left"/>
              <w:rPr>
                <w:sz w:val="16"/>
                <w:szCs w:val="16"/>
              </w:rPr>
            </w:pPr>
            <w:r w:rsidRPr="00D4414E">
              <w:rPr>
                <w:sz w:val="16"/>
                <w:szCs w:val="16"/>
              </w:rPr>
              <w:t xml:space="preserve">Current land </w:t>
            </w:r>
            <w:r w:rsidRPr="00D4414E">
              <w:rPr>
                <w:sz w:val="16"/>
                <w:szCs w:val="16"/>
              </w:rPr>
              <w:lastRenderedPageBreak/>
              <w:t>use planning efforts link PAN sites to the rest of the island.</w:t>
            </w:r>
          </w:p>
          <w:p w14:paraId="292B7375" w14:textId="77777777" w:rsidR="00D4414E" w:rsidRPr="00D4414E" w:rsidRDefault="00D4414E" w:rsidP="00D4414E">
            <w:pPr>
              <w:spacing w:after="180"/>
              <w:jc w:val="left"/>
              <w:rPr>
                <w:sz w:val="16"/>
                <w:szCs w:val="16"/>
              </w:rPr>
            </w:pPr>
            <w:r w:rsidRPr="00D4414E">
              <w:rPr>
                <w:sz w:val="16"/>
                <w:szCs w:val="16"/>
              </w:rPr>
              <w:t>There is no active collaboration with other states.</w:t>
            </w:r>
          </w:p>
        </w:tc>
        <w:tc>
          <w:tcPr>
            <w:tcW w:w="1170" w:type="dxa"/>
            <w:shd w:val="clear" w:color="auto" w:fill="auto"/>
          </w:tcPr>
          <w:p w14:paraId="02F90827" w14:textId="77777777" w:rsidR="00D4414E" w:rsidRPr="00D4414E" w:rsidRDefault="00D4414E" w:rsidP="00D4414E">
            <w:pPr>
              <w:spacing w:after="180"/>
              <w:jc w:val="left"/>
              <w:rPr>
                <w:sz w:val="16"/>
                <w:szCs w:val="16"/>
              </w:rPr>
            </w:pPr>
            <w:r w:rsidRPr="00D4414E">
              <w:rPr>
                <w:sz w:val="16"/>
                <w:szCs w:val="16"/>
              </w:rPr>
              <w:lastRenderedPageBreak/>
              <w:t xml:space="preserve">There is strong support with some concerns about maintaining support and convincing a minority about the long </w:t>
            </w:r>
            <w:r w:rsidRPr="00D4414E">
              <w:rPr>
                <w:sz w:val="16"/>
                <w:szCs w:val="16"/>
              </w:rPr>
              <w:lastRenderedPageBreak/>
              <w:t>term benefits of Planning.</w:t>
            </w:r>
          </w:p>
        </w:tc>
        <w:tc>
          <w:tcPr>
            <w:tcW w:w="1105" w:type="dxa"/>
            <w:gridSpan w:val="2"/>
          </w:tcPr>
          <w:p w14:paraId="26BA7FEF" w14:textId="77777777" w:rsidR="00D4414E" w:rsidRPr="00D4414E" w:rsidRDefault="00D4414E" w:rsidP="00D4414E">
            <w:pPr>
              <w:spacing w:after="180"/>
              <w:jc w:val="left"/>
              <w:rPr>
                <w:sz w:val="16"/>
                <w:szCs w:val="16"/>
              </w:rPr>
            </w:pPr>
            <w:r w:rsidRPr="00D4414E">
              <w:rPr>
                <w:sz w:val="16"/>
                <w:szCs w:val="16"/>
              </w:rPr>
              <w:lastRenderedPageBreak/>
              <w:t xml:space="preserve">Outreach on the importance of a Master Plan </w:t>
            </w:r>
          </w:p>
          <w:p w14:paraId="5BCABD68" w14:textId="77777777" w:rsidR="00D4414E" w:rsidRPr="00D4414E" w:rsidRDefault="00D4414E" w:rsidP="00D4414E">
            <w:pPr>
              <w:spacing w:after="180"/>
              <w:jc w:val="left"/>
              <w:rPr>
                <w:sz w:val="16"/>
                <w:szCs w:val="16"/>
              </w:rPr>
            </w:pPr>
            <w:r w:rsidRPr="00D4414E">
              <w:rPr>
                <w:sz w:val="16"/>
                <w:szCs w:val="16"/>
              </w:rPr>
              <w:t xml:space="preserve">Assist with zoning, uses in zones, zoning codes and </w:t>
            </w:r>
            <w:r w:rsidRPr="00D4414E">
              <w:rPr>
                <w:sz w:val="16"/>
                <w:szCs w:val="16"/>
              </w:rPr>
              <w:lastRenderedPageBreak/>
              <w:t>regulations, figuring out boundaries for zones, and impacts on land values. Establishing an M&amp;E Plan.</w:t>
            </w:r>
          </w:p>
        </w:tc>
        <w:tc>
          <w:tcPr>
            <w:tcW w:w="1390" w:type="dxa"/>
          </w:tcPr>
          <w:p w14:paraId="0BD11780" w14:textId="77777777" w:rsidR="00D4414E" w:rsidRPr="00D4414E" w:rsidRDefault="00D4414E" w:rsidP="00D4414E">
            <w:pPr>
              <w:spacing w:after="180"/>
              <w:jc w:val="left"/>
              <w:rPr>
                <w:sz w:val="16"/>
                <w:szCs w:val="16"/>
              </w:rPr>
            </w:pPr>
            <w:r w:rsidRPr="00D4414E">
              <w:rPr>
                <w:sz w:val="16"/>
                <w:szCs w:val="16"/>
              </w:rPr>
              <w:lastRenderedPageBreak/>
              <w:t>1. Sustainable Tourism</w:t>
            </w:r>
          </w:p>
          <w:p w14:paraId="6F7F3F5F" w14:textId="77777777" w:rsidR="00D4414E" w:rsidRPr="00D4414E" w:rsidRDefault="00D4414E" w:rsidP="00D4414E">
            <w:pPr>
              <w:spacing w:after="180"/>
              <w:jc w:val="left"/>
              <w:rPr>
                <w:sz w:val="16"/>
                <w:szCs w:val="16"/>
              </w:rPr>
            </w:pPr>
            <w:r w:rsidRPr="00D4414E">
              <w:rPr>
                <w:sz w:val="16"/>
                <w:szCs w:val="16"/>
              </w:rPr>
              <w:t>2. Agriculture</w:t>
            </w:r>
          </w:p>
          <w:p w14:paraId="7FAF105A" w14:textId="77777777" w:rsidR="00D4414E" w:rsidRPr="00D4414E" w:rsidRDefault="00D4414E" w:rsidP="00D4414E">
            <w:pPr>
              <w:spacing w:after="180"/>
              <w:jc w:val="left"/>
              <w:rPr>
                <w:sz w:val="16"/>
                <w:szCs w:val="16"/>
              </w:rPr>
            </w:pPr>
            <w:r w:rsidRPr="00D4414E">
              <w:rPr>
                <w:sz w:val="16"/>
                <w:szCs w:val="16"/>
              </w:rPr>
              <w:t>3. Fisheries</w:t>
            </w:r>
          </w:p>
        </w:tc>
      </w:tr>
      <w:tr w:rsidR="00D4414E" w:rsidRPr="00D4414E" w14:paraId="154D52A4" w14:textId="77777777" w:rsidTr="00827CBE">
        <w:tc>
          <w:tcPr>
            <w:tcW w:w="1170" w:type="dxa"/>
            <w:shd w:val="clear" w:color="auto" w:fill="auto"/>
          </w:tcPr>
          <w:p w14:paraId="4EEA82CA" w14:textId="77777777" w:rsidR="00D4414E" w:rsidRPr="00D4414E" w:rsidRDefault="00D4414E" w:rsidP="00D4414E">
            <w:pPr>
              <w:spacing w:after="180"/>
              <w:jc w:val="left"/>
              <w:rPr>
                <w:sz w:val="16"/>
                <w:szCs w:val="16"/>
              </w:rPr>
            </w:pPr>
            <w:r w:rsidRPr="00D4414E">
              <w:rPr>
                <w:sz w:val="16"/>
                <w:szCs w:val="16"/>
              </w:rPr>
              <w:t>Ngeremlengui</w:t>
            </w:r>
          </w:p>
        </w:tc>
        <w:tc>
          <w:tcPr>
            <w:tcW w:w="1418" w:type="dxa"/>
            <w:shd w:val="clear" w:color="auto" w:fill="auto"/>
          </w:tcPr>
          <w:p w14:paraId="15A84C56" w14:textId="77777777" w:rsidR="00D4414E" w:rsidRPr="00D4414E" w:rsidRDefault="00D4414E" w:rsidP="00D4414E">
            <w:pPr>
              <w:spacing w:after="180"/>
              <w:jc w:val="left"/>
              <w:rPr>
                <w:sz w:val="16"/>
                <w:szCs w:val="16"/>
              </w:rPr>
            </w:pPr>
            <w:r w:rsidRPr="00D4414E">
              <w:rPr>
                <w:sz w:val="16"/>
                <w:szCs w:val="16"/>
              </w:rPr>
              <w:t>None</w:t>
            </w:r>
          </w:p>
        </w:tc>
        <w:tc>
          <w:tcPr>
            <w:tcW w:w="1372" w:type="dxa"/>
          </w:tcPr>
          <w:p w14:paraId="7485479F" w14:textId="77777777" w:rsidR="00D4414E" w:rsidRPr="00D4414E" w:rsidRDefault="00D4414E" w:rsidP="00D4414E">
            <w:pPr>
              <w:spacing w:after="180"/>
              <w:jc w:val="left"/>
              <w:rPr>
                <w:sz w:val="16"/>
                <w:szCs w:val="16"/>
              </w:rPr>
            </w:pPr>
            <w:r w:rsidRPr="00D4414E">
              <w:rPr>
                <w:sz w:val="16"/>
                <w:szCs w:val="16"/>
              </w:rPr>
              <w:t xml:space="preserve">There is a PAN Site and non-PAN marine and terrestrial conservation areas. </w:t>
            </w:r>
          </w:p>
          <w:p w14:paraId="38198A6F" w14:textId="77777777" w:rsidR="00D4414E" w:rsidRPr="00D4414E" w:rsidRDefault="00D4414E" w:rsidP="00D4414E">
            <w:pPr>
              <w:spacing w:after="180"/>
              <w:jc w:val="left"/>
              <w:rPr>
                <w:sz w:val="16"/>
                <w:szCs w:val="16"/>
              </w:rPr>
            </w:pPr>
            <w:r w:rsidRPr="00D4414E">
              <w:rPr>
                <w:sz w:val="16"/>
                <w:szCs w:val="16"/>
              </w:rPr>
              <w:t>Roads are being paved to reduce sedimentation.</w:t>
            </w:r>
          </w:p>
        </w:tc>
        <w:tc>
          <w:tcPr>
            <w:tcW w:w="1260" w:type="dxa"/>
            <w:shd w:val="clear" w:color="auto" w:fill="auto"/>
          </w:tcPr>
          <w:p w14:paraId="46E09EEA" w14:textId="77777777" w:rsidR="00D4414E" w:rsidRPr="00D4414E" w:rsidRDefault="00D4414E" w:rsidP="00D4414E">
            <w:pPr>
              <w:spacing w:after="180"/>
              <w:jc w:val="left"/>
              <w:rPr>
                <w:sz w:val="16"/>
                <w:szCs w:val="16"/>
              </w:rPr>
            </w:pPr>
            <w:r w:rsidRPr="00D4414E">
              <w:rPr>
                <w:sz w:val="16"/>
                <w:szCs w:val="16"/>
              </w:rPr>
              <w:t>None</w:t>
            </w:r>
          </w:p>
        </w:tc>
        <w:tc>
          <w:tcPr>
            <w:tcW w:w="1260" w:type="dxa"/>
            <w:shd w:val="clear" w:color="auto" w:fill="auto"/>
          </w:tcPr>
          <w:p w14:paraId="323D41A3" w14:textId="77777777" w:rsidR="00D4414E" w:rsidRPr="00D4414E" w:rsidRDefault="00D4414E" w:rsidP="00D4414E">
            <w:pPr>
              <w:spacing w:after="180"/>
              <w:jc w:val="left"/>
              <w:rPr>
                <w:sz w:val="16"/>
                <w:szCs w:val="16"/>
              </w:rPr>
            </w:pPr>
            <w:r w:rsidRPr="00D4414E">
              <w:rPr>
                <w:sz w:val="16"/>
                <w:szCs w:val="16"/>
              </w:rPr>
              <w:t>It is active and in its last year. Management revisions are underway (by staff).</w:t>
            </w:r>
          </w:p>
          <w:p w14:paraId="730BE0C1" w14:textId="77777777" w:rsidR="00D4414E" w:rsidRPr="00D4414E" w:rsidRDefault="00D4414E" w:rsidP="00D4414E">
            <w:pPr>
              <w:spacing w:after="180"/>
              <w:jc w:val="left"/>
              <w:rPr>
                <w:sz w:val="16"/>
                <w:szCs w:val="16"/>
              </w:rPr>
            </w:pPr>
            <w:r w:rsidRPr="00D4414E">
              <w:rPr>
                <w:sz w:val="16"/>
                <w:szCs w:val="16"/>
              </w:rPr>
              <w:t>Ngeremeskang Nature Reserve has had some cross-state connections.</w:t>
            </w:r>
          </w:p>
          <w:p w14:paraId="29BA4473" w14:textId="77777777" w:rsidR="00D4414E" w:rsidRPr="00D4414E" w:rsidRDefault="00D4414E" w:rsidP="00D4414E">
            <w:pPr>
              <w:spacing w:after="180"/>
              <w:jc w:val="left"/>
              <w:rPr>
                <w:sz w:val="16"/>
                <w:szCs w:val="16"/>
              </w:rPr>
            </w:pPr>
            <w:r w:rsidRPr="00D4414E">
              <w:rPr>
                <w:sz w:val="16"/>
                <w:szCs w:val="16"/>
              </w:rPr>
              <w:t xml:space="preserve">The State was part of the Ngeremeduu Bay Plan, which is inactive but with partnered with neighboring states and consider land-sea connections. </w:t>
            </w:r>
          </w:p>
        </w:tc>
        <w:tc>
          <w:tcPr>
            <w:tcW w:w="1170" w:type="dxa"/>
            <w:shd w:val="clear" w:color="auto" w:fill="auto"/>
          </w:tcPr>
          <w:p w14:paraId="69E0BED3" w14:textId="77777777" w:rsidR="00D4414E" w:rsidRPr="00D4414E" w:rsidRDefault="00D4414E" w:rsidP="00D4414E">
            <w:pPr>
              <w:spacing w:after="180"/>
              <w:jc w:val="left"/>
              <w:rPr>
                <w:sz w:val="16"/>
                <w:szCs w:val="16"/>
              </w:rPr>
            </w:pPr>
            <w:r w:rsidRPr="00D4414E">
              <w:rPr>
                <w:sz w:val="16"/>
                <w:szCs w:val="16"/>
              </w:rPr>
              <w:t xml:space="preserve">The Olbiil has proposed a Planning Commission Bill, but have not provided for funding of a Commission. </w:t>
            </w:r>
          </w:p>
          <w:p w14:paraId="6E0596B1" w14:textId="77777777" w:rsidR="00D4414E" w:rsidRPr="00D4414E" w:rsidRDefault="00D4414E" w:rsidP="00D4414E">
            <w:pPr>
              <w:spacing w:after="180"/>
              <w:jc w:val="left"/>
              <w:rPr>
                <w:sz w:val="16"/>
                <w:szCs w:val="16"/>
              </w:rPr>
            </w:pPr>
            <w:r w:rsidRPr="00D4414E">
              <w:rPr>
                <w:sz w:val="16"/>
                <w:szCs w:val="16"/>
              </w:rPr>
              <w:t>There is some willingness but political support is “hazy”</w:t>
            </w:r>
          </w:p>
        </w:tc>
        <w:tc>
          <w:tcPr>
            <w:tcW w:w="1080" w:type="dxa"/>
          </w:tcPr>
          <w:p w14:paraId="6772EFAC" w14:textId="77777777" w:rsidR="00D4414E" w:rsidRPr="00D4414E" w:rsidRDefault="00D4414E" w:rsidP="00D4414E">
            <w:pPr>
              <w:spacing w:after="180"/>
              <w:jc w:val="left"/>
              <w:rPr>
                <w:sz w:val="16"/>
                <w:szCs w:val="16"/>
              </w:rPr>
            </w:pPr>
            <w:r w:rsidRPr="00D4414E">
              <w:rPr>
                <w:sz w:val="16"/>
                <w:szCs w:val="16"/>
              </w:rPr>
              <w:t>Outreach on the importance of a Master Plan, followed by preliminary steps to set up and empower Planning Teams (helping draft legislation, select stakeholders, visioning).</w:t>
            </w:r>
          </w:p>
        </w:tc>
        <w:tc>
          <w:tcPr>
            <w:tcW w:w="1415" w:type="dxa"/>
            <w:gridSpan w:val="2"/>
          </w:tcPr>
          <w:p w14:paraId="3F617E90" w14:textId="77777777" w:rsidR="00D4414E" w:rsidRPr="00D4414E" w:rsidRDefault="00D4414E" w:rsidP="00D4414E">
            <w:pPr>
              <w:spacing w:after="180"/>
              <w:jc w:val="left"/>
              <w:rPr>
                <w:sz w:val="16"/>
                <w:szCs w:val="16"/>
              </w:rPr>
            </w:pPr>
            <w:r w:rsidRPr="00D4414E">
              <w:rPr>
                <w:sz w:val="16"/>
                <w:szCs w:val="16"/>
              </w:rPr>
              <w:t>1. Agriculture</w:t>
            </w:r>
          </w:p>
          <w:p w14:paraId="1A41356E" w14:textId="77777777" w:rsidR="00D4414E" w:rsidRPr="00D4414E" w:rsidRDefault="00D4414E" w:rsidP="00D4414E">
            <w:pPr>
              <w:spacing w:after="180"/>
              <w:jc w:val="left"/>
              <w:rPr>
                <w:sz w:val="16"/>
                <w:szCs w:val="16"/>
              </w:rPr>
            </w:pPr>
            <w:r w:rsidRPr="00D4414E">
              <w:rPr>
                <w:sz w:val="16"/>
                <w:szCs w:val="16"/>
              </w:rPr>
              <w:t>2. Sustainable Tourism</w:t>
            </w:r>
          </w:p>
          <w:p w14:paraId="52AB6BA4" w14:textId="77777777" w:rsidR="00D4414E" w:rsidRPr="00D4414E" w:rsidRDefault="00D4414E" w:rsidP="00D4414E">
            <w:pPr>
              <w:spacing w:after="180"/>
              <w:jc w:val="left"/>
              <w:rPr>
                <w:sz w:val="16"/>
                <w:szCs w:val="16"/>
              </w:rPr>
            </w:pPr>
            <w:r w:rsidRPr="00D4414E">
              <w:rPr>
                <w:sz w:val="16"/>
                <w:szCs w:val="16"/>
              </w:rPr>
              <w:t>3. Forestry</w:t>
            </w:r>
          </w:p>
        </w:tc>
      </w:tr>
      <w:tr w:rsidR="00D4414E" w:rsidRPr="00D4414E" w14:paraId="36525285" w14:textId="77777777" w:rsidTr="00D4414E">
        <w:tc>
          <w:tcPr>
            <w:tcW w:w="1170" w:type="dxa"/>
            <w:shd w:val="clear" w:color="auto" w:fill="auto"/>
          </w:tcPr>
          <w:p w14:paraId="52680BCF" w14:textId="77777777" w:rsidR="00D4414E" w:rsidRPr="00D4414E" w:rsidRDefault="00D4414E" w:rsidP="00D4414E">
            <w:pPr>
              <w:spacing w:after="180"/>
              <w:jc w:val="left"/>
              <w:rPr>
                <w:sz w:val="16"/>
                <w:szCs w:val="16"/>
              </w:rPr>
            </w:pPr>
            <w:r w:rsidRPr="00D4414E">
              <w:rPr>
                <w:sz w:val="16"/>
                <w:szCs w:val="16"/>
              </w:rPr>
              <w:t>Ngatpang</w:t>
            </w:r>
          </w:p>
        </w:tc>
        <w:tc>
          <w:tcPr>
            <w:tcW w:w="8975" w:type="dxa"/>
            <w:gridSpan w:val="8"/>
            <w:shd w:val="clear" w:color="auto" w:fill="auto"/>
          </w:tcPr>
          <w:p w14:paraId="7C99E0CF" w14:textId="77777777" w:rsidR="00D4414E" w:rsidRPr="00D4414E" w:rsidRDefault="00D4414E" w:rsidP="00D4414E">
            <w:pPr>
              <w:spacing w:after="180"/>
              <w:jc w:val="left"/>
              <w:rPr>
                <w:sz w:val="16"/>
                <w:szCs w:val="16"/>
              </w:rPr>
            </w:pPr>
            <w:r w:rsidRPr="00D4414E">
              <w:rPr>
                <w:sz w:val="16"/>
                <w:szCs w:val="16"/>
              </w:rPr>
              <w:t>The State will be part of mapping exercises, but has not indicated any interest in participating in the GEF6 project.</w:t>
            </w:r>
          </w:p>
        </w:tc>
      </w:tr>
      <w:tr w:rsidR="00D4414E" w:rsidRPr="00D4414E" w14:paraId="274A1E60" w14:textId="77777777" w:rsidTr="00827CBE">
        <w:tc>
          <w:tcPr>
            <w:tcW w:w="1170" w:type="dxa"/>
            <w:shd w:val="clear" w:color="auto" w:fill="auto"/>
          </w:tcPr>
          <w:p w14:paraId="0F3492C2" w14:textId="77777777" w:rsidR="00D4414E" w:rsidRPr="00D4414E" w:rsidRDefault="00D4414E" w:rsidP="00D4414E">
            <w:pPr>
              <w:spacing w:after="180"/>
              <w:jc w:val="left"/>
              <w:rPr>
                <w:sz w:val="16"/>
                <w:szCs w:val="16"/>
              </w:rPr>
            </w:pPr>
            <w:r w:rsidRPr="00D4414E">
              <w:rPr>
                <w:sz w:val="16"/>
                <w:szCs w:val="16"/>
              </w:rPr>
              <w:t>Aimeliik</w:t>
            </w:r>
          </w:p>
        </w:tc>
        <w:tc>
          <w:tcPr>
            <w:tcW w:w="1418" w:type="dxa"/>
            <w:shd w:val="clear" w:color="auto" w:fill="auto"/>
          </w:tcPr>
          <w:p w14:paraId="6EEED92A" w14:textId="77777777" w:rsidR="00D4414E" w:rsidRPr="00D4414E" w:rsidRDefault="00D4414E" w:rsidP="00D4414E">
            <w:pPr>
              <w:spacing w:after="180"/>
              <w:jc w:val="left"/>
              <w:rPr>
                <w:sz w:val="16"/>
                <w:szCs w:val="16"/>
              </w:rPr>
            </w:pPr>
            <w:r w:rsidRPr="00D4414E">
              <w:rPr>
                <w:sz w:val="16"/>
                <w:szCs w:val="16"/>
              </w:rPr>
              <w:t>An old master plan was drafted but never adopted. The legislature has been discussing the need for Master Planning for about 3 years.</w:t>
            </w:r>
          </w:p>
        </w:tc>
        <w:tc>
          <w:tcPr>
            <w:tcW w:w="1372" w:type="dxa"/>
          </w:tcPr>
          <w:p w14:paraId="5C0E2567" w14:textId="77777777" w:rsidR="00D4414E" w:rsidRPr="00D4414E" w:rsidRDefault="00D4414E" w:rsidP="00D4414E">
            <w:pPr>
              <w:spacing w:after="180"/>
              <w:jc w:val="left"/>
              <w:rPr>
                <w:sz w:val="16"/>
                <w:szCs w:val="16"/>
              </w:rPr>
            </w:pPr>
            <w:r w:rsidRPr="00D4414E">
              <w:rPr>
                <w:sz w:val="16"/>
                <w:szCs w:val="16"/>
              </w:rPr>
              <w:t>The PAN Management Planning team is trying to link land to sea sites.</w:t>
            </w:r>
          </w:p>
        </w:tc>
        <w:tc>
          <w:tcPr>
            <w:tcW w:w="1260" w:type="dxa"/>
            <w:shd w:val="clear" w:color="auto" w:fill="auto"/>
          </w:tcPr>
          <w:p w14:paraId="25BDD815" w14:textId="77777777" w:rsidR="00D4414E" w:rsidRPr="00D4414E" w:rsidRDefault="00D4414E" w:rsidP="00D4414E">
            <w:pPr>
              <w:spacing w:after="180"/>
              <w:jc w:val="left"/>
              <w:rPr>
                <w:sz w:val="16"/>
                <w:szCs w:val="16"/>
              </w:rPr>
            </w:pPr>
            <w:r w:rsidRPr="00D4414E">
              <w:rPr>
                <w:sz w:val="16"/>
                <w:szCs w:val="16"/>
              </w:rPr>
              <w:t>PAN Management Planning Team, Boundary Commission, and PLA. No active planning.</w:t>
            </w:r>
          </w:p>
        </w:tc>
        <w:tc>
          <w:tcPr>
            <w:tcW w:w="1260" w:type="dxa"/>
            <w:shd w:val="clear" w:color="auto" w:fill="auto"/>
          </w:tcPr>
          <w:p w14:paraId="7F17542C" w14:textId="77777777" w:rsidR="00D4414E" w:rsidRPr="00D4414E" w:rsidRDefault="00D4414E" w:rsidP="00D4414E">
            <w:pPr>
              <w:spacing w:after="180"/>
              <w:jc w:val="left"/>
              <w:rPr>
                <w:sz w:val="16"/>
                <w:szCs w:val="16"/>
              </w:rPr>
            </w:pPr>
            <w:r w:rsidRPr="00D4414E">
              <w:rPr>
                <w:sz w:val="16"/>
                <w:szCs w:val="16"/>
              </w:rPr>
              <w:t>The Plan was just redone. The Planning Team now oversees implementation and reporting.</w:t>
            </w:r>
          </w:p>
          <w:p w14:paraId="3D05252E" w14:textId="77777777" w:rsidR="00D4414E" w:rsidRPr="00D4414E" w:rsidRDefault="00D4414E" w:rsidP="00D4414E">
            <w:pPr>
              <w:spacing w:after="180"/>
              <w:jc w:val="left"/>
              <w:rPr>
                <w:sz w:val="16"/>
                <w:szCs w:val="16"/>
              </w:rPr>
            </w:pPr>
            <w:r w:rsidRPr="00D4414E">
              <w:rPr>
                <w:sz w:val="16"/>
                <w:szCs w:val="16"/>
              </w:rPr>
              <w:t xml:space="preserve">There are efforts to link the one land site with another marine </w:t>
            </w:r>
            <w:r w:rsidRPr="00D4414E">
              <w:rPr>
                <w:sz w:val="16"/>
                <w:szCs w:val="16"/>
              </w:rPr>
              <w:lastRenderedPageBreak/>
              <w:t xml:space="preserve">site. </w:t>
            </w:r>
          </w:p>
          <w:p w14:paraId="09701FAB" w14:textId="77777777" w:rsidR="00D4414E" w:rsidRPr="00D4414E" w:rsidRDefault="00D4414E" w:rsidP="00D4414E">
            <w:pPr>
              <w:spacing w:after="180"/>
              <w:jc w:val="left"/>
              <w:rPr>
                <w:sz w:val="16"/>
                <w:szCs w:val="16"/>
              </w:rPr>
            </w:pPr>
            <w:r w:rsidRPr="00D4414E">
              <w:rPr>
                <w:sz w:val="16"/>
                <w:szCs w:val="16"/>
              </w:rPr>
              <w:t>Aimeliik was part of the Ngeremeduu Bay Plan</w:t>
            </w:r>
          </w:p>
        </w:tc>
        <w:tc>
          <w:tcPr>
            <w:tcW w:w="1170" w:type="dxa"/>
            <w:shd w:val="clear" w:color="auto" w:fill="auto"/>
          </w:tcPr>
          <w:p w14:paraId="2D7BA150" w14:textId="77777777" w:rsidR="00D4414E" w:rsidRPr="00D4414E" w:rsidRDefault="00D4414E" w:rsidP="00D4414E">
            <w:pPr>
              <w:spacing w:after="180"/>
              <w:jc w:val="left"/>
              <w:rPr>
                <w:sz w:val="16"/>
                <w:szCs w:val="16"/>
              </w:rPr>
            </w:pPr>
            <w:r w:rsidRPr="00D4414E">
              <w:rPr>
                <w:sz w:val="16"/>
                <w:szCs w:val="16"/>
              </w:rPr>
              <w:lastRenderedPageBreak/>
              <w:t xml:space="preserve">There is some support. </w:t>
            </w:r>
          </w:p>
        </w:tc>
        <w:tc>
          <w:tcPr>
            <w:tcW w:w="1105" w:type="dxa"/>
            <w:gridSpan w:val="2"/>
          </w:tcPr>
          <w:p w14:paraId="7AE84AC2" w14:textId="77777777" w:rsidR="00D4414E" w:rsidRPr="00D4414E" w:rsidRDefault="00D4414E" w:rsidP="00D4414E">
            <w:pPr>
              <w:spacing w:after="180"/>
              <w:jc w:val="left"/>
              <w:rPr>
                <w:sz w:val="16"/>
                <w:szCs w:val="16"/>
              </w:rPr>
            </w:pPr>
            <w:r w:rsidRPr="00D4414E">
              <w:rPr>
                <w:sz w:val="16"/>
                <w:szCs w:val="16"/>
              </w:rPr>
              <w:t xml:space="preserve">Outreach on the importance of a Master Plan, followed by preliminary steps to set up and empower Planning Teams (helping draft legislation, select </w:t>
            </w:r>
            <w:r w:rsidRPr="00D4414E">
              <w:rPr>
                <w:sz w:val="16"/>
                <w:szCs w:val="16"/>
              </w:rPr>
              <w:lastRenderedPageBreak/>
              <w:t>stakeholders, visioning).</w:t>
            </w:r>
          </w:p>
        </w:tc>
        <w:tc>
          <w:tcPr>
            <w:tcW w:w="1390" w:type="dxa"/>
          </w:tcPr>
          <w:p w14:paraId="3C88E65E" w14:textId="77777777" w:rsidR="00D4414E" w:rsidRPr="00D4414E" w:rsidRDefault="00D4414E" w:rsidP="00D4414E">
            <w:pPr>
              <w:spacing w:after="180"/>
              <w:jc w:val="left"/>
              <w:rPr>
                <w:sz w:val="16"/>
                <w:szCs w:val="16"/>
              </w:rPr>
            </w:pPr>
            <w:r w:rsidRPr="00D4414E">
              <w:rPr>
                <w:sz w:val="16"/>
                <w:szCs w:val="16"/>
              </w:rPr>
              <w:lastRenderedPageBreak/>
              <w:t>1. Aquaculture</w:t>
            </w:r>
          </w:p>
          <w:p w14:paraId="6AFA8195" w14:textId="77777777" w:rsidR="00D4414E" w:rsidRPr="00D4414E" w:rsidRDefault="00D4414E" w:rsidP="00D4414E">
            <w:pPr>
              <w:spacing w:after="180"/>
              <w:jc w:val="left"/>
              <w:rPr>
                <w:sz w:val="16"/>
                <w:szCs w:val="16"/>
              </w:rPr>
            </w:pPr>
            <w:r w:rsidRPr="00D4414E">
              <w:rPr>
                <w:sz w:val="16"/>
                <w:szCs w:val="16"/>
              </w:rPr>
              <w:t>2. Sustainable Tourism</w:t>
            </w:r>
          </w:p>
        </w:tc>
      </w:tr>
      <w:tr w:rsidR="00D4414E" w:rsidRPr="00D4414E" w14:paraId="32813048" w14:textId="77777777" w:rsidTr="00827CBE">
        <w:tc>
          <w:tcPr>
            <w:tcW w:w="1170" w:type="dxa"/>
            <w:shd w:val="clear" w:color="auto" w:fill="auto"/>
          </w:tcPr>
          <w:p w14:paraId="617C1C6B" w14:textId="77777777" w:rsidR="00D4414E" w:rsidRPr="00D4414E" w:rsidRDefault="00D4414E" w:rsidP="00D4414E">
            <w:pPr>
              <w:spacing w:after="180"/>
              <w:jc w:val="left"/>
              <w:rPr>
                <w:sz w:val="16"/>
                <w:szCs w:val="16"/>
              </w:rPr>
            </w:pPr>
            <w:r w:rsidRPr="00D4414E">
              <w:rPr>
                <w:sz w:val="16"/>
                <w:szCs w:val="16"/>
              </w:rPr>
              <w:t>Ngiwal</w:t>
            </w:r>
          </w:p>
        </w:tc>
        <w:tc>
          <w:tcPr>
            <w:tcW w:w="1418" w:type="dxa"/>
            <w:shd w:val="clear" w:color="auto" w:fill="auto"/>
          </w:tcPr>
          <w:p w14:paraId="715B2303" w14:textId="77777777" w:rsidR="00D4414E" w:rsidRPr="00D4414E" w:rsidRDefault="00D4414E" w:rsidP="00D4414E">
            <w:pPr>
              <w:spacing w:after="180"/>
              <w:jc w:val="left"/>
              <w:rPr>
                <w:sz w:val="16"/>
                <w:szCs w:val="16"/>
              </w:rPr>
            </w:pPr>
            <w:r w:rsidRPr="00D4414E">
              <w:rPr>
                <w:sz w:val="16"/>
                <w:szCs w:val="16"/>
              </w:rPr>
              <w:t>No active plan</w:t>
            </w:r>
          </w:p>
        </w:tc>
        <w:tc>
          <w:tcPr>
            <w:tcW w:w="1372" w:type="dxa"/>
          </w:tcPr>
          <w:p w14:paraId="505B2ABE" w14:textId="77777777" w:rsidR="00D4414E" w:rsidRPr="00D4414E" w:rsidRDefault="00D4414E" w:rsidP="00D4414E">
            <w:pPr>
              <w:spacing w:after="180"/>
              <w:jc w:val="left"/>
              <w:rPr>
                <w:sz w:val="16"/>
                <w:szCs w:val="16"/>
              </w:rPr>
            </w:pPr>
            <w:r w:rsidRPr="00D4414E">
              <w:rPr>
                <w:sz w:val="16"/>
                <w:szCs w:val="16"/>
              </w:rPr>
              <w:t xml:space="preserve">There are active efforts to expand housing and agriculture areas, including a planned housing development </w:t>
            </w:r>
          </w:p>
        </w:tc>
        <w:tc>
          <w:tcPr>
            <w:tcW w:w="1260" w:type="dxa"/>
            <w:shd w:val="clear" w:color="auto" w:fill="auto"/>
          </w:tcPr>
          <w:p w14:paraId="54839037" w14:textId="77777777" w:rsidR="00D4414E" w:rsidRPr="00D4414E" w:rsidRDefault="00D4414E" w:rsidP="00D4414E">
            <w:pPr>
              <w:spacing w:after="180"/>
              <w:jc w:val="left"/>
              <w:rPr>
                <w:sz w:val="16"/>
                <w:szCs w:val="16"/>
              </w:rPr>
            </w:pPr>
            <w:r w:rsidRPr="00D4414E">
              <w:rPr>
                <w:sz w:val="16"/>
                <w:szCs w:val="16"/>
              </w:rPr>
              <w:t>No active planning body</w:t>
            </w:r>
          </w:p>
        </w:tc>
        <w:tc>
          <w:tcPr>
            <w:tcW w:w="1260" w:type="dxa"/>
            <w:shd w:val="clear" w:color="auto" w:fill="auto"/>
          </w:tcPr>
          <w:p w14:paraId="56407BF9" w14:textId="77777777" w:rsidR="00D4414E" w:rsidRPr="00D4414E" w:rsidRDefault="00D4414E" w:rsidP="00D4414E">
            <w:pPr>
              <w:spacing w:after="180"/>
              <w:jc w:val="left"/>
              <w:rPr>
                <w:sz w:val="16"/>
                <w:szCs w:val="16"/>
              </w:rPr>
            </w:pPr>
            <w:r w:rsidRPr="00D4414E">
              <w:rPr>
                <w:sz w:val="16"/>
                <w:szCs w:val="16"/>
              </w:rPr>
              <w:t>The PAN Plan is under revision.</w:t>
            </w:r>
          </w:p>
          <w:p w14:paraId="02E0F22D" w14:textId="77777777" w:rsidR="00D4414E" w:rsidRPr="00D4414E" w:rsidRDefault="00D4414E" w:rsidP="00D4414E">
            <w:pPr>
              <w:spacing w:after="180"/>
              <w:jc w:val="left"/>
              <w:rPr>
                <w:sz w:val="16"/>
                <w:szCs w:val="16"/>
              </w:rPr>
            </w:pPr>
            <w:r w:rsidRPr="00D4414E">
              <w:rPr>
                <w:sz w:val="16"/>
                <w:szCs w:val="16"/>
              </w:rPr>
              <w:t>Ngiwal’s PAN Sites are ridge-to-reef sites</w:t>
            </w:r>
          </w:p>
          <w:p w14:paraId="0AB75F59" w14:textId="77777777" w:rsidR="00D4414E" w:rsidRPr="00D4414E" w:rsidRDefault="00D4414E" w:rsidP="00D4414E">
            <w:pPr>
              <w:spacing w:after="180"/>
              <w:jc w:val="left"/>
              <w:rPr>
                <w:sz w:val="16"/>
                <w:szCs w:val="16"/>
              </w:rPr>
            </w:pPr>
          </w:p>
        </w:tc>
        <w:tc>
          <w:tcPr>
            <w:tcW w:w="1170" w:type="dxa"/>
            <w:shd w:val="clear" w:color="auto" w:fill="auto"/>
          </w:tcPr>
          <w:p w14:paraId="37D19940" w14:textId="77777777" w:rsidR="00D4414E" w:rsidRPr="00D4414E" w:rsidRDefault="00D4414E" w:rsidP="00D4414E">
            <w:pPr>
              <w:spacing w:after="180"/>
              <w:jc w:val="left"/>
              <w:rPr>
                <w:sz w:val="16"/>
                <w:szCs w:val="16"/>
              </w:rPr>
            </w:pPr>
            <w:r w:rsidRPr="00D4414E">
              <w:rPr>
                <w:sz w:val="16"/>
                <w:szCs w:val="16"/>
              </w:rPr>
              <w:t>There is some support.</w:t>
            </w:r>
          </w:p>
        </w:tc>
        <w:tc>
          <w:tcPr>
            <w:tcW w:w="1105" w:type="dxa"/>
            <w:gridSpan w:val="2"/>
          </w:tcPr>
          <w:p w14:paraId="7EF0F465" w14:textId="77777777" w:rsidR="00D4414E" w:rsidRPr="00D4414E" w:rsidRDefault="00D4414E" w:rsidP="00D4414E">
            <w:pPr>
              <w:spacing w:after="180"/>
              <w:jc w:val="left"/>
              <w:rPr>
                <w:sz w:val="16"/>
                <w:szCs w:val="16"/>
              </w:rPr>
            </w:pPr>
            <w:r w:rsidRPr="00D4414E">
              <w:rPr>
                <w:sz w:val="16"/>
                <w:szCs w:val="16"/>
              </w:rPr>
              <w:t>Outreach on the importance of a Master Plan, followed by preliminary steps to set up and empower Planning Teams (helping draft legislation, select stakeholders, visioning).</w:t>
            </w:r>
          </w:p>
        </w:tc>
        <w:tc>
          <w:tcPr>
            <w:tcW w:w="1390" w:type="dxa"/>
          </w:tcPr>
          <w:p w14:paraId="7CDCB488" w14:textId="77777777" w:rsidR="00D4414E" w:rsidRPr="00D4414E" w:rsidRDefault="00D4414E" w:rsidP="00D4414E">
            <w:pPr>
              <w:spacing w:after="180"/>
              <w:jc w:val="left"/>
              <w:rPr>
                <w:sz w:val="16"/>
                <w:szCs w:val="16"/>
              </w:rPr>
            </w:pPr>
            <w:r w:rsidRPr="00D4414E">
              <w:rPr>
                <w:sz w:val="16"/>
                <w:szCs w:val="16"/>
              </w:rPr>
              <w:t>1. Sustainable Tourism</w:t>
            </w:r>
          </w:p>
          <w:p w14:paraId="3A06D0B3" w14:textId="77777777" w:rsidR="00D4414E" w:rsidRPr="00D4414E" w:rsidRDefault="00D4414E" w:rsidP="00D4414E">
            <w:pPr>
              <w:spacing w:after="180"/>
              <w:jc w:val="left"/>
              <w:rPr>
                <w:sz w:val="16"/>
                <w:szCs w:val="16"/>
              </w:rPr>
            </w:pPr>
            <w:r w:rsidRPr="00D4414E">
              <w:rPr>
                <w:sz w:val="16"/>
                <w:szCs w:val="16"/>
              </w:rPr>
              <w:t>2. Fisheries</w:t>
            </w:r>
          </w:p>
        </w:tc>
      </w:tr>
      <w:tr w:rsidR="00D4414E" w:rsidRPr="00D4414E" w14:paraId="332639DF" w14:textId="77777777" w:rsidTr="00D4414E">
        <w:tc>
          <w:tcPr>
            <w:tcW w:w="1170" w:type="dxa"/>
            <w:shd w:val="clear" w:color="auto" w:fill="auto"/>
          </w:tcPr>
          <w:p w14:paraId="2125F80D" w14:textId="77777777" w:rsidR="00D4414E" w:rsidRPr="00D4414E" w:rsidRDefault="00D4414E" w:rsidP="00D4414E">
            <w:pPr>
              <w:spacing w:after="180"/>
              <w:jc w:val="left"/>
              <w:rPr>
                <w:sz w:val="16"/>
                <w:szCs w:val="16"/>
              </w:rPr>
            </w:pPr>
            <w:r w:rsidRPr="00D4414E">
              <w:rPr>
                <w:sz w:val="16"/>
                <w:szCs w:val="16"/>
              </w:rPr>
              <w:t>Melekeok</w:t>
            </w:r>
          </w:p>
        </w:tc>
        <w:tc>
          <w:tcPr>
            <w:tcW w:w="8975" w:type="dxa"/>
            <w:gridSpan w:val="8"/>
            <w:shd w:val="clear" w:color="auto" w:fill="auto"/>
          </w:tcPr>
          <w:p w14:paraId="48A9BF8C" w14:textId="69961E10" w:rsidR="00D4414E" w:rsidRPr="00D4414E" w:rsidRDefault="00D4414E" w:rsidP="00827CBE">
            <w:pPr>
              <w:spacing w:after="180"/>
              <w:jc w:val="left"/>
              <w:rPr>
                <w:sz w:val="16"/>
                <w:szCs w:val="16"/>
              </w:rPr>
            </w:pPr>
            <w:r w:rsidRPr="00D4414E">
              <w:rPr>
                <w:sz w:val="16"/>
                <w:szCs w:val="16"/>
              </w:rPr>
              <w:t xml:space="preserve">Melekeok is a partner state in the GEF </w:t>
            </w:r>
            <w:r w:rsidR="00827CBE">
              <w:rPr>
                <w:sz w:val="16"/>
                <w:szCs w:val="16"/>
              </w:rPr>
              <w:t>5</w:t>
            </w:r>
            <w:r w:rsidR="00827CBE" w:rsidRPr="00D4414E">
              <w:rPr>
                <w:sz w:val="16"/>
                <w:szCs w:val="16"/>
              </w:rPr>
              <w:t xml:space="preserve"> </w:t>
            </w:r>
            <w:r w:rsidRPr="00D4414E">
              <w:rPr>
                <w:sz w:val="16"/>
                <w:szCs w:val="16"/>
              </w:rPr>
              <w:t>Project and thus will not be targeted for Landscape / Seascape Planning in GEF6. Melekeok is in the process of Land Use Planning and has completed a recent Master Plan.</w:t>
            </w:r>
          </w:p>
        </w:tc>
      </w:tr>
      <w:tr w:rsidR="00D4414E" w:rsidRPr="00D4414E" w14:paraId="31C0227C" w14:textId="77777777" w:rsidTr="00827CBE">
        <w:tc>
          <w:tcPr>
            <w:tcW w:w="1170" w:type="dxa"/>
            <w:shd w:val="clear" w:color="auto" w:fill="auto"/>
          </w:tcPr>
          <w:p w14:paraId="5C86FBF3" w14:textId="77777777" w:rsidR="00D4414E" w:rsidRPr="00D4414E" w:rsidRDefault="00D4414E" w:rsidP="00D4414E">
            <w:pPr>
              <w:spacing w:after="180"/>
              <w:jc w:val="left"/>
              <w:rPr>
                <w:sz w:val="16"/>
                <w:szCs w:val="16"/>
              </w:rPr>
            </w:pPr>
            <w:r w:rsidRPr="00D4414E">
              <w:rPr>
                <w:sz w:val="16"/>
                <w:szCs w:val="16"/>
              </w:rPr>
              <w:t>Ngchesar</w:t>
            </w:r>
          </w:p>
        </w:tc>
        <w:tc>
          <w:tcPr>
            <w:tcW w:w="1418" w:type="dxa"/>
            <w:shd w:val="clear" w:color="auto" w:fill="auto"/>
          </w:tcPr>
          <w:p w14:paraId="417C6E3F" w14:textId="77777777" w:rsidR="00D4414E" w:rsidRPr="00D4414E" w:rsidRDefault="00D4414E" w:rsidP="00D4414E">
            <w:pPr>
              <w:spacing w:after="180"/>
              <w:jc w:val="left"/>
              <w:rPr>
                <w:sz w:val="16"/>
                <w:szCs w:val="16"/>
              </w:rPr>
            </w:pPr>
            <w:r w:rsidRPr="00D4414E">
              <w:rPr>
                <w:sz w:val="16"/>
                <w:szCs w:val="16"/>
              </w:rPr>
              <w:t>There is no Master Plan.</w:t>
            </w:r>
          </w:p>
        </w:tc>
        <w:tc>
          <w:tcPr>
            <w:tcW w:w="1372" w:type="dxa"/>
          </w:tcPr>
          <w:p w14:paraId="5D9E3FFA" w14:textId="77777777" w:rsidR="00D4414E" w:rsidRPr="00D4414E" w:rsidRDefault="00D4414E" w:rsidP="00D4414E">
            <w:pPr>
              <w:spacing w:after="180"/>
              <w:jc w:val="left"/>
              <w:rPr>
                <w:sz w:val="16"/>
                <w:szCs w:val="16"/>
              </w:rPr>
            </w:pPr>
            <w:r w:rsidRPr="00D4414E">
              <w:rPr>
                <w:sz w:val="16"/>
                <w:szCs w:val="16"/>
              </w:rPr>
              <w:t>The state has a Sediment Control Plan to mandate use of Best Practices.</w:t>
            </w:r>
          </w:p>
        </w:tc>
        <w:tc>
          <w:tcPr>
            <w:tcW w:w="1260" w:type="dxa"/>
            <w:shd w:val="clear" w:color="auto" w:fill="auto"/>
          </w:tcPr>
          <w:p w14:paraId="1B09328A" w14:textId="77777777" w:rsidR="00D4414E" w:rsidRPr="00D4414E" w:rsidRDefault="00D4414E" w:rsidP="00D4414E">
            <w:pPr>
              <w:spacing w:after="180"/>
              <w:jc w:val="left"/>
              <w:rPr>
                <w:sz w:val="16"/>
                <w:szCs w:val="16"/>
              </w:rPr>
            </w:pPr>
            <w:r w:rsidRPr="00D4414E">
              <w:rPr>
                <w:sz w:val="16"/>
                <w:szCs w:val="16"/>
              </w:rPr>
              <w:t>No active planning body</w:t>
            </w:r>
          </w:p>
        </w:tc>
        <w:tc>
          <w:tcPr>
            <w:tcW w:w="1260" w:type="dxa"/>
            <w:shd w:val="clear" w:color="auto" w:fill="auto"/>
          </w:tcPr>
          <w:p w14:paraId="4AE48E02" w14:textId="77777777" w:rsidR="00D4414E" w:rsidRPr="00D4414E" w:rsidRDefault="00D4414E" w:rsidP="00D4414E">
            <w:pPr>
              <w:spacing w:after="180"/>
              <w:jc w:val="left"/>
              <w:rPr>
                <w:sz w:val="16"/>
                <w:szCs w:val="16"/>
              </w:rPr>
            </w:pPr>
            <w:r w:rsidRPr="00D4414E">
              <w:rPr>
                <w:sz w:val="16"/>
                <w:szCs w:val="16"/>
              </w:rPr>
              <w:t>The PAN Management Plan is active.</w:t>
            </w:r>
          </w:p>
          <w:p w14:paraId="3D28AD35" w14:textId="77777777" w:rsidR="00D4414E" w:rsidRPr="00D4414E" w:rsidRDefault="00D4414E" w:rsidP="00D4414E">
            <w:pPr>
              <w:spacing w:after="180"/>
              <w:jc w:val="left"/>
              <w:rPr>
                <w:sz w:val="16"/>
                <w:szCs w:val="16"/>
              </w:rPr>
            </w:pPr>
            <w:r w:rsidRPr="00D4414E">
              <w:rPr>
                <w:sz w:val="16"/>
                <w:szCs w:val="16"/>
              </w:rPr>
              <w:t>Sites are terrestrial and marine but there are few links and no cross-state boundaries considered</w:t>
            </w:r>
          </w:p>
        </w:tc>
        <w:tc>
          <w:tcPr>
            <w:tcW w:w="1170" w:type="dxa"/>
            <w:shd w:val="clear" w:color="auto" w:fill="auto"/>
          </w:tcPr>
          <w:p w14:paraId="5C8992DC" w14:textId="77777777" w:rsidR="00D4414E" w:rsidRPr="00D4414E" w:rsidRDefault="00D4414E" w:rsidP="00D4414E">
            <w:pPr>
              <w:spacing w:after="180"/>
              <w:jc w:val="left"/>
              <w:rPr>
                <w:sz w:val="16"/>
                <w:szCs w:val="16"/>
              </w:rPr>
            </w:pPr>
            <w:r w:rsidRPr="00D4414E">
              <w:rPr>
                <w:sz w:val="16"/>
                <w:szCs w:val="16"/>
              </w:rPr>
              <w:t>There is currently little support or capacity</w:t>
            </w:r>
          </w:p>
        </w:tc>
        <w:tc>
          <w:tcPr>
            <w:tcW w:w="1105" w:type="dxa"/>
            <w:gridSpan w:val="2"/>
          </w:tcPr>
          <w:p w14:paraId="24D3DC23" w14:textId="77777777" w:rsidR="00D4414E" w:rsidRPr="00D4414E" w:rsidRDefault="00D4414E" w:rsidP="00D4414E">
            <w:pPr>
              <w:spacing w:after="180"/>
              <w:jc w:val="left"/>
              <w:rPr>
                <w:sz w:val="16"/>
                <w:szCs w:val="16"/>
              </w:rPr>
            </w:pPr>
            <w:r w:rsidRPr="00D4414E">
              <w:rPr>
                <w:sz w:val="16"/>
                <w:szCs w:val="16"/>
              </w:rPr>
              <w:t>Outreach on the importance of a Master Plan, followed by preliminary steps to set up and empower Planning Teams (helping draft legislation, select stakeholders, visioning).</w:t>
            </w:r>
          </w:p>
        </w:tc>
        <w:tc>
          <w:tcPr>
            <w:tcW w:w="1390" w:type="dxa"/>
          </w:tcPr>
          <w:p w14:paraId="6EB0F8DD" w14:textId="77777777" w:rsidR="00D4414E" w:rsidRPr="00D4414E" w:rsidRDefault="00D4414E" w:rsidP="00D4414E">
            <w:pPr>
              <w:spacing w:after="180"/>
              <w:jc w:val="left"/>
              <w:rPr>
                <w:sz w:val="16"/>
                <w:szCs w:val="16"/>
              </w:rPr>
            </w:pPr>
            <w:r w:rsidRPr="00D4414E">
              <w:rPr>
                <w:sz w:val="16"/>
                <w:szCs w:val="16"/>
              </w:rPr>
              <w:t>1. Agriculture</w:t>
            </w:r>
          </w:p>
          <w:p w14:paraId="1648216F" w14:textId="77777777" w:rsidR="00D4414E" w:rsidRPr="00D4414E" w:rsidRDefault="00D4414E" w:rsidP="00D4414E">
            <w:pPr>
              <w:spacing w:after="180"/>
              <w:jc w:val="left"/>
              <w:rPr>
                <w:sz w:val="16"/>
                <w:szCs w:val="16"/>
              </w:rPr>
            </w:pPr>
            <w:r w:rsidRPr="00D4414E">
              <w:rPr>
                <w:sz w:val="16"/>
                <w:szCs w:val="16"/>
              </w:rPr>
              <w:t>2. Forestry</w:t>
            </w:r>
          </w:p>
          <w:p w14:paraId="68376F92" w14:textId="77777777" w:rsidR="00D4414E" w:rsidRPr="00D4414E" w:rsidRDefault="00D4414E" w:rsidP="00D4414E">
            <w:pPr>
              <w:spacing w:after="180"/>
              <w:jc w:val="left"/>
              <w:rPr>
                <w:sz w:val="16"/>
                <w:szCs w:val="16"/>
              </w:rPr>
            </w:pPr>
            <w:r w:rsidRPr="00D4414E">
              <w:rPr>
                <w:sz w:val="16"/>
                <w:szCs w:val="16"/>
              </w:rPr>
              <w:t>3. Aquaculture</w:t>
            </w:r>
          </w:p>
        </w:tc>
      </w:tr>
      <w:tr w:rsidR="00D4414E" w:rsidRPr="00D4414E" w14:paraId="613270C1" w14:textId="77777777" w:rsidTr="00D4414E">
        <w:tc>
          <w:tcPr>
            <w:tcW w:w="1170" w:type="dxa"/>
            <w:shd w:val="clear" w:color="auto" w:fill="auto"/>
          </w:tcPr>
          <w:p w14:paraId="32F7BED9" w14:textId="77777777" w:rsidR="00D4414E" w:rsidRPr="00D4414E" w:rsidRDefault="00D4414E" w:rsidP="00D4414E">
            <w:pPr>
              <w:spacing w:after="180"/>
              <w:jc w:val="left"/>
              <w:rPr>
                <w:sz w:val="16"/>
                <w:szCs w:val="16"/>
              </w:rPr>
            </w:pPr>
            <w:r w:rsidRPr="00D4414E">
              <w:rPr>
                <w:sz w:val="16"/>
                <w:szCs w:val="16"/>
              </w:rPr>
              <w:t>Airai</w:t>
            </w:r>
          </w:p>
        </w:tc>
        <w:tc>
          <w:tcPr>
            <w:tcW w:w="8975" w:type="dxa"/>
            <w:gridSpan w:val="8"/>
            <w:shd w:val="clear" w:color="auto" w:fill="auto"/>
          </w:tcPr>
          <w:p w14:paraId="65614F77" w14:textId="767BE306" w:rsidR="00D4414E" w:rsidRPr="00D4414E" w:rsidRDefault="002F624E" w:rsidP="002F624E">
            <w:pPr>
              <w:spacing w:after="180"/>
              <w:jc w:val="left"/>
              <w:rPr>
                <w:sz w:val="16"/>
                <w:szCs w:val="16"/>
              </w:rPr>
            </w:pPr>
            <w:r>
              <w:rPr>
                <w:sz w:val="16"/>
                <w:szCs w:val="16"/>
              </w:rPr>
              <w:t>Airai</w:t>
            </w:r>
            <w:r w:rsidRPr="00D4414E">
              <w:rPr>
                <w:sz w:val="16"/>
                <w:szCs w:val="16"/>
              </w:rPr>
              <w:t xml:space="preserve"> </w:t>
            </w:r>
            <w:r w:rsidR="00D4414E" w:rsidRPr="00D4414E">
              <w:rPr>
                <w:sz w:val="16"/>
                <w:szCs w:val="16"/>
              </w:rPr>
              <w:t xml:space="preserve">is a partner state in the GEF STAR Project and thus will not be targeted for Landscape / Seascape Planning in GEF6. </w:t>
            </w:r>
            <w:r>
              <w:rPr>
                <w:sz w:val="16"/>
                <w:szCs w:val="16"/>
              </w:rPr>
              <w:t xml:space="preserve">Airai </w:t>
            </w:r>
            <w:r w:rsidR="00D4414E" w:rsidRPr="00D4414E">
              <w:rPr>
                <w:sz w:val="16"/>
                <w:szCs w:val="16"/>
              </w:rPr>
              <w:t>is in the process of Land Use Planning and has completed a recent Master Plan.</w:t>
            </w:r>
          </w:p>
        </w:tc>
      </w:tr>
    </w:tbl>
    <w:p w14:paraId="671C84DC" w14:textId="77777777" w:rsidR="00D4414E" w:rsidRPr="00D4414E" w:rsidRDefault="00D4414E" w:rsidP="00D4414E">
      <w:pPr>
        <w:spacing w:after="180"/>
        <w:rPr>
          <w:sz w:val="16"/>
          <w:szCs w:val="16"/>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418"/>
        <w:gridCol w:w="1372"/>
        <w:gridCol w:w="1260"/>
        <w:gridCol w:w="1260"/>
        <w:gridCol w:w="1170"/>
        <w:gridCol w:w="2520"/>
      </w:tblGrid>
      <w:tr w:rsidR="00D4414E" w:rsidRPr="00D4414E" w14:paraId="4A3AB0D5" w14:textId="77777777" w:rsidTr="00D4414E">
        <w:trPr>
          <w:cantSplit/>
          <w:trHeight w:val="1340"/>
          <w:tblHeader/>
        </w:trPr>
        <w:tc>
          <w:tcPr>
            <w:tcW w:w="1008" w:type="dxa"/>
            <w:shd w:val="clear" w:color="auto" w:fill="AEAAAA"/>
          </w:tcPr>
          <w:p w14:paraId="4C21E994" w14:textId="77777777" w:rsidR="00D4414E" w:rsidRPr="00D4414E" w:rsidRDefault="00D4414E" w:rsidP="00D4414E">
            <w:pPr>
              <w:spacing w:after="180"/>
              <w:jc w:val="left"/>
              <w:rPr>
                <w:b/>
                <w:sz w:val="16"/>
                <w:szCs w:val="16"/>
              </w:rPr>
            </w:pPr>
            <w:r w:rsidRPr="00D4414E">
              <w:rPr>
                <w:b/>
                <w:sz w:val="16"/>
                <w:szCs w:val="16"/>
              </w:rPr>
              <w:lastRenderedPageBreak/>
              <w:t>State</w:t>
            </w:r>
          </w:p>
        </w:tc>
        <w:tc>
          <w:tcPr>
            <w:tcW w:w="1418" w:type="dxa"/>
            <w:shd w:val="clear" w:color="auto" w:fill="AEAAAA"/>
          </w:tcPr>
          <w:p w14:paraId="4C0A9DB2" w14:textId="77777777" w:rsidR="00D4414E" w:rsidRPr="00D4414E" w:rsidRDefault="00D4414E" w:rsidP="00D4414E">
            <w:pPr>
              <w:spacing w:after="180"/>
              <w:jc w:val="left"/>
              <w:rPr>
                <w:b/>
                <w:sz w:val="16"/>
                <w:szCs w:val="16"/>
              </w:rPr>
            </w:pPr>
            <w:r w:rsidRPr="00D4414E">
              <w:rPr>
                <w:b/>
                <w:sz w:val="16"/>
                <w:szCs w:val="16"/>
              </w:rPr>
              <w:t>Status of Statewide Master Plan</w:t>
            </w:r>
          </w:p>
        </w:tc>
        <w:tc>
          <w:tcPr>
            <w:tcW w:w="1372" w:type="dxa"/>
            <w:shd w:val="clear" w:color="auto" w:fill="AEAAAA"/>
          </w:tcPr>
          <w:p w14:paraId="4E5081B7" w14:textId="77777777" w:rsidR="00D4414E" w:rsidRPr="00D4414E" w:rsidRDefault="00D4414E" w:rsidP="00D4414E">
            <w:pPr>
              <w:spacing w:after="180"/>
              <w:jc w:val="left"/>
              <w:rPr>
                <w:b/>
                <w:sz w:val="16"/>
                <w:szCs w:val="16"/>
              </w:rPr>
            </w:pPr>
            <w:r w:rsidRPr="00D4414E">
              <w:rPr>
                <w:b/>
                <w:sz w:val="16"/>
                <w:szCs w:val="16"/>
              </w:rPr>
              <w:t>Ongoing/ Other relevant actions that lead to are the foundation of statewide planning</w:t>
            </w:r>
          </w:p>
        </w:tc>
        <w:tc>
          <w:tcPr>
            <w:tcW w:w="1260" w:type="dxa"/>
            <w:shd w:val="clear" w:color="auto" w:fill="AEAAAA"/>
          </w:tcPr>
          <w:p w14:paraId="018D3156" w14:textId="77777777" w:rsidR="00D4414E" w:rsidRPr="00D4414E" w:rsidRDefault="00D4414E" w:rsidP="00D4414E">
            <w:pPr>
              <w:spacing w:after="180"/>
              <w:jc w:val="left"/>
              <w:rPr>
                <w:b/>
                <w:sz w:val="16"/>
                <w:szCs w:val="16"/>
              </w:rPr>
            </w:pPr>
            <w:r w:rsidRPr="00D4414E">
              <w:rPr>
                <w:b/>
                <w:sz w:val="16"/>
                <w:szCs w:val="16"/>
              </w:rPr>
              <w:t>Are there Joint environmental Planning Bodies?</w:t>
            </w:r>
          </w:p>
        </w:tc>
        <w:tc>
          <w:tcPr>
            <w:tcW w:w="1260" w:type="dxa"/>
            <w:shd w:val="clear" w:color="auto" w:fill="AEAAAA"/>
          </w:tcPr>
          <w:p w14:paraId="20AA5A47" w14:textId="77777777" w:rsidR="00D4414E" w:rsidRPr="00D4414E" w:rsidRDefault="00D4414E" w:rsidP="00D4414E">
            <w:pPr>
              <w:spacing w:after="180"/>
              <w:jc w:val="left"/>
              <w:rPr>
                <w:b/>
                <w:sz w:val="16"/>
                <w:szCs w:val="16"/>
              </w:rPr>
            </w:pPr>
            <w:r w:rsidRPr="00D4414E">
              <w:rPr>
                <w:b/>
                <w:sz w:val="16"/>
                <w:szCs w:val="16"/>
              </w:rPr>
              <w:t>PAN Management Plan: Status, linked to other spatial processes, or consider cross-state boundaries?</w:t>
            </w:r>
          </w:p>
        </w:tc>
        <w:tc>
          <w:tcPr>
            <w:tcW w:w="1170" w:type="dxa"/>
            <w:shd w:val="clear" w:color="auto" w:fill="AEAAAA"/>
          </w:tcPr>
          <w:p w14:paraId="42562BD0" w14:textId="77777777" w:rsidR="00D4414E" w:rsidRPr="00D4414E" w:rsidRDefault="00D4414E" w:rsidP="00D4414E">
            <w:pPr>
              <w:spacing w:after="180"/>
              <w:jc w:val="left"/>
              <w:rPr>
                <w:b/>
                <w:sz w:val="16"/>
                <w:szCs w:val="16"/>
              </w:rPr>
            </w:pPr>
            <w:r w:rsidRPr="00D4414E">
              <w:rPr>
                <w:b/>
                <w:sz w:val="16"/>
                <w:szCs w:val="16"/>
              </w:rPr>
              <w:t>Is there support from elected and traditional leaders for implementing and following Master Plans?</w:t>
            </w:r>
          </w:p>
        </w:tc>
        <w:tc>
          <w:tcPr>
            <w:tcW w:w="2520" w:type="dxa"/>
            <w:shd w:val="clear" w:color="auto" w:fill="AEAAAA"/>
          </w:tcPr>
          <w:p w14:paraId="7EDB9D9E" w14:textId="77777777" w:rsidR="00D4414E" w:rsidRPr="00D4414E" w:rsidRDefault="00D4414E" w:rsidP="00D4414E">
            <w:pPr>
              <w:spacing w:after="180"/>
              <w:ind w:right="-173"/>
              <w:jc w:val="left"/>
              <w:rPr>
                <w:b/>
                <w:sz w:val="16"/>
                <w:szCs w:val="16"/>
              </w:rPr>
            </w:pPr>
            <w:r w:rsidRPr="00D4414E">
              <w:rPr>
                <w:b/>
                <w:sz w:val="16"/>
                <w:szCs w:val="16"/>
              </w:rPr>
              <w:t>Starting Point for Landscape/ Seascape Planning</w:t>
            </w:r>
          </w:p>
        </w:tc>
      </w:tr>
      <w:tr w:rsidR="00D4414E" w:rsidRPr="00D4414E" w14:paraId="3A528A5F" w14:textId="77777777" w:rsidTr="00D4414E">
        <w:trPr>
          <w:cantSplit/>
          <w:trHeight w:val="1340"/>
          <w:tblHeader/>
        </w:trPr>
        <w:tc>
          <w:tcPr>
            <w:tcW w:w="1008" w:type="dxa"/>
            <w:tcBorders>
              <w:top w:val="single" w:sz="4" w:space="0" w:color="auto"/>
              <w:left w:val="single" w:sz="4" w:space="0" w:color="auto"/>
              <w:bottom w:val="single" w:sz="4" w:space="0" w:color="auto"/>
              <w:right w:val="single" w:sz="4" w:space="0" w:color="auto"/>
            </w:tcBorders>
            <w:shd w:val="clear" w:color="auto" w:fill="FFFFFF"/>
          </w:tcPr>
          <w:p w14:paraId="489EADBA" w14:textId="77777777" w:rsidR="00D4414E" w:rsidRPr="00D4414E" w:rsidRDefault="00D4414E" w:rsidP="00D4414E">
            <w:pPr>
              <w:spacing w:after="180"/>
              <w:jc w:val="left"/>
              <w:rPr>
                <w:sz w:val="16"/>
                <w:szCs w:val="16"/>
              </w:rPr>
            </w:pPr>
            <w:r w:rsidRPr="00D4414E">
              <w:rPr>
                <w:sz w:val="16"/>
                <w:szCs w:val="16"/>
              </w:rPr>
              <w:t>Koror</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A7B83F4" w14:textId="77777777" w:rsidR="00D4414E" w:rsidRPr="00D4414E" w:rsidRDefault="00D4414E" w:rsidP="00D4414E">
            <w:pPr>
              <w:spacing w:after="180"/>
              <w:jc w:val="left"/>
              <w:rPr>
                <w:sz w:val="16"/>
                <w:szCs w:val="16"/>
              </w:rPr>
            </w:pPr>
            <w:r w:rsidRPr="00D4414E">
              <w:rPr>
                <w:sz w:val="16"/>
                <w:szCs w:val="16"/>
              </w:rPr>
              <w:t>Koror has an old Master Plan which is outdated but is the foundation of the Building and Zoning plans and permitting system.</w:t>
            </w:r>
          </w:p>
          <w:p w14:paraId="3F81D0C7" w14:textId="77777777" w:rsidR="00D4414E" w:rsidRPr="00D4414E" w:rsidRDefault="00D4414E" w:rsidP="00D4414E">
            <w:pPr>
              <w:spacing w:after="180"/>
              <w:jc w:val="left"/>
              <w:rPr>
                <w:sz w:val="16"/>
                <w:szCs w:val="16"/>
              </w:rPr>
            </w:pPr>
            <w:r w:rsidRPr="00D4414E">
              <w:rPr>
                <w:sz w:val="16"/>
                <w:szCs w:val="16"/>
              </w:rPr>
              <w:t>There is an extensive Management Plan for the Southern Lagoon (which incorporates the World Heritage Site).</w:t>
            </w:r>
          </w:p>
          <w:p w14:paraId="7233316A" w14:textId="77777777" w:rsidR="00D4414E" w:rsidRPr="00D4414E" w:rsidRDefault="00D4414E" w:rsidP="00D4414E">
            <w:pPr>
              <w:spacing w:after="180"/>
              <w:jc w:val="left"/>
              <w:rPr>
                <w:sz w:val="16"/>
                <w:szCs w:val="16"/>
              </w:rPr>
            </w:pPr>
            <w:r w:rsidRPr="00D4414E">
              <w:rPr>
                <w:sz w:val="16"/>
                <w:szCs w:val="16"/>
              </w:rPr>
              <w:t>As Palau’s largest state, the State Government has many agencies involved in planning.</w:t>
            </w:r>
          </w:p>
        </w:tc>
        <w:tc>
          <w:tcPr>
            <w:tcW w:w="1372" w:type="dxa"/>
            <w:tcBorders>
              <w:top w:val="single" w:sz="4" w:space="0" w:color="auto"/>
              <w:left w:val="single" w:sz="4" w:space="0" w:color="auto"/>
              <w:bottom w:val="single" w:sz="4" w:space="0" w:color="auto"/>
              <w:right w:val="single" w:sz="4" w:space="0" w:color="auto"/>
            </w:tcBorders>
            <w:shd w:val="clear" w:color="auto" w:fill="FFFFFF"/>
          </w:tcPr>
          <w:p w14:paraId="30FBA885" w14:textId="77777777" w:rsidR="00D4414E" w:rsidRPr="00D4414E" w:rsidRDefault="00D4414E" w:rsidP="00D4414E">
            <w:pPr>
              <w:spacing w:after="180"/>
              <w:jc w:val="left"/>
              <w:rPr>
                <w:sz w:val="16"/>
                <w:szCs w:val="16"/>
              </w:rPr>
            </w:pPr>
            <w:r w:rsidRPr="00D4414E">
              <w:rPr>
                <w:sz w:val="16"/>
                <w:szCs w:val="16"/>
              </w:rPr>
              <w:t>The Rock Island Southern Lagoon Management Plan is a seascape plan because it incorporates the entire lagoon. It does not cover land.</w:t>
            </w:r>
          </w:p>
          <w:p w14:paraId="417CB748" w14:textId="77777777" w:rsidR="00D4414E" w:rsidRPr="00D4414E" w:rsidRDefault="00D4414E" w:rsidP="00D4414E">
            <w:pPr>
              <w:spacing w:after="180"/>
              <w:jc w:val="left"/>
              <w:rPr>
                <w:sz w:val="16"/>
                <w:szCs w:val="16"/>
              </w:rPr>
            </w:pPr>
            <w:r w:rsidRPr="00D4414E">
              <w:rPr>
                <w:sz w:val="16"/>
                <w:szCs w:val="16"/>
              </w:rPr>
              <w:t>Agencies are not coordinating currently.</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68900B23" w14:textId="77777777" w:rsidR="00D4414E" w:rsidRPr="00D4414E" w:rsidRDefault="00D4414E" w:rsidP="00D4414E">
            <w:pPr>
              <w:spacing w:after="180"/>
              <w:jc w:val="left"/>
              <w:rPr>
                <w:sz w:val="16"/>
                <w:szCs w:val="16"/>
              </w:rPr>
            </w:pPr>
            <w:r w:rsidRPr="00D4414E">
              <w:rPr>
                <w:sz w:val="16"/>
                <w:szCs w:val="16"/>
              </w:rPr>
              <w:t>There are several bodies, including the Koror State Public Lands Authority (which gives leases but does not plan), the Department of Conservation and Law Enforcement (which does PAN Planning), the Planning Commission (which does some planning) for leases and infrastructure. They do not actively coordinate.</w:t>
            </w:r>
          </w:p>
          <w:p w14:paraId="79083094" w14:textId="77777777" w:rsidR="00D4414E" w:rsidRPr="00D4414E" w:rsidRDefault="00D4414E" w:rsidP="00D4414E">
            <w:pPr>
              <w:spacing w:after="180"/>
              <w:jc w:val="left"/>
              <w:rPr>
                <w:sz w:val="16"/>
                <w:szCs w:val="16"/>
              </w:rPr>
            </w:pPr>
            <w:r w:rsidRPr="00D4414E">
              <w:rPr>
                <w:sz w:val="16"/>
                <w:szCs w:val="16"/>
              </w:rPr>
              <w:t>The PAN Planning team operates under Executive Order.</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A3C8910" w14:textId="77777777" w:rsidR="00D4414E" w:rsidRPr="00D4414E" w:rsidRDefault="00D4414E" w:rsidP="00D4414E">
            <w:pPr>
              <w:spacing w:after="180"/>
              <w:jc w:val="left"/>
              <w:rPr>
                <w:sz w:val="16"/>
                <w:szCs w:val="16"/>
              </w:rPr>
            </w:pPr>
            <w:r w:rsidRPr="00D4414E">
              <w:rPr>
                <w:sz w:val="16"/>
                <w:szCs w:val="16"/>
              </w:rPr>
              <w:t>An NGO has been contracted to update the plan, which expires this year.</w:t>
            </w:r>
          </w:p>
          <w:p w14:paraId="0F6308DA" w14:textId="77777777" w:rsidR="00D4414E" w:rsidRPr="00D4414E" w:rsidRDefault="00D4414E" w:rsidP="00D4414E">
            <w:pPr>
              <w:spacing w:after="180"/>
              <w:jc w:val="left"/>
              <w:rPr>
                <w:sz w:val="16"/>
                <w:szCs w:val="16"/>
              </w:rPr>
            </w:pPr>
            <w:r w:rsidRPr="00D4414E">
              <w:rPr>
                <w:sz w:val="16"/>
                <w:szCs w:val="16"/>
              </w:rPr>
              <w:t>The Governor still needs to appoint a planning team for the PAN Plan updates.</w:t>
            </w:r>
          </w:p>
          <w:p w14:paraId="65574518" w14:textId="77777777" w:rsidR="00D4414E" w:rsidRPr="00D4414E" w:rsidRDefault="00D4414E" w:rsidP="00D4414E">
            <w:pPr>
              <w:spacing w:after="180"/>
              <w:jc w:val="left"/>
              <w:rPr>
                <w:sz w:val="16"/>
                <w:szCs w:val="16"/>
              </w:rPr>
            </w:pPr>
            <w:r w:rsidRPr="00D4414E">
              <w:rPr>
                <w:sz w:val="16"/>
                <w:szCs w:val="16"/>
              </w:rPr>
              <w:t xml:space="preserve">Koror has an MOU with Peleliu to jointly enforce the Southern Lagoon. </w:t>
            </w:r>
          </w:p>
          <w:p w14:paraId="6002A8DF" w14:textId="77777777" w:rsidR="00D4414E" w:rsidRPr="00D4414E" w:rsidRDefault="00D4414E" w:rsidP="00D4414E">
            <w:pPr>
              <w:spacing w:after="180"/>
              <w:jc w:val="left"/>
              <w:rPr>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61155637" w14:textId="77777777" w:rsidR="00D4414E" w:rsidRPr="00D4414E" w:rsidRDefault="00D4414E" w:rsidP="00D4414E">
            <w:pPr>
              <w:spacing w:after="180"/>
              <w:jc w:val="left"/>
              <w:rPr>
                <w:sz w:val="16"/>
                <w:szCs w:val="16"/>
              </w:rPr>
            </w:pPr>
            <w:r w:rsidRPr="00D4414E">
              <w:rPr>
                <w:sz w:val="16"/>
                <w:szCs w:val="16"/>
              </w:rPr>
              <w:t>There is some support but many political conflicts.</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14:paraId="0A9968B4" w14:textId="77777777" w:rsidR="00D4414E" w:rsidRPr="00D4414E" w:rsidRDefault="00D4414E" w:rsidP="00D4414E">
            <w:pPr>
              <w:spacing w:after="180"/>
              <w:jc w:val="left"/>
              <w:rPr>
                <w:sz w:val="16"/>
                <w:szCs w:val="16"/>
              </w:rPr>
            </w:pPr>
            <w:r w:rsidRPr="00D4414E">
              <w:rPr>
                <w:sz w:val="16"/>
                <w:szCs w:val="16"/>
              </w:rPr>
              <w:t>The starting point for Koror will take careful negotiation at the start of the Project, as Koror changes quickly. It should include targeted outreach for elected and Traditional Leaders and Seascape to Landscape Mapping with inclusion of carrying capacity in both locations. Legislative requirements must be worked out first.</w:t>
            </w:r>
          </w:p>
        </w:tc>
      </w:tr>
      <w:tr w:rsidR="00D4414E" w:rsidRPr="00D4414E" w14:paraId="040B268D" w14:textId="77777777" w:rsidTr="00D4414E">
        <w:trPr>
          <w:cantSplit/>
          <w:trHeight w:val="1340"/>
          <w:tblHeader/>
        </w:trPr>
        <w:tc>
          <w:tcPr>
            <w:tcW w:w="1008" w:type="dxa"/>
            <w:tcBorders>
              <w:top w:val="single" w:sz="4" w:space="0" w:color="auto"/>
              <w:left w:val="single" w:sz="4" w:space="0" w:color="auto"/>
              <w:bottom w:val="single" w:sz="4" w:space="0" w:color="auto"/>
              <w:right w:val="single" w:sz="4" w:space="0" w:color="auto"/>
            </w:tcBorders>
            <w:shd w:val="clear" w:color="auto" w:fill="FFFFFF"/>
          </w:tcPr>
          <w:p w14:paraId="0B933535" w14:textId="77777777" w:rsidR="00D4414E" w:rsidRPr="00D4414E" w:rsidRDefault="00D4414E" w:rsidP="00D4414E">
            <w:pPr>
              <w:spacing w:after="180"/>
              <w:jc w:val="left"/>
              <w:rPr>
                <w:sz w:val="16"/>
                <w:szCs w:val="16"/>
              </w:rPr>
            </w:pPr>
            <w:r w:rsidRPr="00D4414E">
              <w:rPr>
                <w:sz w:val="16"/>
                <w:szCs w:val="16"/>
              </w:rPr>
              <w:t>Peleliu</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96CEBCD" w14:textId="77777777" w:rsidR="00D4414E" w:rsidRPr="00D4414E" w:rsidRDefault="00D4414E" w:rsidP="00D4414E">
            <w:pPr>
              <w:spacing w:after="180"/>
              <w:jc w:val="left"/>
              <w:rPr>
                <w:sz w:val="16"/>
                <w:szCs w:val="16"/>
              </w:rPr>
            </w:pPr>
            <w:r w:rsidRPr="00D4414E">
              <w:rPr>
                <w:sz w:val="16"/>
                <w:szCs w:val="16"/>
              </w:rPr>
              <w:t>There is no Master Plan.</w:t>
            </w:r>
          </w:p>
        </w:tc>
        <w:tc>
          <w:tcPr>
            <w:tcW w:w="1372" w:type="dxa"/>
            <w:tcBorders>
              <w:top w:val="single" w:sz="4" w:space="0" w:color="auto"/>
              <w:left w:val="single" w:sz="4" w:space="0" w:color="auto"/>
              <w:bottom w:val="single" w:sz="4" w:space="0" w:color="auto"/>
              <w:right w:val="single" w:sz="4" w:space="0" w:color="auto"/>
            </w:tcBorders>
            <w:shd w:val="clear" w:color="auto" w:fill="FFFFFF"/>
          </w:tcPr>
          <w:p w14:paraId="529EDE21" w14:textId="77777777" w:rsidR="00D4414E" w:rsidRPr="00D4414E" w:rsidRDefault="00D4414E" w:rsidP="00D4414E">
            <w:pPr>
              <w:spacing w:after="180"/>
              <w:jc w:val="left"/>
              <w:rPr>
                <w:sz w:val="16"/>
                <w:szCs w:val="16"/>
              </w:rPr>
            </w:pPr>
            <w:r w:rsidRPr="00D4414E">
              <w:rPr>
                <w:sz w:val="16"/>
                <w:szCs w:val="16"/>
              </w:rPr>
              <w:t>None. There was public outcry about the potential leasing and development of a biologically important area, which led to some rethinking on the approach.</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33BC7CD8" w14:textId="77777777" w:rsidR="00D4414E" w:rsidRPr="00D4414E" w:rsidRDefault="00D4414E" w:rsidP="00D4414E">
            <w:pPr>
              <w:spacing w:after="180"/>
              <w:jc w:val="left"/>
              <w:rPr>
                <w:sz w:val="16"/>
                <w:szCs w:val="16"/>
              </w:rPr>
            </w:pPr>
            <w:r w:rsidRPr="00D4414E">
              <w:rPr>
                <w:sz w:val="16"/>
                <w:szCs w:val="16"/>
              </w:rPr>
              <w:t>None</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610E30AD" w14:textId="77777777" w:rsidR="00D4414E" w:rsidRPr="00D4414E" w:rsidRDefault="00D4414E" w:rsidP="00D4414E">
            <w:pPr>
              <w:spacing w:after="180"/>
              <w:jc w:val="left"/>
              <w:rPr>
                <w:sz w:val="16"/>
                <w:szCs w:val="16"/>
              </w:rPr>
            </w:pPr>
            <w:r w:rsidRPr="00D4414E">
              <w:rPr>
                <w:sz w:val="16"/>
                <w:szCs w:val="16"/>
              </w:rPr>
              <w:t xml:space="preserve">There is one marine site. </w:t>
            </w:r>
          </w:p>
          <w:p w14:paraId="786E3E40" w14:textId="77777777" w:rsidR="00D4414E" w:rsidRPr="00D4414E" w:rsidRDefault="00D4414E" w:rsidP="00D4414E">
            <w:pPr>
              <w:spacing w:after="180"/>
              <w:jc w:val="left"/>
              <w:rPr>
                <w:sz w:val="16"/>
                <w:szCs w:val="16"/>
              </w:rPr>
            </w:pPr>
            <w:r w:rsidRPr="00D4414E">
              <w:rPr>
                <w:sz w:val="16"/>
                <w:szCs w:val="16"/>
              </w:rPr>
              <w:t>No links to other sites.</w:t>
            </w:r>
          </w:p>
          <w:p w14:paraId="3857228C" w14:textId="77777777" w:rsidR="00D4414E" w:rsidRPr="00D4414E" w:rsidRDefault="00D4414E" w:rsidP="00D4414E">
            <w:pPr>
              <w:spacing w:after="180"/>
              <w:jc w:val="left"/>
              <w:rPr>
                <w:sz w:val="16"/>
                <w:szCs w:val="16"/>
              </w:rPr>
            </w:pPr>
            <w:r w:rsidRPr="00D4414E">
              <w:rPr>
                <w:sz w:val="16"/>
                <w:szCs w:val="16"/>
              </w:rPr>
              <w:t xml:space="preserve">Koror has an MOU with Peleliu to jointly enforce the Southern Lagoon. </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01D53419" w14:textId="77777777" w:rsidR="00D4414E" w:rsidRPr="00D4414E" w:rsidRDefault="00D4414E" w:rsidP="00D4414E">
            <w:pPr>
              <w:spacing w:after="180"/>
              <w:jc w:val="left"/>
              <w:rPr>
                <w:sz w:val="16"/>
                <w:szCs w:val="16"/>
              </w:rPr>
            </w:pPr>
            <w:r w:rsidRPr="00D4414E">
              <w:rPr>
                <w:sz w:val="16"/>
                <w:szCs w:val="16"/>
              </w:rPr>
              <w:t>There is some support.</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14:paraId="6B3C5163" w14:textId="77777777" w:rsidR="00D4414E" w:rsidRPr="00D4414E" w:rsidRDefault="00D4414E" w:rsidP="00D4414E">
            <w:pPr>
              <w:spacing w:after="180"/>
              <w:jc w:val="left"/>
              <w:rPr>
                <w:sz w:val="16"/>
                <w:szCs w:val="16"/>
              </w:rPr>
            </w:pPr>
            <w:r w:rsidRPr="00D4414E">
              <w:rPr>
                <w:sz w:val="16"/>
                <w:szCs w:val="16"/>
              </w:rPr>
              <w:t>Outreach on the importance of a Master Plan, followed by preliminary steps to set up and empower Planning Teams (helping draft legislation, select stakeholders, visioning).</w:t>
            </w:r>
          </w:p>
        </w:tc>
      </w:tr>
    </w:tbl>
    <w:p w14:paraId="3D0FC570" w14:textId="2116303B" w:rsidR="00D4414E" w:rsidRPr="00036066" w:rsidRDefault="00D4414E" w:rsidP="00D4414E">
      <w:pPr>
        <w:pStyle w:val="ListParagraph"/>
        <w:spacing w:after="200"/>
        <w:ind w:left="1800"/>
        <w:contextualSpacing/>
        <w:rPr>
          <w:rFonts w:asciiTheme="majorHAnsi" w:hAnsiTheme="majorHAnsi"/>
          <w:sz w:val="22"/>
          <w:szCs w:val="22"/>
        </w:rPr>
      </w:pPr>
    </w:p>
    <w:p w14:paraId="6845B6CB" w14:textId="77777777" w:rsidR="00573F86" w:rsidRDefault="00573F86" w:rsidP="0062641C">
      <w:pPr>
        <w:pStyle w:val="Footer"/>
        <w:spacing w:before="120" w:after="120"/>
        <w:jc w:val="center"/>
        <w:rPr>
          <w:b/>
          <w:highlight w:val="yellow"/>
        </w:rPr>
        <w:sectPr w:rsidR="00573F86" w:rsidSect="00F20987">
          <w:pgSz w:w="12240" w:h="15840" w:code="1"/>
          <w:pgMar w:top="1440" w:right="1440" w:bottom="1440" w:left="1440" w:header="720" w:footer="720" w:gutter="0"/>
          <w:cols w:space="720"/>
          <w:docGrid w:linePitch="360"/>
        </w:sectPr>
      </w:pPr>
    </w:p>
    <w:p w14:paraId="60F747A8" w14:textId="77777777" w:rsidR="00A11855" w:rsidRPr="006D63E5" w:rsidRDefault="00A11855" w:rsidP="00A11855">
      <w:pPr>
        <w:jc w:val="right"/>
        <w:rPr>
          <w:rFonts w:asciiTheme="majorHAnsi" w:hAnsiTheme="majorHAnsi"/>
          <w:b/>
          <w:sz w:val="20"/>
          <w:szCs w:val="20"/>
        </w:rPr>
      </w:pPr>
      <w:r w:rsidRPr="006D63E5">
        <w:rPr>
          <w:rFonts w:asciiTheme="majorHAnsi" w:hAnsiTheme="majorHAnsi"/>
          <w:b/>
          <w:sz w:val="20"/>
          <w:szCs w:val="20"/>
        </w:rPr>
        <w:lastRenderedPageBreak/>
        <w:t>Annex 4</w:t>
      </w:r>
    </w:p>
    <w:p w14:paraId="0984D3E6" w14:textId="5955E013" w:rsidR="00A11855" w:rsidRPr="006D63E5" w:rsidRDefault="00A11855" w:rsidP="00A11855">
      <w:pPr>
        <w:jc w:val="center"/>
        <w:rPr>
          <w:rFonts w:asciiTheme="majorHAnsi" w:hAnsiTheme="majorHAnsi"/>
          <w:b/>
          <w:sz w:val="20"/>
          <w:szCs w:val="20"/>
        </w:rPr>
      </w:pPr>
      <w:r w:rsidRPr="006D63E5">
        <w:rPr>
          <w:rFonts w:asciiTheme="majorHAnsi" w:hAnsiTheme="majorHAnsi"/>
          <w:b/>
          <w:sz w:val="20"/>
          <w:szCs w:val="20"/>
        </w:rPr>
        <w:t>Framework for Participatory Lan</w:t>
      </w:r>
      <w:r w:rsidR="00DB6EB8" w:rsidRPr="006D63E5">
        <w:rPr>
          <w:rFonts w:asciiTheme="majorHAnsi" w:hAnsiTheme="majorHAnsi"/>
          <w:b/>
          <w:sz w:val="20"/>
          <w:szCs w:val="20"/>
        </w:rPr>
        <w:t>d/</w:t>
      </w:r>
      <w:r w:rsidRPr="006D63E5">
        <w:rPr>
          <w:rFonts w:asciiTheme="majorHAnsi" w:hAnsiTheme="majorHAnsi"/>
          <w:b/>
          <w:sz w:val="20"/>
          <w:szCs w:val="20"/>
        </w:rPr>
        <w:t>Seascape Planning and Management</w:t>
      </w:r>
    </w:p>
    <w:p w14:paraId="47C1C631" w14:textId="77777777" w:rsidR="00A11855" w:rsidRPr="006D63E5" w:rsidRDefault="00A11855" w:rsidP="00A11855">
      <w:pPr>
        <w:rPr>
          <w:rFonts w:asciiTheme="majorHAnsi" w:hAnsiTheme="majorHAnsi"/>
          <w:b/>
          <w:sz w:val="20"/>
          <w:szCs w:val="20"/>
        </w:rPr>
      </w:pPr>
    </w:p>
    <w:p w14:paraId="6FDD2302" w14:textId="77777777" w:rsidR="00A11855" w:rsidRPr="006D63E5" w:rsidRDefault="00A11855" w:rsidP="00A11855">
      <w:pPr>
        <w:rPr>
          <w:rFonts w:asciiTheme="majorHAnsi" w:hAnsiTheme="majorHAnsi"/>
          <w:b/>
          <w:sz w:val="20"/>
          <w:szCs w:val="20"/>
        </w:rPr>
      </w:pPr>
      <w:r w:rsidRPr="006D63E5">
        <w:rPr>
          <w:rFonts w:asciiTheme="majorHAnsi" w:hAnsiTheme="majorHAnsi"/>
          <w:b/>
          <w:sz w:val="20"/>
          <w:szCs w:val="20"/>
        </w:rPr>
        <w:t>Introduction</w:t>
      </w:r>
      <w:r w:rsidRPr="006D63E5">
        <w:rPr>
          <w:rFonts w:asciiTheme="majorHAnsi" w:hAnsiTheme="majorHAnsi"/>
          <w:b/>
          <w:sz w:val="20"/>
          <w:szCs w:val="20"/>
        </w:rPr>
        <w:tab/>
      </w:r>
    </w:p>
    <w:p w14:paraId="1195026F" w14:textId="7F39ED3B" w:rsidR="00A11855" w:rsidRPr="006D63E5" w:rsidRDefault="00A11855" w:rsidP="00A11855">
      <w:pPr>
        <w:rPr>
          <w:rFonts w:asciiTheme="majorHAnsi" w:hAnsiTheme="majorHAnsi"/>
          <w:sz w:val="20"/>
          <w:szCs w:val="20"/>
        </w:rPr>
      </w:pPr>
      <w:r w:rsidRPr="006D63E5">
        <w:rPr>
          <w:rFonts w:asciiTheme="majorHAnsi" w:hAnsiTheme="majorHAnsi"/>
          <w:i/>
          <w:sz w:val="20"/>
          <w:szCs w:val="20"/>
        </w:rPr>
        <w:t xml:space="preserve">A </w:t>
      </w:r>
      <w:r w:rsidR="00625014" w:rsidRPr="006D63E5">
        <w:rPr>
          <w:rFonts w:asciiTheme="majorHAnsi" w:hAnsiTheme="majorHAnsi"/>
          <w:i/>
          <w:sz w:val="20"/>
          <w:szCs w:val="20"/>
        </w:rPr>
        <w:t xml:space="preserve">“Ridge-to-Reef” </w:t>
      </w:r>
      <w:r w:rsidRPr="006D63E5">
        <w:rPr>
          <w:rFonts w:asciiTheme="majorHAnsi" w:hAnsiTheme="majorHAnsi"/>
          <w:i/>
          <w:sz w:val="20"/>
          <w:szCs w:val="20"/>
        </w:rPr>
        <w:t>land/seascape approach to conservation is intended to ensure that the ecological integrity of a particular area is ensured by improved management of the biological, social and economic factors that impinge on the ecological integrity</w:t>
      </w:r>
      <w:r w:rsidRPr="006D63E5">
        <w:rPr>
          <w:rFonts w:asciiTheme="majorHAnsi" w:hAnsiTheme="majorHAnsi"/>
          <w:sz w:val="20"/>
          <w:szCs w:val="20"/>
        </w:rPr>
        <w:t xml:space="preserve"> </w:t>
      </w:r>
      <w:r w:rsidRPr="006D63E5">
        <w:rPr>
          <w:rFonts w:asciiTheme="majorHAnsi" w:hAnsiTheme="majorHAnsi"/>
          <w:i/>
          <w:sz w:val="20"/>
          <w:szCs w:val="20"/>
        </w:rPr>
        <w:t>of that area</w:t>
      </w:r>
      <w:r w:rsidR="00625014" w:rsidRPr="006D63E5">
        <w:rPr>
          <w:rFonts w:asciiTheme="majorHAnsi" w:hAnsiTheme="majorHAnsi"/>
          <w:i/>
          <w:sz w:val="20"/>
          <w:szCs w:val="20"/>
        </w:rPr>
        <w:t xml:space="preserve"> as well as ensure that influences and connectivity between the land and seascape are recognized in an integrated planning exercise</w:t>
      </w:r>
      <w:r w:rsidR="00194AA1">
        <w:rPr>
          <w:rFonts w:asciiTheme="majorHAnsi" w:hAnsiTheme="majorHAnsi"/>
          <w:sz w:val="20"/>
          <w:szCs w:val="20"/>
        </w:rPr>
        <w:t xml:space="preserve">. </w:t>
      </w:r>
      <w:r w:rsidRPr="006D63E5">
        <w:rPr>
          <w:rFonts w:asciiTheme="majorHAnsi" w:hAnsiTheme="majorHAnsi"/>
          <w:sz w:val="20"/>
          <w:szCs w:val="20"/>
        </w:rPr>
        <w:t>This requires strategies that succeed in a mosaic of different land</w:t>
      </w:r>
      <w:r w:rsidR="00625014" w:rsidRPr="006D63E5">
        <w:rPr>
          <w:rFonts w:asciiTheme="majorHAnsi" w:hAnsiTheme="majorHAnsi"/>
          <w:sz w:val="20"/>
          <w:szCs w:val="20"/>
        </w:rPr>
        <w:t xml:space="preserve"> and sea</w:t>
      </w:r>
      <w:r w:rsidRPr="006D63E5">
        <w:rPr>
          <w:rFonts w:asciiTheme="majorHAnsi" w:hAnsiTheme="majorHAnsi"/>
          <w:sz w:val="20"/>
          <w:szCs w:val="20"/>
        </w:rPr>
        <w:t xml:space="preserve"> uses that not only conserve biodiversity but also allows sustainable and environmentally-friendly economic development activities to take place</w:t>
      </w:r>
      <w:r w:rsidR="00194AA1">
        <w:rPr>
          <w:rFonts w:asciiTheme="majorHAnsi" w:hAnsiTheme="majorHAnsi"/>
          <w:sz w:val="20"/>
          <w:szCs w:val="20"/>
        </w:rPr>
        <w:t xml:space="preserve">. </w:t>
      </w:r>
      <w:r w:rsidRPr="006D63E5">
        <w:rPr>
          <w:rFonts w:asciiTheme="majorHAnsi" w:hAnsiTheme="majorHAnsi"/>
          <w:sz w:val="20"/>
          <w:szCs w:val="20"/>
        </w:rPr>
        <w:t xml:space="preserve">These conservation strategies must therefore integrate land and sea resource uses in a myriad of diverse components within the landscape such as protected areas, forest production areas, agricultural and fisheries zones, tourism zones, human habitations and other land uses. </w:t>
      </w:r>
    </w:p>
    <w:p w14:paraId="1C8B15CC" w14:textId="77777777" w:rsidR="00A11855" w:rsidRPr="006D63E5" w:rsidRDefault="00A11855" w:rsidP="00A11855">
      <w:pPr>
        <w:rPr>
          <w:rFonts w:asciiTheme="majorHAnsi" w:hAnsiTheme="majorHAnsi"/>
          <w:b/>
          <w:sz w:val="20"/>
          <w:szCs w:val="20"/>
        </w:rPr>
      </w:pPr>
      <w:r w:rsidRPr="006D63E5">
        <w:rPr>
          <w:rFonts w:asciiTheme="majorHAnsi" w:hAnsiTheme="majorHAnsi"/>
          <w:b/>
          <w:sz w:val="20"/>
          <w:szCs w:val="20"/>
        </w:rPr>
        <w:t>Intent of Land/Seascape Management Planning Approach</w:t>
      </w:r>
    </w:p>
    <w:p w14:paraId="1ECFF2CD" w14:textId="158666A4" w:rsidR="00A11855" w:rsidRPr="006D63E5" w:rsidRDefault="00A11855" w:rsidP="00A11855">
      <w:pPr>
        <w:rPr>
          <w:rFonts w:asciiTheme="majorHAnsi" w:hAnsiTheme="majorHAnsi"/>
          <w:sz w:val="20"/>
          <w:szCs w:val="20"/>
        </w:rPr>
      </w:pPr>
      <w:r w:rsidRPr="006D63E5">
        <w:rPr>
          <w:rFonts w:asciiTheme="majorHAnsi" w:hAnsiTheme="majorHAnsi"/>
          <w:sz w:val="20"/>
          <w:szCs w:val="20"/>
        </w:rPr>
        <w:t>Because the Palauan land</w:t>
      </w:r>
      <w:r w:rsidR="00625014" w:rsidRPr="006D63E5">
        <w:rPr>
          <w:rFonts w:asciiTheme="majorHAnsi" w:hAnsiTheme="majorHAnsi"/>
          <w:sz w:val="20"/>
          <w:szCs w:val="20"/>
        </w:rPr>
        <w:t>/sea</w:t>
      </w:r>
      <w:r w:rsidRPr="006D63E5">
        <w:rPr>
          <w:rFonts w:asciiTheme="majorHAnsi" w:hAnsiTheme="majorHAnsi"/>
          <w:sz w:val="20"/>
          <w:szCs w:val="20"/>
        </w:rPr>
        <w:t>scapes are spatially heterogeneous areas, there is a need to define the kinds of land uses that most directly influence or impact on the conservation status of the land/seascape</w:t>
      </w:r>
      <w:r w:rsidR="00194AA1">
        <w:rPr>
          <w:rFonts w:asciiTheme="majorHAnsi" w:hAnsiTheme="majorHAnsi"/>
          <w:sz w:val="20"/>
          <w:szCs w:val="20"/>
        </w:rPr>
        <w:t xml:space="preserve">. </w:t>
      </w:r>
      <w:r w:rsidRPr="006D63E5">
        <w:rPr>
          <w:rFonts w:asciiTheme="majorHAnsi" w:hAnsiTheme="majorHAnsi"/>
          <w:sz w:val="20"/>
          <w:szCs w:val="20"/>
        </w:rPr>
        <w:t>The goal of the land/seascape planning exercise is thus to focus on geographic or ecological distinctions and influences within the land/seascape and the patterns of biodiversity over the land/seascape with the focus on conserving the most species rich places, such as important species, habitats, vegetation types and ecological units, as well as enhance ecosystem services and the economic viability of local communities as a means towards biodiversity and ecosystem conservation</w:t>
      </w:r>
      <w:r w:rsidR="00194AA1">
        <w:rPr>
          <w:rFonts w:asciiTheme="majorHAnsi" w:hAnsiTheme="majorHAnsi"/>
          <w:sz w:val="20"/>
          <w:szCs w:val="20"/>
        </w:rPr>
        <w:t xml:space="preserve">. </w:t>
      </w:r>
      <w:r w:rsidRPr="006D63E5">
        <w:rPr>
          <w:rFonts w:asciiTheme="majorHAnsi" w:hAnsiTheme="majorHAnsi"/>
          <w:sz w:val="20"/>
          <w:szCs w:val="20"/>
        </w:rPr>
        <w:t>It must also ensure representation of species, communities and ecological aspects in the land</w:t>
      </w:r>
      <w:r w:rsidR="00625014" w:rsidRPr="006D63E5">
        <w:rPr>
          <w:rFonts w:asciiTheme="majorHAnsi" w:hAnsiTheme="majorHAnsi"/>
          <w:sz w:val="20"/>
          <w:szCs w:val="20"/>
        </w:rPr>
        <w:t>/sea</w:t>
      </w:r>
      <w:r w:rsidRPr="006D63E5">
        <w:rPr>
          <w:rFonts w:asciiTheme="majorHAnsi" w:hAnsiTheme="majorHAnsi"/>
          <w:sz w:val="20"/>
          <w:szCs w:val="20"/>
        </w:rPr>
        <w:t xml:space="preserve">scape. </w:t>
      </w:r>
    </w:p>
    <w:p w14:paraId="0EFAEC37" w14:textId="77777777" w:rsidR="009043EC" w:rsidRPr="006D63E5" w:rsidRDefault="009043EC" w:rsidP="009043EC">
      <w:pPr>
        <w:rPr>
          <w:rFonts w:asciiTheme="majorHAnsi" w:hAnsiTheme="majorHAnsi"/>
          <w:b/>
          <w:sz w:val="20"/>
          <w:szCs w:val="20"/>
        </w:rPr>
      </w:pPr>
      <w:r w:rsidRPr="006D63E5">
        <w:rPr>
          <w:rFonts w:asciiTheme="majorHAnsi" w:hAnsiTheme="majorHAnsi"/>
          <w:b/>
          <w:sz w:val="20"/>
          <w:szCs w:val="20"/>
        </w:rPr>
        <w:t>Overview of the Approach</w:t>
      </w:r>
    </w:p>
    <w:p w14:paraId="4B44B64C" w14:textId="77777777" w:rsidR="009043EC" w:rsidRPr="006D63E5" w:rsidRDefault="009043EC" w:rsidP="009043EC">
      <w:pPr>
        <w:rPr>
          <w:rFonts w:asciiTheme="majorHAnsi" w:hAnsiTheme="majorHAnsi"/>
          <w:sz w:val="20"/>
          <w:szCs w:val="20"/>
        </w:rPr>
      </w:pPr>
      <w:r w:rsidRPr="006D63E5">
        <w:rPr>
          <w:rFonts w:asciiTheme="majorHAnsi" w:hAnsiTheme="majorHAnsi"/>
          <w:sz w:val="20"/>
          <w:szCs w:val="20"/>
        </w:rPr>
        <w:t xml:space="preserve">Planning will take the following approach: </w:t>
      </w:r>
    </w:p>
    <w:p w14:paraId="261263EB" w14:textId="57143E2D" w:rsidR="009043EC" w:rsidRPr="006D63E5" w:rsidRDefault="009043EC" w:rsidP="00EA4043">
      <w:pPr>
        <w:pStyle w:val="ListParagraph"/>
        <w:numPr>
          <w:ilvl w:val="0"/>
          <w:numId w:val="102"/>
        </w:numPr>
        <w:rPr>
          <w:rFonts w:asciiTheme="majorHAnsi" w:hAnsiTheme="majorHAnsi"/>
          <w:sz w:val="20"/>
          <w:szCs w:val="20"/>
        </w:rPr>
      </w:pPr>
      <w:r w:rsidRPr="00DB6EB8">
        <w:rPr>
          <w:rFonts w:asciiTheme="majorHAnsi" w:hAnsiTheme="majorHAnsi"/>
          <w:sz w:val="20"/>
          <w:szCs w:val="20"/>
        </w:rPr>
        <w:t>Land</w:t>
      </w:r>
      <w:r w:rsidR="00625014" w:rsidRPr="006D63E5">
        <w:rPr>
          <w:rFonts w:asciiTheme="majorHAnsi" w:hAnsiTheme="majorHAnsi"/>
          <w:sz w:val="20"/>
          <w:szCs w:val="20"/>
        </w:rPr>
        <w:t>/sea</w:t>
      </w:r>
      <w:r w:rsidRPr="006D63E5">
        <w:rPr>
          <w:rFonts w:asciiTheme="majorHAnsi" w:hAnsiTheme="majorHAnsi"/>
          <w:sz w:val="20"/>
          <w:szCs w:val="20"/>
        </w:rPr>
        <w:t>scape-level Mapping Exercise of key biodiversity and biodiversity values on Babeldaob and in the Southern Lagoon</w:t>
      </w:r>
    </w:p>
    <w:p w14:paraId="2A8FEDD6" w14:textId="564D9FA3" w:rsidR="009043EC" w:rsidRPr="006D63E5" w:rsidRDefault="009043EC" w:rsidP="00EA4043">
      <w:pPr>
        <w:pStyle w:val="ListParagraph"/>
        <w:numPr>
          <w:ilvl w:val="0"/>
          <w:numId w:val="102"/>
        </w:numPr>
        <w:rPr>
          <w:rFonts w:asciiTheme="majorHAnsi" w:hAnsiTheme="majorHAnsi"/>
          <w:sz w:val="20"/>
          <w:szCs w:val="20"/>
        </w:rPr>
      </w:pPr>
      <w:r w:rsidRPr="00DB6EB8">
        <w:rPr>
          <w:rFonts w:asciiTheme="majorHAnsi" w:hAnsiTheme="majorHAnsi"/>
          <w:sz w:val="20"/>
          <w:szCs w:val="20"/>
        </w:rPr>
        <w:t xml:space="preserve">Based on overlays of values, threats, and current and proposed actions; Definition </w:t>
      </w:r>
      <w:r w:rsidRPr="006D63E5">
        <w:rPr>
          <w:rFonts w:asciiTheme="majorHAnsi" w:hAnsiTheme="majorHAnsi"/>
          <w:sz w:val="20"/>
          <w:szCs w:val="20"/>
        </w:rPr>
        <w:t>and prioritization of zones/sites for specific conservation interventions within the 5 key sectors (agriculture, aquaculture, forestry, fisheries, and sustainable tourism)</w:t>
      </w:r>
    </w:p>
    <w:p w14:paraId="6EA3FECF" w14:textId="3EA23B09" w:rsidR="009043EC" w:rsidRPr="006D63E5" w:rsidRDefault="009043EC" w:rsidP="00EA4043">
      <w:pPr>
        <w:pStyle w:val="ListParagraph"/>
        <w:numPr>
          <w:ilvl w:val="0"/>
          <w:numId w:val="102"/>
        </w:numPr>
        <w:rPr>
          <w:rFonts w:asciiTheme="majorHAnsi" w:hAnsiTheme="majorHAnsi"/>
          <w:sz w:val="20"/>
          <w:szCs w:val="20"/>
        </w:rPr>
      </w:pPr>
      <w:r w:rsidRPr="00DB6EB8">
        <w:rPr>
          <w:rFonts w:asciiTheme="majorHAnsi" w:hAnsiTheme="majorHAnsi"/>
          <w:sz w:val="20"/>
          <w:szCs w:val="20"/>
        </w:rPr>
        <w:t>Land</w:t>
      </w:r>
      <w:r w:rsidR="00625014" w:rsidRPr="006D63E5">
        <w:rPr>
          <w:rFonts w:asciiTheme="majorHAnsi" w:hAnsiTheme="majorHAnsi"/>
          <w:sz w:val="20"/>
          <w:szCs w:val="20"/>
        </w:rPr>
        <w:t>/sea</w:t>
      </w:r>
      <w:r w:rsidRPr="006D63E5">
        <w:rPr>
          <w:rFonts w:asciiTheme="majorHAnsi" w:hAnsiTheme="majorHAnsi"/>
          <w:sz w:val="20"/>
          <w:szCs w:val="20"/>
        </w:rPr>
        <w:t>scape-level Based Collaborative Planning, resulting in one ILSM strategy for Babeldaob and another for the Southern Lagoon, to include shared visions and identification and agreement of broad strategies</w:t>
      </w:r>
    </w:p>
    <w:p w14:paraId="247343C3" w14:textId="77777777" w:rsidR="009043EC" w:rsidRPr="006D63E5" w:rsidRDefault="009043EC" w:rsidP="00EA4043">
      <w:pPr>
        <w:pStyle w:val="ListParagraph"/>
        <w:numPr>
          <w:ilvl w:val="0"/>
          <w:numId w:val="102"/>
        </w:numPr>
        <w:rPr>
          <w:rFonts w:asciiTheme="majorHAnsi" w:hAnsiTheme="majorHAnsi"/>
          <w:sz w:val="20"/>
          <w:szCs w:val="20"/>
        </w:rPr>
      </w:pPr>
      <w:r w:rsidRPr="00DB6EB8">
        <w:rPr>
          <w:rFonts w:asciiTheme="majorHAnsi" w:hAnsiTheme="majorHAnsi"/>
          <w:sz w:val="20"/>
          <w:szCs w:val="20"/>
        </w:rPr>
        <w:t>State-based community planning</w:t>
      </w:r>
      <w:r w:rsidRPr="006D63E5">
        <w:rPr>
          <w:rFonts w:asciiTheme="majorHAnsi" w:hAnsiTheme="majorHAnsi"/>
          <w:sz w:val="20"/>
          <w:szCs w:val="20"/>
        </w:rPr>
        <w:t xml:space="preserve"> to create state ILSMPs (in the 9 project states), including identification of specific sites for intervention (with best practices) </w:t>
      </w:r>
    </w:p>
    <w:p w14:paraId="74FB4D5A" w14:textId="77777777" w:rsidR="009043EC" w:rsidRPr="006D63E5" w:rsidRDefault="009043EC" w:rsidP="00EA4043">
      <w:pPr>
        <w:pStyle w:val="ListParagraph"/>
        <w:numPr>
          <w:ilvl w:val="0"/>
          <w:numId w:val="102"/>
        </w:numPr>
        <w:rPr>
          <w:rFonts w:asciiTheme="majorHAnsi" w:hAnsiTheme="majorHAnsi"/>
          <w:sz w:val="20"/>
          <w:szCs w:val="20"/>
        </w:rPr>
      </w:pPr>
      <w:r w:rsidRPr="00DB6EB8">
        <w:rPr>
          <w:rFonts w:asciiTheme="majorHAnsi" w:hAnsiTheme="majorHAnsi"/>
          <w:sz w:val="20"/>
          <w:szCs w:val="20"/>
        </w:rPr>
        <w:t>Ongoing Site-based planning to guide implementation of best practices</w:t>
      </w:r>
    </w:p>
    <w:p w14:paraId="683F0AA7" w14:textId="77777777" w:rsidR="009043EC" w:rsidRPr="006D63E5" w:rsidRDefault="009043EC" w:rsidP="00A11855">
      <w:pPr>
        <w:rPr>
          <w:rFonts w:asciiTheme="majorHAnsi" w:hAnsiTheme="majorHAnsi"/>
          <w:sz w:val="20"/>
          <w:szCs w:val="20"/>
        </w:rPr>
      </w:pPr>
    </w:p>
    <w:p w14:paraId="66F08C07" w14:textId="011CF079" w:rsidR="009043EC" w:rsidRPr="006D63E5" w:rsidRDefault="00A11855" w:rsidP="009043EC">
      <w:pPr>
        <w:rPr>
          <w:rFonts w:asciiTheme="majorHAnsi" w:hAnsiTheme="majorHAnsi"/>
          <w:b/>
          <w:sz w:val="20"/>
          <w:szCs w:val="20"/>
        </w:rPr>
      </w:pPr>
      <w:r w:rsidRPr="006D63E5">
        <w:rPr>
          <w:rFonts w:asciiTheme="majorHAnsi" w:hAnsiTheme="majorHAnsi"/>
          <w:b/>
          <w:sz w:val="20"/>
          <w:szCs w:val="20"/>
        </w:rPr>
        <w:t>Method for Prioritizing Land</w:t>
      </w:r>
      <w:r w:rsidR="00625014" w:rsidRPr="006D63E5">
        <w:rPr>
          <w:rFonts w:asciiTheme="majorHAnsi" w:hAnsiTheme="majorHAnsi"/>
          <w:b/>
          <w:sz w:val="20"/>
          <w:szCs w:val="20"/>
        </w:rPr>
        <w:t>/sea</w:t>
      </w:r>
      <w:r w:rsidRPr="006D63E5">
        <w:rPr>
          <w:rFonts w:asciiTheme="majorHAnsi" w:hAnsiTheme="majorHAnsi"/>
          <w:b/>
          <w:sz w:val="20"/>
          <w:szCs w:val="20"/>
        </w:rPr>
        <w:t>scapes</w:t>
      </w:r>
      <w:r w:rsidR="009043EC" w:rsidRPr="006D63E5">
        <w:rPr>
          <w:rFonts w:asciiTheme="majorHAnsi" w:hAnsiTheme="majorHAnsi"/>
          <w:b/>
          <w:sz w:val="20"/>
          <w:szCs w:val="20"/>
        </w:rPr>
        <w:t xml:space="preserve"> (1: Land</w:t>
      </w:r>
      <w:r w:rsidR="00625014" w:rsidRPr="006D63E5">
        <w:rPr>
          <w:rFonts w:asciiTheme="majorHAnsi" w:hAnsiTheme="majorHAnsi"/>
          <w:b/>
          <w:sz w:val="20"/>
          <w:szCs w:val="20"/>
        </w:rPr>
        <w:t>/sea</w:t>
      </w:r>
      <w:r w:rsidR="009043EC" w:rsidRPr="006D63E5">
        <w:rPr>
          <w:rFonts w:asciiTheme="majorHAnsi" w:hAnsiTheme="majorHAnsi"/>
          <w:b/>
          <w:sz w:val="20"/>
          <w:szCs w:val="20"/>
        </w:rPr>
        <w:t>scape-level Mapping Exercise and #2: Definition and Prioritization of Zones)</w:t>
      </w:r>
    </w:p>
    <w:p w14:paraId="2AA26516" w14:textId="04F9319A" w:rsidR="00A11855" w:rsidRPr="006D63E5" w:rsidRDefault="00A11855" w:rsidP="00A11855">
      <w:pPr>
        <w:rPr>
          <w:rFonts w:asciiTheme="majorHAnsi" w:hAnsiTheme="majorHAnsi"/>
          <w:b/>
          <w:sz w:val="20"/>
          <w:szCs w:val="20"/>
        </w:rPr>
      </w:pPr>
    </w:p>
    <w:p w14:paraId="330CC2D4" w14:textId="23BC1DC3" w:rsidR="00A11855" w:rsidRPr="006D63E5" w:rsidRDefault="00A11855" w:rsidP="00A11855">
      <w:pPr>
        <w:rPr>
          <w:rFonts w:asciiTheme="majorHAnsi" w:hAnsiTheme="majorHAnsi"/>
          <w:sz w:val="20"/>
          <w:szCs w:val="20"/>
        </w:rPr>
      </w:pPr>
      <w:r w:rsidRPr="006D63E5">
        <w:rPr>
          <w:rFonts w:asciiTheme="majorHAnsi" w:hAnsiTheme="majorHAnsi"/>
          <w:sz w:val="20"/>
          <w:szCs w:val="20"/>
        </w:rPr>
        <w:t>This outlines the process for identifying priority areas within the land/seascape where conservation, sustainable resource use, and livelihood interventions are required</w:t>
      </w:r>
      <w:r w:rsidR="00194AA1">
        <w:rPr>
          <w:rFonts w:asciiTheme="majorHAnsi" w:hAnsiTheme="majorHAnsi"/>
          <w:sz w:val="20"/>
          <w:szCs w:val="20"/>
        </w:rPr>
        <w:t xml:space="preserve">. </w:t>
      </w:r>
      <w:r w:rsidRPr="006D63E5">
        <w:rPr>
          <w:rFonts w:asciiTheme="majorHAnsi" w:hAnsiTheme="majorHAnsi"/>
          <w:sz w:val="20"/>
          <w:szCs w:val="20"/>
        </w:rPr>
        <w:t>The ensuing mapping exercise is intended to help identify critical areas for biodiversity conservation within the land/seascape, key dispersal corridors, locations of high pressure and vulnerability, land use and protected area boundaries to improve ecological viability and conservation management, identify areas for sustainable resource use and forest and marine area restoration, and locations of community livelihood and income activities</w:t>
      </w:r>
      <w:r w:rsidR="00194AA1">
        <w:rPr>
          <w:rFonts w:asciiTheme="majorHAnsi" w:hAnsiTheme="majorHAnsi"/>
          <w:sz w:val="20"/>
          <w:szCs w:val="20"/>
        </w:rPr>
        <w:t xml:space="preserve">. </w:t>
      </w:r>
      <w:r w:rsidRPr="006D63E5">
        <w:rPr>
          <w:rFonts w:asciiTheme="majorHAnsi" w:hAnsiTheme="majorHAnsi"/>
          <w:sz w:val="20"/>
          <w:szCs w:val="20"/>
        </w:rPr>
        <w:t xml:space="preserve">In particular, the mapping would involve the definition of the biological landscape, the identification of the human resource use and impact that occurs in these areas, and overlaying them to defining parts of the land/seascape that meets the needs of conservation actions and those parts of the land/seascape where </w:t>
      </w:r>
      <w:r w:rsidRPr="006D63E5">
        <w:rPr>
          <w:rFonts w:asciiTheme="majorHAnsi" w:hAnsiTheme="majorHAnsi"/>
          <w:sz w:val="20"/>
          <w:szCs w:val="20"/>
        </w:rPr>
        <w:lastRenderedPageBreak/>
        <w:t>human activity is more likely to threaten biodiversity and ecosystems and where land management needs to change to improve conservation outcomes. The mapping and ensuing planning would further help in informing on-the-ground actions to support biodiversity conservation and sector specific activities (e.g. best practices in forestry, fisheries, aquaculture, tourism and agriculture) that can be designed and implemented in a biodiversity-friendly manner.</w:t>
      </w:r>
    </w:p>
    <w:p w14:paraId="0B9AFD96" w14:textId="77777777" w:rsidR="00A11855" w:rsidRPr="006D63E5" w:rsidRDefault="00A11855" w:rsidP="00A11855">
      <w:pPr>
        <w:rPr>
          <w:rFonts w:asciiTheme="majorHAnsi" w:hAnsiTheme="majorHAnsi"/>
          <w:sz w:val="20"/>
          <w:szCs w:val="20"/>
        </w:rPr>
      </w:pPr>
      <w:r w:rsidRPr="006D63E5">
        <w:rPr>
          <w:rFonts w:asciiTheme="majorHAnsi" w:hAnsiTheme="majorHAnsi"/>
          <w:sz w:val="20"/>
          <w:szCs w:val="20"/>
        </w:rPr>
        <w:t>This document provides a step-by-step guide to defining zones that meet the ecological and biodiversity conservation requirements while taking into consideration the socio-economic needs of the local people living in and around the area.</w:t>
      </w:r>
    </w:p>
    <w:p w14:paraId="53FF0A4E" w14:textId="4A7C5165" w:rsidR="00A11855" w:rsidRPr="006D63E5" w:rsidRDefault="00A11855" w:rsidP="00EA4043">
      <w:pPr>
        <w:pStyle w:val="ListParagraph"/>
        <w:numPr>
          <w:ilvl w:val="0"/>
          <w:numId w:val="97"/>
        </w:numPr>
        <w:spacing w:after="200"/>
        <w:contextualSpacing/>
        <w:jc w:val="both"/>
        <w:rPr>
          <w:sz w:val="20"/>
          <w:szCs w:val="20"/>
        </w:rPr>
      </w:pPr>
      <w:r w:rsidRPr="00DB6EB8">
        <w:rPr>
          <w:rFonts w:asciiTheme="majorHAnsi" w:hAnsiTheme="majorHAnsi"/>
          <w:b/>
          <w:sz w:val="20"/>
          <w:szCs w:val="20"/>
        </w:rPr>
        <w:t xml:space="preserve">Defining and zoning the biological </w:t>
      </w:r>
      <w:r w:rsidRPr="006D63E5">
        <w:rPr>
          <w:rFonts w:asciiTheme="majorHAnsi" w:hAnsiTheme="majorHAnsi"/>
          <w:b/>
          <w:sz w:val="20"/>
          <w:szCs w:val="20"/>
        </w:rPr>
        <w:t>land</w:t>
      </w:r>
      <w:r w:rsidR="00625014" w:rsidRPr="006D63E5">
        <w:rPr>
          <w:rFonts w:asciiTheme="majorHAnsi" w:hAnsiTheme="majorHAnsi"/>
          <w:b/>
          <w:sz w:val="20"/>
          <w:szCs w:val="20"/>
        </w:rPr>
        <w:t>/sea</w:t>
      </w:r>
      <w:r w:rsidRPr="006D63E5">
        <w:rPr>
          <w:rFonts w:asciiTheme="majorHAnsi" w:hAnsiTheme="majorHAnsi"/>
          <w:b/>
          <w:sz w:val="20"/>
          <w:szCs w:val="20"/>
        </w:rPr>
        <w:t>scape</w:t>
      </w:r>
      <w:r w:rsidRPr="006D63E5">
        <w:rPr>
          <w:rFonts w:asciiTheme="majorHAnsi" w:hAnsiTheme="majorHAnsi"/>
          <w:sz w:val="20"/>
          <w:szCs w:val="20"/>
        </w:rPr>
        <w:t>:  The two priority land/seascape areas (Babeldaob Island and the Southern Lagoon) have already been selected for project intervention. The next step will be to define the biological elements within the general land/seascape that are important for the conservation of key species or ecosystems. This would entail mapping of the natural habitats and ecosystems and identification of biological values in terms of species richness, endemism, protected species (IUCN red list etc.), human value (including cultural and historical importance), suitability, and use, etc</w:t>
      </w:r>
      <w:r w:rsidR="00194AA1">
        <w:rPr>
          <w:rFonts w:asciiTheme="majorHAnsi" w:hAnsiTheme="majorHAnsi"/>
          <w:sz w:val="20"/>
          <w:szCs w:val="20"/>
        </w:rPr>
        <w:t xml:space="preserve">. </w:t>
      </w:r>
      <w:r w:rsidRPr="006D63E5">
        <w:rPr>
          <w:rFonts w:asciiTheme="majorHAnsi" w:hAnsiTheme="majorHAnsi"/>
          <w:sz w:val="20"/>
          <w:szCs w:val="20"/>
        </w:rPr>
        <w:t>This would then enable the prioritization of sites within the land/seascape that are critical or important for either the conservation of particular species populations or the conservation of critical ecosystems. The priority biological elements could include both intact and potentially restorable habitat and ecosystems areas, and human dominated areas if relevant. Maintaining connectivity across state boundaries would allow for the movement of individuals among populations and the colonization of areas following disturbance, and permitting the flow of water, nutrients and other materials across the system</w:t>
      </w:r>
      <w:r w:rsidR="00194AA1">
        <w:rPr>
          <w:rFonts w:asciiTheme="majorHAnsi" w:hAnsiTheme="majorHAnsi"/>
          <w:sz w:val="20"/>
          <w:szCs w:val="20"/>
        </w:rPr>
        <w:t xml:space="preserve">. </w:t>
      </w:r>
      <w:r w:rsidRPr="006D63E5">
        <w:rPr>
          <w:rFonts w:asciiTheme="majorHAnsi" w:hAnsiTheme="majorHAnsi"/>
          <w:sz w:val="20"/>
          <w:szCs w:val="20"/>
        </w:rPr>
        <w:t xml:space="preserve">The final output of this step would be a </w:t>
      </w:r>
      <w:r w:rsidR="009043EC" w:rsidRPr="006D63E5">
        <w:rPr>
          <w:rFonts w:asciiTheme="majorHAnsi" w:hAnsiTheme="majorHAnsi"/>
          <w:sz w:val="20"/>
          <w:szCs w:val="20"/>
        </w:rPr>
        <w:t xml:space="preserve">set of </w:t>
      </w:r>
      <w:r w:rsidRPr="006D63E5">
        <w:rPr>
          <w:rFonts w:asciiTheme="majorHAnsi" w:hAnsiTheme="majorHAnsi"/>
          <w:sz w:val="20"/>
          <w:szCs w:val="20"/>
        </w:rPr>
        <w:t>map</w:t>
      </w:r>
      <w:r w:rsidR="009043EC" w:rsidRPr="006D63E5">
        <w:rPr>
          <w:rFonts w:asciiTheme="majorHAnsi" w:hAnsiTheme="majorHAnsi"/>
          <w:sz w:val="20"/>
          <w:szCs w:val="20"/>
        </w:rPr>
        <w:t>s</w:t>
      </w:r>
      <w:r w:rsidRPr="006D63E5">
        <w:rPr>
          <w:rFonts w:asciiTheme="majorHAnsi" w:hAnsiTheme="majorHAnsi"/>
          <w:sz w:val="20"/>
          <w:szCs w:val="20"/>
        </w:rPr>
        <w:t xml:space="preserve"> (preferably 1:25000) depicting the spatial and temporal distribution of the biological elements and priority status of the habitats required for the survival of the key species and their spatial distribution necessary to conserve the maximum amount of biological diversity within the land/seascape and maintain the integrity of the land/seascape itself</w:t>
      </w:r>
      <w:r w:rsidR="00194AA1">
        <w:rPr>
          <w:rFonts w:asciiTheme="majorHAnsi" w:hAnsiTheme="majorHAnsi"/>
          <w:sz w:val="20"/>
          <w:szCs w:val="20"/>
        </w:rPr>
        <w:t xml:space="preserve">. </w:t>
      </w:r>
    </w:p>
    <w:p w14:paraId="7A3B2F9E" w14:textId="77777777" w:rsidR="00A11855" w:rsidRPr="006D63E5" w:rsidRDefault="00A11855" w:rsidP="00A11855">
      <w:pPr>
        <w:pStyle w:val="ListParagraph"/>
        <w:jc w:val="both"/>
        <w:rPr>
          <w:rFonts w:asciiTheme="majorHAnsi" w:hAnsiTheme="majorHAnsi"/>
          <w:sz w:val="20"/>
          <w:szCs w:val="20"/>
        </w:rPr>
      </w:pPr>
    </w:p>
    <w:p w14:paraId="4B9EC612" w14:textId="6CA048C0" w:rsidR="00A11855" w:rsidRPr="006D63E5" w:rsidRDefault="00A11855" w:rsidP="00EA4043">
      <w:pPr>
        <w:pStyle w:val="ListParagraph"/>
        <w:numPr>
          <w:ilvl w:val="0"/>
          <w:numId w:val="97"/>
        </w:numPr>
        <w:spacing w:after="200"/>
        <w:contextualSpacing/>
        <w:jc w:val="both"/>
        <w:rPr>
          <w:rFonts w:asciiTheme="majorHAnsi" w:hAnsiTheme="majorHAnsi"/>
          <w:sz w:val="20"/>
          <w:szCs w:val="20"/>
        </w:rPr>
      </w:pPr>
      <w:r w:rsidRPr="006D63E5">
        <w:rPr>
          <w:rFonts w:asciiTheme="majorHAnsi" w:hAnsiTheme="majorHAnsi"/>
          <w:b/>
          <w:sz w:val="20"/>
          <w:szCs w:val="20"/>
        </w:rPr>
        <w:t>Defining the human resource use or socio-economic land/seascape</w:t>
      </w:r>
      <w:r w:rsidRPr="006D63E5">
        <w:rPr>
          <w:rFonts w:asciiTheme="majorHAnsi" w:hAnsiTheme="majorHAnsi"/>
          <w:sz w:val="20"/>
          <w:szCs w:val="20"/>
        </w:rPr>
        <w:t>:  As a simultaneous exercise, it would be necessary to collect socio-economic data on current and planned land and resource uses, and undertake an analysis of the stakeholder groups (including owners) associated with them</w:t>
      </w:r>
      <w:r w:rsidR="00194AA1">
        <w:rPr>
          <w:rFonts w:asciiTheme="majorHAnsi" w:hAnsiTheme="majorHAnsi"/>
          <w:sz w:val="20"/>
          <w:szCs w:val="20"/>
        </w:rPr>
        <w:t xml:space="preserve">. </w:t>
      </w:r>
      <w:r w:rsidRPr="006D63E5">
        <w:rPr>
          <w:rFonts w:asciiTheme="majorHAnsi" w:hAnsiTheme="majorHAnsi"/>
          <w:sz w:val="20"/>
          <w:szCs w:val="20"/>
        </w:rPr>
        <w:t>It would help define the location, type and intensity of resource use, production potential (crop, agriculture, fisheries, tourism, aquaculture, grazing, etc.), livelihood and resource dependencies, and development activities that occur within the land/seascape</w:t>
      </w:r>
      <w:r w:rsidR="00194AA1">
        <w:rPr>
          <w:rFonts w:asciiTheme="majorHAnsi" w:hAnsiTheme="majorHAnsi"/>
          <w:sz w:val="20"/>
          <w:szCs w:val="20"/>
        </w:rPr>
        <w:t xml:space="preserve">. </w:t>
      </w:r>
      <w:r w:rsidRPr="006D63E5">
        <w:rPr>
          <w:rFonts w:asciiTheme="majorHAnsi" w:hAnsiTheme="majorHAnsi"/>
          <w:sz w:val="20"/>
          <w:szCs w:val="20"/>
        </w:rPr>
        <w:t>This would provide an overall land/seascape baseline that would summarize the social, geographical and occupational (livelihood) disaggregated state of resource use and dependence in the landscape</w:t>
      </w:r>
      <w:r w:rsidR="00194AA1">
        <w:rPr>
          <w:rFonts w:asciiTheme="majorHAnsi" w:hAnsiTheme="majorHAnsi"/>
          <w:sz w:val="20"/>
          <w:szCs w:val="20"/>
        </w:rPr>
        <w:t xml:space="preserve">. </w:t>
      </w:r>
      <w:r w:rsidRPr="006D63E5">
        <w:rPr>
          <w:rFonts w:asciiTheme="majorHAnsi" w:hAnsiTheme="majorHAnsi"/>
          <w:sz w:val="20"/>
          <w:szCs w:val="20"/>
        </w:rPr>
        <w:t>This information would subsequently help in identifying areas where human activity significantly threatens the survival of the key species and biodiversity and/or the integrity of the land/seascape unit as a whole</w:t>
      </w:r>
      <w:r w:rsidR="00194AA1">
        <w:rPr>
          <w:rFonts w:asciiTheme="majorHAnsi" w:hAnsiTheme="majorHAnsi"/>
          <w:sz w:val="20"/>
          <w:szCs w:val="20"/>
        </w:rPr>
        <w:t xml:space="preserve">. </w:t>
      </w:r>
      <w:r w:rsidRPr="006D63E5">
        <w:rPr>
          <w:rFonts w:asciiTheme="majorHAnsi" w:hAnsiTheme="majorHAnsi"/>
          <w:sz w:val="20"/>
          <w:szCs w:val="20"/>
        </w:rPr>
        <w:t>This exercise would entail the mapping of village locations within the general land</w:t>
      </w:r>
      <w:r w:rsidR="0094107A" w:rsidRPr="006D63E5">
        <w:rPr>
          <w:rFonts w:asciiTheme="majorHAnsi" w:hAnsiTheme="majorHAnsi"/>
          <w:sz w:val="20"/>
          <w:szCs w:val="20"/>
        </w:rPr>
        <w:t>/sea</w:t>
      </w:r>
      <w:r w:rsidRPr="006D63E5">
        <w:rPr>
          <w:rFonts w:asciiTheme="majorHAnsi" w:hAnsiTheme="majorHAnsi"/>
          <w:sz w:val="20"/>
          <w:szCs w:val="20"/>
        </w:rPr>
        <w:t>scape along with attributes such as demography, agronomic, fisheries and livelihood patterns, human development elements, and resource use dependencies</w:t>
      </w:r>
      <w:r w:rsidR="00194AA1">
        <w:rPr>
          <w:rFonts w:asciiTheme="majorHAnsi" w:hAnsiTheme="majorHAnsi"/>
          <w:sz w:val="20"/>
          <w:szCs w:val="20"/>
        </w:rPr>
        <w:t xml:space="preserve">. </w:t>
      </w:r>
      <w:r w:rsidRPr="006D63E5">
        <w:rPr>
          <w:rFonts w:asciiTheme="majorHAnsi" w:hAnsiTheme="majorHAnsi"/>
          <w:sz w:val="20"/>
          <w:szCs w:val="20"/>
        </w:rPr>
        <w:t>The resource use patterns would include information on types of resources extracted, quantity and method of extraction, use purpose (subsistence or commercial), periodicity and seasonality of resource use, etc</w:t>
      </w:r>
      <w:r w:rsidR="00194AA1">
        <w:rPr>
          <w:rFonts w:asciiTheme="majorHAnsi" w:hAnsiTheme="majorHAnsi"/>
          <w:sz w:val="20"/>
          <w:szCs w:val="20"/>
        </w:rPr>
        <w:t xml:space="preserve">. </w:t>
      </w:r>
      <w:r w:rsidRPr="006D63E5">
        <w:rPr>
          <w:rFonts w:asciiTheme="majorHAnsi" w:hAnsiTheme="majorHAnsi"/>
          <w:sz w:val="20"/>
          <w:szCs w:val="20"/>
        </w:rPr>
        <w:t xml:space="preserve">In addition, this exercise would also help identify existing and proposed development activities that may adversely impinge or impact on the long-term sustainability of the biological values and well-being of the people in the land/seascape. As with the case of the biological characterization of the land/seascape, this information should be expressed spatially, so that it could be used in subsequent steps towards zoning of the land/seascape. The mapping of the socio-economic (production and livelihoods) and development activities could be a rapid assessment using secondary information and broad village level consultations) that would be subsequently revised and updated as more information becomes available through the community planning process and other more comprehensive socio-economic analysis. </w:t>
      </w:r>
    </w:p>
    <w:p w14:paraId="25217C2E" w14:textId="77777777" w:rsidR="00A11855" w:rsidRPr="006D63E5" w:rsidRDefault="00A11855" w:rsidP="00A11855">
      <w:pPr>
        <w:pStyle w:val="ListParagraph"/>
        <w:spacing w:after="200"/>
        <w:contextualSpacing/>
        <w:jc w:val="both"/>
        <w:rPr>
          <w:sz w:val="20"/>
          <w:szCs w:val="20"/>
        </w:rPr>
      </w:pPr>
    </w:p>
    <w:p w14:paraId="10A5A9CF" w14:textId="3069BD63" w:rsidR="00A11855" w:rsidRPr="006D63E5" w:rsidRDefault="00A11855" w:rsidP="00EA4043">
      <w:pPr>
        <w:pStyle w:val="ListParagraph"/>
        <w:numPr>
          <w:ilvl w:val="0"/>
          <w:numId w:val="97"/>
        </w:numPr>
        <w:spacing w:after="200"/>
        <w:contextualSpacing/>
        <w:jc w:val="both"/>
        <w:rPr>
          <w:rFonts w:asciiTheme="majorHAnsi" w:hAnsiTheme="majorHAnsi"/>
          <w:sz w:val="20"/>
          <w:szCs w:val="20"/>
        </w:rPr>
      </w:pPr>
      <w:r w:rsidRPr="00DB6EB8">
        <w:rPr>
          <w:rFonts w:asciiTheme="majorHAnsi" w:hAnsiTheme="majorHAnsi"/>
          <w:b/>
          <w:sz w:val="20"/>
          <w:szCs w:val="20"/>
        </w:rPr>
        <w:t>Intersecting the biological land</w:t>
      </w:r>
      <w:r w:rsidRPr="006D63E5">
        <w:rPr>
          <w:rFonts w:asciiTheme="majorHAnsi" w:hAnsiTheme="majorHAnsi"/>
          <w:b/>
          <w:sz w:val="20"/>
          <w:szCs w:val="20"/>
        </w:rPr>
        <w:t>/seascape with the human resource use and socio-economic factors</w:t>
      </w:r>
      <w:r w:rsidR="009043EC" w:rsidRPr="006D63E5">
        <w:rPr>
          <w:rFonts w:asciiTheme="majorHAnsi" w:hAnsiTheme="majorHAnsi"/>
          <w:b/>
          <w:sz w:val="20"/>
          <w:szCs w:val="20"/>
        </w:rPr>
        <w:t xml:space="preserve"> (#2. Definition and prioritization of zones/sites)</w:t>
      </w:r>
      <w:r w:rsidRPr="006D63E5">
        <w:rPr>
          <w:rFonts w:asciiTheme="majorHAnsi" w:hAnsiTheme="majorHAnsi"/>
          <w:b/>
          <w:sz w:val="20"/>
          <w:szCs w:val="20"/>
        </w:rPr>
        <w:t>:</w:t>
      </w:r>
      <w:r w:rsidRPr="006D63E5">
        <w:rPr>
          <w:rFonts w:asciiTheme="majorHAnsi" w:hAnsiTheme="majorHAnsi"/>
          <w:sz w:val="20"/>
          <w:szCs w:val="20"/>
        </w:rPr>
        <w:t xml:space="preserve"> Maps created with the biological and socio-economic attributes should be over-laid to recognize areas within the land/seascape where human use or development activities intersect with the prioritized conservation habitats and land cover types. This allows for the identification of the relationship between conservation and development-oriented land use and livelihood activities and for analyzing options for integration of conservation with other land uses as well as trade-offs between them. </w:t>
      </w:r>
    </w:p>
    <w:p w14:paraId="3E702D69" w14:textId="77777777" w:rsidR="00A11855" w:rsidRPr="006D63E5" w:rsidRDefault="00A11855" w:rsidP="00A11855">
      <w:pPr>
        <w:pStyle w:val="ListParagraph"/>
        <w:jc w:val="both"/>
        <w:rPr>
          <w:rFonts w:asciiTheme="majorHAnsi" w:hAnsiTheme="majorHAnsi"/>
          <w:sz w:val="20"/>
          <w:szCs w:val="20"/>
        </w:rPr>
      </w:pPr>
    </w:p>
    <w:p w14:paraId="708AEC5C" w14:textId="51DA2906" w:rsidR="00A11855" w:rsidRPr="006D63E5" w:rsidRDefault="00A11855" w:rsidP="00EA4043">
      <w:pPr>
        <w:pStyle w:val="ListParagraph"/>
        <w:numPr>
          <w:ilvl w:val="0"/>
          <w:numId w:val="97"/>
        </w:numPr>
        <w:spacing w:after="200"/>
        <w:contextualSpacing/>
        <w:jc w:val="both"/>
        <w:rPr>
          <w:rFonts w:asciiTheme="majorHAnsi" w:hAnsiTheme="majorHAnsi"/>
          <w:sz w:val="20"/>
          <w:szCs w:val="20"/>
        </w:rPr>
      </w:pPr>
      <w:r w:rsidRPr="006D63E5">
        <w:rPr>
          <w:rFonts w:asciiTheme="majorHAnsi" w:hAnsiTheme="majorHAnsi"/>
          <w:b/>
          <w:sz w:val="20"/>
          <w:szCs w:val="20"/>
        </w:rPr>
        <w:t>Identification of the Target Areas for Intervention within the Land/seascape:</w:t>
      </w:r>
      <w:r w:rsidRPr="006D63E5">
        <w:rPr>
          <w:rFonts w:asciiTheme="majorHAnsi" w:hAnsiTheme="majorHAnsi"/>
          <w:b/>
          <w:sz w:val="20"/>
          <w:szCs w:val="20"/>
        </w:rPr>
        <w:tab/>
      </w:r>
      <w:r w:rsidRPr="006D63E5">
        <w:rPr>
          <w:rFonts w:asciiTheme="majorHAnsi" w:hAnsiTheme="majorHAnsi"/>
          <w:sz w:val="20"/>
          <w:szCs w:val="20"/>
        </w:rPr>
        <w:t>The intent of this step is to prioritize the areas within the land/seascape where unsustainable resource use (in the five key sectors) and development activities significantly compete with the biological and ecological needs of the key species or the conservation of the prioritized or critical ecosystems</w:t>
      </w:r>
      <w:r w:rsidR="00194AA1">
        <w:rPr>
          <w:rFonts w:asciiTheme="majorHAnsi" w:hAnsiTheme="majorHAnsi"/>
          <w:sz w:val="20"/>
          <w:szCs w:val="20"/>
        </w:rPr>
        <w:t xml:space="preserve">. </w:t>
      </w:r>
      <w:r w:rsidRPr="006D63E5">
        <w:rPr>
          <w:rFonts w:asciiTheme="majorHAnsi" w:hAnsiTheme="majorHAnsi"/>
          <w:sz w:val="20"/>
          <w:szCs w:val="20"/>
        </w:rPr>
        <w:t>This would enable the identification of areas within the land/seascape where conservation action is necessary and sieve out those areas of the landscape where conservation actions might not be priority and where sustainable resource use and livelihood opportunities are best located</w:t>
      </w:r>
      <w:r w:rsidR="00194AA1">
        <w:rPr>
          <w:rFonts w:asciiTheme="majorHAnsi" w:hAnsiTheme="majorHAnsi"/>
          <w:sz w:val="20"/>
          <w:szCs w:val="20"/>
        </w:rPr>
        <w:t xml:space="preserve">. </w:t>
      </w:r>
    </w:p>
    <w:p w14:paraId="1C9A6FBF" w14:textId="77777777" w:rsidR="00A11855" w:rsidRPr="006D63E5" w:rsidRDefault="00A11855" w:rsidP="00A11855">
      <w:pPr>
        <w:pStyle w:val="ListParagraph"/>
        <w:jc w:val="both"/>
        <w:rPr>
          <w:rFonts w:asciiTheme="majorHAnsi" w:hAnsiTheme="majorHAnsi"/>
          <w:sz w:val="20"/>
          <w:szCs w:val="20"/>
        </w:rPr>
      </w:pPr>
    </w:p>
    <w:p w14:paraId="6BBDC2A2" w14:textId="65704EB5" w:rsidR="00A11855" w:rsidRPr="006D63E5" w:rsidRDefault="00A11855" w:rsidP="00A11855">
      <w:pPr>
        <w:pStyle w:val="ListParagraph"/>
        <w:jc w:val="both"/>
        <w:rPr>
          <w:sz w:val="20"/>
          <w:szCs w:val="20"/>
        </w:rPr>
      </w:pPr>
      <w:r w:rsidRPr="006D63E5">
        <w:rPr>
          <w:rFonts w:asciiTheme="majorHAnsi" w:hAnsiTheme="majorHAnsi"/>
          <w:sz w:val="20"/>
          <w:szCs w:val="20"/>
        </w:rPr>
        <w:t>The greatest challenge in prioritizing areas within the priority land/seascape for conservation is in reaching agreement on areas required for maintaining biological and ecological values, while addressing human needs for land and resource use. Stakeholder consultation would be a critical step in the zoning exercise would entail defining (i) priority or set-aside areas for conservation (PAs, HCVFs, HCVMs, etc.) where threats are small or manageable and where the conservation potential is the greatest; (ii) zones where there is a conflict between development and conservation interests, and where activities for improving forest management and restoration, sustainable fisheries use, ecotourism and biodiversity-friendly livelihood and sustainable resource management interventions can contribute to reduction of threats to biodiversity and ecosystems; and (iii) low priority areas for conservation with intensive or semi-intensive human use can be permitted. The outcome of this step would be characterization of the land/seascape by zones of varying conservation and resource use potential</w:t>
      </w:r>
      <w:r w:rsidR="00194AA1">
        <w:rPr>
          <w:rFonts w:asciiTheme="majorHAnsi" w:hAnsiTheme="majorHAnsi"/>
          <w:sz w:val="20"/>
          <w:szCs w:val="20"/>
        </w:rPr>
        <w:t xml:space="preserve">. </w:t>
      </w:r>
    </w:p>
    <w:p w14:paraId="69E0AF4B" w14:textId="77777777" w:rsidR="00A11855" w:rsidRPr="006D63E5" w:rsidRDefault="00A11855" w:rsidP="00A11855">
      <w:pPr>
        <w:spacing w:after="200"/>
        <w:contextualSpacing/>
        <w:rPr>
          <w:rFonts w:asciiTheme="majorHAnsi" w:hAnsiTheme="majorHAnsi"/>
          <w:sz w:val="20"/>
          <w:szCs w:val="20"/>
        </w:rPr>
      </w:pPr>
    </w:p>
    <w:p w14:paraId="6BB1C68E" w14:textId="2D9DCFA0" w:rsidR="00A11855" w:rsidRPr="006D63E5" w:rsidRDefault="00A11855" w:rsidP="00A11855">
      <w:pPr>
        <w:rPr>
          <w:rFonts w:asciiTheme="majorHAnsi" w:hAnsiTheme="majorHAnsi"/>
          <w:sz w:val="20"/>
          <w:szCs w:val="20"/>
        </w:rPr>
      </w:pPr>
      <w:r w:rsidRPr="006D63E5">
        <w:rPr>
          <w:rFonts w:asciiTheme="majorHAnsi" w:hAnsiTheme="majorHAnsi"/>
          <w:sz w:val="20"/>
          <w:szCs w:val="20"/>
        </w:rPr>
        <w:t>The final outcomes of the mapping exercise would be:  (a) a map or series of maps showing land/seascape zones or land/seascape areas for Babeldaob Island and Southern Lagoon characterized by degrees of conservation potential, compatible development potential and presence of competing or conflicting interests based on threats and opportunities; and (b) recommendations regarding conservation, sustainable land uses and livelihood activities suitable for different areas of the land/seascape based on threats and opportunities</w:t>
      </w:r>
      <w:r w:rsidR="00194AA1">
        <w:rPr>
          <w:rFonts w:asciiTheme="majorHAnsi" w:hAnsiTheme="majorHAnsi"/>
          <w:sz w:val="20"/>
          <w:szCs w:val="20"/>
        </w:rPr>
        <w:t xml:space="preserve">. </w:t>
      </w:r>
      <w:r w:rsidRPr="006D63E5">
        <w:rPr>
          <w:rFonts w:asciiTheme="majorHAnsi" w:hAnsiTheme="majorHAnsi"/>
          <w:sz w:val="20"/>
          <w:szCs w:val="20"/>
        </w:rPr>
        <w:t>In additional, there would be an outcome relating to recognition of institutional and coordination needs, capacity building and training required to enable convergence in planning, and implementation of activities at the land/seascape level.</w:t>
      </w:r>
    </w:p>
    <w:p w14:paraId="1E1B2E86" w14:textId="11770F21" w:rsidR="00A11855" w:rsidRPr="006D63E5" w:rsidRDefault="00A11855" w:rsidP="00A11855">
      <w:pPr>
        <w:rPr>
          <w:rFonts w:asciiTheme="majorHAnsi" w:hAnsiTheme="majorHAnsi"/>
          <w:sz w:val="20"/>
          <w:szCs w:val="20"/>
        </w:rPr>
      </w:pPr>
      <w:r w:rsidRPr="006D63E5">
        <w:rPr>
          <w:rFonts w:asciiTheme="majorHAnsi" w:hAnsiTheme="majorHAnsi"/>
          <w:sz w:val="20"/>
          <w:szCs w:val="20"/>
        </w:rPr>
        <w:t xml:space="preserve">The participatory mapping exercise would require an inter-disciplinary team comprised of </w:t>
      </w:r>
      <w:r w:rsidR="009043EC" w:rsidRPr="006D63E5">
        <w:rPr>
          <w:rFonts w:asciiTheme="majorHAnsi" w:hAnsiTheme="majorHAnsi"/>
          <w:sz w:val="20"/>
          <w:szCs w:val="20"/>
        </w:rPr>
        <w:t xml:space="preserve">spatial planners, </w:t>
      </w:r>
      <w:r w:rsidRPr="006D63E5">
        <w:rPr>
          <w:rFonts w:asciiTheme="majorHAnsi" w:hAnsiTheme="majorHAnsi"/>
          <w:sz w:val="20"/>
          <w:szCs w:val="20"/>
        </w:rPr>
        <w:t>biologists, social scientists, geographers, land record officers, village representatives, GIS specialists, and other relevant experts based on the specific land uses and resource threats within the individual landscapes</w:t>
      </w:r>
      <w:r w:rsidR="00194AA1">
        <w:rPr>
          <w:rFonts w:asciiTheme="majorHAnsi" w:hAnsiTheme="majorHAnsi"/>
          <w:sz w:val="20"/>
          <w:szCs w:val="20"/>
        </w:rPr>
        <w:t xml:space="preserve">. </w:t>
      </w:r>
      <w:r w:rsidRPr="006D63E5">
        <w:rPr>
          <w:rFonts w:asciiTheme="majorHAnsi" w:hAnsiTheme="majorHAnsi"/>
          <w:sz w:val="20"/>
          <w:szCs w:val="20"/>
        </w:rPr>
        <w:t>PALARIS, with technical and specialized support from the project, would guide this exercise</w:t>
      </w:r>
      <w:r w:rsidR="00194AA1">
        <w:rPr>
          <w:rFonts w:asciiTheme="majorHAnsi" w:hAnsiTheme="majorHAnsi"/>
          <w:sz w:val="20"/>
          <w:szCs w:val="20"/>
        </w:rPr>
        <w:t xml:space="preserve">. </w:t>
      </w:r>
    </w:p>
    <w:p w14:paraId="13D484C1" w14:textId="77777777" w:rsidR="00A11855" w:rsidRPr="006D63E5" w:rsidRDefault="00A11855" w:rsidP="00A11855">
      <w:pPr>
        <w:rPr>
          <w:rFonts w:asciiTheme="majorHAnsi" w:hAnsiTheme="majorHAnsi"/>
          <w:b/>
          <w:sz w:val="20"/>
          <w:szCs w:val="20"/>
        </w:rPr>
      </w:pPr>
      <w:r w:rsidRPr="006D63E5">
        <w:rPr>
          <w:rFonts w:asciiTheme="majorHAnsi" w:hAnsiTheme="majorHAnsi"/>
          <w:b/>
          <w:sz w:val="20"/>
          <w:szCs w:val="20"/>
        </w:rPr>
        <w:t>Planning and Implementation for Land/seascape Conservation</w:t>
      </w:r>
    </w:p>
    <w:p w14:paraId="5AF58AD2" w14:textId="5C37630A" w:rsidR="00A11855" w:rsidRPr="006D63E5" w:rsidRDefault="00A11855" w:rsidP="00A11855">
      <w:pPr>
        <w:rPr>
          <w:rFonts w:asciiTheme="majorHAnsi" w:hAnsiTheme="majorHAnsi"/>
          <w:sz w:val="20"/>
          <w:szCs w:val="20"/>
        </w:rPr>
      </w:pPr>
      <w:r w:rsidRPr="006D63E5">
        <w:rPr>
          <w:rFonts w:asciiTheme="majorHAnsi" w:hAnsiTheme="majorHAnsi"/>
          <w:sz w:val="20"/>
          <w:szCs w:val="20"/>
        </w:rPr>
        <w:t>The series of next steps in the land</w:t>
      </w:r>
      <w:r w:rsidR="0094107A" w:rsidRPr="006D63E5">
        <w:rPr>
          <w:rFonts w:asciiTheme="majorHAnsi" w:hAnsiTheme="majorHAnsi"/>
          <w:sz w:val="20"/>
          <w:szCs w:val="20"/>
        </w:rPr>
        <w:t>/sea</w:t>
      </w:r>
      <w:r w:rsidRPr="006D63E5">
        <w:rPr>
          <w:rFonts w:asciiTheme="majorHAnsi" w:hAnsiTheme="majorHAnsi"/>
          <w:sz w:val="20"/>
          <w:szCs w:val="20"/>
        </w:rPr>
        <w:t>scape planning process entails developing and identification of strategies for improving opportunities for conservation, and supporting conservation friendly interventions to improve livelihoods and incomes of local communities living within the two priority land/seascapes</w:t>
      </w:r>
      <w:r w:rsidR="009043EC" w:rsidRPr="006D63E5">
        <w:rPr>
          <w:rFonts w:asciiTheme="majorHAnsi" w:hAnsiTheme="majorHAnsi"/>
          <w:sz w:val="20"/>
          <w:szCs w:val="20"/>
        </w:rPr>
        <w:t xml:space="preserve"> as well as </w:t>
      </w:r>
      <w:r w:rsidR="009043EC" w:rsidRPr="006D63E5">
        <w:rPr>
          <w:sz w:val="20"/>
          <w:szCs w:val="20"/>
        </w:rPr>
        <w:t>identifying areas where and how human activities can or cannot be developed (zoning)</w:t>
      </w:r>
      <w:r w:rsidR="00194AA1">
        <w:rPr>
          <w:rFonts w:asciiTheme="majorHAnsi" w:hAnsiTheme="majorHAnsi"/>
          <w:sz w:val="20"/>
          <w:szCs w:val="20"/>
        </w:rPr>
        <w:t xml:space="preserve">. </w:t>
      </w:r>
      <w:r w:rsidRPr="006D63E5">
        <w:rPr>
          <w:rFonts w:asciiTheme="majorHAnsi" w:hAnsiTheme="majorHAnsi"/>
          <w:sz w:val="20"/>
          <w:szCs w:val="20"/>
        </w:rPr>
        <w:t>This will be done under the guidance of the JCB.</w:t>
      </w:r>
    </w:p>
    <w:p w14:paraId="18DB88A9" w14:textId="3F1FA22B" w:rsidR="00A11855" w:rsidRPr="006D63E5" w:rsidRDefault="00A11855" w:rsidP="00EA4043">
      <w:pPr>
        <w:pStyle w:val="ListParagraph"/>
        <w:numPr>
          <w:ilvl w:val="0"/>
          <w:numId w:val="97"/>
        </w:numPr>
        <w:spacing w:after="200"/>
        <w:contextualSpacing/>
        <w:jc w:val="both"/>
        <w:rPr>
          <w:rFonts w:asciiTheme="majorHAnsi" w:hAnsiTheme="majorHAnsi"/>
          <w:sz w:val="20"/>
          <w:szCs w:val="20"/>
        </w:rPr>
      </w:pPr>
      <w:r w:rsidRPr="00DB6EB8">
        <w:rPr>
          <w:rFonts w:asciiTheme="majorHAnsi" w:hAnsiTheme="majorHAnsi"/>
          <w:b/>
          <w:sz w:val="20"/>
          <w:szCs w:val="20"/>
        </w:rPr>
        <w:lastRenderedPageBreak/>
        <w:t xml:space="preserve">Negotiation of a shared </w:t>
      </w:r>
      <w:r w:rsidRPr="006D63E5">
        <w:rPr>
          <w:rFonts w:asciiTheme="majorHAnsi" w:hAnsiTheme="majorHAnsi"/>
          <w:b/>
          <w:sz w:val="20"/>
          <w:szCs w:val="20"/>
        </w:rPr>
        <w:t>strategy for Babeldaob Island and Southern Lagoon land/seascape.</w:t>
      </w:r>
      <w:r w:rsidR="009043EC" w:rsidRPr="006D63E5">
        <w:rPr>
          <w:rFonts w:asciiTheme="majorHAnsi" w:hAnsiTheme="majorHAnsi"/>
          <w:b/>
          <w:sz w:val="20"/>
          <w:szCs w:val="20"/>
        </w:rPr>
        <w:t xml:space="preserve"> (#3: Land</w:t>
      </w:r>
      <w:r w:rsidR="00625014" w:rsidRPr="006D63E5">
        <w:rPr>
          <w:rFonts w:asciiTheme="majorHAnsi" w:hAnsiTheme="majorHAnsi"/>
          <w:b/>
          <w:sz w:val="20"/>
          <w:szCs w:val="20"/>
        </w:rPr>
        <w:t>/sea</w:t>
      </w:r>
      <w:r w:rsidR="009043EC" w:rsidRPr="006D63E5">
        <w:rPr>
          <w:rFonts w:asciiTheme="majorHAnsi" w:hAnsiTheme="majorHAnsi"/>
          <w:b/>
          <w:sz w:val="20"/>
          <w:szCs w:val="20"/>
        </w:rPr>
        <w:t xml:space="preserve">scape-level Based Collaborative Planning, resulting in an ILSM </w:t>
      </w:r>
      <w:r w:rsidR="00625014" w:rsidRPr="006D63E5">
        <w:rPr>
          <w:rFonts w:asciiTheme="majorHAnsi" w:hAnsiTheme="majorHAnsi"/>
          <w:b/>
          <w:sz w:val="20"/>
          <w:szCs w:val="20"/>
        </w:rPr>
        <w:t>strategies</w:t>
      </w:r>
      <w:r w:rsidR="009043EC" w:rsidRPr="006D63E5">
        <w:rPr>
          <w:rFonts w:asciiTheme="majorHAnsi" w:hAnsiTheme="majorHAnsi"/>
          <w:sz w:val="20"/>
          <w:szCs w:val="20"/>
        </w:rPr>
        <w:t>)</w:t>
      </w:r>
      <w:r w:rsidRPr="006D63E5">
        <w:rPr>
          <w:rFonts w:asciiTheme="majorHAnsi" w:hAnsiTheme="majorHAnsi"/>
          <w:b/>
          <w:sz w:val="20"/>
          <w:szCs w:val="20"/>
        </w:rPr>
        <w:t xml:space="preserve">  </w:t>
      </w:r>
      <w:r w:rsidRPr="006D63E5">
        <w:rPr>
          <w:rFonts w:asciiTheme="majorHAnsi" w:hAnsiTheme="majorHAnsi"/>
          <w:sz w:val="20"/>
          <w:szCs w:val="20"/>
        </w:rPr>
        <w:t>The intent of this step is to obtain broad agreement with the stakeholders (including relevant states and local communities) for conservation or compatible development action within the land/seascape</w:t>
      </w:r>
      <w:r w:rsidR="00194AA1">
        <w:rPr>
          <w:rFonts w:asciiTheme="majorHAnsi" w:hAnsiTheme="majorHAnsi"/>
          <w:sz w:val="20"/>
          <w:szCs w:val="20"/>
        </w:rPr>
        <w:t xml:space="preserve">. </w:t>
      </w:r>
      <w:r w:rsidRPr="006D63E5">
        <w:rPr>
          <w:rFonts w:asciiTheme="majorHAnsi" w:hAnsiTheme="majorHAnsi"/>
          <w:sz w:val="20"/>
          <w:szCs w:val="20"/>
        </w:rPr>
        <w:t>While the stakeholders would vary from one land/seascape to another, it would need to include in the negotiation process landowners, resource users and national and state government agencies with management authority over priority areas in the land/seascape. The outcome of the negotiation process is to ensure that critical biological requirements developed through the biological mapping process (step 1) are maintained</w:t>
      </w:r>
      <w:r w:rsidR="00194AA1">
        <w:rPr>
          <w:rFonts w:asciiTheme="majorHAnsi" w:hAnsiTheme="majorHAnsi"/>
          <w:sz w:val="20"/>
          <w:szCs w:val="20"/>
        </w:rPr>
        <w:t xml:space="preserve">. </w:t>
      </w:r>
      <w:r w:rsidRPr="006D63E5">
        <w:rPr>
          <w:rFonts w:asciiTheme="majorHAnsi" w:hAnsiTheme="majorHAnsi"/>
          <w:sz w:val="20"/>
          <w:szCs w:val="20"/>
        </w:rPr>
        <w:t xml:space="preserve">This has to be achieved through a negotiation process that would require compromise, given that it may not always be possible to find complete agreement on a single strategy with all stakeholders or development sector representatives that operate within the land/seascape. </w:t>
      </w:r>
    </w:p>
    <w:p w14:paraId="3916843A" w14:textId="77777777" w:rsidR="00A11855" w:rsidRPr="006D63E5" w:rsidRDefault="00A11855" w:rsidP="00A11855">
      <w:pPr>
        <w:pStyle w:val="ListParagraph"/>
        <w:jc w:val="both"/>
        <w:rPr>
          <w:rFonts w:asciiTheme="majorHAnsi" w:hAnsiTheme="majorHAnsi"/>
          <w:sz w:val="20"/>
          <w:szCs w:val="20"/>
        </w:rPr>
      </w:pPr>
    </w:p>
    <w:p w14:paraId="2FDB6DD4" w14:textId="77777777" w:rsidR="00A11855" w:rsidRPr="006D63E5" w:rsidRDefault="00A11855" w:rsidP="00A11855">
      <w:pPr>
        <w:pStyle w:val="ListParagraph"/>
        <w:jc w:val="both"/>
        <w:rPr>
          <w:rFonts w:asciiTheme="majorHAnsi" w:hAnsiTheme="majorHAnsi"/>
          <w:sz w:val="20"/>
          <w:szCs w:val="20"/>
        </w:rPr>
      </w:pPr>
      <w:r w:rsidRPr="006D63E5">
        <w:rPr>
          <w:rFonts w:asciiTheme="majorHAnsi" w:hAnsiTheme="majorHAnsi"/>
          <w:sz w:val="20"/>
          <w:szCs w:val="20"/>
        </w:rPr>
        <w:t xml:space="preserve">The negotiated land/seascape strategy statement will provide: </w:t>
      </w:r>
    </w:p>
    <w:p w14:paraId="10111FCE" w14:textId="77777777" w:rsidR="00A11855" w:rsidRPr="006D63E5" w:rsidRDefault="00A11855" w:rsidP="00A11855">
      <w:pPr>
        <w:pStyle w:val="ListParagraph"/>
        <w:jc w:val="both"/>
        <w:rPr>
          <w:rFonts w:asciiTheme="majorHAnsi" w:hAnsiTheme="majorHAnsi"/>
          <w:sz w:val="20"/>
          <w:szCs w:val="20"/>
        </w:rPr>
      </w:pPr>
    </w:p>
    <w:p w14:paraId="7BFDE7BE" w14:textId="77777777" w:rsidR="00A11855" w:rsidRPr="006D63E5" w:rsidRDefault="00A11855" w:rsidP="00EA4043">
      <w:pPr>
        <w:pStyle w:val="ListParagraph"/>
        <w:numPr>
          <w:ilvl w:val="1"/>
          <w:numId w:val="98"/>
        </w:numPr>
        <w:contextualSpacing/>
        <w:jc w:val="both"/>
        <w:rPr>
          <w:rFonts w:asciiTheme="majorHAnsi" w:hAnsiTheme="majorHAnsi"/>
          <w:sz w:val="20"/>
          <w:szCs w:val="20"/>
        </w:rPr>
      </w:pPr>
      <w:r w:rsidRPr="006D63E5">
        <w:rPr>
          <w:rFonts w:asciiTheme="majorHAnsi" w:hAnsiTheme="majorHAnsi"/>
          <w:sz w:val="20"/>
          <w:szCs w:val="20"/>
        </w:rPr>
        <w:t xml:space="preserve">A decision support (multi-sectoral, multi-stakeholder coordination and governance) framework for land/seascape level planning for biodiversity objectives; </w:t>
      </w:r>
    </w:p>
    <w:p w14:paraId="56B04FEB" w14:textId="77777777" w:rsidR="00A11855" w:rsidRPr="006D63E5" w:rsidRDefault="00A11855" w:rsidP="00EA4043">
      <w:pPr>
        <w:pStyle w:val="ListParagraph"/>
        <w:numPr>
          <w:ilvl w:val="1"/>
          <w:numId w:val="98"/>
        </w:numPr>
        <w:contextualSpacing/>
        <w:jc w:val="both"/>
        <w:rPr>
          <w:rFonts w:asciiTheme="majorHAnsi" w:hAnsiTheme="majorHAnsi"/>
          <w:sz w:val="20"/>
          <w:szCs w:val="20"/>
        </w:rPr>
      </w:pPr>
      <w:r w:rsidRPr="006D63E5">
        <w:rPr>
          <w:rFonts w:asciiTheme="majorHAnsi" w:hAnsiTheme="majorHAnsi"/>
          <w:sz w:val="20"/>
          <w:szCs w:val="20"/>
        </w:rPr>
        <w:t xml:space="preserve">A platform for integration of multiple land/seascape level objectives for biodiversity conservation; </w:t>
      </w:r>
    </w:p>
    <w:p w14:paraId="44F6D9CA" w14:textId="77777777" w:rsidR="00A11855" w:rsidRPr="006D63E5" w:rsidRDefault="00A11855" w:rsidP="00EA4043">
      <w:pPr>
        <w:pStyle w:val="ListParagraph"/>
        <w:numPr>
          <w:ilvl w:val="1"/>
          <w:numId w:val="98"/>
        </w:numPr>
        <w:contextualSpacing/>
        <w:jc w:val="both"/>
        <w:rPr>
          <w:rFonts w:asciiTheme="majorHAnsi" w:hAnsiTheme="majorHAnsi"/>
          <w:sz w:val="20"/>
          <w:szCs w:val="20"/>
        </w:rPr>
      </w:pPr>
      <w:r w:rsidRPr="006D63E5">
        <w:rPr>
          <w:rFonts w:asciiTheme="majorHAnsi" w:hAnsiTheme="majorHAnsi"/>
          <w:sz w:val="20"/>
          <w:szCs w:val="20"/>
        </w:rPr>
        <w:t xml:space="preserve">An understanding of the trade-offs between conservation, resource use and socio-economic development objectives; and </w:t>
      </w:r>
    </w:p>
    <w:p w14:paraId="4D0DF80B" w14:textId="77777777" w:rsidR="00A11855" w:rsidRPr="006D63E5" w:rsidRDefault="00A11855" w:rsidP="00EA4043">
      <w:pPr>
        <w:pStyle w:val="ListParagraph"/>
        <w:numPr>
          <w:ilvl w:val="1"/>
          <w:numId w:val="98"/>
        </w:numPr>
        <w:contextualSpacing/>
        <w:jc w:val="both"/>
        <w:rPr>
          <w:rFonts w:asciiTheme="majorHAnsi" w:hAnsiTheme="majorHAnsi"/>
          <w:sz w:val="20"/>
          <w:szCs w:val="20"/>
        </w:rPr>
      </w:pPr>
      <w:r w:rsidRPr="006D63E5">
        <w:rPr>
          <w:rFonts w:asciiTheme="majorHAnsi" w:hAnsiTheme="majorHAnsi"/>
          <w:sz w:val="20"/>
          <w:szCs w:val="20"/>
        </w:rPr>
        <w:t xml:space="preserve">Definition of roles and responsibilities of key stakeholders within the land/seascape. </w:t>
      </w:r>
    </w:p>
    <w:p w14:paraId="2BF199C9" w14:textId="77777777" w:rsidR="00A11855" w:rsidRPr="006D63E5" w:rsidRDefault="00A11855" w:rsidP="00A11855">
      <w:pPr>
        <w:pStyle w:val="ListParagraph"/>
        <w:ind w:left="1350"/>
        <w:contextualSpacing/>
        <w:jc w:val="both"/>
        <w:rPr>
          <w:rFonts w:asciiTheme="majorHAnsi" w:hAnsiTheme="majorHAnsi"/>
          <w:sz w:val="20"/>
          <w:szCs w:val="20"/>
        </w:rPr>
      </w:pPr>
      <w:r w:rsidRPr="006D63E5">
        <w:rPr>
          <w:rFonts w:asciiTheme="majorHAnsi" w:hAnsiTheme="majorHAnsi"/>
          <w:sz w:val="20"/>
          <w:szCs w:val="20"/>
        </w:rPr>
        <w:t xml:space="preserve"> </w:t>
      </w:r>
    </w:p>
    <w:p w14:paraId="6EA57B0D" w14:textId="77777777" w:rsidR="00A11855" w:rsidRPr="006D63E5" w:rsidRDefault="00A11855" w:rsidP="00A11855">
      <w:pPr>
        <w:ind w:left="720"/>
        <w:rPr>
          <w:rFonts w:asciiTheme="majorHAnsi" w:hAnsiTheme="majorHAnsi"/>
          <w:sz w:val="20"/>
          <w:szCs w:val="20"/>
        </w:rPr>
      </w:pPr>
      <w:r w:rsidRPr="006D63E5">
        <w:rPr>
          <w:rFonts w:asciiTheme="majorHAnsi" w:hAnsiTheme="majorHAnsi"/>
          <w:sz w:val="20"/>
          <w:szCs w:val="20"/>
        </w:rPr>
        <w:t xml:space="preserve">During the formulation of the participatory land/seascape strategy, the following key steps will include: </w:t>
      </w:r>
    </w:p>
    <w:p w14:paraId="5D6E830E" w14:textId="77777777" w:rsidR="00A11855" w:rsidRPr="006D63E5" w:rsidRDefault="00A11855" w:rsidP="00A11855">
      <w:pPr>
        <w:spacing w:after="0"/>
        <w:ind w:left="720"/>
        <w:rPr>
          <w:rFonts w:asciiTheme="majorHAnsi" w:hAnsiTheme="majorHAnsi"/>
          <w:sz w:val="20"/>
          <w:szCs w:val="20"/>
        </w:rPr>
      </w:pPr>
    </w:p>
    <w:p w14:paraId="73A68820" w14:textId="14854AA2" w:rsidR="00A11855" w:rsidRPr="006D63E5" w:rsidRDefault="00A11855" w:rsidP="00A11855">
      <w:pPr>
        <w:spacing w:after="0"/>
        <w:ind w:left="720"/>
        <w:rPr>
          <w:rFonts w:asciiTheme="majorHAnsi" w:hAnsiTheme="majorHAnsi"/>
          <w:sz w:val="20"/>
          <w:szCs w:val="20"/>
        </w:rPr>
      </w:pPr>
      <w:r w:rsidRPr="006D63E5">
        <w:rPr>
          <w:rFonts w:asciiTheme="majorHAnsi" w:hAnsiTheme="majorHAnsi"/>
          <w:sz w:val="20"/>
          <w:szCs w:val="20"/>
        </w:rPr>
        <w:t>(A) Undertaking a number of state/community level workshops to develop the common strategy</w:t>
      </w:r>
      <w:r w:rsidR="00194AA1">
        <w:rPr>
          <w:rFonts w:asciiTheme="majorHAnsi" w:hAnsiTheme="majorHAnsi"/>
          <w:sz w:val="20"/>
          <w:szCs w:val="20"/>
        </w:rPr>
        <w:t xml:space="preserve">. </w:t>
      </w:r>
      <w:r w:rsidRPr="006D63E5">
        <w:rPr>
          <w:rFonts w:asciiTheme="majorHAnsi" w:hAnsiTheme="majorHAnsi"/>
          <w:sz w:val="20"/>
          <w:szCs w:val="20"/>
        </w:rPr>
        <w:t xml:space="preserve">During the workshops the following activities are entailed: </w:t>
      </w:r>
    </w:p>
    <w:p w14:paraId="56C11DDF" w14:textId="77777777" w:rsidR="00A11855" w:rsidRPr="006D63E5" w:rsidRDefault="00A11855" w:rsidP="00A11855">
      <w:pPr>
        <w:spacing w:after="0"/>
        <w:ind w:left="720"/>
        <w:rPr>
          <w:rFonts w:asciiTheme="majorHAnsi" w:hAnsiTheme="majorHAnsi"/>
          <w:sz w:val="20"/>
          <w:szCs w:val="20"/>
        </w:rPr>
      </w:pPr>
    </w:p>
    <w:p w14:paraId="49A3E3BB" w14:textId="77777777" w:rsidR="00A11855" w:rsidRPr="006D63E5" w:rsidRDefault="00A11855" w:rsidP="00EA4043">
      <w:pPr>
        <w:pStyle w:val="ListParagraph"/>
        <w:numPr>
          <w:ilvl w:val="0"/>
          <w:numId w:val="99"/>
        </w:numPr>
        <w:contextualSpacing/>
        <w:jc w:val="both"/>
        <w:rPr>
          <w:rFonts w:asciiTheme="majorHAnsi" w:hAnsiTheme="majorHAnsi"/>
          <w:sz w:val="20"/>
          <w:szCs w:val="20"/>
        </w:rPr>
      </w:pPr>
      <w:r w:rsidRPr="00DB6EB8">
        <w:rPr>
          <w:rFonts w:asciiTheme="majorHAnsi" w:hAnsiTheme="majorHAnsi"/>
          <w:sz w:val="20"/>
          <w:szCs w:val="20"/>
        </w:rPr>
        <w:t xml:space="preserve">Information generated through the mapping exercise are presented to the stakeholders using charts and maps; </w:t>
      </w:r>
    </w:p>
    <w:p w14:paraId="2F64501B" w14:textId="77777777" w:rsidR="00A11855" w:rsidRPr="006D63E5" w:rsidRDefault="00A11855" w:rsidP="00EA4043">
      <w:pPr>
        <w:pStyle w:val="ListParagraph"/>
        <w:numPr>
          <w:ilvl w:val="0"/>
          <w:numId w:val="99"/>
        </w:numPr>
        <w:contextualSpacing/>
        <w:jc w:val="both"/>
        <w:rPr>
          <w:rFonts w:asciiTheme="majorHAnsi" w:hAnsiTheme="majorHAnsi"/>
          <w:sz w:val="20"/>
          <w:szCs w:val="20"/>
        </w:rPr>
      </w:pPr>
      <w:r w:rsidRPr="006D63E5">
        <w:rPr>
          <w:rFonts w:asciiTheme="majorHAnsi" w:hAnsiTheme="majorHAnsi"/>
          <w:sz w:val="20"/>
          <w:szCs w:val="20"/>
        </w:rPr>
        <w:t xml:space="preserve">A participatory situation analysis is conducted; </w:t>
      </w:r>
    </w:p>
    <w:p w14:paraId="3661E71D" w14:textId="2DF05F92" w:rsidR="00A11855" w:rsidRPr="006D63E5" w:rsidRDefault="00A11855" w:rsidP="00EA4043">
      <w:pPr>
        <w:pStyle w:val="ListParagraph"/>
        <w:numPr>
          <w:ilvl w:val="0"/>
          <w:numId w:val="99"/>
        </w:numPr>
        <w:contextualSpacing/>
        <w:jc w:val="both"/>
        <w:rPr>
          <w:rFonts w:asciiTheme="majorHAnsi" w:hAnsiTheme="majorHAnsi"/>
          <w:sz w:val="20"/>
          <w:szCs w:val="20"/>
        </w:rPr>
      </w:pPr>
      <w:r w:rsidRPr="006D63E5">
        <w:rPr>
          <w:rFonts w:asciiTheme="majorHAnsi" w:hAnsiTheme="majorHAnsi"/>
          <w:sz w:val="20"/>
          <w:szCs w:val="20"/>
        </w:rPr>
        <w:t>Stakeholder negotiation and agreements are reached on compromises and trade-offs for conservation actions within the sub-landscape</w:t>
      </w:r>
      <w:r w:rsidR="00194AA1">
        <w:rPr>
          <w:rFonts w:asciiTheme="majorHAnsi" w:hAnsiTheme="majorHAnsi"/>
          <w:sz w:val="20"/>
          <w:szCs w:val="20"/>
        </w:rPr>
        <w:t xml:space="preserve">. </w:t>
      </w:r>
      <w:r w:rsidRPr="006D63E5">
        <w:rPr>
          <w:rFonts w:asciiTheme="majorHAnsi" w:hAnsiTheme="majorHAnsi"/>
          <w:sz w:val="20"/>
          <w:szCs w:val="20"/>
        </w:rPr>
        <w:t xml:space="preserve">This process should transparent and reflect the interests, expectations, needs, priorities, strengths and weaknesses of each stakeholder group so as to lay the foundation for achieving broad consensus. </w:t>
      </w:r>
    </w:p>
    <w:p w14:paraId="64EC0C10" w14:textId="77777777" w:rsidR="00A11855" w:rsidRPr="006D63E5" w:rsidRDefault="00A11855" w:rsidP="00EA4043">
      <w:pPr>
        <w:pStyle w:val="ListParagraph"/>
        <w:numPr>
          <w:ilvl w:val="0"/>
          <w:numId w:val="99"/>
        </w:numPr>
        <w:contextualSpacing/>
        <w:jc w:val="both"/>
        <w:rPr>
          <w:rFonts w:asciiTheme="majorHAnsi" w:hAnsiTheme="majorHAnsi"/>
          <w:sz w:val="20"/>
          <w:szCs w:val="20"/>
        </w:rPr>
      </w:pPr>
      <w:r w:rsidRPr="006D63E5">
        <w:rPr>
          <w:rFonts w:asciiTheme="majorHAnsi" w:hAnsiTheme="majorHAnsi"/>
          <w:sz w:val="20"/>
          <w:szCs w:val="20"/>
        </w:rPr>
        <w:t xml:space="preserve">An agreement on zonation of the Babeldaob Island and Southern Lagoon land/seascape; </w:t>
      </w:r>
    </w:p>
    <w:p w14:paraId="4E97BB6C" w14:textId="77777777" w:rsidR="00A11855" w:rsidRPr="006D63E5" w:rsidRDefault="00A11855" w:rsidP="00EA4043">
      <w:pPr>
        <w:pStyle w:val="ListParagraph"/>
        <w:numPr>
          <w:ilvl w:val="0"/>
          <w:numId w:val="99"/>
        </w:numPr>
        <w:contextualSpacing/>
        <w:jc w:val="both"/>
        <w:rPr>
          <w:rFonts w:asciiTheme="majorHAnsi" w:hAnsiTheme="majorHAnsi"/>
          <w:sz w:val="20"/>
          <w:szCs w:val="20"/>
        </w:rPr>
      </w:pPr>
      <w:r w:rsidRPr="006D63E5">
        <w:rPr>
          <w:rFonts w:asciiTheme="majorHAnsi" w:hAnsiTheme="majorHAnsi"/>
          <w:sz w:val="20"/>
          <w:szCs w:val="20"/>
        </w:rPr>
        <w:t>Identification of uses within each of the zones within the land/seascape, its intensity and extent; and</w:t>
      </w:r>
    </w:p>
    <w:p w14:paraId="2DFDF082" w14:textId="77777777" w:rsidR="00A11855" w:rsidRPr="006D63E5" w:rsidRDefault="00A11855" w:rsidP="00EA4043">
      <w:pPr>
        <w:pStyle w:val="ListParagraph"/>
        <w:numPr>
          <w:ilvl w:val="0"/>
          <w:numId w:val="99"/>
        </w:numPr>
        <w:contextualSpacing/>
        <w:jc w:val="both"/>
        <w:rPr>
          <w:rFonts w:asciiTheme="majorHAnsi" w:hAnsiTheme="majorHAnsi"/>
          <w:sz w:val="20"/>
          <w:szCs w:val="20"/>
        </w:rPr>
      </w:pPr>
      <w:r w:rsidRPr="006D63E5">
        <w:rPr>
          <w:rFonts w:asciiTheme="majorHAnsi" w:hAnsiTheme="majorHAnsi"/>
          <w:sz w:val="20"/>
          <w:szCs w:val="20"/>
        </w:rPr>
        <w:t xml:space="preserve">Identification of broad approaches for each of the zones for management of land uses within the Babeldaob Island and Southern Lagoon land/seascapes. </w:t>
      </w:r>
    </w:p>
    <w:p w14:paraId="02006FA4" w14:textId="77777777" w:rsidR="00A11855" w:rsidRPr="006D63E5" w:rsidRDefault="00A11855" w:rsidP="00A11855">
      <w:pPr>
        <w:contextualSpacing/>
        <w:rPr>
          <w:rFonts w:asciiTheme="majorHAnsi" w:hAnsiTheme="majorHAnsi"/>
          <w:sz w:val="20"/>
          <w:szCs w:val="20"/>
        </w:rPr>
      </w:pPr>
    </w:p>
    <w:p w14:paraId="65C793D5" w14:textId="7CE8D9B4" w:rsidR="00A11855" w:rsidRPr="006D63E5" w:rsidRDefault="00A11855" w:rsidP="00A11855">
      <w:pPr>
        <w:ind w:left="720"/>
        <w:rPr>
          <w:rFonts w:asciiTheme="majorHAnsi" w:hAnsiTheme="majorHAnsi"/>
          <w:sz w:val="20"/>
          <w:szCs w:val="20"/>
        </w:rPr>
      </w:pPr>
      <w:r w:rsidRPr="006D63E5">
        <w:rPr>
          <w:rFonts w:asciiTheme="majorHAnsi" w:hAnsiTheme="majorHAnsi"/>
          <w:sz w:val="20"/>
          <w:szCs w:val="20"/>
        </w:rPr>
        <w:t>(B) Compilation of agreements on zonation, land</w:t>
      </w:r>
      <w:r w:rsidR="00625014" w:rsidRPr="006D63E5">
        <w:rPr>
          <w:rFonts w:asciiTheme="majorHAnsi" w:hAnsiTheme="majorHAnsi"/>
          <w:sz w:val="20"/>
          <w:szCs w:val="20"/>
        </w:rPr>
        <w:t xml:space="preserve"> and sea</w:t>
      </w:r>
      <w:r w:rsidRPr="006D63E5">
        <w:rPr>
          <w:rFonts w:asciiTheme="majorHAnsi" w:hAnsiTheme="majorHAnsi"/>
          <w:sz w:val="20"/>
          <w:szCs w:val="20"/>
        </w:rPr>
        <w:t xml:space="preserve"> uses and approaches from each of the state/community workshops to provide a composite map of zonation and land use for each of the land/seascapes; and </w:t>
      </w:r>
    </w:p>
    <w:p w14:paraId="347F477F" w14:textId="040F9767" w:rsidR="00A11855" w:rsidRPr="006D63E5" w:rsidRDefault="00A11855" w:rsidP="00A11855">
      <w:pPr>
        <w:ind w:left="720"/>
        <w:rPr>
          <w:rFonts w:asciiTheme="majorHAnsi" w:hAnsiTheme="majorHAnsi"/>
          <w:sz w:val="20"/>
          <w:szCs w:val="20"/>
        </w:rPr>
      </w:pPr>
      <w:r w:rsidRPr="006D63E5">
        <w:rPr>
          <w:rFonts w:asciiTheme="majorHAnsi" w:hAnsiTheme="majorHAnsi"/>
          <w:sz w:val="20"/>
          <w:szCs w:val="20"/>
        </w:rPr>
        <w:t>(C) Developing strategy statements for the Babeldaob Island and Southern Lagoon land/seascape based on the agreements and information emanating from the state/community workshops and decisions</w:t>
      </w:r>
      <w:r w:rsidR="00194AA1">
        <w:rPr>
          <w:rFonts w:asciiTheme="majorHAnsi" w:hAnsiTheme="majorHAnsi"/>
          <w:sz w:val="20"/>
          <w:szCs w:val="20"/>
        </w:rPr>
        <w:t xml:space="preserve">. </w:t>
      </w:r>
    </w:p>
    <w:p w14:paraId="11E699F2" w14:textId="77777777" w:rsidR="00A11855" w:rsidRPr="00DB6EB8" w:rsidRDefault="00A11855" w:rsidP="00A11855">
      <w:pPr>
        <w:pStyle w:val="ListParagraph"/>
        <w:jc w:val="both"/>
        <w:rPr>
          <w:rFonts w:asciiTheme="majorHAnsi" w:hAnsiTheme="majorHAnsi"/>
          <w:sz w:val="20"/>
          <w:szCs w:val="20"/>
        </w:rPr>
      </w:pPr>
    </w:p>
    <w:p w14:paraId="56ACA557" w14:textId="77777777" w:rsidR="00A11855" w:rsidRPr="006D63E5" w:rsidRDefault="00A11855" w:rsidP="00EA4043">
      <w:pPr>
        <w:pStyle w:val="ListParagraph"/>
        <w:numPr>
          <w:ilvl w:val="0"/>
          <w:numId w:val="97"/>
        </w:numPr>
        <w:spacing w:after="200"/>
        <w:contextualSpacing/>
        <w:jc w:val="both"/>
        <w:rPr>
          <w:rFonts w:asciiTheme="majorHAnsi" w:hAnsiTheme="majorHAnsi"/>
          <w:sz w:val="20"/>
          <w:szCs w:val="20"/>
        </w:rPr>
      </w:pPr>
      <w:r w:rsidRPr="006D63E5">
        <w:rPr>
          <w:rFonts w:asciiTheme="majorHAnsi" w:hAnsiTheme="majorHAnsi"/>
          <w:b/>
          <w:sz w:val="20"/>
          <w:szCs w:val="20"/>
        </w:rPr>
        <w:t>Identification of strategies for Implementation:</w:t>
      </w:r>
      <w:r w:rsidRPr="006D63E5">
        <w:rPr>
          <w:rFonts w:asciiTheme="majorHAnsi" w:hAnsiTheme="majorHAnsi"/>
          <w:sz w:val="20"/>
          <w:szCs w:val="20"/>
        </w:rPr>
        <w:tab/>
        <w:t xml:space="preserve">The desired output of this step is a conservation land/seascape strategies for Babeldaob Island and Southern Lagoon that has multi-stakeholder and multi-state support regarding appropriate best practices for different priority areas of the land/seascape (conservation set-asides, forest and marine area conservation and restoration and sustainable agriculture, fisheries, tourism and aquaculture). </w:t>
      </w:r>
    </w:p>
    <w:p w14:paraId="384FDEEF" w14:textId="77777777" w:rsidR="00A11855" w:rsidRPr="006D63E5" w:rsidRDefault="00A11855" w:rsidP="00A11855">
      <w:pPr>
        <w:pStyle w:val="ListParagraph"/>
        <w:jc w:val="both"/>
        <w:rPr>
          <w:rFonts w:asciiTheme="majorHAnsi" w:hAnsiTheme="majorHAnsi"/>
          <w:sz w:val="20"/>
          <w:szCs w:val="20"/>
        </w:rPr>
      </w:pPr>
    </w:p>
    <w:p w14:paraId="6B2858FA" w14:textId="77777777" w:rsidR="00A11855" w:rsidRPr="006D63E5" w:rsidRDefault="00A11855" w:rsidP="00A11855">
      <w:pPr>
        <w:pStyle w:val="ListParagraph"/>
        <w:jc w:val="both"/>
        <w:rPr>
          <w:rFonts w:asciiTheme="majorHAnsi" w:hAnsiTheme="majorHAnsi"/>
          <w:sz w:val="20"/>
          <w:szCs w:val="20"/>
        </w:rPr>
      </w:pPr>
      <w:r w:rsidRPr="006D63E5">
        <w:rPr>
          <w:rFonts w:asciiTheme="majorHAnsi" w:hAnsiTheme="majorHAnsi"/>
          <w:sz w:val="20"/>
          <w:szCs w:val="20"/>
        </w:rPr>
        <w:t xml:space="preserve">The outcome of this step would be (i) a flexible land/seascape conservation strategy, with maps, and indicating agreements with each of the stakeholders regarding land use and conservation practice for the different zones or parts of the Babeldaob Island and Southern Lagoon land/seascape; and (ii) identification of clear and measurable actions/activities to mitigate or manage threats within each zone. </w:t>
      </w:r>
    </w:p>
    <w:p w14:paraId="05EA6D14" w14:textId="77777777" w:rsidR="00A11855" w:rsidRPr="006D63E5" w:rsidRDefault="00A11855" w:rsidP="00A11855">
      <w:pPr>
        <w:pStyle w:val="ListParagraph"/>
        <w:jc w:val="both"/>
        <w:rPr>
          <w:rFonts w:asciiTheme="majorHAnsi" w:hAnsiTheme="majorHAnsi"/>
          <w:b/>
          <w:sz w:val="20"/>
          <w:szCs w:val="20"/>
        </w:rPr>
      </w:pPr>
    </w:p>
    <w:p w14:paraId="0D674E4B" w14:textId="7B829F00" w:rsidR="00A11855" w:rsidRPr="006D63E5" w:rsidRDefault="00A11855" w:rsidP="00EA4043">
      <w:pPr>
        <w:pStyle w:val="ListParagraph"/>
        <w:numPr>
          <w:ilvl w:val="0"/>
          <w:numId w:val="97"/>
        </w:numPr>
        <w:spacing w:after="200"/>
        <w:contextualSpacing/>
        <w:jc w:val="both"/>
        <w:rPr>
          <w:rFonts w:asciiTheme="majorHAnsi" w:hAnsiTheme="majorHAnsi"/>
          <w:sz w:val="20"/>
          <w:szCs w:val="20"/>
        </w:rPr>
      </w:pPr>
      <w:r w:rsidRPr="006D63E5">
        <w:rPr>
          <w:rFonts w:asciiTheme="majorHAnsi" w:hAnsiTheme="majorHAnsi"/>
          <w:b/>
          <w:sz w:val="20"/>
          <w:szCs w:val="20"/>
        </w:rPr>
        <w:t>Development and Implementation of State level integrated land and seascape management actions</w:t>
      </w:r>
      <w:r w:rsidR="009043EC" w:rsidRPr="006D63E5">
        <w:rPr>
          <w:rFonts w:asciiTheme="majorHAnsi" w:hAnsiTheme="majorHAnsi"/>
          <w:b/>
          <w:sz w:val="20"/>
          <w:szCs w:val="20"/>
        </w:rPr>
        <w:t xml:space="preserve"> (#4: State-based community planning to create state ILSMPs)</w:t>
      </w:r>
      <w:r w:rsidRPr="006D63E5">
        <w:rPr>
          <w:rFonts w:asciiTheme="majorHAnsi" w:hAnsiTheme="majorHAnsi"/>
          <w:b/>
          <w:sz w:val="20"/>
          <w:szCs w:val="20"/>
        </w:rPr>
        <w:t xml:space="preserve">: </w:t>
      </w:r>
      <w:r w:rsidRPr="006D63E5">
        <w:rPr>
          <w:rFonts w:asciiTheme="majorHAnsi" w:hAnsiTheme="majorHAnsi"/>
          <w:sz w:val="20"/>
          <w:szCs w:val="20"/>
        </w:rPr>
        <w:t>Depending on the classification of the different zones within the Babeldaob Island and Southern lagoon land/seascape, each state will formulate its own integrated land and seascape management plans. On the basis of these ILSMPs, protected areas or “set-asides” would be managed for conservation and tourism benefits, agricultural and aquaculture areas would be managed for providing products and livelihoods for local people, fisheries areas would managed for ensuring sustainable harvest regimes and tourism areas will be managed to provide sustainable visitor experiences, while protecting biodiversity and ecosystems and enhancing the local economy</w:t>
      </w:r>
      <w:r w:rsidR="00194AA1">
        <w:rPr>
          <w:rFonts w:asciiTheme="majorHAnsi" w:hAnsiTheme="majorHAnsi"/>
          <w:sz w:val="20"/>
          <w:szCs w:val="20"/>
        </w:rPr>
        <w:t xml:space="preserve">. </w:t>
      </w:r>
      <w:r w:rsidRPr="006D63E5">
        <w:rPr>
          <w:rFonts w:asciiTheme="majorHAnsi" w:hAnsiTheme="majorHAnsi"/>
          <w:sz w:val="20"/>
          <w:szCs w:val="20"/>
        </w:rPr>
        <w:t>On the long-term the mapping and strategic planning exercises would provide information for zonation of the land/seascape for different economic uses and development activities, facilitate EIA, EIS and permitting processes that meet biodiversity-friendly norms, and help develop appropriate governance and enforcement systems that ensures that development is sustainable and environmentally appropriate.</w:t>
      </w:r>
    </w:p>
    <w:p w14:paraId="4F33454C" w14:textId="6618BB23" w:rsidR="00A11855" w:rsidRPr="006D63E5" w:rsidRDefault="00A11855" w:rsidP="00A11855">
      <w:pPr>
        <w:spacing w:after="200"/>
        <w:ind w:left="720"/>
        <w:contextualSpacing/>
        <w:rPr>
          <w:rFonts w:cs="Calibri"/>
          <w:sz w:val="20"/>
          <w:szCs w:val="20"/>
        </w:rPr>
      </w:pPr>
      <w:r w:rsidRPr="006D63E5">
        <w:rPr>
          <w:rFonts w:asciiTheme="majorHAnsi" w:hAnsiTheme="majorHAnsi"/>
          <w:sz w:val="20"/>
          <w:szCs w:val="20"/>
        </w:rPr>
        <w:t xml:space="preserve">The development of state ILSMPs would entail the involvement of various institutions (deemed “community”) including: (i) </w:t>
      </w:r>
      <w:r w:rsidRPr="006D63E5">
        <w:rPr>
          <w:rFonts w:cs="Calibri"/>
          <w:b/>
          <w:sz w:val="20"/>
          <w:szCs w:val="20"/>
        </w:rPr>
        <w:t>State Government Personnel and Elected and Traditional Leadership</w:t>
      </w:r>
      <w:r w:rsidRPr="006D63E5">
        <w:rPr>
          <w:rFonts w:cs="Calibri"/>
          <w:sz w:val="20"/>
          <w:szCs w:val="20"/>
        </w:rPr>
        <w:t xml:space="preserve">. The leadership acts on behalf of the “community” who are residents living in the State; (ii) </w:t>
      </w:r>
      <w:r w:rsidRPr="006D63E5">
        <w:rPr>
          <w:rFonts w:cs="Calibri"/>
          <w:b/>
          <w:sz w:val="20"/>
          <w:szCs w:val="20"/>
        </w:rPr>
        <w:t xml:space="preserve">Social and Cultural groups, </w:t>
      </w:r>
      <w:r w:rsidRPr="006D63E5">
        <w:rPr>
          <w:rFonts w:cs="Calibri"/>
          <w:sz w:val="20"/>
          <w:szCs w:val="20"/>
        </w:rPr>
        <w:t xml:space="preserve">including Traditional Women’s, Men’s, and Youth Groups; (iii) </w:t>
      </w:r>
      <w:r w:rsidRPr="006D63E5">
        <w:rPr>
          <w:rFonts w:cs="Calibri"/>
          <w:b/>
          <w:sz w:val="20"/>
          <w:szCs w:val="20"/>
        </w:rPr>
        <w:t xml:space="preserve">Biodiversity Conservation related institutions. </w:t>
      </w:r>
      <w:r w:rsidRPr="006D63E5">
        <w:rPr>
          <w:rFonts w:cs="Calibri"/>
          <w:sz w:val="20"/>
          <w:szCs w:val="20"/>
        </w:rPr>
        <w:t xml:space="preserve">Nonprofit groups that are registered with the national government and usually operate in single or at most 2-3 states. Nonprofits are generally considered “community,” although this varies with the size, purpose, and makeup of the nonprofit groups; (iv) </w:t>
      </w:r>
      <w:r w:rsidRPr="006D63E5">
        <w:rPr>
          <w:rFonts w:cs="Calibri"/>
          <w:b/>
          <w:sz w:val="20"/>
          <w:szCs w:val="20"/>
        </w:rPr>
        <w:t xml:space="preserve">Livelihood related groups </w:t>
      </w:r>
      <w:r w:rsidRPr="006D63E5">
        <w:rPr>
          <w:rFonts w:cs="Calibri"/>
          <w:sz w:val="20"/>
          <w:szCs w:val="20"/>
        </w:rPr>
        <w:t xml:space="preserve">that also include nonprofit organizations working to advance agriculture and aquaculture, as well as fisheries groups and cooperatives. These are considered “community” and also business-related entities; and (v) </w:t>
      </w:r>
      <w:r w:rsidRPr="006D63E5">
        <w:rPr>
          <w:rFonts w:cs="Calibri"/>
          <w:b/>
          <w:sz w:val="20"/>
          <w:szCs w:val="20"/>
        </w:rPr>
        <w:t>Local Consultants/Small Businesses</w:t>
      </w:r>
      <w:r w:rsidRPr="006D63E5">
        <w:rPr>
          <w:rFonts w:cs="Calibri"/>
          <w:sz w:val="20"/>
          <w:szCs w:val="20"/>
        </w:rPr>
        <w:t>: Most local consultants are considered to be “community” even if they are a for-profit business</w:t>
      </w:r>
      <w:r w:rsidR="00194AA1">
        <w:rPr>
          <w:rFonts w:cs="Calibri"/>
          <w:sz w:val="20"/>
          <w:szCs w:val="20"/>
        </w:rPr>
        <w:t xml:space="preserve">. </w:t>
      </w:r>
      <w:r w:rsidRPr="006D63E5">
        <w:rPr>
          <w:rFonts w:cs="Calibri"/>
          <w:sz w:val="20"/>
          <w:szCs w:val="20"/>
        </w:rPr>
        <w:t>Individual State Landscape/Seascape Planning and Implementation Teams will be constituted to include representatives from each of these groups, as named by elected and traditional leaders. Each Team will select a Chair. Terms of Reference will be developed under Output 1.2.</w:t>
      </w:r>
    </w:p>
    <w:p w14:paraId="7CF65B55" w14:textId="77777777" w:rsidR="00A11855" w:rsidRPr="006D63E5" w:rsidRDefault="00A11855" w:rsidP="00A11855">
      <w:pPr>
        <w:spacing w:after="200"/>
        <w:ind w:left="720"/>
        <w:contextualSpacing/>
        <w:rPr>
          <w:rFonts w:asciiTheme="majorHAnsi" w:hAnsiTheme="majorHAnsi"/>
          <w:sz w:val="20"/>
          <w:szCs w:val="20"/>
        </w:rPr>
      </w:pPr>
    </w:p>
    <w:p w14:paraId="121ACD35" w14:textId="130BE9C0" w:rsidR="00A11855" w:rsidRPr="006D63E5" w:rsidRDefault="00A11855" w:rsidP="00A11855">
      <w:pPr>
        <w:autoSpaceDE w:val="0"/>
        <w:autoSpaceDN w:val="0"/>
        <w:adjustRightInd w:val="0"/>
        <w:spacing w:after="0"/>
        <w:ind w:left="720"/>
        <w:rPr>
          <w:rFonts w:cs="Calibri"/>
          <w:b/>
          <w:sz w:val="20"/>
          <w:szCs w:val="20"/>
        </w:rPr>
      </w:pPr>
      <w:r w:rsidRPr="006D63E5">
        <w:rPr>
          <w:rFonts w:cs="Calibri"/>
          <w:b/>
          <w:sz w:val="20"/>
          <w:szCs w:val="20"/>
        </w:rPr>
        <w:t>Institutional arrangements for integration of local communities into land</w:t>
      </w:r>
      <w:r w:rsidR="00625014" w:rsidRPr="006D63E5">
        <w:rPr>
          <w:rFonts w:cs="Calibri"/>
          <w:b/>
          <w:sz w:val="20"/>
          <w:szCs w:val="20"/>
        </w:rPr>
        <w:t>/sea</w:t>
      </w:r>
      <w:r w:rsidRPr="006D63E5">
        <w:rPr>
          <w:rFonts w:cs="Calibri"/>
          <w:b/>
          <w:sz w:val="20"/>
          <w:szCs w:val="20"/>
        </w:rPr>
        <w:t xml:space="preserve">scape conservation activities: </w:t>
      </w:r>
      <w:r w:rsidRPr="006D63E5">
        <w:rPr>
          <w:rFonts w:cs="Calibri"/>
          <w:sz w:val="20"/>
          <w:szCs w:val="20"/>
        </w:rPr>
        <w:t>Funding for State Land</w:t>
      </w:r>
      <w:r w:rsidR="00625014" w:rsidRPr="006D63E5">
        <w:rPr>
          <w:rFonts w:cs="Calibri"/>
          <w:sz w:val="20"/>
          <w:szCs w:val="20"/>
        </w:rPr>
        <w:t>/sea</w:t>
      </w:r>
      <w:r w:rsidRPr="006D63E5">
        <w:rPr>
          <w:rFonts w:cs="Calibri"/>
          <w:sz w:val="20"/>
          <w:szCs w:val="20"/>
        </w:rPr>
        <w:t xml:space="preserve">scape Planning will go through the State Governments. For each of the nine states, funds for a facilitator will be provided to support the activity of the Planning and Implementation Team. This will follow the process established through the PAN, whereby State Governments access national PAN Funds (through a MOU or contract based on a simple proposal) to hire their own consultants and to compensate the planning team members (e.g. at a rate of around $20-$35/meeting). States will not be required </w:t>
      </w:r>
      <w:r w:rsidRPr="006D63E5">
        <w:rPr>
          <w:rFonts w:cs="Calibri"/>
          <w:sz w:val="20"/>
          <w:szCs w:val="20"/>
        </w:rPr>
        <w:lastRenderedPageBreak/>
        <w:t>to hire any staff from MNRET for related services. States may also use funds to support meetings, facilities rental, field excursions, and other planning activities following the PAN model</w:t>
      </w:r>
      <w:r w:rsidR="00194AA1">
        <w:rPr>
          <w:rFonts w:cs="Calibri"/>
          <w:sz w:val="20"/>
          <w:szCs w:val="20"/>
        </w:rPr>
        <w:t xml:space="preserve">. </w:t>
      </w:r>
      <w:r w:rsidRPr="006D63E5">
        <w:rPr>
          <w:rFonts w:cs="Calibri"/>
          <w:sz w:val="20"/>
          <w:szCs w:val="20"/>
        </w:rPr>
        <w:t>Island-wide technical resources such as mapping and information collection (including access to the database) as well as capacity building will be provided at the project level and coordinated by MNRET.</w:t>
      </w:r>
    </w:p>
    <w:p w14:paraId="293F3183" w14:textId="77777777" w:rsidR="00A11855" w:rsidRPr="006D63E5" w:rsidRDefault="00A11855" w:rsidP="00A11855">
      <w:pPr>
        <w:spacing w:after="200"/>
        <w:ind w:left="720"/>
        <w:contextualSpacing/>
        <w:rPr>
          <w:rFonts w:asciiTheme="majorHAnsi" w:hAnsiTheme="majorHAnsi"/>
          <w:sz w:val="20"/>
          <w:szCs w:val="20"/>
        </w:rPr>
      </w:pPr>
    </w:p>
    <w:p w14:paraId="785B3E76" w14:textId="374A8AF1" w:rsidR="00A11855" w:rsidRPr="006D63E5" w:rsidRDefault="00A11855" w:rsidP="00EA4043">
      <w:pPr>
        <w:pStyle w:val="ListParagraph"/>
        <w:numPr>
          <w:ilvl w:val="0"/>
          <w:numId w:val="97"/>
        </w:numPr>
        <w:spacing w:after="200"/>
        <w:contextualSpacing/>
        <w:jc w:val="both"/>
        <w:rPr>
          <w:rFonts w:asciiTheme="majorHAnsi" w:hAnsiTheme="majorHAnsi"/>
          <w:sz w:val="20"/>
          <w:szCs w:val="20"/>
        </w:rPr>
      </w:pPr>
      <w:r w:rsidRPr="00DB6EB8">
        <w:rPr>
          <w:rFonts w:asciiTheme="majorHAnsi" w:hAnsiTheme="majorHAnsi"/>
          <w:b/>
          <w:sz w:val="20"/>
          <w:szCs w:val="20"/>
        </w:rPr>
        <w:t>Participatory Community-based Site-Specific Planning</w:t>
      </w:r>
      <w:r w:rsidR="009043EC" w:rsidRPr="00DB6EB8">
        <w:rPr>
          <w:rFonts w:asciiTheme="majorHAnsi" w:hAnsiTheme="majorHAnsi"/>
          <w:b/>
          <w:sz w:val="20"/>
          <w:szCs w:val="20"/>
        </w:rPr>
        <w:t xml:space="preserve"> </w:t>
      </w:r>
      <w:r w:rsidR="009043EC" w:rsidRPr="006D63E5">
        <w:rPr>
          <w:rFonts w:asciiTheme="majorHAnsi" w:hAnsiTheme="majorHAnsi"/>
          <w:b/>
          <w:sz w:val="20"/>
          <w:szCs w:val="20"/>
        </w:rPr>
        <w:t>(#4: Site-based planning to guide implementation)</w:t>
      </w:r>
      <w:r w:rsidR="009043EC" w:rsidRPr="006D63E5">
        <w:rPr>
          <w:rFonts w:asciiTheme="majorHAnsi" w:hAnsiTheme="majorHAnsi"/>
          <w:sz w:val="20"/>
          <w:szCs w:val="20"/>
        </w:rPr>
        <w:t>:</w:t>
      </w:r>
      <w:r w:rsidRPr="006D63E5">
        <w:rPr>
          <w:rFonts w:asciiTheme="majorHAnsi" w:hAnsiTheme="majorHAnsi"/>
          <w:sz w:val="20"/>
          <w:szCs w:val="20"/>
        </w:rPr>
        <w:t xml:space="preserve">  The state level ISLMPs would provide the basic framework for site-specific planning, in terms of defining locations for informing on-the-ground actions to support biodiversity conservation and sector specific activities (e.g. best practices in forestry, fisheries, aquaculture, tourism and agriculture) that can be designed and implemented in a biodiversity-friendly manner. This step aims to develop consensus among the community on the following: (i) areas to be set-aside for conservation and appropriate conservation measures to be implemented in these areas; (ii) how they </w:t>
      </w:r>
      <w:r w:rsidR="009043EC" w:rsidRPr="006D63E5">
        <w:rPr>
          <w:rFonts w:asciiTheme="majorHAnsi" w:hAnsiTheme="majorHAnsi"/>
          <w:sz w:val="20"/>
          <w:szCs w:val="20"/>
        </w:rPr>
        <w:t xml:space="preserve">intend </w:t>
      </w:r>
      <w:r w:rsidRPr="006D63E5">
        <w:rPr>
          <w:rFonts w:asciiTheme="majorHAnsi" w:hAnsiTheme="majorHAnsi"/>
          <w:sz w:val="20"/>
          <w:szCs w:val="20"/>
        </w:rPr>
        <w:t>to manage their natural resources; (iii) what economic/social/cultural benefits they want to receive from management of resources; (iv) traditions and practices they want to maintain, enhance, or change; and (v) what type of livelihood and resource management development they want to see in the future based on their vision for natural resources</w:t>
      </w:r>
      <w:r w:rsidR="00194AA1">
        <w:rPr>
          <w:rFonts w:asciiTheme="majorHAnsi" w:hAnsiTheme="majorHAnsi"/>
          <w:sz w:val="20"/>
          <w:szCs w:val="20"/>
        </w:rPr>
        <w:t xml:space="preserve">. </w:t>
      </w:r>
      <w:r w:rsidRPr="006D63E5">
        <w:rPr>
          <w:rFonts w:asciiTheme="majorHAnsi" w:hAnsiTheme="majorHAnsi"/>
          <w:sz w:val="20"/>
          <w:szCs w:val="20"/>
        </w:rPr>
        <w:t>This exercise would entail preparing a base map of the community and surrounding areas, holding small group meetings to draw best practice ideas and options and development of a single multi-year implementation plan for each community and/or sub-area within the state that defines priority on-the-ground best practices (see Attachment 1 for best practices and Attachment 2 for alternative livelihood options) to be implemented, defining roles and responsibilities of community members to plan implementation, assessing the costs of implementation of such plans (to be met through the project through direct grant transfers to the state/community) and community responsibilities and agreement to implementation and monitoring of plan implementation.</w:t>
      </w:r>
    </w:p>
    <w:p w14:paraId="5F7826D5" w14:textId="77777777" w:rsidR="00A11855" w:rsidRPr="006D63E5" w:rsidRDefault="00A11855" w:rsidP="00EA4043">
      <w:pPr>
        <w:pStyle w:val="ListParagraph"/>
        <w:numPr>
          <w:ilvl w:val="0"/>
          <w:numId w:val="97"/>
        </w:numPr>
        <w:spacing w:after="200"/>
        <w:contextualSpacing/>
        <w:jc w:val="both"/>
        <w:rPr>
          <w:rFonts w:asciiTheme="majorHAnsi" w:hAnsiTheme="majorHAnsi"/>
          <w:sz w:val="20"/>
          <w:szCs w:val="20"/>
        </w:rPr>
      </w:pPr>
      <w:r w:rsidRPr="00DB6EB8">
        <w:rPr>
          <w:rFonts w:asciiTheme="majorHAnsi" w:hAnsiTheme="majorHAnsi" w:cs="Calibri"/>
          <w:b/>
          <w:sz w:val="20"/>
          <w:szCs w:val="20"/>
        </w:rPr>
        <w:t>Implementation of State/community/</w:t>
      </w:r>
      <w:r w:rsidRPr="006D63E5">
        <w:rPr>
          <w:rFonts w:asciiTheme="majorHAnsi" w:hAnsiTheme="majorHAnsi" w:cs="Calibri"/>
          <w:b/>
          <w:sz w:val="20"/>
          <w:szCs w:val="20"/>
        </w:rPr>
        <w:t>village-based activities</w:t>
      </w:r>
      <w:r w:rsidRPr="006D63E5">
        <w:rPr>
          <w:rFonts w:asciiTheme="majorHAnsi" w:hAnsiTheme="majorHAnsi"/>
          <w:sz w:val="20"/>
          <w:szCs w:val="20"/>
        </w:rPr>
        <w:t xml:space="preserve">: </w:t>
      </w:r>
      <w:r w:rsidRPr="006D63E5">
        <w:rPr>
          <w:rFonts w:asciiTheme="majorHAnsi" w:hAnsiTheme="majorHAnsi" w:cs="Calibri"/>
          <w:sz w:val="20"/>
          <w:szCs w:val="20"/>
        </w:rPr>
        <w:t>The individual State Planning and Implementation Teams will access funds through simple procedures for Implementation under Outcomes 2 and 3. Palau has a well-established Small Grants Program (GEF SGP) that funds NGOs, CBOs, and State Governments. Thus the process used by the SGP may be modified or utilized to manage proposals and financing through the project. Each community site-specific plan proposal (see Attachment 3 for Plan Outline) will also include a plan for community-based monitoring and evaluation of the implementation activities and results indicators.</w:t>
      </w:r>
    </w:p>
    <w:p w14:paraId="1F769DDC" w14:textId="78BD4FDC" w:rsidR="00A11855" w:rsidRPr="006D63E5" w:rsidRDefault="00A11855" w:rsidP="00A11855">
      <w:pPr>
        <w:autoSpaceDE w:val="0"/>
        <w:autoSpaceDN w:val="0"/>
        <w:adjustRightInd w:val="0"/>
        <w:spacing w:after="0"/>
        <w:ind w:left="720"/>
        <w:rPr>
          <w:rFonts w:asciiTheme="majorHAnsi" w:hAnsiTheme="majorHAnsi" w:cs="Calibri"/>
          <w:sz w:val="20"/>
          <w:szCs w:val="20"/>
        </w:rPr>
      </w:pPr>
      <w:r w:rsidRPr="006D63E5">
        <w:rPr>
          <w:rFonts w:asciiTheme="majorHAnsi" w:hAnsiTheme="majorHAnsi" w:cs="Calibri"/>
          <w:sz w:val="20"/>
          <w:szCs w:val="20"/>
        </w:rPr>
        <w:t xml:space="preserve">To be eligible for </w:t>
      </w:r>
      <w:r w:rsidR="00712F9D">
        <w:rPr>
          <w:rFonts w:asciiTheme="majorHAnsi" w:hAnsiTheme="majorHAnsi" w:cs="Calibri"/>
          <w:sz w:val="20"/>
          <w:szCs w:val="20"/>
        </w:rPr>
        <w:t>project f</w:t>
      </w:r>
      <w:r w:rsidR="00712F9D" w:rsidRPr="006D63E5">
        <w:rPr>
          <w:rFonts w:asciiTheme="majorHAnsi" w:hAnsiTheme="majorHAnsi" w:cs="Calibri"/>
          <w:sz w:val="20"/>
          <w:szCs w:val="20"/>
        </w:rPr>
        <w:t>inancing</w:t>
      </w:r>
      <w:r w:rsidR="00712F9D">
        <w:rPr>
          <w:rFonts w:asciiTheme="majorHAnsi" w:hAnsiTheme="majorHAnsi" w:cs="Calibri"/>
          <w:sz w:val="20"/>
          <w:szCs w:val="20"/>
        </w:rPr>
        <w:t xml:space="preserve"> </w:t>
      </w:r>
      <w:r w:rsidRPr="006D63E5">
        <w:rPr>
          <w:rFonts w:asciiTheme="majorHAnsi" w:hAnsiTheme="majorHAnsi" w:cs="Calibri"/>
          <w:sz w:val="20"/>
          <w:szCs w:val="20"/>
        </w:rPr>
        <w:t>at the State or Community level, activities should comply with the following criteria:</w:t>
      </w:r>
    </w:p>
    <w:p w14:paraId="2492CAA7" w14:textId="77777777" w:rsidR="00A11855" w:rsidRPr="006D63E5" w:rsidRDefault="00A11855" w:rsidP="00EA4043">
      <w:pPr>
        <w:numPr>
          <w:ilvl w:val="0"/>
          <w:numId w:val="63"/>
        </w:numPr>
        <w:autoSpaceDE w:val="0"/>
        <w:autoSpaceDN w:val="0"/>
        <w:adjustRightInd w:val="0"/>
        <w:spacing w:after="0"/>
        <w:ind w:left="720" w:firstLine="0"/>
        <w:rPr>
          <w:rFonts w:asciiTheme="majorHAnsi" w:hAnsiTheme="majorHAnsi" w:cs="Calibri"/>
          <w:sz w:val="20"/>
          <w:szCs w:val="20"/>
        </w:rPr>
      </w:pPr>
      <w:r w:rsidRPr="006D63E5">
        <w:rPr>
          <w:rFonts w:asciiTheme="majorHAnsi" w:hAnsiTheme="majorHAnsi" w:cs="Calibri"/>
          <w:b/>
          <w:sz w:val="20"/>
          <w:szCs w:val="20"/>
        </w:rPr>
        <w:t>Be identified as priorities through the State’s Landscape/Seascape planning</w:t>
      </w:r>
      <w:r w:rsidRPr="006D63E5">
        <w:rPr>
          <w:rFonts w:asciiTheme="majorHAnsi" w:hAnsiTheme="majorHAnsi" w:cs="Calibri"/>
          <w:sz w:val="20"/>
          <w:szCs w:val="20"/>
        </w:rPr>
        <w:t xml:space="preserve"> process, and thus be assured of having been identified through a </w:t>
      </w:r>
      <w:r w:rsidRPr="006D63E5">
        <w:rPr>
          <w:rFonts w:asciiTheme="majorHAnsi" w:hAnsiTheme="majorHAnsi" w:cs="Calibri"/>
          <w:b/>
          <w:i/>
          <w:sz w:val="20"/>
          <w:szCs w:val="20"/>
        </w:rPr>
        <w:t>participatory</w:t>
      </w:r>
      <w:r w:rsidRPr="006D63E5">
        <w:rPr>
          <w:rFonts w:asciiTheme="majorHAnsi" w:hAnsiTheme="majorHAnsi" w:cs="Calibri"/>
          <w:sz w:val="20"/>
          <w:szCs w:val="20"/>
        </w:rPr>
        <w:t xml:space="preserve"> process.</w:t>
      </w:r>
    </w:p>
    <w:p w14:paraId="2E753851" w14:textId="77777777" w:rsidR="00A11855" w:rsidRPr="006D63E5" w:rsidRDefault="00A11855" w:rsidP="00EA4043">
      <w:pPr>
        <w:numPr>
          <w:ilvl w:val="0"/>
          <w:numId w:val="63"/>
        </w:numPr>
        <w:autoSpaceDE w:val="0"/>
        <w:autoSpaceDN w:val="0"/>
        <w:adjustRightInd w:val="0"/>
        <w:spacing w:after="0"/>
        <w:ind w:left="720" w:firstLine="0"/>
        <w:rPr>
          <w:rFonts w:asciiTheme="majorHAnsi" w:hAnsiTheme="majorHAnsi" w:cs="Calibri"/>
          <w:sz w:val="20"/>
          <w:szCs w:val="20"/>
        </w:rPr>
      </w:pPr>
      <w:r w:rsidRPr="006D63E5">
        <w:rPr>
          <w:rFonts w:asciiTheme="majorHAnsi" w:hAnsiTheme="majorHAnsi" w:cs="Calibri"/>
          <w:b/>
          <w:sz w:val="20"/>
          <w:szCs w:val="20"/>
        </w:rPr>
        <w:t>Be aligned with Palau’s national-level biodiversity and biosecurity policies, regulations, and guidelines and with any updated or aligned State-level plans</w:t>
      </w:r>
      <w:r w:rsidRPr="006D63E5">
        <w:rPr>
          <w:rFonts w:asciiTheme="majorHAnsi" w:hAnsiTheme="majorHAnsi" w:cs="Calibri"/>
          <w:sz w:val="20"/>
          <w:szCs w:val="20"/>
        </w:rPr>
        <w:t>, including PAN Management Plans and/or new Master or Land Use Plans.</w:t>
      </w:r>
    </w:p>
    <w:p w14:paraId="61FE587C" w14:textId="59976873" w:rsidR="00A11855" w:rsidRPr="006D63E5" w:rsidRDefault="00A11855" w:rsidP="00EA4043">
      <w:pPr>
        <w:numPr>
          <w:ilvl w:val="0"/>
          <w:numId w:val="63"/>
        </w:numPr>
        <w:autoSpaceDE w:val="0"/>
        <w:autoSpaceDN w:val="0"/>
        <w:adjustRightInd w:val="0"/>
        <w:spacing w:after="0"/>
        <w:ind w:left="720" w:firstLine="0"/>
        <w:rPr>
          <w:rFonts w:asciiTheme="majorHAnsi" w:hAnsiTheme="majorHAnsi" w:cs="Calibri"/>
          <w:sz w:val="20"/>
          <w:szCs w:val="20"/>
        </w:rPr>
      </w:pPr>
      <w:r w:rsidRPr="006D63E5">
        <w:rPr>
          <w:rFonts w:asciiTheme="majorHAnsi" w:hAnsiTheme="majorHAnsi" w:cs="Calibri"/>
          <w:b/>
          <w:sz w:val="20"/>
          <w:szCs w:val="20"/>
        </w:rPr>
        <w:t>Conserve and sustainably use land</w:t>
      </w:r>
      <w:r w:rsidR="0094107A" w:rsidRPr="006D63E5">
        <w:rPr>
          <w:rFonts w:asciiTheme="majorHAnsi" w:hAnsiTheme="majorHAnsi" w:cs="Calibri"/>
          <w:b/>
          <w:sz w:val="20"/>
          <w:szCs w:val="20"/>
        </w:rPr>
        <w:t>, sea</w:t>
      </w:r>
      <w:r w:rsidRPr="006D63E5">
        <w:rPr>
          <w:rFonts w:asciiTheme="majorHAnsi" w:hAnsiTheme="majorHAnsi" w:cs="Calibri"/>
          <w:b/>
          <w:sz w:val="20"/>
          <w:szCs w:val="20"/>
        </w:rPr>
        <w:t xml:space="preserve"> and other natural resources </w:t>
      </w:r>
      <w:r w:rsidRPr="006D63E5">
        <w:rPr>
          <w:rFonts w:asciiTheme="majorHAnsi" w:hAnsiTheme="majorHAnsi" w:cs="Calibri"/>
          <w:sz w:val="20"/>
          <w:szCs w:val="20"/>
        </w:rPr>
        <w:t xml:space="preserve">either directly or indirectly by creating sufficient incentives to commit local people to specific, measurable actions that improve the sustainability of resource use, so that outcomes are environmentally sustainable in support of global environmental objectives </w:t>
      </w:r>
    </w:p>
    <w:p w14:paraId="75957DD0" w14:textId="77777777" w:rsidR="00A11855" w:rsidRPr="006D63E5" w:rsidRDefault="00A11855" w:rsidP="00EA4043">
      <w:pPr>
        <w:numPr>
          <w:ilvl w:val="0"/>
          <w:numId w:val="63"/>
        </w:numPr>
        <w:autoSpaceDE w:val="0"/>
        <w:autoSpaceDN w:val="0"/>
        <w:adjustRightInd w:val="0"/>
        <w:spacing w:after="0"/>
        <w:ind w:left="720" w:firstLine="0"/>
        <w:rPr>
          <w:rFonts w:asciiTheme="majorHAnsi" w:hAnsiTheme="majorHAnsi" w:cs="Calibri"/>
          <w:sz w:val="20"/>
          <w:szCs w:val="20"/>
        </w:rPr>
      </w:pPr>
      <w:r w:rsidRPr="006D63E5">
        <w:rPr>
          <w:rFonts w:asciiTheme="majorHAnsi" w:hAnsiTheme="majorHAnsi" w:cs="Calibri"/>
          <w:sz w:val="20"/>
          <w:szCs w:val="20"/>
        </w:rPr>
        <w:t xml:space="preserve">Be in the financing windows of </w:t>
      </w:r>
      <w:r w:rsidRPr="006D63E5">
        <w:rPr>
          <w:rFonts w:asciiTheme="majorHAnsi" w:hAnsiTheme="majorHAnsi" w:cs="Calibri"/>
          <w:b/>
          <w:sz w:val="20"/>
          <w:szCs w:val="20"/>
        </w:rPr>
        <w:t>Sustainable Agriculture, Aquaculture, Forestry, Fisheries, Tourism, biosecurity/IAS Management, Conservation of high value forests and marine habitats, or Restoration of degraded lands or habitats</w:t>
      </w:r>
      <w:r w:rsidRPr="006D63E5">
        <w:rPr>
          <w:rFonts w:asciiTheme="majorHAnsi" w:hAnsiTheme="majorHAnsi" w:cs="Calibri"/>
          <w:sz w:val="20"/>
          <w:szCs w:val="20"/>
        </w:rPr>
        <w:t>.</w:t>
      </w:r>
    </w:p>
    <w:p w14:paraId="03087C91" w14:textId="77777777" w:rsidR="00A11855" w:rsidRPr="006D63E5" w:rsidRDefault="00A11855" w:rsidP="00EA4043">
      <w:pPr>
        <w:numPr>
          <w:ilvl w:val="0"/>
          <w:numId w:val="63"/>
        </w:numPr>
        <w:autoSpaceDE w:val="0"/>
        <w:autoSpaceDN w:val="0"/>
        <w:adjustRightInd w:val="0"/>
        <w:spacing w:after="0"/>
        <w:ind w:left="720" w:firstLine="0"/>
        <w:rPr>
          <w:rFonts w:asciiTheme="majorHAnsi" w:hAnsiTheme="majorHAnsi" w:cs="Calibri"/>
          <w:sz w:val="20"/>
          <w:szCs w:val="20"/>
        </w:rPr>
      </w:pPr>
      <w:r w:rsidRPr="006D63E5">
        <w:rPr>
          <w:rFonts w:asciiTheme="majorHAnsi" w:hAnsiTheme="majorHAnsi" w:cs="Calibri"/>
          <w:b/>
          <w:sz w:val="20"/>
          <w:szCs w:val="20"/>
        </w:rPr>
        <w:lastRenderedPageBreak/>
        <w:t xml:space="preserve">Follow the Gender and Socially Inclusive Mainstreaming Plan </w:t>
      </w:r>
      <w:r w:rsidRPr="006D63E5">
        <w:rPr>
          <w:rFonts w:asciiTheme="majorHAnsi" w:hAnsiTheme="majorHAnsi" w:cs="Calibri"/>
          <w:sz w:val="20"/>
          <w:szCs w:val="20"/>
        </w:rPr>
        <w:t>to incorporate equitable share of benefits to local communities and mitigate any negative impacts</w:t>
      </w:r>
      <w:r w:rsidRPr="006D63E5">
        <w:rPr>
          <w:rFonts w:asciiTheme="majorHAnsi" w:hAnsiTheme="majorHAnsi" w:cs="Calibri"/>
          <w:b/>
          <w:sz w:val="20"/>
          <w:szCs w:val="20"/>
        </w:rPr>
        <w:t xml:space="preserve"> </w:t>
      </w:r>
      <w:r w:rsidRPr="006D63E5">
        <w:rPr>
          <w:rFonts w:asciiTheme="majorHAnsi" w:hAnsiTheme="majorHAnsi" w:cs="Calibri"/>
          <w:sz w:val="20"/>
          <w:szCs w:val="20"/>
        </w:rPr>
        <w:t>to genders and vulnerable peoples.</w:t>
      </w:r>
    </w:p>
    <w:p w14:paraId="779F7EA5" w14:textId="77777777" w:rsidR="00A11855" w:rsidRDefault="00A11855" w:rsidP="00EA4043">
      <w:pPr>
        <w:numPr>
          <w:ilvl w:val="0"/>
          <w:numId w:val="63"/>
        </w:numPr>
        <w:autoSpaceDE w:val="0"/>
        <w:autoSpaceDN w:val="0"/>
        <w:adjustRightInd w:val="0"/>
        <w:spacing w:after="0"/>
        <w:ind w:left="720" w:firstLine="0"/>
        <w:rPr>
          <w:rFonts w:asciiTheme="majorHAnsi" w:hAnsiTheme="majorHAnsi" w:cs="Calibri"/>
          <w:sz w:val="20"/>
          <w:szCs w:val="20"/>
        </w:rPr>
      </w:pPr>
      <w:r w:rsidRPr="006D63E5">
        <w:rPr>
          <w:rFonts w:asciiTheme="majorHAnsi" w:hAnsiTheme="majorHAnsi" w:cs="Calibri"/>
          <w:b/>
          <w:sz w:val="20"/>
          <w:szCs w:val="20"/>
        </w:rPr>
        <w:t xml:space="preserve">Be socially sound and institutionally feasible </w:t>
      </w:r>
      <w:r w:rsidRPr="006D63E5">
        <w:rPr>
          <w:rFonts w:asciiTheme="majorHAnsi" w:hAnsiTheme="majorHAnsi" w:cs="Calibri"/>
          <w:sz w:val="20"/>
          <w:szCs w:val="20"/>
        </w:rPr>
        <w:t>ensuring that activities are culturally acceptable, do not impose an unnecessary heavy burden, local institutional capacity is adequate, benefits can be shared, and that activities meet community agreements to resource use and access restrictions.</w:t>
      </w:r>
    </w:p>
    <w:p w14:paraId="63C105EF" w14:textId="579605E2" w:rsidR="00712F9D" w:rsidRDefault="00712F9D" w:rsidP="00712F9D">
      <w:pPr>
        <w:numPr>
          <w:ilvl w:val="0"/>
          <w:numId w:val="63"/>
        </w:numPr>
        <w:autoSpaceDE w:val="0"/>
        <w:autoSpaceDN w:val="0"/>
        <w:adjustRightInd w:val="0"/>
        <w:spacing w:after="0"/>
        <w:ind w:left="720" w:firstLine="0"/>
        <w:rPr>
          <w:rFonts w:asciiTheme="majorHAnsi" w:hAnsiTheme="majorHAnsi" w:cs="Calibri"/>
          <w:sz w:val="20"/>
          <w:szCs w:val="20"/>
        </w:rPr>
      </w:pPr>
      <w:r>
        <w:rPr>
          <w:rFonts w:asciiTheme="majorHAnsi" w:hAnsiTheme="majorHAnsi" w:cs="Calibri"/>
          <w:b/>
          <w:sz w:val="20"/>
          <w:szCs w:val="20"/>
        </w:rPr>
        <w:t xml:space="preserve">Be environmentally sound </w:t>
      </w:r>
      <w:r>
        <w:rPr>
          <w:rFonts w:asciiTheme="majorHAnsi" w:hAnsiTheme="majorHAnsi" w:cs="Calibri"/>
          <w:sz w:val="20"/>
          <w:szCs w:val="20"/>
        </w:rPr>
        <w:t>in particular to ensure that project investments do not support exotic species in the forest restoration or aquaculture sectors to prevent potential IAS, be not located within protected areas, and avoid the use of harmful chemicals.</w:t>
      </w:r>
    </w:p>
    <w:p w14:paraId="28871613" w14:textId="77777777" w:rsidR="00712F9D" w:rsidRPr="006D63E5" w:rsidRDefault="00712F9D" w:rsidP="00712F9D">
      <w:pPr>
        <w:autoSpaceDE w:val="0"/>
        <w:autoSpaceDN w:val="0"/>
        <w:adjustRightInd w:val="0"/>
        <w:spacing w:after="0"/>
        <w:ind w:left="720"/>
        <w:rPr>
          <w:rFonts w:asciiTheme="majorHAnsi" w:hAnsiTheme="majorHAnsi" w:cs="Calibri"/>
          <w:sz w:val="20"/>
          <w:szCs w:val="20"/>
        </w:rPr>
      </w:pPr>
    </w:p>
    <w:p w14:paraId="3CCA7415" w14:textId="77777777" w:rsidR="00A11855" w:rsidRPr="006D63E5" w:rsidRDefault="00A11855" w:rsidP="00712F9D">
      <w:pPr>
        <w:numPr>
          <w:ilvl w:val="0"/>
          <w:numId w:val="63"/>
        </w:numPr>
        <w:autoSpaceDE w:val="0"/>
        <w:autoSpaceDN w:val="0"/>
        <w:adjustRightInd w:val="0"/>
        <w:spacing w:after="0"/>
        <w:ind w:left="720" w:firstLine="0"/>
        <w:rPr>
          <w:rFonts w:asciiTheme="majorHAnsi" w:hAnsiTheme="majorHAnsi" w:cs="Calibri"/>
          <w:sz w:val="20"/>
          <w:szCs w:val="20"/>
        </w:rPr>
      </w:pPr>
      <w:r w:rsidRPr="006D63E5">
        <w:rPr>
          <w:rFonts w:asciiTheme="majorHAnsi" w:hAnsiTheme="majorHAnsi" w:cs="Calibri"/>
          <w:b/>
          <w:sz w:val="20"/>
          <w:szCs w:val="20"/>
        </w:rPr>
        <w:t xml:space="preserve">Be efficient and financially feasible </w:t>
      </w:r>
      <w:r w:rsidRPr="006D63E5">
        <w:rPr>
          <w:rFonts w:asciiTheme="majorHAnsi" w:hAnsiTheme="majorHAnsi" w:cs="Calibri"/>
          <w:sz w:val="20"/>
          <w:szCs w:val="20"/>
        </w:rPr>
        <w:t>so that costs are within local norms, returns are sufficient to compensate for resource use limitations, and, for all investments intended to produce cash revenue or benefits that can be monetized, market linkages are adequate, cash flow requirements are viable, and returns compare favorably with alternative investment options.</w:t>
      </w:r>
    </w:p>
    <w:p w14:paraId="3DD42903" w14:textId="77777777" w:rsidR="00A11855" w:rsidRPr="006D63E5" w:rsidRDefault="00A11855" w:rsidP="00EA4043">
      <w:pPr>
        <w:numPr>
          <w:ilvl w:val="0"/>
          <w:numId w:val="63"/>
        </w:numPr>
        <w:autoSpaceDE w:val="0"/>
        <w:autoSpaceDN w:val="0"/>
        <w:adjustRightInd w:val="0"/>
        <w:spacing w:after="0"/>
        <w:ind w:left="720" w:firstLine="0"/>
        <w:rPr>
          <w:rFonts w:asciiTheme="majorHAnsi" w:hAnsiTheme="majorHAnsi" w:cs="Calibri"/>
          <w:sz w:val="20"/>
          <w:szCs w:val="20"/>
        </w:rPr>
      </w:pPr>
      <w:r w:rsidRPr="006D63E5">
        <w:rPr>
          <w:rFonts w:asciiTheme="majorHAnsi" w:hAnsiTheme="majorHAnsi" w:cs="Calibri"/>
          <w:b/>
          <w:sz w:val="20"/>
          <w:szCs w:val="20"/>
        </w:rPr>
        <w:t xml:space="preserve">Be supported by training and capacity development </w:t>
      </w:r>
      <w:r w:rsidRPr="006D63E5">
        <w:rPr>
          <w:rFonts w:asciiTheme="majorHAnsi" w:hAnsiTheme="majorHAnsi" w:cs="Calibri"/>
          <w:sz w:val="20"/>
          <w:szCs w:val="20"/>
        </w:rPr>
        <w:t xml:space="preserve">for strengthening households beyond the immediate project implementers. </w:t>
      </w:r>
    </w:p>
    <w:p w14:paraId="0F363AB3" w14:textId="77777777" w:rsidR="00A11855" w:rsidRPr="006D63E5" w:rsidRDefault="00A11855" w:rsidP="00EA4043">
      <w:pPr>
        <w:numPr>
          <w:ilvl w:val="0"/>
          <w:numId w:val="63"/>
        </w:numPr>
        <w:autoSpaceDE w:val="0"/>
        <w:autoSpaceDN w:val="0"/>
        <w:adjustRightInd w:val="0"/>
        <w:spacing w:after="0"/>
        <w:ind w:left="720" w:firstLine="0"/>
        <w:rPr>
          <w:rFonts w:asciiTheme="majorHAnsi" w:hAnsiTheme="majorHAnsi" w:cs="Calibri"/>
          <w:sz w:val="20"/>
          <w:szCs w:val="20"/>
        </w:rPr>
      </w:pPr>
      <w:r w:rsidRPr="006D63E5">
        <w:rPr>
          <w:rFonts w:asciiTheme="majorHAnsi" w:hAnsiTheme="majorHAnsi" w:cs="Calibri"/>
          <w:b/>
          <w:sz w:val="20"/>
          <w:szCs w:val="20"/>
        </w:rPr>
        <w:t xml:space="preserve">Be supplemental </w:t>
      </w:r>
      <w:r w:rsidRPr="006D63E5">
        <w:rPr>
          <w:rFonts w:asciiTheme="majorHAnsi" w:hAnsiTheme="majorHAnsi" w:cs="Calibri"/>
          <w:sz w:val="20"/>
          <w:szCs w:val="20"/>
        </w:rPr>
        <w:t>to ensure that activities supported under the project are not a substitution for what should be supported by the government.</w:t>
      </w:r>
    </w:p>
    <w:p w14:paraId="2E769A01" w14:textId="77777777" w:rsidR="00A11855" w:rsidRPr="006D63E5" w:rsidRDefault="00A11855" w:rsidP="00A11855">
      <w:pPr>
        <w:autoSpaceDE w:val="0"/>
        <w:autoSpaceDN w:val="0"/>
        <w:adjustRightInd w:val="0"/>
        <w:spacing w:after="0"/>
        <w:ind w:left="720"/>
        <w:rPr>
          <w:rFonts w:asciiTheme="majorHAnsi" w:hAnsiTheme="majorHAnsi" w:cs="Calibri"/>
          <w:sz w:val="20"/>
          <w:szCs w:val="20"/>
        </w:rPr>
      </w:pPr>
    </w:p>
    <w:p w14:paraId="16FEDBF4" w14:textId="6716940B" w:rsidR="00A11855" w:rsidRPr="006D63E5" w:rsidRDefault="00A11855" w:rsidP="00A11855">
      <w:pPr>
        <w:autoSpaceDE w:val="0"/>
        <w:autoSpaceDN w:val="0"/>
        <w:adjustRightInd w:val="0"/>
        <w:spacing w:after="0"/>
        <w:ind w:left="720"/>
        <w:rPr>
          <w:rFonts w:asciiTheme="majorHAnsi" w:hAnsiTheme="majorHAnsi" w:cs="Calibri"/>
          <w:sz w:val="20"/>
          <w:szCs w:val="20"/>
        </w:rPr>
      </w:pPr>
      <w:r w:rsidRPr="006D63E5">
        <w:rPr>
          <w:rFonts w:asciiTheme="majorHAnsi" w:hAnsiTheme="majorHAnsi" w:cs="Calibri"/>
          <w:sz w:val="20"/>
          <w:szCs w:val="20"/>
        </w:rPr>
        <w:t xml:space="preserve">MOUs will be developed and signed between MNRET and State governments that will spell out the </w:t>
      </w:r>
      <w:r w:rsidR="00712F9D">
        <w:rPr>
          <w:rFonts w:asciiTheme="majorHAnsi" w:hAnsiTheme="majorHAnsi" w:cs="Calibri"/>
          <w:sz w:val="20"/>
          <w:szCs w:val="20"/>
        </w:rPr>
        <w:t xml:space="preserve">agreed parameters and criteria for investments and </w:t>
      </w:r>
      <w:r w:rsidRPr="006D63E5">
        <w:rPr>
          <w:rFonts w:asciiTheme="majorHAnsi" w:hAnsiTheme="majorHAnsi" w:cs="Calibri"/>
          <w:sz w:val="20"/>
          <w:szCs w:val="20"/>
        </w:rPr>
        <w:t>community involvement in the activity</w:t>
      </w:r>
      <w:r w:rsidR="00194AA1">
        <w:rPr>
          <w:rFonts w:asciiTheme="majorHAnsi" w:hAnsiTheme="majorHAnsi" w:cs="Calibri"/>
          <w:sz w:val="20"/>
          <w:szCs w:val="20"/>
        </w:rPr>
        <w:t xml:space="preserve">. </w:t>
      </w:r>
      <w:r w:rsidR="00712F9D">
        <w:rPr>
          <w:rFonts w:asciiTheme="majorHAnsi" w:hAnsiTheme="majorHAnsi" w:cs="Calibri"/>
          <w:sz w:val="20"/>
          <w:szCs w:val="20"/>
        </w:rPr>
        <w:t xml:space="preserve">During early project implementation, the project will develop a checklist or questionnaire reflecting the criteria listed above </w:t>
      </w:r>
      <w:r w:rsidRPr="006D63E5">
        <w:rPr>
          <w:rFonts w:asciiTheme="majorHAnsi" w:hAnsiTheme="majorHAnsi" w:cs="Calibri"/>
          <w:sz w:val="20"/>
          <w:szCs w:val="20"/>
        </w:rPr>
        <w:t>to screen requested investments to ensure that they are technically feasible, have positive environmental impact and are part of a holistic approach to the local ecosystem management, likely to generate supplementary income, comply with sound social and environmental principles and are sustainable</w:t>
      </w:r>
      <w:r w:rsidR="00194AA1">
        <w:rPr>
          <w:rFonts w:asciiTheme="majorHAnsi" w:hAnsiTheme="majorHAnsi" w:cs="Calibri"/>
          <w:sz w:val="20"/>
          <w:szCs w:val="20"/>
        </w:rPr>
        <w:t xml:space="preserve">. </w:t>
      </w:r>
    </w:p>
    <w:p w14:paraId="4A48CCF9" w14:textId="77777777" w:rsidR="00A11855" w:rsidRPr="00DB6EB8" w:rsidRDefault="00A11855" w:rsidP="00A11855">
      <w:pPr>
        <w:pStyle w:val="ListParagraph"/>
        <w:spacing w:after="200"/>
        <w:contextualSpacing/>
        <w:jc w:val="both"/>
        <w:rPr>
          <w:rFonts w:asciiTheme="majorHAnsi" w:hAnsiTheme="majorHAnsi"/>
          <w:sz w:val="20"/>
          <w:szCs w:val="20"/>
        </w:rPr>
      </w:pPr>
    </w:p>
    <w:p w14:paraId="65EC422C" w14:textId="77777777" w:rsidR="00A11855" w:rsidRPr="006D63E5" w:rsidRDefault="00A11855" w:rsidP="00EA4043">
      <w:pPr>
        <w:pStyle w:val="ListParagraph"/>
        <w:numPr>
          <w:ilvl w:val="0"/>
          <w:numId w:val="97"/>
        </w:numPr>
        <w:spacing w:after="200"/>
        <w:contextualSpacing/>
        <w:jc w:val="both"/>
        <w:rPr>
          <w:b/>
          <w:sz w:val="20"/>
          <w:szCs w:val="20"/>
        </w:rPr>
      </w:pPr>
      <w:r w:rsidRPr="006D63E5">
        <w:rPr>
          <w:rFonts w:asciiTheme="majorHAnsi" w:hAnsiTheme="majorHAnsi"/>
          <w:b/>
          <w:sz w:val="20"/>
          <w:szCs w:val="20"/>
        </w:rPr>
        <w:t>Monitoring of impacts or performance:</w:t>
      </w:r>
      <w:r w:rsidRPr="006D63E5">
        <w:rPr>
          <w:rFonts w:asciiTheme="majorHAnsi" w:hAnsiTheme="majorHAnsi"/>
          <w:sz w:val="20"/>
          <w:szCs w:val="20"/>
        </w:rPr>
        <w:t xml:space="preserve">  In order to assess if the strategies/plans that are being implemented in the land/seascape are working, a monitoring program will be developed and implemented. Each site-specific community plan will </w:t>
      </w:r>
      <w:r w:rsidRPr="006D63E5">
        <w:rPr>
          <w:rFonts w:asciiTheme="majorHAnsi" w:hAnsiTheme="majorHAnsi" w:cs="Calibri"/>
          <w:sz w:val="20"/>
          <w:szCs w:val="20"/>
        </w:rPr>
        <w:t xml:space="preserve">include a monitoring plan, both with process-level indicators for implementation activities and results-level indicators. A close partnership between the EPU Coordinator, JCB, and State Planning and Implementation Teams will ensure that project indicators are integrated as far possible into State interventions. </w:t>
      </w:r>
    </w:p>
    <w:p w14:paraId="33B38A65" w14:textId="77777777" w:rsidR="00A11855" w:rsidRDefault="00A11855" w:rsidP="00A11855">
      <w:pPr>
        <w:pStyle w:val="ListParagraph"/>
        <w:spacing w:after="200"/>
        <w:contextualSpacing/>
        <w:jc w:val="both"/>
        <w:rPr>
          <w:b/>
          <w:sz w:val="22"/>
          <w:szCs w:val="22"/>
        </w:rPr>
      </w:pPr>
    </w:p>
    <w:p w14:paraId="09D11A90" w14:textId="77777777" w:rsidR="00A11855" w:rsidRDefault="00A11855" w:rsidP="00A11855">
      <w:pPr>
        <w:pStyle w:val="ListParagraph"/>
        <w:spacing w:after="200"/>
        <w:contextualSpacing/>
        <w:jc w:val="both"/>
        <w:rPr>
          <w:b/>
          <w:sz w:val="22"/>
          <w:szCs w:val="22"/>
        </w:rPr>
      </w:pPr>
    </w:p>
    <w:p w14:paraId="35F4BFEF" w14:textId="77777777" w:rsidR="00A11855" w:rsidRDefault="00A11855" w:rsidP="00A11855">
      <w:pPr>
        <w:sectPr w:rsidR="00A11855" w:rsidSect="00FD6B43">
          <w:pgSz w:w="12240" w:h="15840"/>
          <w:pgMar w:top="1440" w:right="1800" w:bottom="1440" w:left="1800" w:header="720" w:footer="720" w:gutter="0"/>
          <w:cols w:space="720"/>
          <w:docGrid w:linePitch="360"/>
        </w:sectPr>
      </w:pPr>
    </w:p>
    <w:p w14:paraId="09740174" w14:textId="77777777" w:rsidR="00A11855" w:rsidRPr="006D63E5" w:rsidRDefault="00A11855" w:rsidP="00A11855">
      <w:pPr>
        <w:jc w:val="right"/>
        <w:rPr>
          <w:rFonts w:asciiTheme="majorHAnsi" w:hAnsiTheme="majorHAnsi"/>
          <w:b/>
          <w:color w:val="000000"/>
          <w:sz w:val="20"/>
          <w:szCs w:val="20"/>
        </w:rPr>
      </w:pPr>
      <w:r w:rsidRPr="006D63E5">
        <w:rPr>
          <w:rFonts w:asciiTheme="majorHAnsi" w:hAnsiTheme="majorHAnsi"/>
          <w:b/>
          <w:color w:val="000000"/>
          <w:sz w:val="20"/>
          <w:szCs w:val="20"/>
        </w:rPr>
        <w:t>Annex 4, Attachment 1</w:t>
      </w:r>
    </w:p>
    <w:p w14:paraId="42687983" w14:textId="77777777" w:rsidR="00A11855" w:rsidRPr="00B626FC" w:rsidRDefault="00A11855" w:rsidP="00A11855">
      <w:pPr>
        <w:jc w:val="center"/>
        <w:rPr>
          <w:rFonts w:asciiTheme="majorHAnsi" w:hAnsiTheme="majorHAnsi"/>
          <w:b/>
          <w:color w:val="000000"/>
          <w:szCs w:val="20"/>
        </w:rPr>
      </w:pPr>
      <w:r w:rsidRPr="006D63E5">
        <w:rPr>
          <w:rFonts w:asciiTheme="majorHAnsi" w:hAnsiTheme="majorHAnsi"/>
          <w:b/>
          <w:color w:val="000000"/>
          <w:sz w:val="20"/>
          <w:szCs w:val="20"/>
        </w:rPr>
        <w:t>Best Practices relevant to the Project</w:t>
      </w:r>
    </w:p>
    <w:p w14:paraId="3D0A5D2C" w14:textId="77777777" w:rsidR="00A11855" w:rsidRPr="00B626FC" w:rsidRDefault="00A11855" w:rsidP="00A11855">
      <w:pPr>
        <w:jc w:val="center"/>
        <w:rPr>
          <w:rFonts w:asciiTheme="majorHAnsi" w:hAnsiTheme="majorHAnsi"/>
          <w:b/>
          <w:color w:val="000000"/>
          <w:szCs w:val="20"/>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551"/>
        <w:gridCol w:w="6549"/>
      </w:tblGrid>
      <w:tr w:rsidR="00A11855" w:rsidRPr="00B626FC" w14:paraId="165E24AC" w14:textId="77777777" w:rsidTr="00FD6B43">
        <w:tc>
          <w:tcPr>
            <w:tcW w:w="1615" w:type="dxa"/>
            <w:shd w:val="clear" w:color="auto" w:fill="C2D69B"/>
          </w:tcPr>
          <w:p w14:paraId="51A53EDE" w14:textId="77777777" w:rsidR="00A11855" w:rsidRPr="006D63E5" w:rsidRDefault="00A11855" w:rsidP="00FD6B43">
            <w:pPr>
              <w:jc w:val="left"/>
              <w:rPr>
                <w:rFonts w:asciiTheme="majorHAnsi" w:hAnsiTheme="majorHAnsi"/>
                <w:b/>
                <w:color w:val="000000"/>
                <w:sz w:val="18"/>
                <w:szCs w:val="18"/>
              </w:rPr>
            </w:pPr>
            <w:r w:rsidRPr="006D63E5">
              <w:rPr>
                <w:rFonts w:asciiTheme="majorHAnsi" w:hAnsiTheme="majorHAnsi"/>
                <w:b/>
                <w:color w:val="000000"/>
                <w:sz w:val="18"/>
                <w:szCs w:val="18"/>
              </w:rPr>
              <w:t>Best Practice Initiative</w:t>
            </w:r>
          </w:p>
        </w:tc>
        <w:tc>
          <w:tcPr>
            <w:tcW w:w="1551" w:type="dxa"/>
            <w:shd w:val="clear" w:color="auto" w:fill="C2D69B"/>
          </w:tcPr>
          <w:p w14:paraId="4B69BB57" w14:textId="77777777" w:rsidR="00A11855" w:rsidRPr="006D63E5" w:rsidRDefault="00A11855" w:rsidP="00FD6B43">
            <w:pPr>
              <w:jc w:val="left"/>
              <w:rPr>
                <w:rFonts w:asciiTheme="majorHAnsi" w:hAnsiTheme="majorHAnsi"/>
                <w:b/>
                <w:color w:val="000000"/>
                <w:sz w:val="18"/>
                <w:szCs w:val="18"/>
              </w:rPr>
            </w:pPr>
            <w:r w:rsidRPr="006D63E5">
              <w:rPr>
                <w:rFonts w:asciiTheme="majorHAnsi" w:hAnsiTheme="majorHAnsi"/>
                <w:b/>
                <w:color w:val="000000"/>
                <w:sz w:val="18"/>
                <w:szCs w:val="18"/>
              </w:rPr>
              <w:t xml:space="preserve">Nature of Initiative </w:t>
            </w:r>
          </w:p>
        </w:tc>
        <w:tc>
          <w:tcPr>
            <w:tcW w:w="6549" w:type="dxa"/>
            <w:shd w:val="clear" w:color="auto" w:fill="C2D69B"/>
          </w:tcPr>
          <w:p w14:paraId="3244D9A4" w14:textId="77777777" w:rsidR="00A11855" w:rsidRPr="006D63E5" w:rsidRDefault="00A11855" w:rsidP="00FD6B43">
            <w:pPr>
              <w:rPr>
                <w:rFonts w:asciiTheme="majorHAnsi" w:hAnsiTheme="majorHAnsi"/>
                <w:b/>
                <w:color w:val="000000"/>
                <w:sz w:val="18"/>
                <w:szCs w:val="18"/>
              </w:rPr>
            </w:pPr>
            <w:r w:rsidRPr="006D63E5">
              <w:rPr>
                <w:rFonts w:asciiTheme="majorHAnsi" w:hAnsiTheme="majorHAnsi"/>
                <w:b/>
                <w:color w:val="000000"/>
                <w:sz w:val="18"/>
                <w:szCs w:val="18"/>
              </w:rPr>
              <w:t xml:space="preserve">Applicable Best Practice </w:t>
            </w:r>
          </w:p>
        </w:tc>
      </w:tr>
      <w:tr w:rsidR="00A11855" w:rsidRPr="00B626FC" w14:paraId="6CC45258" w14:textId="77777777" w:rsidTr="00FD6B43">
        <w:tc>
          <w:tcPr>
            <w:tcW w:w="1615" w:type="dxa"/>
            <w:vMerge w:val="restart"/>
            <w:shd w:val="clear" w:color="auto" w:fill="auto"/>
          </w:tcPr>
          <w:p w14:paraId="34B1A7E3" w14:textId="77777777" w:rsidR="00A11855" w:rsidRPr="006D63E5" w:rsidRDefault="00A11855" w:rsidP="00FD6B43">
            <w:pPr>
              <w:spacing w:after="0"/>
              <w:jc w:val="left"/>
              <w:rPr>
                <w:rFonts w:asciiTheme="majorHAnsi" w:hAnsiTheme="majorHAnsi"/>
                <w:b/>
                <w:color w:val="000000"/>
                <w:sz w:val="18"/>
                <w:szCs w:val="18"/>
              </w:rPr>
            </w:pPr>
            <w:r w:rsidRPr="006D63E5">
              <w:rPr>
                <w:rFonts w:asciiTheme="majorHAnsi" w:hAnsiTheme="majorHAnsi"/>
                <w:b/>
                <w:sz w:val="18"/>
                <w:szCs w:val="18"/>
              </w:rPr>
              <w:t xml:space="preserve">Best Practices to minimize nonpoint source pollution (Natural Resource Conservation Service (NRCS) / PCS) </w:t>
            </w:r>
          </w:p>
        </w:tc>
        <w:tc>
          <w:tcPr>
            <w:tcW w:w="1551" w:type="dxa"/>
            <w:shd w:val="clear" w:color="auto" w:fill="auto"/>
          </w:tcPr>
          <w:p w14:paraId="1E827B4B" w14:textId="77777777" w:rsidR="00A11855" w:rsidRPr="006D63E5" w:rsidRDefault="00A11855" w:rsidP="00FD6B43">
            <w:pPr>
              <w:jc w:val="left"/>
              <w:rPr>
                <w:rFonts w:asciiTheme="majorHAnsi" w:hAnsiTheme="majorHAnsi"/>
                <w:color w:val="000000"/>
                <w:sz w:val="18"/>
                <w:szCs w:val="18"/>
              </w:rPr>
            </w:pPr>
            <w:r w:rsidRPr="006D63E5">
              <w:rPr>
                <w:rFonts w:asciiTheme="majorHAnsi" w:hAnsiTheme="majorHAnsi"/>
                <w:color w:val="000000"/>
                <w:sz w:val="18"/>
                <w:szCs w:val="18"/>
              </w:rPr>
              <w:t>Voluntary</w:t>
            </w:r>
          </w:p>
          <w:p w14:paraId="0EC0BF32" w14:textId="77777777" w:rsidR="00A11855" w:rsidRPr="006D63E5" w:rsidRDefault="00A11855" w:rsidP="00FD6B43">
            <w:pPr>
              <w:jc w:val="left"/>
              <w:rPr>
                <w:rFonts w:asciiTheme="majorHAnsi" w:hAnsiTheme="majorHAnsi"/>
                <w:color w:val="000000"/>
                <w:sz w:val="18"/>
                <w:szCs w:val="18"/>
              </w:rPr>
            </w:pPr>
          </w:p>
          <w:p w14:paraId="13739791" w14:textId="77777777" w:rsidR="00A11855" w:rsidRPr="006D63E5" w:rsidRDefault="00A11855" w:rsidP="00FD6B43">
            <w:pPr>
              <w:jc w:val="left"/>
              <w:rPr>
                <w:rFonts w:asciiTheme="majorHAnsi" w:hAnsiTheme="majorHAnsi"/>
                <w:color w:val="000000"/>
                <w:sz w:val="18"/>
                <w:szCs w:val="18"/>
              </w:rPr>
            </w:pPr>
            <w:r w:rsidRPr="006D63E5">
              <w:rPr>
                <w:rFonts w:asciiTheme="majorHAnsi" w:hAnsiTheme="majorHAnsi"/>
                <w:color w:val="000000"/>
                <w:sz w:val="18"/>
                <w:szCs w:val="18"/>
              </w:rPr>
              <w:t>Combines modern with traditional knowledge</w:t>
            </w:r>
          </w:p>
        </w:tc>
        <w:tc>
          <w:tcPr>
            <w:tcW w:w="6549" w:type="dxa"/>
            <w:shd w:val="clear" w:color="auto" w:fill="auto"/>
          </w:tcPr>
          <w:p w14:paraId="548A4435" w14:textId="77777777" w:rsidR="00A11855" w:rsidRPr="006D63E5" w:rsidRDefault="00A11855" w:rsidP="00EA4043">
            <w:pPr>
              <w:numPr>
                <w:ilvl w:val="0"/>
                <w:numId w:val="62"/>
              </w:numPr>
              <w:tabs>
                <w:tab w:val="left" w:pos="2700"/>
              </w:tabs>
              <w:overflowPunct w:val="0"/>
              <w:autoSpaceDE w:val="0"/>
              <w:autoSpaceDN w:val="0"/>
              <w:adjustRightInd w:val="0"/>
              <w:spacing w:after="0"/>
              <w:ind w:left="360" w:right="720"/>
              <w:jc w:val="left"/>
              <w:textAlignment w:val="baseline"/>
              <w:rPr>
                <w:rFonts w:asciiTheme="majorHAnsi" w:hAnsiTheme="majorHAnsi"/>
                <w:sz w:val="18"/>
                <w:szCs w:val="18"/>
              </w:rPr>
            </w:pPr>
            <w:r w:rsidRPr="006D63E5">
              <w:rPr>
                <w:rFonts w:asciiTheme="majorHAnsi" w:hAnsiTheme="majorHAnsi"/>
                <w:sz w:val="18"/>
                <w:szCs w:val="18"/>
              </w:rPr>
              <w:t>Conservation Crop Rotations</w:t>
            </w:r>
          </w:p>
          <w:p w14:paraId="57677760" w14:textId="77777777" w:rsidR="00A11855" w:rsidRPr="006D63E5" w:rsidRDefault="00A11855" w:rsidP="00EA4043">
            <w:pPr>
              <w:numPr>
                <w:ilvl w:val="0"/>
                <w:numId w:val="62"/>
              </w:numPr>
              <w:tabs>
                <w:tab w:val="left" w:pos="2700"/>
              </w:tabs>
              <w:overflowPunct w:val="0"/>
              <w:autoSpaceDE w:val="0"/>
              <w:autoSpaceDN w:val="0"/>
              <w:adjustRightInd w:val="0"/>
              <w:spacing w:after="0"/>
              <w:ind w:left="360" w:right="720"/>
              <w:jc w:val="left"/>
              <w:textAlignment w:val="baseline"/>
              <w:rPr>
                <w:rFonts w:asciiTheme="majorHAnsi" w:hAnsiTheme="majorHAnsi"/>
                <w:sz w:val="18"/>
                <w:szCs w:val="18"/>
              </w:rPr>
            </w:pPr>
            <w:r w:rsidRPr="006D63E5">
              <w:rPr>
                <w:rFonts w:asciiTheme="majorHAnsi" w:hAnsiTheme="majorHAnsi"/>
                <w:sz w:val="18"/>
                <w:szCs w:val="18"/>
              </w:rPr>
              <w:t>Contour Farming</w:t>
            </w:r>
          </w:p>
          <w:p w14:paraId="375B7AB6" w14:textId="77777777" w:rsidR="00A11855" w:rsidRPr="006D63E5" w:rsidRDefault="00A11855" w:rsidP="00EA4043">
            <w:pPr>
              <w:numPr>
                <w:ilvl w:val="0"/>
                <w:numId w:val="62"/>
              </w:numPr>
              <w:tabs>
                <w:tab w:val="left" w:pos="2700"/>
              </w:tabs>
              <w:overflowPunct w:val="0"/>
              <w:autoSpaceDE w:val="0"/>
              <w:autoSpaceDN w:val="0"/>
              <w:adjustRightInd w:val="0"/>
              <w:spacing w:after="0"/>
              <w:ind w:left="360" w:right="720"/>
              <w:jc w:val="left"/>
              <w:textAlignment w:val="baseline"/>
              <w:rPr>
                <w:rFonts w:asciiTheme="majorHAnsi" w:hAnsiTheme="majorHAnsi"/>
                <w:sz w:val="18"/>
                <w:szCs w:val="18"/>
              </w:rPr>
            </w:pPr>
            <w:r w:rsidRPr="006D63E5">
              <w:rPr>
                <w:rFonts w:asciiTheme="majorHAnsi" w:hAnsiTheme="majorHAnsi"/>
                <w:sz w:val="18"/>
                <w:szCs w:val="18"/>
              </w:rPr>
              <w:t>Agroforestry (Contour Orchard and Other Fruit Area) and use of Cover Crops, Tree and Shrub Pruning &amp; Tree / Shrub Establishment</w:t>
            </w:r>
          </w:p>
          <w:p w14:paraId="4B7F73FB" w14:textId="77777777" w:rsidR="00A11855" w:rsidRPr="006D63E5" w:rsidRDefault="00A11855" w:rsidP="00EA4043">
            <w:pPr>
              <w:numPr>
                <w:ilvl w:val="0"/>
                <w:numId w:val="62"/>
              </w:numPr>
              <w:tabs>
                <w:tab w:val="left" w:pos="2700"/>
              </w:tabs>
              <w:overflowPunct w:val="0"/>
              <w:autoSpaceDE w:val="0"/>
              <w:autoSpaceDN w:val="0"/>
              <w:adjustRightInd w:val="0"/>
              <w:spacing w:after="0"/>
              <w:ind w:left="360" w:right="720"/>
              <w:jc w:val="left"/>
              <w:textAlignment w:val="baseline"/>
              <w:rPr>
                <w:rFonts w:asciiTheme="majorHAnsi" w:hAnsiTheme="majorHAnsi"/>
                <w:sz w:val="18"/>
                <w:szCs w:val="18"/>
              </w:rPr>
            </w:pPr>
            <w:r w:rsidRPr="006D63E5">
              <w:rPr>
                <w:rFonts w:asciiTheme="majorHAnsi" w:hAnsiTheme="majorHAnsi"/>
                <w:sz w:val="18"/>
                <w:szCs w:val="18"/>
              </w:rPr>
              <w:t>Critical Area Planting, Wildlife Habitat Preservation</w:t>
            </w:r>
          </w:p>
          <w:p w14:paraId="7391322E" w14:textId="77777777" w:rsidR="00A11855" w:rsidRPr="006D63E5" w:rsidRDefault="00A11855" w:rsidP="00EA4043">
            <w:pPr>
              <w:numPr>
                <w:ilvl w:val="0"/>
                <w:numId w:val="62"/>
              </w:numPr>
              <w:tabs>
                <w:tab w:val="left" w:pos="2700"/>
              </w:tabs>
              <w:overflowPunct w:val="0"/>
              <w:autoSpaceDE w:val="0"/>
              <w:autoSpaceDN w:val="0"/>
              <w:adjustRightInd w:val="0"/>
              <w:spacing w:after="0"/>
              <w:ind w:left="360" w:right="720"/>
              <w:jc w:val="left"/>
              <w:textAlignment w:val="baseline"/>
              <w:rPr>
                <w:rFonts w:asciiTheme="majorHAnsi" w:hAnsiTheme="majorHAnsi"/>
                <w:sz w:val="18"/>
                <w:szCs w:val="18"/>
              </w:rPr>
            </w:pPr>
            <w:r w:rsidRPr="006D63E5">
              <w:rPr>
                <w:rFonts w:asciiTheme="majorHAnsi" w:hAnsiTheme="majorHAnsi"/>
                <w:sz w:val="18"/>
                <w:szCs w:val="18"/>
              </w:rPr>
              <w:t xml:space="preserve">Enhancements such as Filter Strips, Firebreaks, </w:t>
            </w:r>
          </w:p>
          <w:p w14:paraId="243F1249" w14:textId="77777777" w:rsidR="00A11855" w:rsidRPr="006D63E5" w:rsidRDefault="00A11855" w:rsidP="00EA4043">
            <w:pPr>
              <w:numPr>
                <w:ilvl w:val="0"/>
                <w:numId w:val="62"/>
              </w:numPr>
              <w:tabs>
                <w:tab w:val="left" w:pos="2700"/>
              </w:tabs>
              <w:overflowPunct w:val="0"/>
              <w:autoSpaceDE w:val="0"/>
              <w:autoSpaceDN w:val="0"/>
              <w:adjustRightInd w:val="0"/>
              <w:spacing w:after="0"/>
              <w:ind w:left="360" w:right="720"/>
              <w:jc w:val="left"/>
              <w:textAlignment w:val="baseline"/>
              <w:rPr>
                <w:rFonts w:asciiTheme="majorHAnsi" w:hAnsiTheme="majorHAnsi"/>
                <w:sz w:val="18"/>
                <w:szCs w:val="18"/>
              </w:rPr>
            </w:pPr>
            <w:r w:rsidRPr="006D63E5">
              <w:rPr>
                <w:rFonts w:asciiTheme="majorHAnsi" w:hAnsiTheme="majorHAnsi"/>
                <w:sz w:val="18"/>
                <w:szCs w:val="18"/>
              </w:rPr>
              <w:t>Hedgerow Planting, Hillside Ditches, Vegetation Row Barrier, and Windbreaks</w:t>
            </w:r>
          </w:p>
          <w:p w14:paraId="22AD52DD" w14:textId="77777777" w:rsidR="00A11855" w:rsidRPr="006D63E5" w:rsidRDefault="00A11855" w:rsidP="00EA4043">
            <w:pPr>
              <w:numPr>
                <w:ilvl w:val="0"/>
                <w:numId w:val="62"/>
              </w:numPr>
              <w:tabs>
                <w:tab w:val="left" w:pos="2700"/>
              </w:tabs>
              <w:overflowPunct w:val="0"/>
              <w:autoSpaceDE w:val="0"/>
              <w:autoSpaceDN w:val="0"/>
              <w:adjustRightInd w:val="0"/>
              <w:spacing w:after="0"/>
              <w:ind w:left="360" w:right="720"/>
              <w:jc w:val="left"/>
              <w:textAlignment w:val="baseline"/>
              <w:rPr>
                <w:rFonts w:asciiTheme="majorHAnsi" w:hAnsiTheme="majorHAnsi"/>
                <w:sz w:val="18"/>
                <w:szCs w:val="18"/>
              </w:rPr>
            </w:pPr>
            <w:r w:rsidRPr="006D63E5">
              <w:rPr>
                <w:rFonts w:asciiTheme="majorHAnsi" w:hAnsiTheme="majorHAnsi"/>
                <w:sz w:val="18"/>
                <w:szCs w:val="18"/>
              </w:rPr>
              <w:t xml:space="preserve">Irrigation Water Management </w:t>
            </w:r>
          </w:p>
          <w:p w14:paraId="6E50A1AD" w14:textId="77777777" w:rsidR="00A11855" w:rsidRPr="006D63E5" w:rsidRDefault="00A11855" w:rsidP="00EA4043">
            <w:pPr>
              <w:numPr>
                <w:ilvl w:val="0"/>
                <w:numId w:val="62"/>
              </w:numPr>
              <w:tabs>
                <w:tab w:val="left" w:pos="2700"/>
              </w:tabs>
              <w:overflowPunct w:val="0"/>
              <w:autoSpaceDE w:val="0"/>
              <w:autoSpaceDN w:val="0"/>
              <w:adjustRightInd w:val="0"/>
              <w:spacing w:after="0"/>
              <w:ind w:left="360" w:right="720"/>
              <w:jc w:val="left"/>
              <w:textAlignment w:val="baseline"/>
              <w:rPr>
                <w:rFonts w:asciiTheme="majorHAnsi" w:hAnsiTheme="majorHAnsi"/>
                <w:sz w:val="18"/>
                <w:szCs w:val="18"/>
              </w:rPr>
            </w:pPr>
            <w:r w:rsidRPr="006D63E5">
              <w:rPr>
                <w:rFonts w:asciiTheme="majorHAnsi" w:hAnsiTheme="majorHAnsi"/>
                <w:sz w:val="18"/>
                <w:szCs w:val="18"/>
              </w:rPr>
              <w:t xml:space="preserve">Mulching and organic Nutrient Management </w:t>
            </w:r>
          </w:p>
          <w:p w14:paraId="26576F4C" w14:textId="77777777" w:rsidR="00A11855" w:rsidRPr="006D63E5" w:rsidRDefault="00A11855" w:rsidP="00EA4043">
            <w:pPr>
              <w:numPr>
                <w:ilvl w:val="0"/>
                <w:numId w:val="62"/>
              </w:numPr>
              <w:tabs>
                <w:tab w:val="left" w:pos="2700"/>
              </w:tabs>
              <w:overflowPunct w:val="0"/>
              <w:autoSpaceDE w:val="0"/>
              <w:autoSpaceDN w:val="0"/>
              <w:adjustRightInd w:val="0"/>
              <w:spacing w:after="0"/>
              <w:ind w:left="360" w:right="720"/>
              <w:jc w:val="left"/>
              <w:textAlignment w:val="baseline"/>
              <w:rPr>
                <w:rFonts w:asciiTheme="majorHAnsi" w:hAnsiTheme="majorHAnsi"/>
                <w:sz w:val="18"/>
                <w:szCs w:val="18"/>
              </w:rPr>
            </w:pPr>
            <w:r w:rsidRPr="006D63E5">
              <w:rPr>
                <w:rFonts w:asciiTheme="majorHAnsi" w:hAnsiTheme="majorHAnsi"/>
                <w:sz w:val="18"/>
                <w:szCs w:val="18"/>
              </w:rPr>
              <w:t>Organic or natural Pest Management</w:t>
            </w:r>
          </w:p>
          <w:p w14:paraId="03557D6C" w14:textId="77777777" w:rsidR="00A11855" w:rsidRPr="006D63E5" w:rsidRDefault="00A11855" w:rsidP="00EA4043">
            <w:pPr>
              <w:numPr>
                <w:ilvl w:val="0"/>
                <w:numId w:val="62"/>
              </w:numPr>
              <w:tabs>
                <w:tab w:val="left" w:pos="2700"/>
              </w:tabs>
              <w:overflowPunct w:val="0"/>
              <w:autoSpaceDE w:val="0"/>
              <w:autoSpaceDN w:val="0"/>
              <w:adjustRightInd w:val="0"/>
              <w:spacing w:after="0"/>
              <w:ind w:left="360" w:right="720"/>
              <w:jc w:val="left"/>
              <w:textAlignment w:val="baseline"/>
              <w:rPr>
                <w:rFonts w:asciiTheme="majorHAnsi" w:hAnsiTheme="majorHAnsi"/>
                <w:sz w:val="18"/>
                <w:szCs w:val="18"/>
              </w:rPr>
            </w:pPr>
            <w:r w:rsidRPr="006D63E5">
              <w:rPr>
                <w:rFonts w:asciiTheme="majorHAnsi" w:hAnsiTheme="majorHAnsi"/>
                <w:sz w:val="18"/>
                <w:szCs w:val="18"/>
              </w:rPr>
              <w:t xml:space="preserve">Waste Management </w:t>
            </w:r>
          </w:p>
          <w:p w14:paraId="01B93E4D" w14:textId="77777777" w:rsidR="00A11855" w:rsidRPr="006D63E5" w:rsidRDefault="00A11855" w:rsidP="00EA4043">
            <w:pPr>
              <w:numPr>
                <w:ilvl w:val="0"/>
                <w:numId w:val="62"/>
              </w:numPr>
              <w:tabs>
                <w:tab w:val="left" w:pos="2700"/>
              </w:tabs>
              <w:overflowPunct w:val="0"/>
              <w:autoSpaceDE w:val="0"/>
              <w:autoSpaceDN w:val="0"/>
              <w:adjustRightInd w:val="0"/>
              <w:spacing w:after="0"/>
              <w:ind w:left="360" w:right="720"/>
              <w:jc w:val="left"/>
              <w:textAlignment w:val="baseline"/>
              <w:rPr>
                <w:rFonts w:asciiTheme="majorHAnsi" w:hAnsiTheme="majorHAnsi"/>
                <w:sz w:val="18"/>
                <w:szCs w:val="18"/>
              </w:rPr>
            </w:pPr>
            <w:r w:rsidRPr="006D63E5">
              <w:rPr>
                <w:rFonts w:asciiTheme="majorHAnsi" w:hAnsiTheme="majorHAnsi"/>
                <w:sz w:val="18"/>
                <w:szCs w:val="18"/>
              </w:rPr>
              <w:t>Taro patch management (ditches, cover, gates)</w:t>
            </w:r>
          </w:p>
          <w:p w14:paraId="3A97CDF0" w14:textId="77777777" w:rsidR="00A11855" w:rsidRPr="006D63E5" w:rsidRDefault="00A11855" w:rsidP="00FD6B43">
            <w:pPr>
              <w:tabs>
                <w:tab w:val="left" w:pos="2700"/>
              </w:tabs>
              <w:overflowPunct w:val="0"/>
              <w:autoSpaceDE w:val="0"/>
              <w:autoSpaceDN w:val="0"/>
              <w:adjustRightInd w:val="0"/>
              <w:spacing w:after="0"/>
              <w:ind w:left="360" w:right="720"/>
              <w:jc w:val="left"/>
              <w:textAlignment w:val="baseline"/>
              <w:rPr>
                <w:rFonts w:asciiTheme="majorHAnsi" w:hAnsiTheme="majorHAnsi" w:cs="Cambria"/>
                <w:sz w:val="18"/>
                <w:szCs w:val="18"/>
              </w:rPr>
            </w:pPr>
          </w:p>
        </w:tc>
      </w:tr>
      <w:tr w:rsidR="00A11855" w:rsidRPr="00B626FC" w14:paraId="2110D2DD" w14:textId="77777777" w:rsidTr="00FD6B43">
        <w:tc>
          <w:tcPr>
            <w:tcW w:w="1615" w:type="dxa"/>
            <w:vMerge/>
            <w:shd w:val="clear" w:color="auto" w:fill="auto"/>
          </w:tcPr>
          <w:p w14:paraId="4297E8DD" w14:textId="77777777" w:rsidR="00A11855" w:rsidRPr="006D63E5" w:rsidRDefault="00A11855" w:rsidP="00FD6B43">
            <w:pPr>
              <w:spacing w:after="0"/>
              <w:jc w:val="left"/>
              <w:rPr>
                <w:rFonts w:asciiTheme="majorHAnsi" w:hAnsiTheme="majorHAnsi"/>
                <w:b/>
                <w:color w:val="000000"/>
                <w:sz w:val="18"/>
                <w:szCs w:val="18"/>
              </w:rPr>
            </w:pPr>
          </w:p>
        </w:tc>
        <w:tc>
          <w:tcPr>
            <w:tcW w:w="1551" w:type="dxa"/>
            <w:shd w:val="clear" w:color="auto" w:fill="auto"/>
          </w:tcPr>
          <w:p w14:paraId="58CD3988" w14:textId="77777777" w:rsidR="00A11855" w:rsidRPr="006D63E5" w:rsidRDefault="00A11855" w:rsidP="00FD6B43">
            <w:pPr>
              <w:jc w:val="left"/>
              <w:rPr>
                <w:rFonts w:asciiTheme="majorHAnsi" w:hAnsiTheme="majorHAnsi"/>
                <w:color w:val="000000"/>
                <w:sz w:val="18"/>
                <w:szCs w:val="18"/>
              </w:rPr>
            </w:pPr>
            <w:r w:rsidRPr="006D63E5">
              <w:rPr>
                <w:rFonts w:asciiTheme="majorHAnsi" w:hAnsiTheme="majorHAnsi"/>
                <w:color w:val="000000"/>
                <w:sz w:val="18"/>
                <w:szCs w:val="18"/>
              </w:rPr>
              <w:t>Mandatory</w:t>
            </w:r>
          </w:p>
        </w:tc>
        <w:tc>
          <w:tcPr>
            <w:tcW w:w="6549" w:type="dxa"/>
            <w:shd w:val="clear" w:color="auto" w:fill="auto"/>
          </w:tcPr>
          <w:p w14:paraId="5424E8AD" w14:textId="77777777" w:rsidR="00A11855" w:rsidRPr="006D63E5" w:rsidRDefault="00A11855" w:rsidP="00EA4043">
            <w:pPr>
              <w:numPr>
                <w:ilvl w:val="0"/>
                <w:numId w:val="72"/>
              </w:numPr>
              <w:tabs>
                <w:tab w:val="left" w:pos="2700"/>
              </w:tabs>
              <w:overflowPunct w:val="0"/>
              <w:autoSpaceDE w:val="0"/>
              <w:autoSpaceDN w:val="0"/>
              <w:adjustRightInd w:val="0"/>
              <w:spacing w:after="0"/>
              <w:ind w:right="720"/>
              <w:jc w:val="left"/>
              <w:textAlignment w:val="baseline"/>
              <w:rPr>
                <w:rFonts w:asciiTheme="majorHAnsi" w:hAnsiTheme="majorHAnsi"/>
                <w:sz w:val="18"/>
                <w:szCs w:val="18"/>
              </w:rPr>
            </w:pPr>
            <w:r w:rsidRPr="006D63E5">
              <w:rPr>
                <w:rFonts w:asciiTheme="majorHAnsi" w:hAnsiTheme="majorHAnsi"/>
                <w:sz w:val="18"/>
                <w:szCs w:val="18"/>
              </w:rPr>
              <w:t>Riparian Forest Buffer Zones from streams and rivers</w:t>
            </w:r>
          </w:p>
          <w:p w14:paraId="26FF1F9F" w14:textId="77777777" w:rsidR="00A11855" w:rsidRPr="006D63E5" w:rsidRDefault="00A11855" w:rsidP="00EA4043">
            <w:pPr>
              <w:numPr>
                <w:ilvl w:val="0"/>
                <w:numId w:val="72"/>
              </w:numPr>
              <w:tabs>
                <w:tab w:val="left" w:pos="2700"/>
              </w:tabs>
              <w:overflowPunct w:val="0"/>
              <w:autoSpaceDE w:val="0"/>
              <w:autoSpaceDN w:val="0"/>
              <w:adjustRightInd w:val="0"/>
              <w:spacing w:after="0"/>
              <w:ind w:right="720"/>
              <w:jc w:val="left"/>
              <w:textAlignment w:val="baseline"/>
              <w:rPr>
                <w:rFonts w:asciiTheme="majorHAnsi" w:hAnsiTheme="majorHAnsi"/>
                <w:sz w:val="18"/>
                <w:szCs w:val="18"/>
              </w:rPr>
            </w:pPr>
            <w:r w:rsidRPr="006D63E5">
              <w:rPr>
                <w:rFonts w:asciiTheme="majorHAnsi" w:hAnsiTheme="majorHAnsi"/>
                <w:sz w:val="18"/>
                <w:szCs w:val="18"/>
              </w:rPr>
              <w:t>Standards for pesticides</w:t>
            </w:r>
          </w:p>
          <w:p w14:paraId="246CEA62" w14:textId="77777777" w:rsidR="00A11855" w:rsidRPr="006D63E5" w:rsidRDefault="00A11855" w:rsidP="00EA4043">
            <w:pPr>
              <w:numPr>
                <w:ilvl w:val="0"/>
                <w:numId w:val="72"/>
              </w:numPr>
              <w:tabs>
                <w:tab w:val="left" w:pos="2700"/>
              </w:tabs>
              <w:overflowPunct w:val="0"/>
              <w:autoSpaceDE w:val="0"/>
              <w:autoSpaceDN w:val="0"/>
              <w:adjustRightInd w:val="0"/>
              <w:spacing w:after="0"/>
              <w:ind w:right="720"/>
              <w:jc w:val="left"/>
              <w:textAlignment w:val="baseline"/>
              <w:rPr>
                <w:rFonts w:asciiTheme="majorHAnsi" w:hAnsiTheme="majorHAnsi"/>
                <w:sz w:val="18"/>
                <w:szCs w:val="18"/>
              </w:rPr>
            </w:pPr>
            <w:r w:rsidRPr="006D63E5">
              <w:rPr>
                <w:rFonts w:asciiTheme="majorHAnsi" w:hAnsiTheme="majorHAnsi"/>
                <w:sz w:val="18"/>
                <w:szCs w:val="18"/>
              </w:rPr>
              <w:t>Application for permit for commercial farms</w:t>
            </w:r>
          </w:p>
          <w:p w14:paraId="0168805B" w14:textId="77777777" w:rsidR="00A11855" w:rsidRPr="006D63E5" w:rsidRDefault="00A11855" w:rsidP="00FD6B43">
            <w:pPr>
              <w:tabs>
                <w:tab w:val="left" w:pos="2700"/>
              </w:tabs>
              <w:overflowPunct w:val="0"/>
              <w:autoSpaceDE w:val="0"/>
              <w:autoSpaceDN w:val="0"/>
              <w:adjustRightInd w:val="0"/>
              <w:spacing w:after="0"/>
              <w:ind w:right="720"/>
              <w:jc w:val="left"/>
              <w:textAlignment w:val="baseline"/>
              <w:rPr>
                <w:rFonts w:asciiTheme="majorHAnsi" w:hAnsiTheme="majorHAnsi" w:cs="Cambria"/>
                <w:sz w:val="18"/>
                <w:szCs w:val="18"/>
              </w:rPr>
            </w:pPr>
          </w:p>
        </w:tc>
      </w:tr>
      <w:tr w:rsidR="00A11855" w:rsidRPr="00B626FC" w14:paraId="537DE19F" w14:textId="77777777" w:rsidTr="00FD6B43">
        <w:tc>
          <w:tcPr>
            <w:tcW w:w="1615" w:type="dxa"/>
            <w:vMerge w:val="restart"/>
            <w:shd w:val="clear" w:color="auto" w:fill="auto"/>
          </w:tcPr>
          <w:p w14:paraId="1D763DC8" w14:textId="77777777" w:rsidR="00A11855" w:rsidRPr="006D63E5" w:rsidRDefault="00A11855" w:rsidP="00FD6B43">
            <w:pPr>
              <w:spacing w:after="0"/>
              <w:jc w:val="left"/>
              <w:rPr>
                <w:rFonts w:asciiTheme="majorHAnsi" w:hAnsiTheme="majorHAnsi"/>
                <w:b/>
                <w:color w:val="000000"/>
                <w:sz w:val="18"/>
                <w:szCs w:val="18"/>
              </w:rPr>
            </w:pPr>
            <w:r w:rsidRPr="006D63E5">
              <w:rPr>
                <w:rFonts w:asciiTheme="majorHAnsi" w:hAnsiTheme="majorHAnsi"/>
                <w:b/>
                <w:sz w:val="18"/>
                <w:szCs w:val="18"/>
              </w:rPr>
              <w:t>Maximizing and diversifying agricultural production and income (BOA as part of GEF5)</w:t>
            </w:r>
          </w:p>
          <w:p w14:paraId="5C2CEA4C" w14:textId="77777777" w:rsidR="00A11855" w:rsidRPr="006D63E5" w:rsidRDefault="00A11855" w:rsidP="00FD6B43">
            <w:pPr>
              <w:spacing w:after="0"/>
              <w:jc w:val="left"/>
              <w:rPr>
                <w:rFonts w:asciiTheme="majorHAnsi" w:hAnsiTheme="majorHAnsi"/>
                <w:b/>
                <w:color w:val="000000"/>
                <w:sz w:val="18"/>
                <w:szCs w:val="18"/>
              </w:rPr>
            </w:pPr>
          </w:p>
        </w:tc>
        <w:tc>
          <w:tcPr>
            <w:tcW w:w="1551" w:type="dxa"/>
            <w:shd w:val="clear" w:color="auto" w:fill="auto"/>
          </w:tcPr>
          <w:p w14:paraId="4225567D" w14:textId="77777777" w:rsidR="00A11855" w:rsidRPr="006D63E5" w:rsidRDefault="00A11855" w:rsidP="00FD6B43">
            <w:pPr>
              <w:jc w:val="left"/>
              <w:rPr>
                <w:rFonts w:asciiTheme="majorHAnsi" w:hAnsiTheme="majorHAnsi"/>
                <w:color w:val="000000"/>
                <w:sz w:val="18"/>
                <w:szCs w:val="18"/>
              </w:rPr>
            </w:pPr>
            <w:r w:rsidRPr="006D63E5">
              <w:rPr>
                <w:rFonts w:asciiTheme="majorHAnsi" w:hAnsiTheme="majorHAnsi"/>
                <w:color w:val="000000"/>
                <w:sz w:val="18"/>
                <w:szCs w:val="18"/>
              </w:rPr>
              <w:t>Voluntary</w:t>
            </w:r>
          </w:p>
          <w:p w14:paraId="2D73D8B8" w14:textId="77777777" w:rsidR="00A11855" w:rsidRPr="006D63E5" w:rsidRDefault="00A11855" w:rsidP="00FD6B43">
            <w:pPr>
              <w:jc w:val="left"/>
              <w:rPr>
                <w:rFonts w:asciiTheme="majorHAnsi" w:hAnsiTheme="majorHAnsi"/>
                <w:color w:val="000000"/>
                <w:sz w:val="18"/>
                <w:szCs w:val="18"/>
              </w:rPr>
            </w:pPr>
          </w:p>
          <w:p w14:paraId="504DE67B" w14:textId="77777777" w:rsidR="00A11855" w:rsidRPr="006D63E5" w:rsidRDefault="00A11855" w:rsidP="00FD6B43">
            <w:pPr>
              <w:jc w:val="left"/>
              <w:rPr>
                <w:rFonts w:asciiTheme="majorHAnsi" w:hAnsiTheme="majorHAnsi"/>
                <w:color w:val="000000"/>
                <w:sz w:val="18"/>
                <w:szCs w:val="18"/>
              </w:rPr>
            </w:pPr>
            <w:r w:rsidRPr="006D63E5">
              <w:rPr>
                <w:rFonts w:asciiTheme="majorHAnsi" w:hAnsiTheme="majorHAnsi"/>
                <w:color w:val="000000"/>
                <w:sz w:val="18"/>
                <w:szCs w:val="18"/>
              </w:rPr>
              <w:t>Traditional Practices</w:t>
            </w:r>
          </w:p>
        </w:tc>
        <w:tc>
          <w:tcPr>
            <w:tcW w:w="6549" w:type="dxa"/>
            <w:shd w:val="clear" w:color="auto" w:fill="auto"/>
          </w:tcPr>
          <w:p w14:paraId="578FDC24" w14:textId="77777777" w:rsidR="00A11855" w:rsidRPr="006D63E5" w:rsidRDefault="00A11855" w:rsidP="00EA4043">
            <w:pPr>
              <w:pStyle w:val="ListParagraph"/>
              <w:numPr>
                <w:ilvl w:val="0"/>
                <w:numId w:val="73"/>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cs="Cambria"/>
                <w:sz w:val="18"/>
                <w:szCs w:val="18"/>
              </w:rPr>
              <w:t xml:space="preserve">Mulch; Green manure; Composting </w:t>
            </w:r>
          </w:p>
          <w:p w14:paraId="44FD3AA7" w14:textId="77777777" w:rsidR="00A11855" w:rsidRPr="006D63E5" w:rsidRDefault="00A11855" w:rsidP="00EA4043">
            <w:pPr>
              <w:pStyle w:val="ListParagraph"/>
              <w:numPr>
                <w:ilvl w:val="0"/>
                <w:numId w:val="73"/>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cs="Cambria"/>
                <w:sz w:val="18"/>
                <w:szCs w:val="18"/>
              </w:rPr>
              <w:t xml:space="preserve">Agro forest; Integrated Farming </w:t>
            </w:r>
          </w:p>
          <w:p w14:paraId="41BFEFE2" w14:textId="77777777" w:rsidR="00A11855" w:rsidRPr="006D63E5" w:rsidRDefault="00A11855" w:rsidP="00EA4043">
            <w:pPr>
              <w:pStyle w:val="ListParagraph"/>
              <w:numPr>
                <w:ilvl w:val="0"/>
                <w:numId w:val="73"/>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cs="Cambria"/>
                <w:sz w:val="18"/>
                <w:szCs w:val="18"/>
              </w:rPr>
              <w:t xml:space="preserve">Traditional Dikes; Terracing </w:t>
            </w:r>
          </w:p>
          <w:p w14:paraId="7B629B6C" w14:textId="77777777" w:rsidR="00A11855" w:rsidRPr="006D63E5" w:rsidRDefault="00A11855" w:rsidP="00EA4043">
            <w:pPr>
              <w:pStyle w:val="ListParagraph"/>
              <w:numPr>
                <w:ilvl w:val="0"/>
                <w:numId w:val="73"/>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cs="Cambria"/>
                <w:sz w:val="18"/>
                <w:szCs w:val="18"/>
              </w:rPr>
              <w:t xml:space="preserve">Intercropping and Mix Cropping; Permanent culture </w:t>
            </w:r>
          </w:p>
          <w:p w14:paraId="10F174C6" w14:textId="77777777" w:rsidR="00A11855" w:rsidRPr="006D63E5" w:rsidRDefault="00A11855" w:rsidP="00EA4043">
            <w:pPr>
              <w:pStyle w:val="ListParagraph"/>
              <w:numPr>
                <w:ilvl w:val="0"/>
                <w:numId w:val="73"/>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cs="Cambria"/>
                <w:sz w:val="18"/>
                <w:szCs w:val="18"/>
              </w:rPr>
              <w:t xml:space="preserve">Selective Harvesting and cutting; Pruning </w:t>
            </w:r>
          </w:p>
          <w:p w14:paraId="1A199132" w14:textId="77777777" w:rsidR="00A11855" w:rsidRPr="006D63E5" w:rsidRDefault="00A11855" w:rsidP="00EA4043">
            <w:pPr>
              <w:pStyle w:val="ListParagraph"/>
              <w:numPr>
                <w:ilvl w:val="0"/>
                <w:numId w:val="73"/>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cs="Cambria"/>
                <w:sz w:val="18"/>
                <w:szCs w:val="18"/>
              </w:rPr>
              <w:t xml:space="preserve">Clearing of Waterways </w:t>
            </w:r>
          </w:p>
          <w:p w14:paraId="61E3E6A8" w14:textId="77777777" w:rsidR="00A11855" w:rsidRPr="006D63E5" w:rsidRDefault="00A11855" w:rsidP="00EA4043">
            <w:pPr>
              <w:pStyle w:val="ListParagraph"/>
              <w:numPr>
                <w:ilvl w:val="0"/>
                <w:numId w:val="73"/>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cs="Cambria"/>
                <w:sz w:val="18"/>
                <w:szCs w:val="18"/>
              </w:rPr>
              <w:t xml:space="preserve">Staggered Planting; Crop rotation; Fallow </w:t>
            </w:r>
          </w:p>
          <w:p w14:paraId="7F149D69" w14:textId="77777777" w:rsidR="00A11855" w:rsidRPr="006D63E5" w:rsidRDefault="00A11855" w:rsidP="00EA4043">
            <w:pPr>
              <w:pStyle w:val="ListParagraph"/>
              <w:numPr>
                <w:ilvl w:val="0"/>
                <w:numId w:val="73"/>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cs="Cambria"/>
                <w:sz w:val="18"/>
                <w:szCs w:val="18"/>
              </w:rPr>
              <w:t xml:space="preserve">Strip Planting; Windbreaks </w:t>
            </w:r>
          </w:p>
          <w:p w14:paraId="54E7B1F1" w14:textId="77777777" w:rsidR="00A11855" w:rsidRPr="006D63E5" w:rsidRDefault="00A11855" w:rsidP="00EA4043">
            <w:pPr>
              <w:pStyle w:val="ListParagraph"/>
              <w:numPr>
                <w:ilvl w:val="0"/>
                <w:numId w:val="73"/>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cs="Cambria"/>
                <w:sz w:val="18"/>
                <w:szCs w:val="18"/>
              </w:rPr>
              <w:t xml:space="preserve">Soil amendments </w:t>
            </w:r>
          </w:p>
          <w:p w14:paraId="57A23A80" w14:textId="77777777" w:rsidR="00A11855" w:rsidRPr="006D63E5" w:rsidRDefault="00A11855" w:rsidP="00EA4043">
            <w:pPr>
              <w:pStyle w:val="ListParagraph"/>
              <w:numPr>
                <w:ilvl w:val="0"/>
                <w:numId w:val="73"/>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cs="Cambria"/>
                <w:sz w:val="18"/>
                <w:szCs w:val="18"/>
              </w:rPr>
              <w:t xml:space="preserve">Knowledge transfer </w:t>
            </w:r>
          </w:p>
          <w:p w14:paraId="05AB1313" w14:textId="77777777" w:rsidR="00A11855" w:rsidRPr="006D63E5" w:rsidRDefault="00A11855" w:rsidP="00EA4043">
            <w:pPr>
              <w:pStyle w:val="ListParagraph"/>
              <w:numPr>
                <w:ilvl w:val="0"/>
                <w:numId w:val="73"/>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cs="Cambria"/>
                <w:sz w:val="18"/>
                <w:szCs w:val="18"/>
              </w:rPr>
              <w:t>Preparation and Selection of planting materials/Seeds; Seed collection</w:t>
            </w:r>
          </w:p>
          <w:p w14:paraId="0F0779D3" w14:textId="77777777" w:rsidR="00A11855" w:rsidRPr="006D63E5" w:rsidRDefault="00A11855" w:rsidP="00EA4043">
            <w:pPr>
              <w:pStyle w:val="ListParagraph"/>
              <w:numPr>
                <w:ilvl w:val="0"/>
                <w:numId w:val="73"/>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cs="Cambria"/>
                <w:sz w:val="18"/>
                <w:szCs w:val="18"/>
              </w:rPr>
              <w:t xml:space="preserve">Traditional Plant Calendar </w:t>
            </w:r>
          </w:p>
          <w:p w14:paraId="2CD956CA" w14:textId="77777777" w:rsidR="00A11855" w:rsidRPr="006D63E5" w:rsidRDefault="00A11855" w:rsidP="00EA4043">
            <w:pPr>
              <w:pStyle w:val="ListParagraph"/>
              <w:numPr>
                <w:ilvl w:val="0"/>
                <w:numId w:val="73"/>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cs="Cambria"/>
                <w:sz w:val="18"/>
                <w:szCs w:val="18"/>
              </w:rPr>
              <w:t xml:space="preserve">Integrated Pest Management (I.P.M) </w:t>
            </w:r>
          </w:p>
          <w:p w14:paraId="28E353A2" w14:textId="77777777" w:rsidR="00A11855" w:rsidRPr="006D63E5" w:rsidRDefault="00A11855" w:rsidP="00EA4043">
            <w:pPr>
              <w:pStyle w:val="ListParagraph"/>
              <w:numPr>
                <w:ilvl w:val="0"/>
                <w:numId w:val="73"/>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cs="Cambria"/>
                <w:sz w:val="18"/>
                <w:szCs w:val="18"/>
              </w:rPr>
              <w:t>Value adding agriculture (e.g. Organic Approach/Organic Farming)</w:t>
            </w:r>
          </w:p>
          <w:p w14:paraId="340C35EF" w14:textId="77777777" w:rsidR="00A11855" w:rsidRPr="006D63E5" w:rsidRDefault="00A11855" w:rsidP="00FD6B43">
            <w:pPr>
              <w:tabs>
                <w:tab w:val="left" w:pos="2700"/>
              </w:tabs>
              <w:overflowPunct w:val="0"/>
              <w:autoSpaceDE w:val="0"/>
              <w:autoSpaceDN w:val="0"/>
              <w:adjustRightInd w:val="0"/>
              <w:spacing w:after="0"/>
              <w:ind w:right="720"/>
              <w:jc w:val="left"/>
              <w:textAlignment w:val="baseline"/>
              <w:rPr>
                <w:rFonts w:asciiTheme="majorHAnsi" w:hAnsiTheme="majorHAnsi" w:cs="Cambria"/>
                <w:sz w:val="18"/>
                <w:szCs w:val="18"/>
              </w:rPr>
            </w:pPr>
          </w:p>
        </w:tc>
      </w:tr>
      <w:tr w:rsidR="00A11855" w:rsidRPr="00B626FC" w14:paraId="7FCCC84A" w14:textId="77777777" w:rsidTr="00FD6B43">
        <w:tc>
          <w:tcPr>
            <w:tcW w:w="1615" w:type="dxa"/>
            <w:vMerge/>
            <w:shd w:val="clear" w:color="auto" w:fill="auto"/>
          </w:tcPr>
          <w:p w14:paraId="1F457BC3" w14:textId="77777777" w:rsidR="00A11855" w:rsidRPr="006D63E5" w:rsidRDefault="00A11855" w:rsidP="00FD6B43">
            <w:pPr>
              <w:spacing w:after="0"/>
              <w:jc w:val="left"/>
              <w:rPr>
                <w:rFonts w:asciiTheme="majorHAnsi" w:hAnsiTheme="majorHAnsi"/>
                <w:b/>
                <w:color w:val="000000"/>
                <w:sz w:val="18"/>
                <w:szCs w:val="18"/>
              </w:rPr>
            </w:pPr>
          </w:p>
        </w:tc>
        <w:tc>
          <w:tcPr>
            <w:tcW w:w="1551" w:type="dxa"/>
            <w:shd w:val="clear" w:color="auto" w:fill="auto"/>
          </w:tcPr>
          <w:p w14:paraId="47A9AA00" w14:textId="77777777" w:rsidR="00A11855" w:rsidRPr="006D63E5" w:rsidRDefault="00A11855" w:rsidP="00FD6B43">
            <w:pPr>
              <w:jc w:val="left"/>
              <w:rPr>
                <w:rFonts w:asciiTheme="majorHAnsi" w:hAnsiTheme="majorHAnsi"/>
                <w:color w:val="000000"/>
                <w:sz w:val="18"/>
                <w:szCs w:val="18"/>
              </w:rPr>
            </w:pPr>
            <w:r w:rsidRPr="006D63E5">
              <w:rPr>
                <w:rFonts w:asciiTheme="majorHAnsi" w:hAnsiTheme="majorHAnsi"/>
                <w:color w:val="000000"/>
                <w:sz w:val="18"/>
                <w:szCs w:val="18"/>
              </w:rPr>
              <w:t>Voluntary</w:t>
            </w:r>
          </w:p>
          <w:p w14:paraId="52EBAAC0" w14:textId="77777777" w:rsidR="00A11855" w:rsidRPr="006D63E5" w:rsidRDefault="00A11855" w:rsidP="00FD6B43">
            <w:pPr>
              <w:jc w:val="left"/>
              <w:rPr>
                <w:rFonts w:asciiTheme="majorHAnsi" w:hAnsiTheme="majorHAnsi"/>
                <w:color w:val="000000"/>
                <w:sz w:val="18"/>
                <w:szCs w:val="18"/>
              </w:rPr>
            </w:pPr>
          </w:p>
          <w:p w14:paraId="36025F0B" w14:textId="77777777" w:rsidR="00A11855" w:rsidRPr="006D63E5" w:rsidRDefault="00A11855" w:rsidP="00FD6B43">
            <w:pPr>
              <w:jc w:val="left"/>
              <w:rPr>
                <w:rFonts w:asciiTheme="majorHAnsi" w:hAnsiTheme="majorHAnsi"/>
                <w:color w:val="000000"/>
                <w:sz w:val="18"/>
                <w:szCs w:val="18"/>
              </w:rPr>
            </w:pPr>
            <w:r w:rsidRPr="006D63E5">
              <w:rPr>
                <w:rFonts w:asciiTheme="majorHAnsi" w:hAnsiTheme="majorHAnsi"/>
                <w:color w:val="000000"/>
                <w:sz w:val="18"/>
                <w:szCs w:val="18"/>
              </w:rPr>
              <w:t>Structural Developments or Modern Practices</w:t>
            </w:r>
          </w:p>
        </w:tc>
        <w:tc>
          <w:tcPr>
            <w:tcW w:w="6549" w:type="dxa"/>
            <w:shd w:val="clear" w:color="auto" w:fill="auto"/>
          </w:tcPr>
          <w:p w14:paraId="1404F3ED" w14:textId="77777777" w:rsidR="00A11855" w:rsidRPr="006D63E5" w:rsidRDefault="00A11855" w:rsidP="00EA4043">
            <w:pPr>
              <w:pStyle w:val="ListParagraph"/>
              <w:numPr>
                <w:ilvl w:val="0"/>
                <w:numId w:val="74"/>
              </w:numPr>
              <w:tabs>
                <w:tab w:val="left" w:pos="2700"/>
              </w:tabs>
              <w:overflowPunct w:val="0"/>
              <w:autoSpaceDE w:val="0"/>
              <w:autoSpaceDN w:val="0"/>
              <w:adjustRightInd w:val="0"/>
              <w:ind w:left="360" w:right="720"/>
              <w:contextualSpacing/>
              <w:textAlignment w:val="baseline"/>
              <w:rPr>
                <w:rFonts w:asciiTheme="majorHAnsi" w:hAnsiTheme="majorHAnsi" w:cs="Cambria"/>
                <w:sz w:val="18"/>
                <w:szCs w:val="18"/>
              </w:rPr>
            </w:pPr>
            <w:r w:rsidRPr="006D63E5">
              <w:rPr>
                <w:rFonts w:asciiTheme="majorHAnsi" w:hAnsiTheme="majorHAnsi" w:cs="Cambria"/>
                <w:sz w:val="18"/>
                <w:szCs w:val="18"/>
              </w:rPr>
              <w:t xml:space="preserve">Construction of Dikes </w:t>
            </w:r>
          </w:p>
          <w:p w14:paraId="1D0E9727" w14:textId="77777777" w:rsidR="00A11855" w:rsidRPr="006D63E5" w:rsidRDefault="00A11855" w:rsidP="00EA4043">
            <w:pPr>
              <w:pStyle w:val="ListParagraph"/>
              <w:numPr>
                <w:ilvl w:val="0"/>
                <w:numId w:val="74"/>
              </w:numPr>
              <w:tabs>
                <w:tab w:val="left" w:pos="2700"/>
              </w:tabs>
              <w:overflowPunct w:val="0"/>
              <w:autoSpaceDE w:val="0"/>
              <w:autoSpaceDN w:val="0"/>
              <w:adjustRightInd w:val="0"/>
              <w:ind w:left="360" w:right="720"/>
              <w:contextualSpacing/>
              <w:textAlignment w:val="baseline"/>
              <w:rPr>
                <w:rFonts w:asciiTheme="majorHAnsi" w:hAnsiTheme="majorHAnsi" w:cs="Cambria"/>
                <w:sz w:val="18"/>
                <w:szCs w:val="18"/>
              </w:rPr>
            </w:pPr>
            <w:r w:rsidRPr="006D63E5">
              <w:rPr>
                <w:rFonts w:asciiTheme="majorHAnsi" w:hAnsiTheme="majorHAnsi" w:cs="Cambria"/>
                <w:sz w:val="18"/>
                <w:szCs w:val="18"/>
              </w:rPr>
              <w:t xml:space="preserve">Upland Contour Farming, plowing; Minimal tilling </w:t>
            </w:r>
          </w:p>
          <w:p w14:paraId="53C974A8" w14:textId="77777777" w:rsidR="00A11855" w:rsidRPr="006D63E5" w:rsidRDefault="00A11855" w:rsidP="00EA4043">
            <w:pPr>
              <w:pStyle w:val="ListParagraph"/>
              <w:numPr>
                <w:ilvl w:val="0"/>
                <w:numId w:val="74"/>
              </w:numPr>
              <w:tabs>
                <w:tab w:val="left" w:pos="2700"/>
              </w:tabs>
              <w:overflowPunct w:val="0"/>
              <w:autoSpaceDE w:val="0"/>
              <w:autoSpaceDN w:val="0"/>
              <w:adjustRightInd w:val="0"/>
              <w:ind w:left="360" w:right="720"/>
              <w:contextualSpacing/>
              <w:textAlignment w:val="baseline"/>
              <w:rPr>
                <w:rFonts w:asciiTheme="majorHAnsi" w:hAnsiTheme="majorHAnsi" w:cs="Cambria"/>
                <w:sz w:val="18"/>
                <w:szCs w:val="18"/>
              </w:rPr>
            </w:pPr>
            <w:r w:rsidRPr="006D63E5">
              <w:rPr>
                <w:rFonts w:asciiTheme="majorHAnsi" w:hAnsiTheme="majorHAnsi" w:cs="Cambria"/>
                <w:sz w:val="18"/>
                <w:szCs w:val="18"/>
              </w:rPr>
              <w:t xml:space="preserve">Dry litter piggery and Modern wash down; Pig Nursery, Artificial Insemination, Livestock warming light; Portable Dry Piggery, Proper Feed </w:t>
            </w:r>
          </w:p>
          <w:p w14:paraId="728D216D" w14:textId="77777777" w:rsidR="00A11855" w:rsidRPr="006D63E5" w:rsidRDefault="00A11855" w:rsidP="00EA4043">
            <w:pPr>
              <w:pStyle w:val="ListParagraph"/>
              <w:numPr>
                <w:ilvl w:val="0"/>
                <w:numId w:val="74"/>
              </w:numPr>
              <w:tabs>
                <w:tab w:val="left" w:pos="2700"/>
              </w:tabs>
              <w:overflowPunct w:val="0"/>
              <w:autoSpaceDE w:val="0"/>
              <w:autoSpaceDN w:val="0"/>
              <w:adjustRightInd w:val="0"/>
              <w:ind w:left="360" w:right="720"/>
              <w:contextualSpacing/>
              <w:textAlignment w:val="baseline"/>
              <w:rPr>
                <w:rFonts w:asciiTheme="majorHAnsi" w:hAnsiTheme="majorHAnsi" w:cs="Cambria"/>
                <w:sz w:val="18"/>
                <w:szCs w:val="18"/>
              </w:rPr>
            </w:pPr>
            <w:r w:rsidRPr="006D63E5">
              <w:rPr>
                <w:rFonts w:asciiTheme="majorHAnsi" w:hAnsiTheme="majorHAnsi" w:cs="Cambria"/>
                <w:sz w:val="18"/>
                <w:szCs w:val="18"/>
              </w:rPr>
              <w:t xml:space="preserve">Bio-gas </w:t>
            </w:r>
          </w:p>
          <w:p w14:paraId="2B484EFB" w14:textId="77777777" w:rsidR="00A11855" w:rsidRPr="006D63E5" w:rsidRDefault="00A11855" w:rsidP="00EA4043">
            <w:pPr>
              <w:pStyle w:val="ListParagraph"/>
              <w:numPr>
                <w:ilvl w:val="0"/>
                <w:numId w:val="74"/>
              </w:numPr>
              <w:tabs>
                <w:tab w:val="left" w:pos="2700"/>
              </w:tabs>
              <w:overflowPunct w:val="0"/>
              <w:autoSpaceDE w:val="0"/>
              <w:autoSpaceDN w:val="0"/>
              <w:adjustRightInd w:val="0"/>
              <w:ind w:left="360" w:right="720"/>
              <w:contextualSpacing/>
              <w:textAlignment w:val="baseline"/>
              <w:rPr>
                <w:rFonts w:asciiTheme="majorHAnsi" w:hAnsiTheme="majorHAnsi" w:cs="Cambria"/>
                <w:sz w:val="18"/>
                <w:szCs w:val="18"/>
              </w:rPr>
            </w:pPr>
            <w:r w:rsidRPr="006D63E5">
              <w:rPr>
                <w:rFonts w:asciiTheme="majorHAnsi" w:hAnsiTheme="majorHAnsi" w:cs="Cambria"/>
                <w:sz w:val="18"/>
                <w:szCs w:val="18"/>
              </w:rPr>
              <w:t xml:space="preserve">Large-scale Composting; Plastic Mulching </w:t>
            </w:r>
          </w:p>
          <w:p w14:paraId="100ABABE" w14:textId="77777777" w:rsidR="00A11855" w:rsidRPr="006D63E5" w:rsidRDefault="00A11855" w:rsidP="00EA4043">
            <w:pPr>
              <w:pStyle w:val="ListParagraph"/>
              <w:numPr>
                <w:ilvl w:val="0"/>
                <w:numId w:val="74"/>
              </w:numPr>
              <w:tabs>
                <w:tab w:val="left" w:pos="2700"/>
              </w:tabs>
              <w:overflowPunct w:val="0"/>
              <w:autoSpaceDE w:val="0"/>
              <w:autoSpaceDN w:val="0"/>
              <w:adjustRightInd w:val="0"/>
              <w:ind w:left="360" w:right="720"/>
              <w:contextualSpacing/>
              <w:textAlignment w:val="baseline"/>
              <w:rPr>
                <w:rFonts w:asciiTheme="majorHAnsi" w:hAnsiTheme="majorHAnsi" w:cs="Cambria"/>
                <w:sz w:val="18"/>
                <w:szCs w:val="18"/>
              </w:rPr>
            </w:pPr>
            <w:r w:rsidRPr="006D63E5">
              <w:rPr>
                <w:rFonts w:asciiTheme="majorHAnsi" w:hAnsiTheme="majorHAnsi" w:cs="Cambria"/>
                <w:sz w:val="18"/>
                <w:szCs w:val="18"/>
              </w:rPr>
              <w:t xml:space="preserve">Raised Beds, Plant Nursery, Hydroponics </w:t>
            </w:r>
          </w:p>
          <w:p w14:paraId="06AAD069" w14:textId="77777777" w:rsidR="00A11855" w:rsidRPr="006D63E5" w:rsidRDefault="00A11855" w:rsidP="00EA4043">
            <w:pPr>
              <w:pStyle w:val="ListParagraph"/>
              <w:numPr>
                <w:ilvl w:val="0"/>
                <w:numId w:val="74"/>
              </w:numPr>
              <w:tabs>
                <w:tab w:val="left" w:pos="2700"/>
              </w:tabs>
              <w:overflowPunct w:val="0"/>
              <w:autoSpaceDE w:val="0"/>
              <w:autoSpaceDN w:val="0"/>
              <w:adjustRightInd w:val="0"/>
              <w:ind w:left="360" w:right="720"/>
              <w:contextualSpacing/>
              <w:textAlignment w:val="baseline"/>
              <w:rPr>
                <w:rFonts w:asciiTheme="majorHAnsi" w:hAnsiTheme="majorHAnsi" w:cs="Cambria"/>
                <w:sz w:val="18"/>
                <w:szCs w:val="18"/>
              </w:rPr>
            </w:pPr>
            <w:r w:rsidRPr="006D63E5">
              <w:rPr>
                <w:rFonts w:asciiTheme="majorHAnsi" w:hAnsiTheme="majorHAnsi" w:cs="Cambria"/>
                <w:sz w:val="18"/>
                <w:szCs w:val="18"/>
              </w:rPr>
              <w:t xml:space="preserve">Built Water Catchments, Water Control </w:t>
            </w:r>
          </w:p>
          <w:p w14:paraId="620A0743" w14:textId="77777777" w:rsidR="00A11855" w:rsidRPr="006D63E5" w:rsidRDefault="00A11855" w:rsidP="00EA4043">
            <w:pPr>
              <w:pStyle w:val="ListParagraph"/>
              <w:numPr>
                <w:ilvl w:val="0"/>
                <w:numId w:val="74"/>
              </w:numPr>
              <w:tabs>
                <w:tab w:val="left" w:pos="2700"/>
              </w:tabs>
              <w:overflowPunct w:val="0"/>
              <w:autoSpaceDE w:val="0"/>
              <w:autoSpaceDN w:val="0"/>
              <w:adjustRightInd w:val="0"/>
              <w:ind w:left="360" w:right="720"/>
              <w:contextualSpacing/>
              <w:textAlignment w:val="baseline"/>
              <w:rPr>
                <w:rFonts w:asciiTheme="majorHAnsi" w:hAnsiTheme="majorHAnsi" w:cs="Cambria"/>
                <w:sz w:val="18"/>
                <w:szCs w:val="18"/>
              </w:rPr>
            </w:pPr>
            <w:r w:rsidRPr="006D63E5">
              <w:rPr>
                <w:rFonts w:asciiTheme="majorHAnsi" w:hAnsiTheme="majorHAnsi" w:cs="Cambria"/>
                <w:sz w:val="18"/>
                <w:szCs w:val="18"/>
              </w:rPr>
              <w:t xml:space="preserve">Plant Tissue Culture, Grafting </w:t>
            </w:r>
          </w:p>
          <w:p w14:paraId="35C57B3E" w14:textId="77777777" w:rsidR="00A11855" w:rsidRPr="006D63E5" w:rsidRDefault="00A11855" w:rsidP="00EA4043">
            <w:pPr>
              <w:pStyle w:val="ListParagraph"/>
              <w:numPr>
                <w:ilvl w:val="0"/>
                <w:numId w:val="74"/>
              </w:numPr>
              <w:tabs>
                <w:tab w:val="left" w:pos="2700"/>
              </w:tabs>
              <w:overflowPunct w:val="0"/>
              <w:autoSpaceDE w:val="0"/>
              <w:autoSpaceDN w:val="0"/>
              <w:adjustRightInd w:val="0"/>
              <w:ind w:left="360" w:right="720"/>
              <w:contextualSpacing/>
              <w:textAlignment w:val="baseline"/>
              <w:rPr>
                <w:rFonts w:asciiTheme="majorHAnsi" w:hAnsiTheme="majorHAnsi" w:cs="Cambria"/>
                <w:sz w:val="18"/>
                <w:szCs w:val="18"/>
              </w:rPr>
            </w:pPr>
            <w:r w:rsidRPr="006D63E5">
              <w:rPr>
                <w:rFonts w:asciiTheme="majorHAnsi" w:hAnsiTheme="majorHAnsi" w:cs="Cambria"/>
                <w:sz w:val="18"/>
                <w:szCs w:val="18"/>
              </w:rPr>
              <w:t>Large-scale Markets and Added-value operations</w:t>
            </w:r>
          </w:p>
          <w:p w14:paraId="7415D48F" w14:textId="77777777" w:rsidR="00A11855" w:rsidRPr="006D63E5" w:rsidRDefault="00A11855" w:rsidP="00EA4043">
            <w:pPr>
              <w:pStyle w:val="ListParagraph"/>
              <w:numPr>
                <w:ilvl w:val="0"/>
                <w:numId w:val="74"/>
              </w:numPr>
              <w:tabs>
                <w:tab w:val="left" w:pos="2700"/>
              </w:tabs>
              <w:overflowPunct w:val="0"/>
              <w:autoSpaceDE w:val="0"/>
              <w:autoSpaceDN w:val="0"/>
              <w:adjustRightInd w:val="0"/>
              <w:ind w:left="360" w:right="720"/>
              <w:contextualSpacing/>
              <w:textAlignment w:val="baseline"/>
              <w:rPr>
                <w:rFonts w:asciiTheme="majorHAnsi" w:hAnsiTheme="majorHAnsi" w:cs="Cambria"/>
                <w:sz w:val="18"/>
                <w:szCs w:val="18"/>
              </w:rPr>
            </w:pPr>
            <w:r w:rsidRPr="006D63E5">
              <w:rPr>
                <w:rFonts w:asciiTheme="majorHAnsi" w:hAnsiTheme="majorHAnsi" w:cs="Cambria"/>
                <w:sz w:val="18"/>
                <w:szCs w:val="18"/>
              </w:rPr>
              <w:t xml:space="preserve">Air layering </w:t>
            </w:r>
          </w:p>
          <w:p w14:paraId="04886664" w14:textId="77777777" w:rsidR="00A11855" w:rsidRPr="006D63E5" w:rsidRDefault="00A11855" w:rsidP="00FD6B43">
            <w:pPr>
              <w:tabs>
                <w:tab w:val="left" w:pos="2700"/>
              </w:tabs>
              <w:overflowPunct w:val="0"/>
              <w:autoSpaceDE w:val="0"/>
              <w:autoSpaceDN w:val="0"/>
              <w:adjustRightInd w:val="0"/>
              <w:spacing w:after="0"/>
              <w:ind w:right="720"/>
              <w:jc w:val="left"/>
              <w:textAlignment w:val="baseline"/>
              <w:rPr>
                <w:rFonts w:asciiTheme="majorHAnsi" w:hAnsiTheme="majorHAnsi" w:cs="Cambria"/>
                <w:sz w:val="18"/>
                <w:szCs w:val="18"/>
              </w:rPr>
            </w:pPr>
          </w:p>
        </w:tc>
      </w:tr>
      <w:tr w:rsidR="00A11855" w:rsidRPr="00B626FC" w14:paraId="0DEF61E5" w14:textId="77777777" w:rsidTr="00FD6B43">
        <w:tc>
          <w:tcPr>
            <w:tcW w:w="1615" w:type="dxa"/>
            <w:shd w:val="clear" w:color="auto" w:fill="auto"/>
          </w:tcPr>
          <w:p w14:paraId="6E2CC766" w14:textId="77777777" w:rsidR="00A11855" w:rsidRPr="006D63E5" w:rsidRDefault="00A11855" w:rsidP="00FD6B43">
            <w:pPr>
              <w:spacing w:after="0"/>
              <w:jc w:val="left"/>
              <w:rPr>
                <w:rFonts w:asciiTheme="majorHAnsi" w:hAnsiTheme="majorHAnsi"/>
                <w:b/>
                <w:color w:val="000000"/>
                <w:sz w:val="18"/>
                <w:szCs w:val="18"/>
              </w:rPr>
            </w:pPr>
            <w:r w:rsidRPr="006D63E5">
              <w:rPr>
                <w:rFonts w:asciiTheme="majorHAnsi" w:hAnsiTheme="majorHAnsi"/>
                <w:b/>
                <w:sz w:val="18"/>
                <w:szCs w:val="18"/>
              </w:rPr>
              <w:t>Expanding Sustainable Aquaculture</w:t>
            </w:r>
          </w:p>
        </w:tc>
        <w:tc>
          <w:tcPr>
            <w:tcW w:w="1551" w:type="dxa"/>
            <w:shd w:val="clear" w:color="auto" w:fill="auto"/>
          </w:tcPr>
          <w:p w14:paraId="46EA9275" w14:textId="77777777" w:rsidR="00A11855" w:rsidRPr="006D63E5" w:rsidRDefault="00A11855" w:rsidP="00FD6B43">
            <w:pPr>
              <w:jc w:val="left"/>
              <w:rPr>
                <w:rFonts w:asciiTheme="majorHAnsi" w:hAnsiTheme="majorHAnsi"/>
                <w:color w:val="000000"/>
                <w:sz w:val="18"/>
                <w:szCs w:val="18"/>
              </w:rPr>
            </w:pPr>
            <w:r w:rsidRPr="006D63E5">
              <w:rPr>
                <w:rFonts w:asciiTheme="majorHAnsi" w:hAnsiTheme="majorHAnsi"/>
                <w:color w:val="000000"/>
                <w:sz w:val="18"/>
                <w:szCs w:val="18"/>
              </w:rPr>
              <w:t>Voluntary</w:t>
            </w:r>
          </w:p>
          <w:p w14:paraId="30017CD4" w14:textId="77777777" w:rsidR="00A11855" w:rsidRPr="006D63E5" w:rsidRDefault="00A11855" w:rsidP="00FD6B43">
            <w:pPr>
              <w:jc w:val="left"/>
              <w:rPr>
                <w:rFonts w:asciiTheme="majorHAnsi" w:hAnsiTheme="majorHAnsi"/>
                <w:color w:val="000000"/>
                <w:sz w:val="18"/>
                <w:szCs w:val="18"/>
              </w:rPr>
            </w:pPr>
          </w:p>
          <w:p w14:paraId="441EA130" w14:textId="77777777" w:rsidR="00A11855" w:rsidRPr="006D63E5" w:rsidRDefault="00A11855" w:rsidP="00FD6B43">
            <w:pPr>
              <w:jc w:val="left"/>
              <w:rPr>
                <w:rFonts w:asciiTheme="majorHAnsi" w:hAnsiTheme="majorHAnsi"/>
                <w:color w:val="000000"/>
                <w:sz w:val="18"/>
                <w:szCs w:val="18"/>
              </w:rPr>
            </w:pPr>
          </w:p>
        </w:tc>
        <w:tc>
          <w:tcPr>
            <w:tcW w:w="6549" w:type="dxa"/>
            <w:shd w:val="clear" w:color="auto" w:fill="auto"/>
          </w:tcPr>
          <w:p w14:paraId="661A95E9" w14:textId="77777777" w:rsidR="00A11855" w:rsidRPr="006D63E5" w:rsidRDefault="00A11855" w:rsidP="00EA4043">
            <w:pPr>
              <w:pStyle w:val="ListParagraph"/>
              <w:numPr>
                <w:ilvl w:val="0"/>
                <w:numId w:val="75"/>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cs="Cambria"/>
                <w:sz w:val="18"/>
                <w:szCs w:val="18"/>
              </w:rPr>
              <w:t>BMR offers Best Practices for setting up and establishing Giant Clam Farms and Rabbitfish. This includes sustainable broodstock</w:t>
            </w:r>
          </w:p>
          <w:p w14:paraId="24F605EE" w14:textId="77777777" w:rsidR="00A11855" w:rsidRPr="006D63E5" w:rsidRDefault="00A11855" w:rsidP="00EA4043">
            <w:pPr>
              <w:pStyle w:val="ListParagraph"/>
              <w:numPr>
                <w:ilvl w:val="0"/>
                <w:numId w:val="75"/>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cs="Cambria"/>
                <w:sz w:val="18"/>
                <w:szCs w:val="18"/>
              </w:rPr>
              <w:t>Mapping and siting of farms (to be developed under 1.2</w:t>
            </w:r>
          </w:p>
          <w:p w14:paraId="0D4E3FB9" w14:textId="77777777" w:rsidR="00A11855" w:rsidRPr="006D63E5" w:rsidRDefault="00A11855" w:rsidP="00FD6B43">
            <w:pPr>
              <w:pStyle w:val="ListParagraph"/>
              <w:tabs>
                <w:tab w:val="left" w:pos="2700"/>
              </w:tabs>
              <w:overflowPunct w:val="0"/>
              <w:autoSpaceDE w:val="0"/>
              <w:autoSpaceDN w:val="0"/>
              <w:adjustRightInd w:val="0"/>
              <w:ind w:left="360" w:right="720"/>
              <w:textAlignment w:val="baseline"/>
              <w:rPr>
                <w:rFonts w:asciiTheme="majorHAnsi" w:hAnsiTheme="majorHAnsi" w:cs="Cambria"/>
                <w:sz w:val="18"/>
                <w:szCs w:val="18"/>
              </w:rPr>
            </w:pPr>
          </w:p>
        </w:tc>
      </w:tr>
      <w:tr w:rsidR="00A11855" w:rsidRPr="00B626FC" w14:paraId="0C167FA2" w14:textId="77777777" w:rsidTr="00FD6B43">
        <w:tc>
          <w:tcPr>
            <w:tcW w:w="1615" w:type="dxa"/>
            <w:vMerge w:val="restart"/>
            <w:shd w:val="clear" w:color="auto" w:fill="auto"/>
          </w:tcPr>
          <w:p w14:paraId="338B3ED2" w14:textId="77777777" w:rsidR="00A11855" w:rsidRPr="006D63E5" w:rsidRDefault="00A11855" w:rsidP="00FD6B43">
            <w:pPr>
              <w:spacing w:after="0"/>
              <w:jc w:val="left"/>
              <w:rPr>
                <w:rFonts w:asciiTheme="majorHAnsi" w:hAnsiTheme="majorHAnsi"/>
                <w:b/>
                <w:color w:val="000000"/>
                <w:sz w:val="18"/>
                <w:szCs w:val="18"/>
              </w:rPr>
            </w:pPr>
            <w:r w:rsidRPr="006D63E5">
              <w:rPr>
                <w:rFonts w:asciiTheme="majorHAnsi" w:hAnsiTheme="majorHAnsi"/>
                <w:b/>
                <w:sz w:val="18"/>
                <w:szCs w:val="18"/>
              </w:rPr>
              <w:t>Sustainable Fisheries</w:t>
            </w:r>
          </w:p>
          <w:p w14:paraId="7FF5D3B4" w14:textId="77777777" w:rsidR="00A11855" w:rsidRPr="006D63E5" w:rsidRDefault="00A11855" w:rsidP="00FD6B43">
            <w:pPr>
              <w:spacing w:after="0"/>
              <w:jc w:val="left"/>
              <w:rPr>
                <w:rFonts w:asciiTheme="majorHAnsi" w:hAnsiTheme="majorHAnsi"/>
                <w:b/>
                <w:color w:val="000000"/>
                <w:sz w:val="18"/>
                <w:szCs w:val="18"/>
              </w:rPr>
            </w:pPr>
          </w:p>
        </w:tc>
        <w:tc>
          <w:tcPr>
            <w:tcW w:w="1551" w:type="dxa"/>
            <w:shd w:val="clear" w:color="auto" w:fill="auto"/>
          </w:tcPr>
          <w:p w14:paraId="14C7A34B" w14:textId="77777777" w:rsidR="00A11855" w:rsidRPr="006D63E5" w:rsidRDefault="00A11855" w:rsidP="00FD6B43">
            <w:pPr>
              <w:jc w:val="left"/>
              <w:rPr>
                <w:rFonts w:asciiTheme="majorHAnsi" w:hAnsiTheme="majorHAnsi"/>
                <w:color w:val="000000"/>
                <w:sz w:val="18"/>
                <w:szCs w:val="18"/>
              </w:rPr>
            </w:pPr>
            <w:r w:rsidRPr="006D63E5">
              <w:rPr>
                <w:rFonts w:asciiTheme="majorHAnsi" w:hAnsiTheme="majorHAnsi"/>
                <w:color w:val="000000"/>
                <w:sz w:val="18"/>
                <w:szCs w:val="18"/>
              </w:rPr>
              <w:t>Mandatory</w:t>
            </w:r>
          </w:p>
          <w:p w14:paraId="49D0344F" w14:textId="77777777" w:rsidR="00A11855" w:rsidRPr="006D63E5" w:rsidRDefault="00A11855" w:rsidP="00FD6B43">
            <w:pPr>
              <w:jc w:val="left"/>
              <w:rPr>
                <w:rFonts w:asciiTheme="majorHAnsi" w:hAnsiTheme="majorHAnsi"/>
                <w:color w:val="000000"/>
                <w:sz w:val="18"/>
                <w:szCs w:val="18"/>
              </w:rPr>
            </w:pPr>
          </w:p>
          <w:p w14:paraId="5373A027" w14:textId="77777777" w:rsidR="00A11855" w:rsidRPr="006D63E5" w:rsidRDefault="00A11855" w:rsidP="00FD6B43">
            <w:pPr>
              <w:jc w:val="left"/>
              <w:rPr>
                <w:rFonts w:asciiTheme="majorHAnsi" w:hAnsiTheme="majorHAnsi"/>
                <w:color w:val="000000"/>
                <w:sz w:val="18"/>
                <w:szCs w:val="18"/>
              </w:rPr>
            </w:pPr>
          </w:p>
        </w:tc>
        <w:tc>
          <w:tcPr>
            <w:tcW w:w="6549" w:type="dxa"/>
            <w:shd w:val="clear" w:color="auto" w:fill="auto"/>
          </w:tcPr>
          <w:p w14:paraId="15D3CFC3" w14:textId="77777777" w:rsidR="00A11855" w:rsidRPr="006D63E5" w:rsidRDefault="00A11855" w:rsidP="00EA4043">
            <w:pPr>
              <w:pStyle w:val="ListParagraph"/>
              <w:numPr>
                <w:ilvl w:val="0"/>
                <w:numId w:val="76"/>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sz w:val="18"/>
                <w:szCs w:val="18"/>
              </w:rPr>
              <w:t>Size limitations, seasonal restrictions, gear restrictions</w:t>
            </w:r>
          </w:p>
          <w:p w14:paraId="79D62C46" w14:textId="77777777" w:rsidR="00A11855" w:rsidRPr="006D63E5" w:rsidRDefault="00A11855" w:rsidP="00EA4043">
            <w:pPr>
              <w:pStyle w:val="ListParagraph"/>
              <w:numPr>
                <w:ilvl w:val="0"/>
                <w:numId w:val="76"/>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sz w:val="18"/>
                <w:szCs w:val="18"/>
              </w:rPr>
              <w:t>Marine Protected Areas</w:t>
            </w:r>
          </w:p>
          <w:p w14:paraId="286D81BA" w14:textId="77777777" w:rsidR="00A11855" w:rsidRPr="006D63E5" w:rsidRDefault="00A11855" w:rsidP="00EA4043">
            <w:pPr>
              <w:pStyle w:val="ListParagraph"/>
              <w:numPr>
                <w:ilvl w:val="0"/>
                <w:numId w:val="76"/>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sz w:val="18"/>
                <w:szCs w:val="18"/>
              </w:rPr>
              <w:t>Bul or Moratorium</w:t>
            </w:r>
          </w:p>
        </w:tc>
      </w:tr>
      <w:tr w:rsidR="00A11855" w:rsidRPr="00B626FC" w14:paraId="5F53AD58" w14:textId="77777777" w:rsidTr="00FD6B43">
        <w:tc>
          <w:tcPr>
            <w:tcW w:w="1615" w:type="dxa"/>
            <w:vMerge/>
            <w:shd w:val="clear" w:color="auto" w:fill="auto"/>
          </w:tcPr>
          <w:p w14:paraId="562B3321" w14:textId="77777777" w:rsidR="00A11855" w:rsidRPr="006D63E5" w:rsidRDefault="00A11855" w:rsidP="00FD6B43">
            <w:pPr>
              <w:spacing w:after="0"/>
              <w:jc w:val="left"/>
              <w:rPr>
                <w:rFonts w:asciiTheme="majorHAnsi" w:hAnsiTheme="majorHAnsi"/>
                <w:b/>
                <w:color w:val="000000"/>
                <w:sz w:val="18"/>
                <w:szCs w:val="18"/>
              </w:rPr>
            </w:pPr>
          </w:p>
        </w:tc>
        <w:tc>
          <w:tcPr>
            <w:tcW w:w="1551" w:type="dxa"/>
            <w:shd w:val="clear" w:color="auto" w:fill="auto"/>
          </w:tcPr>
          <w:p w14:paraId="52556B8E" w14:textId="77777777" w:rsidR="00A11855" w:rsidRPr="006D63E5" w:rsidRDefault="00A11855" w:rsidP="00FD6B43">
            <w:pPr>
              <w:jc w:val="left"/>
              <w:rPr>
                <w:rFonts w:asciiTheme="majorHAnsi" w:hAnsiTheme="majorHAnsi"/>
                <w:color w:val="000000"/>
                <w:sz w:val="18"/>
                <w:szCs w:val="18"/>
              </w:rPr>
            </w:pPr>
            <w:r w:rsidRPr="006D63E5">
              <w:rPr>
                <w:rFonts w:asciiTheme="majorHAnsi" w:hAnsiTheme="majorHAnsi"/>
                <w:color w:val="000000"/>
                <w:sz w:val="18"/>
                <w:szCs w:val="18"/>
              </w:rPr>
              <w:t>Voluntary; including efforts to reduce overfishing and efforts to increase the economic returns from existing fishery</w:t>
            </w:r>
          </w:p>
          <w:p w14:paraId="320BF603" w14:textId="77777777" w:rsidR="00A11855" w:rsidRPr="006D63E5" w:rsidRDefault="00A11855" w:rsidP="00FD6B43">
            <w:pPr>
              <w:jc w:val="left"/>
              <w:rPr>
                <w:rFonts w:asciiTheme="majorHAnsi" w:hAnsiTheme="majorHAnsi"/>
                <w:color w:val="000000"/>
                <w:sz w:val="18"/>
                <w:szCs w:val="18"/>
              </w:rPr>
            </w:pPr>
          </w:p>
          <w:p w14:paraId="0FE99940" w14:textId="77777777" w:rsidR="00A11855" w:rsidRPr="006D63E5" w:rsidRDefault="00A11855" w:rsidP="00FD6B43">
            <w:pPr>
              <w:jc w:val="left"/>
              <w:rPr>
                <w:rFonts w:asciiTheme="majorHAnsi" w:hAnsiTheme="majorHAnsi"/>
                <w:color w:val="000000"/>
                <w:sz w:val="18"/>
                <w:szCs w:val="18"/>
              </w:rPr>
            </w:pPr>
          </w:p>
        </w:tc>
        <w:tc>
          <w:tcPr>
            <w:tcW w:w="6549" w:type="dxa"/>
            <w:shd w:val="clear" w:color="auto" w:fill="auto"/>
          </w:tcPr>
          <w:p w14:paraId="0FA8DCA8" w14:textId="77777777" w:rsidR="00A11855" w:rsidRPr="006D63E5" w:rsidRDefault="00A11855" w:rsidP="00EA4043">
            <w:pPr>
              <w:pStyle w:val="ListParagraph"/>
              <w:numPr>
                <w:ilvl w:val="0"/>
                <w:numId w:val="77"/>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sz w:val="18"/>
                <w:szCs w:val="18"/>
              </w:rPr>
              <w:t>Use of traditional knowledge in when and where to fish</w:t>
            </w:r>
          </w:p>
          <w:p w14:paraId="5C25D98B" w14:textId="77777777" w:rsidR="00A11855" w:rsidRPr="006D63E5" w:rsidRDefault="00A11855" w:rsidP="00EA4043">
            <w:pPr>
              <w:pStyle w:val="ListParagraph"/>
              <w:numPr>
                <w:ilvl w:val="0"/>
                <w:numId w:val="77"/>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sz w:val="18"/>
                <w:szCs w:val="18"/>
              </w:rPr>
              <w:t>Handling of fish to maximize quality and economic return</w:t>
            </w:r>
          </w:p>
          <w:p w14:paraId="33179266" w14:textId="77777777" w:rsidR="00A11855" w:rsidRPr="006D63E5" w:rsidRDefault="00A11855" w:rsidP="00EA4043">
            <w:pPr>
              <w:pStyle w:val="ListParagraph"/>
              <w:numPr>
                <w:ilvl w:val="0"/>
                <w:numId w:val="77"/>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sz w:val="18"/>
                <w:szCs w:val="18"/>
              </w:rPr>
              <w:t>Information sharing and monitoring of harvest</w:t>
            </w:r>
          </w:p>
          <w:p w14:paraId="2A5811EC" w14:textId="77777777" w:rsidR="00A11855" w:rsidRPr="006D63E5" w:rsidRDefault="00A11855" w:rsidP="00EA4043">
            <w:pPr>
              <w:pStyle w:val="ListParagraph"/>
              <w:numPr>
                <w:ilvl w:val="0"/>
                <w:numId w:val="77"/>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sz w:val="18"/>
                <w:szCs w:val="18"/>
              </w:rPr>
              <w:t>Member of the Northern Reefs Coop</w:t>
            </w:r>
          </w:p>
          <w:p w14:paraId="0FB44D6D" w14:textId="77777777" w:rsidR="00A11855" w:rsidRPr="006D63E5" w:rsidRDefault="00A11855" w:rsidP="00EA4043">
            <w:pPr>
              <w:pStyle w:val="ListParagraph"/>
              <w:numPr>
                <w:ilvl w:val="0"/>
                <w:numId w:val="77"/>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sz w:val="18"/>
                <w:szCs w:val="18"/>
              </w:rPr>
              <w:t>Member of The PACT (sustainable fishers and buyers)</w:t>
            </w:r>
          </w:p>
          <w:p w14:paraId="130AF50A" w14:textId="77777777" w:rsidR="00A11855" w:rsidRPr="006D63E5" w:rsidRDefault="00A11855" w:rsidP="00FD6B43">
            <w:pPr>
              <w:tabs>
                <w:tab w:val="left" w:pos="2700"/>
              </w:tabs>
              <w:overflowPunct w:val="0"/>
              <w:autoSpaceDE w:val="0"/>
              <w:autoSpaceDN w:val="0"/>
              <w:adjustRightInd w:val="0"/>
              <w:spacing w:after="0"/>
              <w:ind w:right="720"/>
              <w:jc w:val="left"/>
              <w:textAlignment w:val="baseline"/>
              <w:rPr>
                <w:rFonts w:asciiTheme="majorHAnsi" w:hAnsiTheme="majorHAnsi" w:cs="Cambria"/>
                <w:i/>
                <w:sz w:val="18"/>
                <w:szCs w:val="18"/>
              </w:rPr>
            </w:pPr>
            <w:r w:rsidRPr="006D63E5">
              <w:rPr>
                <w:rFonts w:asciiTheme="majorHAnsi" w:hAnsiTheme="majorHAnsi"/>
                <w:i/>
                <w:sz w:val="18"/>
                <w:szCs w:val="18"/>
              </w:rPr>
              <w:t>New Best Practices to be developed:</w:t>
            </w:r>
          </w:p>
          <w:p w14:paraId="26673B14" w14:textId="77777777" w:rsidR="00A11855" w:rsidRPr="006D63E5" w:rsidRDefault="00A11855" w:rsidP="00EA4043">
            <w:pPr>
              <w:pStyle w:val="ListParagraph"/>
              <w:numPr>
                <w:ilvl w:val="0"/>
                <w:numId w:val="77"/>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sz w:val="18"/>
                <w:szCs w:val="18"/>
              </w:rPr>
              <w:t>Limits to harvest sizes by species, population size, or location</w:t>
            </w:r>
          </w:p>
          <w:p w14:paraId="61523BD1" w14:textId="77777777" w:rsidR="00A11855" w:rsidRPr="006D63E5" w:rsidRDefault="00A11855" w:rsidP="00EA4043">
            <w:pPr>
              <w:pStyle w:val="ListParagraph"/>
              <w:numPr>
                <w:ilvl w:val="0"/>
                <w:numId w:val="77"/>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sz w:val="18"/>
                <w:szCs w:val="18"/>
              </w:rPr>
              <w:t xml:space="preserve">Innovative harvesting, use, or pricing regimes that lower overall harvest, </w:t>
            </w:r>
          </w:p>
          <w:p w14:paraId="2ACD9AB1" w14:textId="77777777" w:rsidR="00A11855" w:rsidRPr="006D63E5" w:rsidRDefault="00A11855" w:rsidP="00EA4043">
            <w:pPr>
              <w:pStyle w:val="ListParagraph"/>
              <w:numPr>
                <w:ilvl w:val="0"/>
                <w:numId w:val="77"/>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sz w:val="18"/>
                <w:szCs w:val="18"/>
              </w:rPr>
              <w:t>Practices to shift fishing pressure to new or more sustainable species (including aquaculture)</w:t>
            </w:r>
          </w:p>
          <w:p w14:paraId="2CB44301" w14:textId="77777777" w:rsidR="00A11855" w:rsidRPr="006D63E5" w:rsidRDefault="00A11855" w:rsidP="00EA4043">
            <w:pPr>
              <w:pStyle w:val="ListParagraph"/>
              <w:numPr>
                <w:ilvl w:val="0"/>
                <w:numId w:val="77"/>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sz w:val="18"/>
                <w:szCs w:val="18"/>
              </w:rPr>
              <w:t>Efforts to fill regulatory gaps or to create new protected areas,</w:t>
            </w:r>
          </w:p>
          <w:p w14:paraId="1A7B5AE0" w14:textId="77777777" w:rsidR="00A11855" w:rsidRPr="006D63E5" w:rsidRDefault="00A11855" w:rsidP="00EA4043">
            <w:pPr>
              <w:pStyle w:val="ListParagraph"/>
              <w:numPr>
                <w:ilvl w:val="0"/>
                <w:numId w:val="77"/>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sz w:val="18"/>
                <w:szCs w:val="18"/>
              </w:rPr>
              <w:t>Active restoration of habitats</w:t>
            </w:r>
          </w:p>
          <w:p w14:paraId="095A113B" w14:textId="77777777" w:rsidR="00A11855" w:rsidRPr="006D63E5" w:rsidRDefault="00A11855" w:rsidP="00FD6B43">
            <w:pPr>
              <w:pStyle w:val="ListParagraph"/>
              <w:tabs>
                <w:tab w:val="left" w:pos="2700"/>
              </w:tabs>
              <w:overflowPunct w:val="0"/>
              <w:autoSpaceDE w:val="0"/>
              <w:autoSpaceDN w:val="0"/>
              <w:adjustRightInd w:val="0"/>
              <w:ind w:left="360" w:right="720"/>
              <w:textAlignment w:val="baseline"/>
              <w:rPr>
                <w:rFonts w:asciiTheme="majorHAnsi" w:hAnsiTheme="majorHAnsi" w:cs="Cambria"/>
                <w:sz w:val="18"/>
                <w:szCs w:val="18"/>
              </w:rPr>
            </w:pPr>
          </w:p>
        </w:tc>
      </w:tr>
      <w:tr w:rsidR="00A11855" w:rsidRPr="00B626FC" w14:paraId="35854665" w14:textId="77777777" w:rsidTr="00FD6B43">
        <w:tc>
          <w:tcPr>
            <w:tcW w:w="1615" w:type="dxa"/>
            <w:shd w:val="clear" w:color="auto" w:fill="auto"/>
          </w:tcPr>
          <w:p w14:paraId="282DE98E" w14:textId="77777777" w:rsidR="00A11855" w:rsidRPr="006D63E5" w:rsidRDefault="00A11855" w:rsidP="00FD6B43">
            <w:pPr>
              <w:spacing w:after="0"/>
              <w:jc w:val="left"/>
              <w:rPr>
                <w:rFonts w:asciiTheme="majorHAnsi" w:hAnsiTheme="majorHAnsi"/>
                <w:b/>
                <w:color w:val="000000"/>
                <w:sz w:val="18"/>
                <w:szCs w:val="18"/>
              </w:rPr>
            </w:pPr>
            <w:r w:rsidRPr="006D63E5">
              <w:rPr>
                <w:rFonts w:asciiTheme="majorHAnsi" w:hAnsiTheme="majorHAnsi"/>
                <w:b/>
                <w:sz w:val="18"/>
                <w:szCs w:val="18"/>
              </w:rPr>
              <w:t>Sustainable Forestry</w:t>
            </w:r>
          </w:p>
        </w:tc>
        <w:tc>
          <w:tcPr>
            <w:tcW w:w="1551" w:type="dxa"/>
            <w:shd w:val="clear" w:color="auto" w:fill="auto"/>
          </w:tcPr>
          <w:p w14:paraId="0465A53C" w14:textId="77777777" w:rsidR="00A11855" w:rsidRPr="006D63E5" w:rsidRDefault="00A11855" w:rsidP="00FD6B43">
            <w:pPr>
              <w:jc w:val="left"/>
              <w:rPr>
                <w:rFonts w:asciiTheme="majorHAnsi" w:hAnsiTheme="majorHAnsi"/>
                <w:color w:val="000000"/>
                <w:sz w:val="18"/>
                <w:szCs w:val="18"/>
              </w:rPr>
            </w:pPr>
            <w:r w:rsidRPr="006D63E5">
              <w:rPr>
                <w:rFonts w:asciiTheme="majorHAnsi" w:hAnsiTheme="majorHAnsi"/>
                <w:color w:val="000000"/>
                <w:sz w:val="18"/>
                <w:szCs w:val="18"/>
              </w:rPr>
              <w:t>Voluntary</w:t>
            </w:r>
          </w:p>
          <w:p w14:paraId="4A80AE8F" w14:textId="77777777" w:rsidR="00A11855" w:rsidRPr="006D63E5" w:rsidRDefault="00A11855" w:rsidP="00FD6B43">
            <w:pPr>
              <w:jc w:val="left"/>
              <w:rPr>
                <w:rFonts w:asciiTheme="majorHAnsi" w:hAnsiTheme="majorHAnsi"/>
                <w:color w:val="000000"/>
                <w:sz w:val="18"/>
                <w:szCs w:val="18"/>
              </w:rPr>
            </w:pPr>
          </w:p>
          <w:p w14:paraId="45B593E4" w14:textId="77777777" w:rsidR="00A11855" w:rsidRPr="006D63E5" w:rsidRDefault="00A11855" w:rsidP="00FD6B43">
            <w:pPr>
              <w:jc w:val="left"/>
              <w:rPr>
                <w:rFonts w:asciiTheme="majorHAnsi" w:hAnsiTheme="majorHAnsi"/>
                <w:color w:val="000000"/>
                <w:sz w:val="18"/>
                <w:szCs w:val="18"/>
              </w:rPr>
            </w:pPr>
          </w:p>
        </w:tc>
        <w:tc>
          <w:tcPr>
            <w:tcW w:w="6549" w:type="dxa"/>
            <w:shd w:val="clear" w:color="auto" w:fill="auto"/>
          </w:tcPr>
          <w:p w14:paraId="61F779E7" w14:textId="77777777" w:rsidR="00A11855" w:rsidRPr="006D63E5" w:rsidRDefault="00A11855" w:rsidP="00EA4043">
            <w:pPr>
              <w:pStyle w:val="ListParagraph"/>
              <w:numPr>
                <w:ilvl w:val="0"/>
                <w:numId w:val="78"/>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cs="Cambria"/>
                <w:sz w:val="18"/>
                <w:szCs w:val="18"/>
              </w:rPr>
              <w:t>Traditional Knowledge of where and when to harvest plants</w:t>
            </w:r>
          </w:p>
          <w:p w14:paraId="6E0C7838" w14:textId="77777777" w:rsidR="00A11855" w:rsidRPr="006D63E5" w:rsidRDefault="00A11855" w:rsidP="00EA4043">
            <w:pPr>
              <w:pStyle w:val="ListParagraph"/>
              <w:numPr>
                <w:ilvl w:val="0"/>
                <w:numId w:val="78"/>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cs="Cambria"/>
                <w:sz w:val="18"/>
                <w:szCs w:val="18"/>
              </w:rPr>
              <w:t>Bul or Moratorium</w:t>
            </w:r>
          </w:p>
          <w:p w14:paraId="6F6CEC5C" w14:textId="77777777" w:rsidR="00A11855" w:rsidRPr="006D63E5" w:rsidRDefault="00A11855" w:rsidP="00EA4043">
            <w:pPr>
              <w:pStyle w:val="ListParagraph"/>
              <w:numPr>
                <w:ilvl w:val="0"/>
                <w:numId w:val="78"/>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cs="Cambria"/>
                <w:sz w:val="18"/>
                <w:szCs w:val="18"/>
              </w:rPr>
              <w:t>No Net Loss Policy for mangroves</w:t>
            </w:r>
          </w:p>
          <w:p w14:paraId="40B4748A" w14:textId="77777777" w:rsidR="00A11855" w:rsidRPr="006D63E5" w:rsidRDefault="00A11855" w:rsidP="00EA4043">
            <w:pPr>
              <w:pStyle w:val="ListParagraph"/>
              <w:numPr>
                <w:ilvl w:val="0"/>
                <w:numId w:val="78"/>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cs="Cambria"/>
                <w:sz w:val="18"/>
                <w:szCs w:val="18"/>
              </w:rPr>
              <w:t>Efforts to reduce illegal harvest of birds/Increase bird populations</w:t>
            </w:r>
          </w:p>
          <w:p w14:paraId="65E7BA5B" w14:textId="77777777" w:rsidR="00A11855" w:rsidRPr="006D63E5" w:rsidRDefault="00A11855" w:rsidP="00EA4043">
            <w:pPr>
              <w:pStyle w:val="ListParagraph"/>
              <w:numPr>
                <w:ilvl w:val="0"/>
                <w:numId w:val="78"/>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cs="Cambria"/>
                <w:sz w:val="18"/>
                <w:szCs w:val="18"/>
              </w:rPr>
              <w:t>Reforestation with native species</w:t>
            </w:r>
          </w:p>
          <w:p w14:paraId="05E5284D" w14:textId="77777777" w:rsidR="00A11855" w:rsidRPr="006D63E5" w:rsidRDefault="00A11855" w:rsidP="00EA4043">
            <w:pPr>
              <w:pStyle w:val="ListParagraph"/>
              <w:numPr>
                <w:ilvl w:val="0"/>
                <w:numId w:val="78"/>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cs="Cambria"/>
                <w:sz w:val="18"/>
                <w:szCs w:val="18"/>
              </w:rPr>
              <w:t>Information Sharing</w:t>
            </w:r>
          </w:p>
          <w:p w14:paraId="4347D363" w14:textId="77777777" w:rsidR="00A11855" w:rsidRPr="006D63E5" w:rsidRDefault="00A11855" w:rsidP="00FD6B43">
            <w:pPr>
              <w:tabs>
                <w:tab w:val="left" w:pos="2700"/>
              </w:tabs>
              <w:overflowPunct w:val="0"/>
              <w:autoSpaceDE w:val="0"/>
              <w:autoSpaceDN w:val="0"/>
              <w:adjustRightInd w:val="0"/>
              <w:spacing w:after="0"/>
              <w:ind w:right="720"/>
              <w:jc w:val="left"/>
              <w:textAlignment w:val="baseline"/>
              <w:rPr>
                <w:rFonts w:asciiTheme="majorHAnsi" w:hAnsiTheme="majorHAnsi" w:cs="Cambria"/>
                <w:i/>
                <w:sz w:val="18"/>
                <w:szCs w:val="18"/>
              </w:rPr>
            </w:pPr>
            <w:r w:rsidRPr="006D63E5">
              <w:rPr>
                <w:rFonts w:asciiTheme="majorHAnsi" w:hAnsiTheme="majorHAnsi" w:cs="Cambria"/>
                <w:i/>
                <w:sz w:val="18"/>
                <w:szCs w:val="18"/>
              </w:rPr>
              <w:t>New Best Practices to be developed</w:t>
            </w:r>
          </w:p>
        </w:tc>
      </w:tr>
      <w:tr w:rsidR="00A11855" w:rsidRPr="00B626FC" w14:paraId="7AAFE6BD" w14:textId="77777777" w:rsidTr="00FD6B43">
        <w:tc>
          <w:tcPr>
            <w:tcW w:w="1615" w:type="dxa"/>
            <w:shd w:val="clear" w:color="auto" w:fill="auto"/>
          </w:tcPr>
          <w:p w14:paraId="54EA6AD4" w14:textId="77777777" w:rsidR="00A11855" w:rsidRPr="006D63E5" w:rsidRDefault="00A11855" w:rsidP="00FD6B43">
            <w:pPr>
              <w:spacing w:after="0"/>
              <w:jc w:val="left"/>
              <w:rPr>
                <w:rFonts w:asciiTheme="majorHAnsi" w:hAnsiTheme="majorHAnsi"/>
                <w:b/>
                <w:color w:val="000000"/>
                <w:sz w:val="18"/>
                <w:szCs w:val="18"/>
              </w:rPr>
            </w:pPr>
            <w:r w:rsidRPr="006D63E5">
              <w:rPr>
                <w:rFonts w:asciiTheme="majorHAnsi" w:hAnsiTheme="majorHAnsi"/>
                <w:b/>
                <w:sz w:val="18"/>
                <w:szCs w:val="18"/>
              </w:rPr>
              <w:t xml:space="preserve">Sustainable Tourism: Local and Global programs </w:t>
            </w:r>
          </w:p>
        </w:tc>
        <w:tc>
          <w:tcPr>
            <w:tcW w:w="1551" w:type="dxa"/>
            <w:shd w:val="clear" w:color="auto" w:fill="auto"/>
          </w:tcPr>
          <w:p w14:paraId="40113490" w14:textId="77777777" w:rsidR="00A11855" w:rsidRPr="006D63E5" w:rsidRDefault="00A11855" w:rsidP="00FD6B43">
            <w:pPr>
              <w:jc w:val="left"/>
              <w:rPr>
                <w:rFonts w:asciiTheme="majorHAnsi" w:hAnsiTheme="majorHAnsi"/>
                <w:color w:val="000000"/>
                <w:sz w:val="18"/>
                <w:szCs w:val="18"/>
              </w:rPr>
            </w:pPr>
            <w:r w:rsidRPr="006D63E5">
              <w:rPr>
                <w:rFonts w:asciiTheme="majorHAnsi" w:hAnsiTheme="majorHAnsi"/>
                <w:color w:val="000000"/>
                <w:sz w:val="18"/>
                <w:szCs w:val="18"/>
              </w:rPr>
              <w:t>Mandatory</w:t>
            </w:r>
          </w:p>
          <w:p w14:paraId="6F1A4137" w14:textId="77777777" w:rsidR="00A11855" w:rsidRPr="006D63E5" w:rsidRDefault="00A11855" w:rsidP="00FD6B43">
            <w:pPr>
              <w:jc w:val="left"/>
              <w:rPr>
                <w:rFonts w:asciiTheme="majorHAnsi" w:hAnsiTheme="majorHAnsi"/>
                <w:color w:val="000000"/>
                <w:sz w:val="18"/>
                <w:szCs w:val="18"/>
              </w:rPr>
            </w:pPr>
          </w:p>
          <w:p w14:paraId="5D44D111" w14:textId="77777777" w:rsidR="00A11855" w:rsidRPr="006D63E5" w:rsidRDefault="00A11855" w:rsidP="00FD6B43">
            <w:pPr>
              <w:jc w:val="left"/>
              <w:rPr>
                <w:rFonts w:asciiTheme="majorHAnsi" w:hAnsiTheme="majorHAnsi"/>
                <w:color w:val="000000"/>
                <w:sz w:val="18"/>
                <w:szCs w:val="18"/>
              </w:rPr>
            </w:pPr>
          </w:p>
        </w:tc>
        <w:tc>
          <w:tcPr>
            <w:tcW w:w="6549" w:type="dxa"/>
            <w:shd w:val="clear" w:color="auto" w:fill="auto"/>
          </w:tcPr>
          <w:p w14:paraId="34155D35" w14:textId="77777777" w:rsidR="00A11855" w:rsidRPr="006D63E5" w:rsidRDefault="00A11855" w:rsidP="00EA4043">
            <w:pPr>
              <w:pStyle w:val="ListParagraph"/>
              <w:numPr>
                <w:ilvl w:val="0"/>
                <w:numId w:val="79"/>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cs="Cambria"/>
                <w:sz w:val="18"/>
                <w:szCs w:val="18"/>
              </w:rPr>
              <w:t>Tour Guide Training</w:t>
            </w:r>
          </w:p>
          <w:p w14:paraId="32A5808A" w14:textId="77777777" w:rsidR="00A11855" w:rsidRPr="006D63E5" w:rsidRDefault="00A11855" w:rsidP="00EA4043">
            <w:pPr>
              <w:pStyle w:val="ListParagraph"/>
              <w:numPr>
                <w:ilvl w:val="0"/>
                <w:numId w:val="79"/>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cs="Cambria"/>
                <w:sz w:val="18"/>
                <w:szCs w:val="18"/>
              </w:rPr>
              <w:t>Rock island use zones</w:t>
            </w:r>
          </w:p>
          <w:p w14:paraId="1240F026" w14:textId="77777777" w:rsidR="00A11855" w:rsidRPr="006D63E5" w:rsidRDefault="00A11855" w:rsidP="00EA4043">
            <w:pPr>
              <w:pStyle w:val="ListParagraph"/>
              <w:numPr>
                <w:ilvl w:val="0"/>
                <w:numId w:val="79"/>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cs="Cambria"/>
                <w:sz w:val="18"/>
                <w:szCs w:val="18"/>
              </w:rPr>
              <w:t>Permitting and fees</w:t>
            </w:r>
          </w:p>
          <w:p w14:paraId="60499641" w14:textId="77777777" w:rsidR="00A11855" w:rsidRPr="006D63E5" w:rsidRDefault="00A11855" w:rsidP="00EA4043">
            <w:pPr>
              <w:pStyle w:val="ListParagraph"/>
              <w:numPr>
                <w:ilvl w:val="0"/>
                <w:numId w:val="79"/>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cs="Cambria"/>
                <w:sz w:val="18"/>
                <w:szCs w:val="18"/>
              </w:rPr>
              <w:t>Rules about fins; littering;</w:t>
            </w:r>
          </w:p>
          <w:p w14:paraId="02161B27" w14:textId="77777777" w:rsidR="00A11855" w:rsidRPr="006D63E5" w:rsidRDefault="00A11855" w:rsidP="00EA4043">
            <w:pPr>
              <w:pStyle w:val="ListParagraph"/>
              <w:numPr>
                <w:ilvl w:val="0"/>
                <w:numId w:val="79"/>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cs="Cambria"/>
                <w:sz w:val="18"/>
                <w:szCs w:val="18"/>
              </w:rPr>
              <w:t>Earthmoving permit and EA/EIS (needs improvement)</w:t>
            </w:r>
          </w:p>
          <w:p w14:paraId="251C4AFC" w14:textId="77777777" w:rsidR="00A11855" w:rsidRPr="006D63E5" w:rsidRDefault="00A11855" w:rsidP="00FD6B43">
            <w:pPr>
              <w:tabs>
                <w:tab w:val="left" w:pos="2700"/>
              </w:tabs>
              <w:overflowPunct w:val="0"/>
              <w:autoSpaceDE w:val="0"/>
              <w:autoSpaceDN w:val="0"/>
              <w:adjustRightInd w:val="0"/>
              <w:spacing w:after="0"/>
              <w:ind w:right="720"/>
              <w:jc w:val="left"/>
              <w:textAlignment w:val="baseline"/>
              <w:rPr>
                <w:rFonts w:asciiTheme="majorHAnsi" w:hAnsiTheme="majorHAnsi" w:cs="Cambria"/>
                <w:sz w:val="18"/>
                <w:szCs w:val="18"/>
              </w:rPr>
            </w:pPr>
          </w:p>
          <w:p w14:paraId="497578A5" w14:textId="77777777" w:rsidR="00A11855" w:rsidRPr="006D63E5" w:rsidRDefault="00A11855" w:rsidP="00FD6B43">
            <w:pPr>
              <w:spacing w:after="0"/>
              <w:jc w:val="left"/>
              <w:rPr>
                <w:rFonts w:asciiTheme="majorHAnsi" w:hAnsiTheme="majorHAnsi"/>
                <w:sz w:val="18"/>
                <w:szCs w:val="18"/>
              </w:rPr>
            </w:pPr>
            <w:r w:rsidRPr="006D63E5">
              <w:rPr>
                <w:rFonts w:asciiTheme="majorHAnsi" w:hAnsiTheme="majorHAnsi"/>
                <w:sz w:val="18"/>
                <w:szCs w:val="18"/>
              </w:rPr>
              <w:t>A 2011 Report concludes that Palau has very strong Best Practices for preserving Cultural and Historical sites in the face of construction (requires permitting). However, there are few Best Practices on how to use such sites as the basis for a Tourism Product. The only state with zoning regulations is Koror, but these were not based on Best Practices but rather address how individual construction sites may develop (e.g. setbacks). Koror State and the Palau Conservation Society developed a Tour Guide Training and Certification Program to ensure that tour guides follow Best Practices, particularly within marine sites in the Rock Islands. There is also training in cultural site preservation.</w:t>
            </w:r>
          </w:p>
          <w:p w14:paraId="3AA22D48" w14:textId="77777777" w:rsidR="00A11855" w:rsidRPr="006D63E5" w:rsidRDefault="00A11855" w:rsidP="00FD6B43">
            <w:pPr>
              <w:pStyle w:val="ListParagraph"/>
              <w:tabs>
                <w:tab w:val="left" w:pos="2700"/>
              </w:tabs>
              <w:overflowPunct w:val="0"/>
              <w:autoSpaceDE w:val="0"/>
              <w:autoSpaceDN w:val="0"/>
              <w:adjustRightInd w:val="0"/>
              <w:ind w:left="360" w:right="720"/>
              <w:textAlignment w:val="baseline"/>
              <w:rPr>
                <w:rFonts w:asciiTheme="majorHAnsi" w:hAnsiTheme="majorHAnsi" w:cs="Cambria"/>
                <w:sz w:val="18"/>
                <w:szCs w:val="18"/>
              </w:rPr>
            </w:pPr>
          </w:p>
        </w:tc>
      </w:tr>
      <w:tr w:rsidR="00A11855" w:rsidRPr="00B626FC" w14:paraId="442D6DF2" w14:textId="77777777" w:rsidTr="00FD6B43">
        <w:tc>
          <w:tcPr>
            <w:tcW w:w="1615" w:type="dxa"/>
            <w:shd w:val="clear" w:color="auto" w:fill="auto"/>
          </w:tcPr>
          <w:p w14:paraId="4933DAB8" w14:textId="77777777" w:rsidR="00A11855" w:rsidRPr="006D63E5" w:rsidRDefault="00A11855" w:rsidP="00FD6B43">
            <w:pPr>
              <w:spacing w:after="0"/>
              <w:jc w:val="left"/>
              <w:rPr>
                <w:rFonts w:asciiTheme="majorHAnsi" w:hAnsiTheme="majorHAnsi"/>
                <w:b/>
                <w:color w:val="000000"/>
                <w:sz w:val="18"/>
                <w:szCs w:val="18"/>
              </w:rPr>
            </w:pPr>
            <w:r w:rsidRPr="006D63E5">
              <w:rPr>
                <w:rFonts w:asciiTheme="majorHAnsi" w:hAnsiTheme="majorHAnsi"/>
                <w:b/>
                <w:sz w:val="18"/>
                <w:szCs w:val="18"/>
              </w:rPr>
              <w:t xml:space="preserve">Sustainable Tourism </w:t>
            </w:r>
          </w:p>
        </w:tc>
        <w:tc>
          <w:tcPr>
            <w:tcW w:w="1551" w:type="dxa"/>
            <w:shd w:val="clear" w:color="auto" w:fill="auto"/>
          </w:tcPr>
          <w:p w14:paraId="655A9AA2" w14:textId="77777777" w:rsidR="00A11855" w:rsidRPr="006D63E5" w:rsidRDefault="00A11855" w:rsidP="00FD6B43">
            <w:pPr>
              <w:jc w:val="left"/>
              <w:rPr>
                <w:rFonts w:asciiTheme="majorHAnsi" w:hAnsiTheme="majorHAnsi"/>
                <w:color w:val="000000"/>
                <w:sz w:val="18"/>
                <w:szCs w:val="18"/>
              </w:rPr>
            </w:pPr>
            <w:r w:rsidRPr="006D63E5">
              <w:rPr>
                <w:rFonts w:asciiTheme="majorHAnsi" w:hAnsiTheme="majorHAnsi"/>
                <w:color w:val="000000"/>
                <w:sz w:val="18"/>
                <w:szCs w:val="18"/>
              </w:rPr>
              <w:t>Voluntary</w:t>
            </w:r>
          </w:p>
          <w:p w14:paraId="5FEB383A" w14:textId="77777777" w:rsidR="00A11855" w:rsidRPr="006D63E5" w:rsidRDefault="00A11855" w:rsidP="00FD6B43">
            <w:pPr>
              <w:jc w:val="left"/>
              <w:rPr>
                <w:rFonts w:asciiTheme="majorHAnsi" w:hAnsiTheme="majorHAnsi"/>
                <w:color w:val="000000"/>
                <w:sz w:val="18"/>
                <w:szCs w:val="18"/>
              </w:rPr>
            </w:pPr>
          </w:p>
          <w:p w14:paraId="5DD9012E" w14:textId="77777777" w:rsidR="00A11855" w:rsidRPr="006D63E5" w:rsidRDefault="00A11855" w:rsidP="00FD6B43">
            <w:pPr>
              <w:jc w:val="left"/>
              <w:rPr>
                <w:rFonts w:asciiTheme="majorHAnsi" w:hAnsiTheme="majorHAnsi"/>
                <w:color w:val="000000"/>
                <w:sz w:val="18"/>
                <w:szCs w:val="18"/>
              </w:rPr>
            </w:pPr>
          </w:p>
        </w:tc>
        <w:tc>
          <w:tcPr>
            <w:tcW w:w="6549" w:type="dxa"/>
            <w:shd w:val="clear" w:color="auto" w:fill="auto"/>
          </w:tcPr>
          <w:p w14:paraId="690F2211" w14:textId="77777777" w:rsidR="00A11855" w:rsidRPr="006D63E5" w:rsidRDefault="00A11855" w:rsidP="00EA4043">
            <w:pPr>
              <w:pStyle w:val="ListParagraph"/>
              <w:numPr>
                <w:ilvl w:val="0"/>
                <w:numId w:val="80"/>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cs="Cambria"/>
                <w:sz w:val="18"/>
                <w:szCs w:val="18"/>
              </w:rPr>
              <w:t>Turtle-friendly</w:t>
            </w:r>
          </w:p>
          <w:p w14:paraId="049AD6A6" w14:textId="77777777" w:rsidR="00A11855" w:rsidRPr="006D63E5" w:rsidRDefault="00A11855" w:rsidP="00EA4043">
            <w:pPr>
              <w:pStyle w:val="ListParagraph"/>
              <w:numPr>
                <w:ilvl w:val="0"/>
                <w:numId w:val="80"/>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cs="Cambria"/>
                <w:sz w:val="18"/>
                <w:szCs w:val="18"/>
              </w:rPr>
              <w:t>Member of the Northern Reefs Coop or the PACT</w:t>
            </w:r>
          </w:p>
          <w:p w14:paraId="43294412" w14:textId="77777777" w:rsidR="00A11855" w:rsidRPr="006D63E5" w:rsidRDefault="00A11855" w:rsidP="00EA4043">
            <w:pPr>
              <w:pStyle w:val="ListParagraph"/>
              <w:numPr>
                <w:ilvl w:val="0"/>
                <w:numId w:val="80"/>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cs="Cambria"/>
                <w:sz w:val="18"/>
                <w:szCs w:val="18"/>
              </w:rPr>
              <w:t>Made in Palau program</w:t>
            </w:r>
          </w:p>
          <w:p w14:paraId="21252EFF" w14:textId="77777777" w:rsidR="00A11855" w:rsidRPr="006D63E5" w:rsidRDefault="00A11855" w:rsidP="00FD6B43">
            <w:pPr>
              <w:tabs>
                <w:tab w:val="left" w:pos="2700"/>
              </w:tabs>
              <w:overflowPunct w:val="0"/>
              <w:autoSpaceDE w:val="0"/>
              <w:autoSpaceDN w:val="0"/>
              <w:adjustRightInd w:val="0"/>
              <w:spacing w:after="0"/>
              <w:ind w:right="720"/>
              <w:jc w:val="left"/>
              <w:textAlignment w:val="baseline"/>
              <w:rPr>
                <w:rFonts w:asciiTheme="majorHAnsi" w:hAnsiTheme="majorHAnsi" w:cs="Cambria"/>
                <w:i/>
                <w:sz w:val="18"/>
                <w:szCs w:val="18"/>
              </w:rPr>
            </w:pPr>
            <w:r w:rsidRPr="006D63E5">
              <w:rPr>
                <w:rFonts w:asciiTheme="majorHAnsi" w:hAnsiTheme="majorHAnsi" w:cs="Cambria"/>
                <w:i/>
                <w:sz w:val="18"/>
                <w:szCs w:val="18"/>
              </w:rPr>
              <w:t>New Best Practices to be developed:</w:t>
            </w:r>
          </w:p>
          <w:p w14:paraId="2A88B8EA" w14:textId="77777777" w:rsidR="00A11855" w:rsidRPr="006D63E5" w:rsidRDefault="00A11855" w:rsidP="00EA4043">
            <w:pPr>
              <w:pStyle w:val="ListParagraph"/>
              <w:numPr>
                <w:ilvl w:val="0"/>
                <w:numId w:val="80"/>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cs="Cambria"/>
                <w:sz w:val="18"/>
                <w:szCs w:val="18"/>
              </w:rPr>
              <w:t>Carrying Capacity Research</w:t>
            </w:r>
          </w:p>
          <w:p w14:paraId="5A2ABF66" w14:textId="77777777" w:rsidR="00A11855" w:rsidRPr="006D63E5" w:rsidRDefault="00A11855" w:rsidP="00EA4043">
            <w:pPr>
              <w:pStyle w:val="ListParagraph"/>
              <w:numPr>
                <w:ilvl w:val="0"/>
                <w:numId w:val="80"/>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cs="Cambria"/>
                <w:sz w:val="18"/>
                <w:szCs w:val="18"/>
              </w:rPr>
              <w:t>Zoning and limits to density</w:t>
            </w:r>
          </w:p>
          <w:p w14:paraId="34FD9674" w14:textId="77777777" w:rsidR="00A11855" w:rsidRPr="006D63E5" w:rsidRDefault="00A11855" w:rsidP="00EA4043">
            <w:pPr>
              <w:pStyle w:val="ListParagraph"/>
              <w:numPr>
                <w:ilvl w:val="0"/>
                <w:numId w:val="80"/>
              </w:numPr>
              <w:tabs>
                <w:tab w:val="left" w:pos="2700"/>
              </w:tabs>
              <w:overflowPunct w:val="0"/>
              <w:autoSpaceDE w:val="0"/>
              <w:autoSpaceDN w:val="0"/>
              <w:adjustRightInd w:val="0"/>
              <w:ind w:right="720"/>
              <w:contextualSpacing/>
              <w:textAlignment w:val="baseline"/>
              <w:rPr>
                <w:rFonts w:asciiTheme="majorHAnsi" w:hAnsiTheme="majorHAnsi" w:cs="Cambria"/>
                <w:sz w:val="18"/>
                <w:szCs w:val="18"/>
              </w:rPr>
            </w:pPr>
            <w:r w:rsidRPr="006D63E5">
              <w:rPr>
                <w:rFonts w:asciiTheme="majorHAnsi" w:hAnsiTheme="majorHAnsi" w:cs="Cambria"/>
                <w:sz w:val="18"/>
                <w:szCs w:val="18"/>
              </w:rPr>
              <w:t>Low-impact uses</w:t>
            </w:r>
          </w:p>
          <w:p w14:paraId="7F81B747" w14:textId="77777777" w:rsidR="00A11855" w:rsidRPr="006D63E5" w:rsidRDefault="00A11855" w:rsidP="00FD6B43">
            <w:pPr>
              <w:spacing w:after="0"/>
              <w:rPr>
                <w:rFonts w:asciiTheme="majorHAnsi" w:hAnsiTheme="majorHAnsi"/>
                <w:sz w:val="18"/>
                <w:szCs w:val="18"/>
              </w:rPr>
            </w:pPr>
          </w:p>
          <w:p w14:paraId="2E612883" w14:textId="77777777" w:rsidR="00A11855" w:rsidRPr="006D63E5" w:rsidRDefault="00A11855" w:rsidP="00FD6B43">
            <w:pPr>
              <w:spacing w:after="0"/>
              <w:jc w:val="left"/>
              <w:rPr>
                <w:rFonts w:asciiTheme="majorHAnsi" w:hAnsiTheme="majorHAnsi"/>
                <w:b/>
                <w:sz w:val="18"/>
                <w:szCs w:val="18"/>
              </w:rPr>
            </w:pPr>
            <w:r w:rsidRPr="006D63E5">
              <w:rPr>
                <w:rFonts w:asciiTheme="majorHAnsi" w:hAnsiTheme="majorHAnsi"/>
                <w:sz w:val="18"/>
                <w:szCs w:val="18"/>
              </w:rPr>
              <w:t>High level Best Practices have been developed in the 2017 Palau Responsible Tourism Policy Framework and 2017 Palau Trade Policy and Investment Framework, including Best Practices for scaling down mass tourism and increasing niche, cultural, and high-value tourism. There are resources available to help communities, including Business and Tourism Forums operated by the Chamber of Commerce and Economic Advisory Group. The Belau Tourism Association offers training and works one-on-one with partners to implement best practices in customer service, accessibility, and sustainability. Communities can access help through partnerships with these organizations to set up sustainable tourism systems to access cultural and natural sites.</w:t>
            </w:r>
          </w:p>
          <w:p w14:paraId="605BFE08" w14:textId="77777777" w:rsidR="00A11855" w:rsidRPr="006D63E5" w:rsidRDefault="00A11855" w:rsidP="00FD6B43">
            <w:pPr>
              <w:tabs>
                <w:tab w:val="left" w:pos="2700"/>
              </w:tabs>
              <w:overflowPunct w:val="0"/>
              <w:autoSpaceDE w:val="0"/>
              <w:autoSpaceDN w:val="0"/>
              <w:adjustRightInd w:val="0"/>
              <w:spacing w:after="0"/>
              <w:ind w:right="720"/>
              <w:jc w:val="left"/>
              <w:textAlignment w:val="baseline"/>
              <w:rPr>
                <w:rFonts w:asciiTheme="majorHAnsi" w:hAnsiTheme="majorHAnsi" w:cs="Cambria"/>
                <w:sz w:val="18"/>
                <w:szCs w:val="18"/>
              </w:rPr>
            </w:pPr>
          </w:p>
        </w:tc>
      </w:tr>
      <w:tr w:rsidR="00A11855" w:rsidRPr="00B626FC" w14:paraId="53EB1B29" w14:textId="77777777" w:rsidTr="00FD6B43">
        <w:tc>
          <w:tcPr>
            <w:tcW w:w="1615" w:type="dxa"/>
            <w:shd w:val="clear" w:color="auto" w:fill="auto"/>
          </w:tcPr>
          <w:p w14:paraId="1DDFAC1E" w14:textId="77777777" w:rsidR="00A11855" w:rsidRPr="006D63E5" w:rsidRDefault="00A11855" w:rsidP="00FD6B43">
            <w:pPr>
              <w:spacing w:after="0"/>
              <w:jc w:val="left"/>
              <w:rPr>
                <w:rFonts w:asciiTheme="majorHAnsi" w:hAnsiTheme="majorHAnsi"/>
                <w:b/>
                <w:color w:val="000000"/>
                <w:sz w:val="18"/>
                <w:szCs w:val="18"/>
              </w:rPr>
            </w:pPr>
            <w:r w:rsidRPr="006D63E5">
              <w:rPr>
                <w:rFonts w:asciiTheme="majorHAnsi" w:hAnsiTheme="majorHAnsi"/>
                <w:b/>
                <w:sz w:val="18"/>
                <w:szCs w:val="18"/>
              </w:rPr>
              <w:t>IAS Management and Biosecurity</w:t>
            </w:r>
          </w:p>
        </w:tc>
        <w:tc>
          <w:tcPr>
            <w:tcW w:w="1551" w:type="dxa"/>
            <w:shd w:val="clear" w:color="auto" w:fill="auto"/>
          </w:tcPr>
          <w:p w14:paraId="28DAAE27" w14:textId="77777777" w:rsidR="00A11855" w:rsidRPr="006D63E5" w:rsidRDefault="00A11855" w:rsidP="00FD6B43">
            <w:pPr>
              <w:jc w:val="left"/>
              <w:rPr>
                <w:rFonts w:asciiTheme="majorHAnsi" w:hAnsiTheme="majorHAnsi"/>
                <w:color w:val="000000"/>
                <w:sz w:val="18"/>
                <w:szCs w:val="18"/>
              </w:rPr>
            </w:pPr>
            <w:r w:rsidRPr="006D63E5">
              <w:rPr>
                <w:rFonts w:asciiTheme="majorHAnsi" w:hAnsiTheme="majorHAnsi"/>
                <w:color w:val="000000"/>
                <w:sz w:val="18"/>
                <w:szCs w:val="18"/>
              </w:rPr>
              <w:t>Voluntary; some Mandatory but not clear</w:t>
            </w:r>
          </w:p>
          <w:p w14:paraId="6857CAEF" w14:textId="77777777" w:rsidR="00A11855" w:rsidRPr="006D63E5" w:rsidRDefault="00A11855" w:rsidP="00FD6B43">
            <w:pPr>
              <w:jc w:val="left"/>
              <w:rPr>
                <w:rFonts w:asciiTheme="majorHAnsi" w:hAnsiTheme="majorHAnsi"/>
                <w:color w:val="000000"/>
                <w:sz w:val="18"/>
                <w:szCs w:val="18"/>
              </w:rPr>
            </w:pPr>
          </w:p>
          <w:p w14:paraId="0B111895" w14:textId="77777777" w:rsidR="00A11855" w:rsidRPr="006D63E5" w:rsidRDefault="00A11855" w:rsidP="00FD6B43">
            <w:pPr>
              <w:jc w:val="left"/>
              <w:rPr>
                <w:rFonts w:asciiTheme="majorHAnsi" w:hAnsiTheme="majorHAnsi"/>
                <w:color w:val="000000"/>
                <w:sz w:val="18"/>
                <w:szCs w:val="18"/>
              </w:rPr>
            </w:pPr>
          </w:p>
        </w:tc>
        <w:tc>
          <w:tcPr>
            <w:tcW w:w="6549" w:type="dxa"/>
            <w:shd w:val="clear" w:color="auto" w:fill="auto"/>
          </w:tcPr>
          <w:p w14:paraId="29E8B2DE" w14:textId="77777777" w:rsidR="00A11855" w:rsidRPr="006D63E5" w:rsidRDefault="00A11855" w:rsidP="00FD6B43">
            <w:pPr>
              <w:spacing w:after="0"/>
              <w:contextualSpacing/>
              <w:jc w:val="left"/>
              <w:rPr>
                <w:rFonts w:asciiTheme="majorHAnsi" w:hAnsiTheme="majorHAnsi"/>
                <w:sz w:val="18"/>
                <w:szCs w:val="18"/>
              </w:rPr>
            </w:pPr>
            <w:r w:rsidRPr="006D63E5">
              <w:rPr>
                <w:rFonts w:asciiTheme="majorHAnsi" w:hAnsiTheme="majorHAnsi"/>
                <w:sz w:val="18"/>
                <w:szCs w:val="18"/>
              </w:rPr>
              <w:t xml:space="preserve">Community-based activities in IAS and Biosecurity may be stand-alone or integrated into other sector-projects. Regardless, Best Practices for Biosecurity will be developed and then mainstreamed. These include Best Practices for utilizing native species for landscape, forestry and agricultural practices, careful selection of non-native species by focusing on those that are not invasive and are easily managed, and use of appropriate protective mechanisms when more aggressive non-native species are utilized to ensure that these species do not become feral and impact native systems. Communities will be supported to conduct Trial projects using native species and then document and share the process to form a blue-print for future projects. Best Practices associated with Green certification will be supported. </w:t>
            </w:r>
          </w:p>
          <w:p w14:paraId="5F22C4F7" w14:textId="77777777" w:rsidR="00A11855" w:rsidRPr="006D63E5" w:rsidRDefault="00A11855" w:rsidP="00FD6B43">
            <w:pPr>
              <w:tabs>
                <w:tab w:val="left" w:pos="2700"/>
              </w:tabs>
              <w:overflowPunct w:val="0"/>
              <w:autoSpaceDE w:val="0"/>
              <w:autoSpaceDN w:val="0"/>
              <w:adjustRightInd w:val="0"/>
              <w:spacing w:after="0"/>
              <w:ind w:right="720"/>
              <w:jc w:val="left"/>
              <w:textAlignment w:val="baseline"/>
              <w:rPr>
                <w:rFonts w:asciiTheme="majorHAnsi" w:hAnsiTheme="majorHAnsi" w:cs="Cambria"/>
                <w:sz w:val="18"/>
                <w:szCs w:val="18"/>
              </w:rPr>
            </w:pPr>
          </w:p>
        </w:tc>
      </w:tr>
    </w:tbl>
    <w:p w14:paraId="7D7DCF27" w14:textId="77777777" w:rsidR="00A11855" w:rsidRPr="00F32420" w:rsidRDefault="00A11855" w:rsidP="00A11855">
      <w:pPr>
        <w:spacing w:after="0"/>
        <w:rPr>
          <w:rFonts w:asciiTheme="minorHAnsi" w:hAnsiTheme="minorHAnsi"/>
          <w:sz w:val="22"/>
          <w:szCs w:val="22"/>
        </w:rPr>
      </w:pPr>
    </w:p>
    <w:p w14:paraId="5E811483" w14:textId="77777777" w:rsidR="00A11855" w:rsidRDefault="00A11855" w:rsidP="00A11855">
      <w:pPr>
        <w:sectPr w:rsidR="00A11855" w:rsidSect="00FD6B43">
          <w:pgSz w:w="12240" w:h="15840"/>
          <w:pgMar w:top="1440" w:right="1800" w:bottom="1440" w:left="1800" w:header="720" w:footer="720" w:gutter="0"/>
          <w:cols w:space="720"/>
          <w:docGrid w:linePitch="360"/>
        </w:sectPr>
      </w:pPr>
    </w:p>
    <w:p w14:paraId="18FCBD7C" w14:textId="77777777" w:rsidR="00A11855" w:rsidRPr="006D63E5" w:rsidRDefault="00A11855" w:rsidP="00A11855">
      <w:pPr>
        <w:autoSpaceDE w:val="0"/>
        <w:autoSpaceDN w:val="0"/>
        <w:adjustRightInd w:val="0"/>
        <w:spacing w:after="0"/>
        <w:jc w:val="right"/>
        <w:rPr>
          <w:rFonts w:eastAsia="Times New Roman"/>
          <w:b/>
          <w:color w:val="000000"/>
          <w:sz w:val="20"/>
          <w:szCs w:val="20"/>
          <w:lang w:eastAsia="en-IN"/>
        </w:rPr>
      </w:pPr>
      <w:r w:rsidRPr="006D63E5">
        <w:rPr>
          <w:rFonts w:eastAsia="Times New Roman"/>
          <w:b/>
          <w:color w:val="000000"/>
          <w:sz w:val="20"/>
          <w:szCs w:val="20"/>
          <w:lang w:eastAsia="en-IN"/>
        </w:rPr>
        <w:t xml:space="preserve">Annex 4, Attachment 2 </w:t>
      </w:r>
    </w:p>
    <w:p w14:paraId="32FDF3FF" w14:textId="77777777" w:rsidR="00A11855" w:rsidRPr="006D63E5" w:rsidRDefault="00A11855" w:rsidP="00A11855">
      <w:pPr>
        <w:contextualSpacing/>
        <w:jc w:val="center"/>
        <w:rPr>
          <w:rFonts w:asciiTheme="majorHAnsi" w:hAnsiTheme="majorHAnsi"/>
          <w:b/>
          <w:sz w:val="20"/>
          <w:szCs w:val="20"/>
        </w:rPr>
      </w:pPr>
      <w:r w:rsidRPr="006D63E5">
        <w:rPr>
          <w:rFonts w:asciiTheme="majorHAnsi" w:hAnsiTheme="majorHAnsi"/>
          <w:b/>
          <w:sz w:val="20"/>
          <w:szCs w:val="20"/>
        </w:rPr>
        <w:t>Menu of Key Alternative Livelihood Options</w:t>
      </w:r>
    </w:p>
    <w:p w14:paraId="53864F15" w14:textId="77777777" w:rsidR="00A11855" w:rsidRPr="00B626FC" w:rsidRDefault="00A11855" w:rsidP="00A11855">
      <w:pPr>
        <w:contextualSpacing/>
        <w:jc w:val="center"/>
        <w:rPr>
          <w:rFonts w:asciiTheme="majorHAnsi" w:hAnsiTheme="majorHAnsi"/>
          <w:b/>
          <w:szCs w:val="20"/>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800"/>
        <w:gridCol w:w="7110"/>
      </w:tblGrid>
      <w:tr w:rsidR="00A11855" w:rsidRPr="00B626FC" w14:paraId="141595FA" w14:textId="77777777" w:rsidTr="00FD6B43">
        <w:tc>
          <w:tcPr>
            <w:tcW w:w="1260" w:type="dxa"/>
            <w:shd w:val="clear" w:color="auto" w:fill="C2D69B"/>
          </w:tcPr>
          <w:p w14:paraId="6294C37A" w14:textId="77777777" w:rsidR="00A11855" w:rsidRPr="006D63E5" w:rsidRDefault="00A11855" w:rsidP="00FD6B43">
            <w:pPr>
              <w:rPr>
                <w:rFonts w:asciiTheme="majorHAnsi" w:hAnsiTheme="majorHAnsi"/>
                <w:b/>
                <w:sz w:val="18"/>
                <w:szCs w:val="18"/>
              </w:rPr>
            </w:pPr>
            <w:r w:rsidRPr="006D63E5">
              <w:rPr>
                <w:rFonts w:asciiTheme="majorHAnsi" w:hAnsiTheme="majorHAnsi"/>
                <w:b/>
                <w:sz w:val="18"/>
                <w:szCs w:val="18"/>
              </w:rPr>
              <w:t>Category</w:t>
            </w:r>
          </w:p>
        </w:tc>
        <w:tc>
          <w:tcPr>
            <w:tcW w:w="1800" w:type="dxa"/>
            <w:shd w:val="clear" w:color="auto" w:fill="C2D69B"/>
          </w:tcPr>
          <w:p w14:paraId="001BF9EA" w14:textId="77777777" w:rsidR="00A11855" w:rsidRPr="006D63E5" w:rsidRDefault="00A11855" w:rsidP="00FD6B43">
            <w:pPr>
              <w:rPr>
                <w:rFonts w:asciiTheme="majorHAnsi" w:hAnsiTheme="majorHAnsi"/>
                <w:b/>
                <w:sz w:val="18"/>
                <w:szCs w:val="18"/>
              </w:rPr>
            </w:pPr>
            <w:r w:rsidRPr="006D63E5">
              <w:rPr>
                <w:rFonts w:asciiTheme="majorHAnsi" w:hAnsiTheme="majorHAnsi"/>
                <w:b/>
                <w:sz w:val="18"/>
                <w:szCs w:val="18"/>
              </w:rPr>
              <w:t>Interested Locations</w:t>
            </w:r>
          </w:p>
        </w:tc>
        <w:tc>
          <w:tcPr>
            <w:tcW w:w="7110" w:type="dxa"/>
            <w:shd w:val="clear" w:color="auto" w:fill="C2D69B"/>
          </w:tcPr>
          <w:p w14:paraId="4C4F2A46" w14:textId="77777777" w:rsidR="00A11855" w:rsidRPr="006D63E5" w:rsidRDefault="00A11855" w:rsidP="00FD6B43">
            <w:pPr>
              <w:ind w:left="18"/>
              <w:jc w:val="left"/>
              <w:rPr>
                <w:rFonts w:asciiTheme="majorHAnsi" w:hAnsiTheme="majorHAnsi"/>
                <w:b/>
                <w:sz w:val="18"/>
                <w:szCs w:val="18"/>
              </w:rPr>
            </w:pPr>
            <w:r w:rsidRPr="006D63E5">
              <w:rPr>
                <w:rFonts w:asciiTheme="majorHAnsi" w:hAnsiTheme="majorHAnsi"/>
                <w:b/>
                <w:sz w:val="18"/>
                <w:szCs w:val="18"/>
              </w:rPr>
              <w:t>Potential Alternative Livelihood Options</w:t>
            </w:r>
          </w:p>
        </w:tc>
      </w:tr>
      <w:tr w:rsidR="00A11855" w:rsidRPr="00080C28" w14:paraId="76ACC94E" w14:textId="77777777" w:rsidTr="00FD6B43">
        <w:tc>
          <w:tcPr>
            <w:tcW w:w="1260" w:type="dxa"/>
          </w:tcPr>
          <w:p w14:paraId="1B2751D1" w14:textId="77777777" w:rsidR="00A11855" w:rsidRPr="006D63E5" w:rsidRDefault="00A11855" w:rsidP="00FD6B43">
            <w:pPr>
              <w:spacing w:after="0"/>
              <w:rPr>
                <w:rFonts w:asciiTheme="majorHAnsi" w:hAnsiTheme="majorHAnsi"/>
                <w:sz w:val="18"/>
                <w:szCs w:val="18"/>
              </w:rPr>
            </w:pPr>
            <w:r w:rsidRPr="00DB6EB8">
              <w:rPr>
                <w:rFonts w:asciiTheme="majorHAnsi" w:hAnsiTheme="majorHAnsi"/>
                <w:sz w:val="18"/>
                <w:szCs w:val="18"/>
              </w:rPr>
              <w:t>Sustainable Tourism</w:t>
            </w:r>
          </w:p>
        </w:tc>
        <w:tc>
          <w:tcPr>
            <w:tcW w:w="1800" w:type="dxa"/>
            <w:shd w:val="clear" w:color="auto" w:fill="auto"/>
          </w:tcPr>
          <w:p w14:paraId="4E7A8908" w14:textId="77777777" w:rsidR="00A11855" w:rsidRPr="006D63E5" w:rsidRDefault="00A11855" w:rsidP="00FD6B43">
            <w:pPr>
              <w:spacing w:after="0"/>
              <w:rPr>
                <w:rFonts w:asciiTheme="majorHAnsi" w:hAnsiTheme="majorHAnsi"/>
                <w:sz w:val="18"/>
                <w:szCs w:val="18"/>
              </w:rPr>
            </w:pPr>
            <w:r w:rsidRPr="006D63E5">
              <w:rPr>
                <w:rFonts w:asciiTheme="majorHAnsi" w:hAnsiTheme="majorHAnsi"/>
                <w:sz w:val="18"/>
                <w:szCs w:val="18"/>
              </w:rPr>
              <w:t>All States</w:t>
            </w:r>
          </w:p>
          <w:p w14:paraId="4DE7C408" w14:textId="77777777" w:rsidR="00A11855" w:rsidRPr="006D63E5" w:rsidRDefault="00A11855" w:rsidP="00FD6B43">
            <w:pPr>
              <w:spacing w:after="0"/>
              <w:rPr>
                <w:rFonts w:asciiTheme="majorHAnsi" w:hAnsiTheme="majorHAnsi"/>
                <w:sz w:val="18"/>
                <w:szCs w:val="18"/>
              </w:rPr>
            </w:pPr>
          </w:p>
          <w:p w14:paraId="4F5855B9" w14:textId="77777777" w:rsidR="00A11855" w:rsidRPr="006D63E5" w:rsidRDefault="00A11855" w:rsidP="00FD6B43">
            <w:pPr>
              <w:spacing w:after="0"/>
              <w:rPr>
                <w:rFonts w:asciiTheme="majorHAnsi" w:hAnsiTheme="majorHAnsi"/>
                <w:sz w:val="18"/>
                <w:szCs w:val="18"/>
              </w:rPr>
            </w:pPr>
            <w:r w:rsidRPr="006D63E5">
              <w:rPr>
                <w:rFonts w:asciiTheme="majorHAnsi" w:hAnsiTheme="majorHAnsi"/>
                <w:sz w:val="18"/>
                <w:szCs w:val="18"/>
              </w:rPr>
              <w:t>Those assessed as most ready:</w:t>
            </w:r>
          </w:p>
          <w:p w14:paraId="0ADD8CDA" w14:textId="77777777" w:rsidR="00A11855" w:rsidRPr="006D63E5" w:rsidRDefault="00A11855" w:rsidP="00EA4043">
            <w:pPr>
              <w:pStyle w:val="ListParagraph"/>
              <w:numPr>
                <w:ilvl w:val="0"/>
                <w:numId w:val="71"/>
              </w:numPr>
              <w:contextualSpacing/>
              <w:jc w:val="both"/>
              <w:rPr>
                <w:rFonts w:asciiTheme="majorHAnsi" w:hAnsiTheme="majorHAnsi"/>
                <w:sz w:val="18"/>
                <w:szCs w:val="18"/>
              </w:rPr>
            </w:pPr>
            <w:r w:rsidRPr="006D63E5">
              <w:rPr>
                <w:rFonts w:asciiTheme="majorHAnsi" w:hAnsiTheme="majorHAnsi"/>
                <w:sz w:val="18"/>
                <w:szCs w:val="18"/>
              </w:rPr>
              <w:t>Ngarchelong</w:t>
            </w:r>
          </w:p>
          <w:p w14:paraId="70713739" w14:textId="77777777" w:rsidR="00A11855" w:rsidRPr="006D63E5" w:rsidRDefault="00A11855" w:rsidP="00EA4043">
            <w:pPr>
              <w:pStyle w:val="ListParagraph"/>
              <w:numPr>
                <w:ilvl w:val="0"/>
                <w:numId w:val="71"/>
              </w:numPr>
              <w:contextualSpacing/>
              <w:jc w:val="both"/>
              <w:rPr>
                <w:rFonts w:asciiTheme="majorHAnsi" w:hAnsiTheme="majorHAnsi"/>
                <w:sz w:val="18"/>
                <w:szCs w:val="18"/>
              </w:rPr>
            </w:pPr>
            <w:r w:rsidRPr="006D63E5">
              <w:rPr>
                <w:rFonts w:asciiTheme="majorHAnsi" w:hAnsiTheme="majorHAnsi"/>
                <w:sz w:val="18"/>
                <w:szCs w:val="18"/>
              </w:rPr>
              <w:t>Ngardmau</w:t>
            </w:r>
          </w:p>
          <w:p w14:paraId="4260701B" w14:textId="77777777" w:rsidR="00A11855" w:rsidRPr="006D63E5" w:rsidRDefault="00A11855" w:rsidP="00EA4043">
            <w:pPr>
              <w:pStyle w:val="ListParagraph"/>
              <w:numPr>
                <w:ilvl w:val="0"/>
                <w:numId w:val="71"/>
              </w:numPr>
              <w:contextualSpacing/>
              <w:jc w:val="both"/>
              <w:rPr>
                <w:rFonts w:asciiTheme="majorHAnsi" w:hAnsiTheme="majorHAnsi"/>
                <w:sz w:val="18"/>
                <w:szCs w:val="18"/>
              </w:rPr>
            </w:pPr>
            <w:r w:rsidRPr="006D63E5">
              <w:rPr>
                <w:rFonts w:asciiTheme="majorHAnsi" w:hAnsiTheme="majorHAnsi"/>
                <w:sz w:val="18"/>
                <w:szCs w:val="18"/>
              </w:rPr>
              <w:t>Ngaraard</w:t>
            </w:r>
          </w:p>
          <w:p w14:paraId="08B992F4" w14:textId="77777777" w:rsidR="00A11855" w:rsidRPr="006D63E5" w:rsidRDefault="00A11855" w:rsidP="00EA4043">
            <w:pPr>
              <w:pStyle w:val="ListParagraph"/>
              <w:numPr>
                <w:ilvl w:val="0"/>
                <w:numId w:val="71"/>
              </w:numPr>
              <w:contextualSpacing/>
              <w:jc w:val="both"/>
              <w:rPr>
                <w:rFonts w:asciiTheme="majorHAnsi" w:hAnsiTheme="majorHAnsi"/>
                <w:sz w:val="18"/>
                <w:szCs w:val="18"/>
              </w:rPr>
            </w:pPr>
            <w:r w:rsidRPr="006D63E5">
              <w:rPr>
                <w:rFonts w:asciiTheme="majorHAnsi" w:hAnsiTheme="majorHAnsi"/>
                <w:sz w:val="18"/>
                <w:szCs w:val="18"/>
              </w:rPr>
              <w:t>Ngeremlengui</w:t>
            </w:r>
          </w:p>
          <w:p w14:paraId="524757A2" w14:textId="77777777" w:rsidR="00A11855" w:rsidRPr="006D63E5" w:rsidRDefault="00A11855" w:rsidP="00EA4043">
            <w:pPr>
              <w:pStyle w:val="ListParagraph"/>
              <w:numPr>
                <w:ilvl w:val="0"/>
                <w:numId w:val="71"/>
              </w:numPr>
              <w:contextualSpacing/>
              <w:jc w:val="both"/>
              <w:rPr>
                <w:rFonts w:asciiTheme="majorHAnsi" w:hAnsiTheme="majorHAnsi"/>
                <w:sz w:val="18"/>
                <w:szCs w:val="18"/>
              </w:rPr>
            </w:pPr>
            <w:r w:rsidRPr="006D63E5">
              <w:rPr>
                <w:rFonts w:asciiTheme="majorHAnsi" w:hAnsiTheme="majorHAnsi"/>
                <w:sz w:val="18"/>
                <w:szCs w:val="18"/>
              </w:rPr>
              <w:t>Aimeliik</w:t>
            </w:r>
          </w:p>
          <w:p w14:paraId="15F9B626" w14:textId="77777777" w:rsidR="00A11855" w:rsidRPr="006D63E5" w:rsidRDefault="00A11855" w:rsidP="00EA4043">
            <w:pPr>
              <w:pStyle w:val="ListParagraph"/>
              <w:numPr>
                <w:ilvl w:val="0"/>
                <w:numId w:val="71"/>
              </w:numPr>
              <w:contextualSpacing/>
              <w:jc w:val="both"/>
              <w:rPr>
                <w:rFonts w:asciiTheme="majorHAnsi" w:hAnsiTheme="majorHAnsi"/>
                <w:sz w:val="18"/>
                <w:szCs w:val="18"/>
              </w:rPr>
            </w:pPr>
            <w:r w:rsidRPr="006D63E5">
              <w:rPr>
                <w:rFonts w:asciiTheme="majorHAnsi" w:hAnsiTheme="majorHAnsi"/>
                <w:sz w:val="18"/>
                <w:szCs w:val="18"/>
              </w:rPr>
              <w:t>Ngiwal</w:t>
            </w:r>
          </w:p>
          <w:p w14:paraId="27CD908B" w14:textId="77777777" w:rsidR="00A11855" w:rsidRPr="006D63E5" w:rsidRDefault="00A11855" w:rsidP="00EA4043">
            <w:pPr>
              <w:pStyle w:val="ListParagraph"/>
              <w:numPr>
                <w:ilvl w:val="0"/>
                <w:numId w:val="71"/>
              </w:numPr>
              <w:contextualSpacing/>
              <w:jc w:val="both"/>
              <w:rPr>
                <w:rFonts w:asciiTheme="majorHAnsi" w:hAnsiTheme="majorHAnsi"/>
                <w:sz w:val="18"/>
                <w:szCs w:val="18"/>
              </w:rPr>
            </w:pPr>
            <w:r w:rsidRPr="006D63E5">
              <w:rPr>
                <w:rFonts w:asciiTheme="majorHAnsi" w:hAnsiTheme="majorHAnsi"/>
                <w:sz w:val="18"/>
                <w:szCs w:val="18"/>
              </w:rPr>
              <w:t>Koror</w:t>
            </w:r>
          </w:p>
        </w:tc>
        <w:tc>
          <w:tcPr>
            <w:tcW w:w="7110" w:type="dxa"/>
            <w:shd w:val="clear" w:color="auto" w:fill="auto"/>
          </w:tcPr>
          <w:p w14:paraId="142EFBF1" w14:textId="77777777" w:rsidR="00A11855" w:rsidRPr="006D63E5" w:rsidRDefault="00A11855" w:rsidP="00FD6B43">
            <w:pPr>
              <w:spacing w:after="0"/>
              <w:jc w:val="left"/>
              <w:rPr>
                <w:rFonts w:asciiTheme="majorHAnsi" w:hAnsiTheme="majorHAnsi"/>
                <w:sz w:val="18"/>
                <w:szCs w:val="18"/>
              </w:rPr>
            </w:pPr>
            <w:r w:rsidRPr="006D63E5">
              <w:rPr>
                <w:rFonts w:asciiTheme="majorHAnsi" w:hAnsiTheme="majorHAnsi"/>
                <w:sz w:val="18"/>
                <w:szCs w:val="18"/>
              </w:rPr>
              <w:t>Tourism Product Development</w:t>
            </w:r>
          </w:p>
          <w:p w14:paraId="6983FF0D" w14:textId="77777777" w:rsidR="00A11855" w:rsidRPr="006D63E5" w:rsidRDefault="00A11855" w:rsidP="00EA4043">
            <w:pPr>
              <w:pStyle w:val="ListParagraph"/>
              <w:numPr>
                <w:ilvl w:val="0"/>
                <w:numId w:val="64"/>
              </w:numPr>
              <w:contextualSpacing/>
              <w:rPr>
                <w:rFonts w:asciiTheme="majorHAnsi" w:hAnsiTheme="majorHAnsi"/>
                <w:sz w:val="18"/>
                <w:szCs w:val="18"/>
              </w:rPr>
            </w:pPr>
            <w:r w:rsidRPr="006D63E5">
              <w:rPr>
                <w:rFonts w:asciiTheme="majorHAnsi" w:hAnsiTheme="majorHAnsi"/>
                <w:sz w:val="18"/>
                <w:szCs w:val="18"/>
              </w:rPr>
              <w:t>Diving and Snorkeling</w:t>
            </w:r>
          </w:p>
          <w:p w14:paraId="07DC7FE6" w14:textId="77777777" w:rsidR="00A11855" w:rsidRPr="006D63E5" w:rsidRDefault="00A11855" w:rsidP="00EA4043">
            <w:pPr>
              <w:pStyle w:val="ListParagraph"/>
              <w:numPr>
                <w:ilvl w:val="0"/>
                <w:numId w:val="64"/>
              </w:numPr>
              <w:contextualSpacing/>
              <w:rPr>
                <w:rFonts w:asciiTheme="majorHAnsi" w:hAnsiTheme="majorHAnsi"/>
                <w:sz w:val="18"/>
                <w:szCs w:val="18"/>
              </w:rPr>
            </w:pPr>
            <w:r w:rsidRPr="006D63E5">
              <w:rPr>
                <w:rFonts w:asciiTheme="majorHAnsi" w:hAnsiTheme="majorHAnsi"/>
                <w:sz w:val="18"/>
                <w:szCs w:val="18"/>
              </w:rPr>
              <w:t>Mangrove visitation</w:t>
            </w:r>
          </w:p>
          <w:p w14:paraId="31235CCB" w14:textId="77777777" w:rsidR="00A11855" w:rsidRPr="006D63E5" w:rsidRDefault="00A11855" w:rsidP="00EA4043">
            <w:pPr>
              <w:pStyle w:val="ListParagraph"/>
              <w:numPr>
                <w:ilvl w:val="0"/>
                <w:numId w:val="64"/>
              </w:numPr>
              <w:contextualSpacing/>
              <w:rPr>
                <w:rFonts w:asciiTheme="majorHAnsi" w:hAnsiTheme="majorHAnsi"/>
                <w:sz w:val="18"/>
                <w:szCs w:val="18"/>
              </w:rPr>
            </w:pPr>
            <w:r w:rsidRPr="006D63E5">
              <w:rPr>
                <w:rFonts w:asciiTheme="majorHAnsi" w:hAnsiTheme="majorHAnsi"/>
                <w:sz w:val="18"/>
                <w:szCs w:val="18"/>
              </w:rPr>
              <w:t xml:space="preserve">Low impact whale watching and </w:t>
            </w:r>
          </w:p>
          <w:p w14:paraId="34ABA11A" w14:textId="77777777" w:rsidR="00A11855" w:rsidRPr="006D63E5" w:rsidRDefault="00A11855" w:rsidP="00EA4043">
            <w:pPr>
              <w:pStyle w:val="ListParagraph"/>
              <w:numPr>
                <w:ilvl w:val="0"/>
                <w:numId w:val="64"/>
              </w:numPr>
              <w:contextualSpacing/>
              <w:rPr>
                <w:rFonts w:asciiTheme="majorHAnsi" w:hAnsiTheme="majorHAnsi"/>
                <w:sz w:val="18"/>
                <w:szCs w:val="18"/>
              </w:rPr>
            </w:pPr>
            <w:r w:rsidRPr="006D63E5">
              <w:rPr>
                <w:rFonts w:asciiTheme="majorHAnsi" w:hAnsiTheme="majorHAnsi"/>
                <w:sz w:val="18"/>
                <w:szCs w:val="18"/>
              </w:rPr>
              <w:t>Kayaking</w:t>
            </w:r>
          </w:p>
          <w:p w14:paraId="3750359E" w14:textId="77777777" w:rsidR="00A11855" w:rsidRPr="006D63E5" w:rsidRDefault="00A11855" w:rsidP="00EA4043">
            <w:pPr>
              <w:pStyle w:val="ListParagraph"/>
              <w:numPr>
                <w:ilvl w:val="0"/>
                <w:numId w:val="64"/>
              </w:numPr>
              <w:contextualSpacing/>
              <w:rPr>
                <w:rFonts w:asciiTheme="majorHAnsi" w:hAnsiTheme="majorHAnsi"/>
                <w:sz w:val="18"/>
                <w:szCs w:val="18"/>
              </w:rPr>
            </w:pPr>
            <w:r w:rsidRPr="006D63E5">
              <w:rPr>
                <w:rFonts w:asciiTheme="majorHAnsi" w:hAnsiTheme="majorHAnsi"/>
                <w:sz w:val="18"/>
                <w:szCs w:val="18"/>
              </w:rPr>
              <w:t>Low impact catch and release sportsfishing</w:t>
            </w:r>
          </w:p>
          <w:p w14:paraId="1B25B9B4" w14:textId="77777777" w:rsidR="00A11855" w:rsidRPr="006D63E5" w:rsidRDefault="00A11855" w:rsidP="00EA4043">
            <w:pPr>
              <w:pStyle w:val="ListParagraph"/>
              <w:numPr>
                <w:ilvl w:val="0"/>
                <w:numId w:val="64"/>
              </w:numPr>
              <w:contextualSpacing/>
              <w:rPr>
                <w:rFonts w:asciiTheme="majorHAnsi" w:hAnsiTheme="majorHAnsi"/>
                <w:sz w:val="18"/>
                <w:szCs w:val="18"/>
              </w:rPr>
            </w:pPr>
            <w:r w:rsidRPr="006D63E5">
              <w:rPr>
                <w:rFonts w:asciiTheme="majorHAnsi" w:hAnsiTheme="majorHAnsi"/>
                <w:sz w:val="18"/>
                <w:szCs w:val="18"/>
              </w:rPr>
              <w:t>Cultural and historical sites</w:t>
            </w:r>
          </w:p>
          <w:p w14:paraId="1151F6ED" w14:textId="77777777" w:rsidR="00A11855" w:rsidRPr="006D63E5" w:rsidRDefault="00A11855" w:rsidP="00EA4043">
            <w:pPr>
              <w:pStyle w:val="ListParagraph"/>
              <w:numPr>
                <w:ilvl w:val="0"/>
                <w:numId w:val="64"/>
              </w:numPr>
              <w:contextualSpacing/>
              <w:rPr>
                <w:rFonts w:asciiTheme="majorHAnsi" w:hAnsiTheme="majorHAnsi"/>
                <w:sz w:val="18"/>
                <w:szCs w:val="18"/>
              </w:rPr>
            </w:pPr>
            <w:r w:rsidRPr="006D63E5">
              <w:rPr>
                <w:rFonts w:asciiTheme="majorHAnsi" w:hAnsiTheme="majorHAnsi"/>
                <w:sz w:val="18"/>
                <w:szCs w:val="18"/>
              </w:rPr>
              <w:t>Birdwatching/ Wildlife Watching</w:t>
            </w:r>
          </w:p>
          <w:p w14:paraId="107A8EFC" w14:textId="77777777" w:rsidR="00A11855" w:rsidRPr="006D63E5" w:rsidRDefault="00A11855" w:rsidP="00EA4043">
            <w:pPr>
              <w:pStyle w:val="ListParagraph"/>
              <w:numPr>
                <w:ilvl w:val="0"/>
                <w:numId w:val="64"/>
              </w:numPr>
              <w:contextualSpacing/>
              <w:rPr>
                <w:rFonts w:asciiTheme="majorHAnsi" w:hAnsiTheme="majorHAnsi"/>
                <w:sz w:val="18"/>
                <w:szCs w:val="18"/>
              </w:rPr>
            </w:pPr>
            <w:r w:rsidRPr="006D63E5">
              <w:rPr>
                <w:rFonts w:asciiTheme="majorHAnsi" w:hAnsiTheme="majorHAnsi"/>
                <w:sz w:val="18"/>
                <w:szCs w:val="18"/>
              </w:rPr>
              <w:t>Scenic vistas</w:t>
            </w:r>
          </w:p>
          <w:p w14:paraId="48CC0574" w14:textId="77777777" w:rsidR="00A11855" w:rsidRPr="006D63E5" w:rsidRDefault="00A11855" w:rsidP="00EA4043">
            <w:pPr>
              <w:pStyle w:val="ListParagraph"/>
              <w:numPr>
                <w:ilvl w:val="0"/>
                <w:numId w:val="64"/>
              </w:numPr>
              <w:contextualSpacing/>
              <w:rPr>
                <w:rFonts w:asciiTheme="majorHAnsi" w:hAnsiTheme="majorHAnsi"/>
                <w:sz w:val="18"/>
                <w:szCs w:val="18"/>
              </w:rPr>
            </w:pPr>
            <w:r w:rsidRPr="006D63E5">
              <w:rPr>
                <w:rFonts w:asciiTheme="majorHAnsi" w:hAnsiTheme="majorHAnsi"/>
                <w:sz w:val="18"/>
                <w:szCs w:val="18"/>
              </w:rPr>
              <w:t>Waterfalls</w:t>
            </w:r>
          </w:p>
          <w:p w14:paraId="55FA1DEA" w14:textId="77777777" w:rsidR="00A11855" w:rsidRPr="006D63E5" w:rsidRDefault="00A11855" w:rsidP="00EA4043">
            <w:pPr>
              <w:pStyle w:val="ListParagraph"/>
              <w:numPr>
                <w:ilvl w:val="0"/>
                <w:numId w:val="64"/>
              </w:numPr>
              <w:contextualSpacing/>
              <w:rPr>
                <w:rFonts w:asciiTheme="majorHAnsi" w:hAnsiTheme="majorHAnsi"/>
                <w:sz w:val="18"/>
                <w:szCs w:val="18"/>
              </w:rPr>
            </w:pPr>
            <w:r w:rsidRPr="006D63E5">
              <w:rPr>
                <w:rFonts w:asciiTheme="majorHAnsi" w:hAnsiTheme="majorHAnsi"/>
                <w:sz w:val="18"/>
                <w:szCs w:val="18"/>
              </w:rPr>
              <w:t>Hiking</w:t>
            </w:r>
          </w:p>
          <w:p w14:paraId="775A6DA0" w14:textId="77777777" w:rsidR="00A11855" w:rsidRPr="006D63E5" w:rsidRDefault="00A11855" w:rsidP="00EA4043">
            <w:pPr>
              <w:pStyle w:val="ListParagraph"/>
              <w:numPr>
                <w:ilvl w:val="0"/>
                <w:numId w:val="64"/>
              </w:numPr>
              <w:contextualSpacing/>
              <w:rPr>
                <w:rFonts w:asciiTheme="majorHAnsi" w:hAnsiTheme="majorHAnsi"/>
                <w:sz w:val="18"/>
                <w:szCs w:val="18"/>
              </w:rPr>
            </w:pPr>
            <w:r w:rsidRPr="006D63E5">
              <w:rPr>
                <w:rFonts w:asciiTheme="majorHAnsi" w:hAnsiTheme="majorHAnsi"/>
                <w:sz w:val="18"/>
                <w:szCs w:val="18"/>
              </w:rPr>
              <w:t>Participation in cultural or natural heritage restoration and/or preservation</w:t>
            </w:r>
          </w:p>
          <w:p w14:paraId="632C883C" w14:textId="77777777" w:rsidR="00A11855" w:rsidRPr="006D63E5" w:rsidRDefault="00A11855" w:rsidP="00EA4043">
            <w:pPr>
              <w:pStyle w:val="ListParagraph"/>
              <w:numPr>
                <w:ilvl w:val="0"/>
                <w:numId w:val="64"/>
              </w:numPr>
              <w:contextualSpacing/>
              <w:rPr>
                <w:rFonts w:asciiTheme="majorHAnsi" w:hAnsiTheme="majorHAnsi"/>
                <w:sz w:val="18"/>
                <w:szCs w:val="18"/>
              </w:rPr>
            </w:pPr>
            <w:r w:rsidRPr="006D63E5">
              <w:rPr>
                <w:rFonts w:asciiTheme="majorHAnsi" w:hAnsiTheme="majorHAnsi"/>
                <w:sz w:val="18"/>
                <w:szCs w:val="18"/>
              </w:rPr>
              <w:t>Volunteerism</w:t>
            </w:r>
          </w:p>
          <w:p w14:paraId="3E736267" w14:textId="77777777" w:rsidR="00A11855" w:rsidRPr="006D63E5" w:rsidRDefault="00A11855" w:rsidP="00EA4043">
            <w:pPr>
              <w:pStyle w:val="ListParagraph"/>
              <w:numPr>
                <w:ilvl w:val="0"/>
                <w:numId w:val="64"/>
              </w:numPr>
              <w:contextualSpacing/>
              <w:rPr>
                <w:rFonts w:asciiTheme="majorHAnsi" w:hAnsiTheme="majorHAnsi"/>
                <w:sz w:val="18"/>
                <w:szCs w:val="18"/>
              </w:rPr>
            </w:pPr>
            <w:r w:rsidRPr="006D63E5">
              <w:rPr>
                <w:rFonts w:asciiTheme="majorHAnsi" w:hAnsiTheme="majorHAnsi"/>
                <w:sz w:val="18"/>
                <w:szCs w:val="18"/>
              </w:rPr>
              <w:t>Homestays, e.g. through the Alii Host Program</w:t>
            </w:r>
          </w:p>
          <w:p w14:paraId="6B92E5E1" w14:textId="77777777" w:rsidR="00A11855" w:rsidRPr="006D63E5" w:rsidRDefault="00A11855" w:rsidP="00EA4043">
            <w:pPr>
              <w:pStyle w:val="ListParagraph"/>
              <w:numPr>
                <w:ilvl w:val="0"/>
                <w:numId w:val="64"/>
              </w:numPr>
              <w:contextualSpacing/>
              <w:rPr>
                <w:rFonts w:asciiTheme="majorHAnsi" w:hAnsiTheme="majorHAnsi"/>
                <w:sz w:val="18"/>
                <w:szCs w:val="18"/>
              </w:rPr>
            </w:pPr>
            <w:r w:rsidRPr="006D63E5">
              <w:rPr>
                <w:rFonts w:asciiTheme="majorHAnsi" w:hAnsiTheme="majorHAnsi"/>
                <w:sz w:val="18"/>
                <w:szCs w:val="18"/>
              </w:rPr>
              <w:t>Food tourism</w:t>
            </w:r>
          </w:p>
          <w:p w14:paraId="7D89C81E" w14:textId="77777777" w:rsidR="00A11855" w:rsidRPr="006D63E5" w:rsidRDefault="00A11855" w:rsidP="00EA4043">
            <w:pPr>
              <w:pStyle w:val="ListParagraph"/>
              <w:numPr>
                <w:ilvl w:val="0"/>
                <w:numId w:val="64"/>
              </w:numPr>
              <w:contextualSpacing/>
              <w:rPr>
                <w:rFonts w:asciiTheme="majorHAnsi" w:hAnsiTheme="majorHAnsi"/>
                <w:sz w:val="18"/>
                <w:szCs w:val="18"/>
              </w:rPr>
            </w:pPr>
            <w:r w:rsidRPr="006D63E5">
              <w:rPr>
                <w:rFonts w:asciiTheme="majorHAnsi" w:hAnsiTheme="majorHAnsi"/>
                <w:sz w:val="18"/>
                <w:szCs w:val="18"/>
              </w:rPr>
              <w:t>Interpretive signs, Tour Guide interpretation</w:t>
            </w:r>
          </w:p>
          <w:p w14:paraId="29CF2FF2" w14:textId="77777777" w:rsidR="00A11855" w:rsidRPr="006D63E5" w:rsidRDefault="00A11855" w:rsidP="00EA4043">
            <w:pPr>
              <w:pStyle w:val="ListParagraph"/>
              <w:numPr>
                <w:ilvl w:val="0"/>
                <w:numId w:val="64"/>
              </w:numPr>
              <w:contextualSpacing/>
              <w:rPr>
                <w:rFonts w:asciiTheme="majorHAnsi" w:hAnsiTheme="majorHAnsi"/>
                <w:sz w:val="18"/>
                <w:szCs w:val="18"/>
              </w:rPr>
            </w:pPr>
            <w:r w:rsidRPr="006D63E5">
              <w:rPr>
                <w:rFonts w:asciiTheme="majorHAnsi" w:hAnsiTheme="majorHAnsi"/>
                <w:sz w:val="18"/>
                <w:szCs w:val="18"/>
              </w:rPr>
              <w:t>Develop State Tourism Plans</w:t>
            </w:r>
          </w:p>
          <w:p w14:paraId="0C6F12EF" w14:textId="77777777" w:rsidR="00A11855" w:rsidRPr="006D63E5" w:rsidRDefault="00A11855" w:rsidP="00EA4043">
            <w:pPr>
              <w:pStyle w:val="ListParagraph"/>
              <w:numPr>
                <w:ilvl w:val="0"/>
                <w:numId w:val="64"/>
              </w:numPr>
              <w:contextualSpacing/>
              <w:rPr>
                <w:rFonts w:asciiTheme="majorHAnsi" w:hAnsiTheme="majorHAnsi"/>
                <w:sz w:val="18"/>
                <w:szCs w:val="18"/>
              </w:rPr>
            </w:pPr>
            <w:r w:rsidRPr="006D63E5">
              <w:rPr>
                <w:rFonts w:asciiTheme="majorHAnsi" w:hAnsiTheme="majorHAnsi"/>
                <w:sz w:val="18"/>
                <w:szCs w:val="18"/>
              </w:rPr>
              <w:t>Innovative products to target Free Independent Travelers</w:t>
            </w:r>
          </w:p>
          <w:p w14:paraId="1C362142" w14:textId="77777777" w:rsidR="00A11855" w:rsidRPr="006D63E5" w:rsidRDefault="00A11855" w:rsidP="00EA4043">
            <w:pPr>
              <w:pStyle w:val="ListParagraph"/>
              <w:numPr>
                <w:ilvl w:val="0"/>
                <w:numId w:val="64"/>
              </w:numPr>
              <w:contextualSpacing/>
              <w:rPr>
                <w:rFonts w:asciiTheme="majorHAnsi" w:hAnsiTheme="majorHAnsi"/>
                <w:sz w:val="18"/>
                <w:szCs w:val="18"/>
              </w:rPr>
            </w:pPr>
            <w:r w:rsidRPr="006D63E5">
              <w:rPr>
                <w:rFonts w:asciiTheme="majorHAnsi" w:hAnsiTheme="majorHAnsi"/>
                <w:sz w:val="18"/>
                <w:szCs w:val="18"/>
              </w:rPr>
              <w:t>Beautification of urban environments and historical sites</w:t>
            </w:r>
          </w:p>
          <w:p w14:paraId="63A6B0EC" w14:textId="77777777" w:rsidR="00A11855" w:rsidRPr="006D63E5" w:rsidRDefault="00A11855" w:rsidP="00FD6B43">
            <w:pPr>
              <w:spacing w:after="0"/>
              <w:jc w:val="left"/>
              <w:rPr>
                <w:rFonts w:asciiTheme="majorHAnsi" w:hAnsiTheme="majorHAnsi"/>
                <w:sz w:val="18"/>
                <w:szCs w:val="18"/>
              </w:rPr>
            </w:pPr>
          </w:p>
          <w:p w14:paraId="0CDE46AC" w14:textId="77777777" w:rsidR="00A11855" w:rsidRPr="006D63E5" w:rsidRDefault="00A11855" w:rsidP="00FD6B43">
            <w:pPr>
              <w:spacing w:after="0"/>
              <w:jc w:val="left"/>
              <w:rPr>
                <w:rFonts w:asciiTheme="majorHAnsi" w:hAnsiTheme="majorHAnsi"/>
                <w:sz w:val="18"/>
                <w:szCs w:val="18"/>
              </w:rPr>
            </w:pPr>
            <w:r w:rsidRPr="006D63E5">
              <w:rPr>
                <w:rFonts w:asciiTheme="majorHAnsi" w:hAnsiTheme="majorHAnsi"/>
                <w:sz w:val="18"/>
                <w:szCs w:val="18"/>
              </w:rPr>
              <w:t xml:space="preserve">Souvenirs </w:t>
            </w:r>
          </w:p>
          <w:p w14:paraId="4649EE67" w14:textId="77777777" w:rsidR="00A11855" w:rsidRPr="006D63E5" w:rsidRDefault="00A11855" w:rsidP="00EA4043">
            <w:pPr>
              <w:pStyle w:val="ListParagraph"/>
              <w:numPr>
                <w:ilvl w:val="0"/>
                <w:numId w:val="65"/>
              </w:numPr>
              <w:contextualSpacing/>
              <w:rPr>
                <w:rFonts w:asciiTheme="majorHAnsi" w:hAnsiTheme="majorHAnsi"/>
                <w:sz w:val="18"/>
                <w:szCs w:val="18"/>
              </w:rPr>
            </w:pPr>
            <w:r w:rsidRPr="006D63E5">
              <w:rPr>
                <w:rFonts w:asciiTheme="majorHAnsi" w:hAnsiTheme="majorHAnsi"/>
                <w:sz w:val="18"/>
                <w:szCs w:val="18"/>
              </w:rPr>
              <w:t>Development and testing of Made in Palau products</w:t>
            </w:r>
          </w:p>
          <w:p w14:paraId="1D4BCEEB" w14:textId="77777777" w:rsidR="00A11855" w:rsidRPr="006D63E5" w:rsidRDefault="00A11855" w:rsidP="00EA4043">
            <w:pPr>
              <w:pStyle w:val="ListParagraph"/>
              <w:numPr>
                <w:ilvl w:val="0"/>
                <w:numId w:val="65"/>
              </w:numPr>
              <w:contextualSpacing/>
              <w:rPr>
                <w:rFonts w:asciiTheme="majorHAnsi" w:hAnsiTheme="majorHAnsi"/>
                <w:sz w:val="18"/>
                <w:szCs w:val="18"/>
              </w:rPr>
            </w:pPr>
            <w:r w:rsidRPr="006D63E5">
              <w:rPr>
                <w:rFonts w:asciiTheme="majorHAnsi" w:hAnsiTheme="majorHAnsi"/>
                <w:sz w:val="18"/>
                <w:szCs w:val="18"/>
              </w:rPr>
              <w:t>Creation of maps and brochures</w:t>
            </w:r>
          </w:p>
          <w:p w14:paraId="004DDDA0" w14:textId="77777777" w:rsidR="00A11855" w:rsidRPr="006D63E5" w:rsidRDefault="00A11855" w:rsidP="00FD6B43">
            <w:pPr>
              <w:spacing w:after="0"/>
              <w:jc w:val="left"/>
              <w:rPr>
                <w:rFonts w:asciiTheme="majorHAnsi" w:hAnsiTheme="majorHAnsi"/>
                <w:sz w:val="18"/>
                <w:szCs w:val="18"/>
              </w:rPr>
            </w:pPr>
          </w:p>
          <w:p w14:paraId="463BE4D8" w14:textId="77777777" w:rsidR="00A11855" w:rsidRPr="006D63E5" w:rsidRDefault="00A11855" w:rsidP="00FD6B43">
            <w:pPr>
              <w:spacing w:after="0"/>
              <w:jc w:val="left"/>
              <w:rPr>
                <w:rFonts w:asciiTheme="majorHAnsi" w:hAnsiTheme="majorHAnsi"/>
                <w:sz w:val="18"/>
                <w:szCs w:val="18"/>
              </w:rPr>
            </w:pPr>
            <w:r w:rsidRPr="006D63E5">
              <w:rPr>
                <w:rFonts w:asciiTheme="majorHAnsi" w:hAnsiTheme="majorHAnsi"/>
                <w:sz w:val="18"/>
                <w:szCs w:val="18"/>
              </w:rPr>
              <w:t>Marketing and Infrastructure</w:t>
            </w:r>
          </w:p>
          <w:p w14:paraId="02C70246" w14:textId="77777777" w:rsidR="00A11855" w:rsidRPr="006D63E5" w:rsidRDefault="00A11855" w:rsidP="00EA4043">
            <w:pPr>
              <w:pStyle w:val="ListParagraph"/>
              <w:numPr>
                <w:ilvl w:val="0"/>
                <w:numId w:val="66"/>
              </w:numPr>
              <w:contextualSpacing/>
              <w:rPr>
                <w:rFonts w:asciiTheme="majorHAnsi" w:hAnsiTheme="majorHAnsi"/>
                <w:sz w:val="18"/>
                <w:szCs w:val="18"/>
              </w:rPr>
            </w:pPr>
            <w:r w:rsidRPr="006D63E5">
              <w:rPr>
                <w:rFonts w:asciiTheme="majorHAnsi" w:hAnsiTheme="majorHAnsi"/>
                <w:sz w:val="18"/>
                <w:szCs w:val="18"/>
              </w:rPr>
              <w:t>Marketing and promotion, using the Pristine Palau brand</w:t>
            </w:r>
          </w:p>
          <w:p w14:paraId="27AEE417" w14:textId="77777777" w:rsidR="00A11855" w:rsidRPr="006D63E5" w:rsidRDefault="00A11855" w:rsidP="00EA4043">
            <w:pPr>
              <w:pStyle w:val="ListParagraph"/>
              <w:numPr>
                <w:ilvl w:val="0"/>
                <w:numId w:val="66"/>
              </w:numPr>
              <w:contextualSpacing/>
              <w:rPr>
                <w:rFonts w:asciiTheme="majorHAnsi" w:hAnsiTheme="majorHAnsi"/>
                <w:sz w:val="18"/>
                <w:szCs w:val="18"/>
              </w:rPr>
            </w:pPr>
            <w:r w:rsidRPr="006D63E5">
              <w:rPr>
                <w:rFonts w:asciiTheme="majorHAnsi" w:hAnsiTheme="majorHAnsi"/>
                <w:sz w:val="18"/>
                <w:szCs w:val="18"/>
              </w:rPr>
              <w:t>Establishing new shopping venues (e.g. at local markets)</w:t>
            </w:r>
          </w:p>
          <w:p w14:paraId="7B7103B9" w14:textId="77777777" w:rsidR="00A11855" w:rsidRPr="006D63E5" w:rsidRDefault="00A11855" w:rsidP="00EA4043">
            <w:pPr>
              <w:pStyle w:val="ListParagraph"/>
              <w:numPr>
                <w:ilvl w:val="0"/>
                <w:numId w:val="66"/>
              </w:numPr>
              <w:contextualSpacing/>
              <w:rPr>
                <w:rFonts w:asciiTheme="majorHAnsi" w:hAnsiTheme="majorHAnsi"/>
                <w:sz w:val="18"/>
                <w:szCs w:val="18"/>
              </w:rPr>
            </w:pPr>
            <w:r w:rsidRPr="006D63E5">
              <w:rPr>
                <w:rFonts w:asciiTheme="majorHAnsi" w:hAnsiTheme="majorHAnsi"/>
                <w:sz w:val="18"/>
                <w:szCs w:val="18"/>
              </w:rPr>
              <w:t>Updates or addition to Capacity Building and Training Programs for Tourism Operators and Developers</w:t>
            </w:r>
          </w:p>
          <w:p w14:paraId="39A8B7FC" w14:textId="77777777" w:rsidR="00A11855" w:rsidRPr="006D63E5" w:rsidRDefault="00A11855" w:rsidP="00EA4043">
            <w:pPr>
              <w:pStyle w:val="ListParagraph"/>
              <w:numPr>
                <w:ilvl w:val="0"/>
                <w:numId w:val="66"/>
              </w:numPr>
              <w:contextualSpacing/>
              <w:rPr>
                <w:rFonts w:asciiTheme="majorHAnsi" w:hAnsiTheme="majorHAnsi"/>
                <w:sz w:val="18"/>
                <w:szCs w:val="18"/>
              </w:rPr>
            </w:pPr>
            <w:r w:rsidRPr="006D63E5">
              <w:rPr>
                <w:rFonts w:asciiTheme="majorHAnsi" w:hAnsiTheme="majorHAnsi"/>
                <w:sz w:val="18"/>
                <w:szCs w:val="18"/>
              </w:rPr>
              <w:t>Research into carrying capacity</w:t>
            </w:r>
          </w:p>
          <w:p w14:paraId="18A7080E" w14:textId="77777777" w:rsidR="00A11855" w:rsidRPr="006D63E5" w:rsidRDefault="00A11855" w:rsidP="00EA4043">
            <w:pPr>
              <w:pStyle w:val="ListParagraph"/>
              <w:numPr>
                <w:ilvl w:val="0"/>
                <w:numId w:val="66"/>
              </w:numPr>
              <w:contextualSpacing/>
              <w:rPr>
                <w:rFonts w:asciiTheme="majorHAnsi" w:hAnsiTheme="majorHAnsi"/>
                <w:sz w:val="18"/>
                <w:szCs w:val="18"/>
              </w:rPr>
            </w:pPr>
            <w:r w:rsidRPr="006D63E5">
              <w:rPr>
                <w:rFonts w:asciiTheme="majorHAnsi" w:hAnsiTheme="majorHAnsi"/>
                <w:sz w:val="18"/>
                <w:szCs w:val="18"/>
              </w:rPr>
              <w:t>Establishing baselines and monitoring visitor impact, establishing data collection protocols and analyses of markets and tourist preferences</w:t>
            </w:r>
          </w:p>
          <w:p w14:paraId="5AECBBD4" w14:textId="77777777" w:rsidR="00A11855" w:rsidRPr="006D63E5" w:rsidRDefault="00A11855" w:rsidP="00EA4043">
            <w:pPr>
              <w:pStyle w:val="ListParagraph"/>
              <w:numPr>
                <w:ilvl w:val="0"/>
                <w:numId w:val="66"/>
              </w:numPr>
              <w:contextualSpacing/>
              <w:rPr>
                <w:rFonts w:asciiTheme="majorHAnsi" w:hAnsiTheme="majorHAnsi"/>
                <w:sz w:val="18"/>
                <w:szCs w:val="18"/>
              </w:rPr>
            </w:pPr>
            <w:r w:rsidRPr="006D63E5">
              <w:rPr>
                <w:rFonts w:asciiTheme="majorHAnsi" w:hAnsiTheme="majorHAnsi"/>
                <w:sz w:val="18"/>
                <w:szCs w:val="18"/>
              </w:rPr>
              <w:t>Restoration and preservation of natural and cultural sites</w:t>
            </w:r>
          </w:p>
          <w:p w14:paraId="46EE9D71" w14:textId="77777777" w:rsidR="00A11855" w:rsidRPr="006D63E5" w:rsidRDefault="00A11855" w:rsidP="00EA4043">
            <w:pPr>
              <w:pStyle w:val="ListParagraph"/>
              <w:numPr>
                <w:ilvl w:val="0"/>
                <w:numId w:val="66"/>
              </w:numPr>
              <w:contextualSpacing/>
              <w:rPr>
                <w:rFonts w:asciiTheme="majorHAnsi" w:hAnsiTheme="majorHAnsi"/>
                <w:sz w:val="18"/>
                <w:szCs w:val="18"/>
              </w:rPr>
            </w:pPr>
            <w:r w:rsidRPr="006D63E5">
              <w:rPr>
                <w:rFonts w:asciiTheme="majorHAnsi" w:hAnsiTheme="majorHAnsi"/>
                <w:sz w:val="18"/>
                <w:szCs w:val="18"/>
              </w:rPr>
              <w:t>Zoning for tourist use and development</w:t>
            </w:r>
          </w:p>
          <w:p w14:paraId="4B1AC155" w14:textId="77777777" w:rsidR="00A11855" w:rsidRPr="006D63E5" w:rsidRDefault="00A11855" w:rsidP="00EA4043">
            <w:pPr>
              <w:pStyle w:val="ListParagraph"/>
              <w:numPr>
                <w:ilvl w:val="0"/>
                <w:numId w:val="66"/>
              </w:numPr>
              <w:contextualSpacing/>
              <w:rPr>
                <w:rFonts w:asciiTheme="majorHAnsi" w:hAnsiTheme="majorHAnsi"/>
                <w:sz w:val="18"/>
                <w:szCs w:val="18"/>
              </w:rPr>
            </w:pPr>
            <w:r w:rsidRPr="006D63E5">
              <w:rPr>
                <w:rFonts w:asciiTheme="majorHAnsi" w:hAnsiTheme="majorHAnsi"/>
                <w:sz w:val="18"/>
                <w:szCs w:val="18"/>
              </w:rPr>
              <w:t>Assistance with securing small business loans</w:t>
            </w:r>
          </w:p>
          <w:p w14:paraId="5C77A614" w14:textId="77777777" w:rsidR="00A11855" w:rsidRPr="006D63E5" w:rsidRDefault="00A11855" w:rsidP="00EA4043">
            <w:pPr>
              <w:pStyle w:val="ListParagraph"/>
              <w:numPr>
                <w:ilvl w:val="0"/>
                <w:numId w:val="66"/>
              </w:numPr>
              <w:contextualSpacing/>
              <w:rPr>
                <w:rFonts w:asciiTheme="majorHAnsi" w:hAnsiTheme="majorHAnsi"/>
                <w:sz w:val="18"/>
                <w:szCs w:val="18"/>
              </w:rPr>
            </w:pPr>
            <w:r w:rsidRPr="006D63E5">
              <w:rPr>
                <w:rFonts w:asciiTheme="majorHAnsi" w:hAnsiTheme="majorHAnsi"/>
                <w:sz w:val="18"/>
                <w:szCs w:val="18"/>
              </w:rPr>
              <w:t>Information sharing forums</w:t>
            </w:r>
          </w:p>
          <w:p w14:paraId="752B430D" w14:textId="77777777" w:rsidR="00A11855" w:rsidRPr="006D63E5" w:rsidRDefault="00A11855" w:rsidP="00EA4043">
            <w:pPr>
              <w:pStyle w:val="ListParagraph"/>
              <w:numPr>
                <w:ilvl w:val="0"/>
                <w:numId w:val="66"/>
              </w:numPr>
              <w:contextualSpacing/>
              <w:rPr>
                <w:rFonts w:asciiTheme="majorHAnsi" w:hAnsiTheme="majorHAnsi"/>
                <w:sz w:val="18"/>
                <w:szCs w:val="18"/>
              </w:rPr>
            </w:pPr>
            <w:r w:rsidRPr="006D63E5">
              <w:rPr>
                <w:rFonts w:asciiTheme="majorHAnsi" w:hAnsiTheme="majorHAnsi"/>
                <w:sz w:val="18"/>
                <w:szCs w:val="18"/>
              </w:rPr>
              <w:t>Customer service development and training</w:t>
            </w:r>
          </w:p>
          <w:p w14:paraId="17B8383F" w14:textId="77777777" w:rsidR="00A11855" w:rsidRPr="006D63E5" w:rsidRDefault="00A11855" w:rsidP="00EA4043">
            <w:pPr>
              <w:pStyle w:val="ListParagraph"/>
              <w:numPr>
                <w:ilvl w:val="0"/>
                <w:numId w:val="66"/>
              </w:numPr>
              <w:contextualSpacing/>
              <w:rPr>
                <w:rFonts w:asciiTheme="majorHAnsi" w:hAnsiTheme="majorHAnsi"/>
                <w:sz w:val="18"/>
                <w:szCs w:val="18"/>
              </w:rPr>
            </w:pPr>
            <w:r w:rsidRPr="006D63E5">
              <w:rPr>
                <w:rFonts w:asciiTheme="majorHAnsi" w:hAnsiTheme="majorHAnsi"/>
                <w:sz w:val="18"/>
                <w:szCs w:val="18"/>
              </w:rPr>
              <w:t>Biosecurity integration into tourism</w:t>
            </w:r>
          </w:p>
          <w:p w14:paraId="1152795E" w14:textId="77777777" w:rsidR="00A11855" w:rsidRPr="006D63E5" w:rsidRDefault="00A11855" w:rsidP="00EA4043">
            <w:pPr>
              <w:pStyle w:val="ListParagraph"/>
              <w:numPr>
                <w:ilvl w:val="0"/>
                <w:numId w:val="66"/>
              </w:numPr>
              <w:contextualSpacing/>
              <w:rPr>
                <w:rFonts w:asciiTheme="majorHAnsi" w:hAnsiTheme="majorHAnsi"/>
                <w:sz w:val="18"/>
                <w:szCs w:val="18"/>
              </w:rPr>
            </w:pPr>
            <w:r w:rsidRPr="006D63E5">
              <w:rPr>
                <w:rFonts w:asciiTheme="majorHAnsi" w:hAnsiTheme="majorHAnsi"/>
                <w:sz w:val="18"/>
                <w:szCs w:val="18"/>
              </w:rPr>
              <w:t>Koror: Update of laws, regulations, policies, zoning, and possible on-the-ground changes to existing structures and facilities; and alignment of World Heritage and RISL Management Plan with leasing and zoning protocols.</w:t>
            </w:r>
          </w:p>
          <w:p w14:paraId="2406D2A2" w14:textId="77777777" w:rsidR="00A11855" w:rsidRPr="006D63E5" w:rsidRDefault="00A11855" w:rsidP="00EA4043">
            <w:pPr>
              <w:pStyle w:val="ListParagraph"/>
              <w:numPr>
                <w:ilvl w:val="0"/>
                <w:numId w:val="66"/>
              </w:numPr>
              <w:contextualSpacing/>
              <w:rPr>
                <w:rFonts w:asciiTheme="majorHAnsi" w:hAnsiTheme="majorHAnsi"/>
                <w:sz w:val="18"/>
                <w:szCs w:val="18"/>
              </w:rPr>
            </w:pPr>
            <w:r w:rsidRPr="006D63E5">
              <w:rPr>
                <w:rFonts w:asciiTheme="majorHAnsi" w:hAnsiTheme="majorHAnsi"/>
                <w:sz w:val="18"/>
                <w:szCs w:val="18"/>
              </w:rPr>
              <w:t>Vocational training, showcasing and improving Palauan-style of hospitality</w:t>
            </w:r>
          </w:p>
          <w:p w14:paraId="34CB4F45" w14:textId="77777777" w:rsidR="00A11855" w:rsidRPr="006D63E5" w:rsidRDefault="00A11855" w:rsidP="00FD6B43">
            <w:pPr>
              <w:pStyle w:val="ListParagraph"/>
              <w:ind w:left="360"/>
              <w:rPr>
                <w:rFonts w:asciiTheme="majorHAnsi" w:hAnsiTheme="majorHAnsi"/>
                <w:sz w:val="18"/>
                <w:szCs w:val="18"/>
              </w:rPr>
            </w:pPr>
          </w:p>
        </w:tc>
      </w:tr>
      <w:tr w:rsidR="00A11855" w:rsidRPr="00080C28" w14:paraId="652E19CC" w14:textId="77777777" w:rsidTr="00FD6B43">
        <w:tc>
          <w:tcPr>
            <w:tcW w:w="1260" w:type="dxa"/>
          </w:tcPr>
          <w:p w14:paraId="5DB39ADD" w14:textId="77777777" w:rsidR="00A11855" w:rsidRPr="006D63E5" w:rsidRDefault="00A11855" w:rsidP="00FD6B43">
            <w:pPr>
              <w:spacing w:after="0"/>
              <w:rPr>
                <w:rFonts w:asciiTheme="majorHAnsi" w:hAnsiTheme="majorHAnsi"/>
                <w:sz w:val="18"/>
                <w:szCs w:val="18"/>
              </w:rPr>
            </w:pPr>
            <w:r w:rsidRPr="00DB6EB8">
              <w:rPr>
                <w:rFonts w:asciiTheme="majorHAnsi" w:hAnsiTheme="majorHAnsi"/>
                <w:sz w:val="18"/>
                <w:szCs w:val="18"/>
              </w:rPr>
              <w:t>Sustainable Agriculture</w:t>
            </w:r>
          </w:p>
        </w:tc>
        <w:tc>
          <w:tcPr>
            <w:tcW w:w="1800" w:type="dxa"/>
            <w:shd w:val="clear" w:color="auto" w:fill="auto"/>
          </w:tcPr>
          <w:p w14:paraId="4E48EEEB" w14:textId="77777777" w:rsidR="00A11855" w:rsidRPr="006D63E5" w:rsidRDefault="00A11855" w:rsidP="00FD6B43">
            <w:pPr>
              <w:spacing w:after="0"/>
              <w:rPr>
                <w:rFonts w:asciiTheme="majorHAnsi" w:hAnsiTheme="majorHAnsi"/>
                <w:sz w:val="18"/>
                <w:szCs w:val="18"/>
              </w:rPr>
            </w:pPr>
            <w:r w:rsidRPr="006D63E5">
              <w:rPr>
                <w:rFonts w:asciiTheme="majorHAnsi" w:hAnsiTheme="majorHAnsi"/>
                <w:sz w:val="18"/>
                <w:szCs w:val="18"/>
              </w:rPr>
              <w:t>Ngchesar</w:t>
            </w:r>
          </w:p>
          <w:p w14:paraId="5F029705" w14:textId="77777777" w:rsidR="00A11855" w:rsidRPr="006D63E5" w:rsidRDefault="00A11855" w:rsidP="00FD6B43">
            <w:pPr>
              <w:spacing w:after="0"/>
              <w:rPr>
                <w:rFonts w:asciiTheme="majorHAnsi" w:hAnsiTheme="majorHAnsi"/>
                <w:sz w:val="18"/>
                <w:szCs w:val="18"/>
              </w:rPr>
            </w:pPr>
            <w:r w:rsidRPr="006D63E5">
              <w:rPr>
                <w:rFonts w:asciiTheme="majorHAnsi" w:hAnsiTheme="majorHAnsi"/>
                <w:sz w:val="18"/>
                <w:szCs w:val="18"/>
              </w:rPr>
              <w:t>Ngiwal</w:t>
            </w:r>
          </w:p>
          <w:p w14:paraId="01687901" w14:textId="77777777" w:rsidR="00A11855" w:rsidRPr="006D63E5" w:rsidRDefault="00A11855" w:rsidP="00FD6B43">
            <w:pPr>
              <w:spacing w:after="0"/>
              <w:rPr>
                <w:rFonts w:asciiTheme="majorHAnsi" w:hAnsiTheme="majorHAnsi"/>
                <w:sz w:val="18"/>
                <w:szCs w:val="18"/>
              </w:rPr>
            </w:pPr>
            <w:r w:rsidRPr="006D63E5">
              <w:rPr>
                <w:rFonts w:asciiTheme="majorHAnsi" w:hAnsiTheme="majorHAnsi"/>
                <w:sz w:val="18"/>
                <w:szCs w:val="18"/>
              </w:rPr>
              <w:t>Ngaraard (taro)</w:t>
            </w:r>
          </w:p>
          <w:p w14:paraId="1FF6DB34" w14:textId="77777777" w:rsidR="00A11855" w:rsidRPr="006D63E5" w:rsidRDefault="00A11855" w:rsidP="00FD6B43">
            <w:pPr>
              <w:spacing w:after="0"/>
              <w:rPr>
                <w:rFonts w:asciiTheme="majorHAnsi" w:hAnsiTheme="majorHAnsi"/>
                <w:sz w:val="18"/>
                <w:szCs w:val="18"/>
              </w:rPr>
            </w:pPr>
            <w:r w:rsidRPr="006D63E5">
              <w:rPr>
                <w:rFonts w:asciiTheme="majorHAnsi" w:hAnsiTheme="majorHAnsi"/>
                <w:sz w:val="18"/>
                <w:szCs w:val="18"/>
              </w:rPr>
              <w:t>Ngeremlengui</w:t>
            </w:r>
          </w:p>
          <w:p w14:paraId="5C442A70" w14:textId="77777777" w:rsidR="00A11855" w:rsidRPr="006D63E5" w:rsidRDefault="00A11855" w:rsidP="00FD6B43">
            <w:pPr>
              <w:spacing w:after="0"/>
              <w:rPr>
                <w:rFonts w:asciiTheme="majorHAnsi" w:hAnsiTheme="majorHAnsi"/>
                <w:sz w:val="18"/>
                <w:szCs w:val="18"/>
              </w:rPr>
            </w:pPr>
            <w:r w:rsidRPr="006D63E5">
              <w:rPr>
                <w:rFonts w:asciiTheme="majorHAnsi" w:hAnsiTheme="majorHAnsi"/>
                <w:sz w:val="18"/>
                <w:szCs w:val="18"/>
              </w:rPr>
              <w:t>Ngardmau</w:t>
            </w:r>
          </w:p>
        </w:tc>
        <w:tc>
          <w:tcPr>
            <w:tcW w:w="7110" w:type="dxa"/>
            <w:shd w:val="clear" w:color="auto" w:fill="auto"/>
          </w:tcPr>
          <w:p w14:paraId="3E1CFA25" w14:textId="77777777" w:rsidR="00A11855" w:rsidRPr="006D63E5" w:rsidRDefault="00A11855" w:rsidP="00EA4043">
            <w:pPr>
              <w:pStyle w:val="ListParagraph"/>
              <w:numPr>
                <w:ilvl w:val="0"/>
                <w:numId w:val="67"/>
              </w:numPr>
              <w:contextualSpacing/>
              <w:rPr>
                <w:rFonts w:asciiTheme="majorHAnsi" w:hAnsiTheme="majorHAnsi"/>
                <w:sz w:val="18"/>
                <w:szCs w:val="18"/>
              </w:rPr>
            </w:pPr>
            <w:r w:rsidRPr="006D63E5">
              <w:rPr>
                <w:rFonts w:asciiTheme="majorHAnsi" w:hAnsiTheme="majorHAnsi"/>
                <w:sz w:val="18"/>
                <w:szCs w:val="18"/>
              </w:rPr>
              <w:t>Improvements to existing farms (soil protection or restoration)</w:t>
            </w:r>
          </w:p>
          <w:p w14:paraId="78B52B5D" w14:textId="77777777" w:rsidR="00A11855" w:rsidRPr="006D63E5" w:rsidRDefault="00A11855" w:rsidP="00EA4043">
            <w:pPr>
              <w:pStyle w:val="ListParagraph"/>
              <w:numPr>
                <w:ilvl w:val="0"/>
                <w:numId w:val="67"/>
              </w:numPr>
              <w:contextualSpacing/>
              <w:rPr>
                <w:rFonts w:asciiTheme="majorHAnsi" w:hAnsiTheme="majorHAnsi"/>
                <w:sz w:val="18"/>
                <w:szCs w:val="18"/>
              </w:rPr>
            </w:pPr>
            <w:r w:rsidRPr="006D63E5">
              <w:rPr>
                <w:rFonts w:asciiTheme="majorHAnsi" w:hAnsiTheme="majorHAnsi"/>
                <w:sz w:val="18"/>
                <w:szCs w:val="18"/>
              </w:rPr>
              <w:t>Restoration of taro patches</w:t>
            </w:r>
          </w:p>
          <w:p w14:paraId="594D8B64" w14:textId="77777777" w:rsidR="00A11855" w:rsidRPr="006D63E5" w:rsidRDefault="00A11855" w:rsidP="00EA4043">
            <w:pPr>
              <w:pStyle w:val="ListParagraph"/>
              <w:numPr>
                <w:ilvl w:val="0"/>
                <w:numId w:val="67"/>
              </w:numPr>
              <w:contextualSpacing/>
              <w:rPr>
                <w:rFonts w:asciiTheme="majorHAnsi" w:hAnsiTheme="majorHAnsi"/>
                <w:sz w:val="18"/>
                <w:szCs w:val="18"/>
              </w:rPr>
            </w:pPr>
            <w:r w:rsidRPr="006D63E5">
              <w:rPr>
                <w:rFonts w:asciiTheme="majorHAnsi" w:hAnsiTheme="majorHAnsi"/>
                <w:sz w:val="18"/>
                <w:szCs w:val="18"/>
              </w:rPr>
              <w:t>Expansion of agroforests</w:t>
            </w:r>
          </w:p>
          <w:p w14:paraId="0EE957DE" w14:textId="77777777" w:rsidR="00A11855" w:rsidRPr="006D63E5" w:rsidRDefault="00A11855" w:rsidP="00EA4043">
            <w:pPr>
              <w:pStyle w:val="ListParagraph"/>
              <w:numPr>
                <w:ilvl w:val="0"/>
                <w:numId w:val="67"/>
              </w:numPr>
              <w:contextualSpacing/>
              <w:rPr>
                <w:rFonts w:asciiTheme="majorHAnsi" w:hAnsiTheme="majorHAnsi"/>
                <w:sz w:val="18"/>
                <w:szCs w:val="18"/>
              </w:rPr>
            </w:pPr>
            <w:r w:rsidRPr="006D63E5">
              <w:rPr>
                <w:rFonts w:asciiTheme="majorHAnsi" w:hAnsiTheme="majorHAnsi"/>
                <w:sz w:val="18"/>
                <w:szCs w:val="18"/>
              </w:rPr>
              <w:t>Diversification of crops</w:t>
            </w:r>
          </w:p>
          <w:p w14:paraId="28DC9FA4" w14:textId="77777777" w:rsidR="00A11855" w:rsidRPr="006D63E5" w:rsidRDefault="00A11855" w:rsidP="00EA4043">
            <w:pPr>
              <w:pStyle w:val="ListParagraph"/>
              <w:numPr>
                <w:ilvl w:val="0"/>
                <w:numId w:val="67"/>
              </w:numPr>
              <w:contextualSpacing/>
              <w:rPr>
                <w:rFonts w:asciiTheme="majorHAnsi" w:hAnsiTheme="majorHAnsi"/>
                <w:sz w:val="18"/>
                <w:szCs w:val="18"/>
              </w:rPr>
            </w:pPr>
            <w:r w:rsidRPr="006D63E5">
              <w:rPr>
                <w:rFonts w:asciiTheme="majorHAnsi" w:hAnsiTheme="majorHAnsi"/>
                <w:sz w:val="18"/>
                <w:szCs w:val="18"/>
              </w:rPr>
              <w:t>Use of Best Practices, especially organic, to increase crop outputs</w:t>
            </w:r>
          </w:p>
          <w:p w14:paraId="32E50EB3" w14:textId="77777777" w:rsidR="00A11855" w:rsidRPr="006D63E5" w:rsidRDefault="00A11855" w:rsidP="00EA4043">
            <w:pPr>
              <w:pStyle w:val="ListParagraph"/>
              <w:numPr>
                <w:ilvl w:val="0"/>
                <w:numId w:val="67"/>
              </w:numPr>
              <w:contextualSpacing/>
              <w:rPr>
                <w:rFonts w:asciiTheme="majorHAnsi" w:hAnsiTheme="majorHAnsi"/>
                <w:sz w:val="18"/>
                <w:szCs w:val="18"/>
              </w:rPr>
            </w:pPr>
            <w:r w:rsidRPr="006D63E5">
              <w:rPr>
                <w:rFonts w:asciiTheme="majorHAnsi" w:hAnsiTheme="majorHAnsi"/>
                <w:sz w:val="18"/>
                <w:szCs w:val="18"/>
              </w:rPr>
              <w:t>Expansion of climate-resilient livestock and poultry using compost</w:t>
            </w:r>
          </w:p>
          <w:p w14:paraId="1871C4BE" w14:textId="77777777" w:rsidR="00A11855" w:rsidRPr="006D63E5" w:rsidRDefault="00A11855" w:rsidP="00EA4043">
            <w:pPr>
              <w:pStyle w:val="ListParagraph"/>
              <w:numPr>
                <w:ilvl w:val="0"/>
                <w:numId w:val="67"/>
              </w:numPr>
              <w:contextualSpacing/>
              <w:rPr>
                <w:rFonts w:asciiTheme="majorHAnsi" w:hAnsiTheme="majorHAnsi"/>
                <w:sz w:val="18"/>
                <w:szCs w:val="18"/>
              </w:rPr>
            </w:pPr>
            <w:r w:rsidRPr="006D63E5">
              <w:rPr>
                <w:rFonts w:asciiTheme="majorHAnsi" w:hAnsiTheme="majorHAnsi"/>
                <w:sz w:val="18"/>
                <w:szCs w:val="18"/>
              </w:rPr>
              <w:t>Setting up composting facilities and cost-sharing</w:t>
            </w:r>
          </w:p>
          <w:p w14:paraId="5F956D16" w14:textId="77777777" w:rsidR="00A11855" w:rsidRPr="006D63E5" w:rsidRDefault="00A11855" w:rsidP="00EA4043">
            <w:pPr>
              <w:pStyle w:val="ListParagraph"/>
              <w:numPr>
                <w:ilvl w:val="0"/>
                <w:numId w:val="67"/>
              </w:numPr>
              <w:contextualSpacing/>
              <w:rPr>
                <w:rFonts w:asciiTheme="majorHAnsi" w:hAnsiTheme="majorHAnsi"/>
                <w:sz w:val="18"/>
                <w:szCs w:val="18"/>
              </w:rPr>
            </w:pPr>
            <w:r w:rsidRPr="006D63E5">
              <w:rPr>
                <w:rFonts w:asciiTheme="majorHAnsi" w:hAnsiTheme="majorHAnsi"/>
                <w:sz w:val="18"/>
                <w:szCs w:val="18"/>
              </w:rPr>
              <w:t>Establishing Community Gardens or Farms</w:t>
            </w:r>
          </w:p>
          <w:p w14:paraId="0286CA73" w14:textId="77777777" w:rsidR="00A11855" w:rsidRPr="006D63E5" w:rsidRDefault="00A11855" w:rsidP="00EA4043">
            <w:pPr>
              <w:pStyle w:val="ListParagraph"/>
              <w:numPr>
                <w:ilvl w:val="0"/>
                <w:numId w:val="67"/>
              </w:numPr>
              <w:contextualSpacing/>
              <w:rPr>
                <w:rFonts w:asciiTheme="majorHAnsi" w:hAnsiTheme="majorHAnsi"/>
                <w:sz w:val="18"/>
                <w:szCs w:val="18"/>
              </w:rPr>
            </w:pPr>
            <w:r w:rsidRPr="006D63E5">
              <w:rPr>
                <w:rFonts w:asciiTheme="majorHAnsi" w:hAnsiTheme="majorHAnsi"/>
                <w:sz w:val="18"/>
                <w:szCs w:val="18"/>
              </w:rPr>
              <w:t>Establishing Community Nurseries or Greenhouses</w:t>
            </w:r>
          </w:p>
          <w:p w14:paraId="08114F02" w14:textId="77777777" w:rsidR="00A11855" w:rsidRPr="006D63E5" w:rsidRDefault="00A11855" w:rsidP="00EA4043">
            <w:pPr>
              <w:pStyle w:val="ListParagraph"/>
              <w:numPr>
                <w:ilvl w:val="0"/>
                <w:numId w:val="67"/>
              </w:numPr>
              <w:contextualSpacing/>
              <w:rPr>
                <w:rFonts w:asciiTheme="majorHAnsi" w:hAnsiTheme="majorHAnsi"/>
                <w:sz w:val="18"/>
                <w:szCs w:val="18"/>
              </w:rPr>
            </w:pPr>
            <w:r w:rsidRPr="006D63E5">
              <w:rPr>
                <w:rFonts w:asciiTheme="majorHAnsi" w:hAnsiTheme="majorHAnsi"/>
                <w:sz w:val="18"/>
                <w:szCs w:val="18"/>
              </w:rPr>
              <w:t>Creation of Training Programs</w:t>
            </w:r>
          </w:p>
          <w:p w14:paraId="1B10C02B" w14:textId="77777777" w:rsidR="00A11855" w:rsidRPr="006D63E5" w:rsidRDefault="00A11855" w:rsidP="00EA4043">
            <w:pPr>
              <w:pStyle w:val="ListParagraph"/>
              <w:numPr>
                <w:ilvl w:val="0"/>
                <w:numId w:val="67"/>
              </w:numPr>
              <w:contextualSpacing/>
              <w:rPr>
                <w:rFonts w:asciiTheme="majorHAnsi" w:hAnsiTheme="majorHAnsi"/>
                <w:sz w:val="18"/>
                <w:szCs w:val="18"/>
              </w:rPr>
            </w:pPr>
            <w:r w:rsidRPr="006D63E5">
              <w:rPr>
                <w:rFonts w:asciiTheme="majorHAnsi" w:hAnsiTheme="majorHAnsi"/>
                <w:sz w:val="18"/>
                <w:szCs w:val="18"/>
              </w:rPr>
              <w:t>Capacity building or exposure visits</w:t>
            </w:r>
          </w:p>
          <w:p w14:paraId="6CA9042E" w14:textId="77777777" w:rsidR="00A11855" w:rsidRPr="006D63E5" w:rsidRDefault="00A11855" w:rsidP="00EA4043">
            <w:pPr>
              <w:pStyle w:val="ListParagraph"/>
              <w:numPr>
                <w:ilvl w:val="0"/>
                <w:numId w:val="67"/>
              </w:numPr>
              <w:contextualSpacing/>
              <w:rPr>
                <w:rFonts w:asciiTheme="majorHAnsi" w:hAnsiTheme="majorHAnsi"/>
                <w:sz w:val="18"/>
                <w:szCs w:val="18"/>
              </w:rPr>
            </w:pPr>
            <w:r w:rsidRPr="006D63E5">
              <w:rPr>
                <w:rFonts w:asciiTheme="majorHAnsi" w:hAnsiTheme="majorHAnsi"/>
                <w:sz w:val="18"/>
                <w:szCs w:val="18"/>
              </w:rPr>
              <w:t>Small-scale and micro-irrigation</w:t>
            </w:r>
          </w:p>
          <w:p w14:paraId="2B12501C" w14:textId="77777777" w:rsidR="00A11855" w:rsidRPr="006D63E5" w:rsidRDefault="00A11855" w:rsidP="00EA4043">
            <w:pPr>
              <w:pStyle w:val="ListParagraph"/>
              <w:numPr>
                <w:ilvl w:val="0"/>
                <w:numId w:val="67"/>
              </w:numPr>
              <w:contextualSpacing/>
              <w:rPr>
                <w:rFonts w:asciiTheme="majorHAnsi" w:hAnsiTheme="majorHAnsi"/>
                <w:sz w:val="18"/>
                <w:szCs w:val="18"/>
              </w:rPr>
            </w:pPr>
            <w:r w:rsidRPr="006D63E5">
              <w:rPr>
                <w:rFonts w:asciiTheme="majorHAnsi" w:hAnsiTheme="majorHAnsi"/>
                <w:sz w:val="18"/>
                <w:szCs w:val="18"/>
              </w:rPr>
              <w:t>Sustainably powered infrastructure (e.g. for added-value processing, storage, water storage, irrigation)</w:t>
            </w:r>
          </w:p>
          <w:p w14:paraId="789819E9" w14:textId="77777777" w:rsidR="00A11855" w:rsidRPr="006D63E5" w:rsidRDefault="00A11855" w:rsidP="00EA4043">
            <w:pPr>
              <w:pStyle w:val="ListParagraph"/>
              <w:numPr>
                <w:ilvl w:val="0"/>
                <w:numId w:val="67"/>
              </w:numPr>
              <w:contextualSpacing/>
              <w:rPr>
                <w:rFonts w:asciiTheme="majorHAnsi" w:hAnsiTheme="majorHAnsi"/>
                <w:sz w:val="18"/>
                <w:szCs w:val="18"/>
              </w:rPr>
            </w:pPr>
            <w:r w:rsidRPr="006D63E5">
              <w:rPr>
                <w:rFonts w:asciiTheme="majorHAnsi" w:hAnsiTheme="majorHAnsi"/>
                <w:sz w:val="18"/>
                <w:szCs w:val="18"/>
              </w:rPr>
              <w:t>Climate-resilient and equitable water storage and micro-irrigation</w:t>
            </w:r>
          </w:p>
          <w:p w14:paraId="7E26F461" w14:textId="77777777" w:rsidR="00A11855" w:rsidRPr="006D63E5" w:rsidRDefault="00A11855" w:rsidP="00FD6B43">
            <w:pPr>
              <w:spacing w:after="0"/>
              <w:jc w:val="left"/>
              <w:rPr>
                <w:rFonts w:asciiTheme="majorHAnsi" w:hAnsiTheme="majorHAnsi"/>
                <w:sz w:val="18"/>
                <w:szCs w:val="18"/>
              </w:rPr>
            </w:pPr>
          </w:p>
          <w:p w14:paraId="377A2D71" w14:textId="77777777" w:rsidR="00A11855" w:rsidRPr="006D63E5" w:rsidRDefault="00A11855" w:rsidP="00FD6B43">
            <w:pPr>
              <w:spacing w:after="0"/>
              <w:jc w:val="left"/>
              <w:rPr>
                <w:rFonts w:asciiTheme="majorHAnsi" w:hAnsiTheme="majorHAnsi"/>
                <w:sz w:val="18"/>
                <w:szCs w:val="18"/>
              </w:rPr>
            </w:pPr>
          </w:p>
        </w:tc>
      </w:tr>
      <w:tr w:rsidR="00A11855" w:rsidRPr="00080C28" w14:paraId="19B982A7" w14:textId="77777777" w:rsidTr="00FD6B43">
        <w:tc>
          <w:tcPr>
            <w:tcW w:w="1260" w:type="dxa"/>
          </w:tcPr>
          <w:p w14:paraId="34A08778" w14:textId="77777777" w:rsidR="00A11855" w:rsidRPr="006D63E5" w:rsidRDefault="00A11855" w:rsidP="00FD6B43">
            <w:pPr>
              <w:spacing w:after="0"/>
              <w:rPr>
                <w:rFonts w:asciiTheme="majorHAnsi" w:hAnsiTheme="majorHAnsi"/>
                <w:sz w:val="18"/>
                <w:szCs w:val="18"/>
              </w:rPr>
            </w:pPr>
            <w:r w:rsidRPr="00DB6EB8">
              <w:rPr>
                <w:rFonts w:asciiTheme="majorHAnsi" w:hAnsiTheme="majorHAnsi"/>
                <w:sz w:val="18"/>
                <w:szCs w:val="18"/>
              </w:rPr>
              <w:t>Sustainable Aquaculture</w:t>
            </w:r>
          </w:p>
        </w:tc>
        <w:tc>
          <w:tcPr>
            <w:tcW w:w="1800" w:type="dxa"/>
            <w:shd w:val="clear" w:color="auto" w:fill="auto"/>
          </w:tcPr>
          <w:p w14:paraId="0D79D0B4" w14:textId="77777777" w:rsidR="00A11855" w:rsidRPr="006D63E5" w:rsidRDefault="00A11855" w:rsidP="00FD6B43">
            <w:pPr>
              <w:spacing w:after="0"/>
              <w:rPr>
                <w:rFonts w:asciiTheme="majorHAnsi" w:hAnsiTheme="majorHAnsi"/>
                <w:sz w:val="18"/>
                <w:szCs w:val="18"/>
              </w:rPr>
            </w:pPr>
            <w:r w:rsidRPr="006D63E5">
              <w:rPr>
                <w:rFonts w:asciiTheme="majorHAnsi" w:hAnsiTheme="majorHAnsi"/>
                <w:sz w:val="18"/>
                <w:szCs w:val="18"/>
              </w:rPr>
              <w:t>Aimeliik</w:t>
            </w:r>
          </w:p>
          <w:p w14:paraId="15482F28" w14:textId="77777777" w:rsidR="00A11855" w:rsidRPr="006D63E5" w:rsidRDefault="00A11855" w:rsidP="00FD6B43">
            <w:pPr>
              <w:spacing w:after="0"/>
              <w:rPr>
                <w:rFonts w:asciiTheme="majorHAnsi" w:hAnsiTheme="majorHAnsi"/>
                <w:sz w:val="18"/>
                <w:szCs w:val="18"/>
              </w:rPr>
            </w:pPr>
          </w:p>
        </w:tc>
        <w:tc>
          <w:tcPr>
            <w:tcW w:w="7110" w:type="dxa"/>
            <w:shd w:val="clear" w:color="auto" w:fill="auto"/>
          </w:tcPr>
          <w:p w14:paraId="0D45D9FE" w14:textId="77777777" w:rsidR="00A11855" w:rsidRPr="006D63E5" w:rsidRDefault="00A11855" w:rsidP="00EA4043">
            <w:pPr>
              <w:pStyle w:val="ListParagraph"/>
              <w:numPr>
                <w:ilvl w:val="0"/>
                <w:numId w:val="68"/>
              </w:numPr>
              <w:contextualSpacing/>
              <w:rPr>
                <w:rFonts w:asciiTheme="majorHAnsi" w:hAnsiTheme="majorHAnsi"/>
                <w:sz w:val="18"/>
                <w:szCs w:val="18"/>
              </w:rPr>
            </w:pPr>
            <w:r w:rsidRPr="006D63E5">
              <w:rPr>
                <w:rFonts w:asciiTheme="majorHAnsi" w:hAnsiTheme="majorHAnsi"/>
                <w:sz w:val="18"/>
                <w:szCs w:val="18"/>
              </w:rPr>
              <w:t>Expansion of Giant Clam farms</w:t>
            </w:r>
          </w:p>
          <w:p w14:paraId="4BC88B30" w14:textId="77777777" w:rsidR="00A11855" w:rsidRPr="006D63E5" w:rsidRDefault="00A11855" w:rsidP="00EA4043">
            <w:pPr>
              <w:pStyle w:val="ListParagraph"/>
              <w:numPr>
                <w:ilvl w:val="0"/>
                <w:numId w:val="68"/>
              </w:numPr>
              <w:contextualSpacing/>
              <w:rPr>
                <w:rFonts w:asciiTheme="majorHAnsi" w:hAnsiTheme="majorHAnsi"/>
                <w:sz w:val="18"/>
                <w:szCs w:val="18"/>
              </w:rPr>
            </w:pPr>
            <w:r w:rsidRPr="006D63E5">
              <w:rPr>
                <w:rFonts w:asciiTheme="majorHAnsi" w:hAnsiTheme="majorHAnsi"/>
                <w:sz w:val="18"/>
                <w:szCs w:val="18"/>
              </w:rPr>
              <w:t>Establishment of community Giant Clam Farms with responsibility and benefit-sharing protocol</w:t>
            </w:r>
          </w:p>
          <w:p w14:paraId="679086D4" w14:textId="77777777" w:rsidR="00A11855" w:rsidRPr="006D63E5" w:rsidRDefault="00A11855" w:rsidP="00EA4043">
            <w:pPr>
              <w:pStyle w:val="ListParagraph"/>
              <w:numPr>
                <w:ilvl w:val="0"/>
                <w:numId w:val="68"/>
              </w:numPr>
              <w:contextualSpacing/>
              <w:rPr>
                <w:rFonts w:asciiTheme="majorHAnsi" w:hAnsiTheme="majorHAnsi"/>
                <w:sz w:val="18"/>
                <w:szCs w:val="18"/>
              </w:rPr>
            </w:pPr>
            <w:r w:rsidRPr="006D63E5">
              <w:rPr>
                <w:rFonts w:asciiTheme="majorHAnsi" w:hAnsiTheme="majorHAnsi"/>
                <w:sz w:val="18"/>
                <w:szCs w:val="18"/>
              </w:rPr>
              <w:t>Expansion of rabbitfish farms</w:t>
            </w:r>
          </w:p>
          <w:p w14:paraId="2E915D6A" w14:textId="77777777" w:rsidR="00A11855" w:rsidRPr="006D63E5" w:rsidRDefault="00A11855" w:rsidP="00FD6B43">
            <w:pPr>
              <w:spacing w:after="0"/>
              <w:jc w:val="left"/>
              <w:rPr>
                <w:rFonts w:asciiTheme="majorHAnsi" w:hAnsiTheme="majorHAnsi"/>
                <w:sz w:val="18"/>
                <w:szCs w:val="18"/>
              </w:rPr>
            </w:pPr>
          </w:p>
        </w:tc>
      </w:tr>
      <w:tr w:rsidR="00A11855" w:rsidRPr="00080C28" w14:paraId="16FDA00C" w14:textId="77777777" w:rsidTr="00FD6B43">
        <w:tc>
          <w:tcPr>
            <w:tcW w:w="1260" w:type="dxa"/>
          </w:tcPr>
          <w:p w14:paraId="7CD5FDA8" w14:textId="77777777" w:rsidR="00A11855" w:rsidRPr="006D63E5" w:rsidRDefault="00A11855" w:rsidP="00FD6B43">
            <w:pPr>
              <w:spacing w:after="0"/>
              <w:rPr>
                <w:rFonts w:asciiTheme="majorHAnsi" w:hAnsiTheme="majorHAnsi"/>
                <w:sz w:val="18"/>
                <w:szCs w:val="18"/>
              </w:rPr>
            </w:pPr>
            <w:r w:rsidRPr="00DB6EB8">
              <w:rPr>
                <w:rFonts w:asciiTheme="majorHAnsi" w:hAnsiTheme="majorHAnsi"/>
                <w:sz w:val="18"/>
                <w:szCs w:val="18"/>
              </w:rPr>
              <w:t>Sustainable Forestry</w:t>
            </w:r>
          </w:p>
        </w:tc>
        <w:tc>
          <w:tcPr>
            <w:tcW w:w="1800" w:type="dxa"/>
            <w:shd w:val="clear" w:color="auto" w:fill="auto"/>
          </w:tcPr>
          <w:p w14:paraId="387110B1" w14:textId="77777777" w:rsidR="00A11855" w:rsidRPr="006D63E5" w:rsidRDefault="00A11855" w:rsidP="00FD6B43">
            <w:pPr>
              <w:spacing w:after="0"/>
              <w:rPr>
                <w:rFonts w:asciiTheme="majorHAnsi" w:hAnsiTheme="majorHAnsi"/>
                <w:sz w:val="18"/>
                <w:szCs w:val="18"/>
              </w:rPr>
            </w:pPr>
            <w:r w:rsidRPr="006D63E5">
              <w:rPr>
                <w:rFonts w:asciiTheme="majorHAnsi" w:hAnsiTheme="majorHAnsi"/>
                <w:sz w:val="18"/>
                <w:szCs w:val="18"/>
              </w:rPr>
              <w:t>Aimeliik</w:t>
            </w:r>
          </w:p>
          <w:p w14:paraId="649A171D" w14:textId="77777777" w:rsidR="00A11855" w:rsidRPr="006D63E5" w:rsidRDefault="00A11855" w:rsidP="00FD6B43">
            <w:pPr>
              <w:spacing w:after="0"/>
              <w:rPr>
                <w:rFonts w:asciiTheme="majorHAnsi" w:hAnsiTheme="majorHAnsi"/>
                <w:sz w:val="18"/>
                <w:szCs w:val="18"/>
              </w:rPr>
            </w:pPr>
            <w:r w:rsidRPr="006D63E5">
              <w:rPr>
                <w:rFonts w:asciiTheme="majorHAnsi" w:hAnsiTheme="majorHAnsi"/>
                <w:sz w:val="18"/>
                <w:szCs w:val="18"/>
              </w:rPr>
              <w:t>Ngaraard</w:t>
            </w:r>
          </w:p>
          <w:p w14:paraId="067591F3" w14:textId="77777777" w:rsidR="00A11855" w:rsidRPr="006D63E5" w:rsidRDefault="00A11855" w:rsidP="00FD6B43">
            <w:pPr>
              <w:spacing w:after="0"/>
              <w:rPr>
                <w:rFonts w:asciiTheme="majorHAnsi" w:hAnsiTheme="majorHAnsi"/>
                <w:sz w:val="18"/>
                <w:szCs w:val="18"/>
              </w:rPr>
            </w:pPr>
            <w:r w:rsidRPr="006D63E5">
              <w:rPr>
                <w:rFonts w:asciiTheme="majorHAnsi" w:hAnsiTheme="majorHAnsi"/>
                <w:sz w:val="18"/>
                <w:szCs w:val="18"/>
              </w:rPr>
              <w:t>Ngeremlengui</w:t>
            </w:r>
          </w:p>
          <w:p w14:paraId="676CC5A8" w14:textId="77777777" w:rsidR="00A11855" w:rsidRPr="006D63E5" w:rsidRDefault="00A11855" w:rsidP="00FD6B43">
            <w:pPr>
              <w:spacing w:after="0"/>
              <w:rPr>
                <w:rFonts w:asciiTheme="majorHAnsi" w:hAnsiTheme="majorHAnsi"/>
                <w:sz w:val="18"/>
                <w:szCs w:val="18"/>
              </w:rPr>
            </w:pPr>
            <w:r w:rsidRPr="006D63E5">
              <w:rPr>
                <w:rFonts w:asciiTheme="majorHAnsi" w:hAnsiTheme="majorHAnsi"/>
                <w:sz w:val="18"/>
                <w:szCs w:val="18"/>
              </w:rPr>
              <w:t>Ngchesar</w:t>
            </w:r>
          </w:p>
        </w:tc>
        <w:tc>
          <w:tcPr>
            <w:tcW w:w="7110" w:type="dxa"/>
            <w:shd w:val="clear" w:color="auto" w:fill="auto"/>
          </w:tcPr>
          <w:p w14:paraId="52E7A894" w14:textId="77777777" w:rsidR="00A11855" w:rsidRPr="006D63E5" w:rsidRDefault="00A11855" w:rsidP="00EA4043">
            <w:pPr>
              <w:pStyle w:val="ListParagraph"/>
              <w:numPr>
                <w:ilvl w:val="0"/>
                <w:numId w:val="69"/>
              </w:numPr>
              <w:contextualSpacing/>
              <w:rPr>
                <w:rFonts w:asciiTheme="majorHAnsi" w:hAnsiTheme="majorHAnsi"/>
                <w:sz w:val="18"/>
                <w:szCs w:val="18"/>
              </w:rPr>
            </w:pPr>
            <w:r w:rsidRPr="006D63E5">
              <w:rPr>
                <w:rFonts w:asciiTheme="majorHAnsi" w:hAnsiTheme="majorHAnsi"/>
                <w:sz w:val="18"/>
                <w:szCs w:val="18"/>
              </w:rPr>
              <w:t>Demonstration use of sustainable harvesting of traditional plants for medicines and cultural purposes; non-timber uses</w:t>
            </w:r>
          </w:p>
          <w:p w14:paraId="1C3B1AD9" w14:textId="77777777" w:rsidR="00A11855" w:rsidRPr="006D63E5" w:rsidRDefault="00A11855" w:rsidP="00EA4043">
            <w:pPr>
              <w:pStyle w:val="ListParagraph"/>
              <w:numPr>
                <w:ilvl w:val="0"/>
                <w:numId w:val="69"/>
              </w:numPr>
              <w:contextualSpacing/>
              <w:rPr>
                <w:rFonts w:asciiTheme="majorHAnsi" w:hAnsiTheme="majorHAnsi"/>
                <w:sz w:val="18"/>
                <w:szCs w:val="18"/>
              </w:rPr>
            </w:pPr>
            <w:r w:rsidRPr="006D63E5">
              <w:rPr>
                <w:rFonts w:asciiTheme="majorHAnsi" w:hAnsiTheme="majorHAnsi"/>
                <w:sz w:val="18"/>
                <w:szCs w:val="18"/>
              </w:rPr>
              <w:t>Demonstration of sustainable plantations for mahogany and other trees</w:t>
            </w:r>
          </w:p>
          <w:p w14:paraId="2281AB95" w14:textId="77777777" w:rsidR="00A11855" w:rsidRPr="006D63E5" w:rsidRDefault="00A11855" w:rsidP="00EA4043">
            <w:pPr>
              <w:pStyle w:val="ListParagraph"/>
              <w:numPr>
                <w:ilvl w:val="0"/>
                <w:numId w:val="69"/>
              </w:numPr>
              <w:contextualSpacing/>
              <w:rPr>
                <w:rFonts w:asciiTheme="majorHAnsi" w:hAnsiTheme="majorHAnsi"/>
                <w:sz w:val="18"/>
                <w:szCs w:val="18"/>
              </w:rPr>
            </w:pPr>
            <w:r w:rsidRPr="006D63E5">
              <w:rPr>
                <w:rFonts w:asciiTheme="majorHAnsi" w:hAnsiTheme="majorHAnsi"/>
                <w:sz w:val="18"/>
                <w:szCs w:val="18"/>
              </w:rPr>
              <w:t>Carbon sequestration</w:t>
            </w:r>
          </w:p>
          <w:p w14:paraId="63A0482C" w14:textId="77777777" w:rsidR="00A11855" w:rsidRPr="006D63E5" w:rsidRDefault="00A11855" w:rsidP="00FD6B43">
            <w:pPr>
              <w:spacing w:after="0"/>
              <w:jc w:val="left"/>
              <w:rPr>
                <w:rFonts w:asciiTheme="majorHAnsi" w:hAnsiTheme="majorHAnsi"/>
                <w:sz w:val="18"/>
                <w:szCs w:val="18"/>
              </w:rPr>
            </w:pPr>
          </w:p>
        </w:tc>
      </w:tr>
      <w:tr w:rsidR="00A11855" w:rsidRPr="00080C28" w14:paraId="51E50061" w14:textId="77777777" w:rsidTr="00FD6B43">
        <w:tc>
          <w:tcPr>
            <w:tcW w:w="1260" w:type="dxa"/>
          </w:tcPr>
          <w:p w14:paraId="1AF19A98" w14:textId="77777777" w:rsidR="00A11855" w:rsidRPr="006D63E5" w:rsidRDefault="00A11855" w:rsidP="00FD6B43">
            <w:pPr>
              <w:spacing w:after="0"/>
              <w:rPr>
                <w:rFonts w:asciiTheme="majorHAnsi" w:hAnsiTheme="majorHAnsi"/>
                <w:sz w:val="18"/>
                <w:szCs w:val="18"/>
              </w:rPr>
            </w:pPr>
            <w:r w:rsidRPr="00DB6EB8">
              <w:rPr>
                <w:rFonts w:asciiTheme="majorHAnsi" w:hAnsiTheme="majorHAnsi"/>
                <w:sz w:val="18"/>
                <w:szCs w:val="18"/>
              </w:rPr>
              <w:t>Sustainable Fisheries</w:t>
            </w:r>
          </w:p>
        </w:tc>
        <w:tc>
          <w:tcPr>
            <w:tcW w:w="1800" w:type="dxa"/>
            <w:shd w:val="clear" w:color="auto" w:fill="auto"/>
          </w:tcPr>
          <w:p w14:paraId="41C46F78" w14:textId="77777777" w:rsidR="00A11855" w:rsidRPr="006D63E5" w:rsidRDefault="00A11855" w:rsidP="00FD6B43">
            <w:pPr>
              <w:spacing w:after="0"/>
              <w:rPr>
                <w:rFonts w:asciiTheme="majorHAnsi" w:hAnsiTheme="majorHAnsi"/>
                <w:sz w:val="18"/>
                <w:szCs w:val="18"/>
              </w:rPr>
            </w:pPr>
            <w:r w:rsidRPr="006D63E5">
              <w:rPr>
                <w:rFonts w:asciiTheme="majorHAnsi" w:hAnsiTheme="majorHAnsi"/>
                <w:sz w:val="18"/>
                <w:szCs w:val="18"/>
              </w:rPr>
              <w:t>Koror</w:t>
            </w:r>
          </w:p>
          <w:p w14:paraId="27F5158D" w14:textId="77777777" w:rsidR="00A11855" w:rsidRPr="006D63E5" w:rsidRDefault="00A11855" w:rsidP="00FD6B43">
            <w:pPr>
              <w:spacing w:after="0"/>
              <w:rPr>
                <w:rFonts w:asciiTheme="majorHAnsi" w:hAnsiTheme="majorHAnsi"/>
                <w:sz w:val="18"/>
                <w:szCs w:val="18"/>
              </w:rPr>
            </w:pPr>
            <w:r w:rsidRPr="006D63E5">
              <w:rPr>
                <w:rFonts w:asciiTheme="majorHAnsi" w:hAnsiTheme="majorHAnsi"/>
                <w:sz w:val="18"/>
                <w:szCs w:val="18"/>
              </w:rPr>
              <w:t>Peleliu</w:t>
            </w:r>
          </w:p>
          <w:p w14:paraId="00489C97" w14:textId="77777777" w:rsidR="00A11855" w:rsidRPr="006D63E5" w:rsidRDefault="00A11855" w:rsidP="00FD6B43">
            <w:pPr>
              <w:spacing w:after="0"/>
              <w:rPr>
                <w:rFonts w:asciiTheme="majorHAnsi" w:hAnsiTheme="majorHAnsi"/>
                <w:sz w:val="18"/>
                <w:szCs w:val="18"/>
              </w:rPr>
            </w:pPr>
            <w:r w:rsidRPr="006D63E5">
              <w:rPr>
                <w:rFonts w:asciiTheme="majorHAnsi" w:hAnsiTheme="majorHAnsi"/>
                <w:sz w:val="18"/>
                <w:szCs w:val="18"/>
              </w:rPr>
              <w:t>Ngarchelong</w:t>
            </w:r>
          </w:p>
          <w:p w14:paraId="7CAC0293" w14:textId="77777777" w:rsidR="00A11855" w:rsidRPr="006D63E5" w:rsidRDefault="00A11855" w:rsidP="00FD6B43">
            <w:pPr>
              <w:spacing w:after="0"/>
              <w:rPr>
                <w:rFonts w:asciiTheme="majorHAnsi" w:hAnsiTheme="majorHAnsi"/>
                <w:sz w:val="18"/>
                <w:szCs w:val="18"/>
              </w:rPr>
            </w:pPr>
            <w:r w:rsidRPr="006D63E5">
              <w:rPr>
                <w:rFonts w:asciiTheme="majorHAnsi" w:hAnsiTheme="majorHAnsi"/>
                <w:sz w:val="18"/>
                <w:szCs w:val="18"/>
              </w:rPr>
              <w:t>Ngardmau</w:t>
            </w:r>
          </w:p>
          <w:p w14:paraId="6DEBCAAC" w14:textId="77777777" w:rsidR="00A11855" w:rsidRPr="006D63E5" w:rsidRDefault="00A11855" w:rsidP="00FD6B43">
            <w:pPr>
              <w:spacing w:after="0"/>
              <w:rPr>
                <w:rFonts w:asciiTheme="majorHAnsi" w:hAnsiTheme="majorHAnsi"/>
                <w:sz w:val="18"/>
                <w:szCs w:val="18"/>
              </w:rPr>
            </w:pPr>
            <w:r w:rsidRPr="006D63E5">
              <w:rPr>
                <w:rFonts w:asciiTheme="majorHAnsi" w:hAnsiTheme="majorHAnsi"/>
                <w:sz w:val="18"/>
                <w:szCs w:val="18"/>
              </w:rPr>
              <w:t>Ngiwal</w:t>
            </w:r>
          </w:p>
        </w:tc>
        <w:tc>
          <w:tcPr>
            <w:tcW w:w="7110" w:type="dxa"/>
            <w:shd w:val="clear" w:color="auto" w:fill="auto"/>
          </w:tcPr>
          <w:p w14:paraId="09CB07B9" w14:textId="77777777" w:rsidR="00A11855" w:rsidRPr="006D63E5" w:rsidRDefault="00A11855" w:rsidP="00EA4043">
            <w:pPr>
              <w:pStyle w:val="ListParagraph"/>
              <w:numPr>
                <w:ilvl w:val="0"/>
                <w:numId w:val="70"/>
              </w:numPr>
              <w:contextualSpacing/>
              <w:rPr>
                <w:rFonts w:asciiTheme="majorHAnsi" w:hAnsiTheme="majorHAnsi"/>
                <w:sz w:val="18"/>
                <w:szCs w:val="18"/>
              </w:rPr>
            </w:pPr>
            <w:r w:rsidRPr="006D63E5">
              <w:rPr>
                <w:rFonts w:asciiTheme="majorHAnsi" w:hAnsiTheme="majorHAnsi"/>
                <w:sz w:val="18"/>
                <w:szCs w:val="18"/>
              </w:rPr>
              <w:t>Conversion from nearshore to offshore fisheries through cooperatives or responsibility and benefit sharing protocols</w:t>
            </w:r>
          </w:p>
          <w:p w14:paraId="4CF3F296" w14:textId="77777777" w:rsidR="00A11855" w:rsidRPr="006D63E5" w:rsidRDefault="00A11855" w:rsidP="00EA4043">
            <w:pPr>
              <w:pStyle w:val="ListParagraph"/>
              <w:numPr>
                <w:ilvl w:val="0"/>
                <w:numId w:val="70"/>
              </w:numPr>
              <w:contextualSpacing/>
              <w:rPr>
                <w:rFonts w:asciiTheme="majorHAnsi" w:hAnsiTheme="majorHAnsi"/>
                <w:sz w:val="18"/>
                <w:szCs w:val="18"/>
              </w:rPr>
            </w:pPr>
            <w:r w:rsidRPr="006D63E5">
              <w:rPr>
                <w:rFonts w:asciiTheme="majorHAnsi" w:hAnsiTheme="majorHAnsi"/>
                <w:sz w:val="18"/>
                <w:szCs w:val="18"/>
              </w:rPr>
              <w:t>Creation of new pricing and access regimes to reduce nearshore fishing</w:t>
            </w:r>
          </w:p>
          <w:p w14:paraId="45AE4F0A" w14:textId="77777777" w:rsidR="00A11855" w:rsidRPr="006D63E5" w:rsidRDefault="00A11855" w:rsidP="00EA4043">
            <w:pPr>
              <w:pStyle w:val="ListParagraph"/>
              <w:numPr>
                <w:ilvl w:val="0"/>
                <w:numId w:val="70"/>
              </w:numPr>
              <w:contextualSpacing/>
              <w:rPr>
                <w:rFonts w:asciiTheme="majorHAnsi" w:hAnsiTheme="majorHAnsi"/>
                <w:sz w:val="18"/>
                <w:szCs w:val="18"/>
              </w:rPr>
            </w:pPr>
            <w:r w:rsidRPr="006D63E5">
              <w:rPr>
                <w:rFonts w:asciiTheme="majorHAnsi" w:hAnsiTheme="majorHAnsi"/>
                <w:sz w:val="18"/>
                <w:szCs w:val="18"/>
              </w:rPr>
              <w:t>Actions to encourage increased local consumption of offshore fish (tuna)</w:t>
            </w:r>
          </w:p>
          <w:p w14:paraId="4B1B17B6" w14:textId="77777777" w:rsidR="00A11855" w:rsidRPr="006D63E5" w:rsidRDefault="00A11855" w:rsidP="00EA4043">
            <w:pPr>
              <w:pStyle w:val="ListParagraph"/>
              <w:numPr>
                <w:ilvl w:val="0"/>
                <w:numId w:val="70"/>
              </w:numPr>
              <w:contextualSpacing/>
              <w:rPr>
                <w:rFonts w:asciiTheme="majorHAnsi" w:hAnsiTheme="majorHAnsi"/>
                <w:sz w:val="18"/>
                <w:szCs w:val="18"/>
              </w:rPr>
            </w:pPr>
            <w:r w:rsidRPr="006D63E5">
              <w:rPr>
                <w:rFonts w:asciiTheme="majorHAnsi" w:hAnsiTheme="majorHAnsi"/>
                <w:sz w:val="18"/>
                <w:szCs w:val="18"/>
              </w:rPr>
              <w:t>Habitat restoration</w:t>
            </w:r>
          </w:p>
          <w:p w14:paraId="69697C3A" w14:textId="77777777" w:rsidR="00A11855" w:rsidRPr="006D63E5" w:rsidRDefault="00A11855" w:rsidP="00EA4043">
            <w:pPr>
              <w:pStyle w:val="ListParagraph"/>
              <w:numPr>
                <w:ilvl w:val="0"/>
                <w:numId w:val="70"/>
              </w:numPr>
              <w:contextualSpacing/>
              <w:rPr>
                <w:rFonts w:asciiTheme="majorHAnsi" w:hAnsiTheme="majorHAnsi"/>
                <w:sz w:val="18"/>
                <w:szCs w:val="18"/>
              </w:rPr>
            </w:pPr>
            <w:r w:rsidRPr="006D63E5">
              <w:rPr>
                <w:rFonts w:asciiTheme="majorHAnsi" w:hAnsiTheme="majorHAnsi"/>
                <w:sz w:val="18"/>
                <w:szCs w:val="18"/>
              </w:rPr>
              <w:t>Marine Protected Areas</w:t>
            </w:r>
          </w:p>
          <w:p w14:paraId="0ECFB87B" w14:textId="77777777" w:rsidR="00A11855" w:rsidRPr="006D63E5" w:rsidRDefault="00A11855" w:rsidP="00FD6B43">
            <w:pPr>
              <w:spacing w:after="0"/>
              <w:jc w:val="left"/>
              <w:rPr>
                <w:rFonts w:asciiTheme="majorHAnsi" w:hAnsiTheme="majorHAnsi"/>
                <w:sz w:val="18"/>
                <w:szCs w:val="18"/>
              </w:rPr>
            </w:pPr>
          </w:p>
        </w:tc>
      </w:tr>
    </w:tbl>
    <w:p w14:paraId="594C5DD5" w14:textId="77777777" w:rsidR="00A11855" w:rsidRPr="00080C28" w:rsidRDefault="00A11855" w:rsidP="00A11855">
      <w:pPr>
        <w:spacing w:after="160" w:line="259" w:lineRule="auto"/>
        <w:jc w:val="left"/>
        <w:rPr>
          <w:rFonts w:asciiTheme="majorHAnsi" w:hAnsiTheme="majorHAnsi"/>
          <w:b/>
          <w:sz w:val="18"/>
          <w:szCs w:val="18"/>
        </w:rPr>
      </w:pPr>
    </w:p>
    <w:p w14:paraId="61B890FD" w14:textId="77777777" w:rsidR="00A11855" w:rsidRPr="00080C28" w:rsidRDefault="00A11855" w:rsidP="00A11855">
      <w:pPr>
        <w:spacing w:after="160" w:line="259" w:lineRule="auto"/>
        <w:jc w:val="left"/>
        <w:rPr>
          <w:rFonts w:asciiTheme="majorHAnsi" w:eastAsia="Times New Roman" w:hAnsiTheme="majorHAnsi"/>
          <w:b/>
          <w:color w:val="000000"/>
          <w:sz w:val="18"/>
          <w:szCs w:val="18"/>
          <w:lang w:eastAsia="en-IN"/>
        </w:rPr>
      </w:pPr>
      <w:r w:rsidRPr="00080C28">
        <w:rPr>
          <w:rFonts w:asciiTheme="majorHAnsi" w:eastAsia="Times New Roman" w:hAnsiTheme="majorHAnsi"/>
          <w:b/>
          <w:color w:val="000000"/>
          <w:sz w:val="18"/>
          <w:szCs w:val="18"/>
          <w:lang w:eastAsia="en-IN"/>
        </w:rPr>
        <w:br w:type="page"/>
      </w:r>
    </w:p>
    <w:p w14:paraId="009F273C" w14:textId="77777777" w:rsidR="00A11855" w:rsidRDefault="00A11855" w:rsidP="00A11855">
      <w:pPr>
        <w:sectPr w:rsidR="00A11855" w:rsidSect="00FD6B43">
          <w:pgSz w:w="12240" w:h="15840"/>
          <w:pgMar w:top="1440" w:right="1800" w:bottom="1440" w:left="1800" w:header="720" w:footer="720" w:gutter="0"/>
          <w:cols w:space="720"/>
          <w:docGrid w:linePitch="360"/>
        </w:sectPr>
      </w:pPr>
    </w:p>
    <w:p w14:paraId="74B0DCCB" w14:textId="77777777" w:rsidR="00A11855" w:rsidRPr="006D63E5" w:rsidRDefault="00A11855" w:rsidP="00A11855">
      <w:pPr>
        <w:jc w:val="right"/>
        <w:rPr>
          <w:b/>
          <w:sz w:val="20"/>
          <w:szCs w:val="20"/>
        </w:rPr>
      </w:pPr>
      <w:r w:rsidRPr="006D63E5">
        <w:rPr>
          <w:b/>
          <w:sz w:val="20"/>
          <w:szCs w:val="20"/>
        </w:rPr>
        <w:t>Annex 4, Attachment 3</w:t>
      </w:r>
    </w:p>
    <w:p w14:paraId="40135A33" w14:textId="77777777" w:rsidR="00A11855" w:rsidRPr="006D63E5" w:rsidRDefault="00A11855" w:rsidP="00A11855">
      <w:pPr>
        <w:rPr>
          <w:sz w:val="20"/>
          <w:szCs w:val="20"/>
        </w:rPr>
      </w:pPr>
    </w:p>
    <w:p w14:paraId="41781EAF" w14:textId="1F1D12A1" w:rsidR="00A11855" w:rsidRPr="006D63E5" w:rsidRDefault="00A11855" w:rsidP="00A11855">
      <w:pPr>
        <w:spacing w:after="200"/>
        <w:contextualSpacing/>
        <w:jc w:val="center"/>
        <w:rPr>
          <w:b/>
          <w:sz w:val="20"/>
          <w:szCs w:val="20"/>
        </w:rPr>
      </w:pPr>
      <w:r w:rsidRPr="006D63E5">
        <w:rPr>
          <w:b/>
          <w:sz w:val="20"/>
          <w:szCs w:val="20"/>
        </w:rPr>
        <w:t>Typical Content of a State/Community-level Plan</w:t>
      </w:r>
    </w:p>
    <w:p w14:paraId="383DF658" w14:textId="77777777" w:rsidR="00A11855" w:rsidRPr="00384943" w:rsidRDefault="00A11855" w:rsidP="00A11855">
      <w:pPr>
        <w:spacing w:after="0"/>
        <w:contextualSpacing/>
        <w:rPr>
          <w:b/>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6917"/>
      </w:tblGrid>
      <w:tr w:rsidR="00A11855" w:rsidRPr="00384943" w14:paraId="5D63125B" w14:textId="77777777" w:rsidTr="00FD6B43">
        <w:tc>
          <w:tcPr>
            <w:tcW w:w="2325" w:type="dxa"/>
            <w:shd w:val="clear" w:color="auto" w:fill="C2D69B"/>
          </w:tcPr>
          <w:p w14:paraId="3C204E7C" w14:textId="77777777" w:rsidR="00A11855" w:rsidRPr="006D63E5" w:rsidRDefault="00A11855" w:rsidP="00FD6B43">
            <w:pPr>
              <w:spacing w:after="0"/>
              <w:contextualSpacing/>
              <w:jc w:val="left"/>
              <w:rPr>
                <w:b/>
                <w:sz w:val="18"/>
                <w:szCs w:val="18"/>
              </w:rPr>
            </w:pPr>
            <w:r w:rsidRPr="006D63E5">
              <w:rPr>
                <w:b/>
                <w:sz w:val="18"/>
                <w:szCs w:val="18"/>
              </w:rPr>
              <w:t>Key Features</w:t>
            </w:r>
          </w:p>
        </w:tc>
        <w:tc>
          <w:tcPr>
            <w:tcW w:w="6917" w:type="dxa"/>
            <w:shd w:val="clear" w:color="auto" w:fill="C2D69B"/>
          </w:tcPr>
          <w:p w14:paraId="3E6FAD95" w14:textId="77777777" w:rsidR="00A11855" w:rsidRPr="006D63E5" w:rsidRDefault="00A11855" w:rsidP="00FD6B43">
            <w:pPr>
              <w:spacing w:after="0"/>
              <w:contextualSpacing/>
              <w:jc w:val="center"/>
              <w:rPr>
                <w:b/>
                <w:sz w:val="18"/>
                <w:szCs w:val="18"/>
              </w:rPr>
            </w:pPr>
            <w:r w:rsidRPr="006D63E5">
              <w:rPr>
                <w:b/>
                <w:sz w:val="18"/>
                <w:szCs w:val="18"/>
              </w:rPr>
              <w:t>Description</w:t>
            </w:r>
          </w:p>
        </w:tc>
      </w:tr>
      <w:tr w:rsidR="00A11855" w:rsidRPr="00384943" w14:paraId="5A45BD43" w14:textId="77777777" w:rsidTr="00FD6B43">
        <w:tc>
          <w:tcPr>
            <w:tcW w:w="2325" w:type="dxa"/>
            <w:shd w:val="clear" w:color="auto" w:fill="auto"/>
          </w:tcPr>
          <w:p w14:paraId="3CC4161C" w14:textId="77777777" w:rsidR="00A11855" w:rsidRPr="00080C28" w:rsidRDefault="00A11855" w:rsidP="00FD6B43">
            <w:pPr>
              <w:spacing w:after="0"/>
              <w:contextualSpacing/>
              <w:jc w:val="left"/>
              <w:rPr>
                <w:sz w:val="18"/>
                <w:szCs w:val="18"/>
              </w:rPr>
            </w:pPr>
            <w:r w:rsidRPr="00080C28">
              <w:rPr>
                <w:sz w:val="18"/>
                <w:szCs w:val="18"/>
              </w:rPr>
              <w:t>Project Description</w:t>
            </w:r>
          </w:p>
        </w:tc>
        <w:tc>
          <w:tcPr>
            <w:tcW w:w="6917" w:type="dxa"/>
            <w:shd w:val="clear" w:color="auto" w:fill="auto"/>
          </w:tcPr>
          <w:p w14:paraId="4990FCF9" w14:textId="77777777" w:rsidR="00A11855" w:rsidRPr="00080C28" w:rsidRDefault="00A11855" w:rsidP="00FD6B43">
            <w:pPr>
              <w:spacing w:after="0"/>
              <w:contextualSpacing/>
              <w:rPr>
                <w:sz w:val="18"/>
                <w:szCs w:val="18"/>
              </w:rPr>
            </w:pPr>
            <w:r w:rsidRPr="00080C28">
              <w:rPr>
                <w:sz w:val="18"/>
                <w:szCs w:val="18"/>
              </w:rPr>
              <w:t>Location, purpose, sector, and general description</w:t>
            </w:r>
          </w:p>
        </w:tc>
      </w:tr>
      <w:tr w:rsidR="00A11855" w:rsidRPr="00384943" w14:paraId="13524DF2" w14:textId="77777777" w:rsidTr="00FD6B43">
        <w:trPr>
          <w:trHeight w:val="413"/>
        </w:trPr>
        <w:tc>
          <w:tcPr>
            <w:tcW w:w="2325" w:type="dxa"/>
            <w:shd w:val="clear" w:color="auto" w:fill="auto"/>
          </w:tcPr>
          <w:p w14:paraId="407AA741" w14:textId="77777777" w:rsidR="00A11855" w:rsidRPr="00080C28" w:rsidRDefault="00A11855" w:rsidP="00FD6B43">
            <w:pPr>
              <w:spacing w:after="0"/>
              <w:contextualSpacing/>
              <w:jc w:val="left"/>
              <w:rPr>
                <w:sz w:val="18"/>
                <w:szCs w:val="18"/>
              </w:rPr>
            </w:pPr>
            <w:r w:rsidRPr="00080C28">
              <w:rPr>
                <w:sz w:val="18"/>
                <w:szCs w:val="18"/>
              </w:rPr>
              <w:t>Objectives</w:t>
            </w:r>
          </w:p>
        </w:tc>
        <w:tc>
          <w:tcPr>
            <w:tcW w:w="6917" w:type="dxa"/>
            <w:shd w:val="clear" w:color="auto" w:fill="auto"/>
          </w:tcPr>
          <w:p w14:paraId="3C6F4261" w14:textId="77777777" w:rsidR="00A11855" w:rsidRPr="00080C28" w:rsidRDefault="00A11855" w:rsidP="00FD6B43">
            <w:pPr>
              <w:spacing w:after="0"/>
              <w:contextualSpacing/>
              <w:rPr>
                <w:sz w:val="18"/>
                <w:szCs w:val="18"/>
              </w:rPr>
            </w:pPr>
            <w:r w:rsidRPr="00080C28">
              <w:rPr>
                <w:sz w:val="18"/>
                <w:szCs w:val="18"/>
              </w:rPr>
              <w:t>SMART Objectives for how the activity is aligned to the State’s Plans and to national level policies, goals, and guidelines.</w:t>
            </w:r>
          </w:p>
        </w:tc>
      </w:tr>
      <w:tr w:rsidR="00A11855" w:rsidRPr="00384943" w14:paraId="73DE056B" w14:textId="77777777" w:rsidTr="00FD6B43">
        <w:tc>
          <w:tcPr>
            <w:tcW w:w="2325" w:type="dxa"/>
            <w:shd w:val="clear" w:color="auto" w:fill="auto"/>
          </w:tcPr>
          <w:p w14:paraId="5784F40F" w14:textId="77777777" w:rsidR="00A11855" w:rsidRPr="00080C28" w:rsidRDefault="00A11855" w:rsidP="00FD6B43">
            <w:pPr>
              <w:spacing w:after="0"/>
              <w:contextualSpacing/>
              <w:jc w:val="left"/>
              <w:rPr>
                <w:sz w:val="18"/>
                <w:szCs w:val="18"/>
              </w:rPr>
            </w:pPr>
            <w:r w:rsidRPr="00080C28">
              <w:rPr>
                <w:sz w:val="18"/>
                <w:szCs w:val="18"/>
              </w:rPr>
              <w:t>Indicators of success</w:t>
            </w:r>
          </w:p>
        </w:tc>
        <w:tc>
          <w:tcPr>
            <w:tcW w:w="6917" w:type="dxa"/>
            <w:shd w:val="clear" w:color="auto" w:fill="auto"/>
          </w:tcPr>
          <w:p w14:paraId="2293D7AA" w14:textId="77777777" w:rsidR="00A11855" w:rsidRPr="00080C28" w:rsidRDefault="00A11855" w:rsidP="00FD6B43">
            <w:pPr>
              <w:spacing w:after="0"/>
              <w:contextualSpacing/>
              <w:rPr>
                <w:sz w:val="18"/>
                <w:szCs w:val="18"/>
              </w:rPr>
            </w:pPr>
            <w:r w:rsidRPr="00080C28">
              <w:rPr>
                <w:sz w:val="18"/>
                <w:szCs w:val="18"/>
              </w:rPr>
              <w:t>Proposed social, environmental, and cultural indicators</w:t>
            </w:r>
          </w:p>
          <w:p w14:paraId="1CC56409" w14:textId="77777777" w:rsidR="00A11855" w:rsidRPr="00080C28" w:rsidRDefault="00A11855" w:rsidP="00FD6B43">
            <w:pPr>
              <w:spacing w:after="0"/>
              <w:contextualSpacing/>
              <w:rPr>
                <w:sz w:val="18"/>
                <w:szCs w:val="18"/>
              </w:rPr>
            </w:pPr>
            <w:r w:rsidRPr="00080C28">
              <w:rPr>
                <w:sz w:val="18"/>
                <w:szCs w:val="18"/>
              </w:rPr>
              <w:t>Process-based indicators and the plan for monitoring (including community involvement)</w:t>
            </w:r>
          </w:p>
          <w:p w14:paraId="5B9B677D" w14:textId="77777777" w:rsidR="00A11855" w:rsidRPr="00080C28" w:rsidRDefault="00A11855" w:rsidP="00FD6B43">
            <w:pPr>
              <w:spacing w:after="0"/>
              <w:contextualSpacing/>
              <w:rPr>
                <w:sz w:val="18"/>
                <w:szCs w:val="18"/>
              </w:rPr>
            </w:pPr>
            <w:r w:rsidRPr="00080C28">
              <w:rPr>
                <w:sz w:val="18"/>
                <w:szCs w:val="18"/>
              </w:rPr>
              <w:t xml:space="preserve">Alignment with Project Results Framework  </w:t>
            </w:r>
          </w:p>
        </w:tc>
      </w:tr>
      <w:tr w:rsidR="00A11855" w:rsidRPr="00384943" w14:paraId="2209BAB7" w14:textId="77777777" w:rsidTr="00FD6B43">
        <w:tc>
          <w:tcPr>
            <w:tcW w:w="2325" w:type="dxa"/>
            <w:shd w:val="clear" w:color="auto" w:fill="auto"/>
          </w:tcPr>
          <w:p w14:paraId="2782C000" w14:textId="77777777" w:rsidR="00A11855" w:rsidRPr="00080C28" w:rsidRDefault="00A11855" w:rsidP="00FD6B43">
            <w:pPr>
              <w:spacing w:after="0"/>
              <w:contextualSpacing/>
              <w:jc w:val="left"/>
              <w:rPr>
                <w:sz w:val="18"/>
                <w:szCs w:val="18"/>
              </w:rPr>
            </w:pPr>
            <w:r w:rsidRPr="00080C28">
              <w:rPr>
                <w:sz w:val="18"/>
                <w:szCs w:val="18"/>
              </w:rPr>
              <w:t>Detailed Activities and Costs</w:t>
            </w:r>
          </w:p>
        </w:tc>
        <w:tc>
          <w:tcPr>
            <w:tcW w:w="6917" w:type="dxa"/>
            <w:shd w:val="clear" w:color="auto" w:fill="auto"/>
          </w:tcPr>
          <w:p w14:paraId="5E0C89A7" w14:textId="77777777" w:rsidR="00A11855" w:rsidRPr="00080C28" w:rsidRDefault="00A11855" w:rsidP="00FD6B43">
            <w:pPr>
              <w:spacing w:after="0"/>
              <w:contextualSpacing/>
              <w:rPr>
                <w:sz w:val="18"/>
                <w:szCs w:val="18"/>
              </w:rPr>
            </w:pPr>
            <w:r w:rsidRPr="00080C28">
              <w:rPr>
                <w:sz w:val="18"/>
                <w:szCs w:val="18"/>
              </w:rPr>
              <w:t>Activity list, cost-sharing with community and other state and national schemes, project financing requirements, timing of activities, technical assistance and training needs</w:t>
            </w:r>
          </w:p>
        </w:tc>
      </w:tr>
      <w:tr w:rsidR="00A11855" w:rsidRPr="00384943" w14:paraId="312DB086" w14:textId="77777777" w:rsidTr="00FD6B43">
        <w:trPr>
          <w:trHeight w:val="107"/>
        </w:trPr>
        <w:tc>
          <w:tcPr>
            <w:tcW w:w="2325" w:type="dxa"/>
            <w:shd w:val="clear" w:color="auto" w:fill="auto"/>
          </w:tcPr>
          <w:p w14:paraId="6A4CB94C" w14:textId="77777777" w:rsidR="00A11855" w:rsidRPr="00080C28" w:rsidRDefault="00A11855" w:rsidP="00FD6B43">
            <w:pPr>
              <w:spacing w:after="0"/>
              <w:contextualSpacing/>
              <w:jc w:val="left"/>
              <w:rPr>
                <w:sz w:val="18"/>
                <w:szCs w:val="18"/>
              </w:rPr>
            </w:pPr>
            <w:r w:rsidRPr="00080C28">
              <w:rPr>
                <w:sz w:val="18"/>
                <w:szCs w:val="18"/>
              </w:rPr>
              <w:t>Benefit distribution and access to resources</w:t>
            </w:r>
          </w:p>
        </w:tc>
        <w:tc>
          <w:tcPr>
            <w:tcW w:w="6917" w:type="dxa"/>
            <w:shd w:val="clear" w:color="auto" w:fill="auto"/>
          </w:tcPr>
          <w:p w14:paraId="1C6D8901" w14:textId="77777777" w:rsidR="00A11855" w:rsidRPr="00080C28" w:rsidRDefault="00A11855" w:rsidP="00FD6B43">
            <w:pPr>
              <w:spacing w:after="0"/>
              <w:contextualSpacing/>
              <w:rPr>
                <w:sz w:val="18"/>
                <w:szCs w:val="18"/>
              </w:rPr>
            </w:pPr>
            <w:r w:rsidRPr="00080C28">
              <w:rPr>
                <w:sz w:val="18"/>
                <w:szCs w:val="18"/>
              </w:rPr>
              <w:t xml:space="preserve">Expected benefits and distribution modalities, resource use rights and concessions </w:t>
            </w:r>
          </w:p>
        </w:tc>
      </w:tr>
      <w:tr w:rsidR="00A11855" w:rsidRPr="00384943" w14:paraId="79B83DA6" w14:textId="77777777" w:rsidTr="00FD6B43">
        <w:trPr>
          <w:trHeight w:val="107"/>
        </w:trPr>
        <w:tc>
          <w:tcPr>
            <w:tcW w:w="2325" w:type="dxa"/>
            <w:shd w:val="clear" w:color="auto" w:fill="auto"/>
          </w:tcPr>
          <w:p w14:paraId="40D9D142" w14:textId="77777777" w:rsidR="00A11855" w:rsidRPr="00080C28" w:rsidRDefault="00A11855" w:rsidP="00FD6B43">
            <w:pPr>
              <w:spacing w:after="0"/>
              <w:contextualSpacing/>
              <w:jc w:val="left"/>
              <w:rPr>
                <w:sz w:val="18"/>
                <w:szCs w:val="18"/>
              </w:rPr>
            </w:pPr>
            <w:r w:rsidRPr="00080C28">
              <w:rPr>
                <w:sz w:val="18"/>
                <w:szCs w:val="18"/>
              </w:rPr>
              <w:t>Gender and Social Mainstreaming</w:t>
            </w:r>
          </w:p>
        </w:tc>
        <w:tc>
          <w:tcPr>
            <w:tcW w:w="6917" w:type="dxa"/>
            <w:shd w:val="clear" w:color="auto" w:fill="auto"/>
          </w:tcPr>
          <w:p w14:paraId="7F3D9CE0" w14:textId="77777777" w:rsidR="00A11855" w:rsidRPr="00080C28" w:rsidRDefault="00A11855" w:rsidP="00FD6B43">
            <w:pPr>
              <w:spacing w:after="0"/>
              <w:contextualSpacing/>
              <w:rPr>
                <w:sz w:val="18"/>
                <w:szCs w:val="18"/>
              </w:rPr>
            </w:pPr>
            <w:r w:rsidRPr="00080C28">
              <w:rPr>
                <w:sz w:val="18"/>
                <w:szCs w:val="18"/>
              </w:rPr>
              <w:t>Description of mainstreaming in accordance with Gender and Socially-inclusive Mainstreaming Action Plan</w:t>
            </w:r>
          </w:p>
        </w:tc>
      </w:tr>
      <w:tr w:rsidR="00A11855" w:rsidRPr="00384943" w14:paraId="14703A22" w14:textId="77777777" w:rsidTr="00FD6B43">
        <w:tc>
          <w:tcPr>
            <w:tcW w:w="2325" w:type="dxa"/>
            <w:shd w:val="clear" w:color="auto" w:fill="auto"/>
          </w:tcPr>
          <w:p w14:paraId="2C22084F" w14:textId="77777777" w:rsidR="00A11855" w:rsidRPr="00080C28" w:rsidRDefault="00A11855" w:rsidP="00FD6B43">
            <w:pPr>
              <w:spacing w:after="0"/>
              <w:contextualSpacing/>
              <w:jc w:val="left"/>
              <w:rPr>
                <w:sz w:val="18"/>
                <w:szCs w:val="18"/>
              </w:rPr>
            </w:pPr>
            <w:r w:rsidRPr="00080C28">
              <w:rPr>
                <w:sz w:val="18"/>
                <w:szCs w:val="18"/>
              </w:rPr>
              <w:t>Authorities and responsibilities</w:t>
            </w:r>
          </w:p>
        </w:tc>
        <w:tc>
          <w:tcPr>
            <w:tcW w:w="6917" w:type="dxa"/>
            <w:shd w:val="clear" w:color="auto" w:fill="auto"/>
          </w:tcPr>
          <w:p w14:paraId="30A5940B" w14:textId="77777777" w:rsidR="00A11855" w:rsidRPr="00080C28" w:rsidRDefault="00A11855" w:rsidP="00FD6B43">
            <w:pPr>
              <w:spacing w:after="0"/>
              <w:contextualSpacing/>
              <w:rPr>
                <w:sz w:val="18"/>
                <w:szCs w:val="18"/>
              </w:rPr>
            </w:pPr>
            <w:r w:rsidRPr="00080C28">
              <w:rPr>
                <w:sz w:val="18"/>
                <w:szCs w:val="18"/>
              </w:rPr>
              <w:t>Individual responsibilities for implementation, management of funds and reporting, and oversight</w:t>
            </w:r>
          </w:p>
          <w:p w14:paraId="5B2D3F90" w14:textId="77777777" w:rsidR="00A11855" w:rsidRPr="00080C28" w:rsidRDefault="00A11855" w:rsidP="00FD6B43">
            <w:pPr>
              <w:spacing w:after="0"/>
              <w:contextualSpacing/>
              <w:rPr>
                <w:sz w:val="18"/>
                <w:szCs w:val="18"/>
              </w:rPr>
            </w:pPr>
            <w:r w:rsidRPr="00080C28">
              <w:rPr>
                <w:sz w:val="18"/>
                <w:szCs w:val="18"/>
              </w:rPr>
              <w:t>Community groups and member involvement</w:t>
            </w:r>
          </w:p>
          <w:p w14:paraId="71EC61C8" w14:textId="77777777" w:rsidR="00A11855" w:rsidRPr="00080C28" w:rsidRDefault="00A11855" w:rsidP="00FD6B43">
            <w:pPr>
              <w:spacing w:after="0"/>
              <w:contextualSpacing/>
              <w:rPr>
                <w:sz w:val="18"/>
                <w:szCs w:val="18"/>
              </w:rPr>
            </w:pPr>
            <w:r w:rsidRPr="00080C28">
              <w:rPr>
                <w:sz w:val="18"/>
                <w:szCs w:val="18"/>
              </w:rPr>
              <w:t>Plan for getting community involved</w:t>
            </w:r>
          </w:p>
        </w:tc>
      </w:tr>
      <w:tr w:rsidR="00A11855" w:rsidRPr="00384943" w14:paraId="56C40474" w14:textId="77777777" w:rsidTr="00FD6B43">
        <w:tc>
          <w:tcPr>
            <w:tcW w:w="2325" w:type="dxa"/>
            <w:shd w:val="clear" w:color="auto" w:fill="auto"/>
          </w:tcPr>
          <w:p w14:paraId="3072E339" w14:textId="77777777" w:rsidR="00A11855" w:rsidRPr="00080C28" w:rsidRDefault="00A11855" w:rsidP="00FD6B43">
            <w:pPr>
              <w:spacing w:after="0"/>
              <w:contextualSpacing/>
              <w:jc w:val="left"/>
              <w:rPr>
                <w:sz w:val="18"/>
                <w:szCs w:val="18"/>
              </w:rPr>
            </w:pPr>
            <w:r w:rsidRPr="00080C28">
              <w:rPr>
                <w:sz w:val="18"/>
                <w:szCs w:val="18"/>
              </w:rPr>
              <w:t>Implementation Schedule</w:t>
            </w:r>
          </w:p>
        </w:tc>
        <w:tc>
          <w:tcPr>
            <w:tcW w:w="6917" w:type="dxa"/>
            <w:shd w:val="clear" w:color="auto" w:fill="auto"/>
          </w:tcPr>
          <w:p w14:paraId="4283D660" w14:textId="77777777" w:rsidR="00A11855" w:rsidRPr="00080C28" w:rsidRDefault="00A11855" w:rsidP="00FD6B43">
            <w:pPr>
              <w:spacing w:after="0"/>
              <w:contextualSpacing/>
              <w:rPr>
                <w:sz w:val="18"/>
                <w:szCs w:val="18"/>
              </w:rPr>
            </w:pPr>
            <w:r w:rsidRPr="00080C28">
              <w:rPr>
                <w:sz w:val="18"/>
                <w:szCs w:val="18"/>
              </w:rPr>
              <w:t>Schedule of delivery of inputs and implementation, schedule of review meetings and monitoring</w:t>
            </w:r>
          </w:p>
        </w:tc>
      </w:tr>
      <w:tr w:rsidR="00A11855" w:rsidRPr="00384943" w14:paraId="0975D38A" w14:textId="77777777" w:rsidTr="00FD6B43">
        <w:tc>
          <w:tcPr>
            <w:tcW w:w="2325" w:type="dxa"/>
            <w:shd w:val="clear" w:color="auto" w:fill="auto"/>
          </w:tcPr>
          <w:p w14:paraId="38EBBF57" w14:textId="77777777" w:rsidR="00A11855" w:rsidRPr="00080C28" w:rsidRDefault="00A11855" w:rsidP="00FD6B43">
            <w:pPr>
              <w:spacing w:after="0"/>
              <w:contextualSpacing/>
              <w:jc w:val="left"/>
              <w:rPr>
                <w:sz w:val="18"/>
                <w:szCs w:val="18"/>
              </w:rPr>
            </w:pPr>
            <w:r w:rsidRPr="00080C28">
              <w:rPr>
                <w:sz w:val="18"/>
                <w:szCs w:val="18"/>
              </w:rPr>
              <w:t>Dissemination and Communication</w:t>
            </w:r>
          </w:p>
        </w:tc>
        <w:tc>
          <w:tcPr>
            <w:tcW w:w="6917" w:type="dxa"/>
            <w:shd w:val="clear" w:color="auto" w:fill="auto"/>
          </w:tcPr>
          <w:p w14:paraId="47184758" w14:textId="77777777" w:rsidR="00A11855" w:rsidRPr="00080C28" w:rsidRDefault="00A11855" w:rsidP="00FD6B43">
            <w:pPr>
              <w:spacing w:after="0"/>
              <w:contextualSpacing/>
              <w:rPr>
                <w:sz w:val="18"/>
                <w:szCs w:val="18"/>
              </w:rPr>
            </w:pPr>
            <w:r w:rsidRPr="00080C28">
              <w:rPr>
                <w:sz w:val="18"/>
                <w:szCs w:val="18"/>
              </w:rPr>
              <w:t>Communication arrangements within village committees, arrangements for dissemination of results and experiences, etc.</w:t>
            </w:r>
          </w:p>
        </w:tc>
      </w:tr>
      <w:tr w:rsidR="00A11855" w:rsidRPr="00384943" w14:paraId="7647C831" w14:textId="77777777" w:rsidTr="00FD6B43">
        <w:tc>
          <w:tcPr>
            <w:tcW w:w="2325" w:type="dxa"/>
            <w:shd w:val="clear" w:color="auto" w:fill="auto"/>
          </w:tcPr>
          <w:p w14:paraId="0840FD13" w14:textId="77777777" w:rsidR="00A11855" w:rsidRPr="00080C28" w:rsidRDefault="00A11855" w:rsidP="00FD6B43">
            <w:pPr>
              <w:spacing w:after="0"/>
              <w:contextualSpacing/>
              <w:jc w:val="left"/>
              <w:rPr>
                <w:sz w:val="18"/>
                <w:szCs w:val="18"/>
              </w:rPr>
            </w:pPr>
            <w:r w:rsidRPr="00080C28">
              <w:rPr>
                <w:sz w:val="18"/>
                <w:szCs w:val="18"/>
              </w:rPr>
              <w:t>Conflict Resolution</w:t>
            </w:r>
          </w:p>
        </w:tc>
        <w:tc>
          <w:tcPr>
            <w:tcW w:w="6917" w:type="dxa"/>
            <w:shd w:val="clear" w:color="auto" w:fill="auto"/>
          </w:tcPr>
          <w:p w14:paraId="40396E43" w14:textId="77777777" w:rsidR="00A11855" w:rsidRPr="00080C28" w:rsidRDefault="00A11855" w:rsidP="00FD6B43">
            <w:pPr>
              <w:spacing w:after="0"/>
              <w:contextualSpacing/>
              <w:rPr>
                <w:sz w:val="18"/>
                <w:szCs w:val="18"/>
              </w:rPr>
            </w:pPr>
            <w:r w:rsidRPr="00080C28">
              <w:rPr>
                <w:sz w:val="18"/>
                <w:szCs w:val="18"/>
              </w:rPr>
              <w:t>Procedures for management of conflict between community members, between village committees, between village committees and forest department, etc.</w:t>
            </w:r>
          </w:p>
        </w:tc>
      </w:tr>
      <w:tr w:rsidR="00A11855" w:rsidRPr="00B616C5" w14:paraId="2C6CFD94" w14:textId="77777777" w:rsidTr="00FD6B43">
        <w:tc>
          <w:tcPr>
            <w:tcW w:w="2325" w:type="dxa"/>
            <w:shd w:val="clear" w:color="auto" w:fill="auto"/>
          </w:tcPr>
          <w:p w14:paraId="3AD8076C" w14:textId="77777777" w:rsidR="00A11855" w:rsidRPr="00080C28" w:rsidRDefault="00A11855" w:rsidP="00FD6B43">
            <w:pPr>
              <w:spacing w:after="0"/>
              <w:contextualSpacing/>
              <w:jc w:val="left"/>
              <w:rPr>
                <w:sz w:val="18"/>
                <w:szCs w:val="18"/>
              </w:rPr>
            </w:pPr>
            <w:r w:rsidRPr="00080C28">
              <w:rPr>
                <w:sz w:val="18"/>
                <w:szCs w:val="18"/>
              </w:rPr>
              <w:t>Capacity building</w:t>
            </w:r>
          </w:p>
        </w:tc>
        <w:tc>
          <w:tcPr>
            <w:tcW w:w="6917" w:type="dxa"/>
            <w:shd w:val="clear" w:color="auto" w:fill="auto"/>
          </w:tcPr>
          <w:p w14:paraId="0CA18B63" w14:textId="77777777" w:rsidR="00A11855" w:rsidRPr="00080C28" w:rsidRDefault="00A11855" w:rsidP="00FD6B43">
            <w:pPr>
              <w:spacing w:after="0"/>
              <w:contextualSpacing/>
              <w:rPr>
                <w:sz w:val="18"/>
                <w:szCs w:val="18"/>
              </w:rPr>
            </w:pPr>
            <w:r w:rsidRPr="00080C28">
              <w:rPr>
                <w:sz w:val="18"/>
                <w:szCs w:val="18"/>
              </w:rPr>
              <w:t>Training and capacity building plan for before, during, and after the activity</w:t>
            </w:r>
          </w:p>
        </w:tc>
      </w:tr>
    </w:tbl>
    <w:p w14:paraId="6C48DB79" w14:textId="77777777" w:rsidR="00A11855" w:rsidRPr="00FE1D65" w:rsidRDefault="00A11855" w:rsidP="00A11855">
      <w:pPr>
        <w:spacing w:after="0"/>
        <w:contextualSpacing/>
        <w:rPr>
          <w:szCs w:val="20"/>
        </w:rPr>
      </w:pPr>
    </w:p>
    <w:p w14:paraId="4218A073" w14:textId="77777777" w:rsidR="00A11855" w:rsidRPr="005C4CC0" w:rsidRDefault="00A11855" w:rsidP="00A11855"/>
    <w:p w14:paraId="37FB5DF5" w14:textId="77777777" w:rsidR="000D2499" w:rsidRDefault="000D2499" w:rsidP="005E63BE">
      <w:pPr>
        <w:jc w:val="center"/>
        <w:rPr>
          <w:rFonts w:asciiTheme="majorHAnsi" w:hAnsiTheme="majorHAnsi"/>
          <w:b/>
          <w:szCs w:val="20"/>
        </w:rPr>
        <w:sectPr w:rsidR="000D2499" w:rsidSect="00F20987">
          <w:pgSz w:w="12240" w:h="15840" w:code="1"/>
          <w:pgMar w:top="1440" w:right="1440" w:bottom="1440" w:left="1440" w:header="720" w:footer="720" w:gutter="0"/>
          <w:cols w:space="720"/>
          <w:docGrid w:linePitch="360"/>
        </w:sectPr>
      </w:pPr>
    </w:p>
    <w:p w14:paraId="415064B5" w14:textId="77777777" w:rsidR="000D2499" w:rsidRPr="006D63E5" w:rsidRDefault="000D2499" w:rsidP="000D2499">
      <w:pPr>
        <w:jc w:val="right"/>
        <w:rPr>
          <w:rFonts w:asciiTheme="majorHAnsi" w:hAnsiTheme="majorHAnsi"/>
          <w:b/>
          <w:sz w:val="20"/>
          <w:szCs w:val="20"/>
        </w:rPr>
      </w:pPr>
      <w:r w:rsidRPr="006D63E5">
        <w:rPr>
          <w:rFonts w:asciiTheme="majorHAnsi" w:hAnsiTheme="majorHAnsi"/>
          <w:b/>
          <w:sz w:val="20"/>
          <w:szCs w:val="20"/>
        </w:rPr>
        <w:t>Annex 5</w:t>
      </w:r>
    </w:p>
    <w:p w14:paraId="44345263" w14:textId="77777777" w:rsidR="000D2499" w:rsidRPr="006D63E5" w:rsidRDefault="000D2499" w:rsidP="000D2499">
      <w:pPr>
        <w:jc w:val="center"/>
        <w:rPr>
          <w:rFonts w:asciiTheme="majorHAnsi" w:hAnsiTheme="majorHAnsi"/>
          <w:b/>
          <w:sz w:val="20"/>
          <w:szCs w:val="20"/>
        </w:rPr>
      </w:pPr>
    </w:p>
    <w:p w14:paraId="2649899E" w14:textId="10B5C521" w:rsidR="000D2499" w:rsidRPr="006D63E5" w:rsidRDefault="000D2499" w:rsidP="000D2499">
      <w:pPr>
        <w:jc w:val="center"/>
        <w:rPr>
          <w:rFonts w:asciiTheme="majorHAnsi" w:hAnsiTheme="majorHAnsi"/>
          <w:b/>
          <w:sz w:val="20"/>
          <w:szCs w:val="20"/>
        </w:rPr>
      </w:pPr>
      <w:r w:rsidRPr="006D63E5">
        <w:rPr>
          <w:rFonts w:asciiTheme="majorHAnsi" w:hAnsiTheme="majorHAnsi"/>
          <w:b/>
          <w:sz w:val="20"/>
          <w:szCs w:val="20"/>
        </w:rPr>
        <w:t>Gender Analysis and Mainstreaming Action Plan (and other Vulnerable Populations)</w:t>
      </w:r>
    </w:p>
    <w:p w14:paraId="6E312A38" w14:textId="77777777" w:rsidR="000D2499" w:rsidRPr="006D63E5" w:rsidRDefault="000D2499" w:rsidP="000D2499">
      <w:pPr>
        <w:rPr>
          <w:rFonts w:asciiTheme="majorHAnsi" w:hAnsiTheme="majorHAnsi"/>
          <w:b/>
          <w:sz w:val="20"/>
          <w:szCs w:val="20"/>
        </w:rPr>
      </w:pPr>
      <w:r w:rsidRPr="006D63E5">
        <w:rPr>
          <w:rFonts w:asciiTheme="majorHAnsi" w:hAnsiTheme="majorHAnsi"/>
          <w:b/>
          <w:sz w:val="20"/>
          <w:szCs w:val="20"/>
        </w:rPr>
        <w:t>Methods</w:t>
      </w:r>
    </w:p>
    <w:p w14:paraId="6F2D8C8B" w14:textId="77777777" w:rsidR="000D2499" w:rsidRPr="006D63E5" w:rsidRDefault="000D2499" w:rsidP="000D2499">
      <w:pPr>
        <w:rPr>
          <w:rFonts w:asciiTheme="majorHAnsi" w:hAnsiTheme="majorHAnsi"/>
          <w:sz w:val="20"/>
          <w:szCs w:val="20"/>
        </w:rPr>
      </w:pPr>
      <w:r w:rsidRPr="006D63E5">
        <w:rPr>
          <w:rFonts w:asciiTheme="majorHAnsi" w:hAnsiTheme="majorHAnsi"/>
          <w:sz w:val="20"/>
          <w:szCs w:val="20"/>
        </w:rPr>
        <w:t>This Gender Analysis was completed in May 2017 by a foreign female consultant with extensive knowledge of Palau. Methods included 1) a literature review, 2) Key Informant interviews, 3) Collection of gender disaggregated data through anonymous surveys, one-on-one questions, small group meetings, and by addition of gender-related questions to the Landscape/Seascape Capacity Scorecard and Biosecurity Capacity Scorecard, and 4) a larger National focal group meeting. There were 18 participants in the focal group meeting; 5 were men and 13 were women. Key Informants were 3 women</w:t>
      </w:r>
      <w:r w:rsidRPr="00DB6EB8">
        <w:rPr>
          <w:rStyle w:val="FootnoteReference"/>
          <w:rFonts w:asciiTheme="majorHAnsi" w:hAnsiTheme="majorHAnsi"/>
          <w:sz w:val="20"/>
          <w:szCs w:val="20"/>
        </w:rPr>
        <w:footnoteReference w:id="34"/>
      </w:r>
      <w:r w:rsidRPr="006D63E5">
        <w:rPr>
          <w:rFonts w:asciiTheme="majorHAnsi" w:hAnsiTheme="majorHAnsi"/>
          <w:sz w:val="20"/>
          <w:szCs w:val="20"/>
        </w:rPr>
        <w:t>. 14 men and 21 women contributed data on gender disaggregated indicators.</w:t>
      </w:r>
    </w:p>
    <w:p w14:paraId="4175A768" w14:textId="77777777" w:rsidR="000D2499" w:rsidRPr="006D63E5" w:rsidRDefault="000D2499" w:rsidP="000D2499">
      <w:pPr>
        <w:rPr>
          <w:rFonts w:asciiTheme="majorHAnsi" w:hAnsiTheme="majorHAnsi"/>
          <w:sz w:val="20"/>
          <w:szCs w:val="20"/>
        </w:rPr>
      </w:pPr>
      <w:r w:rsidRPr="006D63E5">
        <w:rPr>
          <w:rFonts w:asciiTheme="majorHAnsi" w:hAnsiTheme="majorHAnsi"/>
          <w:sz w:val="20"/>
          <w:szCs w:val="20"/>
        </w:rPr>
        <w:t xml:space="preserve">Several tools and the general approach to the Gender Analysis were pulled from the UNDP </w:t>
      </w:r>
      <w:r w:rsidRPr="006D63E5">
        <w:rPr>
          <w:rFonts w:asciiTheme="majorHAnsi" w:hAnsiTheme="majorHAnsi"/>
          <w:i/>
          <w:sz w:val="20"/>
          <w:szCs w:val="20"/>
        </w:rPr>
        <w:t>Learning and Information Pack on Gender Mainstreaming</w:t>
      </w:r>
      <w:r w:rsidRPr="006D63E5">
        <w:rPr>
          <w:rFonts w:asciiTheme="majorHAnsi" w:hAnsiTheme="majorHAnsi"/>
          <w:sz w:val="20"/>
          <w:szCs w:val="20"/>
        </w:rPr>
        <w:t xml:space="preserve"> (2000)</w:t>
      </w:r>
      <w:r w:rsidRPr="00DB6EB8">
        <w:rPr>
          <w:rStyle w:val="FootnoteReference"/>
          <w:rFonts w:asciiTheme="majorHAnsi" w:hAnsiTheme="majorHAnsi"/>
          <w:sz w:val="20"/>
          <w:szCs w:val="20"/>
        </w:rPr>
        <w:footnoteReference w:id="35"/>
      </w:r>
      <w:r w:rsidRPr="006D63E5">
        <w:rPr>
          <w:rFonts w:asciiTheme="majorHAnsi" w:hAnsiTheme="majorHAnsi"/>
          <w:sz w:val="20"/>
          <w:szCs w:val="20"/>
        </w:rPr>
        <w:t xml:space="preserve"> and the </w:t>
      </w:r>
      <w:r w:rsidRPr="006D63E5">
        <w:rPr>
          <w:rFonts w:asciiTheme="majorHAnsi" w:hAnsiTheme="majorHAnsi"/>
          <w:i/>
          <w:sz w:val="20"/>
          <w:szCs w:val="20"/>
        </w:rPr>
        <w:t>USAID Tips for Conducting a Gender Analysis at the Activity or Project Level</w:t>
      </w:r>
      <w:r w:rsidRPr="006D63E5">
        <w:rPr>
          <w:rFonts w:asciiTheme="majorHAnsi" w:hAnsiTheme="majorHAnsi"/>
          <w:sz w:val="20"/>
          <w:szCs w:val="20"/>
        </w:rPr>
        <w:t xml:space="preserve"> (2011).</w:t>
      </w:r>
      <w:r w:rsidRPr="00DB6EB8">
        <w:rPr>
          <w:rStyle w:val="FootnoteReference"/>
          <w:rFonts w:asciiTheme="majorHAnsi" w:hAnsiTheme="majorHAnsi"/>
          <w:sz w:val="20"/>
          <w:szCs w:val="20"/>
        </w:rPr>
        <w:footnoteReference w:id="36"/>
      </w:r>
      <w:r w:rsidRPr="006D63E5">
        <w:rPr>
          <w:rFonts w:asciiTheme="majorHAnsi" w:hAnsiTheme="majorHAnsi"/>
          <w:sz w:val="20"/>
          <w:szCs w:val="20"/>
        </w:rPr>
        <w:t xml:space="preserve"> The Analysis adopted the Palauan national approach of inclusivity (of families and vulnerable peoples). The focal group completed a SCOR (successes, challenges, opportunities, and risks) Analysis, answered questions under the Six Domains of Gender Analysis, and provided feedback related to the Baseline Survey for Assessing Project Implementers.</w:t>
      </w:r>
    </w:p>
    <w:p w14:paraId="59A424CF" w14:textId="77777777" w:rsidR="000D2499" w:rsidRPr="006D63E5" w:rsidRDefault="000D2499" w:rsidP="000D2499">
      <w:pPr>
        <w:rPr>
          <w:rFonts w:asciiTheme="majorHAnsi" w:hAnsiTheme="majorHAnsi"/>
          <w:b/>
          <w:sz w:val="20"/>
          <w:szCs w:val="20"/>
        </w:rPr>
      </w:pPr>
      <w:r w:rsidRPr="006D63E5">
        <w:rPr>
          <w:rFonts w:asciiTheme="majorHAnsi" w:hAnsiTheme="majorHAnsi"/>
          <w:b/>
          <w:sz w:val="20"/>
          <w:szCs w:val="20"/>
        </w:rPr>
        <w:t>Overall Findings</w:t>
      </w:r>
    </w:p>
    <w:p w14:paraId="092505D9" w14:textId="77777777" w:rsidR="000D2499" w:rsidRPr="006D63E5" w:rsidRDefault="000D2499" w:rsidP="000D2499">
      <w:pPr>
        <w:rPr>
          <w:rFonts w:asciiTheme="majorHAnsi" w:hAnsiTheme="majorHAnsi"/>
          <w:sz w:val="20"/>
          <w:szCs w:val="20"/>
        </w:rPr>
      </w:pPr>
      <w:r w:rsidRPr="006D63E5">
        <w:rPr>
          <w:rFonts w:asciiTheme="majorHAnsi" w:hAnsiTheme="majorHAnsi"/>
          <w:sz w:val="20"/>
          <w:szCs w:val="20"/>
        </w:rPr>
        <w:t xml:space="preserve">Palau is different from much of the developing world in that women have a strong voice and a role in decision making from the community all the way to the National government. Palau’s Gender Division has adopted an approach that does not simply focus on </w:t>
      </w:r>
      <w:r w:rsidRPr="006D63E5">
        <w:rPr>
          <w:rFonts w:asciiTheme="majorHAnsi" w:hAnsiTheme="majorHAnsi"/>
          <w:i/>
          <w:sz w:val="20"/>
          <w:szCs w:val="20"/>
        </w:rPr>
        <w:t>women</w:t>
      </w:r>
      <w:r w:rsidRPr="006D63E5">
        <w:rPr>
          <w:rFonts w:asciiTheme="majorHAnsi" w:hAnsiTheme="majorHAnsi"/>
          <w:sz w:val="20"/>
          <w:szCs w:val="20"/>
        </w:rPr>
        <w:t xml:space="preserve">, but rather overall </w:t>
      </w:r>
      <w:r w:rsidRPr="006D63E5">
        <w:rPr>
          <w:rFonts w:asciiTheme="majorHAnsi" w:hAnsiTheme="majorHAnsi"/>
          <w:i/>
          <w:sz w:val="20"/>
          <w:szCs w:val="20"/>
        </w:rPr>
        <w:t>inclusivity</w:t>
      </w:r>
      <w:r w:rsidRPr="006D63E5">
        <w:rPr>
          <w:rFonts w:asciiTheme="majorHAnsi" w:hAnsiTheme="majorHAnsi"/>
          <w:sz w:val="20"/>
          <w:szCs w:val="20"/>
        </w:rPr>
        <w:t xml:space="preserve"> and </w:t>
      </w:r>
      <w:r w:rsidRPr="006D63E5">
        <w:rPr>
          <w:rFonts w:asciiTheme="majorHAnsi" w:hAnsiTheme="majorHAnsi"/>
          <w:i/>
          <w:sz w:val="20"/>
          <w:szCs w:val="20"/>
        </w:rPr>
        <w:t>multiple vulnerable populations</w:t>
      </w:r>
      <w:r w:rsidRPr="006D63E5">
        <w:rPr>
          <w:rFonts w:asciiTheme="majorHAnsi" w:hAnsiTheme="majorHAnsi"/>
          <w:sz w:val="20"/>
          <w:szCs w:val="20"/>
        </w:rPr>
        <w:t>. Whether a person is vulnerably varies highly with the situation. Palau’s Gender Mainstreaming Policy states that a “Gender and Socially Inclusive” and Balanced lens be applied to every project, and does not advocate for simple “gender equality.”</w:t>
      </w:r>
    </w:p>
    <w:p w14:paraId="6C5E17D7" w14:textId="77777777" w:rsidR="000D2499" w:rsidRPr="006D63E5" w:rsidRDefault="000D2499" w:rsidP="000D2499">
      <w:pPr>
        <w:rPr>
          <w:rFonts w:asciiTheme="majorHAnsi" w:hAnsiTheme="majorHAnsi"/>
          <w:sz w:val="20"/>
          <w:szCs w:val="20"/>
        </w:rPr>
      </w:pPr>
      <w:r w:rsidRPr="006D63E5">
        <w:rPr>
          <w:rFonts w:asciiTheme="majorHAnsi" w:hAnsiTheme="majorHAnsi"/>
          <w:sz w:val="20"/>
          <w:szCs w:val="20"/>
        </w:rPr>
        <w:t xml:space="preserve">Gender roles in Palau are rapidly changing for every age and socioeconomic age bracket. There is currently little ability to map these changing roles, which are poorly understood. </w:t>
      </w:r>
    </w:p>
    <w:p w14:paraId="70C59447" w14:textId="77777777" w:rsidR="000D2499" w:rsidRPr="006D63E5" w:rsidRDefault="000D2499" w:rsidP="000D2499">
      <w:pPr>
        <w:rPr>
          <w:rFonts w:asciiTheme="majorHAnsi" w:hAnsiTheme="majorHAnsi"/>
          <w:sz w:val="20"/>
          <w:szCs w:val="20"/>
        </w:rPr>
      </w:pPr>
      <w:r w:rsidRPr="006D63E5">
        <w:rPr>
          <w:rFonts w:asciiTheme="majorHAnsi" w:hAnsiTheme="majorHAnsi"/>
          <w:sz w:val="20"/>
          <w:szCs w:val="20"/>
        </w:rPr>
        <w:t>Following the USAID Framework the following are true:</w:t>
      </w:r>
    </w:p>
    <w:p w14:paraId="66D66DB0" w14:textId="77777777" w:rsidR="000D2499" w:rsidRPr="006D63E5" w:rsidRDefault="000D2499" w:rsidP="00EA4043">
      <w:pPr>
        <w:pStyle w:val="ListParagraph"/>
        <w:numPr>
          <w:ilvl w:val="0"/>
          <w:numId w:val="56"/>
        </w:numPr>
        <w:spacing w:after="60"/>
        <w:contextualSpacing/>
        <w:jc w:val="both"/>
        <w:rPr>
          <w:rFonts w:asciiTheme="majorHAnsi" w:hAnsiTheme="majorHAnsi"/>
          <w:sz w:val="20"/>
          <w:szCs w:val="20"/>
        </w:rPr>
      </w:pPr>
      <w:r w:rsidRPr="00DB6EB8">
        <w:rPr>
          <w:rFonts w:asciiTheme="majorHAnsi" w:hAnsiTheme="majorHAnsi"/>
          <w:sz w:val="20"/>
          <w:szCs w:val="20"/>
        </w:rPr>
        <w:t xml:space="preserve">Current gender issues will prevent women, men, and vulnerable people from achieving balanced benefits from the </w:t>
      </w:r>
      <w:r w:rsidRPr="006D63E5">
        <w:rPr>
          <w:rFonts w:asciiTheme="majorHAnsi" w:hAnsiTheme="majorHAnsi"/>
          <w:sz w:val="20"/>
          <w:szCs w:val="20"/>
        </w:rPr>
        <w:t>project.</w:t>
      </w:r>
    </w:p>
    <w:p w14:paraId="4B3AE98E" w14:textId="77777777" w:rsidR="000D2499" w:rsidRPr="006D63E5" w:rsidRDefault="000D2499" w:rsidP="00EA4043">
      <w:pPr>
        <w:pStyle w:val="ListParagraph"/>
        <w:numPr>
          <w:ilvl w:val="0"/>
          <w:numId w:val="56"/>
        </w:numPr>
        <w:spacing w:after="60"/>
        <w:contextualSpacing/>
        <w:jc w:val="both"/>
        <w:rPr>
          <w:rFonts w:asciiTheme="majorHAnsi" w:hAnsiTheme="majorHAnsi"/>
          <w:sz w:val="20"/>
          <w:szCs w:val="20"/>
        </w:rPr>
      </w:pPr>
      <w:r w:rsidRPr="006D63E5">
        <w:rPr>
          <w:rFonts w:asciiTheme="majorHAnsi" w:hAnsiTheme="majorHAnsi"/>
          <w:sz w:val="20"/>
          <w:szCs w:val="20"/>
        </w:rPr>
        <w:t>Without proactive intervention, participation in the project will be gender and socially imbalanced. Numerous potential, unintended consequences have been identified and addressed through the approach and activities.</w:t>
      </w:r>
    </w:p>
    <w:p w14:paraId="2E1EC6A7" w14:textId="77777777" w:rsidR="000D2499" w:rsidRPr="006D63E5" w:rsidRDefault="000D2499" w:rsidP="00EA4043">
      <w:pPr>
        <w:pStyle w:val="ListParagraph"/>
        <w:numPr>
          <w:ilvl w:val="0"/>
          <w:numId w:val="56"/>
        </w:numPr>
        <w:spacing w:after="60"/>
        <w:contextualSpacing/>
        <w:jc w:val="both"/>
        <w:rPr>
          <w:rFonts w:asciiTheme="majorHAnsi" w:hAnsiTheme="majorHAnsi"/>
          <w:sz w:val="20"/>
          <w:szCs w:val="20"/>
        </w:rPr>
      </w:pPr>
      <w:r w:rsidRPr="006D63E5">
        <w:rPr>
          <w:rFonts w:asciiTheme="majorHAnsi" w:hAnsiTheme="majorHAnsi"/>
          <w:sz w:val="20"/>
          <w:szCs w:val="20"/>
        </w:rPr>
        <w:t>With careful Gender and Socially Inclusive Mainstreaming of the project approach, benefits and participation can be more balanced.</w:t>
      </w:r>
    </w:p>
    <w:p w14:paraId="6DB7B4E1" w14:textId="77777777" w:rsidR="000D2499" w:rsidRPr="006D63E5" w:rsidRDefault="000D2499" w:rsidP="00EA4043">
      <w:pPr>
        <w:pStyle w:val="ListParagraph"/>
        <w:numPr>
          <w:ilvl w:val="1"/>
          <w:numId w:val="56"/>
        </w:numPr>
        <w:spacing w:after="60"/>
        <w:contextualSpacing/>
        <w:jc w:val="both"/>
        <w:rPr>
          <w:rFonts w:asciiTheme="majorHAnsi" w:hAnsiTheme="majorHAnsi"/>
          <w:sz w:val="20"/>
          <w:szCs w:val="20"/>
        </w:rPr>
      </w:pPr>
      <w:r w:rsidRPr="006D63E5">
        <w:rPr>
          <w:rFonts w:asciiTheme="majorHAnsi" w:hAnsiTheme="majorHAnsi"/>
          <w:sz w:val="20"/>
          <w:szCs w:val="20"/>
        </w:rPr>
        <w:t>The project goals and objectives do not need to be changed.</w:t>
      </w:r>
    </w:p>
    <w:p w14:paraId="3BA30F21" w14:textId="77777777" w:rsidR="000D2499" w:rsidRPr="006D63E5" w:rsidRDefault="000D2499" w:rsidP="00EA4043">
      <w:pPr>
        <w:pStyle w:val="ListParagraph"/>
        <w:numPr>
          <w:ilvl w:val="1"/>
          <w:numId w:val="56"/>
        </w:numPr>
        <w:spacing w:after="60"/>
        <w:contextualSpacing/>
        <w:jc w:val="both"/>
        <w:rPr>
          <w:rFonts w:asciiTheme="majorHAnsi" w:hAnsiTheme="majorHAnsi"/>
          <w:sz w:val="20"/>
          <w:szCs w:val="20"/>
        </w:rPr>
      </w:pPr>
      <w:r w:rsidRPr="006D63E5">
        <w:rPr>
          <w:rFonts w:asciiTheme="majorHAnsi" w:hAnsiTheme="majorHAnsi"/>
          <w:sz w:val="20"/>
          <w:szCs w:val="20"/>
        </w:rPr>
        <w:t>Project activities do need to be gender and socially inclusive (and have been proposed as such in the Project Document). Activities include mapping of gender and social roles, investing in a targeted meetings rather than general community meetings, prioritizing information collection using an inclusive perspective, facilitating more diversity of input on Planning Teams, and collecting gender disaggregated data.</w:t>
      </w:r>
    </w:p>
    <w:p w14:paraId="79883456" w14:textId="77777777" w:rsidR="000D2499" w:rsidRPr="006D63E5" w:rsidRDefault="000D2499" w:rsidP="00EA4043">
      <w:pPr>
        <w:pStyle w:val="ListParagraph"/>
        <w:numPr>
          <w:ilvl w:val="0"/>
          <w:numId w:val="56"/>
        </w:numPr>
        <w:spacing w:after="120"/>
        <w:contextualSpacing/>
        <w:jc w:val="both"/>
        <w:rPr>
          <w:rFonts w:asciiTheme="majorHAnsi" w:hAnsiTheme="majorHAnsi"/>
          <w:sz w:val="20"/>
          <w:szCs w:val="20"/>
        </w:rPr>
      </w:pPr>
      <w:r w:rsidRPr="006D63E5">
        <w:rPr>
          <w:rFonts w:asciiTheme="majorHAnsi" w:hAnsiTheme="majorHAnsi"/>
          <w:sz w:val="20"/>
          <w:szCs w:val="20"/>
        </w:rPr>
        <w:t>The needs of men, women, and social groups are different enough to justify a separate project component focused on Gender Mainstreaming. Thus, the Project Document now includes Outcome 4.</w:t>
      </w:r>
    </w:p>
    <w:p w14:paraId="794CAECA" w14:textId="77777777" w:rsidR="000D2499" w:rsidRPr="006D63E5" w:rsidRDefault="000D2499" w:rsidP="000D2499">
      <w:pPr>
        <w:spacing w:after="120"/>
        <w:rPr>
          <w:rFonts w:asciiTheme="majorHAnsi" w:hAnsiTheme="majorHAnsi"/>
          <w:b/>
          <w:sz w:val="20"/>
          <w:szCs w:val="20"/>
        </w:rPr>
      </w:pPr>
      <w:r w:rsidRPr="006D63E5">
        <w:rPr>
          <w:rFonts w:asciiTheme="majorHAnsi" w:hAnsiTheme="majorHAnsi"/>
          <w:b/>
          <w:sz w:val="20"/>
          <w:szCs w:val="20"/>
        </w:rPr>
        <w:t>Baseline Conditions of Women</w:t>
      </w:r>
    </w:p>
    <w:p w14:paraId="0DDA7CCA" w14:textId="77777777" w:rsidR="000D2499" w:rsidRPr="006D63E5" w:rsidRDefault="000D2499" w:rsidP="000D2499">
      <w:pPr>
        <w:spacing w:after="120"/>
        <w:rPr>
          <w:rFonts w:asciiTheme="majorHAnsi" w:hAnsiTheme="majorHAnsi"/>
          <w:sz w:val="20"/>
          <w:szCs w:val="20"/>
        </w:rPr>
      </w:pPr>
      <w:r w:rsidRPr="006D63E5">
        <w:rPr>
          <w:rFonts w:asciiTheme="majorHAnsi" w:hAnsiTheme="majorHAnsi" w:cs="Calibri"/>
          <w:sz w:val="20"/>
          <w:szCs w:val="20"/>
        </w:rPr>
        <w:t xml:space="preserve">In 2015 males made up 53% of the population and females 47%. </w:t>
      </w:r>
      <w:r w:rsidRPr="006D63E5">
        <w:rPr>
          <w:rFonts w:asciiTheme="majorHAnsi" w:hAnsiTheme="majorHAnsi"/>
          <w:sz w:val="20"/>
          <w:szCs w:val="20"/>
        </w:rPr>
        <w:t xml:space="preserve">Palau is matriarchal, matrilineal society at an interesting cross-roads between the forces of tradition and modernization (Otto 2008). Traditionally men and women had distinct roles but were considered each equally important to society. As Palau has modernized gender roles have followed varied trajectories. For instance, more women than men are employed in the government and are better educated (Otto 2008), but women hold fewer positions of power (both elected and traditional; ADB 2017), except in the Judiciary. However, more women than men make up the advisory councils that support decision makers, and it is traditional women’s groups who select traditional male leaders. Women appoint the chiefs who make up the Council of Chiefs, which advises the President. The movement of women into paid employment, with many in mid-level or higher positions has led to daily dichotomies in the role of women: for instance the same woman who spends the night in a subservient position at a customary event will then take on a leadership role at work the next day, where she earns on average more than employed men (Pacific Islands Forum Secretariat, 2015). The influx of immigration from both developed (United States) and developing countries (e.g. Philippines) has further muddled gender roles, with educated, western-influenced women strongly advocating for rights and positions of power; while uneducated women (and poorer foreigners) are in subservient positions with less ability to exercise rights. Traditional systems that are still in place mean that women are generally part of tight-knit communities of extended family and friends. Childcare during parts of the day is often the responsibility of extended family rather than a single individual. This is not the case universally, however, and young families may be unable to participate in the Project without support for childcare. </w:t>
      </w:r>
    </w:p>
    <w:p w14:paraId="11F1F92C" w14:textId="77777777" w:rsidR="000D2499" w:rsidRPr="006D63E5" w:rsidRDefault="000D2499" w:rsidP="000D2499">
      <w:pPr>
        <w:spacing w:after="120"/>
        <w:rPr>
          <w:rFonts w:asciiTheme="majorHAnsi" w:hAnsiTheme="majorHAnsi"/>
          <w:sz w:val="20"/>
          <w:szCs w:val="20"/>
        </w:rPr>
      </w:pPr>
      <w:r w:rsidRPr="006D63E5">
        <w:rPr>
          <w:rFonts w:asciiTheme="majorHAnsi" w:hAnsiTheme="majorHAnsi"/>
          <w:sz w:val="20"/>
          <w:szCs w:val="20"/>
        </w:rPr>
        <w:t xml:space="preserve">Palau performs well in terms of Sustainable Development Goal indicators: maternal health is high and both boys and girls have access to education (Pacific Islands Forum Secretariat, 2015), with more women attaining higher education than men (Kitalong 2013). </w:t>
      </w:r>
    </w:p>
    <w:p w14:paraId="0AF0D1C6" w14:textId="77777777" w:rsidR="000D2499" w:rsidRPr="006D63E5" w:rsidRDefault="000D2499" w:rsidP="000D2499">
      <w:pPr>
        <w:spacing w:after="120"/>
        <w:rPr>
          <w:rFonts w:asciiTheme="majorHAnsi" w:hAnsiTheme="majorHAnsi"/>
          <w:sz w:val="20"/>
          <w:szCs w:val="20"/>
        </w:rPr>
      </w:pPr>
      <w:r w:rsidRPr="006D63E5">
        <w:rPr>
          <w:rFonts w:asciiTheme="majorHAnsi" w:hAnsiTheme="majorHAnsi"/>
          <w:sz w:val="20"/>
          <w:szCs w:val="20"/>
        </w:rPr>
        <w:t>Traditional women’s groups at the community level tend to be very strong and are action-oriented, thus able to accomplish activities on the ground. Flow of information is often in-person and oral rather than written or via television; women self-identify as being better informed than their male counterparts.</w:t>
      </w:r>
    </w:p>
    <w:p w14:paraId="53AC42AA" w14:textId="3418431E" w:rsidR="000D2499" w:rsidRPr="006D63E5" w:rsidRDefault="000D2499" w:rsidP="000D2499">
      <w:pPr>
        <w:tabs>
          <w:tab w:val="left" w:pos="4770"/>
        </w:tabs>
        <w:spacing w:after="120"/>
        <w:rPr>
          <w:rFonts w:asciiTheme="majorHAnsi" w:hAnsiTheme="majorHAnsi"/>
          <w:sz w:val="20"/>
          <w:szCs w:val="20"/>
        </w:rPr>
      </w:pPr>
      <w:r w:rsidRPr="006D63E5">
        <w:rPr>
          <w:rFonts w:asciiTheme="majorHAnsi" w:hAnsiTheme="majorHAnsi"/>
          <w:sz w:val="20"/>
          <w:szCs w:val="20"/>
        </w:rPr>
        <w:t>To address gender issues the Government established a Gender Division under the Bureau of Aging and Gender within the Ministry of Community and Cultural Affairs. In 2013 the Ministry began development of a Gender Policy (Kitalong 2013), although it has not yet been completed. The Australian Government through its “Pacific Women” initiative has committed $150,000 to assist Palau with development of a Gender Mainstreaming Policy and Strategy by 2018</w:t>
      </w:r>
      <w:r w:rsidR="00194AA1">
        <w:rPr>
          <w:rFonts w:asciiTheme="majorHAnsi" w:hAnsiTheme="majorHAnsi"/>
          <w:sz w:val="20"/>
          <w:szCs w:val="20"/>
        </w:rPr>
        <w:t xml:space="preserve">. </w:t>
      </w:r>
      <w:r w:rsidRPr="006D63E5">
        <w:rPr>
          <w:rFonts w:asciiTheme="majorHAnsi" w:hAnsiTheme="majorHAnsi"/>
          <w:sz w:val="20"/>
          <w:szCs w:val="20"/>
        </w:rPr>
        <w:t>Other successful efforts to promote gender equality include strong support for the Mechesil Belau (national women’s group) Annual Women’s Conference, which celebrated its 20th year in 2013. The Annual Conference yields policy recommendations that have been instrumental the passage of 17 pieces of legislation including the Family Protection Act of 2012 (Temengil and Kitalong 2014). Participation of women in civil society is also strong, as every community has an active Women’s Group. In 2013 a nonprofit NGO was chartered called The Center for Women Empowerment Belau (WEB) to promote and support women in politics and to address social issues through political leadership</w:t>
      </w:r>
      <w:r w:rsidR="00194AA1">
        <w:rPr>
          <w:rFonts w:asciiTheme="majorHAnsi" w:hAnsiTheme="majorHAnsi"/>
          <w:sz w:val="20"/>
          <w:szCs w:val="20"/>
        </w:rPr>
        <w:t xml:space="preserve">. </w:t>
      </w:r>
      <w:r w:rsidRPr="006D63E5">
        <w:rPr>
          <w:rFonts w:asciiTheme="majorHAnsi" w:hAnsiTheme="majorHAnsi"/>
          <w:sz w:val="20"/>
          <w:szCs w:val="20"/>
        </w:rPr>
        <w:t>Through their efforts legislation on maternity leave has been introduced and regulations on day care facilities are being developed. There are also loan programs at the NDBP and scholarship programs specifically for women and girls. The clientele of the Small Business Center has been dominated by women.</w:t>
      </w:r>
    </w:p>
    <w:p w14:paraId="12865445" w14:textId="77777777" w:rsidR="000D2499" w:rsidRPr="006D63E5" w:rsidRDefault="000D2499" w:rsidP="000D2499">
      <w:pPr>
        <w:spacing w:after="120"/>
        <w:rPr>
          <w:rFonts w:asciiTheme="majorHAnsi" w:hAnsiTheme="majorHAnsi"/>
          <w:sz w:val="20"/>
          <w:szCs w:val="20"/>
        </w:rPr>
      </w:pPr>
      <w:r w:rsidRPr="006D63E5">
        <w:rPr>
          <w:rFonts w:asciiTheme="majorHAnsi" w:hAnsiTheme="majorHAnsi"/>
          <w:sz w:val="20"/>
          <w:szCs w:val="20"/>
        </w:rPr>
        <w:t>Challenges to gender equality are in every sector at every level. There are key pieces of legislation missing, such as the Gender Policy and laws protecting workers against harassment in the workplace and Palau has not ratified the Convention on the Elimination of All Forms of Discrimination against Women (CEDAW) and violence against women is a problem. There is also inadequate enforcement of mandated protections for women and there is no Shelter for women and children. The Gender Division is poorly funded (its budget represents 0.01% of the national budget). Climate Change appears to be disproportionately negatively affecting women (Temengil and Kitalong 2014); sea level rise and intense storms have destroyed or degraded natural habitats that women rely on such as taro patches and seagrass beds.</w:t>
      </w:r>
    </w:p>
    <w:p w14:paraId="465B8CBE" w14:textId="77777777" w:rsidR="000D2499" w:rsidRPr="006D63E5" w:rsidRDefault="000D2499" w:rsidP="000D2499">
      <w:pPr>
        <w:spacing w:after="120"/>
        <w:rPr>
          <w:rFonts w:asciiTheme="majorHAnsi" w:hAnsiTheme="majorHAnsi"/>
          <w:sz w:val="20"/>
          <w:szCs w:val="20"/>
        </w:rPr>
      </w:pPr>
      <w:r w:rsidRPr="006D63E5">
        <w:rPr>
          <w:rFonts w:asciiTheme="majorHAnsi" w:hAnsiTheme="majorHAnsi"/>
          <w:sz w:val="20"/>
          <w:szCs w:val="20"/>
        </w:rPr>
        <w:t xml:space="preserve">In assessing Palau’s private sector, the Asian Development Bank (ADB 2017) found that women are generally not empowered in the financial sector, which in limiting national development of sustainable enterprises, particularly in the nascent </w:t>
      </w:r>
      <w:r w:rsidRPr="006D63E5">
        <w:rPr>
          <w:rFonts w:asciiTheme="majorHAnsi" w:hAnsiTheme="majorHAnsi"/>
          <w:sz w:val="20"/>
          <w:szCs w:val="20"/>
          <w:u w:val="single"/>
        </w:rPr>
        <w:t>locally</w:t>
      </w:r>
      <w:r w:rsidRPr="006D63E5">
        <w:rPr>
          <w:rFonts w:asciiTheme="majorHAnsi" w:hAnsiTheme="majorHAnsi"/>
          <w:sz w:val="20"/>
          <w:szCs w:val="20"/>
        </w:rPr>
        <w:t>-led tourism industry. For instance:</w:t>
      </w:r>
    </w:p>
    <w:p w14:paraId="41333F46" w14:textId="77777777" w:rsidR="000D2499" w:rsidRPr="006D63E5" w:rsidRDefault="000D2499" w:rsidP="00EA4043">
      <w:pPr>
        <w:pStyle w:val="ListParagraph"/>
        <w:numPr>
          <w:ilvl w:val="0"/>
          <w:numId w:val="55"/>
        </w:numPr>
        <w:spacing w:after="120"/>
        <w:contextualSpacing/>
        <w:jc w:val="both"/>
        <w:rPr>
          <w:rFonts w:asciiTheme="majorHAnsi" w:hAnsiTheme="majorHAnsi"/>
          <w:sz w:val="20"/>
          <w:szCs w:val="20"/>
        </w:rPr>
      </w:pPr>
      <w:r w:rsidRPr="00DB6EB8">
        <w:rPr>
          <w:rFonts w:asciiTheme="majorHAnsi" w:hAnsiTheme="majorHAnsi"/>
          <w:sz w:val="20"/>
          <w:szCs w:val="20"/>
        </w:rPr>
        <w:t>Customary traditions sometimes limit women’s participation in the workforce, as many women must take time off work in order to m</w:t>
      </w:r>
      <w:r w:rsidRPr="006D63E5">
        <w:rPr>
          <w:rFonts w:asciiTheme="majorHAnsi" w:hAnsiTheme="majorHAnsi"/>
          <w:sz w:val="20"/>
          <w:szCs w:val="20"/>
        </w:rPr>
        <w:t>eet customary obligations to her husband’s family.</w:t>
      </w:r>
    </w:p>
    <w:p w14:paraId="660F29A2" w14:textId="77777777" w:rsidR="000D2499" w:rsidRPr="006D63E5" w:rsidRDefault="000D2499" w:rsidP="00EA4043">
      <w:pPr>
        <w:pStyle w:val="ListParagraph"/>
        <w:numPr>
          <w:ilvl w:val="0"/>
          <w:numId w:val="55"/>
        </w:numPr>
        <w:spacing w:after="60"/>
        <w:contextualSpacing/>
        <w:jc w:val="both"/>
        <w:rPr>
          <w:rFonts w:asciiTheme="majorHAnsi" w:hAnsiTheme="majorHAnsi"/>
          <w:sz w:val="20"/>
          <w:szCs w:val="20"/>
        </w:rPr>
      </w:pPr>
      <w:r w:rsidRPr="006D63E5">
        <w:rPr>
          <w:rFonts w:asciiTheme="majorHAnsi" w:hAnsiTheme="majorHAnsi"/>
          <w:sz w:val="20"/>
          <w:szCs w:val="20"/>
        </w:rPr>
        <w:t>Laws on inheritance directly discriminate against women (regarding inheritance of land held in fee simple), reducing their ability to control assets.</w:t>
      </w:r>
    </w:p>
    <w:p w14:paraId="6EBD1772" w14:textId="77777777" w:rsidR="000D2499" w:rsidRPr="006D63E5" w:rsidRDefault="000D2499" w:rsidP="00EA4043">
      <w:pPr>
        <w:pStyle w:val="ListParagraph"/>
        <w:numPr>
          <w:ilvl w:val="0"/>
          <w:numId w:val="55"/>
        </w:numPr>
        <w:spacing w:after="60"/>
        <w:contextualSpacing/>
        <w:jc w:val="both"/>
        <w:rPr>
          <w:rFonts w:asciiTheme="majorHAnsi" w:hAnsiTheme="majorHAnsi"/>
          <w:sz w:val="20"/>
          <w:szCs w:val="20"/>
        </w:rPr>
      </w:pPr>
      <w:r w:rsidRPr="006D63E5">
        <w:rPr>
          <w:rFonts w:asciiTheme="majorHAnsi" w:hAnsiTheme="majorHAnsi"/>
          <w:sz w:val="20"/>
          <w:szCs w:val="20"/>
        </w:rPr>
        <w:t xml:space="preserve">Without clear title to land, which can be used as collateral by the National Development Bank of Palau, fewer women than men can access credit. Foreign banks cannot use land as collateral. Only a small percentage of women have been able to access business loans. </w:t>
      </w:r>
    </w:p>
    <w:p w14:paraId="67396A52" w14:textId="77777777" w:rsidR="000D2499" w:rsidRPr="006D63E5" w:rsidRDefault="000D2499" w:rsidP="00EA4043">
      <w:pPr>
        <w:pStyle w:val="ListParagraph"/>
        <w:numPr>
          <w:ilvl w:val="0"/>
          <w:numId w:val="55"/>
        </w:numPr>
        <w:spacing w:after="60"/>
        <w:contextualSpacing/>
        <w:jc w:val="both"/>
        <w:rPr>
          <w:rFonts w:asciiTheme="majorHAnsi" w:hAnsiTheme="majorHAnsi"/>
          <w:sz w:val="20"/>
          <w:szCs w:val="20"/>
        </w:rPr>
      </w:pPr>
      <w:r w:rsidRPr="006D63E5">
        <w:rPr>
          <w:rFonts w:asciiTheme="majorHAnsi" w:hAnsiTheme="majorHAnsi"/>
          <w:sz w:val="20"/>
          <w:szCs w:val="20"/>
        </w:rPr>
        <w:t>Fewer women than men are engaged in the labor force in Palau, with only 60% representation for women compared with 77% for men. Women are concentrated in the administrative, tourism, and retail sectors.</w:t>
      </w:r>
    </w:p>
    <w:p w14:paraId="20B0BA03" w14:textId="77777777" w:rsidR="000D2499" w:rsidRPr="006D63E5" w:rsidRDefault="000D2499" w:rsidP="00EA4043">
      <w:pPr>
        <w:pStyle w:val="ListParagraph"/>
        <w:numPr>
          <w:ilvl w:val="0"/>
          <w:numId w:val="55"/>
        </w:numPr>
        <w:spacing w:after="120"/>
        <w:contextualSpacing/>
        <w:jc w:val="both"/>
        <w:rPr>
          <w:rFonts w:asciiTheme="majorHAnsi" w:hAnsiTheme="majorHAnsi"/>
          <w:sz w:val="20"/>
          <w:szCs w:val="20"/>
        </w:rPr>
      </w:pPr>
      <w:r w:rsidRPr="006D63E5">
        <w:rPr>
          <w:rFonts w:asciiTheme="majorHAnsi" w:hAnsiTheme="majorHAnsi"/>
          <w:sz w:val="20"/>
          <w:szCs w:val="20"/>
        </w:rPr>
        <w:t>There are more women in the public service than in the private sector, due to the promise of a pension. Women in general are reluctant to leave the civil service and there are many fewer female entrepreneurs.</w:t>
      </w:r>
    </w:p>
    <w:p w14:paraId="36DCBFFC" w14:textId="77777777" w:rsidR="000D2499" w:rsidRPr="006D63E5" w:rsidRDefault="000D2499" w:rsidP="000D2499">
      <w:pPr>
        <w:spacing w:after="120"/>
        <w:rPr>
          <w:rFonts w:asciiTheme="majorHAnsi" w:hAnsiTheme="majorHAnsi"/>
          <w:b/>
          <w:sz w:val="20"/>
          <w:szCs w:val="20"/>
        </w:rPr>
      </w:pPr>
      <w:r w:rsidRPr="006D63E5">
        <w:rPr>
          <w:rFonts w:asciiTheme="majorHAnsi" w:hAnsiTheme="majorHAnsi"/>
          <w:b/>
          <w:sz w:val="20"/>
          <w:szCs w:val="20"/>
        </w:rPr>
        <w:t>Baseline Conditions of Other Vulnerable Populations</w:t>
      </w:r>
    </w:p>
    <w:p w14:paraId="4DBDF78B" w14:textId="77777777" w:rsidR="000D2499" w:rsidRPr="006D63E5" w:rsidRDefault="000D2499" w:rsidP="000D2499">
      <w:pPr>
        <w:autoSpaceDE w:val="0"/>
        <w:autoSpaceDN w:val="0"/>
        <w:adjustRightInd w:val="0"/>
        <w:spacing w:after="0"/>
        <w:textAlignment w:val="center"/>
        <w:rPr>
          <w:rFonts w:asciiTheme="majorHAnsi" w:hAnsiTheme="majorHAnsi" w:cs="Calibri"/>
          <w:sz w:val="20"/>
          <w:szCs w:val="20"/>
        </w:rPr>
      </w:pPr>
      <w:r w:rsidRPr="006D63E5">
        <w:rPr>
          <w:rFonts w:asciiTheme="majorHAnsi" w:hAnsiTheme="majorHAnsi"/>
          <w:sz w:val="20"/>
          <w:szCs w:val="20"/>
        </w:rPr>
        <w:t xml:space="preserve">There is a distinct disparity between Urban and Rural residents. In 2015 </w:t>
      </w:r>
      <w:r w:rsidRPr="006D63E5">
        <w:rPr>
          <w:rFonts w:asciiTheme="majorHAnsi" w:hAnsiTheme="majorHAnsi" w:cs="Calibri"/>
          <w:sz w:val="20"/>
          <w:szCs w:val="20"/>
        </w:rPr>
        <w:t>80% of the population was urban (in Koror and the suburb of Airai). In 2014, 91% of Urban households versus 74% of Rural households had a member with a wage-paying job. Average income for urban households was $16,670 and for rural households was $13,340. 60% of rural households, but only 30% of urban households, rely on marine resources (fishing or gleaning) for some or all of their subsistence protein needs; however Rural households are more likely to have limited access to varied habitats because they own smaller boats with less gear. Urban residents have more flexibility and are able to adapt to change; for instance in surveys following typhoons in 2012 and 2013 it was clear that urban fishers—mostly male—were able to access fishing grounds far from home; whereas rural fishers (especially on the East coast where 60% of marine habitats were destroyed) did not have that flexibility. This flexibility meant that urban fishers were able to catch excess fish and sell them to markets by a factor of 4:1 to rural fishers, who utilize their catches to meet subsistence food needs. Climate change, protected areas, and overfishing have led to a loss of fishing areas mostly used by men (e.g. coral reefs); of these it is poor men and young men who are most at risk. The need for collateral and (perceived) technical expertise to access loans for fishing, farming, ecotourism, and small business development through the NDBP also negatively impacts rural residents more so than urban residents.</w:t>
      </w:r>
    </w:p>
    <w:p w14:paraId="0BCE76E7" w14:textId="77777777" w:rsidR="000D2499" w:rsidRPr="006D63E5" w:rsidRDefault="000D2499" w:rsidP="000D2499">
      <w:pPr>
        <w:autoSpaceDE w:val="0"/>
        <w:autoSpaceDN w:val="0"/>
        <w:adjustRightInd w:val="0"/>
        <w:spacing w:after="0"/>
        <w:textAlignment w:val="center"/>
        <w:rPr>
          <w:rFonts w:asciiTheme="majorHAnsi" w:hAnsiTheme="majorHAnsi" w:cs="Calibri"/>
          <w:sz w:val="20"/>
          <w:szCs w:val="20"/>
        </w:rPr>
      </w:pPr>
    </w:p>
    <w:p w14:paraId="0AB42282" w14:textId="77777777" w:rsidR="000D2499" w:rsidRPr="006D63E5" w:rsidRDefault="000D2499" w:rsidP="000D2499">
      <w:pPr>
        <w:autoSpaceDE w:val="0"/>
        <w:autoSpaceDN w:val="0"/>
        <w:adjustRightInd w:val="0"/>
        <w:spacing w:after="0"/>
        <w:textAlignment w:val="center"/>
        <w:rPr>
          <w:rFonts w:asciiTheme="majorHAnsi" w:hAnsiTheme="majorHAnsi" w:cs="Calibri"/>
          <w:sz w:val="20"/>
          <w:szCs w:val="20"/>
        </w:rPr>
      </w:pPr>
      <w:r w:rsidRPr="006D63E5">
        <w:rPr>
          <w:rFonts w:asciiTheme="majorHAnsi" w:hAnsiTheme="majorHAnsi" w:cs="Calibri"/>
          <w:sz w:val="20"/>
          <w:szCs w:val="20"/>
        </w:rPr>
        <w:t>27% of the population in Palau are foreign workers. Except for a small minority of wealthy foreign workers, the majority are poorer laborers who are often accorded fewer rights than native Palauans. These less educated foreign workers dominate the tourism and agriculture industries.</w:t>
      </w:r>
    </w:p>
    <w:p w14:paraId="3B9C9D9C" w14:textId="77777777" w:rsidR="000D2499" w:rsidRPr="006D63E5" w:rsidRDefault="000D2499" w:rsidP="000D2499">
      <w:pPr>
        <w:rPr>
          <w:rFonts w:asciiTheme="majorHAnsi" w:hAnsiTheme="majorHAnsi"/>
          <w:sz w:val="20"/>
          <w:szCs w:val="20"/>
        </w:rPr>
      </w:pPr>
      <w:r w:rsidRPr="006D63E5">
        <w:rPr>
          <w:rFonts w:asciiTheme="majorHAnsi" w:hAnsiTheme="majorHAnsi"/>
          <w:sz w:val="20"/>
          <w:szCs w:val="20"/>
        </w:rPr>
        <w:t xml:space="preserve">A key vulnerable population are young men between the ages of 17 and 40, who have the highest rates of un/underemployment in the country. Young men are less educated than their female counterparts and in general are less assertive and less likely to participate in community events. Traditional Men’s Groups and especially Young Men’s Groups are not as strong as the Traditional Women’s Groups and thus young men have less ability to advocate for their needs in planning processes. </w:t>
      </w:r>
    </w:p>
    <w:p w14:paraId="02572EFC" w14:textId="77777777" w:rsidR="000D2499" w:rsidRPr="006D63E5" w:rsidRDefault="000D2499" w:rsidP="000D2499">
      <w:pPr>
        <w:rPr>
          <w:rFonts w:asciiTheme="majorHAnsi" w:hAnsiTheme="majorHAnsi"/>
          <w:sz w:val="20"/>
          <w:szCs w:val="20"/>
        </w:rPr>
      </w:pPr>
      <w:r w:rsidRPr="006D63E5">
        <w:rPr>
          <w:rFonts w:asciiTheme="majorHAnsi" w:hAnsiTheme="majorHAnsi"/>
          <w:sz w:val="20"/>
          <w:szCs w:val="20"/>
        </w:rPr>
        <w:t>A European Union-funded Global Climate Change Alliance project that is ongoing in Palau identified young men as one of the most vulnerable populations and developed specific project activities to attract young men.</w:t>
      </w:r>
    </w:p>
    <w:p w14:paraId="65B22DB2" w14:textId="77777777" w:rsidR="000D2499" w:rsidRPr="006D63E5" w:rsidRDefault="000D2499" w:rsidP="000D2499">
      <w:pPr>
        <w:rPr>
          <w:rFonts w:asciiTheme="majorHAnsi" w:hAnsiTheme="majorHAnsi"/>
          <w:b/>
          <w:sz w:val="20"/>
          <w:szCs w:val="20"/>
        </w:rPr>
      </w:pPr>
      <w:r w:rsidRPr="006D63E5">
        <w:rPr>
          <w:rFonts w:asciiTheme="majorHAnsi" w:hAnsiTheme="majorHAnsi"/>
          <w:b/>
          <w:sz w:val="20"/>
          <w:szCs w:val="20"/>
        </w:rPr>
        <w:t>SCOR Analysis Findings</w:t>
      </w:r>
    </w:p>
    <w:p w14:paraId="7F8FEFB0" w14:textId="77777777" w:rsidR="000D2499" w:rsidRPr="006D63E5" w:rsidRDefault="000D2499" w:rsidP="000D2499">
      <w:pPr>
        <w:rPr>
          <w:rFonts w:asciiTheme="majorHAnsi" w:hAnsiTheme="majorHAnsi"/>
          <w:sz w:val="20"/>
          <w:szCs w:val="20"/>
        </w:rPr>
      </w:pPr>
      <w:r w:rsidRPr="006D63E5">
        <w:rPr>
          <w:rFonts w:asciiTheme="majorHAnsi" w:hAnsiTheme="majorHAnsi"/>
          <w:i/>
          <w:sz w:val="20"/>
          <w:szCs w:val="20"/>
        </w:rPr>
        <w:t>Successes</w:t>
      </w:r>
      <w:r w:rsidRPr="006D63E5">
        <w:rPr>
          <w:rFonts w:asciiTheme="majorHAnsi" w:hAnsiTheme="majorHAnsi"/>
          <w:sz w:val="20"/>
          <w:szCs w:val="20"/>
        </w:rPr>
        <w:t>: A past successful project by the organization SIUL actively invested in the identification of vulnerable groups and reached out to the fringes of society, such as at-risk young men (ages 20-30). The Focus group suggested that the presence of an NGO made reaching out more effective, because it was seen as a grassroots effort and not a Koror-based project. Other successful projects have worked within the traditional context by approaching Traditional groups and by identifying and mapping gender and cultural roles. This is the approach adopted by this Project. The Palau Community Action Agency offers a model for including vulnerable people.</w:t>
      </w:r>
    </w:p>
    <w:p w14:paraId="4FEB249A" w14:textId="77777777" w:rsidR="000D2499" w:rsidRPr="006D63E5" w:rsidRDefault="000D2499" w:rsidP="000D2499">
      <w:pPr>
        <w:rPr>
          <w:rFonts w:asciiTheme="majorHAnsi" w:hAnsiTheme="majorHAnsi"/>
          <w:sz w:val="20"/>
          <w:szCs w:val="20"/>
        </w:rPr>
      </w:pPr>
      <w:r w:rsidRPr="006D63E5">
        <w:rPr>
          <w:rFonts w:asciiTheme="majorHAnsi" w:hAnsiTheme="majorHAnsi"/>
          <w:i/>
          <w:sz w:val="20"/>
          <w:szCs w:val="20"/>
        </w:rPr>
        <w:t>Challenges</w:t>
      </w:r>
      <w:r w:rsidRPr="006D63E5">
        <w:rPr>
          <w:rFonts w:asciiTheme="majorHAnsi" w:hAnsiTheme="majorHAnsi"/>
          <w:sz w:val="20"/>
          <w:szCs w:val="20"/>
        </w:rPr>
        <w:t xml:space="preserve">: Some states have no women in elected leadership, thus the voice of women is limited. Landownership is dominated by men; based on cultural roles men and women appear to have different perspectives (men think more in the short-term while women think more in the long-term). There are many modern-day conflicts that arise from difficulties in integrating the traditional governance system (which is inclusive) with the elected systems. There are prevailing cultural perceptions that Palau has always had or has achieved gender equity, but this perception does not take into account changing roles and status associated with modernization (e.g. within the market economy and traditional leadership); gender inequity appears to be increasing with each generation. Many women during the Gender Analysis expressed frustration with the current state of non-inclusive representation in decision making. Knowledge of gender issues is not equal; and “gender issues” are seen as a female issues. During the Gender Analysis many men left the room or scoffed when the words “Gender Analysis” were used. This project has since adopted the Palau mainstreaming terms of “Gender and Social Inclusion.” Governance and ownership of land (which belongs to individuals, clans, and the state, and is often under contention) is much less clear than ownership of marine resources, which belong to the state. Women tend to be more vocal when they perceive themselves to be experts on a topic. </w:t>
      </w:r>
    </w:p>
    <w:p w14:paraId="0AE816EB" w14:textId="77777777" w:rsidR="000D2499" w:rsidRPr="006D63E5" w:rsidRDefault="000D2499" w:rsidP="000D2499">
      <w:pPr>
        <w:rPr>
          <w:rFonts w:asciiTheme="majorHAnsi" w:hAnsiTheme="majorHAnsi"/>
          <w:sz w:val="20"/>
          <w:szCs w:val="20"/>
        </w:rPr>
      </w:pPr>
      <w:r w:rsidRPr="006D63E5">
        <w:rPr>
          <w:rFonts w:asciiTheme="majorHAnsi" w:hAnsiTheme="majorHAnsi"/>
          <w:i/>
          <w:sz w:val="20"/>
          <w:szCs w:val="20"/>
        </w:rPr>
        <w:t>Opportunities</w:t>
      </w:r>
      <w:r w:rsidRPr="006D63E5">
        <w:rPr>
          <w:rFonts w:asciiTheme="majorHAnsi" w:hAnsiTheme="majorHAnsi"/>
          <w:sz w:val="20"/>
          <w:szCs w:val="20"/>
        </w:rPr>
        <w:t xml:space="preserve">: Interventions need to actively identify and target gender and social groups and identify those that are vulnerable or at-risk. The Landscape/Seascape Planning part of the project offers an excellent opportunity to map relationships. As one person stated: “This Project can help Palau define its gender values, including how we define “equitable,” and document it for other projects.” Awareness activities should also consider gender and social roles and not actively perpetuate stereotypes (e.g. that women are solely responsible for invasive plants). The Project must actively work with States to ensure minimum representation on Planning Teams and consider benefits as they accrue to genders, social groups, and families. </w:t>
      </w:r>
    </w:p>
    <w:p w14:paraId="04C3E93A" w14:textId="77777777" w:rsidR="000D2499" w:rsidRPr="006D63E5" w:rsidRDefault="000D2499" w:rsidP="000D2499">
      <w:pPr>
        <w:rPr>
          <w:rFonts w:asciiTheme="majorHAnsi" w:hAnsiTheme="majorHAnsi"/>
          <w:b/>
          <w:sz w:val="20"/>
          <w:szCs w:val="20"/>
        </w:rPr>
      </w:pPr>
      <w:r w:rsidRPr="006D63E5">
        <w:rPr>
          <w:rFonts w:asciiTheme="majorHAnsi" w:hAnsiTheme="majorHAnsi"/>
          <w:i/>
          <w:sz w:val="20"/>
          <w:szCs w:val="20"/>
        </w:rPr>
        <w:t>Risks</w:t>
      </w:r>
      <w:r w:rsidRPr="006D63E5">
        <w:rPr>
          <w:rFonts w:asciiTheme="majorHAnsi" w:hAnsiTheme="majorHAnsi"/>
          <w:sz w:val="20"/>
          <w:szCs w:val="20"/>
        </w:rPr>
        <w:t>: Without intervention, this Project could yield Landscape/Seascape Plans that bolster the power and wealth of a minority, or that incorporate inadequate perspectives. As with many past efforts, Best Practices may not be implemented if connections between the decision makers and resource users are not actively identified and managed. Many past projects have paid men for their participation but relied on volunteerism from women. This may perpetuates inequalities, but requires attention. Young families are at risk of low participation without attention and intervention (due to lack of time and perceived lack of voice). Men and women physically spend their time in different places, so the Project cannot rely on the single Community Meeting model of past projects.</w:t>
      </w:r>
    </w:p>
    <w:p w14:paraId="6AD6FDDB" w14:textId="77777777" w:rsidR="000D2499" w:rsidRPr="006D63E5" w:rsidRDefault="000D2499" w:rsidP="000D2499">
      <w:pPr>
        <w:rPr>
          <w:rFonts w:asciiTheme="majorHAnsi" w:hAnsiTheme="majorHAnsi"/>
          <w:b/>
          <w:sz w:val="20"/>
          <w:szCs w:val="20"/>
        </w:rPr>
      </w:pPr>
      <w:r w:rsidRPr="006D63E5">
        <w:rPr>
          <w:rFonts w:asciiTheme="majorHAnsi" w:hAnsiTheme="majorHAnsi"/>
          <w:b/>
          <w:sz w:val="20"/>
          <w:szCs w:val="20"/>
        </w:rPr>
        <w:t>Gender Roles within Project Sectors</w:t>
      </w:r>
    </w:p>
    <w:p w14:paraId="54D5A5B5" w14:textId="77777777" w:rsidR="000D2499" w:rsidRPr="006D63E5" w:rsidRDefault="000D2499" w:rsidP="000D2499">
      <w:pPr>
        <w:rPr>
          <w:rFonts w:asciiTheme="majorHAnsi" w:hAnsiTheme="majorHAnsi"/>
          <w:sz w:val="20"/>
          <w:szCs w:val="20"/>
        </w:rPr>
      </w:pPr>
      <w:r w:rsidRPr="006D63E5">
        <w:rPr>
          <w:rFonts w:asciiTheme="majorHAnsi" w:hAnsiTheme="majorHAnsi"/>
          <w:sz w:val="20"/>
          <w:szCs w:val="20"/>
        </w:rPr>
        <w:t>One small group within the larger Focal group described “gender equality” as a luxury.</w:t>
      </w:r>
    </w:p>
    <w:p w14:paraId="2342E101" w14:textId="77777777" w:rsidR="000D2499" w:rsidRPr="006D63E5" w:rsidRDefault="000D2499" w:rsidP="000D2499">
      <w:pPr>
        <w:rPr>
          <w:rFonts w:asciiTheme="majorHAnsi" w:hAnsiTheme="majorHAnsi"/>
          <w:sz w:val="20"/>
          <w:szCs w:val="20"/>
        </w:rPr>
      </w:pPr>
      <w:r w:rsidRPr="006D63E5">
        <w:rPr>
          <w:rFonts w:asciiTheme="majorHAnsi" w:hAnsiTheme="majorHAnsi"/>
          <w:sz w:val="20"/>
          <w:szCs w:val="20"/>
        </w:rPr>
        <w:t>The focal group generally agreed that women are better stewards of land resources than men, because land falls under the traditional management responsibility of women. Women are more likely to feel the impacts to changes on land because of their traditional ties to agriculture and forestry. However, men still make more decisions about land use, even though they don’t think and feel the same way about land as do women.</w:t>
      </w:r>
    </w:p>
    <w:p w14:paraId="57BEAB71" w14:textId="77777777" w:rsidR="000D2499" w:rsidRPr="006D63E5" w:rsidRDefault="000D2499" w:rsidP="000D2499">
      <w:pPr>
        <w:rPr>
          <w:rFonts w:asciiTheme="majorHAnsi" w:hAnsiTheme="majorHAnsi"/>
          <w:sz w:val="20"/>
          <w:szCs w:val="20"/>
        </w:rPr>
      </w:pPr>
      <w:r w:rsidRPr="006D63E5">
        <w:rPr>
          <w:rFonts w:asciiTheme="majorHAnsi" w:hAnsiTheme="majorHAnsi"/>
          <w:sz w:val="20"/>
          <w:szCs w:val="20"/>
        </w:rPr>
        <w:t xml:space="preserve">When capacity building opportunities are offered, within households women were described as more opportunistic and open to change. Women will be more likely to build capacity and attend trainings and meetings than men, unless the training opportunity is physical or labour-based. </w:t>
      </w:r>
    </w:p>
    <w:p w14:paraId="48C40436" w14:textId="77777777" w:rsidR="000D2499" w:rsidRPr="006D63E5" w:rsidRDefault="000D2499" w:rsidP="000D2499">
      <w:pPr>
        <w:rPr>
          <w:rFonts w:asciiTheme="majorHAnsi" w:hAnsiTheme="majorHAnsi"/>
          <w:b/>
          <w:i/>
          <w:sz w:val="20"/>
          <w:szCs w:val="20"/>
        </w:rPr>
      </w:pPr>
      <w:r w:rsidRPr="006D63E5">
        <w:rPr>
          <w:rFonts w:asciiTheme="majorHAnsi" w:hAnsiTheme="majorHAnsi"/>
          <w:b/>
          <w:i/>
          <w:sz w:val="20"/>
          <w:szCs w:val="20"/>
        </w:rPr>
        <w:t>Landscape/Seascape Planning</w:t>
      </w:r>
    </w:p>
    <w:p w14:paraId="22E2769E" w14:textId="77777777" w:rsidR="000D2499" w:rsidRPr="006D63E5" w:rsidRDefault="000D2499" w:rsidP="000D2499">
      <w:pPr>
        <w:rPr>
          <w:rFonts w:asciiTheme="majorHAnsi" w:hAnsiTheme="majorHAnsi"/>
          <w:sz w:val="20"/>
          <w:szCs w:val="20"/>
        </w:rPr>
      </w:pPr>
      <w:r w:rsidRPr="006D63E5">
        <w:rPr>
          <w:rFonts w:asciiTheme="majorHAnsi" w:hAnsiTheme="majorHAnsi"/>
          <w:sz w:val="20"/>
          <w:szCs w:val="20"/>
        </w:rPr>
        <w:t>Planning teams have included both men and women and some representation from poor families, but usually have more male representation. There has been little to no involvement of foreigners except in Koror, with the involvement of wealthy individuals from the private sector. Uneducated foreigners have zero input into plans, but are expected to implement the Best Practices (e.g. in tourism and agriculture). This may explain why many Best Practices have not been well implemented.</w:t>
      </w:r>
    </w:p>
    <w:p w14:paraId="64ED4D8F" w14:textId="77777777" w:rsidR="000D2499" w:rsidRPr="006D63E5" w:rsidRDefault="000D2499" w:rsidP="000D2499">
      <w:pPr>
        <w:rPr>
          <w:rFonts w:asciiTheme="majorHAnsi" w:hAnsiTheme="majorHAnsi"/>
          <w:sz w:val="20"/>
          <w:szCs w:val="20"/>
        </w:rPr>
      </w:pPr>
      <w:r w:rsidRPr="006D63E5">
        <w:rPr>
          <w:rFonts w:asciiTheme="majorHAnsi" w:hAnsiTheme="majorHAnsi"/>
          <w:sz w:val="20"/>
          <w:szCs w:val="20"/>
        </w:rPr>
        <w:t xml:space="preserve">Several people suggested that formal planning processes (e.g. such as the one in Airai) left people out. Planning teams were appointed by the Governor and used the standard “community meeting” as a means of spreading information. </w:t>
      </w:r>
    </w:p>
    <w:p w14:paraId="7EC54FB2" w14:textId="703C979D" w:rsidR="000D2499" w:rsidRPr="00CE4FD1" w:rsidRDefault="00CE4FD1" w:rsidP="000D2499">
      <w:pPr>
        <w:rPr>
          <w:rFonts w:asciiTheme="majorHAnsi" w:hAnsiTheme="majorHAnsi"/>
          <w:sz w:val="20"/>
          <w:szCs w:val="20"/>
        </w:rPr>
      </w:pPr>
      <w:r>
        <w:rPr>
          <w:rFonts w:asciiTheme="majorHAnsi" w:hAnsiTheme="majorHAnsi"/>
          <w:sz w:val="20"/>
          <w:szCs w:val="20"/>
        </w:rPr>
        <w:t>Because land</w:t>
      </w:r>
      <w:r w:rsidR="000D2499" w:rsidRPr="00CE4FD1">
        <w:rPr>
          <w:rFonts w:asciiTheme="majorHAnsi" w:hAnsiTheme="majorHAnsi"/>
          <w:sz w:val="20"/>
          <w:szCs w:val="20"/>
        </w:rPr>
        <w:t xml:space="preserve">owners are largely male, and because men make up the majority of Planning Teams and elected leadership, this Project may have unintended negative consequences by reducing land values and thus social and economic status of women and vulnerable people. Women and poor families may have less say in how their lands or marine areas are zoned or may face intensive, environmentally negative impacts from upland uses in an unbalanced way. </w:t>
      </w:r>
    </w:p>
    <w:p w14:paraId="728F5D51" w14:textId="77777777" w:rsidR="000D2499" w:rsidRPr="006D63E5" w:rsidRDefault="000D2499" w:rsidP="000D2499">
      <w:pPr>
        <w:rPr>
          <w:rFonts w:asciiTheme="majorHAnsi" w:hAnsiTheme="majorHAnsi"/>
          <w:sz w:val="20"/>
          <w:szCs w:val="20"/>
        </w:rPr>
      </w:pPr>
      <w:r w:rsidRPr="006D63E5">
        <w:rPr>
          <w:rFonts w:asciiTheme="majorHAnsi" w:hAnsiTheme="majorHAnsi"/>
          <w:sz w:val="20"/>
          <w:szCs w:val="20"/>
        </w:rPr>
        <w:t>For Landscape/Seascape Planning, this Project does not include broad community meetings, but rather plans for more targeted meetings with smaller groups like Men’s Groups, Women’s Groups, and Youth Groups. In addition, the Communications Strategy includes specific actions to reach vulnerable people, such as by meeting with landowners and church leaders. This is also important given that fewer women own land and thus in a community meeting will be less empowered to have input. Facilitators will need to be trained on gender and social inclusion. The Project will need to invest in gender and socially inclusive Economic and Social analyses of resulting Landscape/Seascape Plans.</w:t>
      </w:r>
    </w:p>
    <w:p w14:paraId="00FBDDCC" w14:textId="77777777" w:rsidR="000D2499" w:rsidRPr="006D63E5" w:rsidRDefault="000D2499" w:rsidP="000D2499">
      <w:pPr>
        <w:rPr>
          <w:rFonts w:asciiTheme="majorHAnsi" w:hAnsiTheme="majorHAnsi"/>
          <w:sz w:val="20"/>
          <w:szCs w:val="20"/>
        </w:rPr>
      </w:pPr>
      <w:r w:rsidRPr="006D63E5">
        <w:rPr>
          <w:rFonts w:asciiTheme="majorHAnsi" w:hAnsiTheme="majorHAnsi"/>
          <w:sz w:val="20"/>
          <w:szCs w:val="20"/>
        </w:rPr>
        <w:t>One key gap, identified by multiple stakeholders, is that use patterns and the impact of men’s and women’s actions on the environment are not well understood but are highly significant to Landscape/Seascape Planning. This Project must therefore invest in spatial mapping but also community and use mapping (using a gender and socially inclusive lens) in order to successfully develop plans. For instance, a single plot of land may have three different key groups: landowners, custodians, and resource users may all be different and from different genders and social groups.</w:t>
      </w:r>
    </w:p>
    <w:p w14:paraId="597887D7" w14:textId="77777777" w:rsidR="000D2499" w:rsidRPr="006D63E5" w:rsidRDefault="000D2499" w:rsidP="000D2499">
      <w:pPr>
        <w:rPr>
          <w:rFonts w:asciiTheme="majorHAnsi" w:hAnsiTheme="majorHAnsi"/>
          <w:b/>
          <w:i/>
          <w:sz w:val="20"/>
          <w:szCs w:val="20"/>
        </w:rPr>
      </w:pPr>
      <w:r w:rsidRPr="006D63E5">
        <w:rPr>
          <w:rFonts w:asciiTheme="majorHAnsi" w:hAnsiTheme="majorHAnsi"/>
          <w:b/>
          <w:i/>
          <w:sz w:val="20"/>
          <w:szCs w:val="20"/>
        </w:rPr>
        <w:t>Fisheries and Aquaculture</w:t>
      </w:r>
    </w:p>
    <w:p w14:paraId="00002DCF" w14:textId="77777777" w:rsidR="000D2499" w:rsidRPr="006D63E5" w:rsidRDefault="000D2499" w:rsidP="000D2499">
      <w:pPr>
        <w:rPr>
          <w:rFonts w:asciiTheme="majorHAnsi" w:hAnsiTheme="majorHAnsi"/>
          <w:sz w:val="20"/>
          <w:szCs w:val="20"/>
        </w:rPr>
      </w:pPr>
      <w:r w:rsidRPr="006D63E5">
        <w:rPr>
          <w:rFonts w:asciiTheme="majorHAnsi" w:hAnsiTheme="majorHAnsi"/>
          <w:sz w:val="20"/>
          <w:szCs w:val="20"/>
        </w:rPr>
        <w:t xml:space="preserve">Fishing is seen as the realm of men, and at the community level men lead decision making on fisheries. However with modern processes, men’s groups are often facilitated by women. Men fish on reefs, in the open lagoon, and in the open ocean much more so than women. Women glean in mangroves and seagrass beds more often than men. These areas are also often used by poorer families because they are closer to shore. Coral reefs have been studied significantly more so than mangroves and seagrass beds; whether this is an artifact of the nation’s diving industry or related to gender priorities is unknown. Women do have significant experience with fishing, but don’t have as strong of a voice in fishing decisions. As part of gender mainstreaming and inclusivity, this Project must ensure that information collection is prioritized based on the needs of men, women, and poor families, and incorporates multiple voices. </w:t>
      </w:r>
    </w:p>
    <w:p w14:paraId="21EA0FF4" w14:textId="77777777" w:rsidR="000D2499" w:rsidRPr="006D63E5" w:rsidRDefault="000D2499" w:rsidP="000D2499">
      <w:pPr>
        <w:rPr>
          <w:rFonts w:asciiTheme="majorHAnsi" w:hAnsiTheme="majorHAnsi"/>
          <w:sz w:val="20"/>
          <w:szCs w:val="20"/>
        </w:rPr>
      </w:pPr>
      <w:r w:rsidRPr="006D63E5">
        <w:rPr>
          <w:rFonts w:asciiTheme="majorHAnsi" w:hAnsiTheme="majorHAnsi"/>
          <w:sz w:val="20"/>
          <w:szCs w:val="20"/>
        </w:rPr>
        <w:t xml:space="preserve">Aquaculture of giant clams is a well-developed industry and is often a family business, with much overlap in roles between genders. Smaller aquaculture ventures such as rabbitfish, crabs, and fish are dominated by men. Administrative roles in aquaculture nonprofits are led by women. </w:t>
      </w:r>
    </w:p>
    <w:p w14:paraId="2B72CE7F" w14:textId="77777777" w:rsidR="000D2499" w:rsidRPr="006D63E5" w:rsidRDefault="000D2499" w:rsidP="000D2499">
      <w:pPr>
        <w:rPr>
          <w:rFonts w:asciiTheme="majorHAnsi" w:hAnsiTheme="majorHAnsi"/>
          <w:sz w:val="20"/>
          <w:szCs w:val="20"/>
        </w:rPr>
      </w:pPr>
      <w:r w:rsidRPr="006D63E5">
        <w:rPr>
          <w:rFonts w:asciiTheme="majorHAnsi" w:hAnsiTheme="majorHAnsi"/>
          <w:sz w:val="20"/>
          <w:szCs w:val="20"/>
        </w:rPr>
        <w:t xml:space="preserve">Men and women access the markets in different ways. Women rely on fewer traditional markets for fisheries and agriculture products, whereas men make use of more ways to access the market, including direct sales to restaurants and hotels, wholesale producer arrangements with stores, and use of traditional small-scale markets. </w:t>
      </w:r>
    </w:p>
    <w:p w14:paraId="6E68B101" w14:textId="509C7C3F" w:rsidR="000D2499" w:rsidRPr="006D63E5" w:rsidRDefault="000D2499" w:rsidP="000D2499">
      <w:pPr>
        <w:rPr>
          <w:rFonts w:asciiTheme="majorHAnsi" w:hAnsiTheme="majorHAnsi"/>
          <w:sz w:val="20"/>
          <w:szCs w:val="20"/>
        </w:rPr>
      </w:pPr>
      <w:r w:rsidRPr="006D63E5">
        <w:rPr>
          <w:rFonts w:asciiTheme="majorHAnsi" w:hAnsiTheme="majorHAnsi"/>
          <w:sz w:val="20"/>
          <w:szCs w:val="20"/>
        </w:rPr>
        <w:t>One planned output of this project is to create new protected areas or managed zones. A gender and inclusive lens will be employed to make sure that the Project does not have unintended negative consequences that remove fishing grounds disproportionately from any one particular group</w:t>
      </w:r>
      <w:r w:rsidR="00194AA1">
        <w:rPr>
          <w:rFonts w:asciiTheme="majorHAnsi" w:hAnsiTheme="majorHAnsi"/>
          <w:sz w:val="20"/>
          <w:szCs w:val="20"/>
        </w:rPr>
        <w:t xml:space="preserve">. </w:t>
      </w:r>
    </w:p>
    <w:p w14:paraId="415B6F85" w14:textId="77777777" w:rsidR="000D2499" w:rsidRPr="006D63E5" w:rsidRDefault="000D2499" w:rsidP="000D2499">
      <w:pPr>
        <w:rPr>
          <w:rFonts w:asciiTheme="majorHAnsi" w:hAnsiTheme="majorHAnsi"/>
          <w:b/>
          <w:sz w:val="20"/>
          <w:szCs w:val="20"/>
        </w:rPr>
      </w:pPr>
      <w:r w:rsidRPr="006D63E5">
        <w:rPr>
          <w:rFonts w:asciiTheme="majorHAnsi" w:hAnsiTheme="majorHAnsi"/>
          <w:b/>
          <w:sz w:val="20"/>
          <w:szCs w:val="20"/>
        </w:rPr>
        <w:t>Sustainable Tourism</w:t>
      </w:r>
    </w:p>
    <w:p w14:paraId="6BD21A67" w14:textId="77777777" w:rsidR="000D2499" w:rsidRPr="006D63E5" w:rsidRDefault="000D2499" w:rsidP="000D2499">
      <w:pPr>
        <w:rPr>
          <w:rFonts w:asciiTheme="majorHAnsi" w:hAnsiTheme="majorHAnsi"/>
          <w:sz w:val="20"/>
          <w:szCs w:val="20"/>
        </w:rPr>
      </w:pPr>
      <w:r w:rsidRPr="006D63E5">
        <w:rPr>
          <w:rFonts w:asciiTheme="majorHAnsi" w:hAnsiTheme="majorHAnsi"/>
          <w:sz w:val="20"/>
          <w:szCs w:val="20"/>
        </w:rPr>
        <w:t xml:space="preserve">Women are far less likely to play a management role in businesses of any kind. One key informant stated that “women have not embraced the role and don’t see themselves as being in charge.” A key gap (also identified by the ADB, is financial literacy. This is true for many vulnerable populations. </w:t>
      </w:r>
    </w:p>
    <w:p w14:paraId="764BE07E" w14:textId="77777777" w:rsidR="000D2499" w:rsidRPr="006D63E5" w:rsidRDefault="000D2499" w:rsidP="000D2499">
      <w:pPr>
        <w:rPr>
          <w:rFonts w:asciiTheme="majorHAnsi" w:hAnsiTheme="majorHAnsi"/>
          <w:sz w:val="20"/>
          <w:szCs w:val="20"/>
        </w:rPr>
      </w:pPr>
      <w:r w:rsidRPr="006D63E5">
        <w:rPr>
          <w:rFonts w:asciiTheme="majorHAnsi" w:hAnsiTheme="majorHAnsi"/>
          <w:sz w:val="20"/>
          <w:szCs w:val="20"/>
        </w:rPr>
        <w:t>There is little information on how men and women engage with the economic markets in country. Men, women, and vulnerable populations have little ability or capacity to create a tourism product and connect it to the market. However, because of their better links to the market in fisheries and agriculture, men are better connected to the private sector.</w:t>
      </w:r>
    </w:p>
    <w:p w14:paraId="57F0445F" w14:textId="77777777" w:rsidR="000D2499" w:rsidRPr="006D63E5" w:rsidRDefault="000D2499" w:rsidP="000D2499">
      <w:pPr>
        <w:rPr>
          <w:rFonts w:asciiTheme="majorHAnsi" w:hAnsiTheme="majorHAnsi"/>
          <w:sz w:val="20"/>
          <w:szCs w:val="20"/>
        </w:rPr>
      </w:pPr>
      <w:r w:rsidRPr="006D63E5">
        <w:rPr>
          <w:rFonts w:asciiTheme="majorHAnsi" w:hAnsiTheme="majorHAnsi"/>
          <w:sz w:val="20"/>
          <w:szCs w:val="20"/>
        </w:rPr>
        <w:t>Palau’s Gender Mainstream Plan prioritizes mapping of the tourism sector to better understand how it impacts lives and who accrues benefits, using a Gender and Socially Inclusive perspective.</w:t>
      </w:r>
    </w:p>
    <w:p w14:paraId="377BE16E" w14:textId="180E6A97" w:rsidR="000D2499" w:rsidRPr="006D63E5" w:rsidRDefault="000D2499" w:rsidP="000D2499">
      <w:pPr>
        <w:rPr>
          <w:rFonts w:asciiTheme="majorHAnsi" w:hAnsiTheme="majorHAnsi"/>
          <w:sz w:val="20"/>
          <w:szCs w:val="20"/>
        </w:rPr>
      </w:pPr>
      <w:r w:rsidRPr="006D63E5">
        <w:rPr>
          <w:rFonts w:asciiTheme="majorHAnsi" w:hAnsiTheme="majorHAnsi"/>
          <w:sz w:val="20"/>
          <w:szCs w:val="20"/>
        </w:rPr>
        <w:t>Sustainable Tourism will be implemented at the community and State level, not at the Private Sector level, to ensure that unintended negative consequences, such as further enrichment of the wealthy at the expense of the vulnerable, does not occur</w:t>
      </w:r>
      <w:r w:rsidR="00194AA1">
        <w:rPr>
          <w:rFonts w:asciiTheme="majorHAnsi" w:hAnsiTheme="majorHAnsi"/>
          <w:sz w:val="20"/>
          <w:szCs w:val="20"/>
        </w:rPr>
        <w:t xml:space="preserve">. </w:t>
      </w:r>
    </w:p>
    <w:p w14:paraId="26840889" w14:textId="77777777" w:rsidR="000D2499" w:rsidRPr="006D63E5" w:rsidRDefault="000D2499" w:rsidP="000D2499">
      <w:pPr>
        <w:rPr>
          <w:rFonts w:asciiTheme="majorHAnsi" w:hAnsiTheme="majorHAnsi"/>
          <w:b/>
          <w:sz w:val="20"/>
          <w:szCs w:val="20"/>
        </w:rPr>
      </w:pPr>
      <w:r w:rsidRPr="006D63E5">
        <w:rPr>
          <w:rFonts w:asciiTheme="majorHAnsi" w:hAnsiTheme="majorHAnsi"/>
          <w:b/>
          <w:sz w:val="20"/>
          <w:szCs w:val="20"/>
        </w:rPr>
        <w:t>Agriculture and Forestry</w:t>
      </w:r>
    </w:p>
    <w:p w14:paraId="324845DD" w14:textId="77777777" w:rsidR="000D2499" w:rsidRPr="006D63E5" w:rsidRDefault="000D2499" w:rsidP="000D2499">
      <w:pPr>
        <w:rPr>
          <w:rFonts w:asciiTheme="majorHAnsi" w:hAnsiTheme="majorHAnsi"/>
          <w:sz w:val="20"/>
          <w:szCs w:val="20"/>
        </w:rPr>
      </w:pPr>
      <w:r w:rsidRPr="006D63E5">
        <w:rPr>
          <w:rFonts w:asciiTheme="majorHAnsi" w:hAnsiTheme="majorHAnsi"/>
          <w:sz w:val="20"/>
          <w:szCs w:val="20"/>
        </w:rPr>
        <w:t xml:space="preserve">Agriculture and “matters on land” were traditionally the purview of women. However, much of upland and commercial farming is dominated now by men. Women are still responsible for taro farming, although many employ foreign male laborers to help with taro. One key informant stated: “Men have successfully crossed over to farming, but women have not successfully crossed over to fishing.” </w:t>
      </w:r>
    </w:p>
    <w:p w14:paraId="19ACFDD0" w14:textId="77777777" w:rsidR="000D2499" w:rsidRPr="006D63E5" w:rsidRDefault="000D2499" w:rsidP="000D2499">
      <w:pPr>
        <w:rPr>
          <w:rFonts w:asciiTheme="majorHAnsi" w:hAnsiTheme="majorHAnsi"/>
          <w:sz w:val="20"/>
          <w:szCs w:val="20"/>
        </w:rPr>
      </w:pPr>
      <w:r w:rsidRPr="006D63E5">
        <w:rPr>
          <w:rFonts w:asciiTheme="majorHAnsi" w:hAnsiTheme="majorHAnsi"/>
          <w:sz w:val="20"/>
          <w:szCs w:val="20"/>
        </w:rPr>
        <w:t>Forestry is underdeveloped. Men are more likely to harvest timber, and women are more likely to gather plants. Protected area planning of forested areas is usually done by a mix of men and women; enforcement of forest regulations is dominated by male Conservation Officers.</w:t>
      </w:r>
    </w:p>
    <w:p w14:paraId="1C91D5D4" w14:textId="53AC8488" w:rsidR="000D2499" w:rsidRPr="006D63E5" w:rsidRDefault="000D2499" w:rsidP="000D2499">
      <w:pPr>
        <w:rPr>
          <w:rFonts w:asciiTheme="majorHAnsi" w:hAnsiTheme="majorHAnsi"/>
          <w:sz w:val="20"/>
          <w:szCs w:val="20"/>
        </w:rPr>
      </w:pPr>
      <w:r w:rsidRPr="006D63E5">
        <w:rPr>
          <w:rFonts w:asciiTheme="majorHAnsi" w:hAnsiTheme="majorHAnsi"/>
          <w:sz w:val="20"/>
          <w:szCs w:val="20"/>
        </w:rPr>
        <w:t>One planned output of this project is to create new protected areas or managed zones. A gender and inclusive lens will be employed to make sure that the Project does not have unintended negative consequences that remove lands, or protect water sources disproportionately</w:t>
      </w:r>
      <w:r w:rsidR="00194AA1">
        <w:rPr>
          <w:rFonts w:asciiTheme="majorHAnsi" w:hAnsiTheme="majorHAnsi"/>
          <w:sz w:val="20"/>
          <w:szCs w:val="20"/>
        </w:rPr>
        <w:t xml:space="preserve">. </w:t>
      </w:r>
    </w:p>
    <w:p w14:paraId="21C4E183" w14:textId="77777777" w:rsidR="000D2499" w:rsidRPr="006D63E5" w:rsidRDefault="000D2499" w:rsidP="000D2499">
      <w:pPr>
        <w:rPr>
          <w:rFonts w:asciiTheme="majorHAnsi" w:hAnsiTheme="majorHAnsi"/>
          <w:b/>
          <w:sz w:val="20"/>
          <w:szCs w:val="20"/>
        </w:rPr>
      </w:pPr>
      <w:r w:rsidRPr="006D63E5">
        <w:rPr>
          <w:rFonts w:asciiTheme="majorHAnsi" w:hAnsiTheme="majorHAnsi"/>
          <w:b/>
          <w:sz w:val="20"/>
          <w:szCs w:val="20"/>
        </w:rPr>
        <w:t>Proposed Initiatives for Gender Mainstreaming</w:t>
      </w:r>
    </w:p>
    <w:p w14:paraId="190C1A9C" w14:textId="77777777" w:rsidR="000D2499" w:rsidRPr="006D63E5" w:rsidRDefault="000D2499" w:rsidP="000D2499">
      <w:pPr>
        <w:rPr>
          <w:rFonts w:asciiTheme="majorHAnsi" w:hAnsiTheme="majorHAnsi"/>
          <w:sz w:val="20"/>
          <w:szCs w:val="20"/>
        </w:rPr>
      </w:pPr>
      <w:r w:rsidRPr="006D63E5">
        <w:rPr>
          <w:rFonts w:asciiTheme="majorHAnsi" w:hAnsiTheme="majorHAnsi"/>
          <w:sz w:val="20"/>
          <w:szCs w:val="20"/>
        </w:rPr>
        <w:t>This GEF6 Project will be one of the first National, multi-sector projects to employ Gender and Socially Inclusive Mainstreaming. The GEF STAR Project did not have this requirement. The CB2 Project includes reference to gender equality and sets a target that 40% of individuals receiving capacity building and training are women. Key initiatives include:</w:t>
      </w:r>
    </w:p>
    <w:p w14:paraId="0065991C" w14:textId="77777777" w:rsidR="000D2499" w:rsidRPr="006D63E5" w:rsidRDefault="000D2499" w:rsidP="00EA4043">
      <w:pPr>
        <w:pStyle w:val="ListParagraph"/>
        <w:numPr>
          <w:ilvl w:val="0"/>
          <w:numId w:val="57"/>
        </w:numPr>
        <w:spacing w:after="60"/>
        <w:contextualSpacing/>
        <w:jc w:val="both"/>
        <w:rPr>
          <w:rFonts w:asciiTheme="majorHAnsi" w:hAnsiTheme="majorHAnsi"/>
          <w:sz w:val="20"/>
          <w:szCs w:val="20"/>
        </w:rPr>
      </w:pPr>
      <w:r w:rsidRPr="00DB6EB8">
        <w:rPr>
          <w:rFonts w:asciiTheme="majorHAnsi" w:hAnsiTheme="majorHAnsi"/>
          <w:sz w:val="20"/>
          <w:szCs w:val="20"/>
        </w:rPr>
        <w:t xml:space="preserve">Applying the Gender and Socially Inclusive perspective to every set of activities. This means adding inclusivity to meeting agendas and reporting requirements, so that it is addressed on a regular basis. </w:t>
      </w:r>
    </w:p>
    <w:p w14:paraId="54AF70C2" w14:textId="77777777" w:rsidR="000D2499" w:rsidRPr="006D63E5" w:rsidRDefault="000D2499" w:rsidP="00EA4043">
      <w:pPr>
        <w:pStyle w:val="ListParagraph"/>
        <w:numPr>
          <w:ilvl w:val="0"/>
          <w:numId w:val="57"/>
        </w:numPr>
        <w:spacing w:after="60"/>
        <w:contextualSpacing/>
        <w:jc w:val="both"/>
        <w:rPr>
          <w:rFonts w:asciiTheme="majorHAnsi" w:hAnsiTheme="majorHAnsi"/>
          <w:sz w:val="20"/>
          <w:szCs w:val="20"/>
        </w:rPr>
      </w:pPr>
      <w:r w:rsidRPr="006D63E5">
        <w:rPr>
          <w:rFonts w:asciiTheme="majorHAnsi" w:hAnsiTheme="majorHAnsi"/>
          <w:sz w:val="20"/>
          <w:szCs w:val="20"/>
        </w:rPr>
        <w:t>A research component, including mapping of gender and social roles in the landscape/seascape, and filling of gender-related data gaps. This includes identified data needs from a gender perspective (e.g. data from gleaned areas) and collecting gender disaggregated data.</w:t>
      </w:r>
    </w:p>
    <w:p w14:paraId="6985950C" w14:textId="77777777" w:rsidR="000D2499" w:rsidRPr="006D63E5" w:rsidRDefault="000D2499" w:rsidP="00EA4043">
      <w:pPr>
        <w:pStyle w:val="ListParagraph"/>
        <w:numPr>
          <w:ilvl w:val="0"/>
          <w:numId w:val="57"/>
        </w:numPr>
        <w:spacing w:after="60"/>
        <w:contextualSpacing/>
        <w:jc w:val="both"/>
        <w:rPr>
          <w:rFonts w:asciiTheme="majorHAnsi" w:hAnsiTheme="majorHAnsi"/>
          <w:sz w:val="20"/>
          <w:szCs w:val="20"/>
        </w:rPr>
      </w:pPr>
      <w:r w:rsidRPr="006D63E5">
        <w:rPr>
          <w:rFonts w:asciiTheme="majorHAnsi" w:hAnsiTheme="majorHAnsi"/>
          <w:sz w:val="20"/>
          <w:szCs w:val="20"/>
        </w:rPr>
        <w:t>Investing in approaches that facilitate more communication with and input from gender and social groups.</w:t>
      </w:r>
    </w:p>
    <w:p w14:paraId="44B3DC07" w14:textId="77777777" w:rsidR="000D2499" w:rsidRPr="006D63E5" w:rsidRDefault="000D2499" w:rsidP="000D2499">
      <w:pPr>
        <w:rPr>
          <w:rFonts w:asciiTheme="majorHAnsi" w:hAnsiTheme="majorHAnsi"/>
          <w:sz w:val="20"/>
          <w:szCs w:val="20"/>
        </w:rPr>
      </w:pPr>
    </w:p>
    <w:p w14:paraId="430CDD3F" w14:textId="77777777" w:rsidR="000D2499" w:rsidRPr="006D63E5" w:rsidRDefault="000D2499" w:rsidP="000D2499">
      <w:pPr>
        <w:rPr>
          <w:rFonts w:asciiTheme="majorHAnsi" w:hAnsiTheme="majorHAnsi"/>
          <w:b/>
          <w:sz w:val="20"/>
          <w:szCs w:val="20"/>
        </w:rPr>
      </w:pPr>
      <w:r w:rsidRPr="006D63E5">
        <w:rPr>
          <w:rFonts w:asciiTheme="majorHAnsi" w:hAnsiTheme="majorHAnsi"/>
          <w:b/>
          <w:sz w:val="20"/>
          <w:szCs w:val="20"/>
        </w:rPr>
        <w:t>Gender Mainstreaming Action Plan</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3623"/>
        <w:gridCol w:w="4500"/>
      </w:tblGrid>
      <w:tr w:rsidR="000D2499" w:rsidRPr="004C50E6" w14:paraId="74CB7B35" w14:textId="77777777" w:rsidTr="000D2499">
        <w:trPr>
          <w:tblHeader/>
        </w:trPr>
        <w:tc>
          <w:tcPr>
            <w:tcW w:w="1957" w:type="dxa"/>
            <w:shd w:val="clear" w:color="auto" w:fill="D6E3BC"/>
          </w:tcPr>
          <w:p w14:paraId="5F909885" w14:textId="77777777" w:rsidR="000D2499" w:rsidRPr="00DB6EB8" w:rsidRDefault="000D2499" w:rsidP="006D63E5">
            <w:pPr>
              <w:widowControl w:val="0"/>
              <w:autoSpaceDE w:val="0"/>
              <w:autoSpaceDN w:val="0"/>
              <w:adjustRightInd w:val="0"/>
              <w:spacing w:after="0"/>
              <w:jc w:val="left"/>
              <w:rPr>
                <w:rFonts w:asciiTheme="majorHAnsi" w:hAnsiTheme="majorHAnsi"/>
                <w:b/>
                <w:sz w:val="18"/>
                <w:szCs w:val="18"/>
              </w:rPr>
            </w:pPr>
            <w:r w:rsidRPr="00DB6EB8">
              <w:rPr>
                <w:rFonts w:asciiTheme="majorHAnsi" w:hAnsiTheme="majorHAnsi"/>
                <w:b/>
                <w:sz w:val="18"/>
                <w:szCs w:val="18"/>
              </w:rPr>
              <w:t xml:space="preserve">Gender Mainstreaming Objective </w:t>
            </w:r>
          </w:p>
        </w:tc>
        <w:tc>
          <w:tcPr>
            <w:tcW w:w="3623" w:type="dxa"/>
            <w:shd w:val="clear" w:color="auto" w:fill="D6E3BC"/>
          </w:tcPr>
          <w:p w14:paraId="49380FF7" w14:textId="77777777" w:rsidR="000D2499" w:rsidRPr="006D63E5" w:rsidRDefault="000D2499" w:rsidP="006D63E5">
            <w:pPr>
              <w:widowControl w:val="0"/>
              <w:autoSpaceDE w:val="0"/>
              <w:autoSpaceDN w:val="0"/>
              <w:adjustRightInd w:val="0"/>
              <w:spacing w:after="0"/>
              <w:jc w:val="left"/>
              <w:rPr>
                <w:rFonts w:asciiTheme="majorHAnsi" w:hAnsiTheme="majorHAnsi"/>
                <w:b/>
                <w:sz w:val="18"/>
                <w:szCs w:val="18"/>
              </w:rPr>
            </w:pPr>
            <w:r w:rsidRPr="006D63E5">
              <w:rPr>
                <w:rFonts w:asciiTheme="majorHAnsi" w:hAnsiTheme="majorHAnsi"/>
                <w:b/>
                <w:sz w:val="18"/>
                <w:szCs w:val="18"/>
              </w:rPr>
              <w:t>Gender Mainstreaming Activity</w:t>
            </w:r>
          </w:p>
        </w:tc>
        <w:tc>
          <w:tcPr>
            <w:tcW w:w="4500" w:type="dxa"/>
            <w:shd w:val="clear" w:color="auto" w:fill="D6E3BC"/>
          </w:tcPr>
          <w:p w14:paraId="06C954EB" w14:textId="77777777" w:rsidR="000D2499" w:rsidRPr="006D63E5" w:rsidRDefault="000D2499" w:rsidP="006D63E5">
            <w:pPr>
              <w:widowControl w:val="0"/>
              <w:autoSpaceDE w:val="0"/>
              <w:autoSpaceDN w:val="0"/>
              <w:adjustRightInd w:val="0"/>
              <w:spacing w:after="0"/>
              <w:jc w:val="left"/>
              <w:rPr>
                <w:rFonts w:asciiTheme="majorHAnsi" w:hAnsiTheme="majorHAnsi"/>
                <w:b/>
                <w:sz w:val="18"/>
                <w:szCs w:val="18"/>
              </w:rPr>
            </w:pPr>
            <w:r w:rsidRPr="006D63E5">
              <w:rPr>
                <w:rFonts w:asciiTheme="majorHAnsi" w:hAnsiTheme="majorHAnsi"/>
                <w:b/>
                <w:sz w:val="18"/>
                <w:szCs w:val="18"/>
              </w:rPr>
              <w:t>Gender mainstreaming Target</w:t>
            </w:r>
          </w:p>
        </w:tc>
      </w:tr>
      <w:tr w:rsidR="000D2499" w:rsidRPr="004C50E6" w14:paraId="0CD5F36E" w14:textId="77777777" w:rsidTr="000D2499">
        <w:tc>
          <w:tcPr>
            <w:tcW w:w="1957" w:type="dxa"/>
            <w:shd w:val="clear" w:color="auto" w:fill="auto"/>
          </w:tcPr>
          <w:p w14:paraId="3D42972A" w14:textId="77777777" w:rsidR="000D2499" w:rsidRPr="00DB6EB8" w:rsidRDefault="000D2499" w:rsidP="006D63E5">
            <w:pPr>
              <w:widowControl w:val="0"/>
              <w:autoSpaceDE w:val="0"/>
              <w:autoSpaceDN w:val="0"/>
              <w:adjustRightInd w:val="0"/>
              <w:spacing w:after="0"/>
              <w:ind w:left="-41"/>
              <w:jc w:val="left"/>
              <w:rPr>
                <w:rFonts w:asciiTheme="majorHAnsi" w:hAnsiTheme="majorHAnsi"/>
                <w:sz w:val="18"/>
                <w:szCs w:val="18"/>
              </w:rPr>
            </w:pPr>
            <w:r w:rsidRPr="00DB6EB8">
              <w:rPr>
                <w:rFonts w:asciiTheme="majorHAnsi" w:hAnsiTheme="majorHAnsi"/>
                <w:sz w:val="18"/>
                <w:szCs w:val="18"/>
              </w:rPr>
              <w:t>Project becomes a model for improving gender and social mainstreaming into National Government offices and formal procedures</w:t>
            </w:r>
          </w:p>
          <w:p w14:paraId="3EAE0A4A" w14:textId="77777777" w:rsidR="000D2499" w:rsidRPr="006D63E5" w:rsidRDefault="000D2499" w:rsidP="006D63E5">
            <w:pPr>
              <w:widowControl w:val="0"/>
              <w:autoSpaceDE w:val="0"/>
              <w:autoSpaceDN w:val="0"/>
              <w:adjustRightInd w:val="0"/>
              <w:spacing w:after="0"/>
              <w:jc w:val="left"/>
              <w:rPr>
                <w:rFonts w:asciiTheme="majorHAnsi" w:hAnsiTheme="majorHAnsi"/>
                <w:sz w:val="18"/>
                <w:szCs w:val="18"/>
              </w:rPr>
            </w:pPr>
          </w:p>
        </w:tc>
        <w:tc>
          <w:tcPr>
            <w:tcW w:w="3623" w:type="dxa"/>
            <w:shd w:val="clear" w:color="auto" w:fill="auto"/>
          </w:tcPr>
          <w:p w14:paraId="35CD7F2B" w14:textId="77777777" w:rsidR="000D2499" w:rsidRPr="006D63E5" w:rsidRDefault="000D2499" w:rsidP="006D63E5">
            <w:pPr>
              <w:widowControl w:val="0"/>
              <w:autoSpaceDE w:val="0"/>
              <w:autoSpaceDN w:val="0"/>
              <w:adjustRightInd w:val="0"/>
              <w:spacing w:after="0"/>
              <w:jc w:val="left"/>
              <w:rPr>
                <w:rFonts w:asciiTheme="majorHAnsi" w:hAnsiTheme="majorHAnsi"/>
                <w:sz w:val="18"/>
                <w:szCs w:val="18"/>
              </w:rPr>
            </w:pPr>
            <w:r w:rsidRPr="006D63E5">
              <w:rPr>
                <w:rFonts w:asciiTheme="majorHAnsi" w:hAnsiTheme="majorHAnsi"/>
                <w:sz w:val="18"/>
                <w:szCs w:val="18"/>
              </w:rPr>
              <w:t xml:space="preserve">1. Project materials, including meeting agendas, reporting templates, communications materials, and all written Policies include gender and social mainstreaming. </w:t>
            </w:r>
          </w:p>
        </w:tc>
        <w:tc>
          <w:tcPr>
            <w:tcW w:w="4500" w:type="dxa"/>
            <w:shd w:val="clear" w:color="auto" w:fill="auto"/>
          </w:tcPr>
          <w:p w14:paraId="279456A2" w14:textId="77777777" w:rsidR="000D2499" w:rsidRPr="006D63E5" w:rsidRDefault="000D2499" w:rsidP="006D63E5">
            <w:pPr>
              <w:widowControl w:val="0"/>
              <w:autoSpaceDE w:val="0"/>
              <w:autoSpaceDN w:val="0"/>
              <w:adjustRightInd w:val="0"/>
              <w:spacing w:after="0"/>
              <w:jc w:val="left"/>
              <w:rPr>
                <w:rFonts w:asciiTheme="majorHAnsi" w:hAnsiTheme="majorHAnsi"/>
                <w:sz w:val="18"/>
                <w:szCs w:val="18"/>
              </w:rPr>
            </w:pPr>
            <w:r w:rsidRPr="006D63E5">
              <w:rPr>
                <w:rFonts w:asciiTheme="majorHAnsi" w:hAnsiTheme="majorHAnsi"/>
                <w:sz w:val="18"/>
                <w:szCs w:val="18"/>
              </w:rPr>
              <w:t>The average score on the Gender Mainstreaming within the Environmental Sector and by Implementing Agencies Survey (Table 1) goes from a 2 (limited mainstreaming) to a 3 (moderate mainstreaming) or higher.</w:t>
            </w:r>
          </w:p>
          <w:p w14:paraId="00CC5FAB" w14:textId="77777777" w:rsidR="000D2499" w:rsidRPr="006D63E5" w:rsidRDefault="000D2499" w:rsidP="006D63E5">
            <w:pPr>
              <w:widowControl w:val="0"/>
              <w:autoSpaceDE w:val="0"/>
              <w:autoSpaceDN w:val="0"/>
              <w:adjustRightInd w:val="0"/>
              <w:spacing w:after="0"/>
              <w:jc w:val="left"/>
              <w:rPr>
                <w:rFonts w:asciiTheme="majorHAnsi" w:hAnsiTheme="majorHAnsi"/>
                <w:sz w:val="18"/>
                <w:szCs w:val="18"/>
              </w:rPr>
            </w:pPr>
          </w:p>
          <w:p w14:paraId="3B7EDC4B" w14:textId="77777777" w:rsidR="000D2499" w:rsidRPr="006D63E5" w:rsidRDefault="000D2499" w:rsidP="006D63E5">
            <w:pPr>
              <w:widowControl w:val="0"/>
              <w:autoSpaceDE w:val="0"/>
              <w:autoSpaceDN w:val="0"/>
              <w:adjustRightInd w:val="0"/>
              <w:spacing w:after="0"/>
              <w:jc w:val="left"/>
              <w:rPr>
                <w:rFonts w:asciiTheme="majorHAnsi" w:hAnsiTheme="majorHAnsi"/>
                <w:sz w:val="18"/>
                <w:szCs w:val="18"/>
              </w:rPr>
            </w:pPr>
            <w:r w:rsidRPr="006D63E5">
              <w:rPr>
                <w:rFonts w:asciiTheme="majorHAnsi" w:hAnsiTheme="majorHAnsi"/>
                <w:sz w:val="18"/>
                <w:szCs w:val="18"/>
              </w:rPr>
              <w:t>The average National Gender Analysis and Social Safeguard Score increases from the baseline of 1.6 to a minimum of 2.1, indicating that both genders are participating and benefitting equally and there is increasing representation and benefits by multiple levels of society (Table 3).</w:t>
            </w:r>
          </w:p>
        </w:tc>
      </w:tr>
      <w:tr w:rsidR="000D2499" w:rsidRPr="004C50E6" w14:paraId="4B0CE2FD" w14:textId="77777777" w:rsidTr="000D2499">
        <w:tc>
          <w:tcPr>
            <w:tcW w:w="1957" w:type="dxa"/>
            <w:shd w:val="clear" w:color="auto" w:fill="auto"/>
          </w:tcPr>
          <w:p w14:paraId="06E87B29" w14:textId="77777777" w:rsidR="000D2499" w:rsidRPr="00DB6EB8" w:rsidRDefault="000D2499" w:rsidP="006D63E5">
            <w:pPr>
              <w:widowControl w:val="0"/>
              <w:autoSpaceDE w:val="0"/>
              <w:autoSpaceDN w:val="0"/>
              <w:adjustRightInd w:val="0"/>
              <w:spacing w:after="0"/>
              <w:jc w:val="left"/>
              <w:rPr>
                <w:rFonts w:asciiTheme="majorHAnsi" w:hAnsiTheme="majorHAnsi"/>
                <w:sz w:val="18"/>
                <w:szCs w:val="18"/>
              </w:rPr>
            </w:pPr>
            <w:r w:rsidRPr="00DB6EB8">
              <w:rPr>
                <w:rFonts w:asciiTheme="majorHAnsi" w:hAnsiTheme="majorHAnsi"/>
                <w:sz w:val="18"/>
                <w:szCs w:val="18"/>
              </w:rPr>
              <w:t>Improve diversity of input into Landscape/ Seascape Planning Teams</w:t>
            </w:r>
          </w:p>
        </w:tc>
        <w:tc>
          <w:tcPr>
            <w:tcW w:w="3623" w:type="dxa"/>
            <w:shd w:val="clear" w:color="auto" w:fill="auto"/>
          </w:tcPr>
          <w:p w14:paraId="1FC99037" w14:textId="77777777" w:rsidR="000D2499" w:rsidRPr="006D63E5" w:rsidRDefault="000D2499" w:rsidP="006D63E5">
            <w:pPr>
              <w:spacing w:after="0"/>
              <w:jc w:val="left"/>
              <w:rPr>
                <w:rFonts w:asciiTheme="majorHAnsi" w:hAnsiTheme="majorHAnsi"/>
                <w:sz w:val="18"/>
                <w:szCs w:val="18"/>
              </w:rPr>
            </w:pPr>
            <w:r w:rsidRPr="006D63E5">
              <w:rPr>
                <w:rFonts w:asciiTheme="majorHAnsi" w:hAnsiTheme="majorHAnsi"/>
                <w:sz w:val="18"/>
                <w:szCs w:val="18"/>
              </w:rPr>
              <w:t xml:space="preserve">1. Create and require minimum standards for Planning Teams, including representation from multiple gender and social groups and/or tasking of Planning Team members to speak for vulnerable peoples </w:t>
            </w:r>
          </w:p>
          <w:p w14:paraId="12AE49ED" w14:textId="77777777" w:rsidR="000D2499" w:rsidRPr="006D63E5" w:rsidRDefault="000D2499" w:rsidP="006D63E5">
            <w:pPr>
              <w:spacing w:after="0"/>
              <w:jc w:val="left"/>
              <w:rPr>
                <w:rFonts w:asciiTheme="majorHAnsi" w:hAnsiTheme="majorHAnsi"/>
                <w:sz w:val="18"/>
                <w:szCs w:val="18"/>
              </w:rPr>
            </w:pPr>
            <w:r w:rsidRPr="006D63E5">
              <w:rPr>
                <w:rFonts w:asciiTheme="majorHAnsi" w:hAnsiTheme="majorHAnsi"/>
                <w:sz w:val="18"/>
                <w:szCs w:val="18"/>
              </w:rPr>
              <w:t>2. Capacity Building and Training for Project Staff and Planning Team facilitators to include the input of multiple groups into resulting Plans</w:t>
            </w:r>
          </w:p>
        </w:tc>
        <w:tc>
          <w:tcPr>
            <w:tcW w:w="4500" w:type="dxa"/>
            <w:shd w:val="clear" w:color="auto" w:fill="auto"/>
          </w:tcPr>
          <w:p w14:paraId="4356C890" w14:textId="77777777" w:rsidR="000D2499" w:rsidRPr="006D63E5" w:rsidRDefault="000D2499" w:rsidP="006D63E5">
            <w:pPr>
              <w:widowControl w:val="0"/>
              <w:autoSpaceDE w:val="0"/>
              <w:autoSpaceDN w:val="0"/>
              <w:adjustRightInd w:val="0"/>
              <w:spacing w:after="0"/>
              <w:jc w:val="left"/>
              <w:rPr>
                <w:rFonts w:asciiTheme="majorHAnsi" w:hAnsiTheme="majorHAnsi"/>
                <w:sz w:val="18"/>
                <w:szCs w:val="18"/>
              </w:rPr>
            </w:pPr>
            <w:r w:rsidRPr="006D63E5">
              <w:rPr>
                <w:rFonts w:asciiTheme="majorHAnsi" w:hAnsiTheme="majorHAnsi"/>
                <w:sz w:val="18"/>
                <w:szCs w:val="18"/>
              </w:rPr>
              <w:t>Participation of women in planning teams increases from 23% to close to 50% by the end of project (Table 2).</w:t>
            </w:r>
          </w:p>
          <w:p w14:paraId="73591061" w14:textId="77777777" w:rsidR="000D2499" w:rsidRPr="006D63E5" w:rsidRDefault="000D2499" w:rsidP="006D63E5">
            <w:pPr>
              <w:widowControl w:val="0"/>
              <w:autoSpaceDE w:val="0"/>
              <w:autoSpaceDN w:val="0"/>
              <w:adjustRightInd w:val="0"/>
              <w:spacing w:after="0"/>
              <w:jc w:val="left"/>
              <w:rPr>
                <w:rFonts w:asciiTheme="majorHAnsi" w:hAnsiTheme="majorHAnsi"/>
                <w:sz w:val="18"/>
                <w:szCs w:val="18"/>
              </w:rPr>
            </w:pPr>
          </w:p>
          <w:p w14:paraId="3AD651CC" w14:textId="77777777" w:rsidR="000D2499" w:rsidRPr="006D63E5" w:rsidRDefault="000D2499" w:rsidP="006D63E5">
            <w:pPr>
              <w:widowControl w:val="0"/>
              <w:autoSpaceDE w:val="0"/>
              <w:autoSpaceDN w:val="0"/>
              <w:adjustRightInd w:val="0"/>
              <w:spacing w:after="0"/>
              <w:jc w:val="left"/>
              <w:rPr>
                <w:rFonts w:asciiTheme="majorHAnsi" w:hAnsiTheme="majorHAnsi"/>
                <w:sz w:val="18"/>
                <w:szCs w:val="18"/>
              </w:rPr>
            </w:pPr>
            <w:r w:rsidRPr="006D63E5">
              <w:rPr>
                <w:rFonts w:asciiTheme="majorHAnsi" w:hAnsiTheme="majorHAnsi"/>
                <w:sz w:val="18"/>
                <w:szCs w:val="18"/>
              </w:rPr>
              <w:t>The State average Gender Analysis and Social Safeguard Score for Planning Team representation (Table 3, 6.1) goes from a baseline of 1.3 to at least 2.1, indicating increasing representation from gender and social groups.</w:t>
            </w:r>
          </w:p>
        </w:tc>
      </w:tr>
      <w:tr w:rsidR="000D2499" w:rsidRPr="004C50E6" w14:paraId="45D117FC" w14:textId="77777777" w:rsidTr="000D2499">
        <w:trPr>
          <w:trHeight w:val="1169"/>
        </w:trPr>
        <w:tc>
          <w:tcPr>
            <w:tcW w:w="1957" w:type="dxa"/>
            <w:shd w:val="clear" w:color="auto" w:fill="auto"/>
          </w:tcPr>
          <w:p w14:paraId="486CE29F" w14:textId="77777777" w:rsidR="000D2499" w:rsidRPr="00DB6EB8" w:rsidRDefault="000D2499" w:rsidP="006D63E5">
            <w:pPr>
              <w:widowControl w:val="0"/>
              <w:autoSpaceDE w:val="0"/>
              <w:autoSpaceDN w:val="0"/>
              <w:adjustRightInd w:val="0"/>
              <w:spacing w:after="0"/>
              <w:jc w:val="left"/>
              <w:rPr>
                <w:rFonts w:asciiTheme="majorHAnsi" w:hAnsiTheme="majorHAnsi"/>
                <w:sz w:val="18"/>
                <w:szCs w:val="18"/>
              </w:rPr>
            </w:pPr>
            <w:r w:rsidRPr="00DB6EB8">
              <w:rPr>
                <w:rFonts w:asciiTheme="majorHAnsi" w:hAnsiTheme="majorHAnsi"/>
                <w:sz w:val="18"/>
                <w:szCs w:val="18"/>
              </w:rPr>
              <w:t>Improve understanding of gender and social issues as they relate to landscape/ seascape uses and participation in sectors</w:t>
            </w:r>
          </w:p>
        </w:tc>
        <w:tc>
          <w:tcPr>
            <w:tcW w:w="3623" w:type="dxa"/>
            <w:shd w:val="clear" w:color="auto" w:fill="auto"/>
          </w:tcPr>
          <w:p w14:paraId="143EB805" w14:textId="77777777" w:rsidR="000D2499" w:rsidRPr="006D63E5" w:rsidRDefault="000D2499" w:rsidP="006D63E5">
            <w:pPr>
              <w:spacing w:after="0"/>
              <w:jc w:val="left"/>
              <w:rPr>
                <w:rFonts w:asciiTheme="majorHAnsi" w:hAnsiTheme="majorHAnsi"/>
                <w:sz w:val="18"/>
                <w:szCs w:val="18"/>
              </w:rPr>
            </w:pPr>
            <w:r w:rsidRPr="006D63E5">
              <w:rPr>
                <w:rFonts w:asciiTheme="majorHAnsi" w:hAnsiTheme="majorHAnsi"/>
                <w:sz w:val="18"/>
                <w:szCs w:val="18"/>
              </w:rPr>
              <w:t>1. Support research and mapping of:</w:t>
            </w:r>
          </w:p>
          <w:p w14:paraId="45264B84" w14:textId="77777777" w:rsidR="000D2499" w:rsidRPr="006D63E5" w:rsidRDefault="000D2499" w:rsidP="00EA4043">
            <w:pPr>
              <w:pStyle w:val="ListParagraph"/>
              <w:numPr>
                <w:ilvl w:val="0"/>
                <w:numId w:val="58"/>
              </w:numPr>
              <w:contextualSpacing/>
              <w:rPr>
                <w:rFonts w:asciiTheme="majorHAnsi" w:hAnsiTheme="majorHAnsi"/>
                <w:sz w:val="18"/>
                <w:szCs w:val="18"/>
              </w:rPr>
            </w:pPr>
            <w:r w:rsidRPr="006D63E5">
              <w:rPr>
                <w:rFonts w:asciiTheme="majorHAnsi" w:hAnsiTheme="majorHAnsi"/>
                <w:sz w:val="18"/>
                <w:szCs w:val="18"/>
              </w:rPr>
              <w:t>Current gender roles and how they have changed between generations in each of the 5 sectors</w:t>
            </w:r>
          </w:p>
          <w:p w14:paraId="692BED87" w14:textId="77777777" w:rsidR="000D2499" w:rsidRPr="006D63E5" w:rsidRDefault="000D2499" w:rsidP="00EA4043">
            <w:pPr>
              <w:pStyle w:val="ListParagraph"/>
              <w:numPr>
                <w:ilvl w:val="0"/>
                <w:numId w:val="58"/>
              </w:numPr>
              <w:contextualSpacing/>
              <w:rPr>
                <w:rFonts w:asciiTheme="majorHAnsi" w:hAnsiTheme="majorHAnsi"/>
                <w:sz w:val="18"/>
                <w:szCs w:val="18"/>
              </w:rPr>
            </w:pPr>
            <w:r w:rsidRPr="006D63E5">
              <w:rPr>
                <w:rFonts w:asciiTheme="majorHAnsi" w:hAnsiTheme="majorHAnsi"/>
                <w:sz w:val="18"/>
                <w:szCs w:val="18"/>
              </w:rPr>
              <w:t>Gender and social group uses and use patterns of land and marine habitats</w:t>
            </w:r>
          </w:p>
          <w:p w14:paraId="5544476E" w14:textId="77777777" w:rsidR="000D2499" w:rsidRPr="006D63E5" w:rsidRDefault="000D2499" w:rsidP="00EA4043">
            <w:pPr>
              <w:pStyle w:val="ListParagraph"/>
              <w:numPr>
                <w:ilvl w:val="0"/>
                <w:numId w:val="58"/>
              </w:numPr>
              <w:contextualSpacing/>
              <w:rPr>
                <w:rFonts w:asciiTheme="majorHAnsi" w:hAnsiTheme="majorHAnsi"/>
                <w:sz w:val="18"/>
                <w:szCs w:val="18"/>
              </w:rPr>
            </w:pPr>
            <w:r w:rsidRPr="006D63E5">
              <w:rPr>
                <w:rFonts w:asciiTheme="majorHAnsi" w:hAnsiTheme="majorHAnsi"/>
                <w:sz w:val="18"/>
                <w:szCs w:val="18"/>
              </w:rPr>
              <w:t xml:space="preserve">Market access by gender </w:t>
            </w:r>
          </w:p>
          <w:p w14:paraId="37753CAD" w14:textId="77777777" w:rsidR="000D2499" w:rsidRPr="006D63E5" w:rsidRDefault="000D2499" w:rsidP="00EA4043">
            <w:pPr>
              <w:pStyle w:val="ListParagraph"/>
              <w:numPr>
                <w:ilvl w:val="0"/>
                <w:numId w:val="58"/>
              </w:numPr>
              <w:contextualSpacing/>
              <w:rPr>
                <w:rFonts w:asciiTheme="majorHAnsi" w:hAnsiTheme="majorHAnsi"/>
                <w:sz w:val="18"/>
                <w:szCs w:val="18"/>
              </w:rPr>
            </w:pPr>
            <w:r w:rsidRPr="006D63E5">
              <w:rPr>
                <w:rFonts w:asciiTheme="majorHAnsi" w:hAnsiTheme="majorHAnsi"/>
                <w:sz w:val="18"/>
                <w:szCs w:val="18"/>
              </w:rPr>
              <w:t>Mapping of the tourism sector by gender and social group</w:t>
            </w:r>
          </w:p>
          <w:p w14:paraId="27A57A09" w14:textId="77777777" w:rsidR="000D2499" w:rsidRPr="006D63E5" w:rsidRDefault="000D2499" w:rsidP="006D63E5">
            <w:pPr>
              <w:spacing w:after="0"/>
              <w:jc w:val="left"/>
              <w:rPr>
                <w:rFonts w:asciiTheme="majorHAnsi" w:hAnsiTheme="majorHAnsi"/>
                <w:sz w:val="18"/>
                <w:szCs w:val="18"/>
              </w:rPr>
            </w:pPr>
            <w:r w:rsidRPr="006D63E5">
              <w:rPr>
                <w:rFonts w:asciiTheme="majorHAnsi" w:hAnsiTheme="majorHAnsi"/>
                <w:sz w:val="18"/>
                <w:szCs w:val="18"/>
              </w:rPr>
              <w:t>2. Apply a gender and socially inclusive lens to all research plans and priorities to ensure that multiple groups’ data needs are filled.</w:t>
            </w:r>
          </w:p>
        </w:tc>
        <w:tc>
          <w:tcPr>
            <w:tcW w:w="4500" w:type="dxa"/>
            <w:shd w:val="clear" w:color="auto" w:fill="auto"/>
          </w:tcPr>
          <w:p w14:paraId="12478629" w14:textId="77777777" w:rsidR="000D2499" w:rsidRPr="006D63E5" w:rsidRDefault="000D2499" w:rsidP="006D63E5">
            <w:pPr>
              <w:widowControl w:val="0"/>
              <w:autoSpaceDE w:val="0"/>
              <w:autoSpaceDN w:val="0"/>
              <w:adjustRightInd w:val="0"/>
              <w:spacing w:after="0"/>
              <w:jc w:val="left"/>
              <w:rPr>
                <w:rFonts w:asciiTheme="majorHAnsi" w:hAnsiTheme="majorHAnsi"/>
                <w:sz w:val="18"/>
                <w:szCs w:val="18"/>
              </w:rPr>
            </w:pPr>
            <w:r w:rsidRPr="006D63E5">
              <w:rPr>
                <w:rFonts w:asciiTheme="majorHAnsi" w:hAnsiTheme="majorHAnsi"/>
                <w:sz w:val="18"/>
                <w:szCs w:val="18"/>
              </w:rPr>
              <w:t>Social and gender maps produced to explain: 1) roles, 2) resource use patterns, 3) market access, and 4) tourism sector.</w:t>
            </w:r>
          </w:p>
          <w:p w14:paraId="5CF29308" w14:textId="77777777" w:rsidR="000D2499" w:rsidRPr="006D63E5" w:rsidRDefault="000D2499" w:rsidP="006D63E5">
            <w:pPr>
              <w:widowControl w:val="0"/>
              <w:autoSpaceDE w:val="0"/>
              <w:autoSpaceDN w:val="0"/>
              <w:adjustRightInd w:val="0"/>
              <w:spacing w:after="0"/>
              <w:jc w:val="left"/>
              <w:rPr>
                <w:rFonts w:asciiTheme="majorHAnsi" w:hAnsiTheme="majorHAnsi"/>
                <w:sz w:val="18"/>
                <w:szCs w:val="18"/>
              </w:rPr>
            </w:pPr>
          </w:p>
          <w:p w14:paraId="60FF8653" w14:textId="77777777" w:rsidR="000D2499" w:rsidRPr="006D63E5" w:rsidRDefault="000D2499" w:rsidP="006D63E5">
            <w:pPr>
              <w:widowControl w:val="0"/>
              <w:autoSpaceDE w:val="0"/>
              <w:autoSpaceDN w:val="0"/>
              <w:adjustRightInd w:val="0"/>
              <w:spacing w:after="0"/>
              <w:jc w:val="left"/>
              <w:rPr>
                <w:rFonts w:asciiTheme="majorHAnsi" w:hAnsiTheme="majorHAnsi"/>
                <w:sz w:val="18"/>
                <w:szCs w:val="18"/>
              </w:rPr>
            </w:pPr>
          </w:p>
        </w:tc>
      </w:tr>
      <w:tr w:rsidR="000D2499" w:rsidRPr="004C50E6" w14:paraId="218C4763" w14:textId="77777777" w:rsidTr="000D2499">
        <w:tc>
          <w:tcPr>
            <w:tcW w:w="1957" w:type="dxa"/>
            <w:shd w:val="clear" w:color="auto" w:fill="auto"/>
          </w:tcPr>
          <w:p w14:paraId="019205BA" w14:textId="77777777" w:rsidR="000D2499" w:rsidRPr="00DB6EB8" w:rsidRDefault="000D2499" w:rsidP="006D63E5">
            <w:pPr>
              <w:widowControl w:val="0"/>
              <w:autoSpaceDE w:val="0"/>
              <w:autoSpaceDN w:val="0"/>
              <w:adjustRightInd w:val="0"/>
              <w:spacing w:after="0"/>
              <w:jc w:val="left"/>
              <w:rPr>
                <w:rFonts w:asciiTheme="majorHAnsi" w:hAnsiTheme="majorHAnsi"/>
                <w:sz w:val="18"/>
                <w:szCs w:val="18"/>
              </w:rPr>
            </w:pPr>
            <w:r w:rsidRPr="00DB6EB8">
              <w:rPr>
                <w:rFonts w:asciiTheme="majorHAnsi" w:hAnsiTheme="majorHAnsi"/>
                <w:sz w:val="18"/>
                <w:szCs w:val="18"/>
              </w:rPr>
              <w:t>Improve participation and input from vulnerable people from both genders and multiple social groups</w:t>
            </w:r>
          </w:p>
        </w:tc>
        <w:tc>
          <w:tcPr>
            <w:tcW w:w="3623" w:type="dxa"/>
            <w:shd w:val="clear" w:color="auto" w:fill="auto"/>
          </w:tcPr>
          <w:p w14:paraId="59F2689E" w14:textId="77777777" w:rsidR="000D2499" w:rsidRPr="006D63E5" w:rsidRDefault="000D2499" w:rsidP="006D63E5">
            <w:pPr>
              <w:widowControl w:val="0"/>
              <w:autoSpaceDE w:val="0"/>
              <w:autoSpaceDN w:val="0"/>
              <w:adjustRightInd w:val="0"/>
              <w:spacing w:after="0"/>
              <w:jc w:val="left"/>
              <w:rPr>
                <w:rFonts w:asciiTheme="majorHAnsi" w:hAnsiTheme="majorHAnsi"/>
                <w:sz w:val="18"/>
                <w:szCs w:val="18"/>
              </w:rPr>
            </w:pPr>
            <w:r w:rsidRPr="006D63E5">
              <w:rPr>
                <w:rFonts w:asciiTheme="majorHAnsi" w:hAnsiTheme="majorHAnsi"/>
                <w:sz w:val="18"/>
                <w:szCs w:val="18"/>
              </w:rPr>
              <w:t>1. Investing in staff to enable adequate connections with multiple groups. Instead of general community meetings, meetings with</w:t>
            </w:r>
          </w:p>
          <w:p w14:paraId="43A44A25" w14:textId="77777777" w:rsidR="000D2499" w:rsidRPr="006D63E5" w:rsidRDefault="000D2499" w:rsidP="00EA4043">
            <w:pPr>
              <w:pStyle w:val="ListParagraph"/>
              <w:widowControl w:val="0"/>
              <w:numPr>
                <w:ilvl w:val="0"/>
                <w:numId w:val="59"/>
              </w:numPr>
              <w:autoSpaceDE w:val="0"/>
              <w:autoSpaceDN w:val="0"/>
              <w:adjustRightInd w:val="0"/>
              <w:contextualSpacing/>
              <w:rPr>
                <w:rFonts w:asciiTheme="majorHAnsi" w:hAnsiTheme="majorHAnsi"/>
                <w:sz w:val="18"/>
                <w:szCs w:val="18"/>
              </w:rPr>
            </w:pPr>
            <w:r w:rsidRPr="006D63E5">
              <w:rPr>
                <w:rFonts w:asciiTheme="majorHAnsi" w:hAnsiTheme="majorHAnsi"/>
                <w:sz w:val="18"/>
                <w:szCs w:val="18"/>
              </w:rPr>
              <w:t>Women’s Group</w:t>
            </w:r>
          </w:p>
          <w:p w14:paraId="10BD3D18" w14:textId="77777777" w:rsidR="000D2499" w:rsidRPr="006D63E5" w:rsidRDefault="000D2499" w:rsidP="00EA4043">
            <w:pPr>
              <w:pStyle w:val="ListParagraph"/>
              <w:widowControl w:val="0"/>
              <w:numPr>
                <w:ilvl w:val="0"/>
                <w:numId w:val="59"/>
              </w:numPr>
              <w:autoSpaceDE w:val="0"/>
              <w:autoSpaceDN w:val="0"/>
              <w:adjustRightInd w:val="0"/>
              <w:contextualSpacing/>
              <w:rPr>
                <w:rFonts w:asciiTheme="majorHAnsi" w:hAnsiTheme="majorHAnsi"/>
                <w:sz w:val="18"/>
                <w:szCs w:val="18"/>
              </w:rPr>
            </w:pPr>
            <w:r w:rsidRPr="006D63E5">
              <w:rPr>
                <w:rFonts w:asciiTheme="majorHAnsi" w:hAnsiTheme="majorHAnsi"/>
                <w:sz w:val="18"/>
                <w:szCs w:val="18"/>
              </w:rPr>
              <w:t>Men’s Groups</w:t>
            </w:r>
          </w:p>
          <w:p w14:paraId="46DD786B" w14:textId="77777777" w:rsidR="000D2499" w:rsidRPr="006D63E5" w:rsidRDefault="000D2499" w:rsidP="00EA4043">
            <w:pPr>
              <w:pStyle w:val="ListParagraph"/>
              <w:widowControl w:val="0"/>
              <w:numPr>
                <w:ilvl w:val="0"/>
                <w:numId w:val="59"/>
              </w:numPr>
              <w:autoSpaceDE w:val="0"/>
              <w:autoSpaceDN w:val="0"/>
              <w:adjustRightInd w:val="0"/>
              <w:contextualSpacing/>
              <w:rPr>
                <w:rFonts w:asciiTheme="majorHAnsi" w:hAnsiTheme="majorHAnsi"/>
                <w:sz w:val="18"/>
                <w:szCs w:val="18"/>
              </w:rPr>
            </w:pPr>
            <w:r w:rsidRPr="006D63E5">
              <w:rPr>
                <w:rFonts w:asciiTheme="majorHAnsi" w:hAnsiTheme="majorHAnsi"/>
                <w:sz w:val="18"/>
                <w:szCs w:val="18"/>
              </w:rPr>
              <w:t>Youth Groups</w:t>
            </w:r>
          </w:p>
          <w:p w14:paraId="39616B47" w14:textId="77777777" w:rsidR="000D2499" w:rsidRPr="006D63E5" w:rsidRDefault="000D2499" w:rsidP="00EA4043">
            <w:pPr>
              <w:pStyle w:val="ListParagraph"/>
              <w:widowControl w:val="0"/>
              <w:numPr>
                <w:ilvl w:val="0"/>
                <w:numId w:val="59"/>
              </w:numPr>
              <w:autoSpaceDE w:val="0"/>
              <w:autoSpaceDN w:val="0"/>
              <w:adjustRightInd w:val="0"/>
              <w:contextualSpacing/>
              <w:rPr>
                <w:rFonts w:asciiTheme="majorHAnsi" w:hAnsiTheme="majorHAnsi"/>
                <w:sz w:val="18"/>
                <w:szCs w:val="18"/>
              </w:rPr>
            </w:pPr>
            <w:r w:rsidRPr="006D63E5">
              <w:rPr>
                <w:rFonts w:asciiTheme="majorHAnsi" w:hAnsiTheme="majorHAnsi"/>
                <w:sz w:val="18"/>
                <w:szCs w:val="18"/>
              </w:rPr>
              <w:t>Individuals with access to or influence over vulnerable people (e.g. landowners or church leaders)</w:t>
            </w:r>
          </w:p>
          <w:p w14:paraId="695D446E" w14:textId="77777777" w:rsidR="000D2499" w:rsidRPr="006D63E5" w:rsidRDefault="000D2499" w:rsidP="006D63E5">
            <w:pPr>
              <w:spacing w:after="0"/>
              <w:jc w:val="left"/>
              <w:rPr>
                <w:rFonts w:asciiTheme="majorHAnsi" w:hAnsiTheme="majorHAnsi"/>
                <w:sz w:val="18"/>
                <w:szCs w:val="18"/>
              </w:rPr>
            </w:pPr>
            <w:r w:rsidRPr="006D63E5">
              <w:rPr>
                <w:rFonts w:asciiTheme="majorHAnsi" w:hAnsiTheme="majorHAnsi"/>
                <w:sz w:val="18"/>
                <w:szCs w:val="18"/>
              </w:rPr>
              <w:t>2. Capacity Building and Training for Project Staff and Planning Team facilitators to better engage multiple gender and social groups</w:t>
            </w:r>
          </w:p>
        </w:tc>
        <w:tc>
          <w:tcPr>
            <w:tcW w:w="4500" w:type="dxa"/>
            <w:shd w:val="clear" w:color="auto" w:fill="auto"/>
          </w:tcPr>
          <w:p w14:paraId="3A170E4C" w14:textId="77777777" w:rsidR="000D2499" w:rsidRPr="006D63E5" w:rsidRDefault="000D2499" w:rsidP="006D63E5">
            <w:pPr>
              <w:widowControl w:val="0"/>
              <w:autoSpaceDE w:val="0"/>
              <w:autoSpaceDN w:val="0"/>
              <w:adjustRightInd w:val="0"/>
              <w:spacing w:after="0"/>
              <w:jc w:val="left"/>
              <w:rPr>
                <w:rFonts w:asciiTheme="majorHAnsi" w:hAnsiTheme="majorHAnsi"/>
                <w:sz w:val="18"/>
                <w:szCs w:val="18"/>
              </w:rPr>
            </w:pPr>
            <w:r w:rsidRPr="006D63E5">
              <w:rPr>
                <w:rFonts w:asciiTheme="majorHAnsi" w:hAnsiTheme="majorHAnsi"/>
                <w:sz w:val="18"/>
                <w:szCs w:val="18"/>
              </w:rPr>
              <w:t>Total State Gender Analysis and Social Safeguard Scores increase from a baseline of 40/135 to a minimum of 91/135, indicating that most states have achieved equal gender representation and are increasing participation among different levels of society (Table 3).</w:t>
            </w:r>
          </w:p>
        </w:tc>
      </w:tr>
      <w:tr w:rsidR="000D2499" w:rsidRPr="004C50E6" w14:paraId="638B0631" w14:textId="77777777" w:rsidTr="000D2499">
        <w:tc>
          <w:tcPr>
            <w:tcW w:w="1957" w:type="dxa"/>
            <w:shd w:val="clear" w:color="auto" w:fill="auto"/>
          </w:tcPr>
          <w:p w14:paraId="1D9B6946" w14:textId="77777777" w:rsidR="000D2499" w:rsidRPr="00DB6EB8" w:rsidRDefault="000D2499" w:rsidP="006D63E5">
            <w:pPr>
              <w:widowControl w:val="0"/>
              <w:autoSpaceDE w:val="0"/>
              <w:autoSpaceDN w:val="0"/>
              <w:adjustRightInd w:val="0"/>
              <w:spacing w:after="0"/>
              <w:jc w:val="left"/>
              <w:rPr>
                <w:rFonts w:asciiTheme="majorHAnsi" w:hAnsiTheme="majorHAnsi"/>
                <w:sz w:val="18"/>
                <w:szCs w:val="18"/>
              </w:rPr>
            </w:pPr>
            <w:r w:rsidRPr="00DB6EB8">
              <w:rPr>
                <w:rFonts w:asciiTheme="majorHAnsi" w:hAnsiTheme="majorHAnsi"/>
                <w:sz w:val="18"/>
                <w:szCs w:val="18"/>
              </w:rPr>
              <w:t>Reduce the likelihood of unintended, negative consequences from the Project.</w:t>
            </w:r>
          </w:p>
          <w:p w14:paraId="6E2260C4" w14:textId="77777777" w:rsidR="000D2499" w:rsidRPr="006D63E5" w:rsidRDefault="000D2499" w:rsidP="006D63E5">
            <w:pPr>
              <w:widowControl w:val="0"/>
              <w:autoSpaceDE w:val="0"/>
              <w:autoSpaceDN w:val="0"/>
              <w:adjustRightInd w:val="0"/>
              <w:spacing w:after="0"/>
              <w:jc w:val="left"/>
              <w:rPr>
                <w:rFonts w:asciiTheme="majorHAnsi" w:hAnsiTheme="majorHAnsi"/>
                <w:sz w:val="18"/>
                <w:szCs w:val="18"/>
              </w:rPr>
            </w:pPr>
          </w:p>
        </w:tc>
        <w:tc>
          <w:tcPr>
            <w:tcW w:w="3623" w:type="dxa"/>
            <w:shd w:val="clear" w:color="auto" w:fill="auto"/>
          </w:tcPr>
          <w:p w14:paraId="37E74434" w14:textId="77777777" w:rsidR="000D2499" w:rsidRPr="006D63E5" w:rsidRDefault="000D2499" w:rsidP="006D63E5">
            <w:pPr>
              <w:widowControl w:val="0"/>
              <w:autoSpaceDE w:val="0"/>
              <w:autoSpaceDN w:val="0"/>
              <w:adjustRightInd w:val="0"/>
              <w:spacing w:after="0"/>
              <w:jc w:val="left"/>
              <w:rPr>
                <w:rFonts w:asciiTheme="majorHAnsi" w:hAnsiTheme="majorHAnsi"/>
                <w:sz w:val="18"/>
                <w:szCs w:val="18"/>
              </w:rPr>
            </w:pPr>
            <w:r w:rsidRPr="006D63E5">
              <w:rPr>
                <w:rFonts w:asciiTheme="majorHAnsi" w:hAnsiTheme="majorHAnsi"/>
                <w:sz w:val="18"/>
                <w:szCs w:val="18"/>
              </w:rPr>
              <w:t>1. Apply a Gender and Socially Inclusive Lens to every meeting, report, plan, and activity</w:t>
            </w:r>
          </w:p>
          <w:p w14:paraId="3E304240" w14:textId="77777777" w:rsidR="000D2499" w:rsidRPr="006D63E5" w:rsidRDefault="000D2499" w:rsidP="006D63E5">
            <w:pPr>
              <w:widowControl w:val="0"/>
              <w:autoSpaceDE w:val="0"/>
              <w:autoSpaceDN w:val="0"/>
              <w:adjustRightInd w:val="0"/>
              <w:spacing w:after="0"/>
              <w:jc w:val="left"/>
              <w:rPr>
                <w:rFonts w:asciiTheme="majorHAnsi" w:hAnsiTheme="majorHAnsi"/>
                <w:sz w:val="18"/>
                <w:szCs w:val="18"/>
              </w:rPr>
            </w:pPr>
            <w:r w:rsidRPr="006D63E5">
              <w:rPr>
                <w:rFonts w:asciiTheme="majorHAnsi" w:hAnsiTheme="majorHAnsi"/>
                <w:sz w:val="18"/>
                <w:szCs w:val="18"/>
              </w:rPr>
              <w:t>2. Conduct Economic and Social Analyses of proposed Landscape/ Seascape Plans resulting from the project, and all other outputs (such as proposed protected areas and implementation plans for Best Practices)</w:t>
            </w:r>
          </w:p>
          <w:p w14:paraId="5C6A7667" w14:textId="77777777" w:rsidR="000D2499" w:rsidRPr="006D63E5" w:rsidRDefault="000D2499" w:rsidP="006D63E5">
            <w:pPr>
              <w:widowControl w:val="0"/>
              <w:autoSpaceDE w:val="0"/>
              <w:autoSpaceDN w:val="0"/>
              <w:adjustRightInd w:val="0"/>
              <w:spacing w:after="0"/>
              <w:jc w:val="left"/>
              <w:rPr>
                <w:rFonts w:asciiTheme="majorHAnsi" w:hAnsiTheme="majorHAnsi"/>
                <w:sz w:val="18"/>
                <w:szCs w:val="18"/>
              </w:rPr>
            </w:pPr>
            <w:r w:rsidRPr="006D63E5">
              <w:rPr>
                <w:rFonts w:asciiTheme="majorHAnsi" w:hAnsiTheme="majorHAnsi"/>
                <w:sz w:val="18"/>
                <w:szCs w:val="18"/>
              </w:rPr>
              <w:t>3. Invest in Sustainable Tourism at the State and Community Level over the Private Sector.</w:t>
            </w:r>
          </w:p>
        </w:tc>
        <w:tc>
          <w:tcPr>
            <w:tcW w:w="4500" w:type="dxa"/>
            <w:shd w:val="clear" w:color="auto" w:fill="auto"/>
          </w:tcPr>
          <w:p w14:paraId="7B4D2F7F" w14:textId="77777777" w:rsidR="000D2499" w:rsidRPr="006D63E5" w:rsidRDefault="000D2499" w:rsidP="006D63E5">
            <w:pPr>
              <w:widowControl w:val="0"/>
              <w:autoSpaceDE w:val="0"/>
              <w:autoSpaceDN w:val="0"/>
              <w:adjustRightInd w:val="0"/>
              <w:spacing w:after="0"/>
              <w:jc w:val="left"/>
              <w:rPr>
                <w:rFonts w:asciiTheme="majorHAnsi" w:hAnsiTheme="majorHAnsi"/>
                <w:sz w:val="18"/>
                <w:szCs w:val="18"/>
              </w:rPr>
            </w:pPr>
            <w:r w:rsidRPr="006D63E5">
              <w:rPr>
                <w:rFonts w:asciiTheme="majorHAnsi" w:hAnsiTheme="majorHAnsi"/>
                <w:sz w:val="18"/>
                <w:szCs w:val="18"/>
              </w:rPr>
              <w:t>Jobs created by GEF6 benefit planned for, intended target audiences (unlike PAN-funded jobs, which were unplanned for and have benefitted mostly men) (Table 2).</w:t>
            </w:r>
          </w:p>
          <w:p w14:paraId="5B24126C" w14:textId="77777777" w:rsidR="000D2499" w:rsidRPr="006D63E5" w:rsidRDefault="000D2499" w:rsidP="006D63E5">
            <w:pPr>
              <w:widowControl w:val="0"/>
              <w:autoSpaceDE w:val="0"/>
              <w:autoSpaceDN w:val="0"/>
              <w:adjustRightInd w:val="0"/>
              <w:spacing w:after="0"/>
              <w:jc w:val="left"/>
              <w:rPr>
                <w:rFonts w:asciiTheme="majorHAnsi" w:hAnsiTheme="majorHAnsi"/>
                <w:sz w:val="18"/>
                <w:szCs w:val="18"/>
              </w:rPr>
            </w:pPr>
          </w:p>
          <w:p w14:paraId="11E399AC" w14:textId="77777777" w:rsidR="000D2499" w:rsidRPr="006D63E5" w:rsidRDefault="000D2499" w:rsidP="006D63E5">
            <w:pPr>
              <w:widowControl w:val="0"/>
              <w:autoSpaceDE w:val="0"/>
              <w:autoSpaceDN w:val="0"/>
              <w:adjustRightInd w:val="0"/>
              <w:spacing w:after="0"/>
              <w:jc w:val="left"/>
              <w:rPr>
                <w:rFonts w:asciiTheme="majorHAnsi" w:hAnsiTheme="majorHAnsi"/>
                <w:sz w:val="18"/>
                <w:szCs w:val="18"/>
              </w:rPr>
            </w:pPr>
            <w:r w:rsidRPr="006D63E5">
              <w:rPr>
                <w:rFonts w:asciiTheme="majorHAnsi" w:hAnsiTheme="majorHAnsi"/>
                <w:sz w:val="18"/>
                <w:szCs w:val="18"/>
              </w:rPr>
              <w:t>Participation by both genders in community-based Sustainable Tourism increases to at least medium for both genders, up from a baseline of medium for men and low for women (Table 2).</w:t>
            </w:r>
          </w:p>
        </w:tc>
      </w:tr>
      <w:tr w:rsidR="000D2499" w:rsidRPr="004C50E6" w14:paraId="028D9134" w14:textId="77777777" w:rsidTr="000D2499">
        <w:trPr>
          <w:trHeight w:val="2654"/>
        </w:trPr>
        <w:tc>
          <w:tcPr>
            <w:tcW w:w="1957" w:type="dxa"/>
            <w:shd w:val="clear" w:color="auto" w:fill="auto"/>
          </w:tcPr>
          <w:p w14:paraId="6779742B" w14:textId="77777777" w:rsidR="000D2499" w:rsidRPr="00DB6EB8" w:rsidRDefault="000D2499" w:rsidP="006D63E5">
            <w:pPr>
              <w:widowControl w:val="0"/>
              <w:autoSpaceDE w:val="0"/>
              <w:autoSpaceDN w:val="0"/>
              <w:adjustRightInd w:val="0"/>
              <w:spacing w:after="0"/>
              <w:jc w:val="left"/>
              <w:rPr>
                <w:rFonts w:asciiTheme="majorHAnsi" w:hAnsiTheme="majorHAnsi"/>
                <w:sz w:val="18"/>
                <w:szCs w:val="18"/>
              </w:rPr>
            </w:pPr>
            <w:r w:rsidRPr="00DB6EB8">
              <w:rPr>
                <w:rFonts w:asciiTheme="majorHAnsi" w:hAnsiTheme="majorHAnsi"/>
                <w:sz w:val="18"/>
                <w:szCs w:val="18"/>
              </w:rPr>
              <w:t>Increase inclusivity of communications and increase understanding of project and its outcomes among different gender and social groups</w:t>
            </w:r>
          </w:p>
          <w:p w14:paraId="396A84D1" w14:textId="77777777" w:rsidR="000D2499" w:rsidRPr="006D63E5" w:rsidRDefault="000D2499" w:rsidP="006D63E5">
            <w:pPr>
              <w:widowControl w:val="0"/>
              <w:autoSpaceDE w:val="0"/>
              <w:autoSpaceDN w:val="0"/>
              <w:adjustRightInd w:val="0"/>
              <w:spacing w:after="0"/>
              <w:jc w:val="left"/>
              <w:rPr>
                <w:rFonts w:asciiTheme="majorHAnsi" w:hAnsiTheme="majorHAnsi"/>
                <w:sz w:val="18"/>
                <w:szCs w:val="18"/>
              </w:rPr>
            </w:pPr>
          </w:p>
        </w:tc>
        <w:tc>
          <w:tcPr>
            <w:tcW w:w="3623" w:type="dxa"/>
            <w:shd w:val="clear" w:color="auto" w:fill="auto"/>
          </w:tcPr>
          <w:p w14:paraId="46760EAE" w14:textId="77777777" w:rsidR="000D2499" w:rsidRPr="006D63E5" w:rsidRDefault="000D2499" w:rsidP="006D63E5">
            <w:pPr>
              <w:spacing w:after="0"/>
              <w:jc w:val="left"/>
              <w:rPr>
                <w:rFonts w:asciiTheme="majorHAnsi" w:hAnsiTheme="majorHAnsi"/>
                <w:sz w:val="18"/>
                <w:szCs w:val="18"/>
              </w:rPr>
            </w:pPr>
            <w:r w:rsidRPr="006D63E5">
              <w:rPr>
                <w:rFonts w:asciiTheme="majorHAnsi" w:hAnsiTheme="majorHAnsi"/>
                <w:sz w:val="18"/>
                <w:szCs w:val="18"/>
              </w:rPr>
              <w:t>1. Implement the Communications Strategy, including:</w:t>
            </w:r>
          </w:p>
          <w:p w14:paraId="3A1E115D" w14:textId="77777777" w:rsidR="000D2499" w:rsidRPr="006D63E5" w:rsidRDefault="000D2499" w:rsidP="00EA4043">
            <w:pPr>
              <w:pStyle w:val="ListParagraph"/>
              <w:numPr>
                <w:ilvl w:val="0"/>
                <w:numId w:val="60"/>
              </w:numPr>
              <w:contextualSpacing/>
              <w:rPr>
                <w:rFonts w:asciiTheme="majorHAnsi" w:hAnsiTheme="majorHAnsi"/>
                <w:sz w:val="18"/>
                <w:szCs w:val="18"/>
              </w:rPr>
            </w:pPr>
            <w:r w:rsidRPr="006D63E5">
              <w:rPr>
                <w:rFonts w:asciiTheme="majorHAnsi" w:hAnsiTheme="majorHAnsi"/>
                <w:sz w:val="18"/>
                <w:szCs w:val="18"/>
              </w:rPr>
              <w:t>Holding multiple, targeted meetings by disaggregated group</w:t>
            </w:r>
          </w:p>
          <w:p w14:paraId="2E8CE2B2" w14:textId="77777777" w:rsidR="000D2499" w:rsidRPr="006D63E5" w:rsidRDefault="000D2499" w:rsidP="00EA4043">
            <w:pPr>
              <w:pStyle w:val="ListParagraph"/>
              <w:numPr>
                <w:ilvl w:val="0"/>
                <w:numId w:val="60"/>
              </w:numPr>
              <w:contextualSpacing/>
              <w:rPr>
                <w:rFonts w:asciiTheme="majorHAnsi" w:hAnsiTheme="majorHAnsi"/>
                <w:sz w:val="18"/>
                <w:szCs w:val="18"/>
              </w:rPr>
            </w:pPr>
            <w:r w:rsidRPr="006D63E5">
              <w:rPr>
                <w:rFonts w:asciiTheme="majorHAnsi" w:hAnsiTheme="majorHAnsi"/>
                <w:sz w:val="18"/>
                <w:szCs w:val="18"/>
              </w:rPr>
              <w:t>Making better use of digital platforms in order to create oral/audio content, with less emphasis on writing to better communicate with women and youth</w:t>
            </w:r>
          </w:p>
        </w:tc>
        <w:tc>
          <w:tcPr>
            <w:tcW w:w="4500" w:type="dxa"/>
            <w:shd w:val="clear" w:color="auto" w:fill="auto"/>
          </w:tcPr>
          <w:p w14:paraId="6DE18C32" w14:textId="77777777" w:rsidR="000D2499" w:rsidRPr="006D63E5" w:rsidRDefault="000D2499" w:rsidP="006D63E5">
            <w:pPr>
              <w:widowControl w:val="0"/>
              <w:autoSpaceDE w:val="0"/>
              <w:autoSpaceDN w:val="0"/>
              <w:adjustRightInd w:val="0"/>
              <w:spacing w:after="0"/>
              <w:jc w:val="left"/>
              <w:rPr>
                <w:rFonts w:asciiTheme="majorHAnsi" w:hAnsiTheme="majorHAnsi"/>
                <w:sz w:val="18"/>
                <w:szCs w:val="18"/>
              </w:rPr>
            </w:pPr>
            <w:r w:rsidRPr="006D63E5">
              <w:rPr>
                <w:rFonts w:asciiTheme="majorHAnsi" w:hAnsiTheme="majorHAnsi"/>
                <w:sz w:val="18"/>
                <w:szCs w:val="18"/>
              </w:rPr>
              <w:t>Awareness of Biosecurity increases to high for both men and women (from a baseline of low for men and medium for women) (Table 2).</w:t>
            </w:r>
          </w:p>
          <w:p w14:paraId="00CC4996" w14:textId="77777777" w:rsidR="000D2499" w:rsidRPr="006D63E5" w:rsidRDefault="000D2499" w:rsidP="006D63E5">
            <w:pPr>
              <w:widowControl w:val="0"/>
              <w:autoSpaceDE w:val="0"/>
              <w:autoSpaceDN w:val="0"/>
              <w:adjustRightInd w:val="0"/>
              <w:spacing w:after="0"/>
              <w:jc w:val="left"/>
              <w:rPr>
                <w:rFonts w:asciiTheme="majorHAnsi" w:hAnsiTheme="majorHAnsi"/>
                <w:sz w:val="18"/>
                <w:szCs w:val="18"/>
              </w:rPr>
            </w:pPr>
          </w:p>
          <w:p w14:paraId="382FB6DD" w14:textId="77777777" w:rsidR="000D2499" w:rsidRPr="006D63E5" w:rsidRDefault="000D2499" w:rsidP="006D63E5">
            <w:pPr>
              <w:widowControl w:val="0"/>
              <w:autoSpaceDE w:val="0"/>
              <w:autoSpaceDN w:val="0"/>
              <w:adjustRightInd w:val="0"/>
              <w:spacing w:after="0"/>
              <w:jc w:val="left"/>
              <w:rPr>
                <w:rFonts w:asciiTheme="majorHAnsi" w:hAnsiTheme="majorHAnsi"/>
                <w:sz w:val="18"/>
                <w:szCs w:val="18"/>
              </w:rPr>
            </w:pPr>
            <w:r w:rsidRPr="006D63E5">
              <w:rPr>
                <w:rFonts w:asciiTheme="majorHAnsi" w:hAnsiTheme="majorHAnsi"/>
                <w:sz w:val="18"/>
                <w:szCs w:val="18"/>
              </w:rPr>
              <w:t xml:space="preserve">Participation in biodiversity activities and capacity building activities is maintained at nearly equal levels by men and women (Table 2). </w:t>
            </w:r>
          </w:p>
          <w:p w14:paraId="19871F0B" w14:textId="77777777" w:rsidR="000D2499" w:rsidRPr="006D63E5" w:rsidRDefault="000D2499" w:rsidP="006D63E5">
            <w:pPr>
              <w:widowControl w:val="0"/>
              <w:autoSpaceDE w:val="0"/>
              <w:autoSpaceDN w:val="0"/>
              <w:adjustRightInd w:val="0"/>
              <w:spacing w:after="0"/>
              <w:jc w:val="left"/>
              <w:rPr>
                <w:rFonts w:asciiTheme="majorHAnsi" w:hAnsiTheme="majorHAnsi"/>
                <w:sz w:val="18"/>
                <w:szCs w:val="18"/>
              </w:rPr>
            </w:pPr>
          </w:p>
          <w:p w14:paraId="6FBEB75E" w14:textId="77777777" w:rsidR="000D2499" w:rsidRPr="006D63E5" w:rsidRDefault="000D2499" w:rsidP="006D63E5">
            <w:pPr>
              <w:widowControl w:val="0"/>
              <w:autoSpaceDE w:val="0"/>
              <w:autoSpaceDN w:val="0"/>
              <w:adjustRightInd w:val="0"/>
              <w:spacing w:after="0"/>
              <w:jc w:val="left"/>
              <w:rPr>
                <w:rFonts w:asciiTheme="majorHAnsi" w:hAnsiTheme="majorHAnsi"/>
                <w:sz w:val="18"/>
                <w:szCs w:val="18"/>
              </w:rPr>
            </w:pPr>
          </w:p>
        </w:tc>
      </w:tr>
      <w:tr w:rsidR="000D2499" w:rsidRPr="004C50E6" w14:paraId="6D1FECF6" w14:textId="77777777" w:rsidTr="000D2499">
        <w:tc>
          <w:tcPr>
            <w:tcW w:w="1957" w:type="dxa"/>
            <w:shd w:val="clear" w:color="auto" w:fill="auto"/>
          </w:tcPr>
          <w:p w14:paraId="0C083BB4" w14:textId="77777777" w:rsidR="000D2499" w:rsidRPr="00DB6EB8" w:rsidRDefault="000D2499" w:rsidP="006D63E5">
            <w:pPr>
              <w:widowControl w:val="0"/>
              <w:autoSpaceDE w:val="0"/>
              <w:autoSpaceDN w:val="0"/>
              <w:adjustRightInd w:val="0"/>
              <w:spacing w:after="0"/>
              <w:jc w:val="left"/>
              <w:rPr>
                <w:rFonts w:asciiTheme="majorHAnsi" w:hAnsiTheme="majorHAnsi"/>
                <w:sz w:val="18"/>
                <w:szCs w:val="18"/>
              </w:rPr>
            </w:pPr>
            <w:r w:rsidRPr="00DB6EB8">
              <w:rPr>
                <w:rFonts w:asciiTheme="majorHAnsi" w:hAnsiTheme="majorHAnsi"/>
                <w:sz w:val="18"/>
                <w:szCs w:val="18"/>
              </w:rPr>
              <w:t xml:space="preserve">To monitor and evaluate women’s participation and their empowerment through the project interventions </w:t>
            </w:r>
          </w:p>
        </w:tc>
        <w:tc>
          <w:tcPr>
            <w:tcW w:w="3623" w:type="dxa"/>
            <w:shd w:val="clear" w:color="auto" w:fill="auto"/>
          </w:tcPr>
          <w:p w14:paraId="32E72AA1" w14:textId="77777777" w:rsidR="000D2499" w:rsidRPr="006D63E5" w:rsidRDefault="000D2499" w:rsidP="006D63E5">
            <w:pPr>
              <w:spacing w:after="0"/>
              <w:jc w:val="left"/>
              <w:rPr>
                <w:rFonts w:asciiTheme="majorHAnsi" w:hAnsiTheme="majorHAnsi"/>
                <w:sz w:val="18"/>
                <w:szCs w:val="18"/>
              </w:rPr>
            </w:pPr>
            <w:r w:rsidRPr="006D63E5">
              <w:rPr>
                <w:rFonts w:asciiTheme="majorHAnsi" w:hAnsiTheme="majorHAnsi"/>
                <w:sz w:val="18"/>
                <w:szCs w:val="18"/>
              </w:rPr>
              <w:t>Incorporating gender and socially-sensitive indicators and collection of gender-disaggregated data for monitoring and evaluating project results</w:t>
            </w:r>
          </w:p>
        </w:tc>
        <w:tc>
          <w:tcPr>
            <w:tcW w:w="4500" w:type="dxa"/>
            <w:shd w:val="clear" w:color="auto" w:fill="auto"/>
          </w:tcPr>
          <w:p w14:paraId="695B42D6" w14:textId="77777777" w:rsidR="000D2499" w:rsidRPr="006D63E5" w:rsidRDefault="000D2499" w:rsidP="006D63E5">
            <w:pPr>
              <w:widowControl w:val="0"/>
              <w:autoSpaceDE w:val="0"/>
              <w:autoSpaceDN w:val="0"/>
              <w:adjustRightInd w:val="0"/>
              <w:spacing w:after="0"/>
              <w:jc w:val="left"/>
              <w:rPr>
                <w:rFonts w:asciiTheme="majorHAnsi" w:hAnsiTheme="majorHAnsi"/>
                <w:sz w:val="18"/>
                <w:szCs w:val="18"/>
              </w:rPr>
            </w:pPr>
            <w:r w:rsidRPr="006D63E5">
              <w:rPr>
                <w:rFonts w:asciiTheme="majorHAnsi" w:hAnsiTheme="majorHAnsi"/>
                <w:sz w:val="18"/>
                <w:szCs w:val="18"/>
              </w:rPr>
              <w:t>Inclusive participation by vulnerable peoples is tracked (up from a baseline of zero to little information) (Table 2 footnote).</w:t>
            </w:r>
          </w:p>
        </w:tc>
      </w:tr>
    </w:tbl>
    <w:p w14:paraId="7CD27A05" w14:textId="77777777" w:rsidR="000D2499" w:rsidRPr="00C37A47" w:rsidRDefault="000D2499" w:rsidP="000D2499">
      <w:pPr>
        <w:rPr>
          <w:rFonts w:asciiTheme="majorHAnsi" w:hAnsiTheme="majorHAnsi"/>
          <w:szCs w:val="20"/>
        </w:rPr>
      </w:pPr>
    </w:p>
    <w:p w14:paraId="31A01E4F" w14:textId="77777777" w:rsidR="000D2499" w:rsidRPr="00C37A47" w:rsidRDefault="000D2499" w:rsidP="000D2499">
      <w:pPr>
        <w:rPr>
          <w:rFonts w:asciiTheme="majorHAnsi" w:hAnsiTheme="majorHAnsi"/>
          <w:szCs w:val="20"/>
        </w:rPr>
      </w:pPr>
    </w:p>
    <w:p w14:paraId="66B7865A" w14:textId="77777777" w:rsidR="000D2499" w:rsidRPr="00C37A47" w:rsidRDefault="000D2499" w:rsidP="000D2499">
      <w:pPr>
        <w:rPr>
          <w:rFonts w:asciiTheme="majorHAnsi" w:hAnsiTheme="majorHAnsi"/>
          <w:b/>
          <w:szCs w:val="20"/>
        </w:rPr>
      </w:pPr>
      <w:r w:rsidRPr="00C37A47">
        <w:rPr>
          <w:rFonts w:asciiTheme="majorHAnsi" w:hAnsiTheme="majorHAnsi"/>
          <w:b/>
          <w:szCs w:val="20"/>
        </w:rPr>
        <w:br w:type="page"/>
      </w:r>
    </w:p>
    <w:p w14:paraId="29AA19BE" w14:textId="77777777" w:rsidR="000D2499" w:rsidRPr="006D63E5" w:rsidRDefault="000D2499" w:rsidP="000D2499">
      <w:pPr>
        <w:rPr>
          <w:rFonts w:asciiTheme="majorHAnsi" w:hAnsiTheme="majorHAnsi"/>
          <w:b/>
          <w:sz w:val="20"/>
          <w:szCs w:val="20"/>
        </w:rPr>
      </w:pPr>
      <w:r w:rsidRPr="006D63E5">
        <w:rPr>
          <w:rFonts w:asciiTheme="majorHAnsi" w:hAnsiTheme="majorHAnsi"/>
          <w:b/>
          <w:sz w:val="20"/>
          <w:szCs w:val="20"/>
        </w:rPr>
        <w:t>Baseline for Gender Disaggregated Data Collected during Gender Analysis</w:t>
      </w:r>
    </w:p>
    <w:p w14:paraId="7DAA48D7" w14:textId="72B53FD4" w:rsidR="000D2499" w:rsidRPr="006D63E5" w:rsidRDefault="000D2499" w:rsidP="000D2499">
      <w:pPr>
        <w:rPr>
          <w:rFonts w:asciiTheme="majorHAnsi" w:hAnsiTheme="majorHAnsi"/>
          <w:b/>
          <w:i/>
          <w:sz w:val="20"/>
          <w:szCs w:val="20"/>
        </w:rPr>
      </w:pPr>
      <w:r w:rsidRPr="006D63E5">
        <w:rPr>
          <w:rFonts w:asciiTheme="majorHAnsi" w:hAnsiTheme="majorHAnsi"/>
          <w:b/>
          <w:i/>
          <w:sz w:val="20"/>
          <w:szCs w:val="20"/>
        </w:rPr>
        <w:t>1</w:t>
      </w:r>
      <w:r w:rsidR="00194AA1">
        <w:rPr>
          <w:rFonts w:asciiTheme="majorHAnsi" w:hAnsiTheme="majorHAnsi"/>
          <w:b/>
          <w:i/>
          <w:sz w:val="20"/>
          <w:szCs w:val="20"/>
        </w:rPr>
        <w:t xml:space="preserve">. </w:t>
      </w:r>
      <w:r w:rsidRPr="006D63E5">
        <w:rPr>
          <w:rFonts w:asciiTheme="majorHAnsi" w:hAnsiTheme="majorHAnsi"/>
          <w:b/>
          <w:i/>
          <w:sz w:val="20"/>
          <w:szCs w:val="20"/>
        </w:rPr>
        <w:t>Gender Mainstreaming within the Environmental Sector and by Implementing Agencies Survey (anonymous survey assessing the National Government)</w:t>
      </w:r>
    </w:p>
    <w:p w14:paraId="08B95080" w14:textId="77777777" w:rsidR="000D2499" w:rsidRPr="006D63E5" w:rsidRDefault="000D2499" w:rsidP="000D2499">
      <w:pPr>
        <w:rPr>
          <w:rFonts w:asciiTheme="majorHAnsi" w:hAnsiTheme="majorHAnsi"/>
          <w:b/>
          <w:sz w:val="20"/>
          <w:szCs w:val="20"/>
        </w:rPr>
      </w:pPr>
      <w:r w:rsidRPr="006D63E5">
        <w:rPr>
          <w:rFonts w:asciiTheme="majorHAnsi" w:hAnsiTheme="majorHAnsi"/>
          <w:b/>
          <w:sz w:val="20"/>
          <w:szCs w:val="20"/>
        </w:rPr>
        <w:t xml:space="preserve">Key to Scores in Table 1: </w:t>
      </w:r>
    </w:p>
    <w:tbl>
      <w:tblPr>
        <w:tblW w:w="7920" w:type="dxa"/>
        <w:tblInd w:w="-5" w:type="dxa"/>
        <w:tblLook w:val="04A0" w:firstRow="1" w:lastRow="0" w:firstColumn="1" w:lastColumn="0" w:noHBand="0" w:noVBand="1"/>
      </w:tblPr>
      <w:tblGrid>
        <w:gridCol w:w="2160"/>
        <w:gridCol w:w="960"/>
        <w:gridCol w:w="960"/>
        <w:gridCol w:w="960"/>
        <w:gridCol w:w="960"/>
        <w:gridCol w:w="960"/>
        <w:gridCol w:w="960"/>
      </w:tblGrid>
      <w:tr w:rsidR="000D2499" w:rsidRPr="004C50E6" w14:paraId="3A11E087" w14:textId="77777777" w:rsidTr="000D2499">
        <w:trPr>
          <w:trHeight w:val="675"/>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203A9" w14:textId="77777777" w:rsidR="000D2499" w:rsidRPr="006D63E5" w:rsidRDefault="000D2499" w:rsidP="000D2499">
            <w:pPr>
              <w:spacing w:after="0"/>
              <w:rPr>
                <w:rFonts w:asciiTheme="majorHAnsi" w:eastAsia="Times New Roman" w:hAnsiTheme="majorHAnsi"/>
                <w:i/>
                <w:color w:val="000000"/>
                <w:sz w:val="18"/>
                <w:szCs w:val="18"/>
              </w:rPr>
            </w:pPr>
            <w:r w:rsidRPr="006D63E5">
              <w:rPr>
                <w:rFonts w:asciiTheme="majorHAnsi" w:eastAsia="Times New Roman" w:hAnsiTheme="majorHAnsi"/>
                <w:i/>
                <w:color w:val="000000"/>
                <w:sz w:val="18"/>
                <w:szCs w:val="18"/>
              </w:rPr>
              <w:t>Participant’s Answer (to best of knowledge)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D6336FA" w14:textId="77777777" w:rsidR="000D2499" w:rsidRPr="006D63E5" w:rsidRDefault="000D2499" w:rsidP="000D2499">
            <w:pPr>
              <w:spacing w:after="0"/>
              <w:rPr>
                <w:rFonts w:asciiTheme="majorHAnsi" w:eastAsia="Times New Roman" w:hAnsiTheme="majorHAnsi"/>
                <w:b/>
                <w:color w:val="000000"/>
                <w:sz w:val="18"/>
                <w:szCs w:val="18"/>
              </w:rPr>
            </w:pPr>
            <w:r w:rsidRPr="006D63E5">
              <w:rPr>
                <w:rFonts w:asciiTheme="majorHAnsi" w:eastAsia="Times New Roman" w:hAnsiTheme="majorHAnsi"/>
                <w:b/>
                <w:color w:val="000000"/>
                <w:sz w:val="18"/>
                <w:szCs w:val="18"/>
              </w:rPr>
              <w:t>Not at all</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240BA5C" w14:textId="77777777" w:rsidR="000D2499" w:rsidRPr="006D63E5" w:rsidRDefault="000D2499" w:rsidP="000D2499">
            <w:pPr>
              <w:spacing w:after="0"/>
              <w:rPr>
                <w:rFonts w:asciiTheme="majorHAnsi" w:eastAsia="Times New Roman" w:hAnsiTheme="majorHAnsi"/>
                <w:b/>
                <w:color w:val="000000"/>
                <w:sz w:val="18"/>
                <w:szCs w:val="18"/>
              </w:rPr>
            </w:pPr>
            <w:r w:rsidRPr="006D63E5">
              <w:rPr>
                <w:rFonts w:asciiTheme="majorHAnsi" w:eastAsia="Times New Roman" w:hAnsiTheme="majorHAnsi"/>
                <w:b/>
                <w:color w:val="000000"/>
                <w:sz w:val="18"/>
                <w:szCs w:val="18"/>
              </w:rPr>
              <w:t>To a limited extent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83A3555" w14:textId="77777777" w:rsidR="000D2499" w:rsidRPr="006D63E5" w:rsidRDefault="000D2499" w:rsidP="000D2499">
            <w:pPr>
              <w:spacing w:after="0"/>
              <w:rPr>
                <w:rFonts w:asciiTheme="majorHAnsi" w:eastAsia="Times New Roman" w:hAnsiTheme="majorHAnsi"/>
                <w:b/>
                <w:color w:val="000000"/>
                <w:sz w:val="18"/>
                <w:szCs w:val="18"/>
              </w:rPr>
            </w:pPr>
            <w:r w:rsidRPr="006D63E5">
              <w:rPr>
                <w:rFonts w:asciiTheme="majorHAnsi" w:eastAsia="Times New Roman" w:hAnsiTheme="majorHAnsi"/>
                <w:b/>
                <w:color w:val="000000"/>
                <w:sz w:val="18"/>
                <w:szCs w:val="18"/>
              </w:rPr>
              <w:t>To a moderate extent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C1CFCE1" w14:textId="77777777" w:rsidR="000D2499" w:rsidRPr="006D63E5" w:rsidRDefault="000D2499" w:rsidP="000D2499">
            <w:pPr>
              <w:spacing w:after="0"/>
              <w:rPr>
                <w:rFonts w:asciiTheme="majorHAnsi" w:eastAsia="Times New Roman" w:hAnsiTheme="majorHAnsi"/>
                <w:b/>
                <w:color w:val="000000"/>
                <w:sz w:val="18"/>
                <w:szCs w:val="18"/>
              </w:rPr>
            </w:pPr>
            <w:r w:rsidRPr="006D63E5">
              <w:rPr>
                <w:rFonts w:asciiTheme="majorHAnsi" w:eastAsia="Times New Roman" w:hAnsiTheme="majorHAnsi"/>
                <w:b/>
                <w:color w:val="000000"/>
                <w:sz w:val="18"/>
                <w:szCs w:val="18"/>
              </w:rPr>
              <w:t>To a great extent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F1E3F72" w14:textId="77777777" w:rsidR="000D2499" w:rsidRPr="006D63E5" w:rsidRDefault="000D2499" w:rsidP="000D2499">
            <w:pPr>
              <w:spacing w:after="0"/>
              <w:rPr>
                <w:rFonts w:asciiTheme="majorHAnsi" w:eastAsia="Times New Roman" w:hAnsiTheme="majorHAnsi"/>
                <w:b/>
                <w:color w:val="000000"/>
                <w:sz w:val="18"/>
                <w:szCs w:val="18"/>
              </w:rPr>
            </w:pPr>
            <w:r w:rsidRPr="006D63E5">
              <w:rPr>
                <w:rFonts w:asciiTheme="majorHAnsi" w:eastAsia="Times New Roman" w:hAnsiTheme="majorHAnsi"/>
                <w:b/>
                <w:color w:val="000000"/>
                <w:sz w:val="18"/>
                <w:szCs w:val="18"/>
              </w:rPr>
              <w:t>To the fullest extent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674CE0F" w14:textId="77777777" w:rsidR="000D2499" w:rsidRPr="006D63E5" w:rsidRDefault="000D2499" w:rsidP="000D2499">
            <w:pPr>
              <w:spacing w:after="0"/>
              <w:rPr>
                <w:rFonts w:asciiTheme="majorHAnsi" w:eastAsia="Times New Roman" w:hAnsiTheme="majorHAnsi"/>
                <w:b/>
                <w:color w:val="000000"/>
                <w:sz w:val="18"/>
                <w:szCs w:val="18"/>
              </w:rPr>
            </w:pPr>
            <w:r w:rsidRPr="006D63E5">
              <w:rPr>
                <w:rFonts w:asciiTheme="majorHAnsi" w:eastAsia="Times New Roman" w:hAnsiTheme="majorHAnsi"/>
                <w:b/>
                <w:color w:val="000000"/>
                <w:sz w:val="18"/>
                <w:szCs w:val="18"/>
              </w:rPr>
              <w:t>Do not know</w:t>
            </w:r>
          </w:p>
        </w:tc>
      </w:tr>
      <w:tr w:rsidR="000D2499" w:rsidRPr="004C50E6" w14:paraId="7C75F2CA" w14:textId="77777777" w:rsidTr="000D2499">
        <w:trPr>
          <w:trHeight w:val="22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5ADF7508" w14:textId="77777777" w:rsidR="000D2499" w:rsidRPr="006D63E5" w:rsidRDefault="000D2499" w:rsidP="000D2499">
            <w:pPr>
              <w:spacing w:after="0"/>
              <w:rPr>
                <w:rFonts w:asciiTheme="majorHAnsi" w:eastAsia="Times New Roman" w:hAnsiTheme="majorHAnsi"/>
                <w:i/>
                <w:color w:val="000000"/>
                <w:sz w:val="18"/>
                <w:szCs w:val="18"/>
              </w:rPr>
            </w:pPr>
            <w:r w:rsidRPr="006D63E5">
              <w:rPr>
                <w:rFonts w:asciiTheme="majorHAnsi" w:eastAsia="Times New Roman" w:hAnsiTheme="majorHAnsi"/>
                <w:i/>
                <w:color w:val="000000"/>
                <w:sz w:val="18"/>
                <w:szCs w:val="18"/>
              </w:rPr>
              <w:t>Score given to answer</w:t>
            </w:r>
          </w:p>
        </w:tc>
        <w:tc>
          <w:tcPr>
            <w:tcW w:w="960" w:type="dxa"/>
            <w:tcBorders>
              <w:top w:val="nil"/>
              <w:left w:val="nil"/>
              <w:bottom w:val="single" w:sz="4" w:space="0" w:color="auto"/>
              <w:right w:val="single" w:sz="4" w:space="0" w:color="auto"/>
            </w:tcBorders>
            <w:shd w:val="clear" w:color="auto" w:fill="auto"/>
            <w:noWrap/>
            <w:vAlign w:val="bottom"/>
            <w:hideMark/>
          </w:tcPr>
          <w:p w14:paraId="49999384" w14:textId="77777777" w:rsidR="000D2499" w:rsidRPr="006D63E5" w:rsidRDefault="000D2499" w:rsidP="000D2499">
            <w:pPr>
              <w:spacing w:after="0"/>
              <w:jc w:val="center"/>
              <w:rPr>
                <w:rFonts w:asciiTheme="majorHAnsi" w:eastAsia="Times New Roman" w:hAnsiTheme="majorHAnsi"/>
                <w:b/>
                <w:color w:val="000000"/>
                <w:sz w:val="18"/>
                <w:szCs w:val="18"/>
              </w:rPr>
            </w:pPr>
            <w:r w:rsidRPr="006D63E5">
              <w:rPr>
                <w:rFonts w:asciiTheme="majorHAnsi" w:eastAsia="Times New Roman" w:hAnsiTheme="majorHAnsi"/>
                <w:b/>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14:paraId="23BD001A" w14:textId="77777777" w:rsidR="000D2499" w:rsidRPr="006D63E5" w:rsidRDefault="000D2499" w:rsidP="000D2499">
            <w:pPr>
              <w:spacing w:after="0"/>
              <w:jc w:val="center"/>
              <w:rPr>
                <w:rFonts w:asciiTheme="majorHAnsi" w:eastAsia="Times New Roman" w:hAnsiTheme="majorHAnsi"/>
                <w:b/>
                <w:color w:val="000000"/>
                <w:sz w:val="18"/>
                <w:szCs w:val="18"/>
              </w:rPr>
            </w:pPr>
            <w:r w:rsidRPr="006D63E5">
              <w:rPr>
                <w:rFonts w:asciiTheme="majorHAnsi" w:eastAsia="Times New Roman" w:hAnsiTheme="majorHAnsi"/>
                <w:b/>
                <w:color w:val="000000"/>
                <w:sz w:val="18"/>
                <w:szCs w:val="18"/>
              </w:rPr>
              <w:t>2</w:t>
            </w:r>
          </w:p>
        </w:tc>
        <w:tc>
          <w:tcPr>
            <w:tcW w:w="960" w:type="dxa"/>
            <w:tcBorders>
              <w:top w:val="nil"/>
              <w:left w:val="nil"/>
              <w:bottom w:val="single" w:sz="4" w:space="0" w:color="auto"/>
              <w:right w:val="single" w:sz="4" w:space="0" w:color="auto"/>
            </w:tcBorders>
            <w:shd w:val="clear" w:color="auto" w:fill="auto"/>
            <w:noWrap/>
            <w:vAlign w:val="bottom"/>
            <w:hideMark/>
          </w:tcPr>
          <w:p w14:paraId="24B9B46C" w14:textId="77777777" w:rsidR="000D2499" w:rsidRPr="006D63E5" w:rsidRDefault="000D2499" w:rsidP="000D2499">
            <w:pPr>
              <w:spacing w:after="0"/>
              <w:jc w:val="center"/>
              <w:rPr>
                <w:rFonts w:asciiTheme="majorHAnsi" w:eastAsia="Times New Roman" w:hAnsiTheme="majorHAnsi"/>
                <w:b/>
                <w:color w:val="000000"/>
                <w:sz w:val="18"/>
                <w:szCs w:val="18"/>
              </w:rPr>
            </w:pPr>
            <w:r w:rsidRPr="006D63E5">
              <w:rPr>
                <w:rFonts w:asciiTheme="majorHAnsi" w:eastAsia="Times New Roman" w:hAnsiTheme="majorHAnsi"/>
                <w:b/>
                <w:color w:val="000000"/>
                <w:sz w:val="18"/>
                <w:szCs w:val="18"/>
              </w:rPr>
              <w:t>3</w:t>
            </w:r>
          </w:p>
        </w:tc>
        <w:tc>
          <w:tcPr>
            <w:tcW w:w="960" w:type="dxa"/>
            <w:tcBorders>
              <w:top w:val="nil"/>
              <w:left w:val="nil"/>
              <w:bottom w:val="single" w:sz="4" w:space="0" w:color="auto"/>
              <w:right w:val="single" w:sz="4" w:space="0" w:color="auto"/>
            </w:tcBorders>
            <w:shd w:val="clear" w:color="auto" w:fill="auto"/>
            <w:noWrap/>
            <w:vAlign w:val="bottom"/>
            <w:hideMark/>
          </w:tcPr>
          <w:p w14:paraId="034B57F3" w14:textId="77777777" w:rsidR="000D2499" w:rsidRPr="006D63E5" w:rsidRDefault="000D2499" w:rsidP="000D2499">
            <w:pPr>
              <w:spacing w:after="0"/>
              <w:jc w:val="center"/>
              <w:rPr>
                <w:rFonts w:asciiTheme="majorHAnsi" w:eastAsia="Times New Roman" w:hAnsiTheme="majorHAnsi"/>
                <w:b/>
                <w:color w:val="000000"/>
                <w:sz w:val="18"/>
                <w:szCs w:val="18"/>
              </w:rPr>
            </w:pPr>
            <w:r w:rsidRPr="006D63E5">
              <w:rPr>
                <w:rFonts w:asciiTheme="majorHAnsi" w:eastAsia="Times New Roman" w:hAnsiTheme="majorHAnsi"/>
                <w:b/>
                <w:color w:val="000000"/>
                <w:sz w:val="18"/>
                <w:szCs w:val="18"/>
              </w:rPr>
              <w:t>4</w:t>
            </w:r>
          </w:p>
        </w:tc>
        <w:tc>
          <w:tcPr>
            <w:tcW w:w="960" w:type="dxa"/>
            <w:tcBorders>
              <w:top w:val="nil"/>
              <w:left w:val="nil"/>
              <w:bottom w:val="single" w:sz="4" w:space="0" w:color="auto"/>
              <w:right w:val="single" w:sz="4" w:space="0" w:color="auto"/>
            </w:tcBorders>
            <w:shd w:val="clear" w:color="auto" w:fill="auto"/>
            <w:noWrap/>
            <w:vAlign w:val="bottom"/>
            <w:hideMark/>
          </w:tcPr>
          <w:p w14:paraId="7C79A80A" w14:textId="77777777" w:rsidR="000D2499" w:rsidRPr="006D63E5" w:rsidRDefault="000D2499" w:rsidP="000D2499">
            <w:pPr>
              <w:spacing w:after="0"/>
              <w:jc w:val="center"/>
              <w:rPr>
                <w:rFonts w:asciiTheme="majorHAnsi" w:eastAsia="Times New Roman" w:hAnsiTheme="majorHAnsi"/>
                <w:b/>
                <w:color w:val="000000"/>
                <w:sz w:val="18"/>
                <w:szCs w:val="18"/>
              </w:rPr>
            </w:pPr>
            <w:r w:rsidRPr="006D63E5">
              <w:rPr>
                <w:rFonts w:asciiTheme="majorHAnsi" w:eastAsia="Times New Roman" w:hAnsiTheme="majorHAnsi"/>
                <w:b/>
                <w:color w:val="000000"/>
                <w:sz w:val="18"/>
                <w:szCs w:val="18"/>
              </w:rPr>
              <w:t>5</w:t>
            </w:r>
          </w:p>
        </w:tc>
        <w:tc>
          <w:tcPr>
            <w:tcW w:w="960" w:type="dxa"/>
            <w:tcBorders>
              <w:top w:val="nil"/>
              <w:left w:val="nil"/>
              <w:bottom w:val="single" w:sz="4" w:space="0" w:color="auto"/>
              <w:right w:val="single" w:sz="4" w:space="0" w:color="auto"/>
            </w:tcBorders>
            <w:shd w:val="clear" w:color="auto" w:fill="auto"/>
            <w:noWrap/>
            <w:vAlign w:val="bottom"/>
            <w:hideMark/>
          </w:tcPr>
          <w:p w14:paraId="623092A0" w14:textId="77777777" w:rsidR="000D2499" w:rsidRPr="006D63E5" w:rsidRDefault="000D2499" w:rsidP="000D2499">
            <w:pPr>
              <w:spacing w:after="0"/>
              <w:rPr>
                <w:rFonts w:asciiTheme="majorHAnsi" w:eastAsia="Times New Roman" w:hAnsiTheme="majorHAnsi"/>
                <w:color w:val="000000"/>
                <w:sz w:val="18"/>
                <w:szCs w:val="18"/>
              </w:rPr>
            </w:pPr>
            <w:r w:rsidRPr="006D63E5">
              <w:rPr>
                <w:rFonts w:asciiTheme="majorHAnsi" w:eastAsia="Times New Roman" w:hAnsiTheme="majorHAnsi"/>
                <w:color w:val="000000"/>
                <w:sz w:val="18"/>
                <w:szCs w:val="18"/>
              </w:rPr>
              <w:t> </w:t>
            </w:r>
          </w:p>
        </w:tc>
      </w:tr>
    </w:tbl>
    <w:p w14:paraId="53F03A73" w14:textId="77777777" w:rsidR="000D2499" w:rsidRPr="00C37A47" w:rsidRDefault="000D2499" w:rsidP="000D2499">
      <w:pPr>
        <w:rPr>
          <w:rFonts w:asciiTheme="majorHAnsi" w:hAnsiTheme="majorHAnsi"/>
          <w:szCs w:val="20"/>
        </w:rPr>
      </w:pPr>
    </w:p>
    <w:p w14:paraId="41FF2C69" w14:textId="77777777" w:rsidR="000D2499" w:rsidRPr="006D63E5" w:rsidRDefault="000D2499" w:rsidP="000D2499">
      <w:pPr>
        <w:rPr>
          <w:rFonts w:asciiTheme="majorHAnsi" w:hAnsiTheme="majorHAnsi"/>
          <w:sz w:val="20"/>
          <w:szCs w:val="20"/>
        </w:rPr>
      </w:pPr>
      <w:r w:rsidRPr="006D63E5">
        <w:rPr>
          <w:rFonts w:asciiTheme="majorHAnsi" w:hAnsiTheme="majorHAnsi"/>
          <w:sz w:val="20"/>
          <w:szCs w:val="20"/>
        </w:rPr>
        <w:t>On average, gender mainstreaming occurs only to a limited extent, even though there are gender issues that need to be addressed (as indicated in Questions 1 and 2). There is zero to little formalization of gender mainstreaming in the National Government offices or procedures associated with the project or the environment sector (Questions 10 through 19).</w:t>
      </w:r>
    </w:p>
    <w:p w14:paraId="7557A1CA" w14:textId="77777777" w:rsidR="000D2499" w:rsidRPr="006D63E5" w:rsidRDefault="000D2499" w:rsidP="000D2499">
      <w:pPr>
        <w:rPr>
          <w:rFonts w:asciiTheme="majorHAnsi" w:hAnsiTheme="majorHAnsi"/>
          <w:b/>
          <w:sz w:val="20"/>
          <w:szCs w:val="20"/>
        </w:rPr>
      </w:pPr>
      <w:r w:rsidRPr="006D63E5">
        <w:rPr>
          <w:rFonts w:asciiTheme="majorHAnsi" w:hAnsiTheme="majorHAnsi"/>
          <w:b/>
          <w:sz w:val="20"/>
          <w:szCs w:val="20"/>
        </w:rPr>
        <w:t>Table 1. Average Scores on Gender Mainstreaming by the Environment Sector and National Implementing Agencies</w:t>
      </w:r>
    </w:p>
    <w:tbl>
      <w:tblPr>
        <w:tblW w:w="9901" w:type="dxa"/>
        <w:tblLook w:val="04A0" w:firstRow="1" w:lastRow="0" w:firstColumn="1" w:lastColumn="0" w:noHBand="0" w:noVBand="1"/>
      </w:tblPr>
      <w:tblGrid>
        <w:gridCol w:w="7465"/>
        <w:gridCol w:w="810"/>
        <w:gridCol w:w="816"/>
        <w:gridCol w:w="810"/>
      </w:tblGrid>
      <w:tr w:rsidR="000D2499" w:rsidRPr="00435AB0" w14:paraId="3380A0C4" w14:textId="77777777" w:rsidTr="000D2499">
        <w:trPr>
          <w:trHeight w:val="225"/>
          <w:tblHeader/>
        </w:trPr>
        <w:tc>
          <w:tcPr>
            <w:tcW w:w="746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DE6C6EE" w14:textId="77777777" w:rsidR="000D2499" w:rsidRPr="00C37A47" w:rsidRDefault="000D2499" w:rsidP="000D2499">
            <w:pPr>
              <w:spacing w:after="0"/>
              <w:rPr>
                <w:rFonts w:asciiTheme="majorHAnsi" w:eastAsia="Times New Roman" w:hAnsiTheme="majorHAnsi"/>
                <w:b/>
                <w:color w:val="000000"/>
                <w:sz w:val="16"/>
                <w:szCs w:val="16"/>
              </w:rPr>
            </w:pPr>
            <w:r w:rsidRPr="00C37A47">
              <w:rPr>
                <w:rFonts w:asciiTheme="majorHAnsi" w:eastAsia="Times New Roman" w:hAnsiTheme="majorHAnsi"/>
                <w:b/>
                <w:color w:val="000000"/>
                <w:sz w:val="16"/>
                <w:szCs w:val="16"/>
              </w:rPr>
              <w:t>Question</w:t>
            </w:r>
          </w:p>
        </w:tc>
        <w:tc>
          <w:tcPr>
            <w:tcW w:w="810"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596A7EBD" w14:textId="77777777" w:rsidR="000D2499" w:rsidRPr="00C37A47" w:rsidRDefault="000D2499" w:rsidP="000D2499">
            <w:pPr>
              <w:spacing w:after="0"/>
              <w:rPr>
                <w:rFonts w:asciiTheme="majorHAnsi" w:eastAsia="Times New Roman" w:hAnsiTheme="majorHAnsi"/>
                <w:b/>
                <w:color w:val="000000"/>
                <w:sz w:val="16"/>
                <w:szCs w:val="16"/>
              </w:rPr>
            </w:pPr>
            <w:r w:rsidRPr="00C37A47">
              <w:rPr>
                <w:rFonts w:asciiTheme="majorHAnsi" w:eastAsia="Times New Roman" w:hAnsiTheme="majorHAnsi"/>
                <w:b/>
                <w:color w:val="000000"/>
                <w:sz w:val="16"/>
                <w:szCs w:val="16"/>
              </w:rPr>
              <w:t>Average Score</w:t>
            </w:r>
          </w:p>
        </w:tc>
        <w:tc>
          <w:tcPr>
            <w:tcW w:w="816"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658CF02D" w14:textId="77777777" w:rsidR="000D2499" w:rsidRPr="00C37A47" w:rsidRDefault="000D2499" w:rsidP="000D2499">
            <w:pPr>
              <w:spacing w:after="0"/>
              <w:rPr>
                <w:rFonts w:asciiTheme="majorHAnsi" w:eastAsia="Times New Roman" w:hAnsiTheme="majorHAnsi"/>
                <w:b/>
                <w:color w:val="000000"/>
                <w:sz w:val="16"/>
                <w:szCs w:val="16"/>
              </w:rPr>
            </w:pPr>
            <w:r w:rsidRPr="00C37A47">
              <w:rPr>
                <w:rFonts w:asciiTheme="majorHAnsi" w:eastAsia="Times New Roman" w:hAnsiTheme="majorHAnsi"/>
                <w:b/>
                <w:color w:val="000000"/>
                <w:sz w:val="16"/>
                <w:szCs w:val="16"/>
              </w:rPr>
              <w:t>Average Female (N=10)</w:t>
            </w:r>
          </w:p>
        </w:tc>
        <w:tc>
          <w:tcPr>
            <w:tcW w:w="810"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6AE6CE2E" w14:textId="77777777" w:rsidR="000D2499" w:rsidRPr="00C37A47" w:rsidRDefault="000D2499" w:rsidP="000D2499">
            <w:pPr>
              <w:spacing w:after="0"/>
              <w:rPr>
                <w:rFonts w:asciiTheme="majorHAnsi" w:eastAsia="Times New Roman" w:hAnsiTheme="majorHAnsi"/>
                <w:b/>
                <w:color w:val="000000"/>
                <w:sz w:val="16"/>
                <w:szCs w:val="16"/>
              </w:rPr>
            </w:pPr>
            <w:r w:rsidRPr="00C37A47">
              <w:rPr>
                <w:rFonts w:asciiTheme="majorHAnsi" w:eastAsia="Times New Roman" w:hAnsiTheme="majorHAnsi"/>
                <w:b/>
                <w:color w:val="000000"/>
                <w:sz w:val="16"/>
                <w:szCs w:val="16"/>
              </w:rPr>
              <w:t>Average Male (N=2)</w:t>
            </w:r>
          </w:p>
        </w:tc>
      </w:tr>
      <w:tr w:rsidR="000D2499" w:rsidRPr="00F36051" w14:paraId="63B15B7D" w14:textId="77777777" w:rsidTr="000D2499">
        <w:trPr>
          <w:trHeight w:val="225"/>
        </w:trPr>
        <w:tc>
          <w:tcPr>
            <w:tcW w:w="7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441F6" w14:textId="77777777" w:rsidR="000D2499" w:rsidRPr="00C37A47" w:rsidRDefault="000D2499" w:rsidP="00EA4043">
            <w:pPr>
              <w:pStyle w:val="ListParagraph"/>
              <w:numPr>
                <w:ilvl w:val="0"/>
                <w:numId w:val="61"/>
              </w:numPr>
              <w:ind w:left="337" w:hanging="337"/>
              <w:contextualSpacing/>
              <w:jc w:val="both"/>
              <w:rPr>
                <w:rFonts w:asciiTheme="majorHAnsi" w:eastAsia="Times New Roman" w:hAnsiTheme="majorHAnsi"/>
                <w:color w:val="000000"/>
                <w:sz w:val="16"/>
                <w:szCs w:val="16"/>
              </w:rPr>
            </w:pPr>
            <w:r w:rsidRPr="00C37A47">
              <w:rPr>
                <w:rFonts w:asciiTheme="majorHAnsi" w:eastAsia="Times New Roman" w:hAnsiTheme="majorHAnsi" w:cs="Arial"/>
                <w:color w:val="000000"/>
                <w:sz w:val="16"/>
                <w:szCs w:val="16"/>
              </w:rPr>
              <w:t>Are there gender issues related to men that need to be addressed in the Environment sector?</w:t>
            </w:r>
          </w:p>
        </w:tc>
        <w:tc>
          <w:tcPr>
            <w:tcW w:w="810" w:type="dxa"/>
            <w:tcBorders>
              <w:top w:val="nil"/>
              <w:left w:val="nil"/>
              <w:bottom w:val="single" w:sz="4" w:space="0" w:color="auto"/>
              <w:right w:val="single" w:sz="4" w:space="0" w:color="auto"/>
            </w:tcBorders>
            <w:vAlign w:val="bottom"/>
          </w:tcPr>
          <w:p w14:paraId="00837481"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3.4</w:t>
            </w:r>
          </w:p>
        </w:tc>
        <w:tc>
          <w:tcPr>
            <w:tcW w:w="816" w:type="dxa"/>
            <w:tcBorders>
              <w:top w:val="nil"/>
              <w:left w:val="nil"/>
              <w:bottom w:val="single" w:sz="4" w:space="0" w:color="auto"/>
              <w:right w:val="single" w:sz="4" w:space="0" w:color="auto"/>
            </w:tcBorders>
            <w:vAlign w:val="bottom"/>
          </w:tcPr>
          <w:p w14:paraId="4E192F30"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3.3</w:t>
            </w:r>
          </w:p>
        </w:tc>
        <w:tc>
          <w:tcPr>
            <w:tcW w:w="810" w:type="dxa"/>
            <w:tcBorders>
              <w:top w:val="nil"/>
              <w:left w:val="nil"/>
              <w:bottom w:val="single" w:sz="4" w:space="0" w:color="auto"/>
              <w:right w:val="single" w:sz="4" w:space="0" w:color="auto"/>
            </w:tcBorders>
            <w:vAlign w:val="bottom"/>
          </w:tcPr>
          <w:p w14:paraId="3734125D"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4.0</w:t>
            </w:r>
          </w:p>
        </w:tc>
      </w:tr>
      <w:tr w:rsidR="000D2499" w:rsidRPr="00F36051" w14:paraId="0AA1514F" w14:textId="77777777" w:rsidTr="000D2499">
        <w:trPr>
          <w:trHeight w:val="225"/>
        </w:trPr>
        <w:tc>
          <w:tcPr>
            <w:tcW w:w="7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FC538" w14:textId="77777777" w:rsidR="000D2499" w:rsidRPr="00C37A47" w:rsidRDefault="000D2499" w:rsidP="00EA4043">
            <w:pPr>
              <w:pStyle w:val="ListParagraph"/>
              <w:numPr>
                <w:ilvl w:val="0"/>
                <w:numId w:val="61"/>
              </w:numPr>
              <w:ind w:left="337" w:hanging="337"/>
              <w:contextualSpacing/>
              <w:jc w:val="both"/>
              <w:rPr>
                <w:rFonts w:asciiTheme="majorHAnsi" w:eastAsia="Times New Roman" w:hAnsiTheme="majorHAnsi"/>
                <w:color w:val="000000"/>
                <w:sz w:val="16"/>
                <w:szCs w:val="16"/>
              </w:rPr>
            </w:pPr>
            <w:r w:rsidRPr="00C37A47">
              <w:rPr>
                <w:rFonts w:asciiTheme="majorHAnsi" w:eastAsia="Times New Roman" w:hAnsiTheme="majorHAnsi" w:cs="Arial"/>
                <w:color w:val="000000"/>
                <w:sz w:val="16"/>
                <w:szCs w:val="16"/>
              </w:rPr>
              <w:t xml:space="preserve">Are there gender issues related to women that need to be addressed in the Environment sector? </w:t>
            </w:r>
          </w:p>
        </w:tc>
        <w:tc>
          <w:tcPr>
            <w:tcW w:w="810" w:type="dxa"/>
            <w:tcBorders>
              <w:top w:val="nil"/>
              <w:left w:val="nil"/>
              <w:bottom w:val="single" w:sz="4" w:space="0" w:color="auto"/>
              <w:right w:val="single" w:sz="4" w:space="0" w:color="auto"/>
            </w:tcBorders>
            <w:vAlign w:val="bottom"/>
          </w:tcPr>
          <w:p w14:paraId="460DC405"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3.3</w:t>
            </w:r>
          </w:p>
        </w:tc>
        <w:tc>
          <w:tcPr>
            <w:tcW w:w="816" w:type="dxa"/>
            <w:tcBorders>
              <w:top w:val="nil"/>
              <w:left w:val="nil"/>
              <w:bottom w:val="single" w:sz="4" w:space="0" w:color="auto"/>
              <w:right w:val="single" w:sz="4" w:space="0" w:color="auto"/>
            </w:tcBorders>
            <w:vAlign w:val="bottom"/>
          </w:tcPr>
          <w:p w14:paraId="1925C305"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3.2</w:t>
            </w:r>
          </w:p>
        </w:tc>
        <w:tc>
          <w:tcPr>
            <w:tcW w:w="810" w:type="dxa"/>
            <w:tcBorders>
              <w:top w:val="nil"/>
              <w:left w:val="nil"/>
              <w:bottom w:val="single" w:sz="4" w:space="0" w:color="auto"/>
              <w:right w:val="single" w:sz="4" w:space="0" w:color="auto"/>
            </w:tcBorders>
            <w:vAlign w:val="bottom"/>
          </w:tcPr>
          <w:p w14:paraId="58B74A11"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4.0</w:t>
            </w:r>
          </w:p>
        </w:tc>
      </w:tr>
      <w:tr w:rsidR="000D2499" w:rsidRPr="00F36051" w14:paraId="2DCEF91C" w14:textId="77777777" w:rsidTr="000D2499">
        <w:trPr>
          <w:trHeight w:val="225"/>
        </w:trPr>
        <w:tc>
          <w:tcPr>
            <w:tcW w:w="7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90316" w14:textId="77777777" w:rsidR="000D2499" w:rsidRPr="00C37A47" w:rsidRDefault="000D2499" w:rsidP="00EA4043">
            <w:pPr>
              <w:pStyle w:val="ListParagraph"/>
              <w:numPr>
                <w:ilvl w:val="0"/>
                <w:numId w:val="61"/>
              </w:numPr>
              <w:ind w:left="337" w:hanging="337"/>
              <w:contextualSpacing/>
              <w:jc w:val="both"/>
              <w:rPr>
                <w:rFonts w:asciiTheme="majorHAnsi" w:eastAsia="Times New Roman" w:hAnsiTheme="majorHAnsi"/>
                <w:color w:val="000000"/>
                <w:sz w:val="16"/>
                <w:szCs w:val="16"/>
              </w:rPr>
            </w:pPr>
            <w:r w:rsidRPr="00C37A47">
              <w:rPr>
                <w:rFonts w:asciiTheme="majorHAnsi" w:eastAsia="Times New Roman" w:hAnsiTheme="majorHAnsi" w:cs="Arial"/>
                <w:color w:val="000000"/>
                <w:sz w:val="16"/>
                <w:szCs w:val="16"/>
              </w:rPr>
              <w:t>Does the implementation plan for biodiversity projects include activities that strengthen skills and provide women/girls with equal access to services and training?</w:t>
            </w:r>
          </w:p>
        </w:tc>
        <w:tc>
          <w:tcPr>
            <w:tcW w:w="810" w:type="dxa"/>
            <w:tcBorders>
              <w:top w:val="nil"/>
              <w:left w:val="nil"/>
              <w:bottom w:val="single" w:sz="4" w:space="0" w:color="auto"/>
              <w:right w:val="single" w:sz="4" w:space="0" w:color="auto"/>
            </w:tcBorders>
            <w:vAlign w:val="bottom"/>
          </w:tcPr>
          <w:p w14:paraId="79B85674"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2.9</w:t>
            </w:r>
          </w:p>
        </w:tc>
        <w:tc>
          <w:tcPr>
            <w:tcW w:w="816" w:type="dxa"/>
            <w:tcBorders>
              <w:top w:val="nil"/>
              <w:left w:val="nil"/>
              <w:bottom w:val="single" w:sz="4" w:space="0" w:color="auto"/>
              <w:right w:val="single" w:sz="4" w:space="0" w:color="auto"/>
            </w:tcBorders>
            <w:vAlign w:val="bottom"/>
          </w:tcPr>
          <w:p w14:paraId="2FD99CD3"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3.0</w:t>
            </w:r>
          </w:p>
        </w:tc>
        <w:tc>
          <w:tcPr>
            <w:tcW w:w="810" w:type="dxa"/>
            <w:tcBorders>
              <w:top w:val="nil"/>
              <w:left w:val="nil"/>
              <w:bottom w:val="single" w:sz="4" w:space="0" w:color="auto"/>
              <w:right w:val="single" w:sz="4" w:space="0" w:color="auto"/>
            </w:tcBorders>
            <w:vAlign w:val="bottom"/>
          </w:tcPr>
          <w:p w14:paraId="4A6207B8"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2.5</w:t>
            </w:r>
          </w:p>
        </w:tc>
      </w:tr>
      <w:tr w:rsidR="000D2499" w:rsidRPr="00F36051" w14:paraId="6B679D1B" w14:textId="77777777" w:rsidTr="000D2499">
        <w:trPr>
          <w:trHeight w:val="225"/>
        </w:trPr>
        <w:tc>
          <w:tcPr>
            <w:tcW w:w="7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3763C9" w14:textId="77777777" w:rsidR="000D2499" w:rsidRPr="00C37A47" w:rsidRDefault="000D2499" w:rsidP="00EA4043">
            <w:pPr>
              <w:pStyle w:val="ListParagraph"/>
              <w:numPr>
                <w:ilvl w:val="0"/>
                <w:numId w:val="61"/>
              </w:numPr>
              <w:ind w:left="337" w:hanging="337"/>
              <w:contextualSpacing/>
              <w:jc w:val="both"/>
              <w:rPr>
                <w:rFonts w:asciiTheme="majorHAnsi" w:eastAsia="Times New Roman" w:hAnsiTheme="majorHAnsi"/>
                <w:color w:val="000000"/>
                <w:sz w:val="16"/>
                <w:szCs w:val="16"/>
              </w:rPr>
            </w:pPr>
            <w:r w:rsidRPr="00C37A47">
              <w:rPr>
                <w:rFonts w:asciiTheme="majorHAnsi" w:eastAsia="Times New Roman" w:hAnsiTheme="majorHAnsi" w:cs="Arial"/>
                <w:color w:val="000000"/>
                <w:sz w:val="16"/>
                <w:szCs w:val="16"/>
              </w:rPr>
              <w:t>Does the implementation plan for biodiversity projects include activities that strengthen skills and provide men/boys with equal access to services and training?</w:t>
            </w:r>
          </w:p>
        </w:tc>
        <w:tc>
          <w:tcPr>
            <w:tcW w:w="810" w:type="dxa"/>
            <w:tcBorders>
              <w:top w:val="nil"/>
              <w:left w:val="nil"/>
              <w:bottom w:val="single" w:sz="4" w:space="0" w:color="auto"/>
              <w:right w:val="single" w:sz="4" w:space="0" w:color="auto"/>
            </w:tcBorders>
            <w:vAlign w:val="bottom"/>
          </w:tcPr>
          <w:p w14:paraId="7FFC1432"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2.7</w:t>
            </w:r>
          </w:p>
        </w:tc>
        <w:tc>
          <w:tcPr>
            <w:tcW w:w="816" w:type="dxa"/>
            <w:tcBorders>
              <w:top w:val="nil"/>
              <w:left w:val="nil"/>
              <w:bottom w:val="single" w:sz="4" w:space="0" w:color="auto"/>
              <w:right w:val="single" w:sz="4" w:space="0" w:color="auto"/>
            </w:tcBorders>
            <w:vAlign w:val="bottom"/>
          </w:tcPr>
          <w:p w14:paraId="049FBDE0"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2.9</w:t>
            </w:r>
          </w:p>
        </w:tc>
        <w:tc>
          <w:tcPr>
            <w:tcW w:w="810" w:type="dxa"/>
            <w:tcBorders>
              <w:top w:val="nil"/>
              <w:left w:val="nil"/>
              <w:bottom w:val="single" w:sz="4" w:space="0" w:color="auto"/>
              <w:right w:val="single" w:sz="4" w:space="0" w:color="auto"/>
            </w:tcBorders>
            <w:vAlign w:val="bottom"/>
          </w:tcPr>
          <w:p w14:paraId="7F43E9A7"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2.0</w:t>
            </w:r>
          </w:p>
        </w:tc>
      </w:tr>
      <w:tr w:rsidR="000D2499" w:rsidRPr="00F36051" w14:paraId="3AB704E9" w14:textId="77777777" w:rsidTr="000D2499">
        <w:trPr>
          <w:trHeight w:val="225"/>
        </w:trPr>
        <w:tc>
          <w:tcPr>
            <w:tcW w:w="7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31551" w14:textId="77777777" w:rsidR="000D2499" w:rsidRPr="00C37A47" w:rsidRDefault="000D2499" w:rsidP="00EA4043">
            <w:pPr>
              <w:pStyle w:val="ListParagraph"/>
              <w:numPr>
                <w:ilvl w:val="0"/>
                <w:numId w:val="61"/>
              </w:numPr>
              <w:ind w:left="337" w:hanging="337"/>
              <w:contextualSpacing/>
              <w:jc w:val="both"/>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Implementing agencies are gender-friendly</w:t>
            </w:r>
          </w:p>
        </w:tc>
        <w:tc>
          <w:tcPr>
            <w:tcW w:w="810" w:type="dxa"/>
            <w:tcBorders>
              <w:top w:val="nil"/>
              <w:left w:val="nil"/>
              <w:bottom w:val="single" w:sz="4" w:space="0" w:color="auto"/>
              <w:right w:val="single" w:sz="4" w:space="0" w:color="auto"/>
            </w:tcBorders>
            <w:vAlign w:val="bottom"/>
          </w:tcPr>
          <w:p w14:paraId="6E556551"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2.6</w:t>
            </w:r>
          </w:p>
        </w:tc>
        <w:tc>
          <w:tcPr>
            <w:tcW w:w="816" w:type="dxa"/>
            <w:tcBorders>
              <w:top w:val="nil"/>
              <w:left w:val="nil"/>
              <w:bottom w:val="single" w:sz="4" w:space="0" w:color="auto"/>
              <w:right w:val="single" w:sz="4" w:space="0" w:color="auto"/>
            </w:tcBorders>
            <w:vAlign w:val="bottom"/>
          </w:tcPr>
          <w:p w14:paraId="5D1CCAAA"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2.9</w:t>
            </w:r>
          </w:p>
        </w:tc>
        <w:tc>
          <w:tcPr>
            <w:tcW w:w="810" w:type="dxa"/>
            <w:tcBorders>
              <w:top w:val="nil"/>
              <w:left w:val="nil"/>
              <w:bottom w:val="single" w:sz="4" w:space="0" w:color="auto"/>
              <w:right w:val="single" w:sz="4" w:space="0" w:color="auto"/>
            </w:tcBorders>
            <w:vAlign w:val="bottom"/>
          </w:tcPr>
          <w:p w14:paraId="3497B2E7"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1.5</w:t>
            </w:r>
          </w:p>
        </w:tc>
      </w:tr>
      <w:tr w:rsidR="000D2499" w:rsidRPr="00F36051" w14:paraId="07C20EA2" w14:textId="77777777" w:rsidTr="000D2499">
        <w:trPr>
          <w:trHeight w:val="225"/>
        </w:trPr>
        <w:tc>
          <w:tcPr>
            <w:tcW w:w="7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432F1" w14:textId="77777777" w:rsidR="000D2499" w:rsidRPr="00C37A47" w:rsidRDefault="000D2499" w:rsidP="00EA4043">
            <w:pPr>
              <w:pStyle w:val="ListParagraph"/>
              <w:numPr>
                <w:ilvl w:val="0"/>
                <w:numId w:val="61"/>
              </w:numPr>
              <w:ind w:left="337" w:hanging="337"/>
              <w:contextualSpacing/>
              <w:jc w:val="both"/>
              <w:rPr>
                <w:rFonts w:asciiTheme="majorHAnsi" w:eastAsia="Times New Roman" w:hAnsiTheme="majorHAnsi"/>
                <w:color w:val="000000"/>
                <w:sz w:val="16"/>
                <w:szCs w:val="16"/>
              </w:rPr>
            </w:pPr>
            <w:r w:rsidRPr="00C37A47">
              <w:rPr>
                <w:rFonts w:asciiTheme="majorHAnsi" w:eastAsia="Times New Roman" w:hAnsiTheme="majorHAnsi" w:cs="Arial"/>
                <w:color w:val="000000"/>
                <w:sz w:val="16"/>
                <w:szCs w:val="16"/>
              </w:rPr>
              <w:t>Are gender equality goals and objectives included in biodiversity projects or mainstreaming goals?</w:t>
            </w:r>
          </w:p>
        </w:tc>
        <w:tc>
          <w:tcPr>
            <w:tcW w:w="810" w:type="dxa"/>
            <w:tcBorders>
              <w:top w:val="nil"/>
              <w:left w:val="nil"/>
              <w:bottom w:val="single" w:sz="4" w:space="0" w:color="auto"/>
              <w:right w:val="single" w:sz="4" w:space="0" w:color="auto"/>
            </w:tcBorders>
            <w:vAlign w:val="bottom"/>
          </w:tcPr>
          <w:p w14:paraId="4563084A"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2.5</w:t>
            </w:r>
          </w:p>
        </w:tc>
        <w:tc>
          <w:tcPr>
            <w:tcW w:w="816" w:type="dxa"/>
            <w:tcBorders>
              <w:top w:val="nil"/>
              <w:left w:val="nil"/>
              <w:bottom w:val="single" w:sz="4" w:space="0" w:color="auto"/>
              <w:right w:val="single" w:sz="4" w:space="0" w:color="auto"/>
            </w:tcBorders>
            <w:vAlign w:val="bottom"/>
          </w:tcPr>
          <w:p w14:paraId="0341D654"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2.4</w:t>
            </w:r>
          </w:p>
        </w:tc>
        <w:tc>
          <w:tcPr>
            <w:tcW w:w="810" w:type="dxa"/>
            <w:tcBorders>
              <w:top w:val="nil"/>
              <w:left w:val="nil"/>
              <w:bottom w:val="single" w:sz="4" w:space="0" w:color="auto"/>
              <w:right w:val="single" w:sz="4" w:space="0" w:color="auto"/>
            </w:tcBorders>
            <w:vAlign w:val="bottom"/>
          </w:tcPr>
          <w:p w14:paraId="0FC80705"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3.0</w:t>
            </w:r>
          </w:p>
        </w:tc>
      </w:tr>
      <w:tr w:rsidR="000D2499" w:rsidRPr="00F36051" w14:paraId="7EA4B452" w14:textId="77777777" w:rsidTr="000D2499">
        <w:trPr>
          <w:trHeight w:val="225"/>
        </w:trPr>
        <w:tc>
          <w:tcPr>
            <w:tcW w:w="7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80FBB" w14:textId="77777777" w:rsidR="000D2499" w:rsidRPr="00C37A47" w:rsidRDefault="000D2499" w:rsidP="00EA4043">
            <w:pPr>
              <w:pStyle w:val="ListParagraph"/>
              <w:numPr>
                <w:ilvl w:val="0"/>
                <w:numId w:val="61"/>
              </w:numPr>
              <w:ind w:left="337" w:hanging="337"/>
              <w:contextualSpacing/>
              <w:jc w:val="both"/>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Has gender expertise increased within the biodiversity conservation sector?</w:t>
            </w:r>
          </w:p>
        </w:tc>
        <w:tc>
          <w:tcPr>
            <w:tcW w:w="810" w:type="dxa"/>
            <w:tcBorders>
              <w:top w:val="nil"/>
              <w:left w:val="nil"/>
              <w:bottom w:val="single" w:sz="4" w:space="0" w:color="auto"/>
              <w:right w:val="single" w:sz="4" w:space="0" w:color="auto"/>
            </w:tcBorders>
            <w:vAlign w:val="bottom"/>
          </w:tcPr>
          <w:p w14:paraId="42403939"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2.2</w:t>
            </w:r>
          </w:p>
        </w:tc>
        <w:tc>
          <w:tcPr>
            <w:tcW w:w="816" w:type="dxa"/>
            <w:tcBorders>
              <w:top w:val="nil"/>
              <w:left w:val="nil"/>
              <w:bottom w:val="single" w:sz="4" w:space="0" w:color="auto"/>
              <w:right w:val="single" w:sz="4" w:space="0" w:color="auto"/>
            </w:tcBorders>
            <w:vAlign w:val="bottom"/>
          </w:tcPr>
          <w:p w14:paraId="34E013B4"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2.3</w:t>
            </w:r>
          </w:p>
        </w:tc>
        <w:tc>
          <w:tcPr>
            <w:tcW w:w="810" w:type="dxa"/>
            <w:tcBorders>
              <w:top w:val="nil"/>
              <w:left w:val="nil"/>
              <w:bottom w:val="single" w:sz="4" w:space="0" w:color="auto"/>
              <w:right w:val="single" w:sz="4" w:space="0" w:color="auto"/>
            </w:tcBorders>
            <w:vAlign w:val="bottom"/>
          </w:tcPr>
          <w:p w14:paraId="1360AB9F"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2.5</w:t>
            </w:r>
          </w:p>
        </w:tc>
      </w:tr>
      <w:tr w:rsidR="000D2499" w:rsidRPr="00F36051" w14:paraId="32066A4B" w14:textId="77777777" w:rsidTr="000D2499">
        <w:trPr>
          <w:trHeight w:val="225"/>
        </w:trPr>
        <w:tc>
          <w:tcPr>
            <w:tcW w:w="7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A6AB86" w14:textId="77777777" w:rsidR="000D2499" w:rsidRPr="00C37A47" w:rsidRDefault="000D2499" w:rsidP="00EA4043">
            <w:pPr>
              <w:pStyle w:val="ListParagraph"/>
              <w:numPr>
                <w:ilvl w:val="0"/>
                <w:numId w:val="61"/>
              </w:numPr>
              <w:ind w:left="337" w:hanging="337"/>
              <w:contextualSpacing/>
              <w:jc w:val="both"/>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Implementing agencies consider the needs of all vulnerable peoples (across all levels of society), including the poor, uneducated, foreign, or otherwise without power</w:t>
            </w:r>
          </w:p>
        </w:tc>
        <w:tc>
          <w:tcPr>
            <w:tcW w:w="810" w:type="dxa"/>
            <w:tcBorders>
              <w:top w:val="nil"/>
              <w:left w:val="nil"/>
              <w:bottom w:val="single" w:sz="4" w:space="0" w:color="auto"/>
              <w:right w:val="single" w:sz="4" w:space="0" w:color="auto"/>
            </w:tcBorders>
            <w:vAlign w:val="bottom"/>
          </w:tcPr>
          <w:p w14:paraId="080EDF5E"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2.2</w:t>
            </w:r>
          </w:p>
        </w:tc>
        <w:tc>
          <w:tcPr>
            <w:tcW w:w="816" w:type="dxa"/>
            <w:tcBorders>
              <w:top w:val="nil"/>
              <w:left w:val="nil"/>
              <w:bottom w:val="single" w:sz="4" w:space="0" w:color="auto"/>
              <w:right w:val="single" w:sz="4" w:space="0" w:color="auto"/>
            </w:tcBorders>
            <w:vAlign w:val="bottom"/>
          </w:tcPr>
          <w:p w14:paraId="3D9BC8A7"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2.3</w:t>
            </w:r>
          </w:p>
        </w:tc>
        <w:tc>
          <w:tcPr>
            <w:tcW w:w="810" w:type="dxa"/>
            <w:tcBorders>
              <w:top w:val="nil"/>
              <w:left w:val="nil"/>
              <w:bottom w:val="single" w:sz="4" w:space="0" w:color="auto"/>
              <w:right w:val="single" w:sz="4" w:space="0" w:color="auto"/>
            </w:tcBorders>
            <w:vAlign w:val="bottom"/>
          </w:tcPr>
          <w:p w14:paraId="1C6D8EA7"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1.5</w:t>
            </w:r>
          </w:p>
        </w:tc>
      </w:tr>
      <w:tr w:rsidR="000D2499" w:rsidRPr="00F36051" w14:paraId="619E899B" w14:textId="77777777" w:rsidTr="000D2499">
        <w:trPr>
          <w:trHeight w:val="225"/>
        </w:trPr>
        <w:tc>
          <w:tcPr>
            <w:tcW w:w="7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89FFB" w14:textId="77777777" w:rsidR="000D2499" w:rsidRPr="00C37A47" w:rsidRDefault="000D2499" w:rsidP="00EA4043">
            <w:pPr>
              <w:pStyle w:val="ListParagraph"/>
              <w:numPr>
                <w:ilvl w:val="0"/>
                <w:numId w:val="61"/>
              </w:numPr>
              <w:ind w:left="337" w:hanging="337"/>
              <w:contextualSpacing/>
              <w:jc w:val="both"/>
              <w:rPr>
                <w:rFonts w:asciiTheme="majorHAnsi" w:eastAsia="Times New Roman" w:hAnsiTheme="majorHAnsi"/>
                <w:color w:val="000000"/>
                <w:sz w:val="16"/>
                <w:szCs w:val="16"/>
              </w:rPr>
            </w:pPr>
            <w:r w:rsidRPr="00C37A47">
              <w:rPr>
                <w:rFonts w:asciiTheme="majorHAnsi" w:eastAsia="Times New Roman" w:hAnsiTheme="majorHAnsi" w:cs="Arial"/>
                <w:color w:val="000000"/>
                <w:sz w:val="16"/>
                <w:szCs w:val="16"/>
              </w:rPr>
              <w:t>Do biodiversity conservation staff have the necessary knowledge, skills and attitude to carry out their work with gender awareness?</w:t>
            </w:r>
          </w:p>
        </w:tc>
        <w:tc>
          <w:tcPr>
            <w:tcW w:w="810" w:type="dxa"/>
            <w:tcBorders>
              <w:top w:val="nil"/>
              <w:left w:val="nil"/>
              <w:bottom w:val="single" w:sz="4" w:space="0" w:color="auto"/>
              <w:right w:val="single" w:sz="4" w:space="0" w:color="auto"/>
            </w:tcBorders>
            <w:vAlign w:val="bottom"/>
          </w:tcPr>
          <w:p w14:paraId="208E26C5"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2.0</w:t>
            </w:r>
          </w:p>
        </w:tc>
        <w:tc>
          <w:tcPr>
            <w:tcW w:w="816" w:type="dxa"/>
            <w:tcBorders>
              <w:top w:val="nil"/>
              <w:left w:val="nil"/>
              <w:bottom w:val="single" w:sz="4" w:space="0" w:color="auto"/>
              <w:right w:val="single" w:sz="4" w:space="0" w:color="auto"/>
            </w:tcBorders>
            <w:vAlign w:val="bottom"/>
          </w:tcPr>
          <w:p w14:paraId="08720B18"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2.2</w:t>
            </w:r>
          </w:p>
        </w:tc>
        <w:tc>
          <w:tcPr>
            <w:tcW w:w="810" w:type="dxa"/>
            <w:tcBorders>
              <w:top w:val="nil"/>
              <w:left w:val="nil"/>
              <w:bottom w:val="single" w:sz="4" w:space="0" w:color="auto"/>
              <w:right w:val="single" w:sz="4" w:space="0" w:color="auto"/>
            </w:tcBorders>
            <w:vAlign w:val="bottom"/>
          </w:tcPr>
          <w:p w14:paraId="1A203BB0"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2.0</w:t>
            </w:r>
          </w:p>
        </w:tc>
      </w:tr>
      <w:tr w:rsidR="000D2499" w:rsidRPr="00F36051" w14:paraId="5945A028" w14:textId="77777777" w:rsidTr="000D2499">
        <w:trPr>
          <w:trHeight w:val="225"/>
        </w:trPr>
        <w:tc>
          <w:tcPr>
            <w:tcW w:w="7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11E1C4" w14:textId="77777777" w:rsidR="000D2499" w:rsidRPr="00C37A47" w:rsidRDefault="000D2499" w:rsidP="00EA4043">
            <w:pPr>
              <w:pStyle w:val="ListParagraph"/>
              <w:numPr>
                <w:ilvl w:val="0"/>
                <w:numId w:val="61"/>
              </w:numPr>
              <w:ind w:left="337" w:hanging="337"/>
              <w:contextualSpacing/>
              <w:jc w:val="both"/>
              <w:rPr>
                <w:rFonts w:asciiTheme="majorHAnsi" w:eastAsia="Times New Roman" w:hAnsiTheme="majorHAnsi"/>
                <w:color w:val="000000"/>
                <w:sz w:val="16"/>
                <w:szCs w:val="16"/>
              </w:rPr>
            </w:pPr>
            <w:r w:rsidRPr="00C37A47">
              <w:rPr>
                <w:rFonts w:asciiTheme="majorHAnsi" w:eastAsia="Times New Roman" w:hAnsiTheme="majorHAnsi" w:cs="Arial"/>
                <w:color w:val="000000"/>
                <w:sz w:val="16"/>
                <w:szCs w:val="16"/>
              </w:rPr>
              <w:t>Is there assigned staff responsibility for gender integration in National environmental offices?</w:t>
            </w:r>
          </w:p>
        </w:tc>
        <w:tc>
          <w:tcPr>
            <w:tcW w:w="810" w:type="dxa"/>
            <w:tcBorders>
              <w:top w:val="nil"/>
              <w:left w:val="nil"/>
              <w:bottom w:val="single" w:sz="4" w:space="0" w:color="auto"/>
              <w:right w:val="single" w:sz="4" w:space="0" w:color="auto"/>
            </w:tcBorders>
            <w:vAlign w:val="bottom"/>
          </w:tcPr>
          <w:p w14:paraId="3B0EE99B"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1.9</w:t>
            </w:r>
          </w:p>
        </w:tc>
        <w:tc>
          <w:tcPr>
            <w:tcW w:w="816" w:type="dxa"/>
            <w:tcBorders>
              <w:top w:val="nil"/>
              <w:left w:val="nil"/>
              <w:bottom w:val="single" w:sz="4" w:space="0" w:color="auto"/>
              <w:right w:val="single" w:sz="4" w:space="0" w:color="auto"/>
            </w:tcBorders>
            <w:vAlign w:val="bottom"/>
          </w:tcPr>
          <w:p w14:paraId="4624AB23"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2.2</w:t>
            </w:r>
          </w:p>
        </w:tc>
        <w:tc>
          <w:tcPr>
            <w:tcW w:w="810" w:type="dxa"/>
            <w:tcBorders>
              <w:top w:val="nil"/>
              <w:left w:val="nil"/>
              <w:bottom w:val="single" w:sz="4" w:space="0" w:color="auto"/>
              <w:right w:val="single" w:sz="4" w:space="0" w:color="auto"/>
            </w:tcBorders>
            <w:vAlign w:val="bottom"/>
          </w:tcPr>
          <w:p w14:paraId="07C630AA"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1.0</w:t>
            </w:r>
          </w:p>
        </w:tc>
      </w:tr>
      <w:tr w:rsidR="000D2499" w:rsidRPr="00F36051" w14:paraId="44A2C6E7" w14:textId="77777777" w:rsidTr="000D2499">
        <w:trPr>
          <w:trHeight w:val="225"/>
        </w:trPr>
        <w:tc>
          <w:tcPr>
            <w:tcW w:w="7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DF36C" w14:textId="77777777" w:rsidR="000D2499" w:rsidRPr="00C37A47" w:rsidRDefault="000D2499" w:rsidP="00EA4043">
            <w:pPr>
              <w:pStyle w:val="ListParagraph"/>
              <w:numPr>
                <w:ilvl w:val="0"/>
                <w:numId w:val="61"/>
              </w:numPr>
              <w:ind w:left="337" w:hanging="337"/>
              <w:contextualSpacing/>
              <w:jc w:val="both"/>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Do biodiversity conservation office and organizational practices support gender equality?</w:t>
            </w:r>
          </w:p>
        </w:tc>
        <w:tc>
          <w:tcPr>
            <w:tcW w:w="810" w:type="dxa"/>
            <w:tcBorders>
              <w:top w:val="nil"/>
              <w:left w:val="nil"/>
              <w:bottom w:val="single" w:sz="4" w:space="0" w:color="auto"/>
              <w:right w:val="single" w:sz="4" w:space="0" w:color="auto"/>
            </w:tcBorders>
            <w:vAlign w:val="bottom"/>
          </w:tcPr>
          <w:p w14:paraId="1B106EB9"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1.9</w:t>
            </w:r>
          </w:p>
        </w:tc>
        <w:tc>
          <w:tcPr>
            <w:tcW w:w="816" w:type="dxa"/>
            <w:tcBorders>
              <w:top w:val="nil"/>
              <w:left w:val="nil"/>
              <w:bottom w:val="single" w:sz="4" w:space="0" w:color="auto"/>
              <w:right w:val="single" w:sz="4" w:space="0" w:color="auto"/>
            </w:tcBorders>
            <w:vAlign w:val="bottom"/>
          </w:tcPr>
          <w:p w14:paraId="607465AE"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2.0</w:t>
            </w:r>
          </w:p>
        </w:tc>
        <w:tc>
          <w:tcPr>
            <w:tcW w:w="810" w:type="dxa"/>
            <w:tcBorders>
              <w:top w:val="nil"/>
              <w:left w:val="nil"/>
              <w:bottom w:val="single" w:sz="4" w:space="0" w:color="auto"/>
              <w:right w:val="single" w:sz="4" w:space="0" w:color="auto"/>
            </w:tcBorders>
            <w:vAlign w:val="bottom"/>
          </w:tcPr>
          <w:p w14:paraId="6C6DA012"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1.5</w:t>
            </w:r>
          </w:p>
        </w:tc>
      </w:tr>
      <w:tr w:rsidR="000D2499" w:rsidRPr="00F36051" w14:paraId="4D84230E" w14:textId="77777777" w:rsidTr="000D2499">
        <w:trPr>
          <w:trHeight w:val="225"/>
        </w:trPr>
        <w:tc>
          <w:tcPr>
            <w:tcW w:w="7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56934" w14:textId="77777777" w:rsidR="000D2499" w:rsidRPr="00C37A47" w:rsidRDefault="000D2499" w:rsidP="00EA4043">
            <w:pPr>
              <w:pStyle w:val="ListParagraph"/>
              <w:numPr>
                <w:ilvl w:val="0"/>
                <w:numId w:val="61"/>
              </w:numPr>
              <w:ind w:left="337" w:hanging="337"/>
              <w:contextualSpacing/>
              <w:jc w:val="both"/>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Have biodiversity conservation staff been trained in gender awareness and sensitization?</w:t>
            </w:r>
          </w:p>
        </w:tc>
        <w:tc>
          <w:tcPr>
            <w:tcW w:w="810" w:type="dxa"/>
            <w:tcBorders>
              <w:top w:val="nil"/>
              <w:left w:val="nil"/>
              <w:bottom w:val="single" w:sz="4" w:space="0" w:color="auto"/>
              <w:right w:val="single" w:sz="4" w:space="0" w:color="auto"/>
            </w:tcBorders>
            <w:vAlign w:val="bottom"/>
          </w:tcPr>
          <w:p w14:paraId="5191CF33"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1.8</w:t>
            </w:r>
          </w:p>
        </w:tc>
        <w:tc>
          <w:tcPr>
            <w:tcW w:w="816" w:type="dxa"/>
            <w:tcBorders>
              <w:top w:val="nil"/>
              <w:left w:val="nil"/>
              <w:bottom w:val="single" w:sz="4" w:space="0" w:color="auto"/>
              <w:right w:val="single" w:sz="4" w:space="0" w:color="auto"/>
            </w:tcBorders>
            <w:vAlign w:val="bottom"/>
          </w:tcPr>
          <w:p w14:paraId="61C6B32A"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1.9</w:t>
            </w:r>
          </w:p>
        </w:tc>
        <w:tc>
          <w:tcPr>
            <w:tcW w:w="810" w:type="dxa"/>
            <w:tcBorders>
              <w:top w:val="nil"/>
              <w:left w:val="nil"/>
              <w:bottom w:val="single" w:sz="4" w:space="0" w:color="auto"/>
              <w:right w:val="single" w:sz="4" w:space="0" w:color="auto"/>
            </w:tcBorders>
            <w:vAlign w:val="bottom"/>
          </w:tcPr>
          <w:p w14:paraId="1ED431B8"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1.5</w:t>
            </w:r>
          </w:p>
        </w:tc>
      </w:tr>
      <w:tr w:rsidR="000D2499" w:rsidRPr="00F36051" w14:paraId="7670F245" w14:textId="77777777" w:rsidTr="000D2499">
        <w:trPr>
          <w:trHeight w:val="225"/>
        </w:trPr>
        <w:tc>
          <w:tcPr>
            <w:tcW w:w="7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1A74D" w14:textId="77777777" w:rsidR="000D2499" w:rsidRPr="00C37A47" w:rsidRDefault="000D2499" w:rsidP="00EA4043">
            <w:pPr>
              <w:pStyle w:val="ListParagraph"/>
              <w:numPr>
                <w:ilvl w:val="0"/>
                <w:numId w:val="61"/>
              </w:numPr>
              <w:ind w:left="337" w:hanging="337"/>
              <w:contextualSpacing/>
              <w:jc w:val="both"/>
              <w:rPr>
                <w:rFonts w:asciiTheme="majorHAnsi" w:eastAsia="Times New Roman" w:hAnsiTheme="majorHAnsi"/>
                <w:color w:val="000000"/>
                <w:sz w:val="16"/>
                <w:szCs w:val="16"/>
              </w:rPr>
            </w:pPr>
            <w:r w:rsidRPr="00C37A47">
              <w:rPr>
                <w:rFonts w:asciiTheme="majorHAnsi" w:eastAsia="Times New Roman" w:hAnsiTheme="majorHAnsi" w:cs="Arial"/>
                <w:color w:val="000000"/>
                <w:sz w:val="16"/>
                <w:szCs w:val="16"/>
              </w:rPr>
              <w:t>Are there adequate training and tools on gender planning, analysis and evaluation available?</w:t>
            </w:r>
          </w:p>
        </w:tc>
        <w:tc>
          <w:tcPr>
            <w:tcW w:w="810" w:type="dxa"/>
            <w:tcBorders>
              <w:top w:val="nil"/>
              <w:left w:val="nil"/>
              <w:bottom w:val="single" w:sz="4" w:space="0" w:color="auto"/>
              <w:right w:val="single" w:sz="4" w:space="0" w:color="auto"/>
            </w:tcBorders>
            <w:vAlign w:val="bottom"/>
          </w:tcPr>
          <w:p w14:paraId="2EBC1F4C"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1.8</w:t>
            </w:r>
          </w:p>
        </w:tc>
        <w:tc>
          <w:tcPr>
            <w:tcW w:w="816" w:type="dxa"/>
            <w:tcBorders>
              <w:top w:val="nil"/>
              <w:left w:val="nil"/>
              <w:bottom w:val="single" w:sz="4" w:space="0" w:color="auto"/>
              <w:right w:val="single" w:sz="4" w:space="0" w:color="auto"/>
            </w:tcBorders>
            <w:vAlign w:val="bottom"/>
          </w:tcPr>
          <w:p w14:paraId="020976C9"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2.0</w:t>
            </w:r>
          </w:p>
        </w:tc>
        <w:tc>
          <w:tcPr>
            <w:tcW w:w="810" w:type="dxa"/>
            <w:tcBorders>
              <w:top w:val="nil"/>
              <w:left w:val="nil"/>
              <w:bottom w:val="single" w:sz="4" w:space="0" w:color="auto"/>
              <w:right w:val="single" w:sz="4" w:space="0" w:color="auto"/>
            </w:tcBorders>
            <w:vAlign w:val="bottom"/>
          </w:tcPr>
          <w:p w14:paraId="401EBE22"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1.0</w:t>
            </w:r>
          </w:p>
        </w:tc>
      </w:tr>
      <w:tr w:rsidR="000D2499" w:rsidRPr="00F36051" w14:paraId="3E6FF786" w14:textId="77777777" w:rsidTr="000D2499">
        <w:trPr>
          <w:trHeight w:val="225"/>
        </w:trPr>
        <w:tc>
          <w:tcPr>
            <w:tcW w:w="7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B42B1" w14:textId="77777777" w:rsidR="000D2499" w:rsidRPr="00C37A47" w:rsidRDefault="000D2499" w:rsidP="00EA4043">
            <w:pPr>
              <w:pStyle w:val="ListParagraph"/>
              <w:numPr>
                <w:ilvl w:val="0"/>
                <w:numId w:val="61"/>
              </w:numPr>
              <w:ind w:left="337" w:hanging="337"/>
              <w:contextualSpacing/>
              <w:jc w:val="both"/>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Is gender awareness included in job descriptions and/or evaluation criteria within the biodiversity conservation sector?</w:t>
            </w:r>
          </w:p>
        </w:tc>
        <w:tc>
          <w:tcPr>
            <w:tcW w:w="810" w:type="dxa"/>
            <w:tcBorders>
              <w:top w:val="nil"/>
              <w:left w:val="nil"/>
              <w:bottom w:val="single" w:sz="4" w:space="0" w:color="auto"/>
              <w:right w:val="single" w:sz="4" w:space="0" w:color="auto"/>
            </w:tcBorders>
            <w:vAlign w:val="bottom"/>
          </w:tcPr>
          <w:p w14:paraId="590A636E"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1.6</w:t>
            </w:r>
          </w:p>
        </w:tc>
        <w:tc>
          <w:tcPr>
            <w:tcW w:w="816" w:type="dxa"/>
            <w:tcBorders>
              <w:top w:val="nil"/>
              <w:left w:val="nil"/>
              <w:bottom w:val="single" w:sz="4" w:space="0" w:color="auto"/>
              <w:right w:val="single" w:sz="4" w:space="0" w:color="auto"/>
            </w:tcBorders>
            <w:vAlign w:val="bottom"/>
          </w:tcPr>
          <w:p w14:paraId="7E9558B6"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1.7</w:t>
            </w:r>
          </w:p>
        </w:tc>
        <w:tc>
          <w:tcPr>
            <w:tcW w:w="810" w:type="dxa"/>
            <w:tcBorders>
              <w:top w:val="nil"/>
              <w:left w:val="nil"/>
              <w:bottom w:val="single" w:sz="4" w:space="0" w:color="auto"/>
              <w:right w:val="single" w:sz="4" w:space="0" w:color="auto"/>
            </w:tcBorders>
            <w:vAlign w:val="bottom"/>
          </w:tcPr>
          <w:p w14:paraId="42793195"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1.5</w:t>
            </w:r>
          </w:p>
        </w:tc>
      </w:tr>
      <w:tr w:rsidR="000D2499" w:rsidRPr="00F36051" w14:paraId="718566F9" w14:textId="77777777" w:rsidTr="000D2499">
        <w:trPr>
          <w:trHeight w:val="225"/>
        </w:trPr>
        <w:tc>
          <w:tcPr>
            <w:tcW w:w="7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793B6" w14:textId="77777777" w:rsidR="000D2499" w:rsidRPr="00C37A47" w:rsidRDefault="000D2499" w:rsidP="00EA4043">
            <w:pPr>
              <w:pStyle w:val="ListParagraph"/>
              <w:numPr>
                <w:ilvl w:val="0"/>
                <w:numId w:val="61"/>
              </w:numPr>
              <w:ind w:left="337" w:hanging="337"/>
              <w:contextualSpacing/>
              <w:jc w:val="both"/>
              <w:rPr>
                <w:rFonts w:asciiTheme="majorHAnsi" w:eastAsia="Times New Roman" w:hAnsiTheme="majorHAnsi"/>
                <w:color w:val="000000"/>
                <w:sz w:val="16"/>
                <w:szCs w:val="16"/>
              </w:rPr>
            </w:pPr>
            <w:r w:rsidRPr="00C37A47">
              <w:rPr>
                <w:rFonts w:asciiTheme="majorHAnsi" w:eastAsia="Times New Roman" w:hAnsiTheme="majorHAnsi" w:cs="Arial"/>
                <w:color w:val="000000"/>
                <w:sz w:val="16"/>
                <w:szCs w:val="16"/>
              </w:rPr>
              <w:t>Is commitment to gender equality a criterion for the government’s selection of private sector affiliates?</w:t>
            </w:r>
          </w:p>
        </w:tc>
        <w:tc>
          <w:tcPr>
            <w:tcW w:w="810" w:type="dxa"/>
            <w:tcBorders>
              <w:top w:val="nil"/>
              <w:left w:val="nil"/>
              <w:bottom w:val="single" w:sz="4" w:space="0" w:color="auto"/>
              <w:right w:val="single" w:sz="4" w:space="0" w:color="auto"/>
            </w:tcBorders>
            <w:vAlign w:val="bottom"/>
          </w:tcPr>
          <w:p w14:paraId="4E6AAA9F"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1.5</w:t>
            </w:r>
          </w:p>
        </w:tc>
        <w:tc>
          <w:tcPr>
            <w:tcW w:w="816" w:type="dxa"/>
            <w:tcBorders>
              <w:top w:val="nil"/>
              <w:left w:val="nil"/>
              <w:bottom w:val="single" w:sz="4" w:space="0" w:color="auto"/>
              <w:right w:val="single" w:sz="4" w:space="0" w:color="auto"/>
            </w:tcBorders>
            <w:vAlign w:val="bottom"/>
          </w:tcPr>
          <w:p w14:paraId="6D20791D"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1.4</w:t>
            </w:r>
          </w:p>
        </w:tc>
        <w:tc>
          <w:tcPr>
            <w:tcW w:w="810" w:type="dxa"/>
            <w:tcBorders>
              <w:top w:val="nil"/>
              <w:left w:val="nil"/>
              <w:bottom w:val="single" w:sz="4" w:space="0" w:color="auto"/>
              <w:right w:val="single" w:sz="4" w:space="0" w:color="auto"/>
            </w:tcBorders>
            <w:vAlign w:val="bottom"/>
          </w:tcPr>
          <w:p w14:paraId="11D34832"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1.5</w:t>
            </w:r>
          </w:p>
        </w:tc>
      </w:tr>
      <w:tr w:rsidR="000D2499" w:rsidRPr="00F36051" w14:paraId="4C36E72E" w14:textId="77777777" w:rsidTr="000D2499">
        <w:trPr>
          <w:trHeight w:val="225"/>
        </w:trPr>
        <w:tc>
          <w:tcPr>
            <w:tcW w:w="7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C633B" w14:textId="77777777" w:rsidR="000D2499" w:rsidRPr="00C37A47" w:rsidRDefault="000D2499" w:rsidP="00EA4043">
            <w:pPr>
              <w:pStyle w:val="ListParagraph"/>
              <w:numPr>
                <w:ilvl w:val="0"/>
                <w:numId w:val="61"/>
              </w:numPr>
              <w:ind w:left="337" w:hanging="337"/>
              <w:contextualSpacing/>
              <w:jc w:val="both"/>
              <w:rPr>
                <w:rFonts w:asciiTheme="majorHAnsi" w:eastAsia="Times New Roman" w:hAnsiTheme="majorHAnsi"/>
                <w:color w:val="000000"/>
                <w:sz w:val="16"/>
                <w:szCs w:val="16"/>
              </w:rPr>
            </w:pPr>
            <w:r w:rsidRPr="00C37A47">
              <w:rPr>
                <w:rFonts w:asciiTheme="majorHAnsi" w:eastAsia="Times New Roman" w:hAnsiTheme="majorHAnsi" w:cs="Arial"/>
                <w:color w:val="000000"/>
                <w:sz w:val="16"/>
                <w:szCs w:val="16"/>
              </w:rPr>
              <w:t>Is there a person or department responsible for gender in the biodiversity conservation sector?</w:t>
            </w:r>
          </w:p>
        </w:tc>
        <w:tc>
          <w:tcPr>
            <w:tcW w:w="810" w:type="dxa"/>
            <w:tcBorders>
              <w:top w:val="nil"/>
              <w:left w:val="nil"/>
              <w:bottom w:val="single" w:sz="4" w:space="0" w:color="auto"/>
              <w:right w:val="single" w:sz="4" w:space="0" w:color="auto"/>
            </w:tcBorders>
            <w:vAlign w:val="bottom"/>
          </w:tcPr>
          <w:p w14:paraId="2D07A32E"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1.4</w:t>
            </w:r>
          </w:p>
        </w:tc>
        <w:tc>
          <w:tcPr>
            <w:tcW w:w="816" w:type="dxa"/>
            <w:tcBorders>
              <w:top w:val="nil"/>
              <w:left w:val="nil"/>
              <w:bottom w:val="single" w:sz="4" w:space="0" w:color="auto"/>
              <w:right w:val="single" w:sz="4" w:space="0" w:color="auto"/>
            </w:tcBorders>
            <w:vAlign w:val="bottom"/>
          </w:tcPr>
          <w:p w14:paraId="190BDFE6"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1.6</w:t>
            </w:r>
          </w:p>
        </w:tc>
        <w:tc>
          <w:tcPr>
            <w:tcW w:w="810" w:type="dxa"/>
            <w:tcBorders>
              <w:top w:val="nil"/>
              <w:left w:val="nil"/>
              <w:bottom w:val="single" w:sz="4" w:space="0" w:color="auto"/>
              <w:right w:val="single" w:sz="4" w:space="0" w:color="auto"/>
            </w:tcBorders>
            <w:vAlign w:val="bottom"/>
          </w:tcPr>
          <w:p w14:paraId="77993944"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1.0</w:t>
            </w:r>
          </w:p>
        </w:tc>
      </w:tr>
      <w:tr w:rsidR="000D2499" w:rsidRPr="00F36051" w14:paraId="140C71FB" w14:textId="77777777" w:rsidTr="000D2499">
        <w:trPr>
          <w:trHeight w:val="225"/>
        </w:trPr>
        <w:tc>
          <w:tcPr>
            <w:tcW w:w="7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FA4C0" w14:textId="77777777" w:rsidR="000D2499" w:rsidRPr="00C37A47" w:rsidRDefault="000D2499" w:rsidP="00EA4043">
            <w:pPr>
              <w:pStyle w:val="ListParagraph"/>
              <w:numPr>
                <w:ilvl w:val="0"/>
                <w:numId w:val="61"/>
              </w:numPr>
              <w:ind w:left="337" w:hanging="337"/>
              <w:contextualSpacing/>
              <w:jc w:val="both"/>
              <w:rPr>
                <w:rFonts w:asciiTheme="majorHAnsi" w:eastAsia="Times New Roman" w:hAnsiTheme="majorHAnsi"/>
                <w:color w:val="000000"/>
                <w:sz w:val="16"/>
                <w:szCs w:val="16"/>
              </w:rPr>
            </w:pPr>
            <w:r w:rsidRPr="00C37A47">
              <w:rPr>
                <w:rFonts w:asciiTheme="majorHAnsi" w:eastAsia="Times New Roman" w:hAnsiTheme="majorHAnsi" w:cs="Arial"/>
                <w:color w:val="000000"/>
                <w:sz w:val="16"/>
                <w:szCs w:val="16"/>
              </w:rPr>
              <w:t>Do biodiversity projects budget adequate financial resources to support gender integration work?</w:t>
            </w:r>
          </w:p>
        </w:tc>
        <w:tc>
          <w:tcPr>
            <w:tcW w:w="810" w:type="dxa"/>
            <w:tcBorders>
              <w:top w:val="nil"/>
              <w:left w:val="nil"/>
              <w:bottom w:val="single" w:sz="4" w:space="0" w:color="auto"/>
              <w:right w:val="single" w:sz="4" w:space="0" w:color="auto"/>
            </w:tcBorders>
            <w:vAlign w:val="bottom"/>
          </w:tcPr>
          <w:p w14:paraId="1770602D"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1.3</w:t>
            </w:r>
          </w:p>
        </w:tc>
        <w:tc>
          <w:tcPr>
            <w:tcW w:w="816" w:type="dxa"/>
            <w:tcBorders>
              <w:top w:val="nil"/>
              <w:left w:val="nil"/>
              <w:bottom w:val="single" w:sz="4" w:space="0" w:color="auto"/>
              <w:right w:val="single" w:sz="4" w:space="0" w:color="auto"/>
            </w:tcBorders>
            <w:vAlign w:val="bottom"/>
          </w:tcPr>
          <w:p w14:paraId="4D264CBA"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1.3</w:t>
            </w:r>
          </w:p>
        </w:tc>
        <w:tc>
          <w:tcPr>
            <w:tcW w:w="810" w:type="dxa"/>
            <w:tcBorders>
              <w:top w:val="nil"/>
              <w:left w:val="nil"/>
              <w:bottom w:val="single" w:sz="4" w:space="0" w:color="auto"/>
              <w:right w:val="single" w:sz="4" w:space="0" w:color="auto"/>
            </w:tcBorders>
            <w:vAlign w:val="bottom"/>
          </w:tcPr>
          <w:p w14:paraId="515A661E"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1.0</w:t>
            </w:r>
          </w:p>
        </w:tc>
      </w:tr>
      <w:tr w:rsidR="000D2499" w:rsidRPr="00F36051" w14:paraId="45AB11F2" w14:textId="77777777" w:rsidTr="000D2499">
        <w:trPr>
          <w:trHeight w:val="225"/>
        </w:trPr>
        <w:tc>
          <w:tcPr>
            <w:tcW w:w="7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D5EEF" w14:textId="77777777" w:rsidR="000D2499" w:rsidRPr="00C37A47" w:rsidRDefault="000D2499" w:rsidP="00EA4043">
            <w:pPr>
              <w:pStyle w:val="ListParagraph"/>
              <w:numPr>
                <w:ilvl w:val="0"/>
                <w:numId w:val="61"/>
              </w:numPr>
              <w:ind w:left="337" w:hanging="337"/>
              <w:contextualSpacing/>
              <w:jc w:val="both"/>
              <w:rPr>
                <w:rFonts w:asciiTheme="majorHAnsi" w:eastAsia="Times New Roman" w:hAnsiTheme="majorHAnsi"/>
                <w:color w:val="000000"/>
                <w:sz w:val="16"/>
                <w:szCs w:val="16"/>
              </w:rPr>
            </w:pPr>
            <w:r w:rsidRPr="00C37A47">
              <w:rPr>
                <w:rFonts w:asciiTheme="majorHAnsi" w:eastAsia="Times New Roman" w:hAnsiTheme="majorHAnsi" w:cs="Arial"/>
                <w:color w:val="000000"/>
                <w:sz w:val="16"/>
                <w:szCs w:val="16"/>
              </w:rPr>
              <w:t>Is commitment to gender equality a criterion for the government’s selection of local NGO affiliates?</w:t>
            </w:r>
          </w:p>
        </w:tc>
        <w:tc>
          <w:tcPr>
            <w:tcW w:w="810" w:type="dxa"/>
            <w:tcBorders>
              <w:top w:val="nil"/>
              <w:left w:val="nil"/>
              <w:bottom w:val="single" w:sz="4" w:space="0" w:color="auto"/>
              <w:right w:val="single" w:sz="4" w:space="0" w:color="auto"/>
            </w:tcBorders>
            <w:vAlign w:val="bottom"/>
          </w:tcPr>
          <w:p w14:paraId="30AFCBDE"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1.2</w:t>
            </w:r>
          </w:p>
        </w:tc>
        <w:tc>
          <w:tcPr>
            <w:tcW w:w="816" w:type="dxa"/>
            <w:tcBorders>
              <w:top w:val="nil"/>
              <w:left w:val="nil"/>
              <w:bottom w:val="single" w:sz="4" w:space="0" w:color="auto"/>
              <w:right w:val="single" w:sz="4" w:space="0" w:color="auto"/>
            </w:tcBorders>
            <w:vAlign w:val="bottom"/>
          </w:tcPr>
          <w:p w14:paraId="632CE3B4"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1.1</w:t>
            </w:r>
          </w:p>
        </w:tc>
        <w:tc>
          <w:tcPr>
            <w:tcW w:w="810" w:type="dxa"/>
            <w:tcBorders>
              <w:top w:val="nil"/>
              <w:left w:val="nil"/>
              <w:bottom w:val="single" w:sz="4" w:space="0" w:color="auto"/>
              <w:right w:val="single" w:sz="4" w:space="0" w:color="auto"/>
            </w:tcBorders>
            <w:vAlign w:val="bottom"/>
          </w:tcPr>
          <w:p w14:paraId="4C286B59"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1.5</w:t>
            </w:r>
          </w:p>
        </w:tc>
      </w:tr>
      <w:tr w:rsidR="000D2499" w:rsidRPr="00F36051" w14:paraId="6E8FDC25" w14:textId="77777777" w:rsidTr="000D2499">
        <w:trPr>
          <w:trHeight w:val="225"/>
        </w:trPr>
        <w:tc>
          <w:tcPr>
            <w:tcW w:w="7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C37DF" w14:textId="77777777" w:rsidR="000D2499" w:rsidRPr="00C37A47" w:rsidRDefault="000D2499" w:rsidP="00EA4043">
            <w:pPr>
              <w:pStyle w:val="ListParagraph"/>
              <w:numPr>
                <w:ilvl w:val="0"/>
                <w:numId w:val="61"/>
              </w:numPr>
              <w:ind w:left="337" w:hanging="337"/>
              <w:contextualSpacing/>
              <w:jc w:val="both"/>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Do biodiversity conservation offices and organizations have written gender policies that affirm a commitment to gender equality?</w:t>
            </w:r>
          </w:p>
        </w:tc>
        <w:tc>
          <w:tcPr>
            <w:tcW w:w="810" w:type="dxa"/>
            <w:tcBorders>
              <w:top w:val="nil"/>
              <w:left w:val="nil"/>
              <w:bottom w:val="single" w:sz="4" w:space="0" w:color="auto"/>
              <w:right w:val="single" w:sz="4" w:space="0" w:color="auto"/>
            </w:tcBorders>
            <w:vAlign w:val="bottom"/>
          </w:tcPr>
          <w:p w14:paraId="7158405F"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1.0</w:t>
            </w:r>
          </w:p>
        </w:tc>
        <w:tc>
          <w:tcPr>
            <w:tcW w:w="816" w:type="dxa"/>
            <w:tcBorders>
              <w:top w:val="nil"/>
              <w:left w:val="nil"/>
              <w:bottom w:val="single" w:sz="4" w:space="0" w:color="auto"/>
              <w:right w:val="single" w:sz="4" w:space="0" w:color="auto"/>
            </w:tcBorders>
            <w:vAlign w:val="bottom"/>
          </w:tcPr>
          <w:p w14:paraId="61AA7EF6"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1.0</w:t>
            </w:r>
          </w:p>
        </w:tc>
        <w:tc>
          <w:tcPr>
            <w:tcW w:w="810" w:type="dxa"/>
            <w:tcBorders>
              <w:top w:val="nil"/>
              <w:left w:val="nil"/>
              <w:bottom w:val="single" w:sz="4" w:space="0" w:color="auto"/>
              <w:right w:val="single" w:sz="4" w:space="0" w:color="auto"/>
            </w:tcBorders>
            <w:vAlign w:val="bottom"/>
          </w:tcPr>
          <w:p w14:paraId="64D58658" w14:textId="77777777" w:rsidR="000D2499" w:rsidRPr="00C37A47" w:rsidRDefault="000D2499" w:rsidP="000D2499">
            <w:pPr>
              <w:spacing w:after="0"/>
              <w:jc w:val="right"/>
              <w:rPr>
                <w:rFonts w:asciiTheme="majorHAnsi" w:eastAsia="Times New Roman" w:hAnsiTheme="majorHAnsi"/>
                <w:color w:val="000000"/>
                <w:sz w:val="16"/>
                <w:szCs w:val="16"/>
              </w:rPr>
            </w:pPr>
            <w:r w:rsidRPr="00C37A47">
              <w:rPr>
                <w:rFonts w:asciiTheme="majorHAnsi" w:eastAsia="Times New Roman" w:hAnsiTheme="majorHAnsi"/>
                <w:color w:val="000000"/>
                <w:sz w:val="16"/>
                <w:szCs w:val="16"/>
              </w:rPr>
              <w:t>1.0</w:t>
            </w:r>
          </w:p>
        </w:tc>
      </w:tr>
      <w:tr w:rsidR="000D2499" w:rsidRPr="00F36051" w14:paraId="54920194" w14:textId="77777777" w:rsidTr="000D2499">
        <w:trPr>
          <w:trHeight w:val="225"/>
        </w:trPr>
        <w:tc>
          <w:tcPr>
            <w:tcW w:w="74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D7326" w14:textId="77777777" w:rsidR="000D2499" w:rsidRPr="00C37A47" w:rsidRDefault="000D2499" w:rsidP="000D2499">
            <w:pPr>
              <w:spacing w:after="0"/>
              <w:rPr>
                <w:rFonts w:asciiTheme="majorHAnsi" w:eastAsia="Times New Roman" w:hAnsiTheme="majorHAnsi"/>
                <w:b/>
                <w:color w:val="000000"/>
                <w:sz w:val="16"/>
                <w:szCs w:val="16"/>
              </w:rPr>
            </w:pPr>
            <w:r w:rsidRPr="00C37A47">
              <w:rPr>
                <w:rFonts w:asciiTheme="majorHAnsi" w:eastAsia="Times New Roman" w:hAnsiTheme="majorHAnsi"/>
                <w:b/>
                <w:color w:val="000000"/>
                <w:sz w:val="16"/>
                <w:szCs w:val="16"/>
              </w:rPr>
              <w:t xml:space="preserve">Total out of maximum 95 </w:t>
            </w:r>
          </w:p>
        </w:tc>
        <w:tc>
          <w:tcPr>
            <w:tcW w:w="810" w:type="dxa"/>
            <w:tcBorders>
              <w:top w:val="nil"/>
              <w:left w:val="nil"/>
              <w:bottom w:val="single" w:sz="4" w:space="0" w:color="auto"/>
              <w:right w:val="single" w:sz="4" w:space="0" w:color="auto"/>
            </w:tcBorders>
            <w:vAlign w:val="bottom"/>
          </w:tcPr>
          <w:p w14:paraId="59374E72" w14:textId="77777777" w:rsidR="000D2499" w:rsidRPr="00C37A47" w:rsidRDefault="000D2499" w:rsidP="000D2499">
            <w:pPr>
              <w:spacing w:after="0"/>
              <w:jc w:val="right"/>
              <w:rPr>
                <w:rFonts w:asciiTheme="majorHAnsi" w:eastAsia="Times New Roman" w:hAnsiTheme="majorHAnsi"/>
                <w:b/>
                <w:color w:val="000000"/>
                <w:sz w:val="16"/>
                <w:szCs w:val="16"/>
              </w:rPr>
            </w:pPr>
            <w:r w:rsidRPr="00C37A47">
              <w:rPr>
                <w:rFonts w:asciiTheme="majorHAnsi" w:eastAsia="Times New Roman" w:hAnsiTheme="majorHAnsi"/>
                <w:b/>
                <w:color w:val="000000"/>
                <w:sz w:val="16"/>
                <w:szCs w:val="16"/>
              </w:rPr>
              <w:t>39/95</w:t>
            </w:r>
          </w:p>
          <w:p w14:paraId="39C95CDB" w14:textId="77777777" w:rsidR="000D2499" w:rsidRPr="00C37A47" w:rsidRDefault="000D2499" w:rsidP="000D2499">
            <w:pPr>
              <w:spacing w:after="0"/>
              <w:jc w:val="right"/>
              <w:rPr>
                <w:rFonts w:asciiTheme="majorHAnsi" w:eastAsia="Times New Roman" w:hAnsiTheme="majorHAnsi"/>
                <w:b/>
                <w:color w:val="000000"/>
                <w:sz w:val="16"/>
                <w:szCs w:val="16"/>
              </w:rPr>
            </w:pPr>
            <w:r w:rsidRPr="00C37A47">
              <w:rPr>
                <w:rFonts w:asciiTheme="majorHAnsi" w:eastAsia="Times New Roman" w:hAnsiTheme="majorHAnsi"/>
                <w:b/>
                <w:color w:val="000000"/>
                <w:sz w:val="16"/>
                <w:szCs w:val="16"/>
              </w:rPr>
              <w:t>41%</w:t>
            </w:r>
          </w:p>
        </w:tc>
        <w:tc>
          <w:tcPr>
            <w:tcW w:w="816" w:type="dxa"/>
            <w:tcBorders>
              <w:top w:val="nil"/>
              <w:left w:val="nil"/>
              <w:bottom w:val="single" w:sz="4" w:space="0" w:color="auto"/>
              <w:right w:val="single" w:sz="4" w:space="0" w:color="auto"/>
            </w:tcBorders>
            <w:vAlign w:val="bottom"/>
          </w:tcPr>
          <w:p w14:paraId="7CFC178B" w14:textId="77777777" w:rsidR="000D2499" w:rsidRPr="00C37A47" w:rsidRDefault="000D2499" w:rsidP="000D2499">
            <w:pPr>
              <w:spacing w:after="0"/>
              <w:jc w:val="right"/>
              <w:rPr>
                <w:rFonts w:asciiTheme="majorHAnsi" w:eastAsia="Times New Roman" w:hAnsiTheme="majorHAnsi"/>
                <w:b/>
                <w:color w:val="000000"/>
                <w:sz w:val="16"/>
                <w:szCs w:val="16"/>
              </w:rPr>
            </w:pPr>
            <w:r w:rsidRPr="00C37A47">
              <w:rPr>
                <w:rFonts w:asciiTheme="majorHAnsi" w:eastAsia="Times New Roman" w:hAnsiTheme="majorHAnsi"/>
                <w:b/>
                <w:color w:val="000000"/>
                <w:sz w:val="16"/>
                <w:szCs w:val="16"/>
              </w:rPr>
              <w:t>41/95</w:t>
            </w:r>
          </w:p>
          <w:p w14:paraId="6E203577" w14:textId="77777777" w:rsidR="000D2499" w:rsidRPr="00C37A47" w:rsidRDefault="000D2499" w:rsidP="000D2499">
            <w:pPr>
              <w:spacing w:after="0"/>
              <w:jc w:val="right"/>
              <w:rPr>
                <w:rFonts w:asciiTheme="majorHAnsi" w:eastAsia="Times New Roman" w:hAnsiTheme="majorHAnsi"/>
                <w:b/>
                <w:color w:val="000000"/>
                <w:sz w:val="16"/>
                <w:szCs w:val="16"/>
              </w:rPr>
            </w:pPr>
            <w:r w:rsidRPr="00C37A47">
              <w:rPr>
                <w:rFonts w:asciiTheme="majorHAnsi" w:eastAsia="Times New Roman" w:hAnsiTheme="majorHAnsi"/>
                <w:b/>
                <w:color w:val="000000"/>
                <w:sz w:val="16"/>
                <w:szCs w:val="16"/>
              </w:rPr>
              <w:t>43%</w:t>
            </w:r>
          </w:p>
        </w:tc>
        <w:tc>
          <w:tcPr>
            <w:tcW w:w="810" w:type="dxa"/>
            <w:tcBorders>
              <w:top w:val="nil"/>
              <w:left w:val="nil"/>
              <w:bottom w:val="single" w:sz="4" w:space="0" w:color="auto"/>
              <w:right w:val="single" w:sz="4" w:space="0" w:color="auto"/>
            </w:tcBorders>
            <w:vAlign w:val="bottom"/>
          </w:tcPr>
          <w:p w14:paraId="64B00DBD" w14:textId="77777777" w:rsidR="000D2499" w:rsidRPr="00C37A47" w:rsidRDefault="000D2499" w:rsidP="000D2499">
            <w:pPr>
              <w:spacing w:after="0"/>
              <w:jc w:val="right"/>
              <w:rPr>
                <w:rFonts w:asciiTheme="majorHAnsi" w:eastAsia="Times New Roman" w:hAnsiTheme="majorHAnsi"/>
                <w:b/>
                <w:color w:val="000000"/>
                <w:sz w:val="16"/>
                <w:szCs w:val="16"/>
              </w:rPr>
            </w:pPr>
            <w:r w:rsidRPr="00C37A47">
              <w:rPr>
                <w:rFonts w:asciiTheme="majorHAnsi" w:eastAsia="Times New Roman" w:hAnsiTheme="majorHAnsi"/>
                <w:b/>
                <w:color w:val="000000"/>
                <w:sz w:val="16"/>
                <w:szCs w:val="16"/>
              </w:rPr>
              <w:t>36/95</w:t>
            </w:r>
          </w:p>
          <w:p w14:paraId="510C0112" w14:textId="77777777" w:rsidR="000D2499" w:rsidRPr="00C37A47" w:rsidRDefault="000D2499" w:rsidP="000D2499">
            <w:pPr>
              <w:spacing w:after="0"/>
              <w:jc w:val="right"/>
              <w:rPr>
                <w:rFonts w:asciiTheme="majorHAnsi" w:eastAsia="Times New Roman" w:hAnsiTheme="majorHAnsi"/>
                <w:b/>
                <w:color w:val="000000"/>
                <w:sz w:val="16"/>
                <w:szCs w:val="16"/>
              </w:rPr>
            </w:pPr>
            <w:r w:rsidRPr="00C37A47">
              <w:rPr>
                <w:rFonts w:asciiTheme="majorHAnsi" w:eastAsia="Times New Roman" w:hAnsiTheme="majorHAnsi"/>
                <w:b/>
                <w:color w:val="000000"/>
                <w:sz w:val="16"/>
                <w:szCs w:val="16"/>
              </w:rPr>
              <w:t>38%</w:t>
            </w:r>
          </w:p>
        </w:tc>
      </w:tr>
      <w:tr w:rsidR="000D2499" w:rsidRPr="00F36051" w14:paraId="6BF091C1" w14:textId="77777777" w:rsidTr="000D2499">
        <w:trPr>
          <w:trHeight w:val="225"/>
        </w:trPr>
        <w:tc>
          <w:tcPr>
            <w:tcW w:w="74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37624" w14:textId="77777777" w:rsidR="000D2499" w:rsidRPr="00C37A47" w:rsidRDefault="000D2499" w:rsidP="000D2499">
            <w:pPr>
              <w:spacing w:after="0"/>
              <w:rPr>
                <w:rFonts w:asciiTheme="majorHAnsi" w:eastAsia="Times New Roman" w:hAnsiTheme="majorHAnsi"/>
                <w:b/>
                <w:color w:val="000000"/>
                <w:sz w:val="16"/>
                <w:szCs w:val="16"/>
              </w:rPr>
            </w:pPr>
            <w:r w:rsidRPr="00C37A47">
              <w:rPr>
                <w:rFonts w:asciiTheme="majorHAnsi" w:eastAsia="Times New Roman" w:hAnsiTheme="majorHAnsi"/>
                <w:b/>
                <w:color w:val="000000"/>
                <w:sz w:val="16"/>
                <w:szCs w:val="16"/>
              </w:rPr>
              <w:t>Average Score out of maximum of 5 (per question)</w:t>
            </w:r>
          </w:p>
        </w:tc>
        <w:tc>
          <w:tcPr>
            <w:tcW w:w="810" w:type="dxa"/>
            <w:tcBorders>
              <w:top w:val="nil"/>
              <w:left w:val="nil"/>
              <w:bottom w:val="single" w:sz="4" w:space="0" w:color="auto"/>
              <w:right w:val="single" w:sz="4" w:space="0" w:color="auto"/>
            </w:tcBorders>
            <w:vAlign w:val="bottom"/>
          </w:tcPr>
          <w:p w14:paraId="1CE801B8" w14:textId="77777777" w:rsidR="000D2499" w:rsidRPr="00C37A47" w:rsidRDefault="000D2499" w:rsidP="000D2499">
            <w:pPr>
              <w:spacing w:after="0"/>
              <w:jc w:val="right"/>
              <w:rPr>
                <w:rFonts w:asciiTheme="majorHAnsi" w:eastAsia="Times New Roman" w:hAnsiTheme="majorHAnsi"/>
                <w:b/>
                <w:color w:val="000000"/>
                <w:sz w:val="16"/>
                <w:szCs w:val="16"/>
              </w:rPr>
            </w:pPr>
            <w:r w:rsidRPr="00C37A47">
              <w:rPr>
                <w:rFonts w:asciiTheme="majorHAnsi" w:eastAsia="Times New Roman" w:hAnsiTheme="majorHAnsi"/>
                <w:b/>
                <w:color w:val="000000"/>
                <w:sz w:val="16"/>
                <w:szCs w:val="16"/>
              </w:rPr>
              <w:t>2.1/5</w:t>
            </w:r>
          </w:p>
        </w:tc>
        <w:tc>
          <w:tcPr>
            <w:tcW w:w="816" w:type="dxa"/>
            <w:tcBorders>
              <w:top w:val="nil"/>
              <w:left w:val="nil"/>
              <w:bottom w:val="single" w:sz="4" w:space="0" w:color="auto"/>
              <w:right w:val="single" w:sz="4" w:space="0" w:color="auto"/>
            </w:tcBorders>
            <w:vAlign w:val="bottom"/>
          </w:tcPr>
          <w:p w14:paraId="0B96C3FE" w14:textId="77777777" w:rsidR="000D2499" w:rsidRPr="00C37A47" w:rsidRDefault="000D2499" w:rsidP="000D2499">
            <w:pPr>
              <w:spacing w:after="0"/>
              <w:jc w:val="right"/>
              <w:rPr>
                <w:rFonts w:asciiTheme="majorHAnsi" w:eastAsia="Times New Roman" w:hAnsiTheme="majorHAnsi"/>
                <w:b/>
                <w:color w:val="000000"/>
                <w:sz w:val="16"/>
                <w:szCs w:val="16"/>
              </w:rPr>
            </w:pPr>
            <w:r w:rsidRPr="00C37A47">
              <w:rPr>
                <w:rFonts w:asciiTheme="majorHAnsi" w:eastAsia="Times New Roman" w:hAnsiTheme="majorHAnsi"/>
                <w:b/>
                <w:color w:val="000000"/>
                <w:sz w:val="16"/>
                <w:szCs w:val="16"/>
              </w:rPr>
              <w:t>2.1/5</w:t>
            </w:r>
          </w:p>
        </w:tc>
        <w:tc>
          <w:tcPr>
            <w:tcW w:w="810" w:type="dxa"/>
            <w:tcBorders>
              <w:top w:val="nil"/>
              <w:left w:val="nil"/>
              <w:bottom w:val="single" w:sz="4" w:space="0" w:color="auto"/>
              <w:right w:val="single" w:sz="4" w:space="0" w:color="auto"/>
            </w:tcBorders>
            <w:vAlign w:val="bottom"/>
          </w:tcPr>
          <w:p w14:paraId="31E9A876" w14:textId="77777777" w:rsidR="000D2499" w:rsidRPr="00C37A47" w:rsidRDefault="000D2499" w:rsidP="000D2499">
            <w:pPr>
              <w:spacing w:after="0"/>
              <w:jc w:val="right"/>
              <w:rPr>
                <w:rFonts w:asciiTheme="majorHAnsi" w:eastAsia="Times New Roman" w:hAnsiTheme="majorHAnsi"/>
                <w:b/>
                <w:color w:val="000000"/>
                <w:sz w:val="16"/>
                <w:szCs w:val="16"/>
              </w:rPr>
            </w:pPr>
            <w:r w:rsidRPr="00C37A47">
              <w:rPr>
                <w:rFonts w:asciiTheme="majorHAnsi" w:eastAsia="Times New Roman" w:hAnsiTheme="majorHAnsi"/>
                <w:b/>
                <w:color w:val="000000"/>
                <w:sz w:val="16"/>
                <w:szCs w:val="16"/>
              </w:rPr>
              <w:t>1.9/5</w:t>
            </w:r>
          </w:p>
        </w:tc>
      </w:tr>
    </w:tbl>
    <w:p w14:paraId="07147F9E" w14:textId="77777777" w:rsidR="000D2499" w:rsidRDefault="000D2499" w:rsidP="000D2499"/>
    <w:p w14:paraId="38709675" w14:textId="77777777" w:rsidR="000D2499" w:rsidRDefault="000D2499" w:rsidP="000D2499">
      <w:pPr>
        <w:rPr>
          <w:b/>
          <w:i/>
        </w:rPr>
      </w:pPr>
      <w:r>
        <w:rPr>
          <w:b/>
          <w:i/>
        </w:rPr>
        <w:br w:type="page"/>
      </w:r>
    </w:p>
    <w:p w14:paraId="5248D9F9" w14:textId="001201F9" w:rsidR="000D2499" w:rsidRPr="006D63E5" w:rsidRDefault="000D2499" w:rsidP="000D2499">
      <w:pPr>
        <w:rPr>
          <w:rFonts w:asciiTheme="majorHAnsi" w:hAnsiTheme="majorHAnsi"/>
          <w:b/>
          <w:i/>
          <w:sz w:val="20"/>
          <w:szCs w:val="20"/>
        </w:rPr>
      </w:pPr>
      <w:r w:rsidRPr="006D63E5">
        <w:rPr>
          <w:rFonts w:asciiTheme="majorHAnsi" w:hAnsiTheme="majorHAnsi"/>
          <w:b/>
          <w:i/>
          <w:sz w:val="20"/>
          <w:szCs w:val="20"/>
        </w:rPr>
        <w:t>2</w:t>
      </w:r>
      <w:r w:rsidR="00194AA1">
        <w:rPr>
          <w:rFonts w:asciiTheme="majorHAnsi" w:hAnsiTheme="majorHAnsi"/>
          <w:b/>
          <w:i/>
          <w:sz w:val="20"/>
          <w:szCs w:val="20"/>
        </w:rPr>
        <w:t xml:space="preserve">. </w:t>
      </w:r>
      <w:r w:rsidRPr="006D63E5">
        <w:rPr>
          <w:rFonts w:asciiTheme="majorHAnsi" w:hAnsiTheme="majorHAnsi"/>
          <w:b/>
          <w:i/>
          <w:sz w:val="20"/>
          <w:szCs w:val="20"/>
        </w:rPr>
        <w:t>Participation in environmental activities by Gender by State, aggregated across totals</w:t>
      </w:r>
    </w:p>
    <w:p w14:paraId="4FDF0CA2" w14:textId="77777777" w:rsidR="000D2499" w:rsidRPr="006D63E5" w:rsidRDefault="000D2499" w:rsidP="000D2499">
      <w:pPr>
        <w:rPr>
          <w:rFonts w:asciiTheme="majorHAnsi" w:hAnsiTheme="majorHAnsi"/>
          <w:sz w:val="20"/>
          <w:szCs w:val="20"/>
        </w:rPr>
      </w:pPr>
      <w:r w:rsidRPr="006D63E5">
        <w:rPr>
          <w:rFonts w:asciiTheme="majorHAnsi" w:hAnsiTheme="majorHAnsi"/>
          <w:sz w:val="20"/>
          <w:szCs w:val="20"/>
        </w:rPr>
        <w:t>Data on participation in activities was collected from nine states. The number of men on Planning Teams—which included PAN Management Planning Teams, State Planning Commissions, State Public Lands Authorities, and some Boundary Commissions—far outnumbered women by a factor of 3:1. However, States reported approximately equal numbers of men and women participating in biodiversity projects and capacity building.</w:t>
      </w:r>
    </w:p>
    <w:p w14:paraId="3AF48143" w14:textId="02EF4882" w:rsidR="000D2499" w:rsidRPr="006D63E5" w:rsidRDefault="000D2499" w:rsidP="000D2499">
      <w:pPr>
        <w:rPr>
          <w:rFonts w:asciiTheme="majorHAnsi" w:hAnsiTheme="majorHAnsi"/>
          <w:sz w:val="20"/>
          <w:szCs w:val="20"/>
        </w:rPr>
      </w:pPr>
      <w:r w:rsidRPr="006D63E5">
        <w:rPr>
          <w:rFonts w:asciiTheme="majorHAnsi" w:hAnsiTheme="majorHAnsi"/>
          <w:sz w:val="20"/>
          <w:szCs w:val="20"/>
        </w:rPr>
        <w:t>PAN Offices did not exist before 2008 and few States (Koror and Airai being exceptions) had few to no conservation or environment staff. Thus, the implementation of PAN has created more new jobs for men than for women. Many of these jobs have benefitted lower income, young men. Of PAN-funded positions, men have the bulk of physical jobs while women have the bulk of office jobs. While these are desired benefits, this was rarely planned for during PAN Management Planning efforts and is still and unintended consequence. Jobs arising out of the GEF6 Project, such as Planning Positions, should include careful consideration of the intended beneficiary</w:t>
      </w:r>
      <w:r w:rsidR="00194AA1">
        <w:rPr>
          <w:rFonts w:asciiTheme="majorHAnsi" w:hAnsiTheme="majorHAnsi"/>
          <w:sz w:val="20"/>
          <w:szCs w:val="20"/>
        </w:rPr>
        <w:t xml:space="preserve">. </w:t>
      </w:r>
      <w:r w:rsidRPr="006D63E5">
        <w:rPr>
          <w:rFonts w:asciiTheme="majorHAnsi" w:hAnsiTheme="majorHAnsi"/>
          <w:sz w:val="20"/>
          <w:szCs w:val="20"/>
        </w:rPr>
        <w:t>Similarly, men were more likely to participate in sustainable tourism than women; this Project must take care not to reinforce this balance. Awareness levels across men and women for biosecurity should be raised, but with different approaches for the different gender and social groups.</w:t>
      </w:r>
    </w:p>
    <w:p w14:paraId="510FBC15" w14:textId="77777777" w:rsidR="000D2499" w:rsidRPr="006D63E5" w:rsidRDefault="000D2499" w:rsidP="000D2499">
      <w:pPr>
        <w:rPr>
          <w:rFonts w:asciiTheme="majorHAnsi" w:hAnsiTheme="majorHAnsi"/>
          <w:b/>
          <w:sz w:val="20"/>
          <w:szCs w:val="20"/>
        </w:rPr>
      </w:pPr>
      <w:r w:rsidRPr="006D63E5">
        <w:rPr>
          <w:rFonts w:asciiTheme="majorHAnsi" w:hAnsiTheme="majorHAnsi"/>
          <w:b/>
          <w:sz w:val="20"/>
          <w:szCs w:val="20"/>
        </w:rPr>
        <w:t>Table 2. State Reported Assessments of Participation in environmental initiatives by gender</w:t>
      </w:r>
      <w:r w:rsidRPr="00DB6EB8">
        <w:rPr>
          <w:rStyle w:val="FootnoteReference"/>
          <w:rFonts w:asciiTheme="majorHAnsi" w:hAnsiTheme="majorHAnsi"/>
          <w:b/>
          <w:sz w:val="20"/>
          <w:szCs w:val="20"/>
        </w:rPr>
        <w:footnoteReference w:id="37"/>
      </w:r>
    </w:p>
    <w:tbl>
      <w:tblPr>
        <w:tblW w:w="9838" w:type="dxa"/>
        <w:tblInd w:w="-5" w:type="dxa"/>
        <w:tblLook w:val="04A0" w:firstRow="1" w:lastRow="0" w:firstColumn="1" w:lastColumn="0" w:noHBand="0" w:noVBand="1"/>
      </w:tblPr>
      <w:tblGrid>
        <w:gridCol w:w="4680"/>
        <w:gridCol w:w="930"/>
        <w:gridCol w:w="990"/>
        <w:gridCol w:w="900"/>
        <w:gridCol w:w="900"/>
        <w:gridCol w:w="720"/>
        <w:gridCol w:w="718"/>
      </w:tblGrid>
      <w:tr w:rsidR="000D2499" w:rsidRPr="00545850" w14:paraId="52CFDBE2" w14:textId="77777777" w:rsidTr="000D2499">
        <w:trPr>
          <w:trHeight w:val="300"/>
          <w:tblHeader/>
        </w:trPr>
        <w:tc>
          <w:tcPr>
            <w:tcW w:w="46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63AF5C2D" w14:textId="77777777" w:rsidR="000D2499" w:rsidRPr="00545850" w:rsidRDefault="000D2499" w:rsidP="000D2499">
            <w:pPr>
              <w:spacing w:after="0"/>
              <w:rPr>
                <w:rFonts w:eastAsia="Times New Roman"/>
                <w:b/>
                <w:bCs/>
                <w:color w:val="000000"/>
                <w:sz w:val="16"/>
                <w:szCs w:val="16"/>
              </w:rPr>
            </w:pPr>
            <w:r w:rsidRPr="00545850">
              <w:rPr>
                <w:rFonts w:eastAsia="Times New Roman"/>
                <w:b/>
                <w:bCs/>
                <w:color w:val="000000"/>
                <w:sz w:val="16"/>
                <w:szCs w:val="16"/>
              </w:rPr>
              <w:t>Criterion</w:t>
            </w:r>
          </w:p>
        </w:tc>
        <w:tc>
          <w:tcPr>
            <w:tcW w:w="9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9700F6D" w14:textId="77777777" w:rsidR="000D2499" w:rsidRPr="00545850" w:rsidRDefault="000D2499" w:rsidP="000D2499">
            <w:pPr>
              <w:spacing w:after="0"/>
              <w:rPr>
                <w:rFonts w:eastAsia="Times New Roman"/>
                <w:b/>
                <w:bCs/>
                <w:color w:val="000000"/>
                <w:sz w:val="16"/>
                <w:szCs w:val="16"/>
              </w:rPr>
            </w:pPr>
            <w:r w:rsidRPr="00545850">
              <w:rPr>
                <w:rFonts w:eastAsia="Times New Roman"/>
                <w:b/>
                <w:bCs/>
                <w:color w:val="000000"/>
                <w:sz w:val="16"/>
                <w:szCs w:val="16"/>
              </w:rPr>
              <w:t>Total Men</w:t>
            </w:r>
          </w:p>
        </w:tc>
        <w:tc>
          <w:tcPr>
            <w:tcW w:w="99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B0CA3B6" w14:textId="77777777" w:rsidR="000D2499" w:rsidRPr="00545850" w:rsidRDefault="000D2499" w:rsidP="000D2499">
            <w:pPr>
              <w:spacing w:after="0"/>
              <w:rPr>
                <w:rFonts w:eastAsia="Times New Roman"/>
                <w:b/>
                <w:bCs/>
                <w:color w:val="000000"/>
                <w:sz w:val="16"/>
                <w:szCs w:val="16"/>
              </w:rPr>
            </w:pPr>
            <w:r w:rsidRPr="00545850">
              <w:rPr>
                <w:rFonts w:eastAsia="Times New Roman"/>
                <w:b/>
                <w:bCs/>
                <w:color w:val="000000"/>
                <w:sz w:val="16"/>
                <w:szCs w:val="16"/>
              </w:rPr>
              <w:t>Total Women</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EF15229" w14:textId="77777777" w:rsidR="000D2499" w:rsidRPr="00545850" w:rsidRDefault="000D2499" w:rsidP="000D2499">
            <w:pPr>
              <w:spacing w:after="0"/>
              <w:rPr>
                <w:rFonts w:eastAsia="Times New Roman"/>
                <w:b/>
                <w:bCs/>
                <w:color w:val="000000"/>
                <w:sz w:val="16"/>
                <w:szCs w:val="16"/>
              </w:rPr>
            </w:pPr>
            <w:r w:rsidRPr="00545850">
              <w:rPr>
                <w:rFonts w:eastAsia="Times New Roman"/>
                <w:b/>
                <w:bCs/>
                <w:color w:val="000000"/>
                <w:sz w:val="16"/>
                <w:szCs w:val="16"/>
              </w:rPr>
              <w:t>Average Men</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AE9CEF4" w14:textId="77777777" w:rsidR="000D2499" w:rsidRPr="00545850" w:rsidRDefault="000D2499" w:rsidP="000D2499">
            <w:pPr>
              <w:spacing w:after="0"/>
              <w:rPr>
                <w:rFonts w:eastAsia="Times New Roman"/>
                <w:b/>
                <w:bCs/>
                <w:color w:val="000000"/>
                <w:sz w:val="16"/>
                <w:szCs w:val="16"/>
              </w:rPr>
            </w:pPr>
            <w:r w:rsidRPr="00545850">
              <w:rPr>
                <w:rFonts w:eastAsia="Times New Roman"/>
                <w:b/>
                <w:bCs/>
                <w:color w:val="000000"/>
                <w:sz w:val="16"/>
                <w:szCs w:val="16"/>
              </w:rPr>
              <w:t>Average Women</w:t>
            </w:r>
          </w:p>
        </w:tc>
        <w:tc>
          <w:tcPr>
            <w:tcW w:w="72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6B53B63" w14:textId="77777777" w:rsidR="000D2499" w:rsidRPr="00545850" w:rsidRDefault="000D2499" w:rsidP="000D2499">
            <w:pPr>
              <w:spacing w:after="0"/>
              <w:rPr>
                <w:rFonts w:eastAsia="Times New Roman"/>
                <w:b/>
                <w:bCs/>
                <w:color w:val="000000"/>
                <w:sz w:val="16"/>
                <w:szCs w:val="16"/>
              </w:rPr>
            </w:pPr>
            <w:r w:rsidRPr="00545850">
              <w:rPr>
                <w:rFonts w:eastAsia="Times New Roman"/>
                <w:b/>
                <w:bCs/>
                <w:color w:val="000000"/>
                <w:sz w:val="16"/>
                <w:szCs w:val="16"/>
              </w:rPr>
              <w:t>% men</w:t>
            </w:r>
          </w:p>
        </w:tc>
        <w:tc>
          <w:tcPr>
            <w:tcW w:w="71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1B40926" w14:textId="77777777" w:rsidR="000D2499" w:rsidRPr="00545850" w:rsidRDefault="000D2499" w:rsidP="000D2499">
            <w:pPr>
              <w:spacing w:after="0"/>
              <w:rPr>
                <w:rFonts w:eastAsia="Times New Roman"/>
                <w:b/>
                <w:bCs/>
                <w:color w:val="000000"/>
                <w:sz w:val="16"/>
                <w:szCs w:val="16"/>
              </w:rPr>
            </w:pPr>
            <w:r w:rsidRPr="00545850">
              <w:rPr>
                <w:rFonts w:eastAsia="Times New Roman"/>
                <w:b/>
                <w:bCs/>
                <w:color w:val="000000"/>
                <w:sz w:val="16"/>
                <w:szCs w:val="16"/>
              </w:rPr>
              <w:t>% women</w:t>
            </w:r>
          </w:p>
        </w:tc>
      </w:tr>
      <w:tr w:rsidR="000D2499" w:rsidRPr="00545850" w14:paraId="28E02A13" w14:textId="77777777" w:rsidTr="000D2499">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14:paraId="0B334838" w14:textId="77777777" w:rsidR="000D2499" w:rsidRPr="00545850" w:rsidRDefault="000D2499" w:rsidP="000D2499">
            <w:pPr>
              <w:spacing w:after="0"/>
              <w:rPr>
                <w:rFonts w:eastAsia="Times New Roman"/>
                <w:color w:val="000000"/>
                <w:sz w:val="16"/>
                <w:szCs w:val="16"/>
              </w:rPr>
            </w:pPr>
            <w:r w:rsidRPr="00545850">
              <w:rPr>
                <w:rFonts w:eastAsia="Times New Roman"/>
                <w:color w:val="000000"/>
                <w:sz w:val="16"/>
                <w:szCs w:val="16"/>
              </w:rPr>
              <w:t>Number of people on planning teams</w:t>
            </w:r>
            <w:r>
              <w:rPr>
                <w:rFonts w:eastAsia="Times New Roman"/>
                <w:color w:val="000000"/>
                <w:sz w:val="16"/>
                <w:szCs w:val="16"/>
              </w:rPr>
              <w:t xml:space="preserve"> </w:t>
            </w:r>
            <w:r w:rsidRPr="00A159EF">
              <w:rPr>
                <w:rFonts w:eastAsia="Times New Roman"/>
                <w:i/>
                <w:color w:val="000000"/>
                <w:sz w:val="16"/>
                <w:szCs w:val="16"/>
              </w:rPr>
              <w:t>(N=9 States reporting)</w:t>
            </w:r>
          </w:p>
        </w:tc>
        <w:tc>
          <w:tcPr>
            <w:tcW w:w="930" w:type="dxa"/>
            <w:tcBorders>
              <w:top w:val="nil"/>
              <w:left w:val="nil"/>
              <w:bottom w:val="single" w:sz="4" w:space="0" w:color="auto"/>
              <w:right w:val="single" w:sz="4" w:space="0" w:color="auto"/>
            </w:tcBorders>
            <w:shd w:val="clear" w:color="auto" w:fill="auto"/>
            <w:noWrap/>
            <w:vAlign w:val="bottom"/>
            <w:hideMark/>
          </w:tcPr>
          <w:p w14:paraId="49663B06" w14:textId="77777777" w:rsidR="000D2499" w:rsidRPr="00545850" w:rsidRDefault="000D2499" w:rsidP="000D2499">
            <w:pPr>
              <w:spacing w:after="0"/>
              <w:jc w:val="right"/>
              <w:rPr>
                <w:rFonts w:eastAsia="Times New Roman"/>
                <w:color w:val="000000"/>
                <w:sz w:val="16"/>
                <w:szCs w:val="16"/>
              </w:rPr>
            </w:pPr>
            <w:r w:rsidRPr="00545850">
              <w:rPr>
                <w:rFonts w:eastAsia="Times New Roman"/>
                <w:color w:val="000000"/>
                <w:sz w:val="16"/>
                <w:szCs w:val="16"/>
              </w:rPr>
              <w:t>114</w:t>
            </w:r>
          </w:p>
        </w:tc>
        <w:tc>
          <w:tcPr>
            <w:tcW w:w="990" w:type="dxa"/>
            <w:tcBorders>
              <w:top w:val="nil"/>
              <w:left w:val="nil"/>
              <w:bottom w:val="single" w:sz="4" w:space="0" w:color="auto"/>
              <w:right w:val="single" w:sz="4" w:space="0" w:color="auto"/>
            </w:tcBorders>
            <w:shd w:val="clear" w:color="auto" w:fill="auto"/>
            <w:noWrap/>
            <w:vAlign w:val="bottom"/>
            <w:hideMark/>
          </w:tcPr>
          <w:p w14:paraId="71F3353C" w14:textId="77777777" w:rsidR="000D2499" w:rsidRPr="00545850" w:rsidRDefault="000D2499" w:rsidP="000D2499">
            <w:pPr>
              <w:spacing w:after="0"/>
              <w:jc w:val="right"/>
              <w:rPr>
                <w:rFonts w:eastAsia="Times New Roman"/>
                <w:color w:val="000000"/>
                <w:sz w:val="16"/>
                <w:szCs w:val="16"/>
              </w:rPr>
            </w:pPr>
            <w:r w:rsidRPr="00545850">
              <w:rPr>
                <w:rFonts w:eastAsia="Times New Roman"/>
                <w:color w:val="000000"/>
                <w:sz w:val="16"/>
                <w:szCs w:val="16"/>
              </w:rPr>
              <w:t>35</w:t>
            </w:r>
          </w:p>
        </w:tc>
        <w:tc>
          <w:tcPr>
            <w:tcW w:w="900" w:type="dxa"/>
            <w:tcBorders>
              <w:top w:val="nil"/>
              <w:left w:val="nil"/>
              <w:bottom w:val="single" w:sz="4" w:space="0" w:color="auto"/>
              <w:right w:val="single" w:sz="4" w:space="0" w:color="auto"/>
            </w:tcBorders>
            <w:shd w:val="clear" w:color="auto" w:fill="auto"/>
            <w:noWrap/>
            <w:vAlign w:val="bottom"/>
            <w:hideMark/>
          </w:tcPr>
          <w:p w14:paraId="1A4E39C2" w14:textId="77777777" w:rsidR="000D2499" w:rsidRPr="00545850" w:rsidRDefault="000D2499" w:rsidP="000D2499">
            <w:pPr>
              <w:spacing w:after="0"/>
              <w:jc w:val="right"/>
              <w:rPr>
                <w:rFonts w:eastAsia="Times New Roman"/>
                <w:color w:val="000000"/>
                <w:sz w:val="16"/>
                <w:szCs w:val="16"/>
              </w:rPr>
            </w:pPr>
            <w:r w:rsidRPr="00545850">
              <w:rPr>
                <w:rFonts w:eastAsia="Times New Roman"/>
                <w:color w:val="000000"/>
                <w:sz w:val="16"/>
                <w:szCs w:val="16"/>
              </w:rPr>
              <w:t>19</w:t>
            </w:r>
          </w:p>
        </w:tc>
        <w:tc>
          <w:tcPr>
            <w:tcW w:w="900" w:type="dxa"/>
            <w:tcBorders>
              <w:top w:val="nil"/>
              <w:left w:val="nil"/>
              <w:bottom w:val="single" w:sz="4" w:space="0" w:color="auto"/>
              <w:right w:val="single" w:sz="4" w:space="0" w:color="auto"/>
            </w:tcBorders>
            <w:shd w:val="clear" w:color="auto" w:fill="auto"/>
            <w:noWrap/>
            <w:vAlign w:val="bottom"/>
            <w:hideMark/>
          </w:tcPr>
          <w:p w14:paraId="460A7DCD" w14:textId="77777777" w:rsidR="000D2499" w:rsidRPr="00545850" w:rsidRDefault="000D2499" w:rsidP="000D2499">
            <w:pPr>
              <w:spacing w:after="0"/>
              <w:jc w:val="right"/>
              <w:rPr>
                <w:rFonts w:eastAsia="Times New Roman"/>
                <w:color w:val="000000"/>
                <w:sz w:val="16"/>
                <w:szCs w:val="16"/>
              </w:rPr>
            </w:pPr>
            <w:r w:rsidRPr="00545850">
              <w:rPr>
                <w:rFonts w:eastAsia="Times New Roman"/>
                <w:color w:val="000000"/>
                <w:sz w:val="16"/>
                <w:szCs w:val="16"/>
              </w:rPr>
              <w:t>6</w:t>
            </w:r>
          </w:p>
        </w:tc>
        <w:tc>
          <w:tcPr>
            <w:tcW w:w="720" w:type="dxa"/>
            <w:tcBorders>
              <w:top w:val="nil"/>
              <w:left w:val="nil"/>
              <w:bottom w:val="single" w:sz="4" w:space="0" w:color="auto"/>
              <w:right w:val="single" w:sz="4" w:space="0" w:color="auto"/>
            </w:tcBorders>
            <w:shd w:val="clear" w:color="auto" w:fill="auto"/>
            <w:noWrap/>
            <w:vAlign w:val="bottom"/>
            <w:hideMark/>
          </w:tcPr>
          <w:p w14:paraId="1B88EF67" w14:textId="77777777" w:rsidR="000D2499" w:rsidRPr="00545850" w:rsidRDefault="000D2499" w:rsidP="000D2499">
            <w:pPr>
              <w:spacing w:after="0"/>
              <w:jc w:val="right"/>
              <w:rPr>
                <w:rFonts w:eastAsia="Times New Roman"/>
                <w:color w:val="000000"/>
                <w:sz w:val="16"/>
                <w:szCs w:val="16"/>
              </w:rPr>
            </w:pPr>
            <w:r w:rsidRPr="00545850">
              <w:rPr>
                <w:rFonts w:eastAsia="Times New Roman"/>
                <w:color w:val="000000"/>
                <w:sz w:val="16"/>
                <w:szCs w:val="16"/>
              </w:rPr>
              <w:t>77%</w:t>
            </w:r>
          </w:p>
        </w:tc>
        <w:tc>
          <w:tcPr>
            <w:tcW w:w="718" w:type="dxa"/>
            <w:tcBorders>
              <w:top w:val="nil"/>
              <w:left w:val="nil"/>
              <w:bottom w:val="single" w:sz="4" w:space="0" w:color="auto"/>
              <w:right w:val="single" w:sz="4" w:space="0" w:color="auto"/>
            </w:tcBorders>
            <w:shd w:val="clear" w:color="auto" w:fill="auto"/>
            <w:noWrap/>
            <w:vAlign w:val="bottom"/>
            <w:hideMark/>
          </w:tcPr>
          <w:p w14:paraId="6F54F24B" w14:textId="77777777" w:rsidR="000D2499" w:rsidRPr="00545850" w:rsidRDefault="000D2499" w:rsidP="000D2499">
            <w:pPr>
              <w:spacing w:after="0"/>
              <w:jc w:val="right"/>
              <w:rPr>
                <w:rFonts w:eastAsia="Times New Roman"/>
                <w:color w:val="000000"/>
                <w:sz w:val="16"/>
                <w:szCs w:val="16"/>
              </w:rPr>
            </w:pPr>
            <w:r w:rsidRPr="00545850">
              <w:rPr>
                <w:rFonts w:eastAsia="Times New Roman"/>
                <w:color w:val="000000"/>
                <w:sz w:val="16"/>
                <w:szCs w:val="16"/>
              </w:rPr>
              <w:t>23%</w:t>
            </w:r>
          </w:p>
        </w:tc>
      </w:tr>
      <w:tr w:rsidR="000D2499" w:rsidRPr="00545850" w14:paraId="531A6085" w14:textId="77777777" w:rsidTr="000D2499">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14:paraId="3ABAD413" w14:textId="77777777" w:rsidR="000D2499" w:rsidRPr="00545850" w:rsidRDefault="000D2499" w:rsidP="000D2499">
            <w:pPr>
              <w:spacing w:after="0"/>
              <w:rPr>
                <w:rFonts w:eastAsia="Times New Roman"/>
                <w:color w:val="000000"/>
                <w:sz w:val="16"/>
                <w:szCs w:val="16"/>
              </w:rPr>
            </w:pPr>
            <w:r w:rsidRPr="00545850">
              <w:rPr>
                <w:rFonts w:eastAsia="Times New Roman"/>
                <w:color w:val="000000"/>
                <w:sz w:val="16"/>
                <w:szCs w:val="16"/>
              </w:rPr>
              <w:t>Number of people working in State Office</w:t>
            </w:r>
            <w:r>
              <w:rPr>
                <w:rFonts w:eastAsia="Times New Roman"/>
                <w:color w:val="000000"/>
                <w:sz w:val="16"/>
                <w:szCs w:val="16"/>
              </w:rPr>
              <w:t xml:space="preserve"> </w:t>
            </w:r>
            <w:r w:rsidRPr="00A159EF">
              <w:rPr>
                <w:rFonts w:eastAsia="Times New Roman"/>
                <w:i/>
                <w:color w:val="000000"/>
                <w:sz w:val="16"/>
                <w:szCs w:val="16"/>
              </w:rPr>
              <w:t>(N=9</w:t>
            </w:r>
            <w:r>
              <w:rPr>
                <w:rFonts w:eastAsia="Times New Roman"/>
                <w:i/>
                <w:color w:val="000000"/>
                <w:sz w:val="16"/>
                <w:szCs w:val="16"/>
              </w:rPr>
              <w:t>)</w:t>
            </w:r>
          </w:p>
        </w:tc>
        <w:tc>
          <w:tcPr>
            <w:tcW w:w="930" w:type="dxa"/>
            <w:tcBorders>
              <w:top w:val="nil"/>
              <w:left w:val="nil"/>
              <w:bottom w:val="single" w:sz="4" w:space="0" w:color="auto"/>
              <w:right w:val="single" w:sz="4" w:space="0" w:color="auto"/>
            </w:tcBorders>
            <w:shd w:val="clear" w:color="auto" w:fill="auto"/>
            <w:noWrap/>
            <w:vAlign w:val="bottom"/>
            <w:hideMark/>
          </w:tcPr>
          <w:p w14:paraId="2C66A715" w14:textId="77777777" w:rsidR="000D2499" w:rsidRPr="00545850" w:rsidRDefault="000D2499" w:rsidP="000D2499">
            <w:pPr>
              <w:spacing w:after="0"/>
              <w:jc w:val="right"/>
              <w:rPr>
                <w:rFonts w:eastAsia="Times New Roman"/>
                <w:color w:val="000000"/>
                <w:sz w:val="16"/>
                <w:szCs w:val="16"/>
              </w:rPr>
            </w:pPr>
            <w:r w:rsidRPr="00545850">
              <w:rPr>
                <w:rFonts w:eastAsia="Times New Roman"/>
                <w:color w:val="000000"/>
                <w:sz w:val="16"/>
                <w:szCs w:val="16"/>
              </w:rPr>
              <w:t>113</w:t>
            </w:r>
          </w:p>
        </w:tc>
        <w:tc>
          <w:tcPr>
            <w:tcW w:w="990" w:type="dxa"/>
            <w:tcBorders>
              <w:top w:val="nil"/>
              <w:left w:val="nil"/>
              <w:bottom w:val="single" w:sz="4" w:space="0" w:color="auto"/>
              <w:right w:val="single" w:sz="4" w:space="0" w:color="auto"/>
            </w:tcBorders>
            <w:shd w:val="clear" w:color="auto" w:fill="auto"/>
            <w:noWrap/>
            <w:vAlign w:val="bottom"/>
            <w:hideMark/>
          </w:tcPr>
          <w:p w14:paraId="7924A3B9" w14:textId="77777777" w:rsidR="000D2499" w:rsidRPr="00545850" w:rsidRDefault="000D2499" w:rsidP="000D2499">
            <w:pPr>
              <w:spacing w:after="0"/>
              <w:jc w:val="right"/>
              <w:rPr>
                <w:rFonts w:eastAsia="Times New Roman"/>
                <w:color w:val="000000"/>
                <w:sz w:val="16"/>
                <w:szCs w:val="16"/>
              </w:rPr>
            </w:pPr>
            <w:r w:rsidRPr="00545850">
              <w:rPr>
                <w:rFonts w:eastAsia="Times New Roman"/>
                <w:color w:val="000000"/>
                <w:sz w:val="16"/>
                <w:szCs w:val="16"/>
              </w:rPr>
              <w:t>51</w:t>
            </w:r>
          </w:p>
        </w:tc>
        <w:tc>
          <w:tcPr>
            <w:tcW w:w="900" w:type="dxa"/>
            <w:tcBorders>
              <w:top w:val="nil"/>
              <w:left w:val="nil"/>
              <w:bottom w:val="single" w:sz="4" w:space="0" w:color="auto"/>
              <w:right w:val="single" w:sz="4" w:space="0" w:color="auto"/>
            </w:tcBorders>
            <w:shd w:val="clear" w:color="auto" w:fill="auto"/>
            <w:noWrap/>
            <w:vAlign w:val="bottom"/>
            <w:hideMark/>
          </w:tcPr>
          <w:p w14:paraId="0DA9DAE9" w14:textId="77777777" w:rsidR="000D2499" w:rsidRPr="00545850" w:rsidRDefault="000D2499" w:rsidP="000D2499">
            <w:pPr>
              <w:spacing w:after="0"/>
              <w:jc w:val="right"/>
              <w:rPr>
                <w:rFonts w:eastAsia="Times New Roman"/>
                <w:color w:val="000000"/>
                <w:sz w:val="16"/>
                <w:szCs w:val="16"/>
              </w:rPr>
            </w:pPr>
            <w:r w:rsidRPr="00545850">
              <w:rPr>
                <w:rFonts w:eastAsia="Times New Roman"/>
                <w:color w:val="000000"/>
                <w:sz w:val="16"/>
                <w:szCs w:val="16"/>
              </w:rPr>
              <w:t>14</w:t>
            </w:r>
          </w:p>
        </w:tc>
        <w:tc>
          <w:tcPr>
            <w:tcW w:w="900" w:type="dxa"/>
            <w:tcBorders>
              <w:top w:val="nil"/>
              <w:left w:val="nil"/>
              <w:bottom w:val="single" w:sz="4" w:space="0" w:color="auto"/>
              <w:right w:val="single" w:sz="4" w:space="0" w:color="auto"/>
            </w:tcBorders>
            <w:shd w:val="clear" w:color="auto" w:fill="auto"/>
            <w:noWrap/>
            <w:vAlign w:val="bottom"/>
            <w:hideMark/>
          </w:tcPr>
          <w:p w14:paraId="483FC2EF" w14:textId="77777777" w:rsidR="000D2499" w:rsidRPr="00545850" w:rsidRDefault="000D2499" w:rsidP="000D2499">
            <w:pPr>
              <w:spacing w:after="0"/>
              <w:jc w:val="right"/>
              <w:rPr>
                <w:rFonts w:eastAsia="Times New Roman"/>
                <w:color w:val="000000"/>
                <w:sz w:val="16"/>
                <w:szCs w:val="16"/>
              </w:rPr>
            </w:pPr>
            <w:r w:rsidRPr="00545850">
              <w:rPr>
                <w:rFonts w:eastAsia="Times New Roman"/>
                <w:color w:val="000000"/>
                <w:sz w:val="16"/>
                <w:szCs w:val="16"/>
              </w:rPr>
              <w:t>6</w:t>
            </w:r>
          </w:p>
        </w:tc>
        <w:tc>
          <w:tcPr>
            <w:tcW w:w="720" w:type="dxa"/>
            <w:tcBorders>
              <w:top w:val="nil"/>
              <w:left w:val="nil"/>
              <w:bottom w:val="single" w:sz="4" w:space="0" w:color="auto"/>
              <w:right w:val="single" w:sz="4" w:space="0" w:color="auto"/>
            </w:tcBorders>
            <w:shd w:val="clear" w:color="auto" w:fill="auto"/>
            <w:noWrap/>
            <w:vAlign w:val="bottom"/>
            <w:hideMark/>
          </w:tcPr>
          <w:p w14:paraId="51261DB2" w14:textId="77777777" w:rsidR="000D2499" w:rsidRPr="00545850" w:rsidRDefault="000D2499" w:rsidP="000D2499">
            <w:pPr>
              <w:spacing w:after="0"/>
              <w:jc w:val="right"/>
              <w:rPr>
                <w:rFonts w:eastAsia="Times New Roman"/>
                <w:color w:val="000000"/>
                <w:sz w:val="16"/>
                <w:szCs w:val="16"/>
              </w:rPr>
            </w:pPr>
            <w:r w:rsidRPr="00545850">
              <w:rPr>
                <w:rFonts w:eastAsia="Times New Roman"/>
                <w:color w:val="000000"/>
                <w:sz w:val="16"/>
                <w:szCs w:val="16"/>
              </w:rPr>
              <w:t>69%</w:t>
            </w:r>
          </w:p>
        </w:tc>
        <w:tc>
          <w:tcPr>
            <w:tcW w:w="718" w:type="dxa"/>
            <w:tcBorders>
              <w:top w:val="nil"/>
              <w:left w:val="nil"/>
              <w:bottom w:val="single" w:sz="4" w:space="0" w:color="auto"/>
              <w:right w:val="single" w:sz="4" w:space="0" w:color="auto"/>
            </w:tcBorders>
            <w:shd w:val="clear" w:color="auto" w:fill="auto"/>
            <w:noWrap/>
            <w:vAlign w:val="bottom"/>
            <w:hideMark/>
          </w:tcPr>
          <w:p w14:paraId="3E4E0B75" w14:textId="77777777" w:rsidR="000D2499" w:rsidRPr="00545850" w:rsidRDefault="000D2499" w:rsidP="000D2499">
            <w:pPr>
              <w:spacing w:after="0"/>
              <w:jc w:val="right"/>
              <w:rPr>
                <w:rFonts w:eastAsia="Times New Roman"/>
                <w:color w:val="000000"/>
                <w:sz w:val="16"/>
                <w:szCs w:val="16"/>
              </w:rPr>
            </w:pPr>
            <w:r w:rsidRPr="00545850">
              <w:rPr>
                <w:rFonts w:eastAsia="Times New Roman"/>
                <w:color w:val="000000"/>
                <w:sz w:val="16"/>
                <w:szCs w:val="16"/>
              </w:rPr>
              <w:t>31%</w:t>
            </w:r>
          </w:p>
        </w:tc>
      </w:tr>
      <w:tr w:rsidR="000D2499" w:rsidRPr="00545850" w14:paraId="675E5CFD" w14:textId="77777777" w:rsidTr="000D2499">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14:paraId="35F5A010" w14:textId="77777777" w:rsidR="000D2499" w:rsidRPr="00545850" w:rsidRDefault="000D2499" w:rsidP="000D2499">
            <w:pPr>
              <w:spacing w:after="0"/>
              <w:rPr>
                <w:rFonts w:eastAsia="Times New Roman"/>
                <w:color w:val="000000"/>
                <w:sz w:val="16"/>
                <w:szCs w:val="16"/>
              </w:rPr>
            </w:pPr>
            <w:r w:rsidRPr="00545850">
              <w:rPr>
                <w:rFonts w:eastAsia="Times New Roman"/>
                <w:color w:val="000000"/>
                <w:sz w:val="16"/>
                <w:szCs w:val="16"/>
              </w:rPr>
              <w:t>Number of people working in State's Conservation/PAN/Environment Office</w:t>
            </w:r>
            <w:r>
              <w:rPr>
                <w:rFonts w:eastAsia="Times New Roman"/>
                <w:color w:val="000000"/>
                <w:sz w:val="16"/>
                <w:szCs w:val="16"/>
              </w:rPr>
              <w:t xml:space="preserve"> </w:t>
            </w:r>
            <w:r w:rsidRPr="00A159EF">
              <w:rPr>
                <w:rFonts w:eastAsia="Times New Roman"/>
                <w:i/>
                <w:color w:val="000000"/>
                <w:sz w:val="16"/>
                <w:szCs w:val="16"/>
              </w:rPr>
              <w:t>(N=9</w:t>
            </w:r>
            <w:r>
              <w:rPr>
                <w:rFonts w:eastAsia="Times New Roman"/>
                <w:i/>
                <w:color w:val="000000"/>
                <w:sz w:val="16"/>
                <w:szCs w:val="16"/>
              </w:rPr>
              <w:t>)</w:t>
            </w:r>
          </w:p>
        </w:tc>
        <w:tc>
          <w:tcPr>
            <w:tcW w:w="930" w:type="dxa"/>
            <w:tcBorders>
              <w:top w:val="nil"/>
              <w:left w:val="nil"/>
              <w:bottom w:val="single" w:sz="4" w:space="0" w:color="auto"/>
              <w:right w:val="single" w:sz="4" w:space="0" w:color="auto"/>
            </w:tcBorders>
            <w:shd w:val="clear" w:color="auto" w:fill="auto"/>
            <w:noWrap/>
            <w:vAlign w:val="bottom"/>
            <w:hideMark/>
          </w:tcPr>
          <w:p w14:paraId="2B0A662C" w14:textId="77777777" w:rsidR="000D2499" w:rsidRPr="00545850" w:rsidRDefault="000D2499" w:rsidP="000D2499">
            <w:pPr>
              <w:spacing w:after="0"/>
              <w:jc w:val="right"/>
              <w:rPr>
                <w:rFonts w:eastAsia="Times New Roman"/>
                <w:color w:val="000000"/>
                <w:sz w:val="16"/>
                <w:szCs w:val="16"/>
              </w:rPr>
            </w:pPr>
            <w:r w:rsidRPr="00545850">
              <w:rPr>
                <w:rFonts w:eastAsia="Times New Roman"/>
                <w:color w:val="000000"/>
                <w:sz w:val="16"/>
                <w:szCs w:val="16"/>
              </w:rPr>
              <w:t>92</w:t>
            </w:r>
          </w:p>
        </w:tc>
        <w:tc>
          <w:tcPr>
            <w:tcW w:w="990" w:type="dxa"/>
            <w:tcBorders>
              <w:top w:val="nil"/>
              <w:left w:val="nil"/>
              <w:bottom w:val="single" w:sz="4" w:space="0" w:color="auto"/>
              <w:right w:val="single" w:sz="4" w:space="0" w:color="auto"/>
            </w:tcBorders>
            <w:shd w:val="clear" w:color="auto" w:fill="auto"/>
            <w:noWrap/>
            <w:vAlign w:val="bottom"/>
            <w:hideMark/>
          </w:tcPr>
          <w:p w14:paraId="48FE7017" w14:textId="77777777" w:rsidR="000D2499" w:rsidRPr="00545850" w:rsidRDefault="000D2499" w:rsidP="000D2499">
            <w:pPr>
              <w:spacing w:after="0"/>
              <w:jc w:val="right"/>
              <w:rPr>
                <w:rFonts w:eastAsia="Times New Roman"/>
                <w:color w:val="000000"/>
                <w:sz w:val="16"/>
                <w:szCs w:val="16"/>
              </w:rPr>
            </w:pPr>
            <w:r w:rsidRPr="00545850">
              <w:rPr>
                <w:rFonts w:eastAsia="Times New Roman"/>
                <w:color w:val="000000"/>
                <w:sz w:val="16"/>
                <w:szCs w:val="16"/>
              </w:rPr>
              <w:t>26</w:t>
            </w:r>
          </w:p>
        </w:tc>
        <w:tc>
          <w:tcPr>
            <w:tcW w:w="900" w:type="dxa"/>
            <w:tcBorders>
              <w:top w:val="nil"/>
              <w:left w:val="nil"/>
              <w:bottom w:val="single" w:sz="4" w:space="0" w:color="auto"/>
              <w:right w:val="single" w:sz="4" w:space="0" w:color="auto"/>
            </w:tcBorders>
            <w:shd w:val="clear" w:color="auto" w:fill="auto"/>
            <w:noWrap/>
            <w:vAlign w:val="bottom"/>
            <w:hideMark/>
          </w:tcPr>
          <w:p w14:paraId="641EEE7B" w14:textId="77777777" w:rsidR="000D2499" w:rsidRPr="00545850" w:rsidRDefault="000D2499" w:rsidP="000D2499">
            <w:pPr>
              <w:spacing w:after="0"/>
              <w:jc w:val="right"/>
              <w:rPr>
                <w:rFonts w:eastAsia="Times New Roman"/>
                <w:color w:val="000000"/>
                <w:sz w:val="16"/>
                <w:szCs w:val="16"/>
              </w:rPr>
            </w:pPr>
            <w:r w:rsidRPr="00545850">
              <w:rPr>
                <w:rFonts w:eastAsia="Times New Roman"/>
                <w:color w:val="000000"/>
                <w:sz w:val="16"/>
                <w:szCs w:val="16"/>
              </w:rPr>
              <w:t>10</w:t>
            </w:r>
          </w:p>
        </w:tc>
        <w:tc>
          <w:tcPr>
            <w:tcW w:w="900" w:type="dxa"/>
            <w:tcBorders>
              <w:top w:val="nil"/>
              <w:left w:val="nil"/>
              <w:bottom w:val="single" w:sz="4" w:space="0" w:color="auto"/>
              <w:right w:val="single" w:sz="4" w:space="0" w:color="auto"/>
            </w:tcBorders>
            <w:shd w:val="clear" w:color="auto" w:fill="auto"/>
            <w:noWrap/>
            <w:vAlign w:val="bottom"/>
            <w:hideMark/>
          </w:tcPr>
          <w:p w14:paraId="11AFD381" w14:textId="77777777" w:rsidR="000D2499" w:rsidRPr="00545850" w:rsidRDefault="000D2499" w:rsidP="000D2499">
            <w:pPr>
              <w:spacing w:after="0"/>
              <w:jc w:val="right"/>
              <w:rPr>
                <w:rFonts w:eastAsia="Times New Roman"/>
                <w:color w:val="000000"/>
                <w:sz w:val="16"/>
                <w:szCs w:val="16"/>
              </w:rPr>
            </w:pPr>
            <w:r w:rsidRPr="00545850">
              <w:rPr>
                <w:rFonts w:eastAsia="Times New Roman"/>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bottom"/>
            <w:hideMark/>
          </w:tcPr>
          <w:p w14:paraId="2151C824" w14:textId="77777777" w:rsidR="000D2499" w:rsidRPr="00545850" w:rsidRDefault="000D2499" w:rsidP="000D2499">
            <w:pPr>
              <w:spacing w:after="0"/>
              <w:jc w:val="right"/>
              <w:rPr>
                <w:rFonts w:eastAsia="Times New Roman"/>
                <w:color w:val="000000"/>
                <w:sz w:val="16"/>
                <w:szCs w:val="16"/>
              </w:rPr>
            </w:pPr>
            <w:r w:rsidRPr="00545850">
              <w:rPr>
                <w:rFonts w:eastAsia="Times New Roman"/>
                <w:color w:val="000000"/>
                <w:sz w:val="16"/>
                <w:szCs w:val="16"/>
              </w:rPr>
              <w:t>78%</w:t>
            </w:r>
          </w:p>
        </w:tc>
        <w:tc>
          <w:tcPr>
            <w:tcW w:w="718" w:type="dxa"/>
            <w:tcBorders>
              <w:top w:val="nil"/>
              <w:left w:val="nil"/>
              <w:bottom w:val="single" w:sz="4" w:space="0" w:color="auto"/>
              <w:right w:val="single" w:sz="4" w:space="0" w:color="auto"/>
            </w:tcBorders>
            <w:shd w:val="clear" w:color="auto" w:fill="auto"/>
            <w:noWrap/>
            <w:vAlign w:val="bottom"/>
            <w:hideMark/>
          </w:tcPr>
          <w:p w14:paraId="5977E378" w14:textId="77777777" w:rsidR="000D2499" w:rsidRPr="00545850" w:rsidRDefault="000D2499" w:rsidP="000D2499">
            <w:pPr>
              <w:spacing w:after="0"/>
              <w:jc w:val="right"/>
              <w:rPr>
                <w:rFonts w:eastAsia="Times New Roman"/>
                <w:color w:val="000000"/>
                <w:sz w:val="16"/>
                <w:szCs w:val="16"/>
              </w:rPr>
            </w:pPr>
            <w:r w:rsidRPr="00545850">
              <w:rPr>
                <w:rFonts w:eastAsia="Times New Roman"/>
                <w:color w:val="000000"/>
                <w:sz w:val="16"/>
                <w:szCs w:val="16"/>
              </w:rPr>
              <w:t>22%</w:t>
            </w:r>
          </w:p>
        </w:tc>
      </w:tr>
      <w:tr w:rsidR="000D2499" w:rsidRPr="00545850" w14:paraId="0126EDAD" w14:textId="77777777" w:rsidTr="000D2499">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14:paraId="2A22536B" w14:textId="77777777" w:rsidR="000D2499" w:rsidRPr="00545850" w:rsidRDefault="000D2499" w:rsidP="000D2499">
            <w:pPr>
              <w:spacing w:after="0"/>
              <w:rPr>
                <w:rFonts w:eastAsia="Times New Roman"/>
                <w:color w:val="000000"/>
                <w:sz w:val="16"/>
                <w:szCs w:val="16"/>
              </w:rPr>
            </w:pPr>
            <w:r w:rsidRPr="00545850">
              <w:rPr>
                <w:rFonts w:eastAsia="Times New Roman"/>
                <w:color w:val="000000"/>
                <w:sz w:val="16"/>
                <w:szCs w:val="16"/>
              </w:rPr>
              <w:t>Number of people who participated in biodiversity projects last year</w:t>
            </w:r>
            <w:r>
              <w:rPr>
                <w:rFonts w:eastAsia="Times New Roman"/>
                <w:color w:val="000000"/>
                <w:sz w:val="16"/>
                <w:szCs w:val="16"/>
              </w:rPr>
              <w:t xml:space="preserve"> </w:t>
            </w:r>
            <w:r w:rsidRPr="00A159EF">
              <w:rPr>
                <w:rFonts w:eastAsia="Times New Roman"/>
                <w:i/>
                <w:color w:val="000000"/>
                <w:sz w:val="16"/>
                <w:szCs w:val="16"/>
              </w:rPr>
              <w:t>(N=9</w:t>
            </w:r>
            <w:r>
              <w:rPr>
                <w:rFonts w:eastAsia="Times New Roman"/>
                <w:i/>
                <w:color w:val="000000"/>
                <w:sz w:val="16"/>
                <w:szCs w:val="16"/>
              </w:rPr>
              <w:t>)</w:t>
            </w:r>
          </w:p>
        </w:tc>
        <w:tc>
          <w:tcPr>
            <w:tcW w:w="930" w:type="dxa"/>
            <w:tcBorders>
              <w:top w:val="nil"/>
              <w:left w:val="nil"/>
              <w:bottom w:val="single" w:sz="4" w:space="0" w:color="auto"/>
              <w:right w:val="single" w:sz="4" w:space="0" w:color="auto"/>
            </w:tcBorders>
            <w:shd w:val="clear" w:color="auto" w:fill="auto"/>
            <w:noWrap/>
            <w:vAlign w:val="bottom"/>
            <w:hideMark/>
          </w:tcPr>
          <w:p w14:paraId="01E6ECDE" w14:textId="77777777" w:rsidR="000D2499" w:rsidRPr="00545850" w:rsidRDefault="000D2499" w:rsidP="000D2499">
            <w:pPr>
              <w:spacing w:after="0"/>
              <w:jc w:val="right"/>
              <w:rPr>
                <w:rFonts w:eastAsia="Times New Roman"/>
                <w:color w:val="000000"/>
                <w:sz w:val="16"/>
                <w:szCs w:val="16"/>
              </w:rPr>
            </w:pPr>
            <w:r w:rsidRPr="00545850">
              <w:rPr>
                <w:rFonts w:eastAsia="Times New Roman"/>
                <w:color w:val="000000"/>
                <w:sz w:val="16"/>
                <w:szCs w:val="16"/>
              </w:rPr>
              <w:t>200</w:t>
            </w:r>
          </w:p>
        </w:tc>
        <w:tc>
          <w:tcPr>
            <w:tcW w:w="990" w:type="dxa"/>
            <w:tcBorders>
              <w:top w:val="nil"/>
              <w:left w:val="nil"/>
              <w:bottom w:val="single" w:sz="4" w:space="0" w:color="auto"/>
              <w:right w:val="single" w:sz="4" w:space="0" w:color="auto"/>
            </w:tcBorders>
            <w:shd w:val="clear" w:color="auto" w:fill="auto"/>
            <w:noWrap/>
            <w:vAlign w:val="bottom"/>
            <w:hideMark/>
          </w:tcPr>
          <w:p w14:paraId="1319AE95" w14:textId="77777777" w:rsidR="000D2499" w:rsidRPr="00545850" w:rsidRDefault="000D2499" w:rsidP="000D2499">
            <w:pPr>
              <w:spacing w:after="0"/>
              <w:jc w:val="right"/>
              <w:rPr>
                <w:rFonts w:eastAsia="Times New Roman"/>
                <w:color w:val="000000"/>
                <w:sz w:val="16"/>
                <w:szCs w:val="16"/>
              </w:rPr>
            </w:pPr>
            <w:r w:rsidRPr="00545850">
              <w:rPr>
                <w:rFonts w:eastAsia="Times New Roman"/>
                <w:color w:val="000000"/>
                <w:sz w:val="16"/>
                <w:szCs w:val="16"/>
              </w:rPr>
              <w:t>270</w:t>
            </w:r>
          </w:p>
        </w:tc>
        <w:tc>
          <w:tcPr>
            <w:tcW w:w="900" w:type="dxa"/>
            <w:tcBorders>
              <w:top w:val="nil"/>
              <w:left w:val="nil"/>
              <w:bottom w:val="single" w:sz="4" w:space="0" w:color="auto"/>
              <w:right w:val="single" w:sz="4" w:space="0" w:color="auto"/>
            </w:tcBorders>
            <w:shd w:val="clear" w:color="auto" w:fill="auto"/>
            <w:noWrap/>
            <w:vAlign w:val="bottom"/>
            <w:hideMark/>
          </w:tcPr>
          <w:p w14:paraId="5B4B4ADE" w14:textId="77777777" w:rsidR="000D2499" w:rsidRPr="00545850" w:rsidRDefault="000D2499" w:rsidP="000D2499">
            <w:pPr>
              <w:spacing w:after="0"/>
              <w:jc w:val="right"/>
              <w:rPr>
                <w:rFonts w:eastAsia="Times New Roman"/>
                <w:color w:val="000000"/>
                <w:sz w:val="16"/>
                <w:szCs w:val="16"/>
              </w:rPr>
            </w:pPr>
            <w:r w:rsidRPr="00545850">
              <w:rPr>
                <w:rFonts w:eastAsia="Times New Roman"/>
                <w:color w:val="000000"/>
                <w:sz w:val="16"/>
                <w:szCs w:val="16"/>
              </w:rPr>
              <w:t>33</w:t>
            </w:r>
          </w:p>
        </w:tc>
        <w:tc>
          <w:tcPr>
            <w:tcW w:w="900" w:type="dxa"/>
            <w:tcBorders>
              <w:top w:val="nil"/>
              <w:left w:val="nil"/>
              <w:bottom w:val="single" w:sz="4" w:space="0" w:color="auto"/>
              <w:right w:val="single" w:sz="4" w:space="0" w:color="auto"/>
            </w:tcBorders>
            <w:shd w:val="clear" w:color="auto" w:fill="auto"/>
            <w:noWrap/>
            <w:vAlign w:val="bottom"/>
            <w:hideMark/>
          </w:tcPr>
          <w:p w14:paraId="72841517" w14:textId="77777777" w:rsidR="000D2499" w:rsidRPr="00545850" w:rsidRDefault="000D2499" w:rsidP="000D2499">
            <w:pPr>
              <w:spacing w:after="0"/>
              <w:jc w:val="right"/>
              <w:rPr>
                <w:rFonts w:eastAsia="Times New Roman"/>
                <w:color w:val="000000"/>
                <w:sz w:val="16"/>
                <w:szCs w:val="16"/>
              </w:rPr>
            </w:pPr>
            <w:r w:rsidRPr="00545850">
              <w:rPr>
                <w:rFonts w:eastAsia="Times New Roman"/>
                <w:color w:val="000000"/>
                <w:sz w:val="16"/>
                <w:szCs w:val="16"/>
              </w:rPr>
              <w:t>45</w:t>
            </w:r>
          </w:p>
        </w:tc>
        <w:tc>
          <w:tcPr>
            <w:tcW w:w="720" w:type="dxa"/>
            <w:tcBorders>
              <w:top w:val="nil"/>
              <w:left w:val="nil"/>
              <w:bottom w:val="single" w:sz="4" w:space="0" w:color="auto"/>
              <w:right w:val="single" w:sz="4" w:space="0" w:color="auto"/>
            </w:tcBorders>
            <w:shd w:val="clear" w:color="auto" w:fill="auto"/>
            <w:noWrap/>
            <w:vAlign w:val="bottom"/>
            <w:hideMark/>
          </w:tcPr>
          <w:p w14:paraId="502A0984" w14:textId="77777777" w:rsidR="000D2499" w:rsidRPr="00545850" w:rsidRDefault="000D2499" w:rsidP="000D2499">
            <w:pPr>
              <w:spacing w:after="0"/>
              <w:jc w:val="right"/>
              <w:rPr>
                <w:rFonts w:eastAsia="Times New Roman"/>
                <w:color w:val="000000"/>
                <w:sz w:val="16"/>
                <w:szCs w:val="16"/>
              </w:rPr>
            </w:pPr>
            <w:r w:rsidRPr="00545850">
              <w:rPr>
                <w:rFonts w:eastAsia="Times New Roman"/>
                <w:color w:val="000000"/>
                <w:sz w:val="16"/>
                <w:szCs w:val="16"/>
              </w:rPr>
              <w:t>43%</w:t>
            </w:r>
          </w:p>
        </w:tc>
        <w:tc>
          <w:tcPr>
            <w:tcW w:w="718" w:type="dxa"/>
            <w:tcBorders>
              <w:top w:val="nil"/>
              <w:left w:val="nil"/>
              <w:bottom w:val="single" w:sz="4" w:space="0" w:color="auto"/>
              <w:right w:val="single" w:sz="4" w:space="0" w:color="auto"/>
            </w:tcBorders>
            <w:shd w:val="clear" w:color="auto" w:fill="auto"/>
            <w:noWrap/>
            <w:vAlign w:val="bottom"/>
            <w:hideMark/>
          </w:tcPr>
          <w:p w14:paraId="77BBF806" w14:textId="77777777" w:rsidR="000D2499" w:rsidRPr="00545850" w:rsidRDefault="000D2499" w:rsidP="000D2499">
            <w:pPr>
              <w:spacing w:after="0"/>
              <w:jc w:val="right"/>
              <w:rPr>
                <w:rFonts w:eastAsia="Times New Roman"/>
                <w:color w:val="000000"/>
                <w:sz w:val="16"/>
                <w:szCs w:val="16"/>
              </w:rPr>
            </w:pPr>
            <w:r w:rsidRPr="00545850">
              <w:rPr>
                <w:rFonts w:eastAsia="Times New Roman"/>
                <w:color w:val="000000"/>
                <w:sz w:val="16"/>
                <w:szCs w:val="16"/>
              </w:rPr>
              <w:t>57%</w:t>
            </w:r>
          </w:p>
        </w:tc>
      </w:tr>
      <w:tr w:rsidR="000D2499" w:rsidRPr="00545850" w14:paraId="68773FF9" w14:textId="77777777" w:rsidTr="000D2499">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14:paraId="4D78C41D" w14:textId="77777777" w:rsidR="000D2499" w:rsidRPr="00545850" w:rsidRDefault="000D2499" w:rsidP="000D2499">
            <w:pPr>
              <w:spacing w:after="0"/>
              <w:rPr>
                <w:rFonts w:eastAsia="Times New Roman"/>
                <w:color w:val="000000"/>
                <w:sz w:val="16"/>
                <w:szCs w:val="16"/>
              </w:rPr>
            </w:pPr>
            <w:r w:rsidRPr="00545850">
              <w:rPr>
                <w:rFonts w:eastAsia="Times New Roman"/>
                <w:color w:val="000000"/>
                <w:sz w:val="16"/>
                <w:szCs w:val="16"/>
              </w:rPr>
              <w:t>Number of people who participated in capacity building activities last year</w:t>
            </w:r>
            <w:r>
              <w:rPr>
                <w:rFonts w:eastAsia="Times New Roman"/>
                <w:color w:val="000000"/>
                <w:sz w:val="16"/>
                <w:szCs w:val="16"/>
              </w:rPr>
              <w:t xml:space="preserve"> </w:t>
            </w:r>
            <w:r w:rsidRPr="00A159EF">
              <w:rPr>
                <w:rFonts w:eastAsia="Times New Roman"/>
                <w:i/>
                <w:color w:val="000000"/>
                <w:sz w:val="16"/>
                <w:szCs w:val="16"/>
              </w:rPr>
              <w:t>(N=9</w:t>
            </w:r>
            <w:r>
              <w:rPr>
                <w:rFonts w:eastAsia="Times New Roman"/>
                <w:i/>
                <w:color w:val="000000"/>
                <w:sz w:val="16"/>
                <w:szCs w:val="16"/>
              </w:rPr>
              <w:t>)</w:t>
            </w:r>
          </w:p>
        </w:tc>
        <w:tc>
          <w:tcPr>
            <w:tcW w:w="930" w:type="dxa"/>
            <w:tcBorders>
              <w:top w:val="nil"/>
              <w:left w:val="nil"/>
              <w:bottom w:val="single" w:sz="4" w:space="0" w:color="auto"/>
              <w:right w:val="single" w:sz="4" w:space="0" w:color="auto"/>
            </w:tcBorders>
            <w:shd w:val="clear" w:color="auto" w:fill="auto"/>
            <w:noWrap/>
            <w:vAlign w:val="bottom"/>
            <w:hideMark/>
          </w:tcPr>
          <w:p w14:paraId="2D086434" w14:textId="77777777" w:rsidR="000D2499" w:rsidRPr="00545850" w:rsidRDefault="000D2499" w:rsidP="000D2499">
            <w:pPr>
              <w:spacing w:after="0"/>
              <w:jc w:val="right"/>
              <w:rPr>
                <w:rFonts w:eastAsia="Times New Roman"/>
                <w:color w:val="000000"/>
                <w:sz w:val="16"/>
                <w:szCs w:val="16"/>
              </w:rPr>
            </w:pPr>
            <w:r w:rsidRPr="00545850">
              <w:rPr>
                <w:rFonts w:eastAsia="Times New Roman"/>
                <w:color w:val="000000"/>
                <w:sz w:val="16"/>
                <w:szCs w:val="16"/>
              </w:rPr>
              <w:t>121</w:t>
            </w:r>
          </w:p>
        </w:tc>
        <w:tc>
          <w:tcPr>
            <w:tcW w:w="990" w:type="dxa"/>
            <w:tcBorders>
              <w:top w:val="nil"/>
              <w:left w:val="nil"/>
              <w:bottom w:val="single" w:sz="4" w:space="0" w:color="auto"/>
              <w:right w:val="single" w:sz="4" w:space="0" w:color="auto"/>
            </w:tcBorders>
            <w:shd w:val="clear" w:color="auto" w:fill="auto"/>
            <w:noWrap/>
            <w:vAlign w:val="bottom"/>
            <w:hideMark/>
          </w:tcPr>
          <w:p w14:paraId="35F8F1C3" w14:textId="77777777" w:rsidR="000D2499" w:rsidRPr="00545850" w:rsidRDefault="000D2499" w:rsidP="000D2499">
            <w:pPr>
              <w:spacing w:after="0"/>
              <w:jc w:val="right"/>
              <w:rPr>
                <w:rFonts w:eastAsia="Times New Roman"/>
                <w:color w:val="000000"/>
                <w:sz w:val="16"/>
                <w:szCs w:val="16"/>
              </w:rPr>
            </w:pPr>
            <w:r w:rsidRPr="00545850">
              <w:rPr>
                <w:rFonts w:eastAsia="Times New Roman"/>
                <w:color w:val="000000"/>
                <w:sz w:val="16"/>
                <w:szCs w:val="16"/>
              </w:rPr>
              <w:t>103</w:t>
            </w:r>
          </w:p>
        </w:tc>
        <w:tc>
          <w:tcPr>
            <w:tcW w:w="900" w:type="dxa"/>
            <w:tcBorders>
              <w:top w:val="nil"/>
              <w:left w:val="nil"/>
              <w:bottom w:val="single" w:sz="4" w:space="0" w:color="auto"/>
              <w:right w:val="single" w:sz="4" w:space="0" w:color="auto"/>
            </w:tcBorders>
            <w:shd w:val="clear" w:color="auto" w:fill="auto"/>
            <w:noWrap/>
            <w:vAlign w:val="bottom"/>
            <w:hideMark/>
          </w:tcPr>
          <w:p w14:paraId="2A5F9BA2" w14:textId="77777777" w:rsidR="000D2499" w:rsidRPr="00545850" w:rsidRDefault="000D2499" w:rsidP="000D2499">
            <w:pPr>
              <w:spacing w:after="0"/>
              <w:jc w:val="right"/>
              <w:rPr>
                <w:rFonts w:eastAsia="Times New Roman"/>
                <w:color w:val="000000"/>
                <w:sz w:val="16"/>
                <w:szCs w:val="16"/>
              </w:rPr>
            </w:pPr>
            <w:r w:rsidRPr="00545850">
              <w:rPr>
                <w:rFonts w:eastAsia="Times New Roman"/>
                <w:color w:val="000000"/>
                <w:sz w:val="16"/>
                <w:szCs w:val="16"/>
              </w:rPr>
              <w:t>20</w:t>
            </w:r>
          </w:p>
        </w:tc>
        <w:tc>
          <w:tcPr>
            <w:tcW w:w="900" w:type="dxa"/>
            <w:tcBorders>
              <w:top w:val="nil"/>
              <w:left w:val="nil"/>
              <w:bottom w:val="single" w:sz="4" w:space="0" w:color="auto"/>
              <w:right w:val="single" w:sz="4" w:space="0" w:color="auto"/>
            </w:tcBorders>
            <w:shd w:val="clear" w:color="auto" w:fill="auto"/>
            <w:noWrap/>
            <w:vAlign w:val="bottom"/>
            <w:hideMark/>
          </w:tcPr>
          <w:p w14:paraId="30E26EDE" w14:textId="77777777" w:rsidR="000D2499" w:rsidRPr="00545850" w:rsidRDefault="000D2499" w:rsidP="000D2499">
            <w:pPr>
              <w:spacing w:after="0"/>
              <w:jc w:val="right"/>
              <w:rPr>
                <w:rFonts w:eastAsia="Times New Roman"/>
                <w:color w:val="000000"/>
                <w:sz w:val="16"/>
                <w:szCs w:val="16"/>
              </w:rPr>
            </w:pPr>
            <w:r w:rsidRPr="00545850">
              <w:rPr>
                <w:rFonts w:eastAsia="Times New Roman"/>
                <w:color w:val="000000"/>
                <w:sz w:val="16"/>
                <w:szCs w:val="16"/>
              </w:rPr>
              <w:t>17</w:t>
            </w:r>
          </w:p>
        </w:tc>
        <w:tc>
          <w:tcPr>
            <w:tcW w:w="720" w:type="dxa"/>
            <w:tcBorders>
              <w:top w:val="nil"/>
              <w:left w:val="nil"/>
              <w:bottom w:val="single" w:sz="4" w:space="0" w:color="auto"/>
              <w:right w:val="single" w:sz="4" w:space="0" w:color="auto"/>
            </w:tcBorders>
            <w:shd w:val="clear" w:color="auto" w:fill="auto"/>
            <w:noWrap/>
            <w:vAlign w:val="bottom"/>
            <w:hideMark/>
          </w:tcPr>
          <w:p w14:paraId="79C40C64" w14:textId="77777777" w:rsidR="000D2499" w:rsidRPr="00545850" w:rsidRDefault="000D2499" w:rsidP="000D2499">
            <w:pPr>
              <w:spacing w:after="0"/>
              <w:jc w:val="right"/>
              <w:rPr>
                <w:rFonts w:eastAsia="Times New Roman"/>
                <w:color w:val="000000"/>
                <w:sz w:val="16"/>
                <w:szCs w:val="16"/>
              </w:rPr>
            </w:pPr>
            <w:r w:rsidRPr="00545850">
              <w:rPr>
                <w:rFonts w:eastAsia="Times New Roman"/>
                <w:color w:val="000000"/>
                <w:sz w:val="16"/>
                <w:szCs w:val="16"/>
              </w:rPr>
              <w:t>54%</w:t>
            </w:r>
          </w:p>
        </w:tc>
        <w:tc>
          <w:tcPr>
            <w:tcW w:w="718" w:type="dxa"/>
            <w:tcBorders>
              <w:top w:val="nil"/>
              <w:left w:val="nil"/>
              <w:bottom w:val="single" w:sz="4" w:space="0" w:color="auto"/>
              <w:right w:val="single" w:sz="4" w:space="0" w:color="auto"/>
            </w:tcBorders>
            <w:shd w:val="clear" w:color="auto" w:fill="auto"/>
            <w:noWrap/>
            <w:vAlign w:val="bottom"/>
            <w:hideMark/>
          </w:tcPr>
          <w:p w14:paraId="711C5F0C" w14:textId="77777777" w:rsidR="000D2499" w:rsidRPr="00545850" w:rsidRDefault="000D2499" w:rsidP="000D2499">
            <w:pPr>
              <w:spacing w:after="0"/>
              <w:jc w:val="right"/>
              <w:rPr>
                <w:rFonts w:eastAsia="Times New Roman"/>
                <w:color w:val="000000"/>
                <w:sz w:val="16"/>
                <w:szCs w:val="16"/>
              </w:rPr>
            </w:pPr>
            <w:r w:rsidRPr="00545850">
              <w:rPr>
                <w:rFonts w:eastAsia="Times New Roman"/>
                <w:color w:val="000000"/>
                <w:sz w:val="16"/>
                <w:szCs w:val="16"/>
              </w:rPr>
              <w:t>46%</w:t>
            </w:r>
          </w:p>
        </w:tc>
      </w:tr>
      <w:tr w:rsidR="000D2499" w:rsidRPr="00545850" w14:paraId="6DBC1818" w14:textId="77777777" w:rsidTr="000D2499">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14:paraId="41DE33F6" w14:textId="77777777" w:rsidR="000D2499" w:rsidRPr="00545850" w:rsidRDefault="000D2499" w:rsidP="000D2499">
            <w:pPr>
              <w:spacing w:after="0"/>
              <w:rPr>
                <w:rFonts w:eastAsia="Times New Roman"/>
                <w:color w:val="000000"/>
                <w:sz w:val="16"/>
                <w:szCs w:val="16"/>
              </w:rPr>
            </w:pPr>
            <w:r w:rsidRPr="00545850">
              <w:rPr>
                <w:rFonts w:eastAsia="Times New Roman"/>
                <w:color w:val="000000"/>
                <w:sz w:val="16"/>
                <w:szCs w:val="16"/>
              </w:rPr>
              <w:t>Level of Biosecurity/IAS awareness (high, medium, low)</w:t>
            </w:r>
            <w:r>
              <w:rPr>
                <w:rFonts w:eastAsia="Times New Roman"/>
                <w:color w:val="000000"/>
                <w:sz w:val="16"/>
                <w:szCs w:val="16"/>
              </w:rPr>
              <w:t xml:space="preserve"> </w:t>
            </w:r>
            <w:r w:rsidRPr="00A159EF">
              <w:rPr>
                <w:rFonts w:eastAsia="Times New Roman"/>
                <w:i/>
                <w:color w:val="000000"/>
                <w:sz w:val="16"/>
                <w:szCs w:val="16"/>
              </w:rPr>
              <w:t>(N = 6 States reporting)</w:t>
            </w:r>
          </w:p>
        </w:tc>
        <w:tc>
          <w:tcPr>
            <w:tcW w:w="930" w:type="dxa"/>
            <w:tcBorders>
              <w:top w:val="nil"/>
              <w:left w:val="nil"/>
              <w:bottom w:val="single" w:sz="4" w:space="0" w:color="auto"/>
              <w:right w:val="single" w:sz="4" w:space="0" w:color="auto"/>
            </w:tcBorders>
            <w:shd w:val="clear" w:color="auto" w:fill="auto"/>
            <w:noWrap/>
            <w:vAlign w:val="bottom"/>
            <w:hideMark/>
          </w:tcPr>
          <w:p w14:paraId="047C2B8E" w14:textId="77777777" w:rsidR="000D2499" w:rsidRDefault="000D2499" w:rsidP="000D2499">
            <w:pPr>
              <w:spacing w:after="0"/>
              <w:rPr>
                <w:rFonts w:eastAsia="Times New Roman"/>
                <w:color w:val="000000"/>
                <w:sz w:val="16"/>
                <w:szCs w:val="16"/>
              </w:rPr>
            </w:pPr>
            <w:r w:rsidRPr="00545850">
              <w:rPr>
                <w:rFonts w:eastAsia="Times New Roman"/>
                <w:color w:val="000000"/>
                <w:sz w:val="16"/>
                <w:szCs w:val="16"/>
              </w:rPr>
              <w:t xml:space="preserve">4 low, </w:t>
            </w:r>
          </w:p>
          <w:p w14:paraId="2A9F8921" w14:textId="77777777" w:rsidR="000D2499" w:rsidRPr="00545850" w:rsidRDefault="000D2499" w:rsidP="000D2499">
            <w:pPr>
              <w:spacing w:after="0"/>
              <w:rPr>
                <w:rFonts w:eastAsia="Times New Roman"/>
                <w:color w:val="000000"/>
                <w:sz w:val="16"/>
                <w:szCs w:val="16"/>
              </w:rPr>
            </w:pPr>
            <w:r w:rsidRPr="00545850">
              <w:rPr>
                <w:rFonts w:eastAsia="Times New Roman"/>
                <w:color w:val="000000"/>
                <w:sz w:val="16"/>
                <w:szCs w:val="16"/>
              </w:rPr>
              <w:t>2 medium</w:t>
            </w:r>
          </w:p>
        </w:tc>
        <w:tc>
          <w:tcPr>
            <w:tcW w:w="990" w:type="dxa"/>
            <w:tcBorders>
              <w:top w:val="nil"/>
              <w:left w:val="nil"/>
              <w:bottom w:val="single" w:sz="4" w:space="0" w:color="auto"/>
              <w:right w:val="single" w:sz="4" w:space="0" w:color="auto"/>
            </w:tcBorders>
            <w:shd w:val="clear" w:color="auto" w:fill="auto"/>
            <w:noWrap/>
            <w:vAlign w:val="bottom"/>
            <w:hideMark/>
          </w:tcPr>
          <w:p w14:paraId="455C86B6" w14:textId="77777777" w:rsidR="000D2499" w:rsidRDefault="000D2499" w:rsidP="000D2499">
            <w:pPr>
              <w:spacing w:after="0"/>
              <w:rPr>
                <w:rFonts w:eastAsia="Times New Roman"/>
                <w:color w:val="000000"/>
                <w:sz w:val="16"/>
                <w:szCs w:val="16"/>
              </w:rPr>
            </w:pPr>
            <w:r w:rsidRPr="00545850">
              <w:rPr>
                <w:rFonts w:eastAsia="Times New Roman"/>
                <w:color w:val="000000"/>
                <w:sz w:val="16"/>
                <w:szCs w:val="16"/>
              </w:rPr>
              <w:t xml:space="preserve">2 low, </w:t>
            </w:r>
          </w:p>
          <w:p w14:paraId="09A8D826" w14:textId="77777777" w:rsidR="000D2499" w:rsidRPr="00545850" w:rsidRDefault="000D2499" w:rsidP="000D2499">
            <w:pPr>
              <w:spacing w:after="0"/>
              <w:rPr>
                <w:rFonts w:eastAsia="Times New Roman"/>
                <w:color w:val="000000"/>
                <w:sz w:val="16"/>
                <w:szCs w:val="16"/>
              </w:rPr>
            </w:pPr>
            <w:r w:rsidRPr="00545850">
              <w:rPr>
                <w:rFonts w:eastAsia="Times New Roman"/>
                <w:color w:val="000000"/>
                <w:sz w:val="16"/>
                <w:szCs w:val="16"/>
              </w:rPr>
              <w:t>4 medium</w:t>
            </w:r>
          </w:p>
        </w:tc>
        <w:tc>
          <w:tcPr>
            <w:tcW w:w="900" w:type="dxa"/>
            <w:tcBorders>
              <w:top w:val="nil"/>
              <w:left w:val="nil"/>
              <w:bottom w:val="single" w:sz="4" w:space="0" w:color="auto"/>
              <w:right w:val="single" w:sz="4" w:space="0" w:color="auto"/>
            </w:tcBorders>
            <w:shd w:val="clear" w:color="auto" w:fill="auto"/>
            <w:noWrap/>
            <w:vAlign w:val="bottom"/>
            <w:hideMark/>
          </w:tcPr>
          <w:p w14:paraId="2D78F017" w14:textId="77777777" w:rsidR="000D2499" w:rsidRPr="00545850" w:rsidRDefault="000D2499" w:rsidP="000D2499">
            <w:pPr>
              <w:spacing w:after="0"/>
              <w:rPr>
                <w:rFonts w:eastAsia="Times New Roman"/>
                <w:color w:val="000000"/>
                <w:sz w:val="16"/>
                <w:szCs w:val="16"/>
              </w:rPr>
            </w:pPr>
            <w:r w:rsidRPr="00545850">
              <w:rPr>
                <w:rFonts w:eastAsia="Times New Roman"/>
                <w:color w:val="000000"/>
                <w:sz w:val="16"/>
                <w:szCs w:val="16"/>
              </w:rPr>
              <w:t>low</w:t>
            </w:r>
          </w:p>
        </w:tc>
        <w:tc>
          <w:tcPr>
            <w:tcW w:w="900" w:type="dxa"/>
            <w:tcBorders>
              <w:top w:val="nil"/>
              <w:left w:val="nil"/>
              <w:bottom w:val="single" w:sz="4" w:space="0" w:color="auto"/>
              <w:right w:val="single" w:sz="4" w:space="0" w:color="auto"/>
            </w:tcBorders>
            <w:shd w:val="clear" w:color="auto" w:fill="auto"/>
            <w:noWrap/>
            <w:vAlign w:val="bottom"/>
            <w:hideMark/>
          </w:tcPr>
          <w:p w14:paraId="139F645F" w14:textId="77777777" w:rsidR="000D2499" w:rsidRPr="00545850" w:rsidRDefault="000D2499" w:rsidP="000D2499">
            <w:pPr>
              <w:spacing w:after="0"/>
              <w:rPr>
                <w:rFonts w:eastAsia="Times New Roman"/>
                <w:color w:val="000000"/>
                <w:sz w:val="16"/>
                <w:szCs w:val="16"/>
              </w:rPr>
            </w:pPr>
            <w:r w:rsidRPr="00545850">
              <w:rPr>
                <w:rFonts w:eastAsia="Times New Roman"/>
                <w:color w:val="000000"/>
                <w:sz w:val="16"/>
                <w:szCs w:val="16"/>
              </w:rPr>
              <w:t>medium</w:t>
            </w:r>
          </w:p>
        </w:tc>
        <w:tc>
          <w:tcPr>
            <w:tcW w:w="720" w:type="dxa"/>
            <w:tcBorders>
              <w:top w:val="nil"/>
              <w:left w:val="nil"/>
              <w:bottom w:val="nil"/>
              <w:right w:val="nil"/>
            </w:tcBorders>
            <w:shd w:val="clear" w:color="auto" w:fill="auto"/>
            <w:noWrap/>
            <w:vAlign w:val="bottom"/>
            <w:hideMark/>
          </w:tcPr>
          <w:p w14:paraId="64DA44F6" w14:textId="77777777" w:rsidR="000D2499" w:rsidRPr="00545850" w:rsidRDefault="000D2499" w:rsidP="000D2499">
            <w:pPr>
              <w:spacing w:after="0"/>
              <w:rPr>
                <w:rFonts w:eastAsia="Times New Roman"/>
                <w:color w:val="000000"/>
                <w:sz w:val="16"/>
                <w:szCs w:val="16"/>
              </w:rPr>
            </w:pPr>
          </w:p>
        </w:tc>
        <w:tc>
          <w:tcPr>
            <w:tcW w:w="718" w:type="dxa"/>
            <w:tcBorders>
              <w:top w:val="nil"/>
              <w:left w:val="nil"/>
              <w:bottom w:val="nil"/>
              <w:right w:val="nil"/>
            </w:tcBorders>
            <w:shd w:val="clear" w:color="auto" w:fill="auto"/>
            <w:noWrap/>
            <w:vAlign w:val="bottom"/>
            <w:hideMark/>
          </w:tcPr>
          <w:p w14:paraId="249470E7" w14:textId="77777777" w:rsidR="000D2499" w:rsidRPr="00545850" w:rsidRDefault="000D2499" w:rsidP="000D2499">
            <w:pPr>
              <w:spacing w:after="0"/>
              <w:rPr>
                <w:rFonts w:eastAsia="Times New Roman"/>
                <w:sz w:val="16"/>
                <w:szCs w:val="16"/>
              </w:rPr>
            </w:pPr>
          </w:p>
        </w:tc>
      </w:tr>
      <w:tr w:rsidR="000D2499" w:rsidRPr="00545850" w14:paraId="666FA9A8" w14:textId="77777777" w:rsidTr="000D2499">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14:paraId="63F54A2D" w14:textId="77777777" w:rsidR="000D2499" w:rsidRPr="00545850" w:rsidRDefault="000D2499" w:rsidP="000D2499">
            <w:pPr>
              <w:spacing w:after="0"/>
              <w:rPr>
                <w:rFonts w:eastAsia="Times New Roman"/>
                <w:color w:val="000000"/>
                <w:sz w:val="16"/>
                <w:szCs w:val="16"/>
              </w:rPr>
            </w:pPr>
            <w:r w:rsidRPr="00545850">
              <w:rPr>
                <w:rFonts w:eastAsia="Times New Roman"/>
                <w:color w:val="000000"/>
                <w:sz w:val="16"/>
                <w:szCs w:val="16"/>
              </w:rPr>
              <w:t>Level of participation in sustainable tourism by community members (high, medium, low)</w:t>
            </w:r>
            <w:r>
              <w:rPr>
                <w:rFonts w:eastAsia="Times New Roman"/>
                <w:color w:val="000000"/>
                <w:sz w:val="16"/>
                <w:szCs w:val="16"/>
              </w:rPr>
              <w:t xml:space="preserve"> </w:t>
            </w:r>
            <w:r>
              <w:rPr>
                <w:rFonts w:eastAsia="Times New Roman"/>
                <w:i/>
                <w:color w:val="000000"/>
                <w:sz w:val="16"/>
                <w:szCs w:val="16"/>
              </w:rPr>
              <w:t>(N = 6</w:t>
            </w:r>
            <w:r w:rsidRPr="00A159EF">
              <w:rPr>
                <w:rFonts w:eastAsia="Times New Roman"/>
                <w:i/>
                <w:color w:val="000000"/>
                <w:sz w:val="16"/>
                <w:szCs w:val="16"/>
              </w:rPr>
              <w:t>)</w:t>
            </w:r>
          </w:p>
        </w:tc>
        <w:tc>
          <w:tcPr>
            <w:tcW w:w="930" w:type="dxa"/>
            <w:tcBorders>
              <w:top w:val="nil"/>
              <w:left w:val="nil"/>
              <w:bottom w:val="single" w:sz="4" w:space="0" w:color="auto"/>
              <w:right w:val="single" w:sz="4" w:space="0" w:color="auto"/>
            </w:tcBorders>
            <w:shd w:val="clear" w:color="auto" w:fill="auto"/>
            <w:noWrap/>
            <w:vAlign w:val="bottom"/>
            <w:hideMark/>
          </w:tcPr>
          <w:p w14:paraId="542B8B1F" w14:textId="77777777" w:rsidR="000D2499" w:rsidRDefault="000D2499" w:rsidP="000D2499">
            <w:pPr>
              <w:spacing w:after="0"/>
              <w:rPr>
                <w:rFonts w:eastAsia="Times New Roman"/>
                <w:color w:val="000000"/>
                <w:sz w:val="16"/>
                <w:szCs w:val="16"/>
              </w:rPr>
            </w:pPr>
            <w:r w:rsidRPr="00545850">
              <w:rPr>
                <w:rFonts w:eastAsia="Times New Roman"/>
                <w:color w:val="000000"/>
                <w:sz w:val="16"/>
                <w:szCs w:val="16"/>
              </w:rPr>
              <w:t xml:space="preserve">3 low, </w:t>
            </w:r>
          </w:p>
          <w:p w14:paraId="2584F7E2" w14:textId="77777777" w:rsidR="000D2499" w:rsidRPr="00545850" w:rsidRDefault="000D2499" w:rsidP="000D2499">
            <w:pPr>
              <w:spacing w:after="0"/>
              <w:rPr>
                <w:rFonts w:eastAsia="Times New Roman"/>
                <w:color w:val="000000"/>
                <w:sz w:val="16"/>
                <w:szCs w:val="16"/>
              </w:rPr>
            </w:pPr>
            <w:r w:rsidRPr="00545850">
              <w:rPr>
                <w:rFonts w:eastAsia="Times New Roman"/>
                <w:color w:val="000000"/>
                <w:sz w:val="16"/>
                <w:szCs w:val="16"/>
              </w:rPr>
              <w:t>1 medium, 2 high</w:t>
            </w:r>
          </w:p>
        </w:tc>
        <w:tc>
          <w:tcPr>
            <w:tcW w:w="990" w:type="dxa"/>
            <w:tcBorders>
              <w:top w:val="nil"/>
              <w:left w:val="nil"/>
              <w:bottom w:val="single" w:sz="4" w:space="0" w:color="auto"/>
              <w:right w:val="single" w:sz="4" w:space="0" w:color="auto"/>
            </w:tcBorders>
            <w:shd w:val="clear" w:color="auto" w:fill="auto"/>
            <w:noWrap/>
            <w:vAlign w:val="bottom"/>
            <w:hideMark/>
          </w:tcPr>
          <w:p w14:paraId="792667D9" w14:textId="77777777" w:rsidR="000D2499" w:rsidRDefault="000D2499" w:rsidP="000D2499">
            <w:pPr>
              <w:spacing w:after="0"/>
              <w:rPr>
                <w:rFonts w:eastAsia="Times New Roman"/>
                <w:color w:val="000000"/>
                <w:sz w:val="16"/>
                <w:szCs w:val="16"/>
              </w:rPr>
            </w:pPr>
            <w:r w:rsidRPr="00545850">
              <w:rPr>
                <w:rFonts w:eastAsia="Times New Roman"/>
                <w:color w:val="000000"/>
                <w:sz w:val="16"/>
                <w:szCs w:val="16"/>
              </w:rPr>
              <w:t xml:space="preserve">4 low, </w:t>
            </w:r>
          </w:p>
          <w:p w14:paraId="516AEC5D" w14:textId="77777777" w:rsidR="000D2499" w:rsidRPr="00545850" w:rsidRDefault="000D2499" w:rsidP="000D2499">
            <w:pPr>
              <w:spacing w:after="0"/>
              <w:rPr>
                <w:rFonts w:eastAsia="Times New Roman"/>
                <w:color w:val="000000"/>
                <w:sz w:val="16"/>
                <w:szCs w:val="16"/>
              </w:rPr>
            </w:pPr>
            <w:r w:rsidRPr="00545850">
              <w:rPr>
                <w:rFonts w:eastAsia="Times New Roman"/>
                <w:color w:val="000000"/>
                <w:sz w:val="16"/>
                <w:szCs w:val="16"/>
              </w:rPr>
              <w:t>2 medium</w:t>
            </w:r>
          </w:p>
        </w:tc>
        <w:tc>
          <w:tcPr>
            <w:tcW w:w="900" w:type="dxa"/>
            <w:tcBorders>
              <w:top w:val="nil"/>
              <w:left w:val="nil"/>
              <w:bottom w:val="single" w:sz="4" w:space="0" w:color="auto"/>
              <w:right w:val="single" w:sz="4" w:space="0" w:color="auto"/>
            </w:tcBorders>
            <w:shd w:val="clear" w:color="auto" w:fill="auto"/>
            <w:noWrap/>
            <w:vAlign w:val="bottom"/>
            <w:hideMark/>
          </w:tcPr>
          <w:p w14:paraId="0DFA816E" w14:textId="77777777" w:rsidR="000D2499" w:rsidRPr="00545850" w:rsidRDefault="000D2499" w:rsidP="000D2499">
            <w:pPr>
              <w:spacing w:after="0"/>
              <w:rPr>
                <w:rFonts w:eastAsia="Times New Roman"/>
                <w:color w:val="000000"/>
                <w:sz w:val="16"/>
                <w:szCs w:val="16"/>
              </w:rPr>
            </w:pPr>
            <w:r w:rsidRPr="00545850">
              <w:rPr>
                <w:rFonts w:eastAsia="Times New Roman"/>
                <w:color w:val="000000"/>
                <w:sz w:val="16"/>
                <w:szCs w:val="16"/>
              </w:rPr>
              <w:t>medium</w:t>
            </w:r>
          </w:p>
        </w:tc>
        <w:tc>
          <w:tcPr>
            <w:tcW w:w="900" w:type="dxa"/>
            <w:tcBorders>
              <w:top w:val="nil"/>
              <w:left w:val="nil"/>
              <w:bottom w:val="single" w:sz="4" w:space="0" w:color="auto"/>
              <w:right w:val="single" w:sz="4" w:space="0" w:color="auto"/>
            </w:tcBorders>
            <w:shd w:val="clear" w:color="auto" w:fill="auto"/>
            <w:noWrap/>
            <w:vAlign w:val="bottom"/>
            <w:hideMark/>
          </w:tcPr>
          <w:p w14:paraId="5E44240A" w14:textId="77777777" w:rsidR="000D2499" w:rsidRPr="00545850" w:rsidRDefault="000D2499" w:rsidP="000D2499">
            <w:pPr>
              <w:spacing w:after="0"/>
              <w:rPr>
                <w:rFonts w:eastAsia="Times New Roman"/>
                <w:color w:val="000000"/>
                <w:sz w:val="16"/>
                <w:szCs w:val="16"/>
              </w:rPr>
            </w:pPr>
            <w:r w:rsidRPr="00545850">
              <w:rPr>
                <w:rFonts w:eastAsia="Times New Roman"/>
                <w:color w:val="000000"/>
                <w:sz w:val="16"/>
                <w:szCs w:val="16"/>
              </w:rPr>
              <w:t>Low</w:t>
            </w:r>
          </w:p>
        </w:tc>
        <w:tc>
          <w:tcPr>
            <w:tcW w:w="720" w:type="dxa"/>
            <w:tcBorders>
              <w:top w:val="nil"/>
              <w:left w:val="nil"/>
              <w:bottom w:val="nil"/>
              <w:right w:val="nil"/>
            </w:tcBorders>
            <w:shd w:val="clear" w:color="auto" w:fill="auto"/>
            <w:noWrap/>
            <w:vAlign w:val="bottom"/>
            <w:hideMark/>
          </w:tcPr>
          <w:p w14:paraId="77276D9E" w14:textId="77777777" w:rsidR="000D2499" w:rsidRPr="00545850" w:rsidRDefault="000D2499" w:rsidP="000D2499">
            <w:pPr>
              <w:spacing w:after="0"/>
              <w:rPr>
                <w:rFonts w:eastAsia="Times New Roman"/>
                <w:color w:val="000000"/>
                <w:sz w:val="16"/>
                <w:szCs w:val="16"/>
              </w:rPr>
            </w:pPr>
          </w:p>
        </w:tc>
        <w:tc>
          <w:tcPr>
            <w:tcW w:w="718" w:type="dxa"/>
            <w:tcBorders>
              <w:top w:val="nil"/>
              <w:left w:val="nil"/>
              <w:bottom w:val="nil"/>
              <w:right w:val="nil"/>
            </w:tcBorders>
            <w:shd w:val="clear" w:color="auto" w:fill="auto"/>
            <w:noWrap/>
            <w:vAlign w:val="bottom"/>
            <w:hideMark/>
          </w:tcPr>
          <w:p w14:paraId="3EA54C5F" w14:textId="77777777" w:rsidR="000D2499" w:rsidRPr="00545850" w:rsidRDefault="000D2499" w:rsidP="000D2499">
            <w:pPr>
              <w:spacing w:after="0"/>
              <w:rPr>
                <w:rFonts w:eastAsia="Times New Roman"/>
                <w:sz w:val="16"/>
                <w:szCs w:val="16"/>
              </w:rPr>
            </w:pPr>
          </w:p>
        </w:tc>
      </w:tr>
    </w:tbl>
    <w:p w14:paraId="64CC875E" w14:textId="77777777" w:rsidR="000D2499" w:rsidRDefault="000D2499" w:rsidP="000D2499">
      <w:pPr>
        <w:rPr>
          <w:b/>
          <w:i/>
        </w:rPr>
      </w:pPr>
    </w:p>
    <w:p w14:paraId="15720C39" w14:textId="77777777" w:rsidR="000D2499" w:rsidRDefault="000D2499" w:rsidP="000D2499">
      <w:pPr>
        <w:rPr>
          <w:b/>
          <w:i/>
        </w:rPr>
      </w:pPr>
      <w:r>
        <w:rPr>
          <w:b/>
          <w:i/>
        </w:rPr>
        <w:br w:type="page"/>
      </w:r>
    </w:p>
    <w:p w14:paraId="534BAFD6" w14:textId="4B1C0BE7" w:rsidR="000D2499" w:rsidRPr="006D63E5" w:rsidRDefault="000D2499" w:rsidP="000D2499">
      <w:pPr>
        <w:rPr>
          <w:b/>
          <w:i/>
          <w:sz w:val="20"/>
          <w:szCs w:val="20"/>
        </w:rPr>
      </w:pPr>
      <w:r w:rsidRPr="006D63E5">
        <w:rPr>
          <w:b/>
          <w:i/>
          <w:sz w:val="20"/>
          <w:szCs w:val="20"/>
        </w:rPr>
        <w:t>3</w:t>
      </w:r>
      <w:r w:rsidR="00194AA1">
        <w:rPr>
          <w:b/>
          <w:i/>
          <w:sz w:val="20"/>
          <w:szCs w:val="20"/>
        </w:rPr>
        <w:t xml:space="preserve">. </w:t>
      </w:r>
      <w:r w:rsidRPr="006D63E5">
        <w:rPr>
          <w:b/>
          <w:i/>
          <w:sz w:val="20"/>
          <w:szCs w:val="20"/>
        </w:rPr>
        <w:t>Gender Analysis and Social Safeguards Scores</w:t>
      </w:r>
    </w:p>
    <w:p w14:paraId="19A58960" w14:textId="77777777" w:rsidR="000D2499" w:rsidRPr="006D63E5" w:rsidRDefault="000D2499" w:rsidP="000D2499">
      <w:pPr>
        <w:rPr>
          <w:sz w:val="20"/>
          <w:szCs w:val="20"/>
        </w:rPr>
      </w:pPr>
      <w:r w:rsidRPr="006D63E5">
        <w:rPr>
          <w:sz w:val="20"/>
          <w:szCs w:val="20"/>
        </w:rPr>
        <w:t xml:space="preserve">Capacity Scores indicate that in past planning and environmental projects, participation and benefits have not been gender or socially inclusive. Planning teams generally are accessible to both genders, but have much higher representation from one gender over another (from Table 2 this is clearly men). Planning teams do have representation from all levels of society and are thus not inclusive. This is true at the State level and at the National Government Level. </w:t>
      </w:r>
    </w:p>
    <w:tbl>
      <w:tblPr>
        <w:tblW w:w="10178" w:type="dxa"/>
        <w:tblInd w:w="-5" w:type="dxa"/>
        <w:tblLook w:val="04A0" w:firstRow="1" w:lastRow="0" w:firstColumn="1" w:lastColumn="0" w:noHBand="0" w:noVBand="1"/>
      </w:tblPr>
      <w:tblGrid>
        <w:gridCol w:w="1170"/>
        <w:gridCol w:w="2610"/>
        <w:gridCol w:w="450"/>
        <w:gridCol w:w="460"/>
        <w:gridCol w:w="460"/>
        <w:gridCol w:w="460"/>
        <w:gridCol w:w="460"/>
        <w:gridCol w:w="460"/>
        <w:gridCol w:w="460"/>
        <w:gridCol w:w="460"/>
        <w:gridCol w:w="460"/>
        <w:gridCol w:w="460"/>
        <w:gridCol w:w="538"/>
        <w:gridCol w:w="798"/>
        <w:gridCol w:w="472"/>
      </w:tblGrid>
      <w:tr w:rsidR="000D2499" w:rsidRPr="003F1B9E" w14:paraId="20E5BE59" w14:textId="77777777" w:rsidTr="000D2499">
        <w:trPr>
          <w:cantSplit/>
          <w:trHeight w:val="1907"/>
          <w:tblHeader/>
        </w:trPr>
        <w:tc>
          <w:tcPr>
            <w:tcW w:w="1170" w:type="dxa"/>
            <w:tcBorders>
              <w:top w:val="single" w:sz="4" w:space="0" w:color="auto"/>
              <w:left w:val="single" w:sz="4" w:space="0" w:color="auto"/>
              <w:bottom w:val="single" w:sz="4" w:space="0" w:color="auto"/>
              <w:right w:val="single" w:sz="4" w:space="0" w:color="auto"/>
            </w:tcBorders>
            <w:shd w:val="clear" w:color="000000" w:fill="C2D69B"/>
            <w:vAlign w:val="center"/>
            <w:hideMark/>
          </w:tcPr>
          <w:p w14:paraId="7E93D92D" w14:textId="77777777" w:rsidR="000D2499" w:rsidRPr="003F1B9E" w:rsidRDefault="000D2499" w:rsidP="000D2499">
            <w:pPr>
              <w:spacing w:after="0"/>
              <w:rPr>
                <w:rFonts w:eastAsia="Times New Roman"/>
                <w:b/>
                <w:bCs/>
                <w:color w:val="000000"/>
                <w:sz w:val="18"/>
                <w:szCs w:val="18"/>
              </w:rPr>
            </w:pPr>
            <w:r w:rsidRPr="003F1B9E">
              <w:rPr>
                <w:rFonts w:eastAsia="Times New Roman"/>
                <w:b/>
                <w:bCs/>
                <w:color w:val="000000"/>
                <w:sz w:val="18"/>
                <w:szCs w:val="18"/>
              </w:rPr>
              <w:t>Indicator</w:t>
            </w:r>
          </w:p>
        </w:tc>
        <w:tc>
          <w:tcPr>
            <w:tcW w:w="2610" w:type="dxa"/>
            <w:tcBorders>
              <w:top w:val="single" w:sz="4" w:space="0" w:color="auto"/>
              <w:left w:val="nil"/>
              <w:bottom w:val="single" w:sz="4" w:space="0" w:color="auto"/>
              <w:right w:val="single" w:sz="4" w:space="0" w:color="auto"/>
            </w:tcBorders>
            <w:shd w:val="clear" w:color="000000" w:fill="C2D69B"/>
            <w:vAlign w:val="center"/>
            <w:hideMark/>
          </w:tcPr>
          <w:p w14:paraId="08FF811F" w14:textId="77777777" w:rsidR="000D2499" w:rsidRPr="003F1B9E" w:rsidRDefault="000D2499" w:rsidP="000D2499">
            <w:pPr>
              <w:spacing w:after="0"/>
              <w:rPr>
                <w:rFonts w:eastAsia="Times New Roman"/>
                <w:b/>
                <w:bCs/>
                <w:color w:val="000000"/>
                <w:sz w:val="16"/>
                <w:szCs w:val="16"/>
              </w:rPr>
            </w:pPr>
            <w:r w:rsidRPr="00E1269C">
              <w:rPr>
                <w:rFonts w:eastAsia="Times New Roman"/>
                <w:b/>
                <w:bCs/>
                <w:color w:val="000000"/>
                <w:sz w:val="18"/>
                <w:szCs w:val="16"/>
              </w:rPr>
              <w:t>Criteria for Score</w:t>
            </w:r>
          </w:p>
        </w:tc>
        <w:tc>
          <w:tcPr>
            <w:tcW w:w="450" w:type="dxa"/>
            <w:tcBorders>
              <w:top w:val="single" w:sz="4" w:space="0" w:color="auto"/>
              <w:left w:val="nil"/>
              <w:bottom w:val="single" w:sz="4" w:space="0" w:color="auto"/>
              <w:right w:val="single" w:sz="4" w:space="0" w:color="auto"/>
            </w:tcBorders>
            <w:shd w:val="clear" w:color="000000" w:fill="C2D69B"/>
            <w:textDirection w:val="btLr"/>
            <w:vAlign w:val="center"/>
            <w:hideMark/>
          </w:tcPr>
          <w:p w14:paraId="4D0939C8" w14:textId="77777777" w:rsidR="000D2499" w:rsidRPr="003F1B9E" w:rsidRDefault="000D2499" w:rsidP="000D2499">
            <w:pPr>
              <w:spacing w:after="0"/>
              <w:ind w:left="113" w:right="113"/>
              <w:rPr>
                <w:rFonts w:eastAsia="Times New Roman"/>
                <w:b/>
                <w:bCs/>
                <w:color w:val="000000"/>
                <w:sz w:val="18"/>
                <w:szCs w:val="18"/>
              </w:rPr>
            </w:pPr>
            <w:r w:rsidRPr="003F1B9E">
              <w:rPr>
                <w:rFonts w:eastAsia="Times New Roman"/>
                <w:b/>
                <w:bCs/>
                <w:color w:val="000000"/>
                <w:sz w:val="18"/>
                <w:szCs w:val="18"/>
              </w:rPr>
              <w:t>Rating</w:t>
            </w:r>
          </w:p>
        </w:tc>
        <w:tc>
          <w:tcPr>
            <w:tcW w:w="460" w:type="dxa"/>
            <w:tcBorders>
              <w:top w:val="single" w:sz="4" w:space="0" w:color="auto"/>
              <w:left w:val="nil"/>
              <w:bottom w:val="single" w:sz="4" w:space="0" w:color="auto"/>
              <w:right w:val="single" w:sz="4" w:space="0" w:color="auto"/>
            </w:tcBorders>
            <w:shd w:val="clear" w:color="000000" w:fill="C2D69B"/>
            <w:textDirection w:val="btLr"/>
            <w:vAlign w:val="center"/>
            <w:hideMark/>
          </w:tcPr>
          <w:p w14:paraId="75FA9E58" w14:textId="77777777" w:rsidR="000D2499" w:rsidRPr="003F1B9E" w:rsidRDefault="000D2499" w:rsidP="000D2499">
            <w:pPr>
              <w:spacing w:after="0"/>
              <w:ind w:left="113" w:right="113"/>
              <w:rPr>
                <w:rFonts w:eastAsia="Times New Roman"/>
                <w:b/>
                <w:bCs/>
                <w:color w:val="000000"/>
                <w:sz w:val="18"/>
                <w:szCs w:val="18"/>
              </w:rPr>
            </w:pPr>
            <w:r w:rsidRPr="003F1B9E">
              <w:rPr>
                <w:rFonts w:eastAsia="Times New Roman"/>
                <w:b/>
                <w:bCs/>
                <w:color w:val="000000"/>
                <w:sz w:val="18"/>
                <w:szCs w:val="18"/>
              </w:rPr>
              <w:t xml:space="preserve">Aimeliik </w:t>
            </w:r>
          </w:p>
        </w:tc>
        <w:tc>
          <w:tcPr>
            <w:tcW w:w="460" w:type="dxa"/>
            <w:tcBorders>
              <w:top w:val="single" w:sz="4" w:space="0" w:color="auto"/>
              <w:left w:val="nil"/>
              <w:bottom w:val="single" w:sz="4" w:space="0" w:color="auto"/>
              <w:right w:val="single" w:sz="4" w:space="0" w:color="auto"/>
            </w:tcBorders>
            <w:shd w:val="clear" w:color="000000" w:fill="C2D69B"/>
            <w:textDirection w:val="btLr"/>
            <w:vAlign w:val="center"/>
            <w:hideMark/>
          </w:tcPr>
          <w:p w14:paraId="2A999D5E" w14:textId="77777777" w:rsidR="000D2499" w:rsidRPr="003F1B9E" w:rsidRDefault="000D2499" w:rsidP="000D2499">
            <w:pPr>
              <w:spacing w:after="0"/>
              <w:ind w:left="113" w:right="113"/>
              <w:rPr>
                <w:rFonts w:eastAsia="Times New Roman"/>
                <w:b/>
                <w:bCs/>
                <w:color w:val="000000"/>
                <w:sz w:val="18"/>
                <w:szCs w:val="18"/>
              </w:rPr>
            </w:pPr>
            <w:r w:rsidRPr="003F1B9E">
              <w:rPr>
                <w:rFonts w:eastAsia="Times New Roman"/>
                <w:b/>
                <w:bCs/>
                <w:color w:val="000000"/>
                <w:sz w:val="18"/>
                <w:szCs w:val="18"/>
              </w:rPr>
              <w:t xml:space="preserve">Melekeok </w:t>
            </w:r>
          </w:p>
        </w:tc>
        <w:tc>
          <w:tcPr>
            <w:tcW w:w="460" w:type="dxa"/>
            <w:tcBorders>
              <w:top w:val="single" w:sz="4" w:space="0" w:color="auto"/>
              <w:left w:val="nil"/>
              <w:bottom w:val="single" w:sz="4" w:space="0" w:color="auto"/>
              <w:right w:val="single" w:sz="4" w:space="0" w:color="auto"/>
            </w:tcBorders>
            <w:shd w:val="clear" w:color="000000" w:fill="C2D69B"/>
            <w:textDirection w:val="btLr"/>
            <w:vAlign w:val="center"/>
            <w:hideMark/>
          </w:tcPr>
          <w:p w14:paraId="6236DB50" w14:textId="77777777" w:rsidR="000D2499" w:rsidRPr="003F1B9E" w:rsidRDefault="000D2499" w:rsidP="000D2499">
            <w:pPr>
              <w:spacing w:after="0"/>
              <w:ind w:left="113" w:right="113"/>
              <w:rPr>
                <w:rFonts w:eastAsia="Times New Roman"/>
                <w:b/>
                <w:bCs/>
                <w:color w:val="000000"/>
                <w:sz w:val="18"/>
                <w:szCs w:val="18"/>
              </w:rPr>
            </w:pPr>
            <w:r w:rsidRPr="003F1B9E">
              <w:rPr>
                <w:rFonts w:eastAsia="Times New Roman"/>
                <w:b/>
                <w:bCs/>
                <w:color w:val="000000"/>
                <w:sz w:val="18"/>
                <w:szCs w:val="18"/>
              </w:rPr>
              <w:t xml:space="preserve">Airai </w:t>
            </w:r>
          </w:p>
        </w:tc>
        <w:tc>
          <w:tcPr>
            <w:tcW w:w="460" w:type="dxa"/>
            <w:tcBorders>
              <w:top w:val="single" w:sz="4" w:space="0" w:color="auto"/>
              <w:left w:val="nil"/>
              <w:bottom w:val="single" w:sz="4" w:space="0" w:color="auto"/>
              <w:right w:val="single" w:sz="4" w:space="0" w:color="auto"/>
            </w:tcBorders>
            <w:shd w:val="clear" w:color="000000" w:fill="C2D69B"/>
            <w:textDirection w:val="btLr"/>
            <w:vAlign w:val="center"/>
            <w:hideMark/>
          </w:tcPr>
          <w:p w14:paraId="6D8886CB" w14:textId="77777777" w:rsidR="000D2499" w:rsidRPr="003F1B9E" w:rsidRDefault="000D2499" w:rsidP="000D2499">
            <w:pPr>
              <w:spacing w:after="0"/>
              <w:ind w:left="113" w:right="113"/>
              <w:rPr>
                <w:rFonts w:eastAsia="Times New Roman"/>
                <w:b/>
                <w:bCs/>
                <w:color w:val="000000"/>
                <w:sz w:val="18"/>
                <w:szCs w:val="18"/>
              </w:rPr>
            </w:pPr>
            <w:r w:rsidRPr="003F1B9E">
              <w:rPr>
                <w:rFonts w:eastAsia="Times New Roman"/>
                <w:b/>
                <w:bCs/>
                <w:color w:val="000000"/>
                <w:sz w:val="18"/>
                <w:szCs w:val="18"/>
              </w:rPr>
              <w:t xml:space="preserve">Ngchesar </w:t>
            </w:r>
          </w:p>
        </w:tc>
        <w:tc>
          <w:tcPr>
            <w:tcW w:w="460" w:type="dxa"/>
            <w:tcBorders>
              <w:top w:val="single" w:sz="4" w:space="0" w:color="auto"/>
              <w:left w:val="nil"/>
              <w:bottom w:val="single" w:sz="4" w:space="0" w:color="auto"/>
              <w:right w:val="single" w:sz="4" w:space="0" w:color="auto"/>
            </w:tcBorders>
            <w:shd w:val="clear" w:color="000000" w:fill="C2D69B"/>
            <w:textDirection w:val="btLr"/>
            <w:vAlign w:val="center"/>
            <w:hideMark/>
          </w:tcPr>
          <w:p w14:paraId="29A807D1" w14:textId="77777777" w:rsidR="000D2499" w:rsidRPr="003F1B9E" w:rsidRDefault="000D2499" w:rsidP="000D2499">
            <w:pPr>
              <w:spacing w:after="0"/>
              <w:ind w:left="113" w:right="113"/>
              <w:rPr>
                <w:rFonts w:eastAsia="Times New Roman"/>
                <w:b/>
                <w:bCs/>
                <w:color w:val="000000"/>
                <w:sz w:val="18"/>
                <w:szCs w:val="18"/>
              </w:rPr>
            </w:pPr>
            <w:r w:rsidRPr="003F1B9E">
              <w:rPr>
                <w:rFonts w:eastAsia="Times New Roman"/>
                <w:b/>
                <w:bCs/>
                <w:color w:val="000000"/>
                <w:sz w:val="18"/>
                <w:szCs w:val="18"/>
              </w:rPr>
              <w:t xml:space="preserve">Ngaraard </w:t>
            </w:r>
          </w:p>
        </w:tc>
        <w:tc>
          <w:tcPr>
            <w:tcW w:w="460" w:type="dxa"/>
            <w:tcBorders>
              <w:top w:val="single" w:sz="4" w:space="0" w:color="auto"/>
              <w:left w:val="nil"/>
              <w:bottom w:val="single" w:sz="4" w:space="0" w:color="auto"/>
              <w:right w:val="single" w:sz="4" w:space="0" w:color="auto"/>
            </w:tcBorders>
            <w:shd w:val="clear" w:color="000000" w:fill="C2D69B"/>
            <w:textDirection w:val="btLr"/>
            <w:vAlign w:val="center"/>
            <w:hideMark/>
          </w:tcPr>
          <w:p w14:paraId="2E40B053" w14:textId="77777777" w:rsidR="000D2499" w:rsidRPr="003F1B9E" w:rsidRDefault="000D2499" w:rsidP="000D2499">
            <w:pPr>
              <w:spacing w:after="0"/>
              <w:ind w:left="113" w:right="113"/>
              <w:rPr>
                <w:rFonts w:eastAsia="Times New Roman"/>
                <w:b/>
                <w:bCs/>
                <w:color w:val="000000"/>
                <w:sz w:val="18"/>
                <w:szCs w:val="18"/>
              </w:rPr>
            </w:pPr>
            <w:r w:rsidRPr="003F1B9E">
              <w:rPr>
                <w:rFonts w:eastAsia="Times New Roman"/>
                <w:b/>
                <w:bCs/>
                <w:color w:val="000000"/>
                <w:sz w:val="18"/>
                <w:szCs w:val="18"/>
              </w:rPr>
              <w:t xml:space="preserve">Ngeremlengui </w:t>
            </w:r>
          </w:p>
        </w:tc>
        <w:tc>
          <w:tcPr>
            <w:tcW w:w="460" w:type="dxa"/>
            <w:tcBorders>
              <w:top w:val="single" w:sz="4" w:space="0" w:color="auto"/>
              <w:left w:val="nil"/>
              <w:bottom w:val="single" w:sz="4" w:space="0" w:color="auto"/>
              <w:right w:val="single" w:sz="4" w:space="0" w:color="auto"/>
            </w:tcBorders>
            <w:shd w:val="clear" w:color="000000" w:fill="C2D69B"/>
            <w:textDirection w:val="btLr"/>
            <w:vAlign w:val="center"/>
            <w:hideMark/>
          </w:tcPr>
          <w:p w14:paraId="02B91A00" w14:textId="77777777" w:rsidR="000D2499" w:rsidRPr="003F1B9E" w:rsidRDefault="000D2499" w:rsidP="000D2499">
            <w:pPr>
              <w:spacing w:after="0"/>
              <w:ind w:left="113" w:right="113"/>
              <w:rPr>
                <w:rFonts w:eastAsia="Times New Roman"/>
                <w:b/>
                <w:bCs/>
                <w:color w:val="000000"/>
                <w:sz w:val="18"/>
                <w:szCs w:val="18"/>
              </w:rPr>
            </w:pPr>
            <w:r w:rsidRPr="003F1B9E">
              <w:rPr>
                <w:rFonts w:eastAsia="Times New Roman"/>
                <w:b/>
                <w:bCs/>
                <w:color w:val="000000"/>
                <w:sz w:val="18"/>
                <w:szCs w:val="18"/>
              </w:rPr>
              <w:t xml:space="preserve">Ngarchelong </w:t>
            </w:r>
          </w:p>
        </w:tc>
        <w:tc>
          <w:tcPr>
            <w:tcW w:w="460" w:type="dxa"/>
            <w:tcBorders>
              <w:top w:val="single" w:sz="4" w:space="0" w:color="auto"/>
              <w:left w:val="nil"/>
              <w:bottom w:val="single" w:sz="4" w:space="0" w:color="auto"/>
              <w:right w:val="single" w:sz="4" w:space="0" w:color="auto"/>
            </w:tcBorders>
            <w:shd w:val="clear" w:color="000000" w:fill="C2D69B"/>
            <w:textDirection w:val="btLr"/>
            <w:vAlign w:val="center"/>
            <w:hideMark/>
          </w:tcPr>
          <w:p w14:paraId="12272E2C" w14:textId="77777777" w:rsidR="000D2499" w:rsidRPr="003F1B9E" w:rsidRDefault="000D2499" w:rsidP="000D2499">
            <w:pPr>
              <w:spacing w:after="0"/>
              <w:ind w:left="113" w:right="113"/>
              <w:rPr>
                <w:rFonts w:eastAsia="Times New Roman"/>
                <w:b/>
                <w:bCs/>
                <w:color w:val="000000"/>
                <w:sz w:val="18"/>
                <w:szCs w:val="18"/>
              </w:rPr>
            </w:pPr>
            <w:r w:rsidRPr="003F1B9E">
              <w:rPr>
                <w:rFonts w:eastAsia="Times New Roman"/>
                <w:b/>
                <w:bCs/>
                <w:color w:val="000000"/>
                <w:sz w:val="18"/>
                <w:szCs w:val="18"/>
              </w:rPr>
              <w:t xml:space="preserve">Ngardmau </w:t>
            </w:r>
          </w:p>
        </w:tc>
        <w:tc>
          <w:tcPr>
            <w:tcW w:w="460" w:type="dxa"/>
            <w:tcBorders>
              <w:top w:val="single" w:sz="4" w:space="0" w:color="auto"/>
              <w:left w:val="nil"/>
              <w:bottom w:val="single" w:sz="4" w:space="0" w:color="auto"/>
              <w:right w:val="single" w:sz="4" w:space="0" w:color="auto"/>
            </w:tcBorders>
            <w:shd w:val="clear" w:color="000000" w:fill="C2D69B"/>
            <w:textDirection w:val="btLr"/>
            <w:vAlign w:val="center"/>
            <w:hideMark/>
          </w:tcPr>
          <w:p w14:paraId="0422FBFF" w14:textId="77777777" w:rsidR="000D2499" w:rsidRPr="003F1B9E" w:rsidRDefault="000D2499" w:rsidP="000D2499">
            <w:pPr>
              <w:spacing w:after="0"/>
              <w:ind w:left="113" w:right="113"/>
              <w:rPr>
                <w:rFonts w:eastAsia="Times New Roman"/>
                <w:b/>
                <w:bCs/>
                <w:color w:val="000000"/>
                <w:sz w:val="18"/>
                <w:szCs w:val="18"/>
              </w:rPr>
            </w:pPr>
            <w:r w:rsidRPr="003F1B9E">
              <w:rPr>
                <w:rFonts w:eastAsia="Times New Roman"/>
                <w:b/>
                <w:bCs/>
                <w:color w:val="000000"/>
                <w:sz w:val="18"/>
                <w:szCs w:val="18"/>
              </w:rPr>
              <w:t xml:space="preserve">Koror </w:t>
            </w:r>
          </w:p>
        </w:tc>
        <w:tc>
          <w:tcPr>
            <w:tcW w:w="538" w:type="dxa"/>
            <w:tcBorders>
              <w:top w:val="single" w:sz="4" w:space="0" w:color="auto"/>
              <w:left w:val="nil"/>
              <w:bottom w:val="single" w:sz="4" w:space="0" w:color="auto"/>
              <w:right w:val="single" w:sz="4" w:space="0" w:color="auto"/>
            </w:tcBorders>
            <w:shd w:val="clear" w:color="000000" w:fill="C2D69B"/>
            <w:textDirection w:val="btLr"/>
            <w:vAlign w:val="center"/>
            <w:hideMark/>
          </w:tcPr>
          <w:p w14:paraId="4D2A1DFB" w14:textId="77777777" w:rsidR="000D2499" w:rsidRPr="003F1B9E" w:rsidRDefault="000D2499" w:rsidP="000D2499">
            <w:pPr>
              <w:spacing w:after="0"/>
              <w:ind w:left="113" w:right="113"/>
              <w:rPr>
                <w:rFonts w:eastAsia="Times New Roman"/>
                <w:b/>
                <w:bCs/>
                <w:color w:val="000000"/>
                <w:sz w:val="18"/>
                <w:szCs w:val="18"/>
              </w:rPr>
            </w:pPr>
            <w:r w:rsidRPr="003F1B9E">
              <w:rPr>
                <w:rFonts w:eastAsia="Times New Roman"/>
                <w:b/>
                <w:bCs/>
                <w:color w:val="000000"/>
                <w:sz w:val="18"/>
                <w:szCs w:val="18"/>
              </w:rPr>
              <w:t xml:space="preserve">Average </w:t>
            </w:r>
            <w:r w:rsidRPr="003536AA">
              <w:rPr>
                <w:rFonts w:eastAsia="Times New Roman"/>
                <w:b/>
                <w:bCs/>
                <w:color w:val="000000"/>
                <w:sz w:val="18"/>
                <w:szCs w:val="18"/>
              </w:rPr>
              <w:t xml:space="preserve"> and Total</w:t>
            </w:r>
          </w:p>
        </w:tc>
        <w:tc>
          <w:tcPr>
            <w:tcW w:w="798" w:type="dxa"/>
            <w:tcBorders>
              <w:top w:val="single" w:sz="4" w:space="0" w:color="auto"/>
              <w:left w:val="nil"/>
              <w:bottom w:val="single" w:sz="4" w:space="0" w:color="auto"/>
              <w:right w:val="single" w:sz="4" w:space="0" w:color="auto"/>
            </w:tcBorders>
            <w:shd w:val="clear" w:color="000000" w:fill="C2D69B"/>
            <w:textDirection w:val="btLr"/>
            <w:vAlign w:val="center"/>
            <w:hideMark/>
          </w:tcPr>
          <w:p w14:paraId="63CD16CD" w14:textId="77777777" w:rsidR="000D2499" w:rsidRPr="003F1B9E" w:rsidRDefault="000D2499" w:rsidP="000D2499">
            <w:pPr>
              <w:spacing w:after="0"/>
              <w:ind w:left="113" w:right="113"/>
              <w:rPr>
                <w:rFonts w:eastAsia="Times New Roman"/>
                <w:b/>
                <w:bCs/>
                <w:color w:val="000000"/>
                <w:sz w:val="18"/>
                <w:szCs w:val="18"/>
              </w:rPr>
            </w:pPr>
            <w:r w:rsidRPr="003F1B9E">
              <w:rPr>
                <w:rFonts w:eastAsia="Times New Roman"/>
                <w:b/>
                <w:bCs/>
                <w:color w:val="000000"/>
                <w:sz w:val="18"/>
                <w:szCs w:val="18"/>
              </w:rPr>
              <w:t xml:space="preserve">Total </w:t>
            </w:r>
            <w:r w:rsidRPr="003536AA">
              <w:rPr>
                <w:rFonts w:eastAsia="Times New Roman"/>
                <w:b/>
                <w:bCs/>
                <w:color w:val="000000"/>
                <w:sz w:val="18"/>
                <w:szCs w:val="18"/>
              </w:rPr>
              <w:t>–</w:t>
            </w:r>
            <w:r w:rsidRPr="003F1B9E">
              <w:rPr>
                <w:rFonts w:eastAsia="Times New Roman"/>
                <w:b/>
                <w:bCs/>
                <w:color w:val="000000"/>
                <w:sz w:val="18"/>
                <w:szCs w:val="18"/>
              </w:rPr>
              <w:t xml:space="preserve"> </w:t>
            </w:r>
            <w:r w:rsidRPr="003536AA">
              <w:rPr>
                <w:rFonts w:eastAsia="Times New Roman"/>
                <w:b/>
                <w:bCs/>
                <w:color w:val="000000"/>
                <w:sz w:val="18"/>
                <w:szCs w:val="18"/>
              </w:rPr>
              <w:t>State Scores</w:t>
            </w:r>
          </w:p>
        </w:tc>
        <w:tc>
          <w:tcPr>
            <w:tcW w:w="472" w:type="dxa"/>
            <w:tcBorders>
              <w:top w:val="single" w:sz="4" w:space="0" w:color="auto"/>
              <w:left w:val="nil"/>
              <w:bottom w:val="single" w:sz="4" w:space="0" w:color="auto"/>
              <w:right w:val="single" w:sz="4" w:space="0" w:color="auto"/>
            </w:tcBorders>
            <w:shd w:val="clear" w:color="000000" w:fill="C2D69B"/>
            <w:textDirection w:val="btLr"/>
            <w:vAlign w:val="center"/>
          </w:tcPr>
          <w:p w14:paraId="4DF09089" w14:textId="77777777" w:rsidR="000D2499" w:rsidRPr="003F1B9E" w:rsidRDefault="000D2499" w:rsidP="000D2499">
            <w:pPr>
              <w:spacing w:after="0"/>
              <w:ind w:left="113" w:right="113"/>
              <w:rPr>
                <w:rFonts w:eastAsia="Times New Roman"/>
                <w:b/>
                <w:bCs/>
                <w:color w:val="000000"/>
                <w:sz w:val="18"/>
                <w:szCs w:val="18"/>
              </w:rPr>
            </w:pPr>
            <w:r w:rsidRPr="003F1B9E">
              <w:rPr>
                <w:rFonts w:eastAsia="Times New Roman"/>
                <w:b/>
                <w:bCs/>
                <w:color w:val="000000"/>
                <w:sz w:val="18"/>
                <w:szCs w:val="18"/>
              </w:rPr>
              <w:t xml:space="preserve">National </w:t>
            </w:r>
            <w:r w:rsidRPr="003536AA">
              <w:rPr>
                <w:rFonts w:eastAsia="Times New Roman"/>
                <w:b/>
                <w:bCs/>
                <w:color w:val="000000"/>
                <w:sz w:val="18"/>
                <w:szCs w:val="18"/>
              </w:rPr>
              <w:t xml:space="preserve"> Government</w:t>
            </w:r>
          </w:p>
        </w:tc>
      </w:tr>
      <w:tr w:rsidR="000D2499" w:rsidRPr="00E1269C" w14:paraId="08737DC6" w14:textId="77777777" w:rsidTr="000D2499">
        <w:trPr>
          <w:trHeight w:val="315"/>
        </w:trPr>
        <w:tc>
          <w:tcPr>
            <w:tcW w:w="10178" w:type="dxa"/>
            <w:gridSpan w:val="15"/>
            <w:tcBorders>
              <w:top w:val="nil"/>
              <w:left w:val="single" w:sz="4" w:space="0" w:color="auto"/>
              <w:bottom w:val="single" w:sz="4" w:space="0" w:color="auto"/>
              <w:right w:val="single" w:sz="4" w:space="0" w:color="auto"/>
            </w:tcBorders>
            <w:shd w:val="clear" w:color="000000" w:fill="E2EFDA"/>
            <w:hideMark/>
          </w:tcPr>
          <w:p w14:paraId="28C4295C" w14:textId="77777777" w:rsidR="000D2499" w:rsidRPr="003F1B9E" w:rsidRDefault="000D2499" w:rsidP="000D2499">
            <w:pPr>
              <w:spacing w:after="0"/>
              <w:rPr>
                <w:rFonts w:eastAsia="Times New Roman"/>
                <w:b/>
                <w:bCs/>
                <w:color w:val="000000"/>
                <w:sz w:val="18"/>
                <w:szCs w:val="18"/>
              </w:rPr>
            </w:pPr>
            <w:r w:rsidRPr="003F1B9E">
              <w:rPr>
                <w:rFonts w:eastAsia="Times New Roman"/>
                <w:b/>
                <w:bCs/>
                <w:color w:val="000000"/>
                <w:sz w:val="18"/>
                <w:szCs w:val="18"/>
              </w:rPr>
              <w:t>Gender Analysis and Social Safeguards</w:t>
            </w:r>
          </w:p>
        </w:tc>
      </w:tr>
      <w:tr w:rsidR="000D2499" w:rsidRPr="003F1B9E" w14:paraId="17315126" w14:textId="77777777" w:rsidTr="000D2499">
        <w:trPr>
          <w:trHeight w:val="255"/>
        </w:trPr>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14:paraId="51ACD61E" w14:textId="77777777" w:rsidR="000D2499" w:rsidRPr="003F1B9E" w:rsidRDefault="000D2499" w:rsidP="000D2499">
            <w:pPr>
              <w:spacing w:after="0"/>
              <w:rPr>
                <w:rFonts w:eastAsia="Times New Roman"/>
                <w:b/>
                <w:bCs/>
                <w:color w:val="000000"/>
                <w:sz w:val="18"/>
                <w:szCs w:val="18"/>
              </w:rPr>
            </w:pPr>
            <w:r w:rsidRPr="003F1B9E">
              <w:rPr>
                <w:rFonts w:eastAsia="Times New Roman"/>
                <w:b/>
                <w:bCs/>
                <w:color w:val="000000"/>
                <w:sz w:val="18"/>
                <w:szCs w:val="18"/>
              </w:rPr>
              <w:t>6.1. Do men and women have access to State Planning teams?</w:t>
            </w:r>
          </w:p>
        </w:tc>
        <w:tc>
          <w:tcPr>
            <w:tcW w:w="2610" w:type="dxa"/>
            <w:tcBorders>
              <w:top w:val="nil"/>
              <w:left w:val="nil"/>
              <w:bottom w:val="single" w:sz="4" w:space="0" w:color="auto"/>
              <w:right w:val="single" w:sz="4" w:space="0" w:color="auto"/>
            </w:tcBorders>
            <w:shd w:val="clear" w:color="auto" w:fill="auto"/>
            <w:vAlign w:val="center"/>
            <w:hideMark/>
          </w:tcPr>
          <w:p w14:paraId="6E9F17C9" w14:textId="77777777" w:rsidR="000D2499" w:rsidRPr="003F1B9E" w:rsidRDefault="000D2499" w:rsidP="000D2499">
            <w:pPr>
              <w:spacing w:after="0"/>
              <w:rPr>
                <w:rFonts w:eastAsia="Times New Roman"/>
                <w:color w:val="000000"/>
                <w:sz w:val="16"/>
                <w:szCs w:val="16"/>
              </w:rPr>
            </w:pPr>
            <w:r w:rsidRPr="003F1B9E">
              <w:rPr>
                <w:rFonts w:eastAsia="Times New Roman"/>
                <w:color w:val="000000"/>
                <w:sz w:val="16"/>
                <w:szCs w:val="16"/>
              </w:rPr>
              <w:t>Only one gender has access to planning teams</w:t>
            </w:r>
          </w:p>
        </w:tc>
        <w:tc>
          <w:tcPr>
            <w:tcW w:w="450" w:type="dxa"/>
            <w:tcBorders>
              <w:top w:val="nil"/>
              <w:left w:val="nil"/>
              <w:bottom w:val="single" w:sz="4" w:space="0" w:color="auto"/>
              <w:right w:val="single" w:sz="4" w:space="0" w:color="auto"/>
            </w:tcBorders>
            <w:shd w:val="clear" w:color="auto" w:fill="auto"/>
            <w:noWrap/>
            <w:vAlign w:val="center"/>
            <w:hideMark/>
          </w:tcPr>
          <w:p w14:paraId="68606085"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0</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63BABD"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FFB822"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47B12A"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6476AC"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2952DD"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5CD2D6"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113175"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A34DEA"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3</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F0DFE0"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2</w:t>
            </w:r>
          </w:p>
        </w:tc>
        <w:tc>
          <w:tcPr>
            <w:tcW w:w="5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C9745B"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1.3</w:t>
            </w:r>
          </w:p>
        </w:tc>
        <w:tc>
          <w:tcPr>
            <w:tcW w:w="798" w:type="dxa"/>
            <w:vMerge w:val="restart"/>
            <w:tcBorders>
              <w:top w:val="nil"/>
              <w:left w:val="single" w:sz="4" w:space="0" w:color="auto"/>
              <w:bottom w:val="single" w:sz="4" w:space="0" w:color="auto"/>
              <w:right w:val="single" w:sz="4" w:space="0" w:color="auto"/>
            </w:tcBorders>
            <w:shd w:val="clear" w:color="auto" w:fill="auto"/>
            <w:noWrap/>
            <w:hideMark/>
          </w:tcPr>
          <w:p w14:paraId="6E81BB0C" w14:textId="77777777" w:rsidR="000D2499" w:rsidRPr="003536AA" w:rsidRDefault="000D2499" w:rsidP="000D2499">
            <w:pPr>
              <w:spacing w:after="0"/>
              <w:jc w:val="center"/>
              <w:rPr>
                <w:rFonts w:eastAsia="Times New Roman"/>
                <w:color w:val="000000"/>
                <w:sz w:val="18"/>
                <w:szCs w:val="18"/>
              </w:rPr>
            </w:pPr>
            <w:r w:rsidRPr="003F1B9E">
              <w:rPr>
                <w:rFonts w:eastAsia="Times New Roman"/>
                <w:color w:val="000000"/>
                <w:sz w:val="18"/>
                <w:szCs w:val="18"/>
              </w:rPr>
              <w:t>12</w:t>
            </w:r>
            <w:r w:rsidRPr="003536AA">
              <w:rPr>
                <w:rFonts w:eastAsia="Times New Roman"/>
                <w:color w:val="000000"/>
                <w:sz w:val="18"/>
                <w:szCs w:val="18"/>
              </w:rPr>
              <w:t xml:space="preserve"> out of  27</w:t>
            </w:r>
          </w:p>
          <w:p w14:paraId="01F19C19" w14:textId="77777777" w:rsidR="000D2499" w:rsidRPr="003536AA" w:rsidRDefault="000D2499" w:rsidP="000D2499">
            <w:pPr>
              <w:spacing w:after="0"/>
              <w:jc w:val="center"/>
              <w:rPr>
                <w:rFonts w:eastAsia="Times New Roman"/>
                <w:color w:val="000000"/>
                <w:sz w:val="18"/>
                <w:szCs w:val="18"/>
              </w:rPr>
            </w:pPr>
          </w:p>
          <w:p w14:paraId="2CFE0B61" w14:textId="77777777" w:rsidR="000D2499" w:rsidRPr="003F1B9E" w:rsidRDefault="000D2499" w:rsidP="000D2499">
            <w:pPr>
              <w:spacing w:after="0"/>
              <w:jc w:val="center"/>
              <w:rPr>
                <w:rFonts w:eastAsia="Times New Roman"/>
                <w:color w:val="000000"/>
                <w:sz w:val="18"/>
                <w:szCs w:val="18"/>
              </w:rPr>
            </w:pPr>
            <w:r w:rsidRPr="003536AA">
              <w:rPr>
                <w:rFonts w:eastAsia="Times New Roman"/>
                <w:color w:val="000000"/>
                <w:sz w:val="18"/>
                <w:szCs w:val="18"/>
              </w:rPr>
              <w:t>44%</w:t>
            </w:r>
          </w:p>
        </w:tc>
        <w:tc>
          <w:tcPr>
            <w:tcW w:w="472" w:type="dxa"/>
            <w:vMerge w:val="restart"/>
            <w:tcBorders>
              <w:top w:val="nil"/>
              <w:left w:val="single" w:sz="4" w:space="0" w:color="auto"/>
              <w:right w:val="single" w:sz="4" w:space="0" w:color="auto"/>
            </w:tcBorders>
          </w:tcPr>
          <w:p w14:paraId="290746BC"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w:t>
            </w:r>
            <w:r w:rsidRPr="003536AA">
              <w:rPr>
                <w:rFonts w:eastAsia="Times New Roman"/>
                <w:color w:val="000000"/>
                <w:sz w:val="18"/>
                <w:szCs w:val="18"/>
              </w:rPr>
              <w:t xml:space="preserve"> out of  3</w:t>
            </w:r>
          </w:p>
        </w:tc>
      </w:tr>
      <w:tr w:rsidR="000D2499" w:rsidRPr="003F1B9E" w14:paraId="541773E8" w14:textId="77777777" w:rsidTr="000D2499">
        <w:trPr>
          <w:trHeight w:val="480"/>
        </w:trPr>
        <w:tc>
          <w:tcPr>
            <w:tcW w:w="1170" w:type="dxa"/>
            <w:vMerge/>
            <w:tcBorders>
              <w:top w:val="nil"/>
              <w:left w:val="single" w:sz="4" w:space="0" w:color="auto"/>
              <w:bottom w:val="single" w:sz="4" w:space="0" w:color="auto"/>
              <w:right w:val="single" w:sz="4" w:space="0" w:color="auto"/>
            </w:tcBorders>
            <w:vAlign w:val="center"/>
            <w:hideMark/>
          </w:tcPr>
          <w:p w14:paraId="5A02D0C8" w14:textId="77777777" w:rsidR="000D2499" w:rsidRPr="003F1B9E" w:rsidRDefault="000D2499" w:rsidP="000D2499">
            <w:pPr>
              <w:spacing w:after="0"/>
              <w:rPr>
                <w:rFonts w:eastAsia="Times New Roman"/>
                <w:b/>
                <w:bCs/>
                <w:color w:val="000000"/>
                <w:sz w:val="18"/>
                <w:szCs w:val="18"/>
              </w:rPr>
            </w:pPr>
          </w:p>
        </w:tc>
        <w:tc>
          <w:tcPr>
            <w:tcW w:w="2610" w:type="dxa"/>
            <w:tcBorders>
              <w:top w:val="nil"/>
              <w:left w:val="nil"/>
              <w:bottom w:val="single" w:sz="4" w:space="0" w:color="auto"/>
              <w:right w:val="single" w:sz="4" w:space="0" w:color="auto"/>
            </w:tcBorders>
            <w:shd w:val="clear" w:color="auto" w:fill="auto"/>
            <w:vAlign w:val="center"/>
            <w:hideMark/>
          </w:tcPr>
          <w:p w14:paraId="3910686A" w14:textId="77777777" w:rsidR="000D2499" w:rsidRPr="003F1B9E" w:rsidRDefault="000D2499" w:rsidP="000D2499">
            <w:pPr>
              <w:spacing w:after="0"/>
              <w:rPr>
                <w:rFonts w:eastAsia="Times New Roman"/>
                <w:color w:val="000000"/>
                <w:sz w:val="16"/>
                <w:szCs w:val="16"/>
              </w:rPr>
            </w:pPr>
            <w:r w:rsidRPr="003F1B9E">
              <w:rPr>
                <w:rFonts w:eastAsia="Times New Roman"/>
                <w:color w:val="000000"/>
                <w:sz w:val="16"/>
                <w:szCs w:val="16"/>
              </w:rPr>
              <w:t>Planning teams usually have representation from both genders, but it is not equal representation</w:t>
            </w:r>
          </w:p>
        </w:tc>
        <w:tc>
          <w:tcPr>
            <w:tcW w:w="450" w:type="dxa"/>
            <w:tcBorders>
              <w:top w:val="nil"/>
              <w:left w:val="nil"/>
              <w:bottom w:val="single" w:sz="4" w:space="0" w:color="auto"/>
              <w:right w:val="single" w:sz="4" w:space="0" w:color="auto"/>
            </w:tcBorders>
            <w:shd w:val="clear" w:color="auto" w:fill="auto"/>
            <w:noWrap/>
            <w:vAlign w:val="center"/>
            <w:hideMark/>
          </w:tcPr>
          <w:p w14:paraId="45828998"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w:t>
            </w:r>
          </w:p>
        </w:tc>
        <w:tc>
          <w:tcPr>
            <w:tcW w:w="460" w:type="dxa"/>
            <w:vMerge/>
            <w:tcBorders>
              <w:top w:val="nil"/>
              <w:left w:val="single" w:sz="4" w:space="0" w:color="auto"/>
              <w:bottom w:val="single" w:sz="4" w:space="0" w:color="auto"/>
              <w:right w:val="single" w:sz="4" w:space="0" w:color="auto"/>
            </w:tcBorders>
            <w:vAlign w:val="center"/>
            <w:hideMark/>
          </w:tcPr>
          <w:p w14:paraId="3BE552F4"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67AC2019"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51584788"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42BD0E30"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69D622D9"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5703CFBF"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4845C853"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3822EE3F"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2F1AB56A" w14:textId="77777777" w:rsidR="000D2499" w:rsidRPr="003F1B9E" w:rsidRDefault="000D2499" w:rsidP="000D2499">
            <w:pPr>
              <w:spacing w:after="0"/>
              <w:jc w:val="center"/>
              <w:rPr>
                <w:rFonts w:eastAsia="Times New Roman"/>
                <w:color w:val="000000"/>
                <w:sz w:val="18"/>
                <w:szCs w:val="18"/>
              </w:rPr>
            </w:pPr>
          </w:p>
        </w:tc>
        <w:tc>
          <w:tcPr>
            <w:tcW w:w="538" w:type="dxa"/>
            <w:vMerge/>
            <w:tcBorders>
              <w:top w:val="nil"/>
              <w:left w:val="single" w:sz="4" w:space="0" w:color="auto"/>
              <w:bottom w:val="single" w:sz="4" w:space="0" w:color="auto"/>
              <w:right w:val="single" w:sz="4" w:space="0" w:color="auto"/>
            </w:tcBorders>
            <w:vAlign w:val="center"/>
            <w:hideMark/>
          </w:tcPr>
          <w:p w14:paraId="2EAE64C6" w14:textId="77777777" w:rsidR="000D2499" w:rsidRPr="003F1B9E" w:rsidRDefault="000D2499" w:rsidP="000D2499">
            <w:pPr>
              <w:spacing w:after="0"/>
              <w:jc w:val="center"/>
              <w:rPr>
                <w:rFonts w:eastAsia="Times New Roman"/>
                <w:color w:val="000000"/>
                <w:sz w:val="18"/>
                <w:szCs w:val="18"/>
              </w:rPr>
            </w:pPr>
          </w:p>
        </w:tc>
        <w:tc>
          <w:tcPr>
            <w:tcW w:w="798" w:type="dxa"/>
            <w:vMerge/>
            <w:tcBorders>
              <w:top w:val="nil"/>
              <w:left w:val="single" w:sz="4" w:space="0" w:color="auto"/>
              <w:bottom w:val="single" w:sz="4" w:space="0" w:color="auto"/>
              <w:right w:val="single" w:sz="4" w:space="0" w:color="auto"/>
            </w:tcBorders>
            <w:vAlign w:val="center"/>
            <w:hideMark/>
          </w:tcPr>
          <w:p w14:paraId="735CBB6C" w14:textId="77777777" w:rsidR="000D2499" w:rsidRPr="003F1B9E" w:rsidRDefault="000D2499" w:rsidP="000D2499">
            <w:pPr>
              <w:spacing w:after="0"/>
              <w:jc w:val="center"/>
              <w:rPr>
                <w:rFonts w:eastAsia="Times New Roman"/>
                <w:color w:val="000000"/>
                <w:sz w:val="18"/>
                <w:szCs w:val="18"/>
              </w:rPr>
            </w:pPr>
          </w:p>
        </w:tc>
        <w:tc>
          <w:tcPr>
            <w:tcW w:w="472" w:type="dxa"/>
            <w:vMerge/>
            <w:tcBorders>
              <w:left w:val="single" w:sz="4" w:space="0" w:color="auto"/>
              <w:right w:val="single" w:sz="4" w:space="0" w:color="auto"/>
            </w:tcBorders>
            <w:vAlign w:val="center"/>
          </w:tcPr>
          <w:p w14:paraId="478F009D" w14:textId="77777777" w:rsidR="000D2499" w:rsidRPr="003F1B9E" w:rsidRDefault="000D2499" w:rsidP="000D2499">
            <w:pPr>
              <w:spacing w:after="0"/>
              <w:jc w:val="center"/>
              <w:rPr>
                <w:rFonts w:eastAsia="Times New Roman"/>
                <w:color w:val="000000"/>
                <w:sz w:val="18"/>
                <w:szCs w:val="18"/>
              </w:rPr>
            </w:pPr>
          </w:p>
        </w:tc>
      </w:tr>
      <w:tr w:rsidR="000D2499" w:rsidRPr="003F1B9E" w14:paraId="28D81F08" w14:textId="77777777" w:rsidTr="000D2499">
        <w:trPr>
          <w:trHeight w:val="240"/>
        </w:trPr>
        <w:tc>
          <w:tcPr>
            <w:tcW w:w="1170" w:type="dxa"/>
            <w:vMerge/>
            <w:tcBorders>
              <w:top w:val="nil"/>
              <w:left w:val="single" w:sz="4" w:space="0" w:color="auto"/>
              <w:bottom w:val="single" w:sz="4" w:space="0" w:color="auto"/>
              <w:right w:val="single" w:sz="4" w:space="0" w:color="auto"/>
            </w:tcBorders>
            <w:vAlign w:val="center"/>
            <w:hideMark/>
          </w:tcPr>
          <w:p w14:paraId="22C66233" w14:textId="77777777" w:rsidR="000D2499" w:rsidRPr="003F1B9E" w:rsidRDefault="000D2499" w:rsidP="000D2499">
            <w:pPr>
              <w:spacing w:after="0"/>
              <w:rPr>
                <w:rFonts w:eastAsia="Times New Roman"/>
                <w:b/>
                <w:bCs/>
                <w:color w:val="000000"/>
                <w:sz w:val="18"/>
                <w:szCs w:val="18"/>
              </w:rPr>
            </w:pPr>
          </w:p>
        </w:tc>
        <w:tc>
          <w:tcPr>
            <w:tcW w:w="2610" w:type="dxa"/>
            <w:tcBorders>
              <w:top w:val="nil"/>
              <w:left w:val="nil"/>
              <w:bottom w:val="single" w:sz="4" w:space="0" w:color="auto"/>
              <w:right w:val="single" w:sz="4" w:space="0" w:color="auto"/>
            </w:tcBorders>
            <w:shd w:val="clear" w:color="auto" w:fill="auto"/>
            <w:vAlign w:val="center"/>
            <w:hideMark/>
          </w:tcPr>
          <w:p w14:paraId="2FB20CFB" w14:textId="77777777" w:rsidR="000D2499" w:rsidRPr="003F1B9E" w:rsidRDefault="000D2499" w:rsidP="000D2499">
            <w:pPr>
              <w:spacing w:after="0"/>
              <w:rPr>
                <w:rFonts w:eastAsia="Times New Roman"/>
                <w:color w:val="000000"/>
                <w:sz w:val="16"/>
                <w:szCs w:val="16"/>
              </w:rPr>
            </w:pPr>
            <w:r w:rsidRPr="003F1B9E">
              <w:rPr>
                <w:rFonts w:eastAsia="Times New Roman"/>
                <w:color w:val="000000"/>
                <w:sz w:val="16"/>
                <w:szCs w:val="16"/>
              </w:rPr>
              <w:t>There is equal representation from men and women</w:t>
            </w:r>
          </w:p>
        </w:tc>
        <w:tc>
          <w:tcPr>
            <w:tcW w:w="450" w:type="dxa"/>
            <w:tcBorders>
              <w:top w:val="nil"/>
              <w:left w:val="nil"/>
              <w:bottom w:val="single" w:sz="4" w:space="0" w:color="auto"/>
              <w:right w:val="single" w:sz="4" w:space="0" w:color="auto"/>
            </w:tcBorders>
            <w:shd w:val="clear" w:color="auto" w:fill="auto"/>
            <w:noWrap/>
            <w:vAlign w:val="center"/>
            <w:hideMark/>
          </w:tcPr>
          <w:p w14:paraId="5CA8B37A"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2</w:t>
            </w:r>
          </w:p>
        </w:tc>
        <w:tc>
          <w:tcPr>
            <w:tcW w:w="460" w:type="dxa"/>
            <w:vMerge/>
            <w:tcBorders>
              <w:top w:val="nil"/>
              <w:left w:val="single" w:sz="4" w:space="0" w:color="auto"/>
              <w:bottom w:val="single" w:sz="4" w:space="0" w:color="auto"/>
              <w:right w:val="single" w:sz="4" w:space="0" w:color="auto"/>
            </w:tcBorders>
            <w:vAlign w:val="center"/>
            <w:hideMark/>
          </w:tcPr>
          <w:p w14:paraId="4EFA354C"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6FDB869D"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53C8255A"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404DD253"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048A91D3"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5308ECB2"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186D467A"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333579AF"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2589ED5E" w14:textId="77777777" w:rsidR="000D2499" w:rsidRPr="003F1B9E" w:rsidRDefault="000D2499" w:rsidP="000D2499">
            <w:pPr>
              <w:spacing w:after="0"/>
              <w:jc w:val="center"/>
              <w:rPr>
                <w:rFonts w:eastAsia="Times New Roman"/>
                <w:color w:val="000000"/>
                <w:sz w:val="18"/>
                <w:szCs w:val="18"/>
              </w:rPr>
            </w:pPr>
          </w:p>
        </w:tc>
        <w:tc>
          <w:tcPr>
            <w:tcW w:w="538" w:type="dxa"/>
            <w:vMerge/>
            <w:tcBorders>
              <w:top w:val="nil"/>
              <w:left w:val="single" w:sz="4" w:space="0" w:color="auto"/>
              <w:bottom w:val="single" w:sz="4" w:space="0" w:color="auto"/>
              <w:right w:val="single" w:sz="4" w:space="0" w:color="auto"/>
            </w:tcBorders>
            <w:vAlign w:val="center"/>
            <w:hideMark/>
          </w:tcPr>
          <w:p w14:paraId="3763EADE" w14:textId="77777777" w:rsidR="000D2499" w:rsidRPr="003F1B9E" w:rsidRDefault="000D2499" w:rsidP="000D2499">
            <w:pPr>
              <w:spacing w:after="0"/>
              <w:jc w:val="center"/>
              <w:rPr>
                <w:rFonts w:eastAsia="Times New Roman"/>
                <w:color w:val="000000"/>
                <w:sz w:val="18"/>
                <w:szCs w:val="18"/>
              </w:rPr>
            </w:pPr>
          </w:p>
        </w:tc>
        <w:tc>
          <w:tcPr>
            <w:tcW w:w="798" w:type="dxa"/>
            <w:vMerge/>
            <w:tcBorders>
              <w:top w:val="nil"/>
              <w:left w:val="single" w:sz="4" w:space="0" w:color="auto"/>
              <w:bottom w:val="single" w:sz="4" w:space="0" w:color="auto"/>
              <w:right w:val="single" w:sz="4" w:space="0" w:color="auto"/>
            </w:tcBorders>
            <w:vAlign w:val="center"/>
            <w:hideMark/>
          </w:tcPr>
          <w:p w14:paraId="0F361793" w14:textId="77777777" w:rsidR="000D2499" w:rsidRPr="003F1B9E" w:rsidRDefault="000D2499" w:rsidP="000D2499">
            <w:pPr>
              <w:spacing w:after="0"/>
              <w:jc w:val="center"/>
              <w:rPr>
                <w:rFonts w:eastAsia="Times New Roman"/>
                <w:color w:val="000000"/>
                <w:sz w:val="18"/>
                <w:szCs w:val="18"/>
              </w:rPr>
            </w:pPr>
          </w:p>
        </w:tc>
        <w:tc>
          <w:tcPr>
            <w:tcW w:w="472" w:type="dxa"/>
            <w:vMerge/>
            <w:tcBorders>
              <w:left w:val="single" w:sz="4" w:space="0" w:color="auto"/>
              <w:right w:val="single" w:sz="4" w:space="0" w:color="auto"/>
            </w:tcBorders>
            <w:vAlign w:val="center"/>
          </w:tcPr>
          <w:p w14:paraId="29331C79" w14:textId="77777777" w:rsidR="000D2499" w:rsidRPr="003F1B9E" w:rsidRDefault="000D2499" w:rsidP="000D2499">
            <w:pPr>
              <w:spacing w:after="0"/>
              <w:jc w:val="center"/>
              <w:rPr>
                <w:rFonts w:eastAsia="Times New Roman"/>
                <w:color w:val="000000"/>
                <w:sz w:val="18"/>
                <w:szCs w:val="18"/>
              </w:rPr>
            </w:pPr>
          </w:p>
        </w:tc>
      </w:tr>
      <w:tr w:rsidR="000D2499" w:rsidRPr="003F1B9E" w14:paraId="0526D6D4" w14:textId="77777777" w:rsidTr="000D2499">
        <w:trPr>
          <w:trHeight w:val="480"/>
        </w:trPr>
        <w:tc>
          <w:tcPr>
            <w:tcW w:w="1170" w:type="dxa"/>
            <w:vMerge/>
            <w:tcBorders>
              <w:top w:val="nil"/>
              <w:left w:val="single" w:sz="4" w:space="0" w:color="auto"/>
              <w:bottom w:val="single" w:sz="4" w:space="0" w:color="auto"/>
              <w:right w:val="single" w:sz="4" w:space="0" w:color="auto"/>
            </w:tcBorders>
            <w:vAlign w:val="center"/>
            <w:hideMark/>
          </w:tcPr>
          <w:p w14:paraId="062B3DEB" w14:textId="77777777" w:rsidR="000D2499" w:rsidRPr="003F1B9E" w:rsidRDefault="000D2499" w:rsidP="000D2499">
            <w:pPr>
              <w:spacing w:after="0"/>
              <w:rPr>
                <w:rFonts w:eastAsia="Times New Roman"/>
                <w:b/>
                <w:bCs/>
                <w:color w:val="000000"/>
                <w:sz w:val="18"/>
                <w:szCs w:val="18"/>
              </w:rPr>
            </w:pPr>
          </w:p>
        </w:tc>
        <w:tc>
          <w:tcPr>
            <w:tcW w:w="2610" w:type="dxa"/>
            <w:tcBorders>
              <w:top w:val="nil"/>
              <w:left w:val="nil"/>
              <w:bottom w:val="single" w:sz="4" w:space="0" w:color="auto"/>
              <w:right w:val="single" w:sz="4" w:space="0" w:color="auto"/>
            </w:tcBorders>
            <w:shd w:val="clear" w:color="auto" w:fill="auto"/>
            <w:vAlign w:val="center"/>
            <w:hideMark/>
          </w:tcPr>
          <w:p w14:paraId="43F302D7" w14:textId="77777777" w:rsidR="000D2499" w:rsidRPr="003F1B9E" w:rsidRDefault="000D2499" w:rsidP="000D2499">
            <w:pPr>
              <w:spacing w:after="0"/>
              <w:rPr>
                <w:rFonts w:eastAsia="Times New Roman"/>
                <w:color w:val="000000"/>
                <w:sz w:val="16"/>
                <w:szCs w:val="16"/>
              </w:rPr>
            </w:pPr>
            <w:r w:rsidRPr="003F1B9E">
              <w:rPr>
                <w:rFonts w:eastAsia="Times New Roman"/>
                <w:color w:val="000000"/>
                <w:sz w:val="16"/>
                <w:szCs w:val="16"/>
              </w:rPr>
              <w:t>There is equal representation from men and women, and they represent different social status levels in society</w:t>
            </w:r>
          </w:p>
        </w:tc>
        <w:tc>
          <w:tcPr>
            <w:tcW w:w="450" w:type="dxa"/>
            <w:tcBorders>
              <w:top w:val="nil"/>
              <w:left w:val="nil"/>
              <w:bottom w:val="single" w:sz="4" w:space="0" w:color="auto"/>
              <w:right w:val="single" w:sz="4" w:space="0" w:color="auto"/>
            </w:tcBorders>
            <w:shd w:val="clear" w:color="auto" w:fill="auto"/>
            <w:noWrap/>
            <w:vAlign w:val="center"/>
            <w:hideMark/>
          </w:tcPr>
          <w:p w14:paraId="5CC0BADC"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3</w:t>
            </w:r>
          </w:p>
        </w:tc>
        <w:tc>
          <w:tcPr>
            <w:tcW w:w="460" w:type="dxa"/>
            <w:vMerge/>
            <w:tcBorders>
              <w:top w:val="nil"/>
              <w:left w:val="single" w:sz="4" w:space="0" w:color="auto"/>
              <w:bottom w:val="single" w:sz="4" w:space="0" w:color="auto"/>
              <w:right w:val="single" w:sz="4" w:space="0" w:color="auto"/>
            </w:tcBorders>
            <w:vAlign w:val="center"/>
            <w:hideMark/>
          </w:tcPr>
          <w:p w14:paraId="68CD7212"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2C9E08D0"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45C4D919"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2BC95D24"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6706E560"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0E9A6FAA"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55BA93CA"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71C48DB6"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1C7D7D73" w14:textId="77777777" w:rsidR="000D2499" w:rsidRPr="003F1B9E" w:rsidRDefault="000D2499" w:rsidP="000D2499">
            <w:pPr>
              <w:spacing w:after="0"/>
              <w:jc w:val="center"/>
              <w:rPr>
                <w:rFonts w:eastAsia="Times New Roman"/>
                <w:color w:val="000000"/>
                <w:sz w:val="18"/>
                <w:szCs w:val="18"/>
              </w:rPr>
            </w:pPr>
          </w:p>
        </w:tc>
        <w:tc>
          <w:tcPr>
            <w:tcW w:w="538" w:type="dxa"/>
            <w:vMerge/>
            <w:tcBorders>
              <w:top w:val="nil"/>
              <w:left w:val="single" w:sz="4" w:space="0" w:color="auto"/>
              <w:bottom w:val="single" w:sz="4" w:space="0" w:color="auto"/>
              <w:right w:val="single" w:sz="4" w:space="0" w:color="auto"/>
            </w:tcBorders>
            <w:vAlign w:val="center"/>
            <w:hideMark/>
          </w:tcPr>
          <w:p w14:paraId="154261D9" w14:textId="77777777" w:rsidR="000D2499" w:rsidRPr="003F1B9E" w:rsidRDefault="000D2499" w:rsidP="000D2499">
            <w:pPr>
              <w:spacing w:after="0"/>
              <w:jc w:val="center"/>
              <w:rPr>
                <w:rFonts w:eastAsia="Times New Roman"/>
                <w:color w:val="000000"/>
                <w:sz w:val="18"/>
                <w:szCs w:val="18"/>
              </w:rPr>
            </w:pPr>
          </w:p>
        </w:tc>
        <w:tc>
          <w:tcPr>
            <w:tcW w:w="798" w:type="dxa"/>
            <w:vMerge/>
            <w:tcBorders>
              <w:top w:val="nil"/>
              <w:left w:val="single" w:sz="4" w:space="0" w:color="auto"/>
              <w:bottom w:val="single" w:sz="4" w:space="0" w:color="auto"/>
              <w:right w:val="single" w:sz="4" w:space="0" w:color="auto"/>
            </w:tcBorders>
            <w:vAlign w:val="center"/>
            <w:hideMark/>
          </w:tcPr>
          <w:p w14:paraId="2EB076BC" w14:textId="77777777" w:rsidR="000D2499" w:rsidRPr="003F1B9E" w:rsidRDefault="000D2499" w:rsidP="000D2499">
            <w:pPr>
              <w:spacing w:after="0"/>
              <w:jc w:val="center"/>
              <w:rPr>
                <w:rFonts w:eastAsia="Times New Roman"/>
                <w:color w:val="000000"/>
                <w:sz w:val="18"/>
                <w:szCs w:val="18"/>
              </w:rPr>
            </w:pPr>
          </w:p>
        </w:tc>
        <w:tc>
          <w:tcPr>
            <w:tcW w:w="472" w:type="dxa"/>
            <w:vMerge/>
            <w:tcBorders>
              <w:left w:val="single" w:sz="4" w:space="0" w:color="auto"/>
              <w:bottom w:val="single" w:sz="4" w:space="0" w:color="auto"/>
              <w:right w:val="single" w:sz="4" w:space="0" w:color="auto"/>
            </w:tcBorders>
            <w:vAlign w:val="center"/>
          </w:tcPr>
          <w:p w14:paraId="42C7C6EA" w14:textId="77777777" w:rsidR="000D2499" w:rsidRPr="003F1B9E" w:rsidRDefault="000D2499" w:rsidP="000D2499">
            <w:pPr>
              <w:spacing w:after="0"/>
              <w:jc w:val="center"/>
              <w:rPr>
                <w:rFonts w:eastAsia="Times New Roman"/>
                <w:color w:val="000000"/>
                <w:sz w:val="18"/>
                <w:szCs w:val="18"/>
              </w:rPr>
            </w:pPr>
          </w:p>
        </w:tc>
      </w:tr>
      <w:tr w:rsidR="000D2499" w:rsidRPr="003F1B9E" w14:paraId="30FCA143" w14:textId="77777777" w:rsidTr="000D2499">
        <w:trPr>
          <w:trHeight w:val="480"/>
        </w:trPr>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14:paraId="3E0C31FF" w14:textId="77777777" w:rsidR="000D2499" w:rsidRPr="003F1B9E" w:rsidRDefault="000D2499" w:rsidP="000D2499">
            <w:pPr>
              <w:spacing w:after="0"/>
              <w:rPr>
                <w:rFonts w:eastAsia="Times New Roman"/>
                <w:b/>
                <w:bCs/>
                <w:color w:val="000000"/>
                <w:sz w:val="18"/>
                <w:szCs w:val="18"/>
              </w:rPr>
            </w:pPr>
            <w:r w:rsidRPr="003F1B9E">
              <w:rPr>
                <w:rFonts w:eastAsia="Times New Roman"/>
                <w:b/>
                <w:bCs/>
                <w:color w:val="000000"/>
                <w:sz w:val="18"/>
                <w:szCs w:val="18"/>
              </w:rPr>
              <w:t>6.2. Do men and women participate and/or play an active role in Planning Team meetings?</w:t>
            </w:r>
          </w:p>
        </w:tc>
        <w:tc>
          <w:tcPr>
            <w:tcW w:w="2610" w:type="dxa"/>
            <w:tcBorders>
              <w:top w:val="nil"/>
              <w:left w:val="nil"/>
              <w:bottom w:val="single" w:sz="4" w:space="0" w:color="auto"/>
              <w:right w:val="single" w:sz="4" w:space="0" w:color="auto"/>
            </w:tcBorders>
            <w:shd w:val="clear" w:color="auto" w:fill="auto"/>
            <w:vAlign w:val="center"/>
            <w:hideMark/>
          </w:tcPr>
          <w:p w14:paraId="74E6D934" w14:textId="77777777" w:rsidR="000D2499" w:rsidRPr="003F1B9E" w:rsidRDefault="000D2499" w:rsidP="000D2499">
            <w:pPr>
              <w:spacing w:after="0"/>
              <w:rPr>
                <w:rFonts w:eastAsia="Times New Roman"/>
                <w:color w:val="000000"/>
                <w:sz w:val="16"/>
                <w:szCs w:val="16"/>
              </w:rPr>
            </w:pPr>
            <w:r w:rsidRPr="003F1B9E">
              <w:rPr>
                <w:rFonts w:eastAsia="Times New Roman"/>
                <w:color w:val="000000"/>
                <w:sz w:val="16"/>
                <w:szCs w:val="16"/>
              </w:rPr>
              <w:t>Only one gender participates or plays an active role in Planning Team meetings</w:t>
            </w:r>
          </w:p>
        </w:tc>
        <w:tc>
          <w:tcPr>
            <w:tcW w:w="450" w:type="dxa"/>
            <w:tcBorders>
              <w:top w:val="nil"/>
              <w:left w:val="nil"/>
              <w:bottom w:val="single" w:sz="4" w:space="0" w:color="auto"/>
              <w:right w:val="single" w:sz="4" w:space="0" w:color="auto"/>
            </w:tcBorders>
            <w:shd w:val="clear" w:color="auto" w:fill="auto"/>
            <w:noWrap/>
            <w:vAlign w:val="center"/>
            <w:hideMark/>
          </w:tcPr>
          <w:p w14:paraId="57278A5D"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0</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F3EFF9"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2</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49E34D"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A1AB28"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30017E"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B5EEBB"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2</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943901"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5B9043"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2</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BA3D51"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3</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CF4A9A"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3</w:t>
            </w:r>
          </w:p>
        </w:tc>
        <w:tc>
          <w:tcPr>
            <w:tcW w:w="5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6DF1A6"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1.7</w:t>
            </w:r>
          </w:p>
        </w:tc>
        <w:tc>
          <w:tcPr>
            <w:tcW w:w="798" w:type="dxa"/>
            <w:vMerge w:val="restart"/>
            <w:tcBorders>
              <w:top w:val="nil"/>
              <w:left w:val="single" w:sz="4" w:space="0" w:color="auto"/>
              <w:bottom w:val="single" w:sz="4" w:space="0" w:color="auto"/>
              <w:right w:val="single" w:sz="4" w:space="0" w:color="auto"/>
            </w:tcBorders>
            <w:shd w:val="clear" w:color="auto" w:fill="auto"/>
            <w:noWrap/>
            <w:hideMark/>
          </w:tcPr>
          <w:p w14:paraId="7DDC694F" w14:textId="77777777" w:rsidR="000D2499" w:rsidRPr="003536AA" w:rsidRDefault="000D2499" w:rsidP="000D2499">
            <w:pPr>
              <w:spacing w:after="0"/>
              <w:jc w:val="center"/>
              <w:rPr>
                <w:rFonts w:eastAsia="Times New Roman"/>
                <w:color w:val="000000"/>
                <w:sz w:val="18"/>
                <w:szCs w:val="18"/>
              </w:rPr>
            </w:pPr>
            <w:r w:rsidRPr="003F1B9E">
              <w:rPr>
                <w:rFonts w:eastAsia="Times New Roman"/>
                <w:color w:val="000000"/>
                <w:sz w:val="18"/>
                <w:szCs w:val="18"/>
              </w:rPr>
              <w:t>16</w:t>
            </w:r>
            <w:r w:rsidRPr="003536AA">
              <w:rPr>
                <w:rFonts w:eastAsia="Times New Roman"/>
                <w:color w:val="000000"/>
                <w:sz w:val="18"/>
                <w:szCs w:val="18"/>
              </w:rPr>
              <w:t xml:space="preserve"> out of  27</w:t>
            </w:r>
          </w:p>
          <w:p w14:paraId="0BC0ED38" w14:textId="77777777" w:rsidR="000D2499" w:rsidRPr="003536AA" w:rsidRDefault="000D2499" w:rsidP="000D2499">
            <w:pPr>
              <w:spacing w:after="0"/>
              <w:jc w:val="center"/>
              <w:rPr>
                <w:rFonts w:eastAsia="Times New Roman"/>
                <w:color w:val="000000"/>
                <w:sz w:val="18"/>
                <w:szCs w:val="18"/>
              </w:rPr>
            </w:pPr>
          </w:p>
          <w:p w14:paraId="03593804" w14:textId="77777777" w:rsidR="000D2499" w:rsidRPr="003F1B9E" w:rsidRDefault="000D2499" w:rsidP="000D2499">
            <w:pPr>
              <w:spacing w:after="0"/>
              <w:jc w:val="center"/>
              <w:rPr>
                <w:rFonts w:eastAsia="Times New Roman"/>
                <w:color w:val="000000"/>
                <w:sz w:val="18"/>
                <w:szCs w:val="18"/>
              </w:rPr>
            </w:pPr>
            <w:r w:rsidRPr="003536AA">
              <w:rPr>
                <w:rFonts w:eastAsia="Times New Roman"/>
                <w:color w:val="000000"/>
                <w:sz w:val="18"/>
                <w:szCs w:val="18"/>
              </w:rPr>
              <w:t>59%</w:t>
            </w:r>
          </w:p>
        </w:tc>
        <w:tc>
          <w:tcPr>
            <w:tcW w:w="472" w:type="dxa"/>
            <w:vMerge w:val="restart"/>
            <w:tcBorders>
              <w:top w:val="nil"/>
              <w:left w:val="single" w:sz="4" w:space="0" w:color="auto"/>
              <w:right w:val="single" w:sz="4" w:space="0" w:color="auto"/>
            </w:tcBorders>
          </w:tcPr>
          <w:p w14:paraId="10C6AD8C"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w:t>
            </w:r>
            <w:r w:rsidRPr="003536AA">
              <w:rPr>
                <w:rFonts w:eastAsia="Times New Roman"/>
                <w:color w:val="000000"/>
                <w:sz w:val="18"/>
                <w:szCs w:val="18"/>
              </w:rPr>
              <w:t xml:space="preserve"> out of  3</w:t>
            </w:r>
          </w:p>
        </w:tc>
      </w:tr>
      <w:tr w:rsidR="000D2499" w:rsidRPr="003F1B9E" w14:paraId="71EB2E92" w14:textId="77777777" w:rsidTr="000D2499">
        <w:trPr>
          <w:trHeight w:val="480"/>
        </w:trPr>
        <w:tc>
          <w:tcPr>
            <w:tcW w:w="1170" w:type="dxa"/>
            <w:vMerge/>
            <w:tcBorders>
              <w:top w:val="nil"/>
              <w:left w:val="single" w:sz="4" w:space="0" w:color="auto"/>
              <w:bottom w:val="single" w:sz="4" w:space="0" w:color="auto"/>
              <w:right w:val="single" w:sz="4" w:space="0" w:color="auto"/>
            </w:tcBorders>
            <w:vAlign w:val="center"/>
            <w:hideMark/>
          </w:tcPr>
          <w:p w14:paraId="66C3532A" w14:textId="77777777" w:rsidR="000D2499" w:rsidRPr="003F1B9E" w:rsidRDefault="000D2499" w:rsidP="000D2499">
            <w:pPr>
              <w:spacing w:after="0"/>
              <w:rPr>
                <w:rFonts w:eastAsia="Times New Roman"/>
                <w:b/>
                <w:bCs/>
                <w:color w:val="000000"/>
                <w:sz w:val="18"/>
                <w:szCs w:val="18"/>
              </w:rPr>
            </w:pPr>
          </w:p>
        </w:tc>
        <w:tc>
          <w:tcPr>
            <w:tcW w:w="2610" w:type="dxa"/>
            <w:tcBorders>
              <w:top w:val="nil"/>
              <w:left w:val="nil"/>
              <w:bottom w:val="single" w:sz="4" w:space="0" w:color="auto"/>
              <w:right w:val="single" w:sz="4" w:space="0" w:color="auto"/>
            </w:tcBorders>
            <w:shd w:val="clear" w:color="auto" w:fill="auto"/>
            <w:vAlign w:val="center"/>
            <w:hideMark/>
          </w:tcPr>
          <w:p w14:paraId="6E5A6B90" w14:textId="77777777" w:rsidR="000D2499" w:rsidRPr="003F1B9E" w:rsidRDefault="000D2499" w:rsidP="000D2499">
            <w:pPr>
              <w:spacing w:after="0"/>
              <w:rPr>
                <w:rFonts w:eastAsia="Times New Roman"/>
                <w:color w:val="000000"/>
                <w:sz w:val="16"/>
                <w:szCs w:val="16"/>
              </w:rPr>
            </w:pPr>
            <w:r w:rsidRPr="003F1B9E">
              <w:rPr>
                <w:rFonts w:eastAsia="Times New Roman"/>
                <w:color w:val="000000"/>
                <w:sz w:val="16"/>
                <w:szCs w:val="16"/>
              </w:rPr>
              <w:t>Both genders will participate during meetings, but participation is generally dominated by one gender</w:t>
            </w:r>
          </w:p>
        </w:tc>
        <w:tc>
          <w:tcPr>
            <w:tcW w:w="450" w:type="dxa"/>
            <w:tcBorders>
              <w:top w:val="nil"/>
              <w:left w:val="nil"/>
              <w:bottom w:val="single" w:sz="4" w:space="0" w:color="auto"/>
              <w:right w:val="single" w:sz="4" w:space="0" w:color="auto"/>
            </w:tcBorders>
            <w:shd w:val="clear" w:color="auto" w:fill="auto"/>
            <w:noWrap/>
            <w:vAlign w:val="center"/>
            <w:hideMark/>
          </w:tcPr>
          <w:p w14:paraId="1DDD7670"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w:t>
            </w:r>
          </w:p>
        </w:tc>
        <w:tc>
          <w:tcPr>
            <w:tcW w:w="460" w:type="dxa"/>
            <w:vMerge/>
            <w:tcBorders>
              <w:top w:val="nil"/>
              <w:left w:val="single" w:sz="4" w:space="0" w:color="auto"/>
              <w:bottom w:val="single" w:sz="4" w:space="0" w:color="auto"/>
              <w:right w:val="single" w:sz="4" w:space="0" w:color="auto"/>
            </w:tcBorders>
            <w:vAlign w:val="center"/>
            <w:hideMark/>
          </w:tcPr>
          <w:p w14:paraId="54157BBB"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573894FE"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30B8A8DE"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37332943"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40C2B64C"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08D85BFA"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6F4D3B8B"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00F22668"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64B80E44" w14:textId="77777777" w:rsidR="000D2499" w:rsidRPr="003F1B9E" w:rsidRDefault="000D2499" w:rsidP="000D2499">
            <w:pPr>
              <w:spacing w:after="0"/>
              <w:jc w:val="center"/>
              <w:rPr>
                <w:rFonts w:eastAsia="Times New Roman"/>
                <w:color w:val="000000"/>
                <w:sz w:val="18"/>
                <w:szCs w:val="18"/>
              </w:rPr>
            </w:pPr>
          </w:p>
        </w:tc>
        <w:tc>
          <w:tcPr>
            <w:tcW w:w="538" w:type="dxa"/>
            <w:vMerge/>
            <w:tcBorders>
              <w:top w:val="nil"/>
              <w:left w:val="single" w:sz="4" w:space="0" w:color="auto"/>
              <w:bottom w:val="single" w:sz="4" w:space="0" w:color="auto"/>
              <w:right w:val="single" w:sz="4" w:space="0" w:color="auto"/>
            </w:tcBorders>
            <w:vAlign w:val="center"/>
            <w:hideMark/>
          </w:tcPr>
          <w:p w14:paraId="0408202C" w14:textId="77777777" w:rsidR="000D2499" w:rsidRPr="003F1B9E" w:rsidRDefault="000D2499" w:rsidP="000D2499">
            <w:pPr>
              <w:spacing w:after="0"/>
              <w:jc w:val="center"/>
              <w:rPr>
                <w:rFonts w:eastAsia="Times New Roman"/>
                <w:color w:val="000000"/>
                <w:sz w:val="18"/>
                <w:szCs w:val="18"/>
              </w:rPr>
            </w:pPr>
          </w:p>
        </w:tc>
        <w:tc>
          <w:tcPr>
            <w:tcW w:w="798" w:type="dxa"/>
            <w:vMerge/>
            <w:tcBorders>
              <w:top w:val="nil"/>
              <w:left w:val="single" w:sz="4" w:space="0" w:color="auto"/>
              <w:bottom w:val="single" w:sz="4" w:space="0" w:color="auto"/>
              <w:right w:val="single" w:sz="4" w:space="0" w:color="auto"/>
            </w:tcBorders>
            <w:vAlign w:val="center"/>
            <w:hideMark/>
          </w:tcPr>
          <w:p w14:paraId="46C6F247" w14:textId="77777777" w:rsidR="000D2499" w:rsidRPr="003F1B9E" w:rsidRDefault="000D2499" w:rsidP="000D2499">
            <w:pPr>
              <w:spacing w:after="0"/>
              <w:jc w:val="center"/>
              <w:rPr>
                <w:rFonts w:eastAsia="Times New Roman"/>
                <w:color w:val="000000"/>
                <w:sz w:val="18"/>
                <w:szCs w:val="18"/>
              </w:rPr>
            </w:pPr>
          </w:p>
        </w:tc>
        <w:tc>
          <w:tcPr>
            <w:tcW w:w="472" w:type="dxa"/>
            <w:vMerge/>
            <w:tcBorders>
              <w:left w:val="single" w:sz="4" w:space="0" w:color="auto"/>
              <w:right w:val="single" w:sz="4" w:space="0" w:color="auto"/>
            </w:tcBorders>
            <w:vAlign w:val="center"/>
          </w:tcPr>
          <w:p w14:paraId="594973C5" w14:textId="77777777" w:rsidR="000D2499" w:rsidRPr="003F1B9E" w:rsidRDefault="000D2499" w:rsidP="000D2499">
            <w:pPr>
              <w:spacing w:after="0"/>
              <w:jc w:val="center"/>
              <w:rPr>
                <w:rFonts w:eastAsia="Times New Roman"/>
                <w:color w:val="000000"/>
                <w:sz w:val="18"/>
                <w:szCs w:val="18"/>
              </w:rPr>
            </w:pPr>
          </w:p>
        </w:tc>
      </w:tr>
      <w:tr w:rsidR="000D2499" w:rsidRPr="003F1B9E" w14:paraId="218BA6E4" w14:textId="77777777" w:rsidTr="000D2499">
        <w:trPr>
          <w:trHeight w:val="720"/>
        </w:trPr>
        <w:tc>
          <w:tcPr>
            <w:tcW w:w="1170" w:type="dxa"/>
            <w:vMerge/>
            <w:tcBorders>
              <w:top w:val="nil"/>
              <w:left w:val="single" w:sz="4" w:space="0" w:color="auto"/>
              <w:bottom w:val="single" w:sz="4" w:space="0" w:color="auto"/>
              <w:right w:val="single" w:sz="4" w:space="0" w:color="auto"/>
            </w:tcBorders>
            <w:vAlign w:val="center"/>
            <w:hideMark/>
          </w:tcPr>
          <w:p w14:paraId="6666875B" w14:textId="77777777" w:rsidR="000D2499" w:rsidRPr="003F1B9E" w:rsidRDefault="000D2499" w:rsidP="000D2499">
            <w:pPr>
              <w:spacing w:after="0"/>
              <w:rPr>
                <w:rFonts w:eastAsia="Times New Roman"/>
                <w:b/>
                <w:bCs/>
                <w:color w:val="000000"/>
                <w:sz w:val="18"/>
                <w:szCs w:val="18"/>
              </w:rPr>
            </w:pPr>
          </w:p>
        </w:tc>
        <w:tc>
          <w:tcPr>
            <w:tcW w:w="2610" w:type="dxa"/>
            <w:tcBorders>
              <w:top w:val="nil"/>
              <w:left w:val="nil"/>
              <w:bottom w:val="single" w:sz="4" w:space="0" w:color="auto"/>
              <w:right w:val="single" w:sz="4" w:space="0" w:color="auto"/>
            </w:tcBorders>
            <w:shd w:val="clear" w:color="auto" w:fill="auto"/>
            <w:vAlign w:val="center"/>
            <w:hideMark/>
          </w:tcPr>
          <w:p w14:paraId="066392B1" w14:textId="77777777" w:rsidR="000D2499" w:rsidRPr="003F1B9E" w:rsidRDefault="000D2499" w:rsidP="000D2499">
            <w:pPr>
              <w:spacing w:after="0"/>
              <w:rPr>
                <w:rFonts w:eastAsia="Times New Roman"/>
                <w:color w:val="000000"/>
                <w:sz w:val="16"/>
                <w:szCs w:val="16"/>
              </w:rPr>
            </w:pPr>
            <w:r w:rsidRPr="003F1B9E">
              <w:rPr>
                <w:rFonts w:eastAsia="Times New Roman"/>
                <w:color w:val="000000"/>
                <w:sz w:val="16"/>
                <w:szCs w:val="16"/>
              </w:rPr>
              <w:t xml:space="preserve">Both men and women participate in planning team meetings and/or are active during planning activities to an equal extent, but within clearly separate roles </w:t>
            </w:r>
          </w:p>
        </w:tc>
        <w:tc>
          <w:tcPr>
            <w:tcW w:w="450" w:type="dxa"/>
            <w:tcBorders>
              <w:top w:val="nil"/>
              <w:left w:val="nil"/>
              <w:bottom w:val="single" w:sz="4" w:space="0" w:color="auto"/>
              <w:right w:val="single" w:sz="4" w:space="0" w:color="auto"/>
            </w:tcBorders>
            <w:shd w:val="clear" w:color="auto" w:fill="auto"/>
            <w:noWrap/>
            <w:vAlign w:val="center"/>
            <w:hideMark/>
          </w:tcPr>
          <w:p w14:paraId="34FF419B"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2</w:t>
            </w:r>
          </w:p>
        </w:tc>
        <w:tc>
          <w:tcPr>
            <w:tcW w:w="460" w:type="dxa"/>
            <w:vMerge/>
            <w:tcBorders>
              <w:top w:val="nil"/>
              <w:left w:val="single" w:sz="4" w:space="0" w:color="auto"/>
              <w:bottom w:val="single" w:sz="4" w:space="0" w:color="auto"/>
              <w:right w:val="single" w:sz="4" w:space="0" w:color="auto"/>
            </w:tcBorders>
            <w:vAlign w:val="center"/>
            <w:hideMark/>
          </w:tcPr>
          <w:p w14:paraId="3F849EB7"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5DC9B04A"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1D7CF09C"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5D274F76"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482043F3"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18DB9234"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3A848EF6"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0A6D4471"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1CE76B0F" w14:textId="77777777" w:rsidR="000D2499" w:rsidRPr="003F1B9E" w:rsidRDefault="000D2499" w:rsidP="000D2499">
            <w:pPr>
              <w:spacing w:after="0"/>
              <w:jc w:val="center"/>
              <w:rPr>
                <w:rFonts w:eastAsia="Times New Roman"/>
                <w:color w:val="000000"/>
                <w:sz w:val="18"/>
                <w:szCs w:val="18"/>
              </w:rPr>
            </w:pPr>
          </w:p>
        </w:tc>
        <w:tc>
          <w:tcPr>
            <w:tcW w:w="538" w:type="dxa"/>
            <w:vMerge/>
            <w:tcBorders>
              <w:top w:val="nil"/>
              <w:left w:val="single" w:sz="4" w:space="0" w:color="auto"/>
              <w:bottom w:val="single" w:sz="4" w:space="0" w:color="auto"/>
              <w:right w:val="single" w:sz="4" w:space="0" w:color="auto"/>
            </w:tcBorders>
            <w:vAlign w:val="center"/>
            <w:hideMark/>
          </w:tcPr>
          <w:p w14:paraId="7502E747" w14:textId="77777777" w:rsidR="000D2499" w:rsidRPr="003F1B9E" w:rsidRDefault="000D2499" w:rsidP="000D2499">
            <w:pPr>
              <w:spacing w:after="0"/>
              <w:jc w:val="center"/>
              <w:rPr>
                <w:rFonts w:eastAsia="Times New Roman"/>
                <w:color w:val="000000"/>
                <w:sz w:val="18"/>
                <w:szCs w:val="18"/>
              </w:rPr>
            </w:pPr>
          </w:p>
        </w:tc>
        <w:tc>
          <w:tcPr>
            <w:tcW w:w="798" w:type="dxa"/>
            <w:vMerge/>
            <w:tcBorders>
              <w:top w:val="nil"/>
              <w:left w:val="single" w:sz="4" w:space="0" w:color="auto"/>
              <w:bottom w:val="single" w:sz="4" w:space="0" w:color="auto"/>
              <w:right w:val="single" w:sz="4" w:space="0" w:color="auto"/>
            </w:tcBorders>
            <w:vAlign w:val="center"/>
            <w:hideMark/>
          </w:tcPr>
          <w:p w14:paraId="0B6F7DEA" w14:textId="77777777" w:rsidR="000D2499" w:rsidRPr="003F1B9E" w:rsidRDefault="000D2499" w:rsidP="000D2499">
            <w:pPr>
              <w:spacing w:after="0"/>
              <w:jc w:val="center"/>
              <w:rPr>
                <w:rFonts w:eastAsia="Times New Roman"/>
                <w:color w:val="000000"/>
                <w:sz w:val="18"/>
                <w:szCs w:val="18"/>
              </w:rPr>
            </w:pPr>
          </w:p>
        </w:tc>
        <w:tc>
          <w:tcPr>
            <w:tcW w:w="472" w:type="dxa"/>
            <w:vMerge/>
            <w:tcBorders>
              <w:left w:val="single" w:sz="4" w:space="0" w:color="auto"/>
              <w:right w:val="single" w:sz="4" w:space="0" w:color="auto"/>
            </w:tcBorders>
            <w:vAlign w:val="center"/>
          </w:tcPr>
          <w:p w14:paraId="4F3E3BDF" w14:textId="77777777" w:rsidR="000D2499" w:rsidRPr="003F1B9E" w:rsidRDefault="000D2499" w:rsidP="000D2499">
            <w:pPr>
              <w:spacing w:after="0"/>
              <w:jc w:val="center"/>
              <w:rPr>
                <w:rFonts w:eastAsia="Times New Roman"/>
                <w:color w:val="000000"/>
                <w:sz w:val="18"/>
                <w:szCs w:val="18"/>
              </w:rPr>
            </w:pPr>
          </w:p>
        </w:tc>
      </w:tr>
      <w:tr w:rsidR="000D2499" w:rsidRPr="003F1B9E" w14:paraId="5F224E25" w14:textId="77777777" w:rsidTr="000D2499">
        <w:trPr>
          <w:trHeight w:val="480"/>
        </w:trPr>
        <w:tc>
          <w:tcPr>
            <w:tcW w:w="1170" w:type="dxa"/>
            <w:vMerge/>
            <w:tcBorders>
              <w:top w:val="nil"/>
              <w:left w:val="single" w:sz="4" w:space="0" w:color="auto"/>
              <w:bottom w:val="single" w:sz="4" w:space="0" w:color="auto"/>
              <w:right w:val="single" w:sz="4" w:space="0" w:color="auto"/>
            </w:tcBorders>
            <w:vAlign w:val="center"/>
            <w:hideMark/>
          </w:tcPr>
          <w:p w14:paraId="058E3A3F" w14:textId="77777777" w:rsidR="000D2499" w:rsidRPr="003F1B9E" w:rsidRDefault="000D2499" w:rsidP="000D2499">
            <w:pPr>
              <w:spacing w:after="0"/>
              <w:rPr>
                <w:rFonts w:eastAsia="Times New Roman"/>
                <w:b/>
                <w:bCs/>
                <w:color w:val="000000"/>
                <w:sz w:val="18"/>
                <w:szCs w:val="18"/>
              </w:rPr>
            </w:pPr>
          </w:p>
        </w:tc>
        <w:tc>
          <w:tcPr>
            <w:tcW w:w="2610" w:type="dxa"/>
            <w:tcBorders>
              <w:top w:val="nil"/>
              <w:left w:val="nil"/>
              <w:bottom w:val="single" w:sz="4" w:space="0" w:color="auto"/>
              <w:right w:val="single" w:sz="4" w:space="0" w:color="auto"/>
            </w:tcBorders>
            <w:shd w:val="clear" w:color="auto" w:fill="auto"/>
            <w:vAlign w:val="center"/>
            <w:hideMark/>
          </w:tcPr>
          <w:p w14:paraId="3C5D25F4" w14:textId="77777777" w:rsidR="000D2499" w:rsidRPr="003F1B9E" w:rsidRDefault="000D2499" w:rsidP="000D2499">
            <w:pPr>
              <w:spacing w:after="0"/>
              <w:rPr>
                <w:rFonts w:eastAsia="Times New Roman"/>
                <w:color w:val="000000"/>
                <w:sz w:val="16"/>
                <w:szCs w:val="16"/>
              </w:rPr>
            </w:pPr>
            <w:r w:rsidRPr="003F1B9E">
              <w:rPr>
                <w:rFonts w:eastAsia="Times New Roman"/>
                <w:color w:val="000000"/>
                <w:sz w:val="16"/>
                <w:szCs w:val="16"/>
              </w:rPr>
              <w:t>Men and women participate fully, across all aspects of the planning teams activities, to an equal extent</w:t>
            </w:r>
          </w:p>
        </w:tc>
        <w:tc>
          <w:tcPr>
            <w:tcW w:w="450" w:type="dxa"/>
            <w:tcBorders>
              <w:top w:val="nil"/>
              <w:left w:val="nil"/>
              <w:bottom w:val="single" w:sz="4" w:space="0" w:color="auto"/>
              <w:right w:val="single" w:sz="4" w:space="0" w:color="auto"/>
            </w:tcBorders>
            <w:shd w:val="clear" w:color="auto" w:fill="auto"/>
            <w:noWrap/>
            <w:vAlign w:val="center"/>
            <w:hideMark/>
          </w:tcPr>
          <w:p w14:paraId="5C85DBC7"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3</w:t>
            </w:r>
          </w:p>
        </w:tc>
        <w:tc>
          <w:tcPr>
            <w:tcW w:w="460" w:type="dxa"/>
            <w:vMerge/>
            <w:tcBorders>
              <w:top w:val="nil"/>
              <w:left w:val="single" w:sz="4" w:space="0" w:color="auto"/>
              <w:bottom w:val="single" w:sz="4" w:space="0" w:color="auto"/>
              <w:right w:val="single" w:sz="4" w:space="0" w:color="auto"/>
            </w:tcBorders>
            <w:vAlign w:val="center"/>
            <w:hideMark/>
          </w:tcPr>
          <w:p w14:paraId="164D4ED7"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2ED65703"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6FD4DDD0"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544E5897"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5CA98593"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6E7647BE"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4AAB4114"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26EC7C40"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596770E0" w14:textId="77777777" w:rsidR="000D2499" w:rsidRPr="003F1B9E" w:rsidRDefault="000D2499" w:rsidP="000D2499">
            <w:pPr>
              <w:spacing w:after="0"/>
              <w:jc w:val="center"/>
              <w:rPr>
                <w:rFonts w:eastAsia="Times New Roman"/>
                <w:color w:val="000000"/>
                <w:sz w:val="18"/>
                <w:szCs w:val="18"/>
              </w:rPr>
            </w:pPr>
          </w:p>
        </w:tc>
        <w:tc>
          <w:tcPr>
            <w:tcW w:w="538" w:type="dxa"/>
            <w:vMerge/>
            <w:tcBorders>
              <w:top w:val="nil"/>
              <w:left w:val="single" w:sz="4" w:space="0" w:color="auto"/>
              <w:bottom w:val="single" w:sz="4" w:space="0" w:color="auto"/>
              <w:right w:val="single" w:sz="4" w:space="0" w:color="auto"/>
            </w:tcBorders>
            <w:vAlign w:val="center"/>
            <w:hideMark/>
          </w:tcPr>
          <w:p w14:paraId="7062221B" w14:textId="77777777" w:rsidR="000D2499" w:rsidRPr="003F1B9E" w:rsidRDefault="000D2499" w:rsidP="000D2499">
            <w:pPr>
              <w:spacing w:after="0"/>
              <w:jc w:val="center"/>
              <w:rPr>
                <w:rFonts w:eastAsia="Times New Roman"/>
                <w:color w:val="000000"/>
                <w:sz w:val="18"/>
                <w:szCs w:val="18"/>
              </w:rPr>
            </w:pPr>
          </w:p>
        </w:tc>
        <w:tc>
          <w:tcPr>
            <w:tcW w:w="798" w:type="dxa"/>
            <w:vMerge/>
            <w:tcBorders>
              <w:top w:val="nil"/>
              <w:left w:val="single" w:sz="4" w:space="0" w:color="auto"/>
              <w:bottom w:val="single" w:sz="4" w:space="0" w:color="auto"/>
              <w:right w:val="single" w:sz="4" w:space="0" w:color="auto"/>
            </w:tcBorders>
            <w:vAlign w:val="center"/>
            <w:hideMark/>
          </w:tcPr>
          <w:p w14:paraId="7FC352C0" w14:textId="77777777" w:rsidR="000D2499" w:rsidRPr="003F1B9E" w:rsidRDefault="000D2499" w:rsidP="000D2499">
            <w:pPr>
              <w:spacing w:after="0"/>
              <w:jc w:val="center"/>
              <w:rPr>
                <w:rFonts w:eastAsia="Times New Roman"/>
                <w:color w:val="000000"/>
                <w:sz w:val="18"/>
                <w:szCs w:val="18"/>
              </w:rPr>
            </w:pPr>
          </w:p>
        </w:tc>
        <w:tc>
          <w:tcPr>
            <w:tcW w:w="472" w:type="dxa"/>
            <w:vMerge/>
            <w:tcBorders>
              <w:left w:val="single" w:sz="4" w:space="0" w:color="auto"/>
              <w:bottom w:val="single" w:sz="4" w:space="0" w:color="auto"/>
              <w:right w:val="single" w:sz="4" w:space="0" w:color="auto"/>
            </w:tcBorders>
            <w:vAlign w:val="center"/>
          </w:tcPr>
          <w:p w14:paraId="034A9427" w14:textId="77777777" w:rsidR="000D2499" w:rsidRPr="003F1B9E" w:rsidRDefault="000D2499" w:rsidP="000D2499">
            <w:pPr>
              <w:spacing w:after="0"/>
              <w:jc w:val="center"/>
              <w:rPr>
                <w:rFonts w:eastAsia="Times New Roman"/>
                <w:color w:val="000000"/>
                <w:sz w:val="18"/>
                <w:szCs w:val="18"/>
              </w:rPr>
            </w:pPr>
          </w:p>
        </w:tc>
      </w:tr>
      <w:tr w:rsidR="000D2499" w:rsidRPr="003F1B9E" w14:paraId="4496E318" w14:textId="77777777" w:rsidTr="000D2499">
        <w:trPr>
          <w:trHeight w:val="480"/>
        </w:trPr>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14:paraId="421CC134" w14:textId="77777777" w:rsidR="000D2499" w:rsidRPr="003F1B9E" w:rsidRDefault="000D2499" w:rsidP="000D2499">
            <w:pPr>
              <w:spacing w:after="0"/>
              <w:rPr>
                <w:rFonts w:eastAsia="Times New Roman"/>
                <w:b/>
                <w:bCs/>
                <w:color w:val="000000"/>
                <w:sz w:val="18"/>
                <w:szCs w:val="18"/>
              </w:rPr>
            </w:pPr>
            <w:r w:rsidRPr="003F1B9E">
              <w:rPr>
                <w:rFonts w:eastAsia="Times New Roman"/>
                <w:b/>
                <w:bCs/>
                <w:color w:val="000000"/>
                <w:sz w:val="18"/>
                <w:szCs w:val="18"/>
              </w:rPr>
              <w:t>6.3. Who benefits from biodiversity-related (including biosecurity) training and capacity building programs?</w:t>
            </w:r>
          </w:p>
        </w:tc>
        <w:tc>
          <w:tcPr>
            <w:tcW w:w="2610" w:type="dxa"/>
            <w:tcBorders>
              <w:top w:val="nil"/>
              <w:left w:val="nil"/>
              <w:bottom w:val="single" w:sz="4" w:space="0" w:color="auto"/>
              <w:right w:val="single" w:sz="4" w:space="0" w:color="auto"/>
            </w:tcBorders>
            <w:shd w:val="clear" w:color="auto" w:fill="auto"/>
            <w:vAlign w:val="center"/>
            <w:hideMark/>
          </w:tcPr>
          <w:p w14:paraId="642CB79D" w14:textId="77777777" w:rsidR="000D2499" w:rsidRPr="003F1B9E" w:rsidRDefault="000D2499" w:rsidP="000D2499">
            <w:pPr>
              <w:spacing w:after="0"/>
              <w:rPr>
                <w:rFonts w:eastAsia="Times New Roman"/>
                <w:color w:val="000000"/>
                <w:sz w:val="16"/>
                <w:szCs w:val="16"/>
              </w:rPr>
            </w:pPr>
            <w:r w:rsidRPr="003F1B9E">
              <w:rPr>
                <w:rFonts w:eastAsia="Times New Roman"/>
                <w:color w:val="000000"/>
                <w:sz w:val="16"/>
                <w:szCs w:val="16"/>
              </w:rPr>
              <w:t>Only one gender benefits from training and capacity building programs in biodiversity</w:t>
            </w:r>
          </w:p>
        </w:tc>
        <w:tc>
          <w:tcPr>
            <w:tcW w:w="450" w:type="dxa"/>
            <w:tcBorders>
              <w:top w:val="nil"/>
              <w:left w:val="nil"/>
              <w:bottom w:val="single" w:sz="4" w:space="0" w:color="auto"/>
              <w:right w:val="single" w:sz="4" w:space="0" w:color="auto"/>
            </w:tcBorders>
            <w:shd w:val="clear" w:color="auto" w:fill="auto"/>
            <w:noWrap/>
            <w:vAlign w:val="center"/>
            <w:hideMark/>
          </w:tcPr>
          <w:p w14:paraId="228CE611"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0</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62E076"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0</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49D0E0"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DF228E"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3D5AC1"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CF8EA9"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0</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A09647"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B1F410"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2</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ECF495"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2</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6FF21C"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2</w:t>
            </w:r>
          </w:p>
        </w:tc>
        <w:tc>
          <w:tcPr>
            <w:tcW w:w="5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A81149"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1.2</w:t>
            </w:r>
          </w:p>
        </w:tc>
        <w:tc>
          <w:tcPr>
            <w:tcW w:w="798" w:type="dxa"/>
            <w:vMerge w:val="restart"/>
            <w:tcBorders>
              <w:top w:val="nil"/>
              <w:left w:val="single" w:sz="4" w:space="0" w:color="auto"/>
              <w:bottom w:val="single" w:sz="4" w:space="0" w:color="auto"/>
              <w:right w:val="single" w:sz="4" w:space="0" w:color="auto"/>
            </w:tcBorders>
            <w:shd w:val="clear" w:color="auto" w:fill="auto"/>
            <w:noWrap/>
            <w:hideMark/>
          </w:tcPr>
          <w:p w14:paraId="2CABF3C3" w14:textId="77777777" w:rsidR="000D2499" w:rsidRPr="003536AA" w:rsidRDefault="000D2499" w:rsidP="000D2499">
            <w:pPr>
              <w:spacing w:after="0"/>
              <w:jc w:val="center"/>
              <w:rPr>
                <w:rFonts w:eastAsia="Times New Roman"/>
                <w:color w:val="000000"/>
                <w:sz w:val="18"/>
                <w:szCs w:val="18"/>
              </w:rPr>
            </w:pPr>
            <w:r w:rsidRPr="003F1B9E">
              <w:rPr>
                <w:rFonts w:eastAsia="Times New Roman"/>
                <w:color w:val="000000"/>
                <w:sz w:val="18"/>
                <w:szCs w:val="18"/>
              </w:rPr>
              <w:t>10</w:t>
            </w:r>
            <w:r w:rsidRPr="003536AA">
              <w:rPr>
                <w:rFonts w:eastAsia="Times New Roman"/>
                <w:color w:val="000000"/>
                <w:sz w:val="18"/>
                <w:szCs w:val="18"/>
              </w:rPr>
              <w:t xml:space="preserve"> out of 27</w:t>
            </w:r>
          </w:p>
          <w:p w14:paraId="5BB35C4D" w14:textId="77777777" w:rsidR="000D2499" w:rsidRPr="003536AA" w:rsidRDefault="000D2499" w:rsidP="000D2499">
            <w:pPr>
              <w:spacing w:after="0"/>
              <w:jc w:val="center"/>
              <w:rPr>
                <w:rFonts w:eastAsia="Times New Roman"/>
                <w:color w:val="000000"/>
                <w:sz w:val="18"/>
                <w:szCs w:val="18"/>
              </w:rPr>
            </w:pPr>
          </w:p>
          <w:p w14:paraId="0AE8D55C" w14:textId="77777777" w:rsidR="000D2499" w:rsidRPr="003F1B9E" w:rsidRDefault="000D2499" w:rsidP="000D2499">
            <w:pPr>
              <w:spacing w:after="0"/>
              <w:jc w:val="center"/>
              <w:rPr>
                <w:rFonts w:eastAsia="Times New Roman"/>
                <w:color w:val="000000"/>
                <w:sz w:val="18"/>
                <w:szCs w:val="18"/>
              </w:rPr>
            </w:pPr>
            <w:r w:rsidRPr="003536AA">
              <w:rPr>
                <w:rFonts w:eastAsia="Times New Roman"/>
                <w:color w:val="000000"/>
                <w:sz w:val="18"/>
                <w:szCs w:val="18"/>
              </w:rPr>
              <w:t>37%</w:t>
            </w:r>
          </w:p>
        </w:tc>
        <w:tc>
          <w:tcPr>
            <w:tcW w:w="472" w:type="dxa"/>
            <w:vMerge w:val="restart"/>
            <w:tcBorders>
              <w:top w:val="nil"/>
              <w:left w:val="single" w:sz="4" w:space="0" w:color="auto"/>
              <w:right w:val="single" w:sz="4" w:space="0" w:color="auto"/>
            </w:tcBorders>
          </w:tcPr>
          <w:p w14:paraId="214DE6AB"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2</w:t>
            </w:r>
            <w:r w:rsidRPr="003536AA">
              <w:rPr>
                <w:rFonts w:eastAsia="Times New Roman"/>
                <w:color w:val="000000"/>
                <w:sz w:val="18"/>
                <w:szCs w:val="18"/>
              </w:rPr>
              <w:t xml:space="preserve"> out of 3</w:t>
            </w:r>
          </w:p>
        </w:tc>
      </w:tr>
      <w:tr w:rsidR="000D2499" w:rsidRPr="003F1B9E" w14:paraId="6D0D2A10" w14:textId="77777777" w:rsidTr="000D2499">
        <w:trPr>
          <w:trHeight w:val="720"/>
        </w:trPr>
        <w:tc>
          <w:tcPr>
            <w:tcW w:w="1170" w:type="dxa"/>
            <w:vMerge/>
            <w:tcBorders>
              <w:top w:val="nil"/>
              <w:left w:val="single" w:sz="4" w:space="0" w:color="auto"/>
              <w:bottom w:val="single" w:sz="4" w:space="0" w:color="auto"/>
              <w:right w:val="single" w:sz="4" w:space="0" w:color="auto"/>
            </w:tcBorders>
            <w:vAlign w:val="center"/>
            <w:hideMark/>
          </w:tcPr>
          <w:p w14:paraId="6B92F9AA" w14:textId="77777777" w:rsidR="000D2499" w:rsidRPr="003F1B9E" w:rsidRDefault="000D2499" w:rsidP="000D2499">
            <w:pPr>
              <w:spacing w:after="0"/>
              <w:rPr>
                <w:rFonts w:eastAsia="Times New Roman"/>
                <w:b/>
                <w:bCs/>
                <w:color w:val="000000"/>
                <w:sz w:val="18"/>
                <w:szCs w:val="18"/>
              </w:rPr>
            </w:pPr>
          </w:p>
        </w:tc>
        <w:tc>
          <w:tcPr>
            <w:tcW w:w="2610" w:type="dxa"/>
            <w:tcBorders>
              <w:top w:val="nil"/>
              <w:left w:val="nil"/>
              <w:bottom w:val="single" w:sz="4" w:space="0" w:color="auto"/>
              <w:right w:val="single" w:sz="4" w:space="0" w:color="auto"/>
            </w:tcBorders>
            <w:shd w:val="clear" w:color="auto" w:fill="auto"/>
            <w:vAlign w:val="center"/>
            <w:hideMark/>
          </w:tcPr>
          <w:p w14:paraId="0080E8D2" w14:textId="77777777" w:rsidR="000D2499" w:rsidRPr="003F1B9E" w:rsidRDefault="000D2499" w:rsidP="000D2499">
            <w:pPr>
              <w:spacing w:after="0"/>
              <w:rPr>
                <w:rFonts w:eastAsia="Times New Roman"/>
                <w:color w:val="000000"/>
                <w:sz w:val="16"/>
                <w:szCs w:val="16"/>
              </w:rPr>
            </w:pPr>
            <w:r w:rsidRPr="003F1B9E">
              <w:rPr>
                <w:rFonts w:eastAsia="Times New Roman"/>
                <w:color w:val="000000"/>
                <w:sz w:val="16"/>
                <w:szCs w:val="16"/>
              </w:rPr>
              <w:t>Both genders receive training and participate in capacity building exercises, but the participation is dominated by one gender</w:t>
            </w:r>
          </w:p>
        </w:tc>
        <w:tc>
          <w:tcPr>
            <w:tcW w:w="450" w:type="dxa"/>
            <w:tcBorders>
              <w:top w:val="nil"/>
              <w:left w:val="nil"/>
              <w:bottom w:val="single" w:sz="4" w:space="0" w:color="auto"/>
              <w:right w:val="single" w:sz="4" w:space="0" w:color="auto"/>
            </w:tcBorders>
            <w:shd w:val="clear" w:color="auto" w:fill="auto"/>
            <w:noWrap/>
            <w:vAlign w:val="center"/>
            <w:hideMark/>
          </w:tcPr>
          <w:p w14:paraId="6C706FB7"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w:t>
            </w:r>
          </w:p>
        </w:tc>
        <w:tc>
          <w:tcPr>
            <w:tcW w:w="460" w:type="dxa"/>
            <w:vMerge/>
            <w:tcBorders>
              <w:top w:val="nil"/>
              <w:left w:val="single" w:sz="4" w:space="0" w:color="auto"/>
              <w:bottom w:val="single" w:sz="4" w:space="0" w:color="auto"/>
              <w:right w:val="single" w:sz="4" w:space="0" w:color="auto"/>
            </w:tcBorders>
            <w:vAlign w:val="center"/>
            <w:hideMark/>
          </w:tcPr>
          <w:p w14:paraId="307ABEDC"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6FF8DB34"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38FE5F90"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11A4F2F4"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000933BD"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7C129CDE"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7118EE3A"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64781F2E"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6F510824" w14:textId="77777777" w:rsidR="000D2499" w:rsidRPr="003F1B9E" w:rsidRDefault="000D2499" w:rsidP="000D2499">
            <w:pPr>
              <w:spacing w:after="0"/>
              <w:jc w:val="center"/>
              <w:rPr>
                <w:rFonts w:eastAsia="Times New Roman"/>
                <w:color w:val="000000"/>
                <w:sz w:val="18"/>
                <w:szCs w:val="18"/>
              </w:rPr>
            </w:pPr>
          </w:p>
        </w:tc>
        <w:tc>
          <w:tcPr>
            <w:tcW w:w="538" w:type="dxa"/>
            <w:vMerge/>
            <w:tcBorders>
              <w:top w:val="nil"/>
              <w:left w:val="single" w:sz="4" w:space="0" w:color="auto"/>
              <w:bottom w:val="single" w:sz="4" w:space="0" w:color="auto"/>
              <w:right w:val="single" w:sz="4" w:space="0" w:color="auto"/>
            </w:tcBorders>
            <w:vAlign w:val="center"/>
            <w:hideMark/>
          </w:tcPr>
          <w:p w14:paraId="12B24484" w14:textId="77777777" w:rsidR="000D2499" w:rsidRPr="003F1B9E" w:rsidRDefault="000D2499" w:rsidP="000D2499">
            <w:pPr>
              <w:spacing w:after="0"/>
              <w:jc w:val="center"/>
              <w:rPr>
                <w:rFonts w:eastAsia="Times New Roman"/>
                <w:color w:val="000000"/>
                <w:sz w:val="18"/>
                <w:szCs w:val="18"/>
              </w:rPr>
            </w:pPr>
          </w:p>
        </w:tc>
        <w:tc>
          <w:tcPr>
            <w:tcW w:w="798" w:type="dxa"/>
            <w:vMerge/>
            <w:tcBorders>
              <w:top w:val="nil"/>
              <w:left w:val="single" w:sz="4" w:space="0" w:color="auto"/>
              <w:bottom w:val="single" w:sz="4" w:space="0" w:color="auto"/>
              <w:right w:val="single" w:sz="4" w:space="0" w:color="auto"/>
            </w:tcBorders>
            <w:vAlign w:val="center"/>
            <w:hideMark/>
          </w:tcPr>
          <w:p w14:paraId="5BFB441C" w14:textId="77777777" w:rsidR="000D2499" w:rsidRPr="003F1B9E" w:rsidRDefault="000D2499" w:rsidP="000D2499">
            <w:pPr>
              <w:spacing w:after="0"/>
              <w:jc w:val="center"/>
              <w:rPr>
                <w:rFonts w:eastAsia="Times New Roman"/>
                <w:color w:val="000000"/>
                <w:sz w:val="18"/>
                <w:szCs w:val="18"/>
              </w:rPr>
            </w:pPr>
          </w:p>
        </w:tc>
        <w:tc>
          <w:tcPr>
            <w:tcW w:w="472" w:type="dxa"/>
            <w:vMerge/>
            <w:tcBorders>
              <w:left w:val="single" w:sz="4" w:space="0" w:color="auto"/>
              <w:right w:val="single" w:sz="4" w:space="0" w:color="auto"/>
            </w:tcBorders>
            <w:vAlign w:val="center"/>
          </w:tcPr>
          <w:p w14:paraId="5170BCF0" w14:textId="77777777" w:rsidR="000D2499" w:rsidRPr="003F1B9E" w:rsidRDefault="000D2499" w:rsidP="000D2499">
            <w:pPr>
              <w:spacing w:after="0"/>
              <w:jc w:val="center"/>
              <w:rPr>
                <w:rFonts w:eastAsia="Times New Roman"/>
                <w:color w:val="000000"/>
                <w:sz w:val="18"/>
                <w:szCs w:val="18"/>
              </w:rPr>
            </w:pPr>
          </w:p>
        </w:tc>
      </w:tr>
      <w:tr w:rsidR="000D2499" w:rsidRPr="003F1B9E" w14:paraId="6694A92A" w14:textId="77777777" w:rsidTr="000D2499">
        <w:trPr>
          <w:trHeight w:val="720"/>
        </w:trPr>
        <w:tc>
          <w:tcPr>
            <w:tcW w:w="1170" w:type="dxa"/>
            <w:vMerge/>
            <w:tcBorders>
              <w:top w:val="nil"/>
              <w:left w:val="single" w:sz="4" w:space="0" w:color="auto"/>
              <w:bottom w:val="single" w:sz="4" w:space="0" w:color="auto"/>
              <w:right w:val="single" w:sz="4" w:space="0" w:color="auto"/>
            </w:tcBorders>
            <w:vAlign w:val="center"/>
            <w:hideMark/>
          </w:tcPr>
          <w:p w14:paraId="2D1390B7" w14:textId="77777777" w:rsidR="000D2499" w:rsidRPr="003F1B9E" w:rsidRDefault="000D2499" w:rsidP="000D2499">
            <w:pPr>
              <w:spacing w:after="0"/>
              <w:rPr>
                <w:rFonts w:eastAsia="Times New Roman"/>
                <w:b/>
                <w:bCs/>
                <w:color w:val="000000"/>
                <w:sz w:val="18"/>
                <w:szCs w:val="18"/>
              </w:rPr>
            </w:pPr>
          </w:p>
        </w:tc>
        <w:tc>
          <w:tcPr>
            <w:tcW w:w="2610" w:type="dxa"/>
            <w:tcBorders>
              <w:top w:val="nil"/>
              <w:left w:val="nil"/>
              <w:bottom w:val="single" w:sz="4" w:space="0" w:color="auto"/>
              <w:right w:val="single" w:sz="4" w:space="0" w:color="auto"/>
            </w:tcBorders>
            <w:shd w:val="clear" w:color="auto" w:fill="auto"/>
            <w:vAlign w:val="center"/>
            <w:hideMark/>
          </w:tcPr>
          <w:p w14:paraId="62A37B58" w14:textId="77777777" w:rsidR="000D2499" w:rsidRPr="003F1B9E" w:rsidRDefault="000D2499" w:rsidP="000D2499">
            <w:pPr>
              <w:spacing w:after="0"/>
              <w:rPr>
                <w:rFonts w:eastAsia="Times New Roman"/>
                <w:color w:val="000000"/>
                <w:sz w:val="16"/>
                <w:szCs w:val="16"/>
              </w:rPr>
            </w:pPr>
            <w:r w:rsidRPr="003F1B9E">
              <w:rPr>
                <w:rFonts w:eastAsia="Times New Roman"/>
                <w:color w:val="000000"/>
                <w:sz w:val="16"/>
                <w:szCs w:val="16"/>
              </w:rPr>
              <w:t>Both men and women participate in trainings and capacity building exercises, but within clearly separate roles or focusing on clearly different content</w:t>
            </w:r>
          </w:p>
        </w:tc>
        <w:tc>
          <w:tcPr>
            <w:tcW w:w="450" w:type="dxa"/>
            <w:tcBorders>
              <w:top w:val="nil"/>
              <w:left w:val="nil"/>
              <w:bottom w:val="single" w:sz="4" w:space="0" w:color="auto"/>
              <w:right w:val="single" w:sz="4" w:space="0" w:color="auto"/>
            </w:tcBorders>
            <w:shd w:val="clear" w:color="auto" w:fill="auto"/>
            <w:noWrap/>
            <w:vAlign w:val="center"/>
            <w:hideMark/>
          </w:tcPr>
          <w:p w14:paraId="34BFC805"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2</w:t>
            </w:r>
          </w:p>
        </w:tc>
        <w:tc>
          <w:tcPr>
            <w:tcW w:w="460" w:type="dxa"/>
            <w:vMerge/>
            <w:tcBorders>
              <w:top w:val="nil"/>
              <w:left w:val="single" w:sz="4" w:space="0" w:color="auto"/>
              <w:bottom w:val="single" w:sz="4" w:space="0" w:color="auto"/>
              <w:right w:val="single" w:sz="4" w:space="0" w:color="auto"/>
            </w:tcBorders>
            <w:vAlign w:val="center"/>
            <w:hideMark/>
          </w:tcPr>
          <w:p w14:paraId="3C69349E"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2B147235"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4A6E28CE"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7F204099"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135B1EA7"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29B3A3E4"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6BA336A5"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6F744975"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5B32EE89" w14:textId="77777777" w:rsidR="000D2499" w:rsidRPr="003F1B9E" w:rsidRDefault="000D2499" w:rsidP="000D2499">
            <w:pPr>
              <w:spacing w:after="0"/>
              <w:jc w:val="center"/>
              <w:rPr>
                <w:rFonts w:eastAsia="Times New Roman"/>
                <w:color w:val="000000"/>
                <w:sz w:val="18"/>
                <w:szCs w:val="18"/>
              </w:rPr>
            </w:pPr>
          </w:p>
        </w:tc>
        <w:tc>
          <w:tcPr>
            <w:tcW w:w="538" w:type="dxa"/>
            <w:vMerge/>
            <w:tcBorders>
              <w:top w:val="nil"/>
              <w:left w:val="single" w:sz="4" w:space="0" w:color="auto"/>
              <w:bottom w:val="single" w:sz="4" w:space="0" w:color="auto"/>
              <w:right w:val="single" w:sz="4" w:space="0" w:color="auto"/>
            </w:tcBorders>
            <w:vAlign w:val="center"/>
            <w:hideMark/>
          </w:tcPr>
          <w:p w14:paraId="4BF5E04D" w14:textId="77777777" w:rsidR="000D2499" w:rsidRPr="003F1B9E" w:rsidRDefault="000D2499" w:rsidP="000D2499">
            <w:pPr>
              <w:spacing w:after="0"/>
              <w:jc w:val="center"/>
              <w:rPr>
                <w:rFonts w:eastAsia="Times New Roman"/>
                <w:color w:val="000000"/>
                <w:sz w:val="18"/>
                <w:szCs w:val="18"/>
              </w:rPr>
            </w:pPr>
          </w:p>
        </w:tc>
        <w:tc>
          <w:tcPr>
            <w:tcW w:w="798" w:type="dxa"/>
            <w:vMerge/>
            <w:tcBorders>
              <w:top w:val="nil"/>
              <w:left w:val="single" w:sz="4" w:space="0" w:color="auto"/>
              <w:bottom w:val="single" w:sz="4" w:space="0" w:color="auto"/>
              <w:right w:val="single" w:sz="4" w:space="0" w:color="auto"/>
            </w:tcBorders>
            <w:vAlign w:val="center"/>
            <w:hideMark/>
          </w:tcPr>
          <w:p w14:paraId="32AABE58" w14:textId="77777777" w:rsidR="000D2499" w:rsidRPr="003F1B9E" w:rsidRDefault="000D2499" w:rsidP="000D2499">
            <w:pPr>
              <w:spacing w:after="0"/>
              <w:jc w:val="center"/>
              <w:rPr>
                <w:rFonts w:eastAsia="Times New Roman"/>
                <w:color w:val="000000"/>
                <w:sz w:val="18"/>
                <w:szCs w:val="18"/>
              </w:rPr>
            </w:pPr>
          </w:p>
        </w:tc>
        <w:tc>
          <w:tcPr>
            <w:tcW w:w="472" w:type="dxa"/>
            <w:vMerge/>
            <w:tcBorders>
              <w:left w:val="single" w:sz="4" w:space="0" w:color="auto"/>
              <w:right w:val="single" w:sz="4" w:space="0" w:color="auto"/>
            </w:tcBorders>
            <w:vAlign w:val="center"/>
          </w:tcPr>
          <w:p w14:paraId="5B54FDAC" w14:textId="77777777" w:rsidR="000D2499" w:rsidRPr="003F1B9E" w:rsidRDefault="000D2499" w:rsidP="000D2499">
            <w:pPr>
              <w:spacing w:after="0"/>
              <w:jc w:val="center"/>
              <w:rPr>
                <w:rFonts w:eastAsia="Times New Roman"/>
                <w:color w:val="000000"/>
                <w:sz w:val="18"/>
                <w:szCs w:val="18"/>
              </w:rPr>
            </w:pPr>
          </w:p>
        </w:tc>
      </w:tr>
      <w:tr w:rsidR="000D2499" w:rsidRPr="003F1B9E" w14:paraId="0FB76875" w14:textId="77777777" w:rsidTr="000D2499">
        <w:trPr>
          <w:trHeight w:val="480"/>
        </w:trPr>
        <w:tc>
          <w:tcPr>
            <w:tcW w:w="1170" w:type="dxa"/>
            <w:vMerge/>
            <w:tcBorders>
              <w:top w:val="nil"/>
              <w:left w:val="single" w:sz="4" w:space="0" w:color="auto"/>
              <w:bottom w:val="single" w:sz="4" w:space="0" w:color="auto"/>
              <w:right w:val="single" w:sz="4" w:space="0" w:color="auto"/>
            </w:tcBorders>
            <w:vAlign w:val="center"/>
            <w:hideMark/>
          </w:tcPr>
          <w:p w14:paraId="702AAFDC" w14:textId="77777777" w:rsidR="000D2499" w:rsidRPr="003F1B9E" w:rsidRDefault="000D2499" w:rsidP="000D2499">
            <w:pPr>
              <w:spacing w:after="0"/>
              <w:rPr>
                <w:rFonts w:eastAsia="Times New Roman"/>
                <w:b/>
                <w:bCs/>
                <w:color w:val="000000"/>
                <w:sz w:val="18"/>
                <w:szCs w:val="18"/>
              </w:rPr>
            </w:pPr>
          </w:p>
        </w:tc>
        <w:tc>
          <w:tcPr>
            <w:tcW w:w="2610" w:type="dxa"/>
            <w:tcBorders>
              <w:top w:val="nil"/>
              <w:left w:val="nil"/>
              <w:bottom w:val="single" w:sz="4" w:space="0" w:color="auto"/>
              <w:right w:val="single" w:sz="4" w:space="0" w:color="auto"/>
            </w:tcBorders>
            <w:shd w:val="clear" w:color="auto" w:fill="auto"/>
            <w:vAlign w:val="center"/>
            <w:hideMark/>
          </w:tcPr>
          <w:p w14:paraId="30A97193" w14:textId="77777777" w:rsidR="000D2499" w:rsidRPr="003F1B9E" w:rsidRDefault="000D2499" w:rsidP="000D2499">
            <w:pPr>
              <w:spacing w:after="0"/>
              <w:rPr>
                <w:rFonts w:eastAsia="Times New Roman"/>
                <w:color w:val="000000"/>
                <w:sz w:val="16"/>
                <w:szCs w:val="16"/>
              </w:rPr>
            </w:pPr>
            <w:r w:rsidRPr="003F1B9E">
              <w:rPr>
                <w:rFonts w:eastAsia="Times New Roman"/>
                <w:color w:val="000000"/>
                <w:sz w:val="16"/>
                <w:szCs w:val="16"/>
              </w:rPr>
              <w:t>Both men and women receive equal training and capacity building across all biodiversity training opportunities</w:t>
            </w:r>
          </w:p>
        </w:tc>
        <w:tc>
          <w:tcPr>
            <w:tcW w:w="450" w:type="dxa"/>
            <w:tcBorders>
              <w:top w:val="nil"/>
              <w:left w:val="nil"/>
              <w:bottom w:val="single" w:sz="4" w:space="0" w:color="auto"/>
              <w:right w:val="single" w:sz="4" w:space="0" w:color="auto"/>
            </w:tcBorders>
            <w:shd w:val="clear" w:color="auto" w:fill="auto"/>
            <w:noWrap/>
            <w:vAlign w:val="center"/>
            <w:hideMark/>
          </w:tcPr>
          <w:p w14:paraId="6F76E88B"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3</w:t>
            </w:r>
          </w:p>
        </w:tc>
        <w:tc>
          <w:tcPr>
            <w:tcW w:w="460" w:type="dxa"/>
            <w:vMerge/>
            <w:tcBorders>
              <w:top w:val="nil"/>
              <w:left w:val="single" w:sz="4" w:space="0" w:color="auto"/>
              <w:bottom w:val="single" w:sz="4" w:space="0" w:color="auto"/>
              <w:right w:val="single" w:sz="4" w:space="0" w:color="auto"/>
            </w:tcBorders>
            <w:vAlign w:val="center"/>
            <w:hideMark/>
          </w:tcPr>
          <w:p w14:paraId="3FC41C06"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6173F203"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38184325"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15D4A50E"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19CCCFEC"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61514F4C"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075C0A27"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70FE3116"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62AE1EAA" w14:textId="77777777" w:rsidR="000D2499" w:rsidRPr="003F1B9E" w:rsidRDefault="000D2499" w:rsidP="000D2499">
            <w:pPr>
              <w:spacing w:after="0"/>
              <w:jc w:val="center"/>
              <w:rPr>
                <w:rFonts w:eastAsia="Times New Roman"/>
                <w:color w:val="000000"/>
                <w:sz w:val="18"/>
                <w:szCs w:val="18"/>
              </w:rPr>
            </w:pPr>
          </w:p>
        </w:tc>
        <w:tc>
          <w:tcPr>
            <w:tcW w:w="538" w:type="dxa"/>
            <w:vMerge/>
            <w:tcBorders>
              <w:top w:val="nil"/>
              <w:left w:val="single" w:sz="4" w:space="0" w:color="auto"/>
              <w:bottom w:val="single" w:sz="4" w:space="0" w:color="auto"/>
              <w:right w:val="single" w:sz="4" w:space="0" w:color="auto"/>
            </w:tcBorders>
            <w:vAlign w:val="center"/>
            <w:hideMark/>
          </w:tcPr>
          <w:p w14:paraId="4CDB3B65" w14:textId="77777777" w:rsidR="000D2499" w:rsidRPr="003F1B9E" w:rsidRDefault="000D2499" w:rsidP="000D2499">
            <w:pPr>
              <w:spacing w:after="0"/>
              <w:jc w:val="center"/>
              <w:rPr>
                <w:rFonts w:eastAsia="Times New Roman"/>
                <w:color w:val="000000"/>
                <w:sz w:val="18"/>
                <w:szCs w:val="18"/>
              </w:rPr>
            </w:pPr>
          </w:p>
        </w:tc>
        <w:tc>
          <w:tcPr>
            <w:tcW w:w="798" w:type="dxa"/>
            <w:vMerge/>
            <w:tcBorders>
              <w:top w:val="nil"/>
              <w:left w:val="single" w:sz="4" w:space="0" w:color="auto"/>
              <w:bottom w:val="single" w:sz="4" w:space="0" w:color="auto"/>
              <w:right w:val="single" w:sz="4" w:space="0" w:color="auto"/>
            </w:tcBorders>
            <w:vAlign w:val="center"/>
            <w:hideMark/>
          </w:tcPr>
          <w:p w14:paraId="11827127" w14:textId="77777777" w:rsidR="000D2499" w:rsidRPr="003F1B9E" w:rsidRDefault="000D2499" w:rsidP="000D2499">
            <w:pPr>
              <w:spacing w:after="0"/>
              <w:jc w:val="center"/>
              <w:rPr>
                <w:rFonts w:eastAsia="Times New Roman"/>
                <w:color w:val="000000"/>
                <w:sz w:val="18"/>
                <w:szCs w:val="18"/>
              </w:rPr>
            </w:pPr>
          </w:p>
        </w:tc>
        <w:tc>
          <w:tcPr>
            <w:tcW w:w="472" w:type="dxa"/>
            <w:vMerge/>
            <w:tcBorders>
              <w:left w:val="single" w:sz="4" w:space="0" w:color="auto"/>
              <w:bottom w:val="single" w:sz="4" w:space="0" w:color="auto"/>
              <w:right w:val="single" w:sz="4" w:space="0" w:color="auto"/>
            </w:tcBorders>
            <w:vAlign w:val="center"/>
          </w:tcPr>
          <w:p w14:paraId="543BA861" w14:textId="77777777" w:rsidR="000D2499" w:rsidRPr="003F1B9E" w:rsidRDefault="000D2499" w:rsidP="000D2499">
            <w:pPr>
              <w:spacing w:after="0"/>
              <w:jc w:val="center"/>
              <w:rPr>
                <w:rFonts w:eastAsia="Times New Roman"/>
                <w:color w:val="000000"/>
                <w:sz w:val="18"/>
                <w:szCs w:val="18"/>
              </w:rPr>
            </w:pPr>
          </w:p>
        </w:tc>
      </w:tr>
      <w:tr w:rsidR="000D2499" w:rsidRPr="003F1B9E" w14:paraId="6A54F1FA" w14:textId="77777777" w:rsidTr="000D2499">
        <w:trPr>
          <w:trHeight w:val="255"/>
        </w:trPr>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14:paraId="0A2F1478" w14:textId="77777777" w:rsidR="000D2499" w:rsidRPr="003F1B9E" w:rsidRDefault="000D2499" w:rsidP="000D2499">
            <w:pPr>
              <w:spacing w:after="0"/>
              <w:rPr>
                <w:rFonts w:eastAsia="Times New Roman"/>
                <w:b/>
                <w:bCs/>
                <w:color w:val="000000"/>
                <w:sz w:val="18"/>
                <w:szCs w:val="18"/>
              </w:rPr>
            </w:pPr>
            <w:r w:rsidRPr="003F1B9E">
              <w:rPr>
                <w:rFonts w:eastAsia="Times New Roman"/>
                <w:b/>
                <w:bCs/>
                <w:color w:val="000000"/>
                <w:sz w:val="18"/>
                <w:szCs w:val="18"/>
              </w:rPr>
              <w:t>6.4. Who has participated in past biodiversity-related projects?</w:t>
            </w:r>
          </w:p>
        </w:tc>
        <w:tc>
          <w:tcPr>
            <w:tcW w:w="2610" w:type="dxa"/>
            <w:tcBorders>
              <w:top w:val="nil"/>
              <w:left w:val="nil"/>
              <w:bottom w:val="single" w:sz="4" w:space="0" w:color="auto"/>
              <w:right w:val="single" w:sz="4" w:space="0" w:color="auto"/>
            </w:tcBorders>
            <w:shd w:val="clear" w:color="auto" w:fill="auto"/>
            <w:vAlign w:val="center"/>
            <w:hideMark/>
          </w:tcPr>
          <w:p w14:paraId="4B30E967" w14:textId="77777777" w:rsidR="000D2499" w:rsidRPr="003F1B9E" w:rsidRDefault="000D2499" w:rsidP="000D2499">
            <w:pPr>
              <w:spacing w:after="0"/>
              <w:rPr>
                <w:rFonts w:eastAsia="Times New Roman"/>
                <w:color w:val="000000"/>
                <w:sz w:val="16"/>
                <w:szCs w:val="16"/>
              </w:rPr>
            </w:pPr>
            <w:r w:rsidRPr="003F1B9E">
              <w:rPr>
                <w:rFonts w:eastAsia="Times New Roman"/>
                <w:color w:val="000000"/>
                <w:sz w:val="16"/>
                <w:szCs w:val="16"/>
              </w:rPr>
              <w:t>Only one gender has participated in past projects</w:t>
            </w:r>
          </w:p>
        </w:tc>
        <w:tc>
          <w:tcPr>
            <w:tcW w:w="450" w:type="dxa"/>
            <w:tcBorders>
              <w:top w:val="nil"/>
              <w:left w:val="nil"/>
              <w:bottom w:val="single" w:sz="4" w:space="0" w:color="auto"/>
              <w:right w:val="single" w:sz="4" w:space="0" w:color="auto"/>
            </w:tcBorders>
            <w:shd w:val="clear" w:color="auto" w:fill="auto"/>
            <w:noWrap/>
            <w:vAlign w:val="center"/>
            <w:hideMark/>
          </w:tcPr>
          <w:p w14:paraId="2E76FBE5"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0</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AA541D"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3</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69A0CC"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4A77CA"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E27DBD"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FE9127"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1368AC"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A370B7"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2</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27FB57"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3</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E210CC"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2</w:t>
            </w:r>
          </w:p>
        </w:tc>
        <w:tc>
          <w:tcPr>
            <w:tcW w:w="5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AB33EF"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1.7</w:t>
            </w:r>
          </w:p>
        </w:tc>
        <w:tc>
          <w:tcPr>
            <w:tcW w:w="798" w:type="dxa"/>
            <w:vMerge w:val="restart"/>
            <w:tcBorders>
              <w:top w:val="nil"/>
              <w:left w:val="single" w:sz="4" w:space="0" w:color="auto"/>
              <w:bottom w:val="single" w:sz="4" w:space="0" w:color="auto"/>
              <w:right w:val="single" w:sz="4" w:space="0" w:color="auto"/>
            </w:tcBorders>
            <w:shd w:val="clear" w:color="auto" w:fill="auto"/>
            <w:noWrap/>
            <w:hideMark/>
          </w:tcPr>
          <w:p w14:paraId="11F418CA" w14:textId="77777777" w:rsidR="000D2499" w:rsidRPr="003536AA" w:rsidRDefault="000D2499" w:rsidP="000D2499">
            <w:pPr>
              <w:spacing w:after="0"/>
              <w:jc w:val="center"/>
              <w:rPr>
                <w:rFonts w:eastAsia="Times New Roman"/>
                <w:color w:val="000000"/>
                <w:sz w:val="18"/>
                <w:szCs w:val="18"/>
              </w:rPr>
            </w:pPr>
            <w:r w:rsidRPr="003F1B9E">
              <w:rPr>
                <w:rFonts w:eastAsia="Times New Roman"/>
                <w:color w:val="000000"/>
                <w:sz w:val="18"/>
                <w:szCs w:val="18"/>
              </w:rPr>
              <w:t>15</w:t>
            </w:r>
            <w:r w:rsidRPr="003536AA">
              <w:rPr>
                <w:rFonts w:eastAsia="Times New Roman"/>
                <w:color w:val="000000"/>
                <w:sz w:val="18"/>
                <w:szCs w:val="18"/>
              </w:rPr>
              <w:t xml:space="preserve"> out of 27</w:t>
            </w:r>
          </w:p>
          <w:p w14:paraId="5C67C35D" w14:textId="77777777" w:rsidR="000D2499" w:rsidRPr="003536AA" w:rsidRDefault="000D2499" w:rsidP="000D2499">
            <w:pPr>
              <w:spacing w:after="0"/>
              <w:jc w:val="center"/>
              <w:rPr>
                <w:rFonts w:eastAsia="Times New Roman"/>
                <w:color w:val="000000"/>
                <w:sz w:val="18"/>
                <w:szCs w:val="18"/>
              </w:rPr>
            </w:pPr>
          </w:p>
          <w:p w14:paraId="13BEB9A7" w14:textId="77777777" w:rsidR="000D2499" w:rsidRPr="003F1B9E" w:rsidRDefault="000D2499" w:rsidP="000D2499">
            <w:pPr>
              <w:spacing w:after="0"/>
              <w:jc w:val="center"/>
              <w:rPr>
                <w:rFonts w:eastAsia="Times New Roman"/>
                <w:color w:val="000000"/>
                <w:sz w:val="18"/>
                <w:szCs w:val="18"/>
              </w:rPr>
            </w:pPr>
            <w:r w:rsidRPr="003536AA">
              <w:rPr>
                <w:rFonts w:eastAsia="Times New Roman"/>
                <w:color w:val="000000"/>
                <w:sz w:val="18"/>
                <w:szCs w:val="18"/>
              </w:rPr>
              <w:t>56%</w:t>
            </w:r>
          </w:p>
        </w:tc>
        <w:tc>
          <w:tcPr>
            <w:tcW w:w="472" w:type="dxa"/>
            <w:vMerge w:val="restart"/>
            <w:tcBorders>
              <w:top w:val="nil"/>
              <w:left w:val="single" w:sz="4" w:space="0" w:color="auto"/>
              <w:right w:val="single" w:sz="4" w:space="0" w:color="auto"/>
            </w:tcBorders>
          </w:tcPr>
          <w:p w14:paraId="16E5009B"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2</w:t>
            </w:r>
            <w:r w:rsidRPr="003536AA">
              <w:rPr>
                <w:rFonts w:eastAsia="Times New Roman"/>
                <w:color w:val="000000"/>
                <w:sz w:val="18"/>
                <w:szCs w:val="18"/>
              </w:rPr>
              <w:t xml:space="preserve"> out of 3</w:t>
            </w:r>
          </w:p>
        </w:tc>
      </w:tr>
      <w:tr w:rsidR="000D2499" w:rsidRPr="003F1B9E" w14:paraId="0BD63721" w14:textId="77777777" w:rsidTr="000D2499">
        <w:trPr>
          <w:trHeight w:val="480"/>
        </w:trPr>
        <w:tc>
          <w:tcPr>
            <w:tcW w:w="1170" w:type="dxa"/>
            <w:vMerge/>
            <w:tcBorders>
              <w:top w:val="nil"/>
              <w:left w:val="single" w:sz="4" w:space="0" w:color="auto"/>
              <w:bottom w:val="single" w:sz="4" w:space="0" w:color="auto"/>
              <w:right w:val="single" w:sz="4" w:space="0" w:color="auto"/>
            </w:tcBorders>
            <w:vAlign w:val="center"/>
            <w:hideMark/>
          </w:tcPr>
          <w:p w14:paraId="57D40273" w14:textId="77777777" w:rsidR="000D2499" w:rsidRPr="003F1B9E" w:rsidRDefault="000D2499" w:rsidP="000D2499">
            <w:pPr>
              <w:spacing w:after="0"/>
              <w:rPr>
                <w:rFonts w:eastAsia="Times New Roman"/>
                <w:b/>
                <w:bCs/>
                <w:color w:val="000000"/>
                <w:sz w:val="18"/>
                <w:szCs w:val="18"/>
              </w:rPr>
            </w:pPr>
          </w:p>
        </w:tc>
        <w:tc>
          <w:tcPr>
            <w:tcW w:w="2610" w:type="dxa"/>
            <w:tcBorders>
              <w:top w:val="nil"/>
              <w:left w:val="nil"/>
              <w:bottom w:val="single" w:sz="4" w:space="0" w:color="auto"/>
              <w:right w:val="single" w:sz="4" w:space="0" w:color="auto"/>
            </w:tcBorders>
            <w:shd w:val="clear" w:color="auto" w:fill="auto"/>
            <w:vAlign w:val="center"/>
            <w:hideMark/>
          </w:tcPr>
          <w:p w14:paraId="7B6ECE90" w14:textId="77777777" w:rsidR="000D2499" w:rsidRPr="003F1B9E" w:rsidRDefault="000D2499" w:rsidP="000D2499">
            <w:pPr>
              <w:spacing w:after="0"/>
              <w:rPr>
                <w:rFonts w:eastAsia="Times New Roman"/>
                <w:color w:val="000000"/>
                <w:sz w:val="16"/>
                <w:szCs w:val="16"/>
              </w:rPr>
            </w:pPr>
            <w:r w:rsidRPr="003F1B9E">
              <w:rPr>
                <w:rFonts w:eastAsia="Times New Roman"/>
                <w:color w:val="000000"/>
                <w:sz w:val="16"/>
                <w:szCs w:val="16"/>
              </w:rPr>
              <w:t>Both genders have participated, but dominated by one gender</w:t>
            </w:r>
          </w:p>
        </w:tc>
        <w:tc>
          <w:tcPr>
            <w:tcW w:w="450" w:type="dxa"/>
            <w:tcBorders>
              <w:top w:val="nil"/>
              <w:left w:val="nil"/>
              <w:bottom w:val="single" w:sz="4" w:space="0" w:color="auto"/>
              <w:right w:val="single" w:sz="4" w:space="0" w:color="auto"/>
            </w:tcBorders>
            <w:shd w:val="clear" w:color="auto" w:fill="auto"/>
            <w:noWrap/>
            <w:vAlign w:val="center"/>
            <w:hideMark/>
          </w:tcPr>
          <w:p w14:paraId="64F773E1"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w:t>
            </w:r>
          </w:p>
        </w:tc>
        <w:tc>
          <w:tcPr>
            <w:tcW w:w="460" w:type="dxa"/>
            <w:vMerge/>
            <w:tcBorders>
              <w:top w:val="nil"/>
              <w:left w:val="single" w:sz="4" w:space="0" w:color="auto"/>
              <w:bottom w:val="single" w:sz="4" w:space="0" w:color="auto"/>
              <w:right w:val="single" w:sz="4" w:space="0" w:color="auto"/>
            </w:tcBorders>
            <w:vAlign w:val="center"/>
            <w:hideMark/>
          </w:tcPr>
          <w:p w14:paraId="04256B77"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2A9856D9"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31489986"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49368996"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4C492C83"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2E3D8272"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08C215A0"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18C4562C"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3F2A8E8E" w14:textId="77777777" w:rsidR="000D2499" w:rsidRPr="003F1B9E" w:rsidRDefault="000D2499" w:rsidP="000D2499">
            <w:pPr>
              <w:spacing w:after="0"/>
              <w:jc w:val="center"/>
              <w:rPr>
                <w:rFonts w:eastAsia="Times New Roman"/>
                <w:color w:val="000000"/>
                <w:sz w:val="18"/>
                <w:szCs w:val="18"/>
              </w:rPr>
            </w:pPr>
          </w:p>
        </w:tc>
        <w:tc>
          <w:tcPr>
            <w:tcW w:w="538" w:type="dxa"/>
            <w:vMerge/>
            <w:tcBorders>
              <w:top w:val="nil"/>
              <w:left w:val="single" w:sz="4" w:space="0" w:color="auto"/>
              <w:bottom w:val="single" w:sz="4" w:space="0" w:color="auto"/>
              <w:right w:val="single" w:sz="4" w:space="0" w:color="auto"/>
            </w:tcBorders>
            <w:vAlign w:val="center"/>
            <w:hideMark/>
          </w:tcPr>
          <w:p w14:paraId="5EABBCBE" w14:textId="77777777" w:rsidR="000D2499" w:rsidRPr="003F1B9E" w:rsidRDefault="000D2499" w:rsidP="000D2499">
            <w:pPr>
              <w:spacing w:after="0"/>
              <w:jc w:val="center"/>
              <w:rPr>
                <w:rFonts w:eastAsia="Times New Roman"/>
                <w:color w:val="000000"/>
                <w:sz w:val="18"/>
                <w:szCs w:val="18"/>
              </w:rPr>
            </w:pPr>
          </w:p>
        </w:tc>
        <w:tc>
          <w:tcPr>
            <w:tcW w:w="798" w:type="dxa"/>
            <w:vMerge/>
            <w:tcBorders>
              <w:top w:val="nil"/>
              <w:left w:val="single" w:sz="4" w:space="0" w:color="auto"/>
              <w:bottom w:val="single" w:sz="4" w:space="0" w:color="auto"/>
              <w:right w:val="single" w:sz="4" w:space="0" w:color="auto"/>
            </w:tcBorders>
            <w:vAlign w:val="center"/>
            <w:hideMark/>
          </w:tcPr>
          <w:p w14:paraId="7D74B915" w14:textId="77777777" w:rsidR="000D2499" w:rsidRPr="003F1B9E" w:rsidRDefault="000D2499" w:rsidP="000D2499">
            <w:pPr>
              <w:spacing w:after="0"/>
              <w:jc w:val="center"/>
              <w:rPr>
                <w:rFonts w:eastAsia="Times New Roman"/>
                <w:color w:val="000000"/>
                <w:sz w:val="18"/>
                <w:szCs w:val="18"/>
              </w:rPr>
            </w:pPr>
          </w:p>
        </w:tc>
        <w:tc>
          <w:tcPr>
            <w:tcW w:w="472" w:type="dxa"/>
            <w:vMerge/>
            <w:tcBorders>
              <w:left w:val="single" w:sz="4" w:space="0" w:color="auto"/>
              <w:right w:val="single" w:sz="4" w:space="0" w:color="auto"/>
            </w:tcBorders>
            <w:vAlign w:val="center"/>
          </w:tcPr>
          <w:p w14:paraId="01ED68B2" w14:textId="77777777" w:rsidR="000D2499" w:rsidRPr="003F1B9E" w:rsidRDefault="000D2499" w:rsidP="000D2499">
            <w:pPr>
              <w:spacing w:after="0"/>
              <w:jc w:val="center"/>
              <w:rPr>
                <w:rFonts w:eastAsia="Times New Roman"/>
                <w:color w:val="000000"/>
                <w:sz w:val="18"/>
                <w:szCs w:val="18"/>
              </w:rPr>
            </w:pPr>
          </w:p>
        </w:tc>
      </w:tr>
      <w:tr w:rsidR="000D2499" w:rsidRPr="003F1B9E" w14:paraId="05526FCE" w14:textId="77777777" w:rsidTr="000D2499">
        <w:trPr>
          <w:trHeight w:val="720"/>
        </w:trPr>
        <w:tc>
          <w:tcPr>
            <w:tcW w:w="1170" w:type="dxa"/>
            <w:vMerge/>
            <w:tcBorders>
              <w:top w:val="nil"/>
              <w:left w:val="single" w:sz="4" w:space="0" w:color="auto"/>
              <w:bottom w:val="single" w:sz="4" w:space="0" w:color="auto"/>
              <w:right w:val="single" w:sz="4" w:space="0" w:color="auto"/>
            </w:tcBorders>
            <w:vAlign w:val="center"/>
            <w:hideMark/>
          </w:tcPr>
          <w:p w14:paraId="340DA4E3" w14:textId="77777777" w:rsidR="000D2499" w:rsidRPr="003F1B9E" w:rsidRDefault="000D2499" w:rsidP="000D2499">
            <w:pPr>
              <w:spacing w:after="0"/>
              <w:rPr>
                <w:rFonts w:eastAsia="Times New Roman"/>
                <w:b/>
                <w:bCs/>
                <w:color w:val="000000"/>
                <w:sz w:val="18"/>
                <w:szCs w:val="18"/>
              </w:rPr>
            </w:pPr>
          </w:p>
        </w:tc>
        <w:tc>
          <w:tcPr>
            <w:tcW w:w="2610" w:type="dxa"/>
            <w:tcBorders>
              <w:top w:val="nil"/>
              <w:left w:val="nil"/>
              <w:bottom w:val="single" w:sz="4" w:space="0" w:color="auto"/>
              <w:right w:val="single" w:sz="4" w:space="0" w:color="auto"/>
            </w:tcBorders>
            <w:shd w:val="clear" w:color="auto" w:fill="auto"/>
            <w:vAlign w:val="center"/>
            <w:hideMark/>
          </w:tcPr>
          <w:p w14:paraId="0A7B7645" w14:textId="77777777" w:rsidR="000D2499" w:rsidRPr="003F1B9E" w:rsidRDefault="000D2499" w:rsidP="000D2499">
            <w:pPr>
              <w:spacing w:after="0"/>
              <w:rPr>
                <w:rFonts w:eastAsia="Times New Roman"/>
                <w:color w:val="000000"/>
                <w:sz w:val="16"/>
                <w:szCs w:val="16"/>
              </w:rPr>
            </w:pPr>
            <w:r w:rsidRPr="003F1B9E">
              <w:rPr>
                <w:rFonts w:eastAsia="Times New Roman"/>
                <w:color w:val="000000"/>
                <w:sz w:val="16"/>
                <w:szCs w:val="16"/>
              </w:rPr>
              <w:t>Both men and women have participated in past projects, but in clearly separate roles, or only from specific levels of society</w:t>
            </w:r>
          </w:p>
        </w:tc>
        <w:tc>
          <w:tcPr>
            <w:tcW w:w="450" w:type="dxa"/>
            <w:tcBorders>
              <w:top w:val="nil"/>
              <w:left w:val="nil"/>
              <w:bottom w:val="single" w:sz="4" w:space="0" w:color="auto"/>
              <w:right w:val="single" w:sz="4" w:space="0" w:color="auto"/>
            </w:tcBorders>
            <w:shd w:val="clear" w:color="auto" w:fill="auto"/>
            <w:noWrap/>
            <w:vAlign w:val="center"/>
            <w:hideMark/>
          </w:tcPr>
          <w:p w14:paraId="3D74E92E"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2</w:t>
            </w:r>
          </w:p>
        </w:tc>
        <w:tc>
          <w:tcPr>
            <w:tcW w:w="460" w:type="dxa"/>
            <w:vMerge/>
            <w:tcBorders>
              <w:top w:val="nil"/>
              <w:left w:val="single" w:sz="4" w:space="0" w:color="auto"/>
              <w:bottom w:val="single" w:sz="4" w:space="0" w:color="auto"/>
              <w:right w:val="single" w:sz="4" w:space="0" w:color="auto"/>
            </w:tcBorders>
            <w:vAlign w:val="center"/>
            <w:hideMark/>
          </w:tcPr>
          <w:p w14:paraId="49225D12"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4659451E"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69BD77F9"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24B070C3"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1FE2B27F"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56E67AD1"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6302851B"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72B94D33"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49D3890D" w14:textId="77777777" w:rsidR="000D2499" w:rsidRPr="003F1B9E" w:rsidRDefault="000D2499" w:rsidP="000D2499">
            <w:pPr>
              <w:spacing w:after="0"/>
              <w:jc w:val="center"/>
              <w:rPr>
                <w:rFonts w:eastAsia="Times New Roman"/>
                <w:color w:val="000000"/>
                <w:sz w:val="18"/>
                <w:szCs w:val="18"/>
              </w:rPr>
            </w:pPr>
          </w:p>
        </w:tc>
        <w:tc>
          <w:tcPr>
            <w:tcW w:w="538" w:type="dxa"/>
            <w:vMerge/>
            <w:tcBorders>
              <w:top w:val="nil"/>
              <w:left w:val="single" w:sz="4" w:space="0" w:color="auto"/>
              <w:bottom w:val="single" w:sz="4" w:space="0" w:color="auto"/>
              <w:right w:val="single" w:sz="4" w:space="0" w:color="auto"/>
            </w:tcBorders>
            <w:vAlign w:val="center"/>
            <w:hideMark/>
          </w:tcPr>
          <w:p w14:paraId="533D8460" w14:textId="77777777" w:rsidR="000D2499" w:rsidRPr="003F1B9E" w:rsidRDefault="000D2499" w:rsidP="000D2499">
            <w:pPr>
              <w:spacing w:after="0"/>
              <w:jc w:val="center"/>
              <w:rPr>
                <w:rFonts w:eastAsia="Times New Roman"/>
                <w:color w:val="000000"/>
                <w:sz w:val="18"/>
                <w:szCs w:val="18"/>
              </w:rPr>
            </w:pPr>
          </w:p>
        </w:tc>
        <w:tc>
          <w:tcPr>
            <w:tcW w:w="798" w:type="dxa"/>
            <w:vMerge/>
            <w:tcBorders>
              <w:top w:val="nil"/>
              <w:left w:val="single" w:sz="4" w:space="0" w:color="auto"/>
              <w:bottom w:val="single" w:sz="4" w:space="0" w:color="auto"/>
              <w:right w:val="single" w:sz="4" w:space="0" w:color="auto"/>
            </w:tcBorders>
            <w:vAlign w:val="center"/>
            <w:hideMark/>
          </w:tcPr>
          <w:p w14:paraId="7A0C29BE" w14:textId="77777777" w:rsidR="000D2499" w:rsidRPr="003F1B9E" w:rsidRDefault="000D2499" w:rsidP="000D2499">
            <w:pPr>
              <w:spacing w:after="0"/>
              <w:jc w:val="center"/>
              <w:rPr>
                <w:rFonts w:eastAsia="Times New Roman"/>
                <w:color w:val="000000"/>
                <w:sz w:val="18"/>
                <w:szCs w:val="18"/>
              </w:rPr>
            </w:pPr>
          </w:p>
        </w:tc>
        <w:tc>
          <w:tcPr>
            <w:tcW w:w="472" w:type="dxa"/>
            <w:vMerge/>
            <w:tcBorders>
              <w:left w:val="single" w:sz="4" w:space="0" w:color="auto"/>
              <w:right w:val="single" w:sz="4" w:space="0" w:color="auto"/>
            </w:tcBorders>
            <w:vAlign w:val="center"/>
          </w:tcPr>
          <w:p w14:paraId="3FAA5A2E" w14:textId="77777777" w:rsidR="000D2499" w:rsidRPr="003F1B9E" w:rsidRDefault="000D2499" w:rsidP="000D2499">
            <w:pPr>
              <w:spacing w:after="0"/>
              <w:jc w:val="center"/>
              <w:rPr>
                <w:rFonts w:eastAsia="Times New Roman"/>
                <w:color w:val="000000"/>
                <w:sz w:val="18"/>
                <w:szCs w:val="18"/>
              </w:rPr>
            </w:pPr>
          </w:p>
        </w:tc>
      </w:tr>
      <w:tr w:rsidR="000D2499" w:rsidRPr="003F1B9E" w14:paraId="260F6C9A" w14:textId="77777777" w:rsidTr="000D2499">
        <w:trPr>
          <w:trHeight w:val="480"/>
        </w:trPr>
        <w:tc>
          <w:tcPr>
            <w:tcW w:w="1170" w:type="dxa"/>
            <w:vMerge/>
            <w:tcBorders>
              <w:top w:val="nil"/>
              <w:left w:val="single" w:sz="4" w:space="0" w:color="auto"/>
              <w:bottom w:val="single" w:sz="4" w:space="0" w:color="auto"/>
              <w:right w:val="single" w:sz="4" w:space="0" w:color="auto"/>
            </w:tcBorders>
            <w:vAlign w:val="center"/>
            <w:hideMark/>
          </w:tcPr>
          <w:p w14:paraId="4697E430" w14:textId="77777777" w:rsidR="000D2499" w:rsidRPr="003F1B9E" w:rsidRDefault="000D2499" w:rsidP="000D2499">
            <w:pPr>
              <w:spacing w:after="0"/>
              <w:rPr>
                <w:rFonts w:eastAsia="Times New Roman"/>
                <w:b/>
                <w:bCs/>
                <w:color w:val="000000"/>
                <w:sz w:val="18"/>
                <w:szCs w:val="18"/>
              </w:rPr>
            </w:pPr>
          </w:p>
        </w:tc>
        <w:tc>
          <w:tcPr>
            <w:tcW w:w="2610" w:type="dxa"/>
            <w:tcBorders>
              <w:top w:val="nil"/>
              <w:left w:val="nil"/>
              <w:bottom w:val="single" w:sz="4" w:space="0" w:color="auto"/>
              <w:right w:val="single" w:sz="4" w:space="0" w:color="auto"/>
            </w:tcBorders>
            <w:shd w:val="clear" w:color="auto" w:fill="auto"/>
            <w:vAlign w:val="center"/>
            <w:hideMark/>
          </w:tcPr>
          <w:p w14:paraId="4C19E1AC" w14:textId="77777777" w:rsidR="000D2499" w:rsidRPr="003F1B9E" w:rsidRDefault="000D2499" w:rsidP="000D2499">
            <w:pPr>
              <w:spacing w:after="0"/>
              <w:rPr>
                <w:rFonts w:eastAsia="Times New Roman"/>
                <w:color w:val="000000"/>
                <w:sz w:val="16"/>
                <w:szCs w:val="16"/>
              </w:rPr>
            </w:pPr>
            <w:r w:rsidRPr="003F1B9E">
              <w:rPr>
                <w:rFonts w:eastAsia="Times New Roman"/>
                <w:color w:val="000000"/>
                <w:sz w:val="16"/>
                <w:szCs w:val="16"/>
              </w:rPr>
              <w:t>Both genders from all levels of society have participated equally across all aspects of past projects</w:t>
            </w:r>
          </w:p>
        </w:tc>
        <w:tc>
          <w:tcPr>
            <w:tcW w:w="450" w:type="dxa"/>
            <w:tcBorders>
              <w:top w:val="nil"/>
              <w:left w:val="nil"/>
              <w:bottom w:val="single" w:sz="4" w:space="0" w:color="auto"/>
              <w:right w:val="single" w:sz="4" w:space="0" w:color="auto"/>
            </w:tcBorders>
            <w:shd w:val="clear" w:color="auto" w:fill="auto"/>
            <w:noWrap/>
            <w:vAlign w:val="center"/>
            <w:hideMark/>
          </w:tcPr>
          <w:p w14:paraId="17F37454"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3</w:t>
            </w:r>
          </w:p>
        </w:tc>
        <w:tc>
          <w:tcPr>
            <w:tcW w:w="460" w:type="dxa"/>
            <w:vMerge/>
            <w:tcBorders>
              <w:top w:val="nil"/>
              <w:left w:val="single" w:sz="4" w:space="0" w:color="auto"/>
              <w:bottom w:val="single" w:sz="4" w:space="0" w:color="auto"/>
              <w:right w:val="single" w:sz="4" w:space="0" w:color="auto"/>
            </w:tcBorders>
            <w:vAlign w:val="center"/>
            <w:hideMark/>
          </w:tcPr>
          <w:p w14:paraId="71C2831E"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4E2D167A"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32C41479"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27522ABE"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163E8B20"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786C04C4"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62FFD19B"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0B1911A3" w14:textId="77777777" w:rsidR="000D2499" w:rsidRPr="003F1B9E" w:rsidRDefault="000D2499" w:rsidP="000D2499">
            <w:pPr>
              <w:spacing w:after="0"/>
              <w:jc w:val="center"/>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5BC64406" w14:textId="77777777" w:rsidR="000D2499" w:rsidRPr="003F1B9E" w:rsidRDefault="000D2499" w:rsidP="000D2499">
            <w:pPr>
              <w:spacing w:after="0"/>
              <w:jc w:val="center"/>
              <w:rPr>
                <w:rFonts w:eastAsia="Times New Roman"/>
                <w:color w:val="000000"/>
                <w:sz w:val="18"/>
                <w:szCs w:val="18"/>
              </w:rPr>
            </w:pPr>
          </w:p>
        </w:tc>
        <w:tc>
          <w:tcPr>
            <w:tcW w:w="538" w:type="dxa"/>
            <w:vMerge/>
            <w:tcBorders>
              <w:top w:val="nil"/>
              <w:left w:val="single" w:sz="4" w:space="0" w:color="auto"/>
              <w:bottom w:val="single" w:sz="4" w:space="0" w:color="auto"/>
              <w:right w:val="single" w:sz="4" w:space="0" w:color="auto"/>
            </w:tcBorders>
            <w:vAlign w:val="center"/>
            <w:hideMark/>
          </w:tcPr>
          <w:p w14:paraId="602C81A7" w14:textId="77777777" w:rsidR="000D2499" w:rsidRPr="003F1B9E" w:rsidRDefault="000D2499" w:rsidP="000D2499">
            <w:pPr>
              <w:spacing w:after="0"/>
              <w:jc w:val="center"/>
              <w:rPr>
                <w:rFonts w:eastAsia="Times New Roman"/>
                <w:color w:val="000000"/>
                <w:sz w:val="18"/>
                <w:szCs w:val="18"/>
              </w:rPr>
            </w:pPr>
          </w:p>
        </w:tc>
        <w:tc>
          <w:tcPr>
            <w:tcW w:w="798" w:type="dxa"/>
            <w:vMerge/>
            <w:tcBorders>
              <w:top w:val="nil"/>
              <w:left w:val="single" w:sz="4" w:space="0" w:color="auto"/>
              <w:bottom w:val="single" w:sz="4" w:space="0" w:color="auto"/>
              <w:right w:val="single" w:sz="4" w:space="0" w:color="auto"/>
            </w:tcBorders>
            <w:vAlign w:val="center"/>
            <w:hideMark/>
          </w:tcPr>
          <w:p w14:paraId="2676DDF4" w14:textId="77777777" w:rsidR="000D2499" w:rsidRPr="003F1B9E" w:rsidRDefault="000D2499" w:rsidP="000D2499">
            <w:pPr>
              <w:spacing w:after="0"/>
              <w:jc w:val="center"/>
              <w:rPr>
                <w:rFonts w:eastAsia="Times New Roman"/>
                <w:color w:val="000000"/>
                <w:sz w:val="18"/>
                <w:szCs w:val="18"/>
              </w:rPr>
            </w:pPr>
          </w:p>
        </w:tc>
        <w:tc>
          <w:tcPr>
            <w:tcW w:w="472" w:type="dxa"/>
            <w:vMerge/>
            <w:tcBorders>
              <w:left w:val="single" w:sz="4" w:space="0" w:color="auto"/>
              <w:bottom w:val="single" w:sz="4" w:space="0" w:color="auto"/>
              <w:right w:val="single" w:sz="4" w:space="0" w:color="auto"/>
            </w:tcBorders>
            <w:vAlign w:val="center"/>
          </w:tcPr>
          <w:p w14:paraId="392D9DE7" w14:textId="77777777" w:rsidR="000D2499" w:rsidRPr="003F1B9E" w:rsidRDefault="000D2499" w:rsidP="000D2499">
            <w:pPr>
              <w:spacing w:after="0"/>
              <w:jc w:val="center"/>
              <w:rPr>
                <w:rFonts w:eastAsia="Times New Roman"/>
                <w:color w:val="000000"/>
                <w:sz w:val="18"/>
                <w:szCs w:val="18"/>
              </w:rPr>
            </w:pPr>
          </w:p>
        </w:tc>
      </w:tr>
      <w:tr w:rsidR="000D2499" w:rsidRPr="003F1B9E" w14:paraId="3CD74874" w14:textId="77777777" w:rsidTr="000D2499">
        <w:trPr>
          <w:trHeight w:val="255"/>
        </w:trPr>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14:paraId="38C626F0" w14:textId="77777777" w:rsidR="000D2499" w:rsidRPr="003F1B9E" w:rsidRDefault="000D2499" w:rsidP="000D2499">
            <w:pPr>
              <w:spacing w:after="0"/>
              <w:rPr>
                <w:rFonts w:eastAsia="Times New Roman"/>
                <w:b/>
                <w:bCs/>
                <w:color w:val="000000"/>
                <w:sz w:val="18"/>
                <w:szCs w:val="18"/>
              </w:rPr>
            </w:pPr>
            <w:r w:rsidRPr="003F1B9E">
              <w:rPr>
                <w:rFonts w:eastAsia="Times New Roman"/>
                <w:b/>
                <w:bCs/>
                <w:color w:val="000000"/>
                <w:sz w:val="18"/>
                <w:szCs w:val="18"/>
              </w:rPr>
              <w:t>6.5. Who has benefitted from past biodiversity-related projects?</w:t>
            </w:r>
          </w:p>
        </w:tc>
        <w:tc>
          <w:tcPr>
            <w:tcW w:w="2610" w:type="dxa"/>
            <w:tcBorders>
              <w:top w:val="nil"/>
              <w:left w:val="nil"/>
              <w:bottom w:val="single" w:sz="4" w:space="0" w:color="auto"/>
              <w:right w:val="single" w:sz="4" w:space="0" w:color="auto"/>
            </w:tcBorders>
            <w:shd w:val="clear" w:color="auto" w:fill="auto"/>
            <w:vAlign w:val="center"/>
            <w:hideMark/>
          </w:tcPr>
          <w:p w14:paraId="24D09A9C" w14:textId="77777777" w:rsidR="000D2499" w:rsidRPr="003F1B9E" w:rsidRDefault="000D2499" w:rsidP="000D2499">
            <w:pPr>
              <w:spacing w:after="0"/>
              <w:rPr>
                <w:rFonts w:eastAsia="Times New Roman"/>
                <w:color w:val="000000"/>
                <w:sz w:val="16"/>
                <w:szCs w:val="16"/>
              </w:rPr>
            </w:pPr>
            <w:r w:rsidRPr="003F1B9E">
              <w:rPr>
                <w:rFonts w:eastAsia="Times New Roman"/>
                <w:color w:val="000000"/>
                <w:sz w:val="16"/>
                <w:szCs w:val="16"/>
              </w:rPr>
              <w:t>Only one gender has benefitted from past projects</w:t>
            </w:r>
          </w:p>
        </w:tc>
        <w:tc>
          <w:tcPr>
            <w:tcW w:w="450" w:type="dxa"/>
            <w:tcBorders>
              <w:top w:val="nil"/>
              <w:left w:val="nil"/>
              <w:bottom w:val="single" w:sz="4" w:space="0" w:color="auto"/>
              <w:right w:val="single" w:sz="4" w:space="0" w:color="auto"/>
            </w:tcBorders>
            <w:shd w:val="clear" w:color="auto" w:fill="auto"/>
            <w:noWrap/>
            <w:vAlign w:val="center"/>
            <w:hideMark/>
          </w:tcPr>
          <w:p w14:paraId="71C808D8"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0</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082CD3"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3</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AC52ED"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F61163"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05BACA"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DB9739"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453642"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3F3F92"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3</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76835A"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2</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9A0030"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2</w:t>
            </w:r>
          </w:p>
        </w:tc>
        <w:tc>
          <w:tcPr>
            <w:tcW w:w="5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06323D"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1.7</w:t>
            </w:r>
          </w:p>
        </w:tc>
        <w:tc>
          <w:tcPr>
            <w:tcW w:w="798" w:type="dxa"/>
            <w:vMerge w:val="restart"/>
            <w:tcBorders>
              <w:top w:val="nil"/>
              <w:left w:val="single" w:sz="4" w:space="0" w:color="auto"/>
              <w:bottom w:val="single" w:sz="4" w:space="0" w:color="auto"/>
              <w:right w:val="single" w:sz="4" w:space="0" w:color="auto"/>
            </w:tcBorders>
            <w:shd w:val="clear" w:color="auto" w:fill="auto"/>
            <w:noWrap/>
            <w:hideMark/>
          </w:tcPr>
          <w:p w14:paraId="0AC2314B" w14:textId="77777777" w:rsidR="000D2499" w:rsidRPr="003536AA" w:rsidRDefault="000D2499" w:rsidP="000D2499">
            <w:pPr>
              <w:spacing w:after="0"/>
              <w:jc w:val="center"/>
              <w:rPr>
                <w:rFonts w:eastAsia="Times New Roman"/>
                <w:color w:val="000000"/>
                <w:sz w:val="18"/>
                <w:szCs w:val="18"/>
              </w:rPr>
            </w:pPr>
            <w:r w:rsidRPr="003F1B9E">
              <w:rPr>
                <w:rFonts w:eastAsia="Times New Roman"/>
                <w:color w:val="000000"/>
                <w:sz w:val="18"/>
                <w:szCs w:val="18"/>
              </w:rPr>
              <w:t>15</w:t>
            </w:r>
            <w:r w:rsidRPr="003536AA">
              <w:rPr>
                <w:rFonts w:eastAsia="Times New Roman"/>
                <w:color w:val="000000"/>
                <w:sz w:val="18"/>
                <w:szCs w:val="18"/>
              </w:rPr>
              <w:t xml:space="preserve"> out of 27</w:t>
            </w:r>
          </w:p>
          <w:p w14:paraId="56E9C9A2" w14:textId="77777777" w:rsidR="000D2499" w:rsidRPr="003536AA" w:rsidRDefault="000D2499" w:rsidP="000D2499">
            <w:pPr>
              <w:spacing w:after="0"/>
              <w:jc w:val="center"/>
              <w:rPr>
                <w:rFonts w:eastAsia="Times New Roman"/>
                <w:color w:val="000000"/>
                <w:sz w:val="18"/>
                <w:szCs w:val="18"/>
              </w:rPr>
            </w:pPr>
          </w:p>
          <w:p w14:paraId="61E93F50" w14:textId="77777777" w:rsidR="000D2499" w:rsidRPr="003F1B9E" w:rsidRDefault="000D2499" w:rsidP="000D2499">
            <w:pPr>
              <w:spacing w:after="0"/>
              <w:jc w:val="center"/>
              <w:rPr>
                <w:rFonts w:eastAsia="Times New Roman"/>
                <w:color w:val="000000"/>
                <w:sz w:val="18"/>
                <w:szCs w:val="18"/>
              </w:rPr>
            </w:pPr>
            <w:r w:rsidRPr="003536AA">
              <w:rPr>
                <w:rFonts w:eastAsia="Times New Roman"/>
                <w:color w:val="000000"/>
                <w:sz w:val="18"/>
                <w:szCs w:val="18"/>
              </w:rPr>
              <w:t>56%</w:t>
            </w:r>
          </w:p>
        </w:tc>
        <w:tc>
          <w:tcPr>
            <w:tcW w:w="472" w:type="dxa"/>
            <w:vMerge w:val="restart"/>
            <w:tcBorders>
              <w:top w:val="nil"/>
              <w:left w:val="single" w:sz="4" w:space="0" w:color="auto"/>
              <w:right w:val="single" w:sz="4" w:space="0" w:color="auto"/>
            </w:tcBorders>
          </w:tcPr>
          <w:p w14:paraId="4C2EDCBE"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2</w:t>
            </w:r>
            <w:r w:rsidRPr="003536AA">
              <w:rPr>
                <w:rFonts w:eastAsia="Times New Roman"/>
                <w:color w:val="000000"/>
                <w:sz w:val="18"/>
                <w:szCs w:val="18"/>
              </w:rPr>
              <w:t xml:space="preserve"> out of 3</w:t>
            </w:r>
          </w:p>
        </w:tc>
      </w:tr>
      <w:tr w:rsidR="000D2499" w:rsidRPr="003F1B9E" w14:paraId="1415D6C4" w14:textId="77777777" w:rsidTr="000D2499">
        <w:trPr>
          <w:trHeight w:val="480"/>
        </w:trPr>
        <w:tc>
          <w:tcPr>
            <w:tcW w:w="1170" w:type="dxa"/>
            <w:vMerge/>
            <w:tcBorders>
              <w:top w:val="nil"/>
              <w:left w:val="single" w:sz="4" w:space="0" w:color="auto"/>
              <w:bottom w:val="single" w:sz="4" w:space="0" w:color="auto"/>
              <w:right w:val="single" w:sz="4" w:space="0" w:color="auto"/>
            </w:tcBorders>
            <w:vAlign w:val="center"/>
            <w:hideMark/>
          </w:tcPr>
          <w:p w14:paraId="2A036568" w14:textId="77777777" w:rsidR="000D2499" w:rsidRPr="003F1B9E" w:rsidRDefault="000D2499" w:rsidP="000D2499">
            <w:pPr>
              <w:spacing w:after="0"/>
              <w:rPr>
                <w:rFonts w:eastAsia="Times New Roman"/>
                <w:b/>
                <w:bCs/>
                <w:color w:val="000000"/>
                <w:sz w:val="18"/>
                <w:szCs w:val="18"/>
              </w:rPr>
            </w:pPr>
          </w:p>
        </w:tc>
        <w:tc>
          <w:tcPr>
            <w:tcW w:w="2610" w:type="dxa"/>
            <w:tcBorders>
              <w:top w:val="nil"/>
              <w:left w:val="nil"/>
              <w:bottom w:val="single" w:sz="4" w:space="0" w:color="auto"/>
              <w:right w:val="single" w:sz="4" w:space="0" w:color="auto"/>
            </w:tcBorders>
            <w:shd w:val="clear" w:color="auto" w:fill="auto"/>
            <w:vAlign w:val="center"/>
            <w:hideMark/>
          </w:tcPr>
          <w:p w14:paraId="5F560366" w14:textId="77777777" w:rsidR="000D2499" w:rsidRPr="003F1B9E" w:rsidRDefault="000D2499" w:rsidP="000D2499">
            <w:pPr>
              <w:spacing w:after="0"/>
              <w:rPr>
                <w:rFonts w:eastAsia="Times New Roman"/>
                <w:color w:val="000000"/>
                <w:sz w:val="16"/>
                <w:szCs w:val="16"/>
              </w:rPr>
            </w:pPr>
            <w:r w:rsidRPr="003F1B9E">
              <w:rPr>
                <w:rFonts w:eastAsia="Times New Roman"/>
                <w:color w:val="000000"/>
                <w:sz w:val="16"/>
                <w:szCs w:val="16"/>
              </w:rPr>
              <w:t>Both genders have benefitted, but one gender more than the other</w:t>
            </w:r>
          </w:p>
        </w:tc>
        <w:tc>
          <w:tcPr>
            <w:tcW w:w="450" w:type="dxa"/>
            <w:tcBorders>
              <w:top w:val="nil"/>
              <w:left w:val="nil"/>
              <w:bottom w:val="single" w:sz="4" w:space="0" w:color="auto"/>
              <w:right w:val="single" w:sz="4" w:space="0" w:color="auto"/>
            </w:tcBorders>
            <w:shd w:val="clear" w:color="auto" w:fill="auto"/>
            <w:noWrap/>
            <w:vAlign w:val="center"/>
            <w:hideMark/>
          </w:tcPr>
          <w:p w14:paraId="01CD37E0"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1</w:t>
            </w:r>
          </w:p>
        </w:tc>
        <w:tc>
          <w:tcPr>
            <w:tcW w:w="460" w:type="dxa"/>
            <w:vMerge/>
            <w:tcBorders>
              <w:top w:val="nil"/>
              <w:left w:val="single" w:sz="4" w:space="0" w:color="auto"/>
              <w:bottom w:val="single" w:sz="4" w:space="0" w:color="auto"/>
              <w:right w:val="single" w:sz="4" w:space="0" w:color="auto"/>
            </w:tcBorders>
            <w:vAlign w:val="center"/>
            <w:hideMark/>
          </w:tcPr>
          <w:p w14:paraId="38E53B5B" w14:textId="77777777" w:rsidR="000D2499" w:rsidRPr="003F1B9E" w:rsidRDefault="000D2499" w:rsidP="000D2499">
            <w:pPr>
              <w:spacing w:after="0"/>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4D22E7A1" w14:textId="77777777" w:rsidR="000D2499" w:rsidRPr="003F1B9E" w:rsidRDefault="000D2499" w:rsidP="000D2499">
            <w:pPr>
              <w:spacing w:after="0"/>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4F1CE69A" w14:textId="77777777" w:rsidR="000D2499" w:rsidRPr="003F1B9E" w:rsidRDefault="000D2499" w:rsidP="000D2499">
            <w:pPr>
              <w:spacing w:after="0"/>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22C776FE" w14:textId="77777777" w:rsidR="000D2499" w:rsidRPr="003F1B9E" w:rsidRDefault="000D2499" w:rsidP="000D2499">
            <w:pPr>
              <w:spacing w:after="0"/>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592CA7F8" w14:textId="77777777" w:rsidR="000D2499" w:rsidRPr="003F1B9E" w:rsidRDefault="000D2499" w:rsidP="000D2499">
            <w:pPr>
              <w:spacing w:after="0"/>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2134A9B1" w14:textId="77777777" w:rsidR="000D2499" w:rsidRPr="003F1B9E" w:rsidRDefault="000D2499" w:rsidP="000D2499">
            <w:pPr>
              <w:spacing w:after="0"/>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7C5EA18C" w14:textId="77777777" w:rsidR="000D2499" w:rsidRPr="003F1B9E" w:rsidRDefault="000D2499" w:rsidP="000D2499">
            <w:pPr>
              <w:spacing w:after="0"/>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5568652E" w14:textId="77777777" w:rsidR="000D2499" w:rsidRPr="003F1B9E" w:rsidRDefault="000D2499" w:rsidP="000D2499">
            <w:pPr>
              <w:spacing w:after="0"/>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20FE7027" w14:textId="77777777" w:rsidR="000D2499" w:rsidRPr="003F1B9E" w:rsidRDefault="000D2499" w:rsidP="000D2499">
            <w:pPr>
              <w:spacing w:after="0"/>
              <w:rPr>
                <w:rFonts w:eastAsia="Times New Roman"/>
                <w:color w:val="000000"/>
                <w:sz w:val="18"/>
                <w:szCs w:val="18"/>
              </w:rPr>
            </w:pPr>
          </w:p>
        </w:tc>
        <w:tc>
          <w:tcPr>
            <w:tcW w:w="538" w:type="dxa"/>
            <w:vMerge/>
            <w:tcBorders>
              <w:top w:val="nil"/>
              <w:left w:val="single" w:sz="4" w:space="0" w:color="auto"/>
              <w:bottom w:val="single" w:sz="4" w:space="0" w:color="auto"/>
              <w:right w:val="single" w:sz="4" w:space="0" w:color="auto"/>
            </w:tcBorders>
            <w:vAlign w:val="center"/>
            <w:hideMark/>
          </w:tcPr>
          <w:p w14:paraId="5C2144DC" w14:textId="77777777" w:rsidR="000D2499" w:rsidRPr="003F1B9E" w:rsidRDefault="000D2499" w:rsidP="000D2499">
            <w:pPr>
              <w:spacing w:after="0"/>
              <w:rPr>
                <w:rFonts w:eastAsia="Times New Roman"/>
                <w:color w:val="000000"/>
                <w:sz w:val="18"/>
                <w:szCs w:val="18"/>
              </w:rPr>
            </w:pPr>
          </w:p>
        </w:tc>
        <w:tc>
          <w:tcPr>
            <w:tcW w:w="798" w:type="dxa"/>
            <w:vMerge/>
            <w:tcBorders>
              <w:top w:val="nil"/>
              <w:left w:val="single" w:sz="4" w:space="0" w:color="auto"/>
              <w:bottom w:val="single" w:sz="4" w:space="0" w:color="auto"/>
              <w:right w:val="single" w:sz="4" w:space="0" w:color="auto"/>
            </w:tcBorders>
            <w:vAlign w:val="center"/>
            <w:hideMark/>
          </w:tcPr>
          <w:p w14:paraId="035B8AB6" w14:textId="77777777" w:rsidR="000D2499" w:rsidRPr="003F1B9E" w:rsidRDefault="000D2499" w:rsidP="000D2499">
            <w:pPr>
              <w:spacing w:after="0"/>
              <w:jc w:val="center"/>
              <w:rPr>
                <w:rFonts w:eastAsia="Times New Roman"/>
                <w:color w:val="000000"/>
                <w:sz w:val="18"/>
                <w:szCs w:val="18"/>
              </w:rPr>
            </w:pPr>
          </w:p>
        </w:tc>
        <w:tc>
          <w:tcPr>
            <w:tcW w:w="472" w:type="dxa"/>
            <w:vMerge/>
            <w:tcBorders>
              <w:left w:val="single" w:sz="4" w:space="0" w:color="auto"/>
              <w:right w:val="single" w:sz="4" w:space="0" w:color="auto"/>
            </w:tcBorders>
            <w:vAlign w:val="center"/>
          </w:tcPr>
          <w:p w14:paraId="69E512F9" w14:textId="77777777" w:rsidR="000D2499" w:rsidRPr="003F1B9E" w:rsidRDefault="000D2499" w:rsidP="000D2499">
            <w:pPr>
              <w:spacing w:after="0"/>
              <w:jc w:val="center"/>
              <w:rPr>
                <w:rFonts w:eastAsia="Times New Roman"/>
                <w:color w:val="000000"/>
                <w:sz w:val="18"/>
                <w:szCs w:val="18"/>
              </w:rPr>
            </w:pPr>
          </w:p>
        </w:tc>
      </w:tr>
      <w:tr w:rsidR="000D2499" w:rsidRPr="003F1B9E" w14:paraId="413193ED" w14:textId="77777777" w:rsidTr="000D2499">
        <w:trPr>
          <w:trHeight w:val="480"/>
        </w:trPr>
        <w:tc>
          <w:tcPr>
            <w:tcW w:w="1170" w:type="dxa"/>
            <w:vMerge/>
            <w:tcBorders>
              <w:top w:val="nil"/>
              <w:left w:val="single" w:sz="4" w:space="0" w:color="auto"/>
              <w:bottom w:val="single" w:sz="4" w:space="0" w:color="auto"/>
              <w:right w:val="single" w:sz="4" w:space="0" w:color="auto"/>
            </w:tcBorders>
            <w:vAlign w:val="center"/>
            <w:hideMark/>
          </w:tcPr>
          <w:p w14:paraId="24DCDDCB" w14:textId="77777777" w:rsidR="000D2499" w:rsidRPr="003F1B9E" w:rsidRDefault="000D2499" w:rsidP="000D2499">
            <w:pPr>
              <w:spacing w:after="0"/>
              <w:rPr>
                <w:rFonts w:eastAsia="Times New Roman"/>
                <w:b/>
                <w:bCs/>
                <w:color w:val="000000"/>
                <w:sz w:val="18"/>
                <w:szCs w:val="18"/>
              </w:rPr>
            </w:pPr>
          </w:p>
        </w:tc>
        <w:tc>
          <w:tcPr>
            <w:tcW w:w="2610" w:type="dxa"/>
            <w:tcBorders>
              <w:top w:val="nil"/>
              <w:left w:val="nil"/>
              <w:bottom w:val="single" w:sz="4" w:space="0" w:color="auto"/>
              <w:right w:val="single" w:sz="4" w:space="0" w:color="auto"/>
            </w:tcBorders>
            <w:shd w:val="clear" w:color="auto" w:fill="auto"/>
            <w:vAlign w:val="center"/>
            <w:hideMark/>
          </w:tcPr>
          <w:p w14:paraId="48357E40" w14:textId="77777777" w:rsidR="000D2499" w:rsidRPr="003F1B9E" w:rsidRDefault="000D2499" w:rsidP="000D2499">
            <w:pPr>
              <w:spacing w:after="0"/>
              <w:rPr>
                <w:rFonts w:eastAsia="Times New Roman"/>
                <w:color w:val="000000"/>
                <w:sz w:val="16"/>
                <w:szCs w:val="16"/>
              </w:rPr>
            </w:pPr>
            <w:r w:rsidRPr="003F1B9E">
              <w:rPr>
                <w:rFonts w:eastAsia="Times New Roman"/>
                <w:color w:val="000000"/>
                <w:sz w:val="16"/>
                <w:szCs w:val="16"/>
              </w:rPr>
              <w:t>Both genders have received equal benefits from past projects</w:t>
            </w:r>
          </w:p>
        </w:tc>
        <w:tc>
          <w:tcPr>
            <w:tcW w:w="450" w:type="dxa"/>
            <w:tcBorders>
              <w:top w:val="nil"/>
              <w:left w:val="nil"/>
              <w:bottom w:val="single" w:sz="4" w:space="0" w:color="auto"/>
              <w:right w:val="single" w:sz="4" w:space="0" w:color="auto"/>
            </w:tcBorders>
            <w:shd w:val="clear" w:color="auto" w:fill="auto"/>
            <w:noWrap/>
            <w:vAlign w:val="center"/>
            <w:hideMark/>
          </w:tcPr>
          <w:p w14:paraId="47393E5B"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2</w:t>
            </w:r>
          </w:p>
        </w:tc>
        <w:tc>
          <w:tcPr>
            <w:tcW w:w="460" w:type="dxa"/>
            <w:vMerge/>
            <w:tcBorders>
              <w:top w:val="nil"/>
              <w:left w:val="single" w:sz="4" w:space="0" w:color="auto"/>
              <w:bottom w:val="single" w:sz="4" w:space="0" w:color="auto"/>
              <w:right w:val="single" w:sz="4" w:space="0" w:color="auto"/>
            </w:tcBorders>
            <w:vAlign w:val="center"/>
            <w:hideMark/>
          </w:tcPr>
          <w:p w14:paraId="7A1A127B" w14:textId="77777777" w:rsidR="000D2499" w:rsidRPr="003F1B9E" w:rsidRDefault="000D2499" w:rsidP="000D2499">
            <w:pPr>
              <w:spacing w:after="0"/>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5543E853" w14:textId="77777777" w:rsidR="000D2499" w:rsidRPr="003F1B9E" w:rsidRDefault="000D2499" w:rsidP="000D2499">
            <w:pPr>
              <w:spacing w:after="0"/>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2934AADF" w14:textId="77777777" w:rsidR="000D2499" w:rsidRPr="003F1B9E" w:rsidRDefault="000D2499" w:rsidP="000D2499">
            <w:pPr>
              <w:spacing w:after="0"/>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648BE402" w14:textId="77777777" w:rsidR="000D2499" w:rsidRPr="003F1B9E" w:rsidRDefault="000D2499" w:rsidP="000D2499">
            <w:pPr>
              <w:spacing w:after="0"/>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65B70700" w14:textId="77777777" w:rsidR="000D2499" w:rsidRPr="003F1B9E" w:rsidRDefault="000D2499" w:rsidP="000D2499">
            <w:pPr>
              <w:spacing w:after="0"/>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399488E1" w14:textId="77777777" w:rsidR="000D2499" w:rsidRPr="003F1B9E" w:rsidRDefault="000D2499" w:rsidP="000D2499">
            <w:pPr>
              <w:spacing w:after="0"/>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1253FF93" w14:textId="77777777" w:rsidR="000D2499" w:rsidRPr="003F1B9E" w:rsidRDefault="000D2499" w:rsidP="000D2499">
            <w:pPr>
              <w:spacing w:after="0"/>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3B806A18" w14:textId="77777777" w:rsidR="000D2499" w:rsidRPr="003F1B9E" w:rsidRDefault="000D2499" w:rsidP="000D2499">
            <w:pPr>
              <w:spacing w:after="0"/>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4872DD54" w14:textId="77777777" w:rsidR="000D2499" w:rsidRPr="003F1B9E" w:rsidRDefault="000D2499" w:rsidP="000D2499">
            <w:pPr>
              <w:spacing w:after="0"/>
              <w:rPr>
                <w:rFonts w:eastAsia="Times New Roman"/>
                <w:color w:val="000000"/>
                <w:sz w:val="18"/>
                <w:szCs w:val="18"/>
              </w:rPr>
            </w:pPr>
          </w:p>
        </w:tc>
        <w:tc>
          <w:tcPr>
            <w:tcW w:w="538" w:type="dxa"/>
            <w:vMerge/>
            <w:tcBorders>
              <w:top w:val="nil"/>
              <w:left w:val="single" w:sz="4" w:space="0" w:color="auto"/>
              <w:bottom w:val="single" w:sz="4" w:space="0" w:color="auto"/>
              <w:right w:val="single" w:sz="4" w:space="0" w:color="auto"/>
            </w:tcBorders>
            <w:vAlign w:val="center"/>
            <w:hideMark/>
          </w:tcPr>
          <w:p w14:paraId="79A1CBB5" w14:textId="77777777" w:rsidR="000D2499" w:rsidRPr="003F1B9E" w:rsidRDefault="000D2499" w:rsidP="000D2499">
            <w:pPr>
              <w:spacing w:after="0"/>
              <w:rPr>
                <w:rFonts w:eastAsia="Times New Roman"/>
                <w:color w:val="000000"/>
                <w:sz w:val="18"/>
                <w:szCs w:val="18"/>
              </w:rPr>
            </w:pPr>
          </w:p>
        </w:tc>
        <w:tc>
          <w:tcPr>
            <w:tcW w:w="798" w:type="dxa"/>
            <w:vMerge/>
            <w:tcBorders>
              <w:top w:val="nil"/>
              <w:left w:val="single" w:sz="4" w:space="0" w:color="auto"/>
              <w:bottom w:val="single" w:sz="4" w:space="0" w:color="auto"/>
              <w:right w:val="single" w:sz="4" w:space="0" w:color="auto"/>
            </w:tcBorders>
            <w:vAlign w:val="center"/>
            <w:hideMark/>
          </w:tcPr>
          <w:p w14:paraId="4F10EA0C" w14:textId="77777777" w:rsidR="000D2499" w:rsidRPr="003F1B9E" w:rsidRDefault="000D2499" w:rsidP="000D2499">
            <w:pPr>
              <w:spacing w:after="0"/>
              <w:jc w:val="center"/>
              <w:rPr>
                <w:rFonts w:eastAsia="Times New Roman"/>
                <w:color w:val="000000"/>
                <w:sz w:val="18"/>
                <w:szCs w:val="18"/>
              </w:rPr>
            </w:pPr>
          </w:p>
        </w:tc>
        <w:tc>
          <w:tcPr>
            <w:tcW w:w="472" w:type="dxa"/>
            <w:vMerge/>
            <w:tcBorders>
              <w:left w:val="single" w:sz="4" w:space="0" w:color="auto"/>
              <w:right w:val="single" w:sz="4" w:space="0" w:color="auto"/>
            </w:tcBorders>
            <w:vAlign w:val="center"/>
          </w:tcPr>
          <w:p w14:paraId="56EF9B9C" w14:textId="77777777" w:rsidR="000D2499" w:rsidRPr="003F1B9E" w:rsidRDefault="000D2499" w:rsidP="000D2499">
            <w:pPr>
              <w:spacing w:after="0"/>
              <w:jc w:val="center"/>
              <w:rPr>
                <w:rFonts w:eastAsia="Times New Roman"/>
                <w:color w:val="000000"/>
                <w:sz w:val="18"/>
                <w:szCs w:val="18"/>
              </w:rPr>
            </w:pPr>
          </w:p>
        </w:tc>
      </w:tr>
      <w:tr w:rsidR="000D2499" w:rsidRPr="003F1B9E" w14:paraId="3DF90AA7" w14:textId="77777777" w:rsidTr="000D2499">
        <w:trPr>
          <w:trHeight w:val="480"/>
        </w:trPr>
        <w:tc>
          <w:tcPr>
            <w:tcW w:w="1170" w:type="dxa"/>
            <w:vMerge/>
            <w:tcBorders>
              <w:top w:val="nil"/>
              <w:left w:val="single" w:sz="4" w:space="0" w:color="auto"/>
              <w:bottom w:val="single" w:sz="4" w:space="0" w:color="auto"/>
              <w:right w:val="single" w:sz="4" w:space="0" w:color="auto"/>
            </w:tcBorders>
            <w:vAlign w:val="center"/>
            <w:hideMark/>
          </w:tcPr>
          <w:p w14:paraId="2604C64A" w14:textId="77777777" w:rsidR="000D2499" w:rsidRPr="003F1B9E" w:rsidRDefault="000D2499" w:rsidP="000D2499">
            <w:pPr>
              <w:spacing w:after="0"/>
              <w:rPr>
                <w:rFonts w:eastAsia="Times New Roman"/>
                <w:b/>
                <w:bCs/>
                <w:color w:val="000000"/>
                <w:sz w:val="18"/>
                <w:szCs w:val="18"/>
              </w:rPr>
            </w:pPr>
          </w:p>
        </w:tc>
        <w:tc>
          <w:tcPr>
            <w:tcW w:w="2610" w:type="dxa"/>
            <w:tcBorders>
              <w:top w:val="nil"/>
              <w:left w:val="nil"/>
              <w:bottom w:val="single" w:sz="4" w:space="0" w:color="auto"/>
              <w:right w:val="single" w:sz="4" w:space="0" w:color="auto"/>
            </w:tcBorders>
            <w:shd w:val="clear" w:color="auto" w:fill="auto"/>
            <w:vAlign w:val="center"/>
            <w:hideMark/>
          </w:tcPr>
          <w:p w14:paraId="2037BA89" w14:textId="77777777" w:rsidR="000D2499" w:rsidRPr="003F1B9E" w:rsidRDefault="000D2499" w:rsidP="000D2499">
            <w:pPr>
              <w:spacing w:after="0"/>
              <w:rPr>
                <w:rFonts w:eastAsia="Times New Roman"/>
                <w:color w:val="000000"/>
                <w:sz w:val="16"/>
                <w:szCs w:val="16"/>
              </w:rPr>
            </w:pPr>
            <w:r w:rsidRPr="003F1B9E">
              <w:rPr>
                <w:rFonts w:eastAsia="Times New Roman"/>
                <w:color w:val="000000"/>
                <w:sz w:val="16"/>
                <w:szCs w:val="16"/>
              </w:rPr>
              <w:t>Both genders, across all status levels of society, have received equal benefits from past projects</w:t>
            </w:r>
          </w:p>
        </w:tc>
        <w:tc>
          <w:tcPr>
            <w:tcW w:w="450" w:type="dxa"/>
            <w:tcBorders>
              <w:top w:val="nil"/>
              <w:left w:val="nil"/>
              <w:bottom w:val="single" w:sz="4" w:space="0" w:color="auto"/>
              <w:right w:val="single" w:sz="4" w:space="0" w:color="auto"/>
            </w:tcBorders>
            <w:shd w:val="clear" w:color="auto" w:fill="auto"/>
            <w:noWrap/>
            <w:vAlign w:val="center"/>
            <w:hideMark/>
          </w:tcPr>
          <w:p w14:paraId="14FBCF59" w14:textId="77777777" w:rsidR="000D2499" w:rsidRPr="003F1B9E" w:rsidRDefault="000D2499" w:rsidP="000D2499">
            <w:pPr>
              <w:spacing w:after="0"/>
              <w:jc w:val="center"/>
              <w:rPr>
                <w:rFonts w:eastAsia="Times New Roman"/>
                <w:color w:val="000000"/>
                <w:sz w:val="18"/>
                <w:szCs w:val="18"/>
              </w:rPr>
            </w:pPr>
            <w:r w:rsidRPr="003F1B9E">
              <w:rPr>
                <w:rFonts w:eastAsia="Times New Roman"/>
                <w:color w:val="000000"/>
                <w:sz w:val="18"/>
                <w:szCs w:val="18"/>
              </w:rPr>
              <w:t>3</w:t>
            </w:r>
          </w:p>
        </w:tc>
        <w:tc>
          <w:tcPr>
            <w:tcW w:w="460" w:type="dxa"/>
            <w:vMerge/>
            <w:tcBorders>
              <w:top w:val="nil"/>
              <w:left w:val="single" w:sz="4" w:space="0" w:color="auto"/>
              <w:bottom w:val="single" w:sz="4" w:space="0" w:color="auto"/>
              <w:right w:val="single" w:sz="4" w:space="0" w:color="auto"/>
            </w:tcBorders>
            <w:vAlign w:val="center"/>
            <w:hideMark/>
          </w:tcPr>
          <w:p w14:paraId="1B4E37F1" w14:textId="77777777" w:rsidR="000D2499" w:rsidRPr="003F1B9E" w:rsidRDefault="000D2499" w:rsidP="000D2499">
            <w:pPr>
              <w:spacing w:after="0"/>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22C4CB48" w14:textId="77777777" w:rsidR="000D2499" w:rsidRPr="003F1B9E" w:rsidRDefault="000D2499" w:rsidP="000D2499">
            <w:pPr>
              <w:spacing w:after="0"/>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72B73B81" w14:textId="77777777" w:rsidR="000D2499" w:rsidRPr="003F1B9E" w:rsidRDefault="000D2499" w:rsidP="000D2499">
            <w:pPr>
              <w:spacing w:after="0"/>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7A72C676" w14:textId="77777777" w:rsidR="000D2499" w:rsidRPr="003F1B9E" w:rsidRDefault="000D2499" w:rsidP="000D2499">
            <w:pPr>
              <w:spacing w:after="0"/>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20348DC9" w14:textId="77777777" w:rsidR="000D2499" w:rsidRPr="003F1B9E" w:rsidRDefault="000D2499" w:rsidP="000D2499">
            <w:pPr>
              <w:spacing w:after="0"/>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1B3027AC" w14:textId="77777777" w:rsidR="000D2499" w:rsidRPr="003F1B9E" w:rsidRDefault="000D2499" w:rsidP="000D2499">
            <w:pPr>
              <w:spacing w:after="0"/>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216EA82F" w14:textId="77777777" w:rsidR="000D2499" w:rsidRPr="003F1B9E" w:rsidRDefault="000D2499" w:rsidP="000D2499">
            <w:pPr>
              <w:spacing w:after="0"/>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2D36DD7B" w14:textId="77777777" w:rsidR="000D2499" w:rsidRPr="003F1B9E" w:rsidRDefault="000D2499" w:rsidP="000D2499">
            <w:pPr>
              <w:spacing w:after="0"/>
              <w:rPr>
                <w:rFonts w:eastAsia="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14:paraId="2CDB7953" w14:textId="77777777" w:rsidR="000D2499" w:rsidRPr="003F1B9E" w:rsidRDefault="000D2499" w:rsidP="000D2499">
            <w:pPr>
              <w:spacing w:after="0"/>
              <w:rPr>
                <w:rFonts w:eastAsia="Times New Roman"/>
                <w:color w:val="000000"/>
                <w:sz w:val="18"/>
                <w:szCs w:val="18"/>
              </w:rPr>
            </w:pPr>
          </w:p>
        </w:tc>
        <w:tc>
          <w:tcPr>
            <w:tcW w:w="538" w:type="dxa"/>
            <w:vMerge/>
            <w:tcBorders>
              <w:top w:val="nil"/>
              <w:left w:val="single" w:sz="4" w:space="0" w:color="auto"/>
              <w:bottom w:val="single" w:sz="4" w:space="0" w:color="auto"/>
              <w:right w:val="single" w:sz="4" w:space="0" w:color="auto"/>
            </w:tcBorders>
            <w:vAlign w:val="center"/>
            <w:hideMark/>
          </w:tcPr>
          <w:p w14:paraId="7ACA1D1F" w14:textId="77777777" w:rsidR="000D2499" w:rsidRPr="003F1B9E" w:rsidRDefault="000D2499" w:rsidP="000D2499">
            <w:pPr>
              <w:spacing w:after="0"/>
              <w:rPr>
                <w:rFonts w:eastAsia="Times New Roman"/>
                <w:color w:val="000000"/>
                <w:sz w:val="18"/>
                <w:szCs w:val="18"/>
              </w:rPr>
            </w:pPr>
          </w:p>
        </w:tc>
        <w:tc>
          <w:tcPr>
            <w:tcW w:w="798" w:type="dxa"/>
            <w:vMerge/>
            <w:tcBorders>
              <w:top w:val="nil"/>
              <w:left w:val="single" w:sz="4" w:space="0" w:color="auto"/>
              <w:bottom w:val="single" w:sz="4" w:space="0" w:color="auto"/>
              <w:right w:val="single" w:sz="4" w:space="0" w:color="auto"/>
            </w:tcBorders>
            <w:vAlign w:val="center"/>
            <w:hideMark/>
          </w:tcPr>
          <w:p w14:paraId="36CC2267" w14:textId="77777777" w:rsidR="000D2499" w:rsidRPr="003F1B9E" w:rsidRDefault="000D2499" w:rsidP="000D2499">
            <w:pPr>
              <w:spacing w:after="0"/>
              <w:jc w:val="center"/>
              <w:rPr>
                <w:rFonts w:eastAsia="Times New Roman"/>
                <w:color w:val="000000"/>
                <w:sz w:val="18"/>
                <w:szCs w:val="18"/>
              </w:rPr>
            </w:pPr>
          </w:p>
        </w:tc>
        <w:tc>
          <w:tcPr>
            <w:tcW w:w="472" w:type="dxa"/>
            <w:vMerge/>
            <w:tcBorders>
              <w:left w:val="single" w:sz="4" w:space="0" w:color="auto"/>
              <w:bottom w:val="single" w:sz="4" w:space="0" w:color="auto"/>
              <w:right w:val="single" w:sz="4" w:space="0" w:color="auto"/>
            </w:tcBorders>
            <w:vAlign w:val="center"/>
          </w:tcPr>
          <w:p w14:paraId="505091DF" w14:textId="77777777" w:rsidR="000D2499" w:rsidRPr="003F1B9E" w:rsidRDefault="000D2499" w:rsidP="000D2499">
            <w:pPr>
              <w:spacing w:after="0"/>
              <w:jc w:val="center"/>
              <w:rPr>
                <w:rFonts w:eastAsia="Times New Roman"/>
                <w:color w:val="000000"/>
                <w:sz w:val="18"/>
                <w:szCs w:val="18"/>
              </w:rPr>
            </w:pPr>
          </w:p>
        </w:tc>
      </w:tr>
      <w:tr w:rsidR="000D2499" w:rsidRPr="003F1B9E" w14:paraId="7AE4523E" w14:textId="77777777" w:rsidTr="000D2499">
        <w:trPr>
          <w:trHeight w:val="240"/>
        </w:trPr>
        <w:tc>
          <w:tcPr>
            <w:tcW w:w="423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61A7F10" w14:textId="77777777" w:rsidR="000D2499" w:rsidRPr="003F1B9E" w:rsidRDefault="000D2499" w:rsidP="000D2499">
            <w:pPr>
              <w:spacing w:after="0"/>
              <w:jc w:val="right"/>
              <w:rPr>
                <w:rFonts w:eastAsia="Times New Roman"/>
                <w:b/>
                <w:color w:val="000000"/>
                <w:sz w:val="16"/>
                <w:szCs w:val="16"/>
              </w:rPr>
            </w:pPr>
            <w:r w:rsidRPr="00E1269C">
              <w:rPr>
                <w:rFonts w:eastAsia="Times New Roman"/>
                <w:b/>
                <w:color w:val="000000"/>
                <w:sz w:val="16"/>
                <w:szCs w:val="16"/>
              </w:rPr>
              <w:t>Averages</w:t>
            </w:r>
          </w:p>
        </w:tc>
        <w:tc>
          <w:tcPr>
            <w:tcW w:w="460" w:type="dxa"/>
            <w:tcBorders>
              <w:top w:val="nil"/>
              <w:left w:val="nil"/>
              <w:bottom w:val="single" w:sz="4" w:space="0" w:color="auto"/>
              <w:right w:val="single" w:sz="4" w:space="0" w:color="auto"/>
            </w:tcBorders>
            <w:shd w:val="clear" w:color="auto" w:fill="auto"/>
            <w:noWrap/>
            <w:vAlign w:val="center"/>
            <w:hideMark/>
          </w:tcPr>
          <w:p w14:paraId="11894CDA" w14:textId="77777777" w:rsidR="000D2499" w:rsidRPr="003F1B9E" w:rsidRDefault="000D2499" w:rsidP="000D2499">
            <w:pPr>
              <w:spacing w:after="0"/>
              <w:jc w:val="center"/>
              <w:rPr>
                <w:rFonts w:eastAsia="Times New Roman"/>
                <w:b/>
                <w:color w:val="000000"/>
                <w:sz w:val="18"/>
                <w:szCs w:val="18"/>
              </w:rPr>
            </w:pPr>
            <w:r w:rsidRPr="003F1B9E">
              <w:rPr>
                <w:rFonts w:eastAsia="Times New Roman"/>
                <w:b/>
                <w:color w:val="000000"/>
                <w:sz w:val="18"/>
                <w:szCs w:val="18"/>
              </w:rPr>
              <w:t>1.8</w:t>
            </w:r>
          </w:p>
        </w:tc>
        <w:tc>
          <w:tcPr>
            <w:tcW w:w="460" w:type="dxa"/>
            <w:tcBorders>
              <w:top w:val="nil"/>
              <w:left w:val="nil"/>
              <w:bottom w:val="single" w:sz="4" w:space="0" w:color="auto"/>
              <w:right w:val="single" w:sz="4" w:space="0" w:color="auto"/>
            </w:tcBorders>
            <w:shd w:val="clear" w:color="auto" w:fill="auto"/>
            <w:noWrap/>
            <w:vAlign w:val="center"/>
            <w:hideMark/>
          </w:tcPr>
          <w:p w14:paraId="5B55F7F9" w14:textId="77777777" w:rsidR="000D2499" w:rsidRPr="003F1B9E" w:rsidRDefault="000D2499" w:rsidP="000D2499">
            <w:pPr>
              <w:spacing w:after="0"/>
              <w:jc w:val="center"/>
              <w:rPr>
                <w:rFonts w:eastAsia="Times New Roman"/>
                <w:b/>
                <w:color w:val="000000"/>
                <w:sz w:val="18"/>
                <w:szCs w:val="18"/>
              </w:rPr>
            </w:pPr>
            <w:r w:rsidRPr="003F1B9E">
              <w:rPr>
                <w:rFonts w:eastAsia="Times New Roman"/>
                <w:b/>
                <w:color w:val="000000"/>
                <w:sz w:val="18"/>
                <w:szCs w:val="18"/>
              </w:rPr>
              <w:t>1</w:t>
            </w:r>
          </w:p>
        </w:tc>
        <w:tc>
          <w:tcPr>
            <w:tcW w:w="460" w:type="dxa"/>
            <w:tcBorders>
              <w:top w:val="nil"/>
              <w:left w:val="nil"/>
              <w:bottom w:val="single" w:sz="4" w:space="0" w:color="auto"/>
              <w:right w:val="single" w:sz="4" w:space="0" w:color="auto"/>
            </w:tcBorders>
            <w:shd w:val="clear" w:color="auto" w:fill="auto"/>
            <w:noWrap/>
            <w:vAlign w:val="center"/>
            <w:hideMark/>
          </w:tcPr>
          <w:p w14:paraId="0C16EED1" w14:textId="77777777" w:rsidR="000D2499" w:rsidRPr="003F1B9E" w:rsidRDefault="000D2499" w:rsidP="000D2499">
            <w:pPr>
              <w:spacing w:after="0"/>
              <w:jc w:val="center"/>
              <w:rPr>
                <w:rFonts w:eastAsia="Times New Roman"/>
                <w:b/>
                <w:color w:val="000000"/>
                <w:sz w:val="18"/>
                <w:szCs w:val="18"/>
              </w:rPr>
            </w:pPr>
            <w:r w:rsidRPr="003F1B9E">
              <w:rPr>
                <w:rFonts w:eastAsia="Times New Roman"/>
                <w:b/>
                <w:color w:val="000000"/>
                <w:sz w:val="18"/>
                <w:szCs w:val="18"/>
              </w:rPr>
              <w:t>1</w:t>
            </w:r>
          </w:p>
        </w:tc>
        <w:tc>
          <w:tcPr>
            <w:tcW w:w="460" w:type="dxa"/>
            <w:tcBorders>
              <w:top w:val="nil"/>
              <w:left w:val="nil"/>
              <w:bottom w:val="single" w:sz="4" w:space="0" w:color="auto"/>
              <w:right w:val="single" w:sz="4" w:space="0" w:color="auto"/>
            </w:tcBorders>
            <w:shd w:val="clear" w:color="auto" w:fill="auto"/>
            <w:noWrap/>
            <w:vAlign w:val="center"/>
            <w:hideMark/>
          </w:tcPr>
          <w:p w14:paraId="66D475DB" w14:textId="77777777" w:rsidR="000D2499" w:rsidRPr="003F1B9E" w:rsidRDefault="000D2499" w:rsidP="000D2499">
            <w:pPr>
              <w:spacing w:after="0"/>
              <w:jc w:val="center"/>
              <w:rPr>
                <w:rFonts w:eastAsia="Times New Roman"/>
                <w:b/>
                <w:color w:val="000000"/>
                <w:sz w:val="18"/>
                <w:szCs w:val="18"/>
              </w:rPr>
            </w:pPr>
            <w:r w:rsidRPr="003F1B9E">
              <w:rPr>
                <w:rFonts w:eastAsia="Times New Roman"/>
                <w:b/>
                <w:color w:val="000000"/>
                <w:sz w:val="18"/>
                <w:szCs w:val="18"/>
              </w:rPr>
              <w:t>1</w:t>
            </w:r>
          </w:p>
        </w:tc>
        <w:tc>
          <w:tcPr>
            <w:tcW w:w="460" w:type="dxa"/>
            <w:tcBorders>
              <w:top w:val="nil"/>
              <w:left w:val="nil"/>
              <w:bottom w:val="single" w:sz="4" w:space="0" w:color="auto"/>
              <w:right w:val="single" w:sz="4" w:space="0" w:color="auto"/>
            </w:tcBorders>
            <w:shd w:val="clear" w:color="auto" w:fill="auto"/>
            <w:noWrap/>
            <w:vAlign w:val="center"/>
            <w:hideMark/>
          </w:tcPr>
          <w:p w14:paraId="7FBA39A8" w14:textId="77777777" w:rsidR="000D2499" w:rsidRPr="003F1B9E" w:rsidRDefault="000D2499" w:rsidP="000D2499">
            <w:pPr>
              <w:spacing w:after="0"/>
              <w:jc w:val="center"/>
              <w:rPr>
                <w:rFonts w:eastAsia="Times New Roman"/>
                <w:b/>
                <w:color w:val="000000"/>
                <w:sz w:val="18"/>
                <w:szCs w:val="18"/>
              </w:rPr>
            </w:pPr>
            <w:r w:rsidRPr="003F1B9E">
              <w:rPr>
                <w:rFonts w:eastAsia="Times New Roman"/>
                <w:b/>
                <w:color w:val="000000"/>
                <w:sz w:val="18"/>
                <w:szCs w:val="18"/>
              </w:rPr>
              <w:t>1</w:t>
            </w:r>
          </w:p>
        </w:tc>
        <w:tc>
          <w:tcPr>
            <w:tcW w:w="460" w:type="dxa"/>
            <w:tcBorders>
              <w:top w:val="nil"/>
              <w:left w:val="nil"/>
              <w:bottom w:val="single" w:sz="4" w:space="0" w:color="auto"/>
              <w:right w:val="single" w:sz="4" w:space="0" w:color="auto"/>
            </w:tcBorders>
            <w:shd w:val="clear" w:color="auto" w:fill="auto"/>
            <w:noWrap/>
            <w:vAlign w:val="center"/>
            <w:hideMark/>
          </w:tcPr>
          <w:p w14:paraId="2642DFD6" w14:textId="77777777" w:rsidR="000D2499" w:rsidRPr="003F1B9E" w:rsidRDefault="000D2499" w:rsidP="000D2499">
            <w:pPr>
              <w:spacing w:after="0"/>
              <w:jc w:val="center"/>
              <w:rPr>
                <w:rFonts w:eastAsia="Times New Roman"/>
                <w:b/>
                <w:color w:val="000000"/>
                <w:sz w:val="18"/>
                <w:szCs w:val="18"/>
              </w:rPr>
            </w:pPr>
            <w:r w:rsidRPr="003F1B9E">
              <w:rPr>
                <w:rFonts w:eastAsia="Times New Roman"/>
                <w:b/>
                <w:color w:val="000000"/>
                <w:sz w:val="18"/>
                <w:szCs w:val="18"/>
              </w:rPr>
              <w:t>1</w:t>
            </w:r>
          </w:p>
        </w:tc>
        <w:tc>
          <w:tcPr>
            <w:tcW w:w="460" w:type="dxa"/>
            <w:tcBorders>
              <w:top w:val="nil"/>
              <w:left w:val="nil"/>
              <w:bottom w:val="single" w:sz="4" w:space="0" w:color="auto"/>
              <w:right w:val="single" w:sz="4" w:space="0" w:color="auto"/>
            </w:tcBorders>
            <w:shd w:val="clear" w:color="auto" w:fill="auto"/>
            <w:noWrap/>
            <w:vAlign w:val="center"/>
            <w:hideMark/>
          </w:tcPr>
          <w:p w14:paraId="6E91EDAE" w14:textId="77777777" w:rsidR="000D2499" w:rsidRPr="003F1B9E" w:rsidRDefault="000D2499" w:rsidP="000D2499">
            <w:pPr>
              <w:spacing w:after="0"/>
              <w:jc w:val="center"/>
              <w:rPr>
                <w:rFonts w:eastAsia="Times New Roman"/>
                <w:b/>
                <w:color w:val="000000"/>
                <w:sz w:val="18"/>
                <w:szCs w:val="18"/>
              </w:rPr>
            </w:pPr>
            <w:r w:rsidRPr="003F1B9E">
              <w:rPr>
                <w:rFonts w:eastAsia="Times New Roman"/>
                <w:b/>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center"/>
            <w:hideMark/>
          </w:tcPr>
          <w:p w14:paraId="6F581D5A" w14:textId="77777777" w:rsidR="000D2499" w:rsidRPr="003F1B9E" w:rsidRDefault="000D2499" w:rsidP="000D2499">
            <w:pPr>
              <w:spacing w:after="0"/>
              <w:jc w:val="center"/>
              <w:rPr>
                <w:rFonts w:eastAsia="Times New Roman"/>
                <w:b/>
                <w:color w:val="000000"/>
                <w:sz w:val="18"/>
                <w:szCs w:val="18"/>
              </w:rPr>
            </w:pPr>
            <w:r w:rsidRPr="003F1B9E">
              <w:rPr>
                <w:rFonts w:eastAsia="Times New Roman"/>
                <w:b/>
                <w:color w:val="000000"/>
                <w:sz w:val="18"/>
                <w:szCs w:val="18"/>
              </w:rPr>
              <w:t>2.6</w:t>
            </w:r>
          </w:p>
        </w:tc>
        <w:tc>
          <w:tcPr>
            <w:tcW w:w="460" w:type="dxa"/>
            <w:tcBorders>
              <w:top w:val="nil"/>
              <w:left w:val="nil"/>
              <w:bottom w:val="single" w:sz="4" w:space="0" w:color="auto"/>
              <w:right w:val="single" w:sz="4" w:space="0" w:color="auto"/>
            </w:tcBorders>
            <w:shd w:val="clear" w:color="auto" w:fill="auto"/>
            <w:noWrap/>
            <w:vAlign w:val="center"/>
            <w:hideMark/>
          </w:tcPr>
          <w:p w14:paraId="226AEA53" w14:textId="77777777" w:rsidR="000D2499" w:rsidRPr="003F1B9E" w:rsidRDefault="000D2499" w:rsidP="000D2499">
            <w:pPr>
              <w:spacing w:after="0"/>
              <w:jc w:val="center"/>
              <w:rPr>
                <w:rFonts w:eastAsia="Times New Roman"/>
                <w:b/>
                <w:color w:val="000000"/>
                <w:sz w:val="18"/>
                <w:szCs w:val="18"/>
              </w:rPr>
            </w:pPr>
            <w:r w:rsidRPr="003F1B9E">
              <w:rPr>
                <w:rFonts w:eastAsia="Times New Roman"/>
                <w:b/>
                <w:color w:val="000000"/>
                <w:sz w:val="18"/>
                <w:szCs w:val="18"/>
              </w:rPr>
              <w:t>2.2</w:t>
            </w:r>
          </w:p>
        </w:tc>
        <w:tc>
          <w:tcPr>
            <w:tcW w:w="538" w:type="dxa"/>
            <w:tcBorders>
              <w:top w:val="nil"/>
              <w:left w:val="nil"/>
              <w:bottom w:val="single" w:sz="4" w:space="0" w:color="auto"/>
              <w:right w:val="single" w:sz="4" w:space="0" w:color="auto"/>
            </w:tcBorders>
            <w:shd w:val="clear" w:color="auto" w:fill="auto"/>
            <w:noWrap/>
            <w:vAlign w:val="center"/>
            <w:hideMark/>
          </w:tcPr>
          <w:p w14:paraId="7AAC49E4" w14:textId="77777777" w:rsidR="000D2499" w:rsidRPr="003F1B9E" w:rsidRDefault="000D2499" w:rsidP="000D2499">
            <w:pPr>
              <w:spacing w:after="0"/>
              <w:jc w:val="center"/>
              <w:rPr>
                <w:rFonts w:eastAsia="Times New Roman"/>
                <w:b/>
                <w:color w:val="000000"/>
                <w:sz w:val="18"/>
                <w:szCs w:val="18"/>
              </w:rPr>
            </w:pPr>
            <w:r w:rsidRPr="003F1B9E">
              <w:rPr>
                <w:rFonts w:eastAsia="Times New Roman"/>
                <w:b/>
                <w:color w:val="000000"/>
                <w:sz w:val="18"/>
                <w:szCs w:val="18"/>
              </w:rPr>
              <w:t>1.52</w:t>
            </w:r>
          </w:p>
        </w:tc>
        <w:tc>
          <w:tcPr>
            <w:tcW w:w="798" w:type="dxa"/>
            <w:tcBorders>
              <w:top w:val="nil"/>
              <w:left w:val="nil"/>
              <w:bottom w:val="single" w:sz="4" w:space="0" w:color="auto"/>
              <w:right w:val="single" w:sz="4" w:space="0" w:color="auto"/>
            </w:tcBorders>
            <w:shd w:val="clear" w:color="auto" w:fill="auto"/>
            <w:noWrap/>
            <w:vAlign w:val="center"/>
            <w:hideMark/>
          </w:tcPr>
          <w:p w14:paraId="3E9BA491" w14:textId="77777777" w:rsidR="000D2499" w:rsidRPr="003536AA" w:rsidRDefault="000D2499" w:rsidP="000D2499">
            <w:pPr>
              <w:spacing w:after="0"/>
              <w:jc w:val="center"/>
              <w:rPr>
                <w:rFonts w:eastAsia="Times New Roman"/>
                <w:b/>
                <w:color w:val="000000"/>
                <w:sz w:val="18"/>
                <w:szCs w:val="18"/>
              </w:rPr>
            </w:pPr>
            <w:r w:rsidRPr="003536AA">
              <w:rPr>
                <w:rFonts w:eastAsia="Times New Roman"/>
                <w:b/>
                <w:color w:val="000000"/>
                <w:sz w:val="18"/>
                <w:szCs w:val="18"/>
              </w:rPr>
              <w:t>AVG:</w:t>
            </w:r>
          </w:p>
          <w:p w14:paraId="74052883" w14:textId="77777777" w:rsidR="000D2499" w:rsidRPr="003536AA" w:rsidRDefault="000D2499" w:rsidP="000D2499">
            <w:pPr>
              <w:spacing w:after="0"/>
              <w:jc w:val="center"/>
              <w:rPr>
                <w:rFonts w:eastAsia="Times New Roman"/>
                <w:b/>
                <w:color w:val="000000"/>
                <w:sz w:val="18"/>
                <w:szCs w:val="18"/>
              </w:rPr>
            </w:pPr>
            <w:r w:rsidRPr="003F1B9E">
              <w:rPr>
                <w:rFonts w:eastAsia="Times New Roman"/>
                <w:b/>
                <w:color w:val="000000"/>
                <w:sz w:val="18"/>
                <w:szCs w:val="18"/>
              </w:rPr>
              <w:t>13.6</w:t>
            </w:r>
            <w:r w:rsidRPr="003536AA">
              <w:rPr>
                <w:rFonts w:eastAsia="Times New Roman"/>
                <w:b/>
                <w:color w:val="000000"/>
                <w:sz w:val="18"/>
                <w:szCs w:val="18"/>
              </w:rPr>
              <w:t>/27</w:t>
            </w:r>
          </w:p>
          <w:p w14:paraId="04F021A1" w14:textId="77777777" w:rsidR="000D2499" w:rsidRPr="003536AA" w:rsidRDefault="000D2499" w:rsidP="000D2499">
            <w:pPr>
              <w:spacing w:after="0"/>
              <w:jc w:val="center"/>
              <w:rPr>
                <w:rFonts w:eastAsia="Times New Roman"/>
                <w:b/>
                <w:color w:val="000000"/>
                <w:sz w:val="18"/>
                <w:szCs w:val="18"/>
              </w:rPr>
            </w:pPr>
          </w:p>
          <w:p w14:paraId="0B46D0AB" w14:textId="77777777" w:rsidR="000D2499" w:rsidRPr="003F1B9E" w:rsidRDefault="000D2499" w:rsidP="000D2499">
            <w:pPr>
              <w:spacing w:after="0"/>
              <w:jc w:val="center"/>
              <w:rPr>
                <w:rFonts w:eastAsia="Times New Roman"/>
                <w:b/>
                <w:color w:val="000000"/>
                <w:sz w:val="18"/>
                <w:szCs w:val="18"/>
              </w:rPr>
            </w:pPr>
            <w:r w:rsidRPr="003536AA">
              <w:rPr>
                <w:rFonts w:eastAsia="Times New Roman"/>
                <w:b/>
                <w:color w:val="000000"/>
                <w:sz w:val="18"/>
                <w:szCs w:val="18"/>
              </w:rPr>
              <w:t>TOTAL: 40/135</w:t>
            </w:r>
          </w:p>
        </w:tc>
        <w:tc>
          <w:tcPr>
            <w:tcW w:w="472" w:type="dxa"/>
            <w:tcBorders>
              <w:top w:val="nil"/>
              <w:left w:val="nil"/>
              <w:bottom w:val="single" w:sz="4" w:space="0" w:color="auto"/>
              <w:right w:val="single" w:sz="4" w:space="0" w:color="auto"/>
            </w:tcBorders>
            <w:vAlign w:val="center"/>
          </w:tcPr>
          <w:p w14:paraId="36BFE5EC" w14:textId="77777777" w:rsidR="000D2499" w:rsidRPr="003F1B9E" w:rsidRDefault="000D2499" w:rsidP="000D2499">
            <w:pPr>
              <w:spacing w:after="0"/>
              <w:jc w:val="center"/>
              <w:rPr>
                <w:rFonts w:eastAsia="Times New Roman"/>
                <w:b/>
                <w:color w:val="000000"/>
                <w:sz w:val="18"/>
                <w:szCs w:val="18"/>
              </w:rPr>
            </w:pPr>
            <w:r w:rsidRPr="003F1B9E">
              <w:rPr>
                <w:rFonts w:eastAsia="Times New Roman"/>
                <w:b/>
                <w:color w:val="000000"/>
                <w:sz w:val="18"/>
                <w:szCs w:val="18"/>
              </w:rPr>
              <w:t>1.6</w:t>
            </w:r>
            <w:r w:rsidRPr="003536AA">
              <w:rPr>
                <w:rFonts w:eastAsia="Times New Roman"/>
                <w:b/>
                <w:color w:val="000000"/>
                <w:sz w:val="18"/>
                <w:szCs w:val="18"/>
              </w:rPr>
              <w:t xml:space="preserve"> out of 3</w:t>
            </w:r>
          </w:p>
        </w:tc>
      </w:tr>
    </w:tbl>
    <w:p w14:paraId="402184FA" w14:textId="4777F407" w:rsidR="00A11855" w:rsidRDefault="00A11855" w:rsidP="00A22E4D">
      <w:pPr>
        <w:spacing w:after="0"/>
        <w:jc w:val="right"/>
        <w:rPr>
          <w:rFonts w:asciiTheme="majorHAnsi" w:hAnsiTheme="majorHAnsi"/>
          <w:b/>
          <w:szCs w:val="20"/>
        </w:rPr>
        <w:sectPr w:rsidR="00A11855" w:rsidSect="00F20987">
          <w:pgSz w:w="12240" w:h="15840" w:code="1"/>
          <w:pgMar w:top="1440" w:right="1440" w:bottom="1440" w:left="1440" w:header="720" w:footer="720" w:gutter="0"/>
          <w:cols w:space="720"/>
          <w:docGrid w:linePitch="360"/>
        </w:sectPr>
      </w:pPr>
    </w:p>
    <w:p w14:paraId="02D4282D" w14:textId="77777777" w:rsidR="00F02DA9" w:rsidRDefault="00F02DA9" w:rsidP="003B2A79">
      <w:pPr>
        <w:jc w:val="left"/>
        <w:sectPr w:rsidR="00F02DA9" w:rsidSect="00F20987">
          <w:pgSz w:w="12240" w:h="15840" w:code="1"/>
          <w:pgMar w:top="1440" w:right="1440" w:bottom="1440" w:left="1440" w:header="720" w:footer="720" w:gutter="0"/>
          <w:cols w:space="720"/>
          <w:docGrid w:linePitch="360"/>
        </w:sectPr>
      </w:pPr>
    </w:p>
    <w:p w14:paraId="7D864505" w14:textId="77777777" w:rsidR="00A22E4D" w:rsidRPr="006D63E5" w:rsidRDefault="00A22E4D" w:rsidP="00A22E4D">
      <w:pPr>
        <w:jc w:val="right"/>
        <w:rPr>
          <w:rFonts w:asciiTheme="majorHAnsi" w:hAnsiTheme="majorHAnsi"/>
          <w:b/>
          <w:sz w:val="20"/>
          <w:szCs w:val="20"/>
        </w:rPr>
      </w:pPr>
      <w:r w:rsidRPr="006D63E5">
        <w:rPr>
          <w:rFonts w:asciiTheme="majorHAnsi" w:hAnsiTheme="majorHAnsi"/>
          <w:b/>
          <w:sz w:val="20"/>
          <w:szCs w:val="20"/>
        </w:rPr>
        <w:t>Annex 6</w:t>
      </w:r>
    </w:p>
    <w:p w14:paraId="2312D298" w14:textId="77777777" w:rsidR="00A22E4D" w:rsidRPr="006D63E5" w:rsidRDefault="00A22E4D" w:rsidP="00A22E4D">
      <w:pPr>
        <w:jc w:val="center"/>
        <w:rPr>
          <w:rFonts w:asciiTheme="majorHAnsi" w:hAnsiTheme="majorHAnsi"/>
          <w:b/>
          <w:sz w:val="20"/>
          <w:szCs w:val="20"/>
        </w:rPr>
      </w:pPr>
      <w:r w:rsidRPr="006D63E5">
        <w:rPr>
          <w:rFonts w:asciiTheme="majorHAnsi" w:hAnsiTheme="majorHAnsi"/>
          <w:b/>
          <w:sz w:val="20"/>
          <w:szCs w:val="20"/>
        </w:rPr>
        <w:t>Communications and Knowledge Management Strategy</w:t>
      </w:r>
    </w:p>
    <w:p w14:paraId="2425DBC6" w14:textId="77777777" w:rsidR="00A22E4D" w:rsidRPr="006D63E5" w:rsidRDefault="00A22E4D" w:rsidP="00A22E4D">
      <w:pPr>
        <w:pStyle w:val="NormalWeb"/>
        <w:rPr>
          <w:rFonts w:asciiTheme="majorHAnsi" w:hAnsiTheme="majorHAnsi"/>
          <w:sz w:val="20"/>
          <w:szCs w:val="20"/>
        </w:rPr>
      </w:pPr>
      <w:r w:rsidRPr="00DB6EB8">
        <w:rPr>
          <w:rFonts w:asciiTheme="majorHAnsi" w:hAnsiTheme="majorHAnsi"/>
          <w:sz w:val="20"/>
          <w:szCs w:val="20"/>
        </w:rPr>
        <w:t>The purpose of this over-arching Communications and Knowledge Management Strategy is to provide the GEF6 Implementing Partners with a guide on effectively communicating about the GEF6 projects and its content. This Communications Plan should be adjusted once the Knowledge, Attitudes, and Practices (KAP) Survey is completed (Output 4.2)</w:t>
      </w:r>
      <w:r w:rsidRPr="006D63E5">
        <w:rPr>
          <w:rFonts w:asciiTheme="majorHAnsi" w:hAnsiTheme="majorHAnsi"/>
          <w:sz w:val="20"/>
          <w:szCs w:val="20"/>
        </w:rPr>
        <w:t>.</w:t>
      </w:r>
    </w:p>
    <w:p w14:paraId="5B6D0A81" w14:textId="4E82300A" w:rsidR="00A22E4D" w:rsidRPr="00DB6EB8" w:rsidRDefault="00A22E4D" w:rsidP="00A22E4D">
      <w:pPr>
        <w:pStyle w:val="NormalWeb"/>
        <w:rPr>
          <w:rFonts w:asciiTheme="majorHAnsi" w:hAnsiTheme="majorHAnsi"/>
          <w:sz w:val="20"/>
          <w:szCs w:val="20"/>
        </w:rPr>
      </w:pPr>
      <w:r w:rsidRPr="006D63E5">
        <w:rPr>
          <w:rFonts w:asciiTheme="majorHAnsi" w:hAnsiTheme="majorHAnsi"/>
          <w:sz w:val="20"/>
          <w:szCs w:val="20"/>
        </w:rPr>
        <w:t xml:space="preserve">High priority elements include development of a </w:t>
      </w:r>
      <w:r w:rsidRPr="006D63E5">
        <w:rPr>
          <w:rStyle w:val="Strong"/>
          <w:rFonts w:asciiTheme="majorHAnsi" w:hAnsiTheme="majorHAnsi"/>
          <w:sz w:val="20"/>
          <w:szCs w:val="20"/>
        </w:rPr>
        <w:t>Project Website</w:t>
      </w:r>
      <w:r w:rsidRPr="006D63E5">
        <w:rPr>
          <w:rFonts w:asciiTheme="majorHAnsi" w:hAnsiTheme="majorHAnsi"/>
          <w:sz w:val="20"/>
          <w:szCs w:val="20"/>
        </w:rPr>
        <w:t xml:space="preserve">, the launch of a </w:t>
      </w:r>
      <w:r w:rsidRPr="006D63E5">
        <w:rPr>
          <w:rStyle w:val="Strong"/>
          <w:rFonts w:asciiTheme="majorHAnsi" w:hAnsiTheme="majorHAnsi"/>
          <w:sz w:val="20"/>
          <w:szCs w:val="20"/>
        </w:rPr>
        <w:t>GEF6 Project Newsletter</w:t>
      </w:r>
      <w:r w:rsidRPr="006D63E5">
        <w:rPr>
          <w:rFonts w:asciiTheme="majorHAnsi" w:hAnsiTheme="majorHAnsi"/>
          <w:sz w:val="20"/>
          <w:szCs w:val="20"/>
        </w:rPr>
        <w:t>, increased use of social media, and more gender responsive/inclusive communications activities in the field. As described in the Project Document, Biosecurity/IAS content will be targeted at both the public and project partners, while targeted communications will be used to improve understanding of Landscape/Seascape Planning and Best Practices. The Person responsible for implementing this plan is the Project Manager (including getting partners involved with actions).</w:t>
      </w:r>
    </w:p>
    <w:p w14:paraId="0138CCF6" w14:textId="77777777" w:rsidR="00A22E4D" w:rsidRPr="006D63E5" w:rsidRDefault="00A22E4D" w:rsidP="00A22E4D">
      <w:pPr>
        <w:rPr>
          <w:rFonts w:asciiTheme="majorHAnsi" w:hAnsiTheme="majorHAnsi"/>
          <w:b/>
          <w:sz w:val="20"/>
          <w:szCs w:val="20"/>
        </w:rPr>
      </w:pPr>
      <w:r w:rsidRPr="006D63E5">
        <w:rPr>
          <w:rFonts w:asciiTheme="majorHAnsi" w:hAnsiTheme="majorHAnsi"/>
          <w:b/>
          <w:sz w:val="20"/>
          <w:szCs w:val="20"/>
        </w:rPr>
        <w:t>Overarching Communication Goals:</w:t>
      </w:r>
    </w:p>
    <w:p w14:paraId="7B1BA187" w14:textId="77777777" w:rsidR="00A22E4D" w:rsidRPr="006D63E5" w:rsidRDefault="00A22E4D" w:rsidP="00A22E4D">
      <w:pPr>
        <w:rPr>
          <w:rFonts w:asciiTheme="majorHAnsi" w:hAnsiTheme="majorHAnsi"/>
          <w:i/>
          <w:sz w:val="20"/>
          <w:szCs w:val="20"/>
        </w:rPr>
      </w:pPr>
      <w:r w:rsidRPr="006D63E5">
        <w:rPr>
          <w:rFonts w:asciiTheme="majorHAnsi" w:hAnsiTheme="majorHAnsi"/>
          <w:i/>
          <w:sz w:val="20"/>
          <w:szCs w:val="20"/>
        </w:rPr>
        <w:t>Internally focused (about the Project):</w:t>
      </w:r>
    </w:p>
    <w:p w14:paraId="6E109FAB" w14:textId="77777777" w:rsidR="00A22E4D" w:rsidRPr="006D63E5" w:rsidRDefault="00A22E4D" w:rsidP="00EA4043">
      <w:pPr>
        <w:pStyle w:val="ListParagraph"/>
        <w:numPr>
          <w:ilvl w:val="0"/>
          <w:numId w:val="45"/>
        </w:numPr>
        <w:spacing w:after="160" w:line="259" w:lineRule="auto"/>
        <w:contextualSpacing/>
        <w:rPr>
          <w:rFonts w:asciiTheme="majorHAnsi" w:hAnsiTheme="majorHAnsi"/>
          <w:sz w:val="20"/>
          <w:szCs w:val="20"/>
        </w:rPr>
      </w:pPr>
      <w:r w:rsidRPr="00DB6EB8">
        <w:rPr>
          <w:rFonts w:asciiTheme="majorHAnsi" w:hAnsiTheme="majorHAnsi"/>
          <w:sz w:val="20"/>
          <w:szCs w:val="20"/>
        </w:rPr>
        <w:t>The Project itself is well understood and implemented effectively and efficiently by all involved partners, including the public.</w:t>
      </w:r>
    </w:p>
    <w:p w14:paraId="0ECA5098" w14:textId="77777777" w:rsidR="00A22E4D" w:rsidRPr="006D63E5" w:rsidRDefault="00A22E4D" w:rsidP="00EA4043">
      <w:pPr>
        <w:pStyle w:val="ListParagraph"/>
        <w:numPr>
          <w:ilvl w:val="0"/>
          <w:numId w:val="45"/>
        </w:numPr>
        <w:spacing w:after="160" w:line="259" w:lineRule="auto"/>
        <w:contextualSpacing/>
        <w:rPr>
          <w:rFonts w:asciiTheme="majorHAnsi" w:hAnsiTheme="majorHAnsi"/>
          <w:sz w:val="20"/>
          <w:szCs w:val="20"/>
        </w:rPr>
      </w:pPr>
      <w:r w:rsidRPr="006D63E5">
        <w:rPr>
          <w:rFonts w:asciiTheme="majorHAnsi" w:hAnsiTheme="majorHAnsi"/>
          <w:sz w:val="20"/>
          <w:szCs w:val="20"/>
        </w:rPr>
        <w:t>Knowledge Management Products arising from the project are shared, accessed, and used to improve practices by partners, the public, and international partners.</w:t>
      </w:r>
    </w:p>
    <w:p w14:paraId="0282993C" w14:textId="77777777" w:rsidR="00A22E4D" w:rsidRPr="006D63E5" w:rsidRDefault="00A22E4D" w:rsidP="00A22E4D">
      <w:pPr>
        <w:rPr>
          <w:rFonts w:asciiTheme="majorHAnsi" w:hAnsiTheme="majorHAnsi"/>
          <w:i/>
          <w:sz w:val="20"/>
          <w:szCs w:val="20"/>
        </w:rPr>
      </w:pPr>
      <w:r w:rsidRPr="006D63E5">
        <w:rPr>
          <w:rFonts w:asciiTheme="majorHAnsi" w:hAnsiTheme="majorHAnsi"/>
          <w:i/>
          <w:sz w:val="20"/>
          <w:szCs w:val="20"/>
        </w:rPr>
        <w:t>Externally focused (about Project Content):</w:t>
      </w:r>
    </w:p>
    <w:p w14:paraId="673D473F" w14:textId="77777777" w:rsidR="00A22E4D" w:rsidRPr="006D63E5" w:rsidRDefault="00A22E4D" w:rsidP="00EA4043">
      <w:pPr>
        <w:pStyle w:val="ListParagraph"/>
        <w:numPr>
          <w:ilvl w:val="0"/>
          <w:numId w:val="45"/>
        </w:numPr>
        <w:spacing w:after="160" w:line="259" w:lineRule="auto"/>
        <w:contextualSpacing/>
        <w:rPr>
          <w:rFonts w:asciiTheme="majorHAnsi" w:hAnsiTheme="majorHAnsi"/>
          <w:sz w:val="20"/>
          <w:szCs w:val="20"/>
        </w:rPr>
      </w:pPr>
      <w:r w:rsidRPr="00DB6EB8">
        <w:rPr>
          <w:rFonts w:asciiTheme="majorHAnsi" w:hAnsiTheme="majorHAnsi"/>
          <w:sz w:val="20"/>
          <w:szCs w:val="20"/>
        </w:rPr>
        <w:t>Awareness on key subject matters covered by the project (Landscape/Seascape Planning, Biosecurity/IAS, and Best Practices for Sustainable Management) improve and leads to improved practices on the ground by partners and the public.</w:t>
      </w:r>
    </w:p>
    <w:p w14:paraId="34E31B6C" w14:textId="77777777" w:rsidR="00A22E4D" w:rsidRPr="006D63E5" w:rsidRDefault="00A22E4D" w:rsidP="00EA4043">
      <w:pPr>
        <w:pStyle w:val="ListParagraph"/>
        <w:numPr>
          <w:ilvl w:val="1"/>
          <w:numId w:val="45"/>
        </w:numPr>
        <w:spacing w:after="160" w:line="259" w:lineRule="auto"/>
        <w:contextualSpacing/>
        <w:rPr>
          <w:rFonts w:asciiTheme="majorHAnsi" w:hAnsiTheme="majorHAnsi"/>
          <w:sz w:val="20"/>
          <w:szCs w:val="20"/>
        </w:rPr>
      </w:pPr>
      <w:r w:rsidRPr="006D63E5">
        <w:rPr>
          <w:rFonts w:asciiTheme="majorHAnsi" w:hAnsiTheme="majorHAnsi"/>
          <w:sz w:val="20"/>
          <w:szCs w:val="20"/>
        </w:rPr>
        <w:t>Key stakeholders from State, National, Private, and Nonprofit sectors have increased their understanding of Landscape/Seascape Planning and the importance of biodiversity mainstreaming through improved partnerships from the start to the end of the project.</w:t>
      </w:r>
    </w:p>
    <w:p w14:paraId="079FDF6C" w14:textId="77777777" w:rsidR="00A22E4D" w:rsidRPr="006D63E5" w:rsidRDefault="00A22E4D" w:rsidP="00EA4043">
      <w:pPr>
        <w:pStyle w:val="ListParagraph"/>
        <w:numPr>
          <w:ilvl w:val="1"/>
          <w:numId w:val="45"/>
        </w:numPr>
        <w:spacing w:after="160" w:line="259" w:lineRule="auto"/>
        <w:contextualSpacing/>
        <w:rPr>
          <w:rFonts w:asciiTheme="majorHAnsi" w:hAnsiTheme="majorHAnsi"/>
          <w:sz w:val="20"/>
          <w:szCs w:val="20"/>
        </w:rPr>
      </w:pPr>
      <w:r w:rsidRPr="006D63E5">
        <w:rPr>
          <w:rFonts w:asciiTheme="majorHAnsi" w:hAnsiTheme="majorHAnsi"/>
          <w:sz w:val="20"/>
          <w:szCs w:val="20"/>
        </w:rPr>
        <w:t>Key stakeholders, including landowners and direct resource managers, have increased their understanding of Best Practices from the start to the end of the project.</w:t>
      </w:r>
    </w:p>
    <w:p w14:paraId="1B4AD5E7" w14:textId="77777777" w:rsidR="00A22E4D" w:rsidRPr="006D63E5" w:rsidRDefault="00A22E4D" w:rsidP="00EA4043">
      <w:pPr>
        <w:pStyle w:val="ListParagraph"/>
        <w:numPr>
          <w:ilvl w:val="1"/>
          <w:numId w:val="45"/>
        </w:numPr>
        <w:spacing w:after="160" w:line="259" w:lineRule="auto"/>
        <w:contextualSpacing/>
        <w:rPr>
          <w:rFonts w:asciiTheme="majorHAnsi" w:hAnsiTheme="majorHAnsi"/>
          <w:sz w:val="20"/>
          <w:szCs w:val="20"/>
        </w:rPr>
      </w:pPr>
      <w:r w:rsidRPr="006D63E5">
        <w:rPr>
          <w:rFonts w:asciiTheme="majorHAnsi" w:hAnsiTheme="majorHAnsi"/>
          <w:sz w:val="20"/>
          <w:szCs w:val="20"/>
        </w:rPr>
        <w:t>The public has increased its understanding of Biosecurity/IAS by the end of the project.</w:t>
      </w:r>
    </w:p>
    <w:p w14:paraId="20FCC414" w14:textId="77777777" w:rsidR="00A22E4D" w:rsidRPr="006D63E5" w:rsidRDefault="00A22E4D" w:rsidP="00A22E4D">
      <w:pPr>
        <w:rPr>
          <w:rFonts w:asciiTheme="majorHAnsi" w:hAnsiTheme="majorHAnsi"/>
          <w:b/>
          <w:sz w:val="20"/>
          <w:szCs w:val="20"/>
        </w:rPr>
      </w:pPr>
      <w:r w:rsidRPr="006D63E5">
        <w:rPr>
          <w:rFonts w:asciiTheme="majorHAnsi" w:hAnsiTheme="majorHAnsi"/>
          <w:b/>
          <w:sz w:val="20"/>
          <w:szCs w:val="20"/>
        </w:rPr>
        <w:t>Overarching Communication Objectives:</w:t>
      </w:r>
    </w:p>
    <w:p w14:paraId="1BFAFFD8" w14:textId="77777777" w:rsidR="00A22E4D" w:rsidRPr="006D63E5" w:rsidRDefault="00A22E4D" w:rsidP="00EA4043">
      <w:pPr>
        <w:pStyle w:val="ListParagraph"/>
        <w:numPr>
          <w:ilvl w:val="0"/>
          <w:numId w:val="46"/>
        </w:numPr>
        <w:spacing w:after="160" w:line="259" w:lineRule="auto"/>
        <w:contextualSpacing/>
        <w:rPr>
          <w:rFonts w:asciiTheme="majorHAnsi" w:hAnsiTheme="majorHAnsi"/>
          <w:sz w:val="20"/>
          <w:szCs w:val="20"/>
        </w:rPr>
      </w:pPr>
      <w:r w:rsidRPr="00DB6EB8">
        <w:rPr>
          <w:rFonts w:asciiTheme="majorHAnsi" w:hAnsiTheme="majorHAnsi"/>
          <w:sz w:val="20"/>
          <w:szCs w:val="20"/>
        </w:rPr>
        <w:t>By the end of the project, 90% of partner agencies (see Stakeholder List) and 20% of the public will be able to describe the GEF6 project using at least 3 out of the 4 keywords: “Improve,” “Landscape/Seascape Planning,” “Biosecurity/IAS Prevention and Management,” and “Best P</w:t>
      </w:r>
      <w:r w:rsidRPr="006D63E5">
        <w:rPr>
          <w:rFonts w:asciiTheme="majorHAnsi" w:hAnsiTheme="majorHAnsi"/>
          <w:sz w:val="20"/>
          <w:szCs w:val="20"/>
        </w:rPr>
        <w:t>ractices.”</w:t>
      </w:r>
    </w:p>
    <w:p w14:paraId="0735CD60" w14:textId="77777777" w:rsidR="00A22E4D" w:rsidRPr="006D63E5" w:rsidRDefault="00A22E4D" w:rsidP="00EA4043">
      <w:pPr>
        <w:pStyle w:val="ListParagraph"/>
        <w:numPr>
          <w:ilvl w:val="0"/>
          <w:numId w:val="46"/>
        </w:numPr>
        <w:spacing w:after="160" w:line="259" w:lineRule="auto"/>
        <w:contextualSpacing/>
        <w:rPr>
          <w:rFonts w:asciiTheme="majorHAnsi" w:hAnsiTheme="majorHAnsi"/>
          <w:sz w:val="20"/>
          <w:szCs w:val="20"/>
        </w:rPr>
      </w:pPr>
      <w:r w:rsidRPr="006D63E5">
        <w:rPr>
          <w:rFonts w:asciiTheme="majorHAnsi" w:hAnsiTheme="majorHAnsi"/>
          <w:sz w:val="20"/>
          <w:szCs w:val="20"/>
        </w:rPr>
        <w:t>By the end of the project, at least 75% of project documents are available on a publicly accessible digital platform, and stakeholders have received at least 1 annual communication about Knowledge Management Products.</w:t>
      </w:r>
    </w:p>
    <w:p w14:paraId="36148F6D" w14:textId="77777777" w:rsidR="00A22E4D" w:rsidRPr="006D63E5" w:rsidRDefault="00A22E4D" w:rsidP="00EA4043">
      <w:pPr>
        <w:pStyle w:val="ListParagraph"/>
        <w:numPr>
          <w:ilvl w:val="0"/>
          <w:numId w:val="46"/>
        </w:numPr>
        <w:spacing w:after="160" w:line="259" w:lineRule="auto"/>
        <w:contextualSpacing/>
        <w:rPr>
          <w:rFonts w:asciiTheme="majorHAnsi" w:hAnsiTheme="majorHAnsi"/>
          <w:sz w:val="20"/>
          <w:szCs w:val="20"/>
        </w:rPr>
      </w:pPr>
      <w:r w:rsidRPr="006D63E5">
        <w:rPr>
          <w:rFonts w:asciiTheme="majorHAnsi" w:hAnsiTheme="majorHAnsi"/>
          <w:sz w:val="20"/>
          <w:szCs w:val="20"/>
        </w:rPr>
        <w:t>By the end of the projects, the number of individuals (partners or public) able to name a specific GEF6 activity or message will have increased annually.</w:t>
      </w:r>
    </w:p>
    <w:p w14:paraId="4DCF213D" w14:textId="77777777" w:rsidR="00A22E4D" w:rsidRPr="006D63E5" w:rsidRDefault="00A22E4D" w:rsidP="00A22E4D">
      <w:pPr>
        <w:rPr>
          <w:rFonts w:asciiTheme="majorHAnsi" w:hAnsiTheme="majorHAnsi"/>
          <w:b/>
          <w:sz w:val="20"/>
          <w:szCs w:val="20"/>
        </w:rPr>
      </w:pPr>
      <w:r w:rsidRPr="006D63E5">
        <w:rPr>
          <w:rFonts w:asciiTheme="majorHAnsi" w:hAnsiTheme="majorHAnsi"/>
          <w:b/>
          <w:sz w:val="20"/>
          <w:szCs w:val="20"/>
        </w:rPr>
        <w:t>Role of Communications in supporting a Project and its outcomes (why it is important to implement the communications plan!)</w:t>
      </w:r>
      <w:r w:rsidRPr="00DB6EB8">
        <w:rPr>
          <w:rStyle w:val="FootnoteReference"/>
          <w:rFonts w:asciiTheme="majorHAnsi" w:hAnsiTheme="majorHAnsi"/>
          <w:sz w:val="20"/>
          <w:szCs w:val="20"/>
        </w:rPr>
        <w:t xml:space="preserve"> </w:t>
      </w:r>
      <w:r w:rsidRPr="00DB6EB8">
        <w:rPr>
          <w:rStyle w:val="FootnoteReference"/>
          <w:rFonts w:asciiTheme="majorHAnsi" w:hAnsiTheme="majorHAnsi"/>
          <w:sz w:val="20"/>
          <w:szCs w:val="20"/>
        </w:rPr>
        <w:footnoteReference w:id="38"/>
      </w:r>
      <w:r w:rsidRPr="006D63E5">
        <w:rPr>
          <w:rFonts w:asciiTheme="majorHAnsi" w:hAnsiTheme="majorHAnsi"/>
          <w:b/>
          <w:sz w:val="20"/>
          <w:szCs w:val="20"/>
        </w:rPr>
        <w:t>:</w:t>
      </w:r>
    </w:p>
    <w:p w14:paraId="1E3AF66E" w14:textId="77777777" w:rsidR="00A22E4D" w:rsidRPr="00DB6EB8" w:rsidRDefault="00A22E4D" w:rsidP="00EA4043">
      <w:pPr>
        <w:pStyle w:val="Default"/>
        <w:numPr>
          <w:ilvl w:val="0"/>
          <w:numId w:val="36"/>
        </w:numPr>
        <w:spacing w:after="7"/>
        <w:rPr>
          <w:rFonts w:asciiTheme="majorHAnsi" w:hAnsiTheme="majorHAnsi"/>
          <w:sz w:val="20"/>
          <w:szCs w:val="20"/>
        </w:rPr>
      </w:pPr>
      <w:r w:rsidRPr="00DB6EB8">
        <w:rPr>
          <w:rFonts w:asciiTheme="majorHAnsi" w:hAnsiTheme="majorHAnsi"/>
          <w:sz w:val="20"/>
          <w:szCs w:val="20"/>
        </w:rPr>
        <w:t xml:space="preserve">Ensure that all partners speak with one voice </w:t>
      </w:r>
    </w:p>
    <w:p w14:paraId="570CA88F" w14:textId="77777777" w:rsidR="00A22E4D" w:rsidRPr="006D63E5" w:rsidRDefault="00A22E4D" w:rsidP="00EA4043">
      <w:pPr>
        <w:pStyle w:val="Default"/>
        <w:numPr>
          <w:ilvl w:val="0"/>
          <w:numId w:val="36"/>
        </w:numPr>
        <w:spacing w:after="7"/>
        <w:rPr>
          <w:rFonts w:asciiTheme="majorHAnsi" w:hAnsiTheme="majorHAnsi"/>
          <w:sz w:val="20"/>
          <w:szCs w:val="20"/>
        </w:rPr>
      </w:pPr>
      <w:r w:rsidRPr="006D63E5">
        <w:rPr>
          <w:rFonts w:asciiTheme="majorHAnsi" w:hAnsiTheme="majorHAnsi"/>
          <w:sz w:val="20"/>
          <w:szCs w:val="20"/>
        </w:rPr>
        <w:t xml:space="preserve">Build a strong sense of ownership and buy-in among all the key partners involved </w:t>
      </w:r>
    </w:p>
    <w:p w14:paraId="1BAB648C" w14:textId="77777777" w:rsidR="00A22E4D" w:rsidRPr="006D63E5" w:rsidRDefault="00A22E4D" w:rsidP="00EA4043">
      <w:pPr>
        <w:pStyle w:val="Default"/>
        <w:numPr>
          <w:ilvl w:val="0"/>
          <w:numId w:val="36"/>
        </w:numPr>
        <w:spacing w:after="7"/>
        <w:rPr>
          <w:rFonts w:asciiTheme="majorHAnsi" w:hAnsiTheme="majorHAnsi"/>
          <w:sz w:val="20"/>
          <w:szCs w:val="20"/>
        </w:rPr>
      </w:pPr>
      <w:r w:rsidRPr="006D63E5">
        <w:rPr>
          <w:rFonts w:asciiTheme="majorHAnsi" w:hAnsiTheme="majorHAnsi"/>
          <w:sz w:val="20"/>
          <w:szCs w:val="20"/>
        </w:rPr>
        <w:t xml:space="preserve">Better integrate the different communication strategies and plans that the various partners already implement </w:t>
      </w:r>
    </w:p>
    <w:p w14:paraId="193D063C" w14:textId="77777777" w:rsidR="00A22E4D" w:rsidRPr="006D63E5" w:rsidRDefault="00A22E4D" w:rsidP="00EA4043">
      <w:pPr>
        <w:pStyle w:val="Default"/>
        <w:numPr>
          <w:ilvl w:val="0"/>
          <w:numId w:val="36"/>
        </w:numPr>
        <w:spacing w:after="7"/>
        <w:rPr>
          <w:rFonts w:asciiTheme="majorHAnsi" w:hAnsiTheme="majorHAnsi"/>
          <w:sz w:val="20"/>
          <w:szCs w:val="20"/>
        </w:rPr>
      </w:pPr>
      <w:r w:rsidRPr="006D63E5">
        <w:rPr>
          <w:rFonts w:asciiTheme="majorHAnsi" w:hAnsiTheme="majorHAnsi"/>
          <w:sz w:val="20"/>
          <w:szCs w:val="20"/>
        </w:rPr>
        <w:t xml:space="preserve">Clarify roles and responsibilities </w:t>
      </w:r>
    </w:p>
    <w:p w14:paraId="5524E830" w14:textId="77777777" w:rsidR="00A22E4D" w:rsidRPr="006D63E5" w:rsidRDefault="00A22E4D" w:rsidP="00EA4043">
      <w:pPr>
        <w:pStyle w:val="Default"/>
        <w:numPr>
          <w:ilvl w:val="0"/>
          <w:numId w:val="36"/>
        </w:numPr>
        <w:spacing w:after="7"/>
        <w:rPr>
          <w:rFonts w:asciiTheme="majorHAnsi" w:hAnsiTheme="majorHAnsi"/>
          <w:sz w:val="20"/>
          <w:szCs w:val="20"/>
        </w:rPr>
      </w:pPr>
      <w:r w:rsidRPr="006D63E5">
        <w:rPr>
          <w:rFonts w:asciiTheme="majorHAnsi" w:hAnsiTheme="majorHAnsi"/>
          <w:sz w:val="20"/>
          <w:szCs w:val="20"/>
        </w:rPr>
        <w:t xml:space="preserve">Provide a clear roadmap for implementing communication activities </w:t>
      </w:r>
    </w:p>
    <w:p w14:paraId="03EC62B7" w14:textId="77777777" w:rsidR="00A22E4D" w:rsidRPr="006D63E5" w:rsidRDefault="00A22E4D" w:rsidP="00EA4043">
      <w:pPr>
        <w:pStyle w:val="Default"/>
        <w:numPr>
          <w:ilvl w:val="0"/>
          <w:numId w:val="36"/>
        </w:numPr>
        <w:spacing w:after="7"/>
        <w:rPr>
          <w:rFonts w:asciiTheme="majorHAnsi" w:hAnsiTheme="majorHAnsi"/>
          <w:sz w:val="20"/>
          <w:szCs w:val="20"/>
        </w:rPr>
      </w:pPr>
      <w:r w:rsidRPr="006D63E5">
        <w:rPr>
          <w:rFonts w:asciiTheme="majorHAnsi" w:hAnsiTheme="majorHAnsi"/>
          <w:sz w:val="20"/>
          <w:szCs w:val="20"/>
        </w:rPr>
        <w:t xml:space="preserve">Ensure clarity, cohesion and collaboration as the project and communication activities are implemented </w:t>
      </w:r>
    </w:p>
    <w:p w14:paraId="1E93C1D3" w14:textId="77777777" w:rsidR="00A22E4D" w:rsidRPr="006D63E5" w:rsidRDefault="00A22E4D" w:rsidP="00EA4043">
      <w:pPr>
        <w:pStyle w:val="Default"/>
        <w:numPr>
          <w:ilvl w:val="0"/>
          <w:numId w:val="36"/>
        </w:numPr>
        <w:spacing w:after="7"/>
        <w:rPr>
          <w:rFonts w:asciiTheme="majorHAnsi" w:hAnsiTheme="majorHAnsi"/>
          <w:sz w:val="20"/>
          <w:szCs w:val="20"/>
        </w:rPr>
      </w:pPr>
      <w:r w:rsidRPr="006D63E5">
        <w:rPr>
          <w:rFonts w:asciiTheme="majorHAnsi" w:hAnsiTheme="majorHAnsi"/>
          <w:sz w:val="20"/>
          <w:szCs w:val="20"/>
        </w:rPr>
        <w:t xml:space="preserve">Help to leverage resources and avoid duplication </w:t>
      </w:r>
    </w:p>
    <w:p w14:paraId="257F9019" w14:textId="77777777" w:rsidR="00A22E4D" w:rsidRPr="006D63E5" w:rsidRDefault="00A22E4D" w:rsidP="00EA4043">
      <w:pPr>
        <w:pStyle w:val="Default"/>
        <w:numPr>
          <w:ilvl w:val="0"/>
          <w:numId w:val="36"/>
        </w:numPr>
        <w:spacing w:after="7"/>
        <w:rPr>
          <w:rFonts w:asciiTheme="majorHAnsi" w:hAnsiTheme="majorHAnsi"/>
          <w:sz w:val="20"/>
          <w:szCs w:val="20"/>
        </w:rPr>
      </w:pPr>
      <w:r w:rsidRPr="006D63E5">
        <w:rPr>
          <w:rFonts w:asciiTheme="majorHAnsi" w:hAnsiTheme="majorHAnsi"/>
          <w:sz w:val="20"/>
          <w:szCs w:val="20"/>
        </w:rPr>
        <w:t xml:space="preserve">Identify existing communication capacities and identify strengths and weaknesses where additional training may be needed </w:t>
      </w:r>
    </w:p>
    <w:p w14:paraId="29C7DDC2" w14:textId="77777777" w:rsidR="00A22E4D" w:rsidRPr="006D63E5" w:rsidRDefault="00A22E4D" w:rsidP="00EA4043">
      <w:pPr>
        <w:pStyle w:val="Default"/>
        <w:numPr>
          <w:ilvl w:val="0"/>
          <w:numId w:val="36"/>
        </w:numPr>
        <w:spacing w:after="7"/>
        <w:rPr>
          <w:rFonts w:asciiTheme="majorHAnsi" w:hAnsiTheme="majorHAnsi"/>
          <w:sz w:val="20"/>
          <w:szCs w:val="20"/>
        </w:rPr>
      </w:pPr>
      <w:r w:rsidRPr="006D63E5">
        <w:rPr>
          <w:rFonts w:asciiTheme="majorHAnsi" w:hAnsiTheme="majorHAnsi"/>
          <w:sz w:val="20"/>
          <w:szCs w:val="20"/>
        </w:rPr>
        <w:t xml:space="preserve">“Champion” communication best practices across the CLME+ region and identify ways to capture and scale-up successes – especially with respect to improved governance mechanisms </w:t>
      </w:r>
    </w:p>
    <w:p w14:paraId="73932AAC" w14:textId="77777777" w:rsidR="00A22E4D" w:rsidRPr="006D63E5" w:rsidRDefault="00A22E4D" w:rsidP="00EA4043">
      <w:pPr>
        <w:pStyle w:val="Default"/>
        <w:numPr>
          <w:ilvl w:val="0"/>
          <w:numId w:val="36"/>
        </w:numPr>
        <w:rPr>
          <w:rFonts w:asciiTheme="majorHAnsi" w:hAnsiTheme="majorHAnsi"/>
          <w:sz w:val="20"/>
          <w:szCs w:val="20"/>
        </w:rPr>
      </w:pPr>
      <w:r w:rsidRPr="006D63E5">
        <w:rPr>
          <w:rFonts w:asciiTheme="majorHAnsi" w:hAnsiTheme="majorHAnsi"/>
          <w:sz w:val="20"/>
          <w:szCs w:val="20"/>
        </w:rPr>
        <w:t xml:space="preserve">Strengthen partner relationships with traditional media and with emerging social media tools and actors </w:t>
      </w:r>
    </w:p>
    <w:p w14:paraId="6FD90876" w14:textId="77777777" w:rsidR="00A22E4D" w:rsidRPr="006D63E5" w:rsidRDefault="00A22E4D" w:rsidP="00EA4043">
      <w:pPr>
        <w:pStyle w:val="Default"/>
        <w:numPr>
          <w:ilvl w:val="0"/>
          <w:numId w:val="36"/>
        </w:numPr>
        <w:spacing w:after="7"/>
        <w:rPr>
          <w:rFonts w:asciiTheme="majorHAnsi" w:hAnsiTheme="majorHAnsi"/>
          <w:sz w:val="20"/>
          <w:szCs w:val="20"/>
        </w:rPr>
      </w:pPr>
      <w:r w:rsidRPr="006D63E5">
        <w:rPr>
          <w:rFonts w:asciiTheme="majorHAnsi" w:hAnsiTheme="majorHAnsi"/>
          <w:sz w:val="20"/>
          <w:szCs w:val="20"/>
        </w:rPr>
        <w:t xml:space="preserve">Enhance the news-worthiness of project issues in the consciousness of mainstream and traditional media actors, and </w:t>
      </w:r>
    </w:p>
    <w:p w14:paraId="742679FF" w14:textId="77777777" w:rsidR="00A22E4D" w:rsidRPr="006D63E5" w:rsidRDefault="00A22E4D" w:rsidP="00A22E4D">
      <w:pPr>
        <w:pStyle w:val="Default"/>
        <w:rPr>
          <w:rFonts w:asciiTheme="majorHAnsi" w:hAnsiTheme="majorHAnsi"/>
          <w:sz w:val="20"/>
          <w:szCs w:val="20"/>
        </w:rPr>
      </w:pPr>
    </w:p>
    <w:p w14:paraId="03231178" w14:textId="77777777" w:rsidR="00A22E4D" w:rsidRPr="006D63E5" w:rsidRDefault="00A22E4D" w:rsidP="00A22E4D">
      <w:pPr>
        <w:pStyle w:val="Default"/>
        <w:rPr>
          <w:rFonts w:asciiTheme="majorHAnsi" w:hAnsiTheme="majorHAnsi"/>
          <w:b/>
          <w:sz w:val="20"/>
          <w:szCs w:val="20"/>
        </w:rPr>
      </w:pPr>
      <w:r w:rsidRPr="006D63E5">
        <w:rPr>
          <w:rFonts w:asciiTheme="majorHAnsi" w:hAnsiTheme="majorHAnsi"/>
          <w:b/>
          <w:sz w:val="20"/>
          <w:szCs w:val="20"/>
        </w:rPr>
        <w:t>Guiding Principles</w:t>
      </w:r>
    </w:p>
    <w:p w14:paraId="7361D65F" w14:textId="77777777" w:rsidR="00A22E4D" w:rsidRPr="006D63E5" w:rsidRDefault="00A22E4D" w:rsidP="00EA4043">
      <w:pPr>
        <w:pStyle w:val="Default"/>
        <w:numPr>
          <w:ilvl w:val="0"/>
          <w:numId w:val="47"/>
        </w:numPr>
        <w:rPr>
          <w:rFonts w:asciiTheme="majorHAnsi" w:hAnsiTheme="majorHAnsi"/>
          <w:sz w:val="20"/>
          <w:szCs w:val="20"/>
        </w:rPr>
      </w:pPr>
      <w:r w:rsidRPr="006D63E5">
        <w:rPr>
          <w:rFonts w:asciiTheme="majorHAnsi" w:hAnsiTheme="majorHAnsi"/>
          <w:sz w:val="20"/>
          <w:szCs w:val="20"/>
        </w:rPr>
        <w:t>Take advantage of the easily doable actions – this includes opportunities for free communications such as Facebook and Twitter, that project implementers are already using.</w:t>
      </w:r>
    </w:p>
    <w:p w14:paraId="0B69FA0C" w14:textId="77777777" w:rsidR="00A22E4D" w:rsidRPr="006D63E5" w:rsidRDefault="00A22E4D" w:rsidP="00EA4043">
      <w:pPr>
        <w:pStyle w:val="Default"/>
        <w:numPr>
          <w:ilvl w:val="0"/>
          <w:numId w:val="47"/>
        </w:numPr>
        <w:rPr>
          <w:rFonts w:asciiTheme="majorHAnsi" w:hAnsiTheme="majorHAnsi"/>
          <w:sz w:val="20"/>
          <w:szCs w:val="20"/>
        </w:rPr>
      </w:pPr>
      <w:r w:rsidRPr="006D63E5">
        <w:rPr>
          <w:rFonts w:asciiTheme="majorHAnsi" w:hAnsiTheme="majorHAnsi"/>
          <w:sz w:val="20"/>
          <w:szCs w:val="20"/>
        </w:rPr>
        <w:t>For younger audiences – emphasize the visual and the instant: Use pictures and social media to instantly engage younger audiences.</w:t>
      </w:r>
    </w:p>
    <w:p w14:paraId="7BAA4864" w14:textId="77777777" w:rsidR="00A22E4D" w:rsidRPr="006D63E5" w:rsidRDefault="00A22E4D" w:rsidP="00EA4043">
      <w:pPr>
        <w:pStyle w:val="Default"/>
        <w:numPr>
          <w:ilvl w:val="0"/>
          <w:numId w:val="47"/>
        </w:numPr>
        <w:rPr>
          <w:rFonts w:asciiTheme="majorHAnsi" w:hAnsiTheme="majorHAnsi"/>
          <w:sz w:val="20"/>
          <w:szCs w:val="20"/>
        </w:rPr>
      </w:pPr>
      <w:r w:rsidRPr="006D63E5">
        <w:rPr>
          <w:rFonts w:asciiTheme="majorHAnsi" w:hAnsiTheme="majorHAnsi"/>
          <w:sz w:val="20"/>
          <w:szCs w:val="20"/>
        </w:rPr>
        <w:t>For older audiences – consider inclusive and gender appropriate methods of communications, including written/radio for men and oral/meetings for women.</w:t>
      </w:r>
    </w:p>
    <w:p w14:paraId="4EA820B5" w14:textId="77777777" w:rsidR="00A22E4D" w:rsidRPr="006D63E5" w:rsidRDefault="00A22E4D" w:rsidP="00EA4043">
      <w:pPr>
        <w:pStyle w:val="Default"/>
        <w:numPr>
          <w:ilvl w:val="0"/>
          <w:numId w:val="47"/>
        </w:numPr>
        <w:rPr>
          <w:rFonts w:asciiTheme="majorHAnsi" w:hAnsiTheme="majorHAnsi"/>
          <w:sz w:val="20"/>
          <w:szCs w:val="20"/>
        </w:rPr>
      </w:pPr>
      <w:r w:rsidRPr="006D63E5">
        <w:rPr>
          <w:rFonts w:asciiTheme="majorHAnsi" w:hAnsiTheme="majorHAnsi"/>
          <w:sz w:val="20"/>
          <w:szCs w:val="20"/>
        </w:rPr>
        <w:t>Consistently apply a GEF6 lens and GEF6 branding to all communications</w:t>
      </w:r>
    </w:p>
    <w:p w14:paraId="22FBADAD" w14:textId="77777777" w:rsidR="00A22E4D" w:rsidRPr="006D63E5" w:rsidRDefault="00A22E4D" w:rsidP="00EA4043">
      <w:pPr>
        <w:pStyle w:val="Default"/>
        <w:numPr>
          <w:ilvl w:val="0"/>
          <w:numId w:val="47"/>
        </w:numPr>
        <w:rPr>
          <w:rFonts w:asciiTheme="majorHAnsi" w:hAnsiTheme="majorHAnsi"/>
          <w:sz w:val="20"/>
          <w:szCs w:val="20"/>
        </w:rPr>
      </w:pPr>
      <w:r w:rsidRPr="006D63E5">
        <w:rPr>
          <w:rFonts w:asciiTheme="majorHAnsi" w:hAnsiTheme="majorHAnsi"/>
          <w:sz w:val="20"/>
          <w:szCs w:val="20"/>
        </w:rPr>
        <w:t>Build partnerships – encourage partners to use the same branding and language</w:t>
      </w:r>
    </w:p>
    <w:p w14:paraId="2C428B3C" w14:textId="77777777" w:rsidR="00A22E4D" w:rsidRPr="006D63E5" w:rsidRDefault="00A22E4D" w:rsidP="00EA4043">
      <w:pPr>
        <w:pStyle w:val="Default"/>
        <w:numPr>
          <w:ilvl w:val="0"/>
          <w:numId w:val="47"/>
        </w:numPr>
        <w:spacing w:after="99"/>
        <w:rPr>
          <w:rFonts w:asciiTheme="majorHAnsi" w:hAnsiTheme="majorHAnsi"/>
          <w:sz w:val="20"/>
          <w:szCs w:val="20"/>
        </w:rPr>
      </w:pPr>
      <w:r w:rsidRPr="006D63E5">
        <w:rPr>
          <w:rFonts w:asciiTheme="majorHAnsi" w:hAnsiTheme="majorHAnsi"/>
          <w:bCs/>
          <w:iCs/>
          <w:sz w:val="20"/>
          <w:szCs w:val="20"/>
        </w:rPr>
        <w:t xml:space="preserve">Be news worthy and think like the Media do - link to key environmental calendar events </w:t>
      </w:r>
      <w:r w:rsidRPr="006D63E5">
        <w:rPr>
          <w:rFonts w:asciiTheme="majorHAnsi" w:hAnsiTheme="majorHAnsi"/>
          <w:sz w:val="20"/>
          <w:szCs w:val="20"/>
        </w:rPr>
        <w:t>as much as possible</w:t>
      </w:r>
    </w:p>
    <w:p w14:paraId="0FE437EB" w14:textId="77777777" w:rsidR="00A22E4D" w:rsidRPr="006D63E5" w:rsidRDefault="00A22E4D" w:rsidP="00EA4043">
      <w:pPr>
        <w:pStyle w:val="Default"/>
        <w:numPr>
          <w:ilvl w:val="0"/>
          <w:numId w:val="47"/>
        </w:numPr>
        <w:spacing w:after="99"/>
        <w:rPr>
          <w:rFonts w:asciiTheme="majorHAnsi" w:hAnsiTheme="majorHAnsi"/>
          <w:sz w:val="20"/>
          <w:szCs w:val="20"/>
        </w:rPr>
      </w:pPr>
      <w:r w:rsidRPr="006D63E5">
        <w:rPr>
          <w:rFonts w:asciiTheme="majorHAnsi" w:hAnsiTheme="majorHAnsi"/>
          <w:bCs/>
          <w:iCs/>
          <w:sz w:val="20"/>
          <w:szCs w:val="20"/>
        </w:rPr>
        <w:t xml:space="preserve">Maximize communication outputs - </w:t>
      </w:r>
      <w:r w:rsidRPr="006D63E5">
        <w:rPr>
          <w:rFonts w:asciiTheme="majorHAnsi" w:hAnsiTheme="majorHAnsi"/>
          <w:sz w:val="20"/>
          <w:szCs w:val="20"/>
        </w:rPr>
        <w:t>Communicate in more than one way and on more than one social media site</w:t>
      </w:r>
    </w:p>
    <w:p w14:paraId="4141F1E9" w14:textId="77777777" w:rsidR="00A22E4D" w:rsidRPr="006D63E5" w:rsidRDefault="00A22E4D" w:rsidP="00EA4043">
      <w:pPr>
        <w:pStyle w:val="Default"/>
        <w:numPr>
          <w:ilvl w:val="0"/>
          <w:numId w:val="47"/>
        </w:numPr>
        <w:spacing w:after="99"/>
        <w:rPr>
          <w:rFonts w:asciiTheme="majorHAnsi" w:hAnsiTheme="majorHAnsi"/>
          <w:b/>
          <w:sz w:val="20"/>
          <w:szCs w:val="20"/>
        </w:rPr>
      </w:pPr>
      <w:r w:rsidRPr="006D63E5">
        <w:rPr>
          <w:rFonts w:asciiTheme="majorHAnsi" w:hAnsiTheme="majorHAnsi"/>
          <w:b/>
          <w:sz w:val="20"/>
          <w:szCs w:val="20"/>
        </w:rPr>
        <w:t>Connect, connect, connect. No project or initiative is successful if it does not connect with people on an individual level.</w:t>
      </w:r>
    </w:p>
    <w:p w14:paraId="19EA52AF" w14:textId="77777777" w:rsidR="00A22E4D" w:rsidRPr="006D63E5" w:rsidRDefault="00A22E4D" w:rsidP="00A22E4D">
      <w:pPr>
        <w:rPr>
          <w:rFonts w:asciiTheme="majorHAnsi" w:hAnsiTheme="majorHAnsi"/>
          <w:b/>
          <w:sz w:val="20"/>
          <w:szCs w:val="20"/>
        </w:rPr>
      </w:pPr>
    </w:p>
    <w:p w14:paraId="4D72D1A6" w14:textId="77777777" w:rsidR="00A22E4D" w:rsidRPr="006D63E5" w:rsidRDefault="00A22E4D" w:rsidP="00A22E4D">
      <w:pPr>
        <w:rPr>
          <w:rFonts w:asciiTheme="majorHAnsi" w:hAnsiTheme="majorHAnsi"/>
          <w:b/>
          <w:sz w:val="20"/>
          <w:szCs w:val="20"/>
        </w:rPr>
      </w:pPr>
      <w:r w:rsidRPr="006D63E5">
        <w:rPr>
          <w:rFonts w:asciiTheme="majorHAnsi" w:hAnsiTheme="majorHAnsi"/>
          <w:b/>
          <w:sz w:val="20"/>
          <w:szCs w:val="20"/>
        </w:rPr>
        <w:t>Overarching Types of Communications that the Project will need to employ:</w:t>
      </w:r>
    </w:p>
    <w:p w14:paraId="48E1B17C" w14:textId="77777777" w:rsidR="00A22E4D" w:rsidRPr="006D63E5" w:rsidRDefault="00A22E4D" w:rsidP="00EA4043">
      <w:pPr>
        <w:pStyle w:val="Default"/>
        <w:numPr>
          <w:ilvl w:val="0"/>
          <w:numId w:val="37"/>
        </w:numPr>
        <w:rPr>
          <w:rFonts w:asciiTheme="majorHAnsi" w:hAnsiTheme="majorHAnsi"/>
          <w:sz w:val="20"/>
          <w:szCs w:val="20"/>
        </w:rPr>
      </w:pPr>
      <w:r w:rsidRPr="00DB6EB8">
        <w:rPr>
          <w:rFonts w:asciiTheme="majorHAnsi" w:hAnsiTheme="majorHAnsi"/>
          <w:b/>
          <w:sz w:val="20"/>
          <w:szCs w:val="20"/>
        </w:rPr>
        <w:t>Public Relations</w:t>
      </w:r>
      <w:r w:rsidRPr="00DB6EB8">
        <w:rPr>
          <w:rFonts w:asciiTheme="majorHAnsi" w:hAnsiTheme="majorHAnsi"/>
          <w:sz w:val="20"/>
          <w:szCs w:val="20"/>
        </w:rPr>
        <w:t>: These are efforts to promote the project and its accomplishments or anything newsworthy. This involves one-way outward communication through the news media. Activities include writing news releases, going on the radio</w:t>
      </w:r>
      <w:r w:rsidRPr="006D63E5">
        <w:rPr>
          <w:rFonts w:asciiTheme="majorHAnsi" w:hAnsiTheme="majorHAnsi"/>
          <w:sz w:val="20"/>
          <w:szCs w:val="20"/>
        </w:rPr>
        <w:t>, or airing content on TV.</w:t>
      </w:r>
    </w:p>
    <w:p w14:paraId="1562B645" w14:textId="77777777" w:rsidR="00A22E4D" w:rsidRPr="006D63E5" w:rsidRDefault="00A22E4D" w:rsidP="00EA4043">
      <w:pPr>
        <w:pStyle w:val="Default"/>
        <w:numPr>
          <w:ilvl w:val="0"/>
          <w:numId w:val="37"/>
        </w:numPr>
        <w:rPr>
          <w:rFonts w:asciiTheme="majorHAnsi" w:hAnsiTheme="majorHAnsi"/>
          <w:sz w:val="20"/>
          <w:szCs w:val="20"/>
        </w:rPr>
      </w:pPr>
      <w:r w:rsidRPr="006D63E5">
        <w:rPr>
          <w:rFonts w:asciiTheme="majorHAnsi" w:hAnsiTheme="majorHAnsi"/>
          <w:b/>
          <w:sz w:val="20"/>
          <w:szCs w:val="20"/>
        </w:rPr>
        <w:t xml:space="preserve">Public Outreach and Awareness: </w:t>
      </w:r>
      <w:r w:rsidRPr="006D63E5">
        <w:rPr>
          <w:rFonts w:asciiTheme="majorHAnsi" w:hAnsiTheme="majorHAnsi"/>
          <w:sz w:val="20"/>
          <w:szCs w:val="20"/>
        </w:rPr>
        <w:t>The goal of these activities will be to educate and inform key stakeholders and the public on project content (Landscape/Seascape Planning, Biosecurity/IAS, Best Practices). This will include a broad Biosecurity/IAS Awareness Campaigns and targeted awareness activities for other content. Activities include:</w:t>
      </w:r>
    </w:p>
    <w:p w14:paraId="06F72ED7" w14:textId="77777777" w:rsidR="00A22E4D" w:rsidRPr="006D63E5" w:rsidRDefault="00A22E4D" w:rsidP="00EA4043">
      <w:pPr>
        <w:pStyle w:val="Default"/>
        <w:numPr>
          <w:ilvl w:val="1"/>
          <w:numId w:val="37"/>
        </w:numPr>
        <w:rPr>
          <w:rFonts w:asciiTheme="majorHAnsi" w:hAnsiTheme="majorHAnsi"/>
          <w:sz w:val="20"/>
          <w:szCs w:val="20"/>
        </w:rPr>
      </w:pPr>
      <w:r w:rsidRPr="006D63E5">
        <w:rPr>
          <w:rFonts w:asciiTheme="majorHAnsi" w:hAnsiTheme="majorHAnsi"/>
          <w:sz w:val="20"/>
          <w:szCs w:val="20"/>
        </w:rPr>
        <w:t>Face-to-face actions (e.g. fair exhibits, school visits, community visits),</w:t>
      </w:r>
    </w:p>
    <w:p w14:paraId="53CCA34E" w14:textId="77777777" w:rsidR="00A22E4D" w:rsidRPr="006D63E5" w:rsidRDefault="00A22E4D" w:rsidP="00EA4043">
      <w:pPr>
        <w:pStyle w:val="Default"/>
        <w:numPr>
          <w:ilvl w:val="1"/>
          <w:numId w:val="37"/>
        </w:numPr>
        <w:rPr>
          <w:rFonts w:asciiTheme="majorHAnsi" w:hAnsiTheme="majorHAnsi"/>
          <w:sz w:val="20"/>
          <w:szCs w:val="20"/>
        </w:rPr>
      </w:pPr>
      <w:r w:rsidRPr="006D63E5">
        <w:rPr>
          <w:rFonts w:asciiTheme="majorHAnsi" w:hAnsiTheme="majorHAnsi"/>
          <w:sz w:val="20"/>
          <w:szCs w:val="20"/>
        </w:rPr>
        <w:t>One-way actions (using mass media, social media, public service announcements, printed materials, advertising, posters, signs, songs, or use of a logo), or</w:t>
      </w:r>
    </w:p>
    <w:p w14:paraId="6CA1BFD3" w14:textId="77777777" w:rsidR="00A22E4D" w:rsidRPr="006D63E5" w:rsidRDefault="00A22E4D" w:rsidP="00EA4043">
      <w:pPr>
        <w:pStyle w:val="Default"/>
        <w:numPr>
          <w:ilvl w:val="1"/>
          <w:numId w:val="37"/>
        </w:numPr>
        <w:rPr>
          <w:rFonts w:asciiTheme="majorHAnsi" w:hAnsiTheme="majorHAnsi"/>
          <w:sz w:val="20"/>
          <w:szCs w:val="20"/>
        </w:rPr>
      </w:pPr>
      <w:r w:rsidRPr="006D63E5">
        <w:rPr>
          <w:rFonts w:asciiTheme="majorHAnsi" w:hAnsiTheme="majorHAnsi"/>
          <w:sz w:val="20"/>
          <w:szCs w:val="20"/>
        </w:rPr>
        <w:t xml:space="preserve">Interactive opportunities (e.g. pledges, competitions, cleanups, awards). </w:t>
      </w:r>
    </w:p>
    <w:p w14:paraId="1448EF5A" w14:textId="77777777" w:rsidR="00A22E4D" w:rsidRPr="006D63E5" w:rsidRDefault="00A22E4D" w:rsidP="00EA4043">
      <w:pPr>
        <w:pStyle w:val="Default"/>
        <w:numPr>
          <w:ilvl w:val="0"/>
          <w:numId w:val="37"/>
        </w:numPr>
        <w:rPr>
          <w:rFonts w:asciiTheme="majorHAnsi" w:hAnsiTheme="majorHAnsi"/>
          <w:sz w:val="20"/>
          <w:szCs w:val="20"/>
        </w:rPr>
      </w:pPr>
      <w:r w:rsidRPr="006D63E5">
        <w:rPr>
          <w:rFonts w:asciiTheme="majorHAnsi" w:hAnsiTheme="majorHAnsi"/>
          <w:b/>
          <w:sz w:val="20"/>
          <w:szCs w:val="20"/>
        </w:rPr>
        <w:t xml:space="preserve">Social Marketing and Behavior Change Marketing: </w:t>
      </w:r>
      <w:r w:rsidRPr="006D63E5">
        <w:rPr>
          <w:rFonts w:asciiTheme="majorHAnsi" w:hAnsiTheme="majorHAnsi"/>
          <w:sz w:val="20"/>
          <w:szCs w:val="20"/>
        </w:rPr>
        <w:t>This is similar to Public Outreach and Awareness but “sells” a specific message that is actionable.</w:t>
      </w:r>
    </w:p>
    <w:p w14:paraId="4D13002C" w14:textId="77777777" w:rsidR="00A22E4D" w:rsidRPr="006D63E5" w:rsidRDefault="00A22E4D" w:rsidP="00EA4043">
      <w:pPr>
        <w:pStyle w:val="Default"/>
        <w:numPr>
          <w:ilvl w:val="1"/>
          <w:numId w:val="37"/>
        </w:numPr>
        <w:rPr>
          <w:rFonts w:asciiTheme="majorHAnsi" w:hAnsiTheme="majorHAnsi"/>
          <w:sz w:val="20"/>
          <w:szCs w:val="20"/>
        </w:rPr>
      </w:pPr>
      <w:r w:rsidRPr="006D63E5">
        <w:rPr>
          <w:rFonts w:asciiTheme="majorHAnsi" w:hAnsiTheme="majorHAnsi"/>
          <w:sz w:val="20"/>
          <w:szCs w:val="20"/>
        </w:rPr>
        <w:t>It uses a mixture of tools from PR and Outreach</w:t>
      </w:r>
    </w:p>
    <w:p w14:paraId="6CFA85D4" w14:textId="77777777" w:rsidR="00A22E4D" w:rsidRPr="006D63E5" w:rsidRDefault="00A22E4D" w:rsidP="00EA4043">
      <w:pPr>
        <w:pStyle w:val="Default"/>
        <w:numPr>
          <w:ilvl w:val="1"/>
          <w:numId w:val="37"/>
        </w:numPr>
        <w:rPr>
          <w:rFonts w:asciiTheme="majorHAnsi" w:hAnsiTheme="majorHAnsi"/>
          <w:sz w:val="20"/>
          <w:szCs w:val="20"/>
        </w:rPr>
      </w:pPr>
      <w:r w:rsidRPr="006D63E5">
        <w:rPr>
          <w:rFonts w:asciiTheme="majorHAnsi" w:hAnsiTheme="majorHAnsi"/>
          <w:sz w:val="20"/>
          <w:szCs w:val="20"/>
        </w:rPr>
        <w:t xml:space="preserve">May also include direct marketing (e.g. meetings, letters, social media posts, calls, text messages, that are directed to an individual; plus paid advertising). </w:t>
      </w:r>
    </w:p>
    <w:p w14:paraId="61ECFACB" w14:textId="77777777" w:rsidR="00A22E4D" w:rsidRPr="006D63E5" w:rsidRDefault="00A22E4D" w:rsidP="00EA4043">
      <w:pPr>
        <w:pStyle w:val="Default"/>
        <w:numPr>
          <w:ilvl w:val="1"/>
          <w:numId w:val="37"/>
        </w:numPr>
        <w:rPr>
          <w:rFonts w:asciiTheme="majorHAnsi" w:hAnsiTheme="majorHAnsi"/>
          <w:sz w:val="20"/>
          <w:szCs w:val="20"/>
        </w:rPr>
      </w:pPr>
      <w:r w:rsidRPr="006D63E5">
        <w:rPr>
          <w:rFonts w:asciiTheme="majorHAnsi" w:hAnsiTheme="majorHAnsi"/>
          <w:sz w:val="20"/>
          <w:szCs w:val="20"/>
        </w:rPr>
        <w:t xml:space="preserve">Generally one-way but with avenues for questions and comments so that there is a way for exchange and increased learning. </w:t>
      </w:r>
    </w:p>
    <w:p w14:paraId="5B5E236C" w14:textId="77777777" w:rsidR="00A22E4D" w:rsidRPr="006D63E5" w:rsidRDefault="00A22E4D" w:rsidP="00EA4043">
      <w:pPr>
        <w:pStyle w:val="Default"/>
        <w:numPr>
          <w:ilvl w:val="1"/>
          <w:numId w:val="37"/>
        </w:numPr>
        <w:rPr>
          <w:rFonts w:asciiTheme="majorHAnsi" w:hAnsiTheme="majorHAnsi"/>
          <w:sz w:val="20"/>
          <w:szCs w:val="20"/>
        </w:rPr>
      </w:pPr>
      <w:r w:rsidRPr="006D63E5">
        <w:rPr>
          <w:rFonts w:asciiTheme="majorHAnsi" w:hAnsiTheme="majorHAnsi"/>
          <w:sz w:val="20"/>
          <w:szCs w:val="20"/>
        </w:rPr>
        <w:t>This may also include innovative mechanisms such as videos, photography exhibits, drama, community mapping.</w:t>
      </w:r>
    </w:p>
    <w:p w14:paraId="4581D2BB" w14:textId="77777777" w:rsidR="00A22E4D" w:rsidRPr="006D63E5" w:rsidRDefault="00A22E4D" w:rsidP="00EA4043">
      <w:pPr>
        <w:pStyle w:val="Default"/>
        <w:numPr>
          <w:ilvl w:val="0"/>
          <w:numId w:val="37"/>
        </w:numPr>
        <w:rPr>
          <w:rFonts w:asciiTheme="majorHAnsi" w:hAnsiTheme="majorHAnsi"/>
          <w:sz w:val="20"/>
          <w:szCs w:val="20"/>
        </w:rPr>
      </w:pPr>
      <w:r w:rsidRPr="006D63E5">
        <w:rPr>
          <w:rFonts w:asciiTheme="majorHAnsi" w:hAnsiTheme="majorHAnsi"/>
          <w:b/>
          <w:sz w:val="20"/>
          <w:szCs w:val="20"/>
        </w:rPr>
        <w:t xml:space="preserve">Advocacy: </w:t>
      </w:r>
      <w:r w:rsidRPr="006D63E5">
        <w:rPr>
          <w:rFonts w:asciiTheme="majorHAnsi" w:hAnsiTheme="majorHAnsi"/>
          <w:sz w:val="20"/>
          <w:szCs w:val="20"/>
        </w:rPr>
        <w:t xml:space="preserve">This is similar to Social Marketing but specifically targets decision makers with a specific policy goal. </w:t>
      </w:r>
    </w:p>
    <w:p w14:paraId="207E2A60" w14:textId="77777777" w:rsidR="00A22E4D" w:rsidRPr="006D63E5" w:rsidRDefault="00A22E4D" w:rsidP="00EA4043">
      <w:pPr>
        <w:pStyle w:val="Default"/>
        <w:numPr>
          <w:ilvl w:val="1"/>
          <w:numId w:val="37"/>
        </w:numPr>
        <w:rPr>
          <w:rFonts w:asciiTheme="majorHAnsi" w:hAnsiTheme="majorHAnsi"/>
          <w:sz w:val="20"/>
          <w:szCs w:val="20"/>
        </w:rPr>
      </w:pPr>
      <w:r w:rsidRPr="006D63E5">
        <w:rPr>
          <w:rFonts w:asciiTheme="majorHAnsi" w:hAnsiTheme="majorHAnsi"/>
          <w:sz w:val="20"/>
          <w:szCs w:val="20"/>
        </w:rPr>
        <w:t>Often one-way</w:t>
      </w:r>
    </w:p>
    <w:p w14:paraId="232C6192" w14:textId="77777777" w:rsidR="00A22E4D" w:rsidRPr="006D63E5" w:rsidRDefault="00A22E4D" w:rsidP="00EA4043">
      <w:pPr>
        <w:pStyle w:val="Default"/>
        <w:numPr>
          <w:ilvl w:val="1"/>
          <w:numId w:val="37"/>
        </w:numPr>
        <w:rPr>
          <w:rFonts w:asciiTheme="majorHAnsi" w:hAnsiTheme="majorHAnsi"/>
          <w:sz w:val="20"/>
          <w:szCs w:val="20"/>
        </w:rPr>
      </w:pPr>
      <w:r w:rsidRPr="006D63E5">
        <w:rPr>
          <w:rFonts w:asciiTheme="majorHAnsi" w:hAnsiTheme="majorHAnsi"/>
          <w:sz w:val="20"/>
          <w:szCs w:val="20"/>
        </w:rPr>
        <w:t xml:space="preserve">Petitioning both for the message (content) and for the right to be heard. </w:t>
      </w:r>
    </w:p>
    <w:p w14:paraId="78A7D675" w14:textId="77777777" w:rsidR="00A22E4D" w:rsidRPr="006D63E5" w:rsidRDefault="00A22E4D" w:rsidP="00EA4043">
      <w:pPr>
        <w:pStyle w:val="Default"/>
        <w:numPr>
          <w:ilvl w:val="1"/>
          <w:numId w:val="37"/>
        </w:numPr>
        <w:rPr>
          <w:rFonts w:asciiTheme="majorHAnsi" w:hAnsiTheme="majorHAnsi"/>
          <w:sz w:val="20"/>
          <w:szCs w:val="20"/>
        </w:rPr>
      </w:pPr>
      <w:r w:rsidRPr="006D63E5">
        <w:rPr>
          <w:rFonts w:asciiTheme="majorHAnsi" w:hAnsiTheme="majorHAnsi"/>
          <w:sz w:val="20"/>
          <w:szCs w:val="20"/>
        </w:rPr>
        <w:t>Can include letters and any other combination of media.</w:t>
      </w:r>
    </w:p>
    <w:p w14:paraId="59DB3E17" w14:textId="77777777" w:rsidR="00A22E4D" w:rsidRPr="006D63E5" w:rsidRDefault="00A22E4D" w:rsidP="00EA4043">
      <w:pPr>
        <w:pStyle w:val="Default"/>
        <w:numPr>
          <w:ilvl w:val="0"/>
          <w:numId w:val="37"/>
        </w:numPr>
        <w:rPr>
          <w:rFonts w:asciiTheme="majorHAnsi" w:hAnsiTheme="majorHAnsi"/>
          <w:sz w:val="20"/>
          <w:szCs w:val="20"/>
        </w:rPr>
      </w:pPr>
      <w:r w:rsidRPr="006D63E5">
        <w:rPr>
          <w:rFonts w:asciiTheme="majorHAnsi" w:hAnsiTheme="majorHAnsi"/>
          <w:b/>
          <w:sz w:val="20"/>
          <w:szCs w:val="20"/>
        </w:rPr>
        <w:t xml:space="preserve">Knowledge Management Communication (Includes Trainings and Capacity Building): </w:t>
      </w:r>
      <w:r w:rsidRPr="006D63E5">
        <w:rPr>
          <w:rFonts w:asciiTheme="majorHAnsi" w:hAnsiTheme="majorHAnsi"/>
          <w:sz w:val="20"/>
          <w:szCs w:val="20"/>
        </w:rPr>
        <w:t xml:space="preserve">These efforts are geared to ensure that information being produced through the project is used, accessible, shared, and available for comment/feedback. </w:t>
      </w:r>
    </w:p>
    <w:p w14:paraId="4AE9CE4C" w14:textId="77777777" w:rsidR="00A22E4D" w:rsidRPr="006D63E5" w:rsidRDefault="00A22E4D" w:rsidP="00EA4043">
      <w:pPr>
        <w:pStyle w:val="Default"/>
        <w:numPr>
          <w:ilvl w:val="1"/>
          <w:numId w:val="37"/>
        </w:numPr>
        <w:rPr>
          <w:rFonts w:asciiTheme="majorHAnsi" w:hAnsiTheme="majorHAnsi"/>
          <w:sz w:val="20"/>
          <w:szCs w:val="20"/>
        </w:rPr>
      </w:pPr>
      <w:r w:rsidRPr="006D63E5">
        <w:rPr>
          <w:rFonts w:asciiTheme="majorHAnsi" w:hAnsiTheme="majorHAnsi"/>
          <w:sz w:val="20"/>
          <w:szCs w:val="20"/>
        </w:rPr>
        <w:t>Communications cover two (2) separate topics: Establishing systems and protocols for 1) collecting stuff (content) and 2) connecting people, learning, sharing, and making knowledge management products accessible and useful.</w:t>
      </w:r>
    </w:p>
    <w:p w14:paraId="069C2091" w14:textId="77777777" w:rsidR="00A22E4D" w:rsidRPr="006D63E5" w:rsidRDefault="00A22E4D" w:rsidP="00EA4043">
      <w:pPr>
        <w:pStyle w:val="Default"/>
        <w:numPr>
          <w:ilvl w:val="1"/>
          <w:numId w:val="37"/>
        </w:numPr>
        <w:rPr>
          <w:rFonts w:asciiTheme="majorHAnsi" w:hAnsiTheme="majorHAnsi"/>
          <w:sz w:val="20"/>
          <w:szCs w:val="20"/>
        </w:rPr>
      </w:pPr>
      <w:r w:rsidRPr="006D63E5">
        <w:rPr>
          <w:rFonts w:asciiTheme="majorHAnsi" w:hAnsiTheme="majorHAnsi"/>
          <w:sz w:val="20"/>
          <w:szCs w:val="20"/>
        </w:rPr>
        <w:t>Communications usually multi-directional, and can include workshops, webinars, web pages, databases, conferences, meetings, scientific meetings, e-learning forums, knowledge networks, newsletters, and technical reports.</w:t>
      </w:r>
    </w:p>
    <w:p w14:paraId="2E99FDD2" w14:textId="77777777" w:rsidR="00A22E4D" w:rsidRPr="006D63E5" w:rsidRDefault="00A22E4D" w:rsidP="00A22E4D">
      <w:pPr>
        <w:pStyle w:val="Default"/>
        <w:rPr>
          <w:rFonts w:asciiTheme="majorHAnsi" w:hAnsiTheme="majorHAnsi"/>
          <w:sz w:val="20"/>
          <w:szCs w:val="20"/>
        </w:rPr>
      </w:pPr>
    </w:p>
    <w:p w14:paraId="64AB1C08" w14:textId="77777777" w:rsidR="00A22E4D" w:rsidRPr="006D63E5" w:rsidRDefault="00A22E4D" w:rsidP="00A22E4D">
      <w:pPr>
        <w:pStyle w:val="Default"/>
        <w:rPr>
          <w:rFonts w:asciiTheme="majorHAnsi" w:hAnsiTheme="majorHAnsi"/>
          <w:b/>
          <w:sz w:val="20"/>
          <w:szCs w:val="20"/>
        </w:rPr>
      </w:pPr>
    </w:p>
    <w:p w14:paraId="135F4855" w14:textId="77777777" w:rsidR="00A22E4D" w:rsidRPr="006D63E5" w:rsidRDefault="00A22E4D" w:rsidP="00A22E4D">
      <w:pPr>
        <w:pStyle w:val="Default"/>
        <w:rPr>
          <w:rFonts w:asciiTheme="majorHAnsi" w:hAnsiTheme="majorHAnsi"/>
          <w:b/>
          <w:sz w:val="20"/>
          <w:szCs w:val="20"/>
        </w:rPr>
      </w:pPr>
      <w:r w:rsidRPr="006D63E5">
        <w:rPr>
          <w:rFonts w:asciiTheme="majorHAnsi" w:hAnsiTheme="majorHAnsi"/>
          <w:b/>
          <w:sz w:val="20"/>
          <w:szCs w:val="20"/>
        </w:rPr>
        <w:t>Media Products to Use in the Project:</w:t>
      </w:r>
    </w:p>
    <w:p w14:paraId="4966AE29" w14:textId="77777777" w:rsidR="00A22E4D" w:rsidRPr="006D63E5" w:rsidRDefault="00A22E4D" w:rsidP="00A22E4D">
      <w:pPr>
        <w:pStyle w:val="Default"/>
        <w:rPr>
          <w:rFonts w:asciiTheme="majorHAnsi" w:hAnsiTheme="majorHAnsi"/>
          <w:sz w:val="20"/>
          <w:szCs w:val="20"/>
        </w:rPr>
      </w:pPr>
      <w:r w:rsidRPr="006D63E5">
        <w:rPr>
          <w:rFonts w:asciiTheme="majorHAnsi" w:hAnsiTheme="majorHAnsi"/>
          <w:sz w:val="20"/>
          <w:szCs w:val="20"/>
        </w:rPr>
        <w:t>A wide range of media products will need to be used in this project to meet the many stakeholders necessary to achieve the project’s outcomes. Many of the products are free, but need an investment of time on a regular basis. Unlike many past projects, this GEF6 Project does not advocate for the use of extensive printed materials. This project should be ready to take advantage of improved Internet speeds that will be available in 2018; and this project should be one of the first government projects to “catch up” with the digital age by making extensive use of digital products and digital media forums.</w:t>
      </w:r>
    </w:p>
    <w:p w14:paraId="0334271A" w14:textId="77777777" w:rsidR="00A22E4D" w:rsidRPr="006D63E5" w:rsidRDefault="00A22E4D" w:rsidP="00A22E4D">
      <w:pPr>
        <w:pStyle w:val="Default"/>
        <w:rPr>
          <w:rFonts w:asciiTheme="majorHAnsi" w:hAnsiTheme="majorHAnsi"/>
          <w:sz w:val="20"/>
          <w:szCs w:val="20"/>
        </w:rPr>
      </w:pPr>
    </w:p>
    <w:p w14:paraId="02CCB983" w14:textId="77777777" w:rsidR="00A22E4D" w:rsidRPr="006D63E5" w:rsidRDefault="00A22E4D" w:rsidP="00A22E4D">
      <w:pPr>
        <w:pStyle w:val="Default"/>
        <w:rPr>
          <w:rFonts w:asciiTheme="majorHAnsi" w:hAnsiTheme="majorHAnsi"/>
          <w:sz w:val="20"/>
          <w:szCs w:val="20"/>
        </w:rPr>
      </w:pPr>
      <w:r w:rsidRPr="006D63E5">
        <w:rPr>
          <w:rFonts w:asciiTheme="majorHAnsi" w:hAnsiTheme="majorHAnsi"/>
          <w:i/>
          <w:sz w:val="20"/>
          <w:szCs w:val="20"/>
        </w:rPr>
        <w:t xml:space="preserve">Priority Public Relations Products: </w:t>
      </w:r>
    </w:p>
    <w:p w14:paraId="02F57864" w14:textId="77777777" w:rsidR="00A22E4D" w:rsidRPr="006D63E5" w:rsidRDefault="00A22E4D" w:rsidP="00EA4043">
      <w:pPr>
        <w:pStyle w:val="Default"/>
        <w:numPr>
          <w:ilvl w:val="0"/>
          <w:numId w:val="38"/>
        </w:numPr>
        <w:rPr>
          <w:rFonts w:asciiTheme="majorHAnsi" w:hAnsiTheme="majorHAnsi"/>
          <w:b/>
          <w:sz w:val="20"/>
          <w:szCs w:val="20"/>
        </w:rPr>
      </w:pPr>
      <w:r w:rsidRPr="006D63E5">
        <w:rPr>
          <w:rFonts w:asciiTheme="majorHAnsi" w:hAnsiTheme="majorHAnsi"/>
          <w:b/>
          <w:sz w:val="20"/>
          <w:szCs w:val="20"/>
        </w:rPr>
        <w:t>Social Media</w:t>
      </w:r>
    </w:p>
    <w:p w14:paraId="1E18355F" w14:textId="77777777" w:rsidR="00A22E4D" w:rsidRPr="006D63E5" w:rsidRDefault="00A22E4D" w:rsidP="00EA4043">
      <w:pPr>
        <w:pStyle w:val="Default"/>
        <w:numPr>
          <w:ilvl w:val="1"/>
          <w:numId w:val="38"/>
        </w:numPr>
        <w:rPr>
          <w:rFonts w:asciiTheme="majorHAnsi" w:hAnsiTheme="majorHAnsi"/>
          <w:sz w:val="20"/>
          <w:szCs w:val="20"/>
        </w:rPr>
      </w:pPr>
      <w:r w:rsidRPr="006D63E5">
        <w:rPr>
          <w:rFonts w:asciiTheme="majorHAnsi" w:hAnsiTheme="majorHAnsi"/>
          <w:sz w:val="20"/>
          <w:szCs w:val="20"/>
        </w:rPr>
        <w:t>Use Hashtags that identify the project and its content and use them consistently across social media sites such as: #GEF6Palau, #PalauBiosecurity, #PalauLandscapePlanning, #PalauSeascapePlanning, #PalauIntegratedPlanning, #PalauBestPractices, #PalauSustainableDevelopment, #MainstreamingMondays, #BiodiversityThursdays, #SustainableDevelopmentFridays</w:t>
      </w:r>
    </w:p>
    <w:p w14:paraId="21C42D56" w14:textId="77777777" w:rsidR="00A22E4D" w:rsidRPr="006D63E5" w:rsidRDefault="00A22E4D" w:rsidP="00EA4043">
      <w:pPr>
        <w:pStyle w:val="Default"/>
        <w:numPr>
          <w:ilvl w:val="1"/>
          <w:numId w:val="38"/>
        </w:numPr>
        <w:rPr>
          <w:rFonts w:asciiTheme="majorHAnsi" w:hAnsiTheme="majorHAnsi"/>
          <w:sz w:val="20"/>
          <w:szCs w:val="20"/>
        </w:rPr>
      </w:pPr>
      <w:r w:rsidRPr="006D63E5">
        <w:rPr>
          <w:rFonts w:asciiTheme="majorHAnsi" w:hAnsiTheme="majorHAnsi"/>
          <w:sz w:val="20"/>
          <w:szCs w:val="20"/>
        </w:rPr>
        <w:t>Facebook (create one or more pages for the project and stakeholder groups, and post to other people’s pages</w:t>
      </w:r>
    </w:p>
    <w:p w14:paraId="7E0BF2E6" w14:textId="77777777" w:rsidR="00A22E4D" w:rsidRPr="006D63E5" w:rsidRDefault="00A22E4D" w:rsidP="00EA4043">
      <w:pPr>
        <w:pStyle w:val="Default"/>
        <w:numPr>
          <w:ilvl w:val="1"/>
          <w:numId w:val="38"/>
        </w:numPr>
        <w:rPr>
          <w:rFonts w:asciiTheme="majorHAnsi" w:hAnsiTheme="majorHAnsi"/>
          <w:sz w:val="20"/>
          <w:szCs w:val="20"/>
        </w:rPr>
      </w:pPr>
      <w:r w:rsidRPr="006D63E5">
        <w:rPr>
          <w:rFonts w:asciiTheme="majorHAnsi" w:hAnsiTheme="majorHAnsi"/>
          <w:sz w:val="20"/>
          <w:szCs w:val="20"/>
        </w:rPr>
        <w:t>Twitter</w:t>
      </w:r>
    </w:p>
    <w:p w14:paraId="2B726205" w14:textId="77777777" w:rsidR="00A22E4D" w:rsidRPr="006D63E5" w:rsidRDefault="00A22E4D" w:rsidP="00EA4043">
      <w:pPr>
        <w:pStyle w:val="Default"/>
        <w:numPr>
          <w:ilvl w:val="1"/>
          <w:numId w:val="38"/>
        </w:numPr>
        <w:rPr>
          <w:rFonts w:asciiTheme="majorHAnsi" w:hAnsiTheme="majorHAnsi"/>
          <w:sz w:val="20"/>
          <w:szCs w:val="20"/>
        </w:rPr>
      </w:pPr>
      <w:r w:rsidRPr="006D63E5">
        <w:rPr>
          <w:rFonts w:asciiTheme="majorHAnsi" w:hAnsiTheme="majorHAnsi"/>
          <w:sz w:val="20"/>
          <w:szCs w:val="20"/>
        </w:rPr>
        <w:t>LinkedIn – especially to engage Private Sector</w:t>
      </w:r>
    </w:p>
    <w:p w14:paraId="5E2730CE" w14:textId="77777777" w:rsidR="00A22E4D" w:rsidRPr="006D63E5" w:rsidRDefault="00A22E4D" w:rsidP="00EA4043">
      <w:pPr>
        <w:pStyle w:val="Default"/>
        <w:numPr>
          <w:ilvl w:val="1"/>
          <w:numId w:val="38"/>
        </w:numPr>
        <w:rPr>
          <w:rFonts w:asciiTheme="majorHAnsi" w:hAnsiTheme="majorHAnsi"/>
          <w:sz w:val="20"/>
          <w:szCs w:val="20"/>
        </w:rPr>
      </w:pPr>
      <w:r w:rsidRPr="006D63E5">
        <w:rPr>
          <w:rFonts w:asciiTheme="majorHAnsi" w:hAnsiTheme="majorHAnsi"/>
          <w:sz w:val="20"/>
          <w:szCs w:val="20"/>
        </w:rPr>
        <w:t>Instagram (relies on visuals, but is very popular with youth)</w:t>
      </w:r>
    </w:p>
    <w:p w14:paraId="20884A9F" w14:textId="77777777" w:rsidR="00A22E4D" w:rsidRPr="006D63E5" w:rsidRDefault="00A22E4D" w:rsidP="00EA4043">
      <w:pPr>
        <w:pStyle w:val="Default"/>
        <w:numPr>
          <w:ilvl w:val="1"/>
          <w:numId w:val="38"/>
        </w:numPr>
        <w:rPr>
          <w:rFonts w:asciiTheme="majorHAnsi" w:hAnsiTheme="majorHAnsi"/>
          <w:sz w:val="20"/>
          <w:szCs w:val="20"/>
        </w:rPr>
      </w:pPr>
      <w:r w:rsidRPr="006D63E5">
        <w:rPr>
          <w:rFonts w:asciiTheme="majorHAnsi" w:hAnsiTheme="majorHAnsi"/>
          <w:sz w:val="20"/>
          <w:szCs w:val="20"/>
        </w:rPr>
        <w:t>Pinterest (if applicable)</w:t>
      </w:r>
    </w:p>
    <w:p w14:paraId="27A36BF0" w14:textId="77777777" w:rsidR="00A22E4D" w:rsidRPr="006D63E5" w:rsidRDefault="00A22E4D" w:rsidP="00EA4043">
      <w:pPr>
        <w:pStyle w:val="Default"/>
        <w:numPr>
          <w:ilvl w:val="0"/>
          <w:numId w:val="38"/>
        </w:numPr>
        <w:rPr>
          <w:rFonts w:asciiTheme="majorHAnsi" w:hAnsiTheme="majorHAnsi"/>
          <w:sz w:val="20"/>
          <w:szCs w:val="20"/>
        </w:rPr>
      </w:pPr>
      <w:r w:rsidRPr="006D63E5">
        <w:rPr>
          <w:rFonts w:asciiTheme="majorHAnsi" w:hAnsiTheme="majorHAnsi"/>
          <w:b/>
          <w:sz w:val="20"/>
          <w:szCs w:val="20"/>
        </w:rPr>
        <w:t>Short videos and “Podcasts” or voice recordings</w:t>
      </w:r>
      <w:r w:rsidRPr="006D63E5">
        <w:rPr>
          <w:rFonts w:asciiTheme="majorHAnsi" w:hAnsiTheme="majorHAnsi"/>
          <w:sz w:val="20"/>
          <w:szCs w:val="20"/>
        </w:rPr>
        <w:t xml:space="preserve"> – e.g. such as those taken on a Smartphone and then distributed on Social Media and other Digital Formats</w:t>
      </w:r>
    </w:p>
    <w:p w14:paraId="4370962D" w14:textId="77777777" w:rsidR="00A22E4D" w:rsidRPr="006D63E5" w:rsidRDefault="00A22E4D" w:rsidP="00EA4043">
      <w:pPr>
        <w:pStyle w:val="Default"/>
        <w:numPr>
          <w:ilvl w:val="1"/>
          <w:numId w:val="38"/>
        </w:numPr>
        <w:rPr>
          <w:rFonts w:asciiTheme="majorHAnsi" w:hAnsiTheme="majorHAnsi"/>
          <w:sz w:val="20"/>
          <w:szCs w:val="20"/>
        </w:rPr>
      </w:pPr>
      <w:r w:rsidRPr="006D63E5">
        <w:rPr>
          <w:rFonts w:asciiTheme="majorHAnsi" w:hAnsiTheme="majorHAnsi"/>
          <w:sz w:val="20"/>
          <w:szCs w:val="20"/>
        </w:rPr>
        <w:t>This allows for rapid translation</w:t>
      </w:r>
    </w:p>
    <w:p w14:paraId="513E1AD5" w14:textId="77777777" w:rsidR="00A22E4D" w:rsidRPr="006D63E5" w:rsidRDefault="00A22E4D" w:rsidP="00EA4043">
      <w:pPr>
        <w:pStyle w:val="Default"/>
        <w:numPr>
          <w:ilvl w:val="0"/>
          <w:numId w:val="38"/>
        </w:numPr>
        <w:rPr>
          <w:rFonts w:asciiTheme="majorHAnsi" w:hAnsiTheme="majorHAnsi"/>
          <w:sz w:val="20"/>
          <w:szCs w:val="20"/>
        </w:rPr>
      </w:pPr>
      <w:r w:rsidRPr="006D63E5">
        <w:rPr>
          <w:rFonts w:asciiTheme="majorHAnsi" w:hAnsiTheme="majorHAnsi"/>
          <w:b/>
          <w:sz w:val="20"/>
          <w:szCs w:val="20"/>
        </w:rPr>
        <w:t>Digital Newsletter(s)</w:t>
      </w:r>
      <w:r w:rsidRPr="006D63E5">
        <w:rPr>
          <w:rFonts w:asciiTheme="majorHAnsi" w:hAnsiTheme="majorHAnsi"/>
          <w:sz w:val="20"/>
          <w:szCs w:val="20"/>
        </w:rPr>
        <w:t xml:space="preserve"> – including possible one for the project and one for Biosecurity/IAS. Can use free online services like MailChimp or email out a PDF of a written newsletter.</w:t>
      </w:r>
    </w:p>
    <w:p w14:paraId="56983917" w14:textId="77777777" w:rsidR="00A22E4D" w:rsidRPr="006D63E5" w:rsidRDefault="00A22E4D" w:rsidP="00EA4043">
      <w:pPr>
        <w:pStyle w:val="Default"/>
        <w:numPr>
          <w:ilvl w:val="0"/>
          <w:numId w:val="38"/>
        </w:numPr>
        <w:rPr>
          <w:rFonts w:asciiTheme="majorHAnsi" w:hAnsiTheme="majorHAnsi"/>
          <w:sz w:val="20"/>
          <w:szCs w:val="20"/>
        </w:rPr>
      </w:pPr>
      <w:r w:rsidRPr="006D63E5">
        <w:rPr>
          <w:rFonts w:asciiTheme="majorHAnsi" w:hAnsiTheme="majorHAnsi"/>
          <w:b/>
          <w:sz w:val="20"/>
          <w:szCs w:val="20"/>
        </w:rPr>
        <w:t>Website</w:t>
      </w:r>
      <w:r w:rsidRPr="006D63E5">
        <w:rPr>
          <w:rFonts w:asciiTheme="majorHAnsi" w:hAnsiTheme="majorHAnsi"/>
          <w:sz w:val="20"/>
          <w:szCs w:val="20"/>
        </w:rPr>
        <w:t xml:space="preserve"> – Create a project website, either on a government site or if necessary on a free web hosting service. Share the website with other projects in country.</w:t>
      </w:r>
    </w:p>
    <w:p w14:paraId="28D30DC9" w14:textId="77777777" w:rsidR="00A22E4D" w:rsidRPr="006D63E5" w:rsidRDefault="00A22E4D" w:rsidP="00EA4043">
      <w:pPr>
        <w:pStyle w:val="Default"/>
        <w:numPr>
          <w:ilvl w:val="1"/>
          <w:numId w:val="38"/>
        </w:numPr>
        <w:rPr>
          <w:rFonts w:asciiTheme="majorHAnsi" w:hAnsiTheme="majorHAnsi"/>
          <w:sz w:val="20"/>
          <w:szCs w:val="20"/>
        </w:rPr>
      </w:pPr>
      <w:r w:rsidRPr="006D63E5">
        <w:rPr>
          <w:rFonts w:asciiTheme="majorHAnsi" w:hAnsiTheme="majorHAnsi"/>
          <w:sz w:val="20"/>
          <w:szCs w:val="20"/>
        </w:rPr>
        <w:t>Blogs – where news is shared about the project and cross-reference the blog to Social Media</w:t>
      </w:r>
    </w:p>
    <w:p w14:paraId="43C4971C" w14:textId="77777777" w:rsidR="00A22E4D" w:rsidRPr="006D63E5" w:rsidRDefault="00A22E4D" w:rsidP="00EA4043">
      <w:pPr>
        <w:pStyle w:val="Default"/>
        <w:numPr>
          <w:ilvl w:val="1"/>
          <w:numId w:val="38"/>
        </w:numPr>
        <w:rPr>
          <w:rFonts w:asciiTheme="majorHAnsi" w:hAnsiTheme="majorHAnsi"/>
          <w:sz w:val="20"/>
          <w:szCs w:val="20"/>
        </w:rPr>
      </w:pPr>
      <w:r w:rsidRPr="006D63E5">
        <w:rPr>
          <w:rFonts w:asciiTheme="majorHAnsi" w:hAnsiTheme="majorHAnsi"/>
          <w:sz w:val="20"/>
          <w:szCs w:val="20"/>
        </w:rPr>
        <w:t>Online Sharing Platform – If necessary, use free online sharing platforms such as Google Docs to share knowledge management products</w:t>
      </w:r>
    </w:p>
    <w:p w14:paraId="67E5E4C3" w14:textId="77777777" w:rsidR="00A22E4D" w:rsidRPr="006D63E5" w:rsidRDefault="00A22E4D" w:rsidP="00EA4043">
      <w:pPr>
        <w:pStyle w:val="Default"/>
        <w:numPr>
          <w:ilvl w:val="0"/>
          <w:numId w:val="38"/>
        </w:numPr>
        <w:rPr>
          <w:rFonts w:asciiTheme="majorHAnsi" w:hAnsiTheme="majorHAnsi"/>
          <w:b/>
          <w:sz w:val="20"/>
          <w:szCs w:val="20"/>
        </w:rPr>
      </w:pPr>
      <w:r w:rsidRPr="006D63E5">
        <w:rPr>
          <w:rFonts w:asciiTheme="majorHAnsi" w:hAnsiTheme="majorHAnsi"/>
          <w:b/>
          <w:sz w:val="20"/>
          <w:szCs w:val="20"/>
        </w:rPr>
        <w:t>Emails and Listserves (to avoid the “Reply All” problem, establish a Listserv)</w:t>
      </w:r>
    </w:p>
    <w:p w14:paraId="7985F3A3" w14:textId="77777777" w:rsidR="00A22E4D" w:rsidRPr="006D63E5" w:rsidRDefault="00A22E4D" w:rsidP="00EA4043">
      <w:pPr>
        <w:pStyle w:val="Default"/>
        <w:numPr>
          <w:ilvl w:val="0"/>
          <w:numId w:val="38"/>
        </w:numPr>
        <w:rPr>
          <w:rFonts w:asciiTheme="majorHAnsi" w:hAnsiTheme="majorHAnsi"/>
          <w:b/>
          <w:sz w:val="20"/>
          <w:szCs w:val="20"/>
        </w:rPr>
      </w:pPr>
      <w:r w:rsidRPr="006D63E5">
        <w:rPr>
          <w:rFonts w:asciiTheme="majorHAnsi" w:hAnsiTheme="majorHAnsi"/>
          <w:b/>
          <w:sz w:val="20"/>
          <w:szCs w:val="20"/>
        </w:rPr>
        <w:t>Presentations</w:t>
      </w:r>
    </w:p>
    <w:p w14:paraId="22E0BC83" w14:textId="77777777" w:rsidR="00A22E4D" w:rsidRPr="006D63E5" w:rsidRDefault="00A22E4D" w:rsidP="00EA4043">
      <w:pPr>
        <w:pStyle w:val="Default"/>
        <w:numPr>
          <w:ilvl w:val="1"/>
          <w:numId w:val="38"/>
        </w:numPr>
        <w:rPr>
          <w:rFonts w:asciiTheme="majorHAnsi" w:hAnsiTheme="majorHAnsi"/>
          <w:sz w:val="20"/>
          <w:szCs w:val="20"/>
        </w:rPr>
      </w:pPr>
      <w:r w:rsidRPr="006D63E5">
        <w:rPr>
          <w:rFonts w:asciiTheme="majorHAnsi" w:hAnsiTheme="majorHAnsi"/>
          <w:sz w:val="20"/>
          <w:szCs w:val="20"/>
        </w:rPr>
        <w:t>General for meetings</w:t>
      </w:r>
    </w:p>
    <w:p w14:paraId="22ACB0A7" w14:textId="77777777" w:rsidR="00A22E4D" w:rsidRPr="006D63E5" w:rsidRDefault="00A22E4D" w:rsidP="00EA4043">
      <w:pPr>
        <w:pStyle w:val="Default"/>
        <w:numPr>
          <w:ilvl w:val="1"/>
          <w:numId w:val="38"/>
        </w:numPr>
        <w:rPr>
          <w:rFonts w:asciiTheme="majorHAnsi" w:hAnsiTheme="majorHAnsi"/>
          <w:i/>
          <w:sz w:val="20"/>
          <w:szCs w:val="20"/>
        </w:rPr>
      </w:pPr>
      <w:r w:rsidRPr="006D63E5">
        <w:rPr>
          <w:rFonts w:asciiTheme="majorHAnsi" w:hAnsiTheme="majorHAnsi"/>
          <w:i/>
          <w:sz w:val="20"/>
          <w:szCs w:val="20"/>
        </w:rPr>
        <w:t xml:space="preserve">Specifically by an </w:t>
      </w:r>
      <w:r w:rsidRPr="006D63E5">
        <w:rPr>
          <w:rFonts w:asciiTheme="majorHAnsi" w:hAnsiTheme="majorHAnsi"/>
          <w:i/>
          <w:caps/>
          <w:sz w:val="20"/>
          <w:szCs w:val="20"/>
        </w:rPr>
        <w:t>expert, preferably foreign, consultant</w:t>
      </w:r>
      <w:r w:rsidRPr="006D63E5">
        <w:rPr>
          <w:rFonts w:asciiTheme="majorHAnsi" w:hAnsiTheme="majorHAnsi"/>
          <w:i/>
          <w:sz w:val="20"/>
          <w:szCs w:val="20"/>
        </w:rPr>
        <w:t xml:space="preserve"> on the importance of Landscape/Seascape Planning, including Implementation (see footnote 2)</w:t>
      </w:r>
    </w:p>
    <w:p w14:paraId="5601BFF2" w14:textId="77777777" w:rsidR="00A22E4D" w:rsidRPr="006D63E5" w:rsidRDefault="00A22E4D" w:rsidP="00EA4043">
      <w:pPr>
        <w:pStyle w:val="Default"/>
        <w:numPr>
          <w:ilvl w:val="0"/>
          <w:numId w:val="38"/>
        </w:numPr>
        <w:rPr>
          <w:rFonts w:asciiTheme="majorHAnsi" w:hAnsiTheme="majorHAnsi"/>
          <w:b/>
          <w:sz w:val="20"/>
          <w:szCs w:val="20"/>
        </w:rPr>
      </w:pPr>
      <w:r w:rsidRPr="006D63E5">
        <w:rPr>
          <w:rFonts w:asciiTheme="majorHAnsi" w:hAnsiTheme="majorHAnsi"/>
          <w:b/>
          <w:sz w:val="20"/>
          <w:szCs w:val="20"/>
        </w:rPr>
        <w:t>Group Meetings</w:t>
      </w:r>
    </w:p>
    <w:p w14:paraId="1C2D997B" w14:textId="77777777" w:rsidR="00A22E4D" w:rsidRPr="006D63E5" w:rsidRDefault="00A22E4D" w:rsidP="00EA4043">
      <w:pPr>
        <w:pStyle w:val="Default"/>
        <w:numPr>
          <w:ilvl w:val="1"/>
          <w:numId w:val="38"/>
        </w:numPr>
        <w:rPr>
          <w:rFonts w:asciiTheme="majorHAnsi" w:hAnsiTheme="majorHAnsi"/>
          <w:sz w:val="20"/>
          <w:szCs w:val="20"/>
        </w:rPr>
      </w:pPr>
      <w:r w:rsidRPr="006D63E5">
        <w:rPr>
          <w:rFonts w:asciiTheme="majorHAnsi" w:hAnsiTheme="majorHAnsi"/>
          <w:sz w:val="20"/>
          <w:szCs w:val="20"/>
        </w:rPr>
        <w:t xml:space="preserve">NOT GENERAL COMMUNITY MEETINGS, but meetings by group: Men’s Groups, Women’s Groups, Youth </w:t>
      </w:r>
      <w:r w:rsidRPr="006D63E5">
        <w:rPr>
          <w:rFonts w:asciiTheme="majorHAnsi" w:hAnsiTheme="majorHAnsi"/>
          <w:i/>
          <w:sz w:val="20"/>
          <w:szCs w:val="20"/>
        </w:rPr>
        <w:t>Groups (see the Gender Mainstreaming and Inclusivity Strategy)</w:t>
      </w:r>
    </w:p>
    <w:p w14:paraId="1C65D31C" w14:textId="77777777" w:rsidR="00A22E4D" w:rsidRPr="006D63E5" w:rsidRDefault="00A22E4D" w:rsidP="00EA4043">
      <w:pPr>
        <w:pStyle w:val="Default"/>
        <w:numPr>
          <w:ilvl w:val="0"/>
          <w:numId w:val="38"/>
        </w:numPr>
        <w:rPr>
          <w:rFonts w:asciiTheme="majorHAnsi" w:hAnsiTheme="majorHAnsi"/>
          <w:b/>
          <w:sz w:val="20"/>
          <w:szCs w:val="20"/>
        </w:rPr>
      </w:pPr>
      <w:r w:rsidRPr="006D63E5">
        <w:rPr>
          <w:rFonts w:asciiTheme="majorHAnsi" w:hAnsiTheme="majorHAnsi"/>
          <w:b/>
          <w:sz w:val="20"/>
          <w:szCs w:val="20"/>
        </w:rPr>
        <w:t>Individual Meetings</w:t>
      </w:r>
    </w:p>
    <w:p w14:paraId="0960A155" w14:textId="77777777" w:rsidR="00A22E4D" w:rsidRPr="006D63E5" w:rsidRDefault="00A22E4D" w:rsidP="00EA4043">
      <w:pPr>
        <w:pStyle w:val="Default"/>
        <w:numPr>
          <w:ilvl w:val="1"/>
          <w:numId w:val="38"/>
        </w:numPr>
        <w:rPr>
          <w:rFonts w:asciiTheme="majorHAnsi" w:hAnsiTheme="majorHAnsi"/>
          <w:sz w:val="20"/>
          <w:szCs w:val="20"/>
        </w:rPr>
      </w:pPr>
      <w:r w:rsidRPr="006D63E5">
        <w:rPr>
          <w:rFonts w:asciiTheme="majorHAnsi" w:hAnsiTheme="majorHAnsi"/>
          <w:sz w:val="20"/>
          <w:szCs w:val="20"/>
        </w:rPr>
        <w:t>With Stakeholder Representatives</w:t>
      </w:r>
    </w:p>
    <w:p w14:paraId="5B19EA48" w14:textId="77777777" w:rsidR="00A22E4D" w:rsidRPr="006D63E5" w:rsidRDefault="00A22E4D" w:rsidP="00EA4043">
      <w:pPr>
        <w:pStyle w:val="Default"/>
        <w:numPr>
          <w:ilvl w:val="1"/>
          <w:numId w:val="38"/>
        </w:numPr>
        <w:rPr>
          <w:rFonts w:asciiTheme="majorHAnsi" w:hAnsiTheme="majorHAnsi"/>
          <w:sz w:val="20"/>
          <w:szCs w:val="20"/>
        </w:rPr>
      </w:pPr>
      <w:r w:rsidRPr="006D63E5">
        <w:rPr>
          <w:rFonts w:asciiTheme="majorHAnsi" w:hAnsiTheme="majorHAnsi"/>
          <w:sz w:val="20"/>
          <w:szCs w:val="20"/>
        </w:rPr>
        <w:t>With Decision Makers</w:t>
      </w:r>
    </w:p>
    <w:p w14:paraId="0C3DB309" w14:textId="77777777" w:rsidR="00A22E4D" w:rsidRPr="006D63E5" w:rsidRDefault="00A22E4D" w:rsidP="00EA4043">
      <w:pPr>
        <w:pStyle w:val="Default"/>
        <w:numPr>
          <w:ilvl w:val="0"/>
          <w:numId w:val="38"/>
        </w:numPr>
        <w:rPr>
          <w:rFonts w:asciiTheme="majorHAnsi" w:hAnsiTheme="majorHAnsi"/>
          <w:b/>
          <w:sz w:val="20"/>
          <w:szCs w:val="20"/>
        </w:rPr>
      </w:pPr>
      <w:r w:rsidRPr="006D63E5">
        <w:rPr>
          <w:rFonts w:asciiTheme="majorHAnsi" w:hAnsiTheme="majorHAnsi"/>
          <w:b/>
          <w:sz w:val="20"/>
          <w:szCs w:val="20"/>
        </w:rPr>
        <w:t>Pop-up hands-on exhibits (e.g. putting out a table at Grocery Stores with interactive content</w:t>
      </w:r>
    </w:p>
    <w:p w14:paraId="360A22CF" w14:textId="77777777" w:rsidR="00A22E4D" w:rsidRPr="006D63E5" w:rsidRDefault="00A22E4D" w:rsidP="00EA4043">
      <w:pPr>
        <w:pStyle w:val="Default"/>
        <w:numPr>
          <w:ilvl w:val="0"/>
          <w:numId w:val="38"/>
        </w:numPr>
        <w:rPr>
          <w:rFonts w:asciiTheme="majorHAnsi" w:hAnsiTheme="majorHAnsi"/>
          <w:b/>
          <w:sz w:val="20"/>
          <w:szCs w:val="20"/>
        </w:rPr>
      </w:pPr>
      <w:r w:rsidRPr="006D63E5">
        <w:rPr>
          <w:rFonts w:asciiTheme="majorHAnsi" w:hAnsiTheme="majorHAnsi"/>
          <w:b/>
          <w:sz w:val="20"/>
          <w:szCs w:val="20"/>
        </w:rPr>
        <w:t>Exhibits at Fairs</w:t>
      </w:r>
    </w:p>
    <w:p w14:paraId="3DE61E11" w14:textId="77777777" w:rsidR="00A22E4D" w:rsidRPr="006D63E5" w:rsidRDefault="00A22E4D" w:rsidP="00EA4043">
      <w:pPr>
        <w:pStyle w:val="Default"/>
        <w:numPr>
          <w:ilvl w:val="0"/>
          <w:numId w:val="38"/>
        </w:numPr>
        <w:rPr>
          <w:rFonts w:asciiTheme="majorHAnsi" w:hAnsiTheme="majorHAnsi"/>
          <w:b/>
          <w:sz w:val="20"/>
          <w:szCs w:val="20"/>
        </w:rPr>
      </w:pPr>
      <w:r w:rsidRPr="006D63E5">
        <w:rPr>
          <w:rFonts w:asciiTheme="majorHAnsi" w:hAnsiTheme="majorHAnsi"/>
          <w:b/>
          <w:sz w:val="20"/>
          <w:szCs w:val="20"/>
        </w:rPr>
        <w:t>Press Releases (Biosecurity and IAS)</w:t>
      </w:r>
    </w:p>
    <w:p w14:paraId="401C34DD" w14:textId="77777777" w:rsidR="00A22E4D" w:rsidRPr="006D63E5" w:rsidRDefault="00A22E4D" w:rsidP="00EA4043">
      <w:pPr>
        <w:pStyle w:val="Default"/>
        <w:numPr>
          <w:ilvl w:val="0"/>
          <w:numId w:val="38"/>
        </w:numPr>
        <w:rPr>
          <w:rFonts w:asciiTheme="majorHAnsi" w:hAnsiTheme="majorHAnsi"/>
          <w:b/>
          <w:sz w:val="20"/>
          <w:szCs w:val="20"/>
        </w:rPr>
      </w:pPr>
      <w:r w:rsidRPr="006D63E5">
        <w:rPr>
          <w:rFonts w:asciiTheme="majorHAnsi" w:hAnsiTheme="majorHAnsi"/>
          <w:b/>
          <w:sz w:val="20"/>
          <w:szCs w:val="20"/>
        </w:rPr>
        <w:t xml:space="preserve"> “Cheat Sheets” – Simple written descriptions that can be printed out quickly.</w:t>
      </w:r>
    </w:p>
    <w:p w14:paraId="1524CF17" w14:textId="77777777" w:rsidR="00A22E4D" w:rsidRPr="006D63E5" w:rsidRDefault="00A22E4D" w:rsidP="00A22E4D">
      <w:pPr>
        <w:pStyle w:val="Default"/>
        <w:rPr>
          <w:rFonts w:asciiTheme="majorHAnsi" w:hAnsiTheme="majorHAnsi"/>
          <w:b/>
          <w:sz w:val="20"/>
          <w:szCs w:val="20"/>
        </w:rPr>
      </w:pPr>
    </w:p>
    <w:p w14:paraId="40295FCD" w14:textId="77777777" w:rsidR="00A22E4D" w:rsidRPr="006D63E5" w:rsidRDefault="00A22E4D" w:rsidP="00A22E4D">
      <w:pPr>
        <w:pStyle w:val="Default"/>
        <w:rPr>
          <w:rFonts w:asciiTheme="majorHAnsi" w:hAnsiTheme="majorHAnsi"/>
          <w:b/>
          <w:sz w:val="20"/>
          <w:szCs w:val="20"/>
        </w:rPr>
      </w:pPr>
      <w:r w:rsidRPr="006D63E5">
        <w:rPr>
          <w:rFonts w:asciiTheme="majorHAnsi" w:hAnsiTheme="majorHAnsi"/>
          <w:b/>
          <w:sz w:val="20"/>
          <w:szCs w:val="20"/>
        </w:rPr>
        <w:t>Other Media products to be used infrequently:</w:t>
      </w:r>
    </w:p>
    <w:p w14:paraId="0E4D0907" w14:textId="77777777" w:rsidR="00A22E4D" w:rsidRPr="006D63E5" w:rsidRDefault="00A22E4D" w:rsidP="00EA4043">
      <w:pPr>
        <w:pStyle w:val="Default"/>
        <w:numPr>
          <w:ilvl w:val="0"/>
          <w:numId w:val="38"/>
        </w:numPr>
        <w:rPr>
          <w:rFonts w:asciiTheme="majorHAnsi" w:hAnsiTheme="majorHAnsi"/>
          <w:sz w:val="20"/>
          <w:szCs w:val="20"/>
        </w:rPr>
      </w:pPr>
      <w:r w:rsidRPr="006D63E5">
        <w:rPr>
          <w:rFonts w:asciiTheme="majorHAnsi" w:hAnsiTheme="majorHAnsi"/>
          <w:sz w:val="20"/>
          <w:szCs w:val="20"/>
        </w:rPr>
        <w:t>Press Visits and Press Invitations (invite the newspapers and radio to come to project events)</w:t>
      </w:r>
    </w:p>
    <w:p w14:paraId="3C6004F2" w14:textId="77777777" w:rsidR="00A22E4D" w:rsidRPr="006D63E5" w:rsidRDefault="00A22E4D" w:rsidP="00EA4043">
      <w:pPr>
        <w:pStyle w:val="Default"/>
        <w:numPr>
          <w:ilvl w:val="0"/>
          <w:numId w:val="38"/>
        </w:numPr>
        <w:rPr>
          <w:rFonts w:asciiTheme="majorHAnsi" w:hAnsiTheme="majorHAnsi"/>
          <w:sz w:val="20"/>
          <w:szCs w:val="20"/>
        </w:rPr>
      </w:pPr>
      <w:r w:rsidRPr="006D63E5">
        <w:rPr>
          <w:rFonts w:asciiTheme="majorHAnsi" w:hAnsiTheme="majorHAnsi"/>
          <w:sz w:val="20"/>
          <w:szCs w:val="20"/>
        </w:rPr>
        <w:t>Visits</w:t>
      </w:r>
      <w:r w:rsidRPr="006D63E5">
        <w:rPr>
          <w:rFonts w:asciiTheme="majorHAnsi" w:hAnsiTheme="majorHAnsi"/>
          <w:i/>
          <w:sz w:val="20"/>
          <w:szCs w:val="20"/>
        </w:rPr>
        <w:t xml:space="preserve"> by</w:t>
      </w:r>
      <w:r w:rsidRPr="006D63E5">
        <w:rPr>
          <w:rFonts w:asciiTheme="majorHAnsi" w:hAnsiTheme="majorHAnsi"/>
          <w:sz w:val="20"/>
          <w:szCs w:val="20"/>
        </w:rPr>
        <w:t xml:space="preserve"> Officials</w:t>
      </w:r>
    </w:p>
    <w:p w14:paraId="4AAA829E" w14:textId="77777777" w:rsidR="00A22E4D" w:rsidRPr="006D63E5" w:rsidRDefault="00A22E4D" w:rsidP="00EA4043">
      <w:pPr>
        <w:pStyle w:val="Default"/>
        <w:numPr>
          <w:ilvl w:val="0"/>
          <w:numId w:val="38"/>
        </w:numPr>
        <w:rPr>
          <w:rFonts w:asciiTheme="majorHAnsi" w:hAnsiTheme="majorHAnsi"/>
          <w:sz w:val="20"/>
          <w:szCs w:val="20"/>
        </w:rPr>
      </w:pPr>
      <w:r w:rsidRPr="006D63E5">
        <w:rPr>
          <w:rFonts w:asciiTheme="majorHAnsi" w:hAnsiTheme="majorHAnsi"/>
          <w:sz w:val="20"/>
          <w:szCs w:val="20"/>
        </w:rPr>
        <w:t>Visits</w:t>
      </w:r>
      <w:r w:rsidRPr="006D63E5">
        <w:rPr>
          <w:rFonts w:asciiTheme="majorHAnsi" w:hAnsiTheme="majorHAnsi"/>
          <w:i/>
          <w:sz w:val="20"/>
          <w:szCs w:val="20"/>
        </w:rPr>
        <w:t xml:space="preserve"> to</w:t>
      </w:r>
      <w:r w:rsidRPr="006D63E5">
        <w:rPr>
          <w:rFonts w:asciiTheme="majorHAnsi" w:hAnsiTheme="majorHAnsi"/>
          <w:sz w:val="20"/>
          <w:szCs w:val="20"/>
        </w:rPr>
        <w:t xml:space="preserve"> Officials</w:t>
      </w:r>
    </w:p>
    <w:p w14:paraId="0A61C4EA" w14:textId="77777777" w:rsidR="00A22E4D" w:rsidRPr="006D63E5" w:rsidRDefault="00A22E4D" w:rsidP="00EA4043">
      <w:pPr>
        <w:pStyle w:val="Default"/>
        <w:numPr>
          <w:ilvl w:val="0"/>
          <w:numId w:val="38"/>
        </w:numPr>
        <w:rPr>
          <w:rFonts w:asciiTheme="majorHAnsi" w:hAnsiTheme="majorHAnsi"/>
          <w:sz w:val="20"/>
          <w:szCs w:val="20"/>
        </w:rPr>
      </w:pPr>
      <w:r w:rsidRPr="006D63E5">
        <w:rPr>
          <w:rFonts w:asciiTheme="majorHAnsi" w:hAnsiTheme="majorHAnsi"/>
          <w:sz w:val="20"/>
          <w:szCs w:val="20"/>
        </w:rPr>
        <w:t>Field Visits</w:t>
      </w:r>
    </w:p>
    <w:p w14:paraId="63CBEC7E" w14:textId="77777777" w:rsidR="00A22E4D" w:rsidRPr="006D63E5" w:rsidRDefault="00A22E4D" w:rsidP="00EA4043">
      <w:pPr>
        <w:pStyle w:val="Default"/>
        <w:numPr>
          <w:ilvl w:val="0"/>
          <w:numId w:val="38"/>
        </w:numPr>
        <w:rPr>
          <w:rFonts w:asciiTheme="majorHAnsi" w:hAnsiTheme="majorHAnsi"/>
          <w:sz w:val="20"/>
          <w:szCs w:val="20"/>
        </w:rPr>
      </w:pPr>
      <w:r w:rsidRPr="006D63E5">
        <w:rPr>
          <w:rFonts w:asciiTheme="majorHAnsi" w:hAnsiTheme="majorHAnsi"/>
          <w:sz w:val="20"/>
          <w:szCs w:val="20"/>
        </w:rPr>
        <w:t>Leaflets, Brochures, Printed Newsletters, and other Printed Materials</w:t>
      </w:r>
    </w:p>
    <w:p w14:paraId="213C936A" w14:textId="77777777" w:rsidR="00A22E4D" w:rsidRPr="006D63E5" w:rsidRDefault="00A22E4D" w:rsidP="00EA4043">
      <w:pPr>
        <w:pStyle w:val="Default"/>
        <w:numPr>
          <w:ilvl w:val="0"/>
          <w:numId w:val="38"/>
        </w:numPr>
        <w:rPr>
          <w:rFonts w:asciiTheme="majorHAnsi" w:hAnsiTheme="majorHAnsi"/>
          <w:sz w:val="20"/>
          <w:szCs w:val="20"/>
        </w:rPr>
      </w:pPr>
      <w:r w:rsidRPr="006D63E5">
        <w:rPr>
          <w:rFonts w:asciiTheme="majorHAnsi" w:hAnsiTheme="majorHAnsi"/>
          <w:sz w:val="20"/>
          <w:szCs w:val="20"/>
        </w:rPr>
        <w:t>Large and Small signs, Banners</w:t>
      </w:r>
    </w:p>
    <w:p w14:paraId="2BF003BB" w14:textId="77777777" w:rsidR="00A22E4D" w:rsidRPr="006D63E5" w:rsidRDefault="00A22E4D" w:rsidP="00EA4043">
      <w:pPr>
        <w:pStyle w:val="Default"/>
        <w:numPr>
          <w:ilvl w:val="0"/>
          <w:numId w:val="38"/>
        </w:numPr>
        <w:rPr>
          <w:rFonts w:asciiTheme="majorHAnsi" w:hAnsiTheme="majorHAnsi"/>
          <w:sz w:val="20"/>
          <w:szCs w:val="20"/>
        </w:rPr>
      </w:pPr>
      <w:r w:rsidRPr="006D63E5">
        <w:rPr>
          <w:rFonts w:asciiTheme="majorHAnsi" w:hAnsiTheme="majorHAnsi"/>
          <w:sz w:val="20"/>
          <w:szCs w:val="20"/>
        </w:rPr>
        <w:t>Use of logo on materials, equipment, and supplies</w:t>
      </w:r>
    </w:p>
    <w:p w14:paraId="31CBD595" w14:textId="77777777" w:rsidR="00A22E4D" w:rsidRPr="006D63E5" w:rsidRDefault="00A22E4D" w:rsidP="00EA4043">
      <w:pPr>
        <w:pStyle w:val="Default"/>
        <w:numPr>
          <w:ilvl w:val="0"/>
          <w:numId w:val="38"/>
        </w:numPr>
        <w:rPr>
          <w:rFonts w:asciiTheme="majorHAnsi" w:hAnsiTheme="majorHAnsi"/>
          <w:sz w:val="20"/>
          <w:szCs w:val="20"/>
        </w:rPr>
      </w:pPr>
      <w:r w:rsidRPr="006D63E5">
        <w:rPr>
          <w:rFonts w:asciiTheme="majorHAnsi" w:hAnsiTheme="majorHAnsi"/>
          <w:sz w:val="20"/>
          <w:szCs w:val="20"/>
        </w:rPr>
        <w:t>Promotional Items (e.g. pencils)</w:t>
      </w:r>
    </w:p>
    <w:p w14:paraId="73CD74E4" w14:textId="77777777" w:rsidR="00A22E4D" w:rsidRPr="006D63E5" w:rsidRDefault="00A22E4D" w:rsidP="00A22E4D">
      <w:pPr>
        <w:pStyle w:val="Default"/>
        <w:rPr>
          <w:rFonts w:asciiTheme="majorHAnsi" w:hAnsiTheme="majorHAnsi"/>
          <w:sz w:val="20"/>
          <w:szCs w:val="20"/>
        </w:rPr>
      </w:pPr>
    </w:p>
    <w:p w14:paraId="2C0A3EC6" w14:textId="77777777" w:rsidR="00A22E4D" w:rsidRPr="006D63E5" w:rsidRDefault="00A22E4D" w:rsidP="00A22E4D">
      <w:pPr>
        <w:pStyle w:val="Default"/>
        <w:rPr>
          <w:rFonts w:asciiTheme="majorHAnsi" w:hAnsiTheme="majorHAnsi"/>
          <w:b/>
          <w:sz w:val="20"/>
          <w:szCs w:val="20"/>
        </w:rPr>
      </w:pPr>
      <w:r w:rsidRPr="006D63E5">
        <w:rPr>
          <w:rFonts w:asciiTheme="majorHAnsi" w:hAnsiTheme="majorHAnsi"/>
          <w:b/>
          <w:sz w:val="20"/>
          <w:szCs w:val="20"/>
        </w:rPr>
        <w:t>Knowledge Management Tools to use in the Project</w:t>
      </w:r>
    </w:p>
    <w:p w14:paraId="2016F3CB" w14:textId="77777777" w:rsidR="00A22E4D" w:rsidRPr="006D63E5" w:rsidRDefault="00A22E4D" w:rsidP="00EA4043">
      <w:pPr>
        <w:pStyle w:val="Default"/>
        <w:numPr>
          <w:ilvl w:val="0"/>
          <w:numId w:val="38"/>
        </w:numPr>
        <w:rPr>
          <w:rFonts w:asciiTheme="majorHAnsi" w:hAnsiTheme="majorHAnsi"/>
          <w:sz w:val="20"/>
          <w:szCs w:val="20"/>
        </w:rPr>
      </w:pPr>
      <w:r w:rsidRPr="006D63E5">
        <w:rPr>
          <w:rFonts w:asciiTheme="majorHAnsi" w:hAnsiTheme="majorHAnsi"/>
          <w:sz w:val="20"/>
          <w:szCs w:val="20"/>
        </w:rPr>
        <w:t>Digital Copies emailed, or made accessible via a website or online hosting platform (e.g. Google Drive)</w:t>
      </w:r>
    </w:p>
    <w:p w14:paraId="2B937FA0" w14:textId="77777777" w:rsidR="00A22E4D" w:rsidRPr="006D63E5" w:rsidRDefault="00A22E4D" w:rsidP="00EA4043">
      <w:pPr>
        <w:pStyle w:val="Default"/>
        <w:numPr>
          <w:ilvl w:val="0"/>
          <w:numId w:val="38"/>
        </w:numPr>
        <w:rPr>
          <w:rFonts w:asciiTheme="majorHAnsi" w:hAnsiTheme="majorHAnsi"/>
          <w:sz w:val="20"/>
          <w:szCs w:val="20"/>
        </w:rPr>
      </w:pPr>
      <w:r w:rsidRPr="006D63E5">
        <w:rPr>
          <w:rFonts w:asciiTheme="majorHAnsi" w:hAnsiTheme="majorHAnsi"/>
          <w:sz w:val="20"/>
          <w:szCs w:val="20"/>
        </w:rPr>
        <w:t>Use of the PALARIS and CB2 Databases, and other existing databases in country</w:t>
      </w:r>
    </w:p>
    <w:p w14:paraId="5493DE89" w14:textId="77777777" w:rsidR="00A22E4D" w:rsidRPr="006D63E5" w:rsidRDefault="00A22E4D" w:rsidP="00EA4043">
      <w:pPr>
        <w:pStyle w:val="Default"/>
        <w:numPr>
          <w:ilvl w:val="1"/>
          <w:numId w:val="38"/>
        </w:numPr>
        <w:rPr>
          <w:rFonts w:asciiTheme="majorHAnsi" w:hAnsiTheme="majorHAnsi"/>
          <w:sz w:val="20"/>
          <w:szCs w:val="20"/>
        </w:rPr>
      </w:pPr>
      <w:r w:rsidRPr="006D63E5">
        <w:rPr>
          <w:rFonts w:asciiTheme="majorHAnsi" w:hAnsiTheme="majorHAnsi"/>
          <w:sz w:val="20"/>
          <w:szCs w:val="20"/>
        </w:rPr>
        <w:t>Reference Lists (a list of all Knowledge Management Products created, what they are about, where they can be found, who to contact for more information)</w:t>
      </w:r>
    </w:p>
    <w:p w14:paraId="47CD1D90" w14:textId="77777777" w:rsidR="00A22E4D" w:rsidRPr="006D63E5" w:rsidRDefault="00A22E4D" w:rsidP="00EA4043">
      <w:pPr>
        <w:pStyle w:val="Default"/>
        <w:numPr>
          <w:ilvl w:val="0"/>
          <w:numId w:val="38"/>
        </w:numPr>
        <w:rPr>
          <w:rFonts w:asciiTheme="majorHAnsi" w:hAnsiTheme="majorHAnsi"/>
          <w:sz w:val="20"/>
          <w:szCs w:val="20"/>
        </w:rPr>
      </w:pPr>
      <w:r w:rsidRPr="006D63E5">
        <w:rPr>
          <w:rFonts w:asciiTheme="majorHAnsi" w:hAnsiTheme="majorHAnsi"/>
          <w:sz w:val="20"/>
          <w:szCs w:val="20"/>
        </w:rPr>
        <w:t>A searchable portion of a Website with uploaded, accessible documents</w:t>
      </w:r>
    </w:p>
    <w:p w14:paraId="22F3F774" w14:textId="77777777" w:rsidR="00A22E4D" w:rsidRPr="006D63E5" w:rsidRDefault="00A22E4D" w:rsidP="00EA4043">
      <w:pPr>
        <w:pStyle w:val="Default"/>
        <w:numPr>
          <w:ilvl w:val="0"/>
          <w:numId w:val="38"/>
        </w:numPr>
        <w:rPr>
          <w:rFonts w:asciiTheme="majorHAnsi" w:hAnsiTheme="majorHAnsi"/>
          <w:sz w:val="20"/>
          <w:szCs w:val="20"/>
        </w:rPr>
      </w:pPr>
      <w:r w:rsidRPr="006D63E5">
        <w:rPr>
          <w:rFonts w:asciiTheme="majorHAnsi" w:hAnsiTheme="majorHAnsi"/>
          <w:sz w:val="20"/>
          <w:szCs w:val="20"/>
        </w:rPr>
        <w:t>Use of the Public Library and the PCC Library (find out if they need hard copies or if digital copies are fine)</w:t>
      </w:r>
    </w:p>
    <w:p w14:paraId="0468E454" w14:textId="77777777" w:rsidR="00A22E4D" w:rsidRPr="006D63E5" w:rsidRDefault="00A22E4D" w:rsidP="00EA4043">
      <w:pPr>
        <w:pStyle w:val="Default"/>
        <w:numPr>
          <w:ilvl w:val="0"/>
          <w:numId w:val="38"/>
        </w:numPr>
        <w:rPr>
          <w:rFonts w:asciiTheme="majorHAnsi" w:hAnsiTheme="majorHAnsi"/>
          <w:sz w:val="20"/>
          <w:szCs w:val="20"/>
        </w:rPr>
      </w:pPr>
      <w:r w:rsidRPr="006D63E5">
        <w:rPr>
          <w:rFonts w:asciiTheme="majorHAnsi" w:hAnsiTheme="majorHAnsi"/>
          <w:sz w:val="20"/>
          <w:szCs w:val="20"/>
        </w:rPr>
        <w:t>Workshops</w:t>
      </w:r>
    </w:p>
    <w:p w14:paraId="470C0D0F" w14:textId="77777777" w:rsidR="00A22E4D" w:rsidRPr="006D63E5" w:rsidRDefault="00A22E4D" w:rsidP="00EA4043">
      <w:pPr>
        <w:pStyle w:val="Default"/>
        <w:numPr>
          <w:ilvl w:val="0"/>
          <w:numId w:val="38"/>
        </w:numPr>
        <w:rPr>
          <w:rFonts w:asciiTheme="majorHAnsi" w:hAnsiTheme="majorHAnsi"/>
          <w:sz w:val="20"/>
          <w:szCs w:val="20"/>
        </w:rPr>
      </w:pPr>
      <w:r w:rsidRPr="006D63E5">
        <w:rPr>
          <w:rFonts w:asciiTheme="majorHAnsi" w:hAnsiTheme="majorHAnsi"/>
          <w:sz w:val="20"/>
          <w:szCs w:val="20"/>
        </w:rPr>
        <w:t>Peer Learning exchanges</w:t>
      </w:r>
    </w:p>
    <w:p w14:paraId="345DC82D" w14:textId="77777777" w:rsidR="00A22E4D" w:rsidRPr="006D63E5" w:rsidRDefault="00A22E4D" w:rsidP="00EA4043">
      <w:pPr>
        <w:pStyle w:val="Default"/>
        <w:numPr>
          <w:ilvl w:val="0"/>
          <w:numId w:val="38"/>
        </w:numPr>
        <w:rPr>
          <w:rFonts w:asciiTheme="majorHAnsi" w:hAnsiTheme="majorHAnsi"/>
          <w:sz w:val="20"/>
          <w:szCs w:val="20"/>
        </w:rPr>
      </w:pPr>
      <w:r w:rsidRPr="006D63E5">
        <w:rPr>
          <w:rFonts w:asciiTheme="majorHAnsi" w:hAnsiTheme="majorHAnsi"/>
          <w:sz w:val="20"/>
          <w:szCs w:val="20"/>
        </w:rPr>
        <w:t>Meetings</w:t>
      </w:r>
    </w:p>
    <w:p w14:paraId="0CD52404" w14:textId="77777777" w:rsidR="00A22E4D" w:rsidRPr="006D63E5" w:rsidRDefault="00A22E4D" w:rsidP="00EA4043">
      <w:pPr>
        <w:pStyle w:val="Default"/>
        <w:numPr>
          <w:ilvl w:val="0"/>
          <w:numId w:val="38"/>
        </w:numPr>
        <w:rPr>
          <w:rFonts w:asciiTheme="majorHAnsi" w:hAnsiTheme="majorHAnsi"/>
          <w:sz w:val="20"/>
          <w:szCs w:val="20"/>
        </w:rPr>
      </w:pPr>
      <w:r w:rsidRPr="006D63E5">
        <w:rPr>
          <w:rFonts w:asciiTheme="majorHAnsi" w:hAnsiTheme="majorHAnsi"/>
          <w:sz w:val="20"/>
          <w:szCs w:val="20"/>
        </w:rPr>
        <w:t>Printed Materials</w:t>
      </w:r>
    </w:p>
    <w:p w14:paraId="67D373BC" w14:textId="77777777" w:rsidR="00A22E4D" w:rsidRPr="006D63E5" w:rsidRDefault="00A22E4D" w:rsidP="00EA4043">
      <w:pPr>
        <w:pStyle w:val="Default"/>
        <w:numPr>
          <w:ilvl w:val="0"/>
          <w:numId w:val="38"/>
        </w:numPr>
        <w:rPr>
          <w:rFonts w:asciiTheme="majorHAnsi" w:hAnsiTheme="majorHAnsi"/>
          <w:sz w:val="20"/>
          <w:szCs w:val="20"/>
        </w:rPr>
      </w:pPr>
      <w:r w:rsidRPr="006D63E5">
        <w:rPr>
          <w:rFonts w:asciiTheme="majorHAnsi" w:hAnsiTheme="majorHAnsi"/>
          <w:sz w:val="20"/>
          <w:szCs w:val="20"/>
        </w:rPr>
        <w:t>Take Photographs and create a shared Partner Photo Database (can be as simple as naming the folders in such a way that people know what, where, and when the photos were taken.</w:t>
      </w:r>
    </w:p>
    <w:p w14:paraId="360BDBAC" w14:textId="77777777" w:rsidR="00A22E4D" w:rsidRPr="006D63E5" w:rsidRDefault="00A22E4D" w:rsidP="00A22E4D">
      <w:pPr>
        <w:pStyle w:val="Default"/>
        <w:ind w:left="720"/>
        <w:rPr>
          <w:rFonts w:asciiTheme="majorHAnsi" w:hAnsiTheme="majorHAnsi"/>
          <w:sz w:val="20"/>
          <w:szCs w:val="20"/>
        </w:rPr>
      </w:pPr>
    </w:p>
    <w:p w14:paraId="7FF7304B" w14:textId="77777777" w:rsidR="00A22E4D" w:rsidRPr="006D63E5" w:rsidRDefault="00A22E4D" w:rsidP="00A22E4D">
      <w:pPr>
        <w:rPr>
          <w:rFonts w:asciiTheme="majorHAnsi" w:hAnsiTheme="majorHAnsi"/>
          <w:b/>
          <w:sz w:val="20"/>
          <w:szCs w:val="20"/>
        </w:rPr>
      </w:pPr>
      <w:r w:rsidRPr="006D63E5">
        <w:rPr>
          <w:rFonts w:asciiTheme="majorHAnsi" w:hAnsiTheme="majorHAnsi"/>
          <w:b/>
          <w:sz w:val="20"/>
          <w:szCs w:val="20"/>
        </w:rPr>
        <w:t>Key Audiences and General Characteristics of the Target Audience</w:t>
      </w:r>
    </w:p>
    <w:p w14:paraId="4904B325" w14:textId="77777777" w:rsidR="00A22E4D" w:rsidRPr="006D63E5" w:rsidRDefault="00A22E4D" w:rsidP="00A22E4D">
      <w:pPr>
        <w:rPr>
          <w:rFonts w:asciiTheme="majorHAnsi" w:hAnsiTheme="majorHAnsi"/>
          <w:sz w:val="20"/>
          <w:szCs w:val="20"/>
        </w:rPr>
      </w:pPr>
      <w:r w:rsidRPr="006D63E5">
        <w:rPr>
          <w:rFonts w:asciiTheme="majorHAnsi" w:hAnsiTheme="majorHAnsi"/>
          <w:sz w:val="20"/>
          <w:szCs w:val="20"/>
        </w:rPr>
        <w:t xml:space="preserve">Audiences will vary based on the objective, and will change over time. The audience should be adjusted once the Knowledge, Attitudes, and Practices (KAP) Survey is completed (Output 4.2). </w:t>
      </w:r>
    </w:p>
    <w:p w14:paraId="54595CB2" w14:textId="77777777" w:rsidR="00A22E4D" w:rsidRPr="00150717" w:rsidRDefault="00A22E4D" w:rsidP="00A22E4D">
      <w:pPr>
        <w:pStyle w:val="Default"/>
        <w:rPr>
          <w:rFonts w:asciiTheme="majorHAnsi" w:hAnsiTheme="majorHAnsi"/>
          <w:sz w:val="20"/>
          <w:szCs w:val="20"/>
        </w:rPr>
      </w:pPr>
    </w:p>
    <w:tbl>
      <w:tblPr>
        <w:tblW w:w="9350" w:type="dxa"/>
        <w:tblLook w:val="04A0" w:firstRow="1" w:lastRow="0" w:firstColumn="1" w:lastColumn="0" w:noHBand="0" w:noVBand="1"/>
      </w:tblPr>
      <w:tblGrid>
        <w:gridCol w:w="2337"/>
        <w:gridCol w:w="2337"/>
        <w:gridCol w:w="2338"/>
        <w:gridCol w:w="2338"/>
      </w:tblGrid>
      <w:tr w:rsidR="00A22E4D" w:rsidRPr="000D2499" w14:paraId="6F85F795" w14:textId="77777777" w:rsidTr="00DF29AB">
        <w:tc>
          <w:tcPr>
            <w:tcW w:w="2337" w:type="dxa"/>
          </w:tcPr>
          <w:p w14:paraId="0345F2BB" w14:textId="77777777" w:rsidR="00A22E4D" w:rsidRPr="000D2499" w:rsidRDefault="00A22E4D" w:rsidP="00DF29AB">
            <w:pPr>
              <w:pStyle w:val="Default"/>
              <w:rPr>
                <w:rFonts w:asciiTheme="majorHAnsi" w:hAnsiTheme="majorHAnsi"/>
                <w:sz w:val="18"/>
                <w:szCs w:val="18"/>
              </w:rPr>
            </w:pPr>
          </w:p>
        </w:tc>
        <w:tc>
          <w:tcPr>
            <w:tcW w:w="2337" w:type="dxa"/>
          </w:tcPr>
          <w:p w14:paraId="2D7DB026" w14:textId="77777777" w:rsidR="00A22E4D" w:rsidRPr="000D2499" w:rsidRDefault="00A22E4D" w:rsidP="00DF29AB">
            <w:pPr>
              <w:pStyle w:val="Default"/>
              <w:rPr>
                <w:rFonts w:asciiTheme="majorHAnsi" w:hAnsiTheme="majorHAnsi"/>
                <w:sz w:val="18"/>
                <w:szCs w:val="18"/>
              </w:rPr>
            </w:pPr>
            <w:r w:rsidRPr="000D2499">
              <w:rPr>
                <w:rFonts w:asciiTheme="majorHAnsi" w:hAnsiTheme="majorHAnsi"/>
                <w:b/>
                <w:sz w:val="18"/>
                <w:szCs w:val="18"/>
              </w:rPr>
              <w:t xml:space="preserve">Primary audience </w:t>
            </w:r>
            <w:r w:rsidRPr="000D2499">
              <w:rPr>
                <w:rFonts w:asciiTheme="majorHAnsi" w:hAnsiTheme="majorHAnsi"/>
                <w:sz w:val="18"/>
                <w:szCs w:val="18"/>
              </w:rPr>
              <w:t>– the main audience to reach to achieve 80% of the objective.</w:t>
            </w:r>
          </w:p>
          <w:p w14:paraId="49DB6ED5" w14:textId="77777777" w:rsidR="00A22E4D" w:rsidRPr="000D2499" w:rsidRDefault="00A22E4D" w:rsidP="00DF29AB">
            <w:pPr>
              <w:pStyle w:val="Default"/>
              <w:ind w:left="213" w:hanging="213"/>
              <w:rPr>
                <w:rFonts w:asciiTheme="majorHAnsi" w:hAnsiTheme="majorHAnsi"/>
                <w:sz w:val="18"/>
                <w:szCs w:val="18"/>
              </w:rPr>
            </w:pPr>
          </w:p>
        </w:tc>
        <w:tc>
          <w:tcPr>
            <w:tcW w:w="2338" w:type="dxa"/>
          </w:tcPr>
          <w:p w14:paraId="0237C7BC" w14:textId="77777777" w:rsidR="00A22E4D" w:rsidRPr="000D2499" w:rsidRDefault="00A22E4D" w:rsidP="00DF29AB">
            <w:pPr>
              <w:pStyle w:val="Default"/>
              <w:rPr>
                <w:rFonts w:asciiTheme="majorHAnsi" w:hAnsiTheme="majorHAnsi"/>
                <w:b/>
                <w:sz w:val="18"/>
                <w:szCs w:val="18"/>
              </w:rPr>
            </w:pPr>
            <w:r w:rsidRPr="000D2499">
              <w:rPr>
                <w:rFonts w:asciiTheme="majorHAnsi" w:hAnsiTheme="majorHAnsi"/>
                <w:b/>
                <w:sz w:val="18"/>
                <w:szCs w:val="18"/>
              </w:rPr>
              <w:t xml:space="preserve">Secondary audience – </w:t>
            </w:r>
            <w:r w:rsidRPr="000D2499">
              <w:rPr>
                <w:rFonts w:asciiTheme="majorHAnsi" w:hAnsiTheme="majorHAnsi"/>
                <w:sz w:val="18"/>
                <w:szCs w:val="18"/>
              </w:rPr>
              <w:t xml:space="preserve">the specific groups or persons who need to be engaged, informed, or targeted in order to get to our primary audience. </w:t>
            </w:r>
          </w:p>
        </w:tc>
        <w:tc>
          <w:tcPr>
            <w:tcW w:w="2338" w:type="dxa"/>
          </w:tcPr>
          <w:p w14:paraId="30F62F6B" w14:textId="77777777" w:rsidR="00A22E4D" w:rsidRPr="000D2499" w:rsidRDefault="00A22E4D" w:rsidP="00DF29AB">
            <w:pPr>
              <w:pStyle w:val="Default"/>
              <w:rPr>
                <w:rFonts w:asciiTheme="majorHAnsi" w:hAnsiTheme="majorHAnsi"/>
                <w:b/>
                <w:sz w:val="18"/>
                <w:szCs w:val="18"/>
              </w:rPr>
            </w:pPr>
            <w:r w:rsidRPr="000D2499">
              <w:rPr>
                <w:rFonts w:asciiTheme="majorHAnsi" w:hAnsiTheme="majorHAnsi"/>
                <w:b/>
                <w:sz w:val="18"/>
                <w:szCs w:val="18"/>
              </w:rPr>
              <w:t>Media Products to use at start of project</w:t>
            </w:r>
          </w:p>
        </w:tc>
      </w:tr>
      <w:tr w:rsidR="00A22E4D" w:rsidRPr="000D2499" w14:paraId="56B00994" w14:textId="77777777" w:rsidTr="00DF29AB">
        <w:tc>
          <w:tcPr>
            <w:tcW w:w="2337" w:type="dxa"/>
          </w:tcPr>
          <w:p w14:paraId="01780C90" w14:textId="77777777" w:rsidR="00A22E4D" w:rsidRPr="000D2499" w:rsidRDefault="00A22E4D" w:rsidP="00DF29AB">
            <w:pPr>
              <w:rPr>
                <w:rFonts w:asciiTheme="majorHAnsi" w:hAnsiTheme="majorHAnsi"/>
                <w:sz w:val="18"/>
                <w:szCs w:val="18"/>
              </w:rPr>
            </w:pPr>
            <w:r w:rsidRPr="000D2499">
              <w:rPr>
                <w:rFonts w:asciiTheme="majorHAnsi" w:hAnsiTheme="majorHAnsi"/>
                <w:b/>
                <w:sz w:val="18"/>
                <w:szCs w:val="18"/>
              </w:rPr>
              <w:t>Communications Strategy Objective 1:</w:t>
            </w:r>
            <w:r w:rsidRPr="000D2499">
              <w:rPr>
                <w:rFonts w:asciiTheme="majorHAnsi" w:hAnsiTheme="majorHAnsi"/>
                <w:sz w:val="18"/>
                <w:szCs w:val="18"/>
              </w:rPr>
              <w:t xml:space="preserve"> The Project itself is well understood and implemented effectively and efficiently by all involved partners, including the public.</w:t>
            </w:r>
          </w:p>
          <w:p w14:paraId="7586A67C" w14:textId="77777777" w:rsidR="00A22E4D" w:rsidRPr="000D2499" w:rsidRDefault="00A22E4D" w:rsidP="00DF29AB">
            <w:pPr>
              <w:pStyle w:val="Default"/>
              <w:rPr>
                <w:rFonts w:asciiTheme="majorHAnsi" w:hAnsiTheme="majorHAnsi"/>
                <w:sz w:val="18"/>
                <w:szCs w:val="18"/>
              </w:rPr>
            </w:pPr>
          </w:p>
        </w:tc>
        <w:tc>
          <w:tcPr>
            <w:tcW w:w="2337" w:type="dxa"/>
          </w:tcPr>
          <w:p w14:paraId="49ADC966"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Directors and resource staff at Stakeholder Agencies and Organizations</w:t>
            </w:r>
          </w:p>
          <w:p w14:paraId="2B143814"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GEF5 Project Manager</w:t>
            </w:r>
          </w:p>
          <w:p w14:paraId="41B831EE"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MNRET Projects Coordinator</w:t>
            </w:r>
          </w:p>
          <w:p w14:paraId="5260490F"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NEPC Projects Subcommittee</w:t>
            </w:r>
          </w:p>
        </w:tc>
        <w:tc>
          <w:tcPr>
            <w:tcW w:w="2338" w:type="dxa"/>
          </w:tcPr>
          <w:p w14:paraId="52DF96DF"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Ministers and Executive Directors of Stakeholder Agencies and Organizations</w:t>
            </w:r>
          </w:p>
          <w:p w14:paraId="66ABBB5B"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NEPC</w:t>
            </w:r>
          </w:p>
          <w:p w14:paraId="653F83CC"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NEPC Secretariat</w:t>
            </w:r>
          </w:p>
          <w:p w14:paraId="50B01EF9" w14:textId="77777777" w:rsidR="00A22E4D" w:rsidRPr="000D2499" w:rsidRDefault="00A22E4D" w:rsidP="00DF29AB">
            <w:pPr>
              <w:pStyle w:val="Default"/>
              <w:ind w:left="213" w:hanging="213"/>
              <w:rPr>
                <w:rFonts w:asciiTheme="majorHAnsi" w:hAnsiTheme="majorHAnsi"/>
                <w:sz w:val="18"/>
                <w:szCs w:val="18"/>
              </w:rPr>
            </w:pPr>
          </w:p>
        </w:tc>
        <w:tc>
          <w:tcPr>
            <w:tcW w:w="2338" w:type="dxa"/>
          </w:tcPr>
          <w:p w14:paraId="0FA10596"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Individual Meetings</w:t>
            </w:r>
          </w:p>
          <w:p w14:paraId="2F5FF7C7"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Group Meetings</w:t>
            </w:r>
          </w:p>
          <w:p w14:paraId="0FB14E2F"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Digital Newsletter</w:t>
            </w:r>
          </w:p>
          <w:p w14:paraId="20112017"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Emails and Listserves</w:t>
            </w:r>
          </w:p>
          <w:p w14:paraId="4C08E2FA"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Cheat Sheets</w:t>
            </w:r>
          </w:p>
          <w:p w14:paraId="0BF87BBF" w14:textId="77777777" w:rsidR="00A22E4D" w:rsidRPr="000D2499" w:rsidRDefault="00A22E4D" w:rsidP="00DF29AB">
            <w:pPr>
              <w:pStyle w:val="Default"/>
              <w:ind w:left="213" w:hanging="213"/>
              <w:rPr>
                <w:rFonts w:asciiTheme="majorHAnsi" w:hAnsiTheme="majorHAnsi"/>
                <w:sz w:val="18"/>
                <w:szCs w:val="18"/>
              </w:rPr>
            </w:pPr>
          </w:p>
        </w:tc>
      </w:tr>
      <w:tr w:rsidR="00A22E4D" w:rsidRPr="000D2499" w14:paraId="4E8D5B43" w14:textId="77777777" w:rsidTr="00DF29AB">
        <w:tc>
          <w:tcPr>
            <w:tcW w:w="2337" w:type="dxa"/>
          </w:tcPr>
          <w:p w14:paraId="3A6C5FA3" w14:textId="77777777" w:rsidR="00A22E4D" w:rsidRPr="000D2499" w:rsidRDefault="00A22E4D" w:rsidP="00DF29AB">
            <w:pPr>
              <w:rPr>
                <w:rFonts w:asciiTheme="majorHAnsi" w:hAnsiTheme="majorHAnsi"/>
                <w:sz w:val="18"/>
                <w:szCs w:val="18"/>
              </w:rPr>
            </w:pPr>
            <w:r w:rsidRPr="000D2499">
              <w:rPr>
                <w:rFonts w:asciiTheme="majorHAnsi" w:hAnsiTheme="majorHAnsi"/>
                <w:b/>
                <w:sz w:val="18"/>
                <w:szCs w:val="18"/>
              </w:rPr>
              <w:t xml:space="preserve">Communications Strategy Objective 2: </w:t>
            </w:r>
            <w:r w:rsidRPr="000D2499">
              <w:rPr>
                <w:rFonts w:asciiTheme="majorHAnsi" w:hAnsiTheme="majorHAnsi"/>
                <w:sz w:val="18"/>
                <w:szCs w:val="18"/>
              </w:rPr>
              <w:t>Knowledge Management Products arising from the project are shared, accessed, and used to improve practices by partners, the public, and international partners.</w:t>
            </w:r>
          </w:p>
        </w:tc>
        <w:tc>
          <w:tcPr>
            <w:tcW w:w="2337" w:type="dxa"/>
          </w:tcPr>
          <w:p w14:paraId="6A9DC721"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Directors and resource staff at Stakeholder Agencies and Organizations</w:t>
            </w:r>
          </w:p>
          <w:p w14:paraId="41ED31CD"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Youth/Students</w:t>
            </w:r>
          </w:p>
          <w:p w14:paraId="439C6621"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The Public/ Practioners/ Resource owners and users</w:t>
            </w:r>
          </w:p>
          <w:p w14:paraId="6206E5F7"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International partners</w:t>
            </w:r>
          </w:p>
          <w:p w14:paraId="3DB116BD"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Researchers</w:t>
            </w:r>
          </w:p>
          <w:p w14:paraId="4DC21A9D" w14:textId="77777777" w:rsidR="00A22E4D" w:rsidRPr="000D2499" w:rsidRDefault="00A22E4D" w:rsidP="00DF29AB">
            <w:pPr>
              <w:pStyle w:val="Default"/>
              <w:ind w:left="213" w:hanging="213"/>
              <w:rPr>
                <w:rFonts w:asciiTheme="majorHAnsi" w:hAnsiTheme="majorHAnsi"/>
                <w:sz w:val="18"/>
                <w:szCs w:val="18"/>
              </w:rPr>
            </w:pPr>
          </w:p>
          <w:p w14:paraId="2A83DD97" w14:textId="77777777" w:rsidR="00A22E4D" w:rsidRPr="000D2499" w:rsidRDefault="00A22E4D" w:rsidP="00DF29AB">
            <w:pPr>
              <w:pStyle w:val="Default"/>
              <w:ind w:left="213" w:hanging="213"/>
              <w:rPr>
                <w:rFonts w:asciiTheme="majorHAnsi" w:hAnsiTheme="majorHAnsi"/>
                <w:sz w:val="18"/>
                <w:szCs w:val="18"/>
              </w:rPr>
            </w:pPr>
          </w:p>
          <w:p w14:paraId="1FD8BA8E" w14:textId="77777777" w:rsidR="00A22E4D" w:rsidRPr="000D2499" w:rsidRDefault="00A22E4D" w:rsidP="00DF29AB">
            <w:pPr>
              <w:pStyle w:val="Default"/>
              <w:ind w:left="213" w:hanging="213"/>
              <w:rPr>
                <w:rFonts w:asciiTheme="majorHAnsi" w:hAnsiTheme="majorHAnsi"/>
                <w:sz w:val="18"/>
                <w:szCs w:val="18"/>
              </w:rPr>
            </w:pPr>
          </w:p>
        </w:tc>
        <w:tc>
          <w:tcPr>
            <w:tcW w:w="2338" w:type="dxa"/>
          </w:tcPr>
          <w:p w14:paraId="5879A51D"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Minister of Education, PCS Education Supervisor, PICRC Education Supervisor, Palau Public Librarian, PCC Librarian, PCC Lecturers</w:t>
            </w:r>
          </w:p>
          <w:p w14:paraId="4DC026F8"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Landowners, Heads or Contacts for NGOs and CBOs</w:t>
            </w:r>
          </w:p>
          <w:p w14:paraId="5FA3E556"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 xml:space="preserve">Communications liaisons and/or Country/Regional </w:t>
            </w:r>
          </w:p>
          <w:p w14:paraId="2DA20E01"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Directors for UNDP, UNEP, SPREP, TNC, CI, BirdLife, Island Conservation, and other international organizations</w:t>
            </w:r>
          </w:p>
        </w:tc>
        <w:tc>
          <w:tcPr>
            <w:tcW w:w="2338" w:type="dxa"/>
          </w:tcPr>
          <w:p w14:paraId="3CFFF635"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Emails and Listserves</w:t>
            </w:r>
          </w:p>
          <w:p w14:paraId="429531C9"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Digital Newsletter</w:t>
            </w:r>
          </w:p>
          <w:p w14:paraId="70A3C063"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Website or Digital Sharing Platform for KM Products</w:t>
            </w:r>
          </w:p>
          <w:p w14:paraId="55188409"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Paper Copies of KM Products (if needed)</w:t>
            </w:r>
          </w:p>
          <w:p w14:paraId="288E20AB"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Social Media</w:t>
            </w:r>
          </w:p>
          <w:p w14:paraId="6F87F9F7"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Press Releases</w:t>
            </w:r>
          </w:p>
        </w:tc>
      </w:tr>
      <w:tr w:rsidR="00A22E4D" w:rsidRPr="000D2499" w14:paraId="5D3449AA" w14:textId="77777777" w:rsidTr="00DF29AB">
        <w:tc>
          <w:tcPr>
            <w:tcW w:w="2337" w:type="dxa"/>
          </w:tcPr>
          <w:p w14:paraId="1FF2EDC9" w14:textId="77777777" w:rsidR="00A22E4D" w:rsidRPr="000D2499" w:rsidRDefault="00A22E4D" w:rsidP="00DF29AB">
            <w:pPr>
              <w:rPr>
                <w:rFonts w:asciiTheme="majorHAnsi" w:hAnsiTheme="majorHAnsi"/>
                <w:sz w:val="18"/>
                <w:szCs w:val="18"/>
              </w:rPr>
            </w:pPr>
            <w:r w:rsidRPr="000D2499">
              <w:rPr>
                <w:rFonts w:asciiTheme="majorHAnsi" w:hAnsiTheme="majorHAnsi"/>
                <w:b/>
                <w:sz w:val="18"/>
                <w:szCs w:val="18"/>
              </w:rPr>
              <w:t xml:space="preserve">Communications Strategy Objective 3a: </w:t>
            </w:r>
            <w:r w:rsidRPr="000D2499">
              <w:rPr>
                <w:rFonts w:asciiTheme="majorHAnsi" w:hAnsiTheme="majorHAnsi"/>
                <w:sz w:val="18"/>
                <w:szCs w:val="18"/>
              </w:rPr>
              <w:t xml:space="preserve"> Key stakeholders from State, National, Private, and Nonprofit sectors have increased their understanding of Landscape/Seascape Planning and the importance of biodiversity mainstreaming through improved partnerships </w:t>
            </w:r>
          </w:p>
        </w:tc>
        <w:tc>
          <w:tcPr>
            <w:tcW w:w="2337" w:type="dxa"/>
          </w:tcPr>
          <w:p w14:paraId="459906B2"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Directors and resource staff at Stakeholder Agencies and Organizations</w:t>
            </w:r>
          </w:p>
          <w:p w14:paraId="1AA2A9DE"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State Planning Teams</w:t>
            </w:r>
          </w:p>
          <w:p w14:paraId="6D5B5CE6"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State Legislatures</w:t>
            </w:r>
          </w:p>
          <w:p w14:paraId="6507C6AF"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State Public Lands Authorities</w:t>
            </w:r>
          </w:p>
          <w:p w14:paraId="765E0D66"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Women’s Groups</w:t>
            </w:r>
          </w:p>
          <w:p w14:paraId="1134FC7E"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Men’s Groups</w:t>
            </w:r>
          </w:p>
          <w:p w14:paraId="38C719C2"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Youth Groups</w:t>
            </w:r>
          </w:p>
          <w:p w14:paraId="4933F2DB"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Private Businesses</w:t>
            </w:r>
          </w:p>
          <w:p w14:paraId="68F88B0E"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Developers / Influential Landowners</w:t>
            </w:r>
          </w:p>
          <w:p w14:paraId="21FB8D93"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Koror State Department of Conservation and Law Enforcement</w:t>
            </w:r>
          </w:p>
          <w:p w14:paraId="4A73130C"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Koror State Lawyer</w:t>
            </w:r>
          </w:p>
          <w:p w14:paraId="3BAE9A9C"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EQPB</w:t>
            </w:r>
          </w:p>
          <w:p w14:paraId="346E380D"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Koror State Planning Commission and Zoning Board</w:t>
            </w:r>
          </w:p>
          <w:p w14:paraId="03691B59"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Other Planning Teams (PAN Management)</w:t>
            </w:r>
          </w:p>
        </w:tc>
        <w:tc>
          <w:tcPr>
            <w:tcW w:w="2338" w:type="dxa"/>
          </w:tcPr>
          <w:p w14:paraId="724AE9E4"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Governors / Governor’s Association</w:t>
            </w:r>
          </w:p>
          <w:p w14:paraId="3EFBB163"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Speakers</w:t>
            </w:r>
          </w:p>
          <w:p w14:paraId="58D0E99F"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Ministers</w:t>
            </w:r>
          </w:p>
          <w:p w14:paraId="619F5D9D"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Chair of PLA</w:t>
            </w:r>
          </w:p>
          <w:p w14:paraId="39D73C9B"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Chiefs / Council of Chiefs</w:t>
            </w:r>
          </w:p>
          <w:p w14:paraId="113CE7B8"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BTA Executive Director</w:t>
            </w:r>
          </w:p>
          <w:p w14:paraId="6892366A"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Chamber of Commerce Executive Director</w:t>
            </w:r>
          </w:p>
          <w:p w14:paraId="4C3E5FAB"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Tri-Org Liaison</w:t>
            </w:r>
          </w:p>
          <w:p w14:paraId="0FE8F0D3"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Developers / Influential Landowners (identify by name)</w:t>
            </w:r>
          </w:p>
          <w:p w14:paraId="766B8FFD"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Members of Congress</w:t>
            </w:r>
          </w:p>
          <w:p w14:paraId="177FC5BD"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NDBP Director</w:t>
            </w:r>
          </w:p>
          <w:p w14:paraId="1BD19BA2"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Foreign Investment Board Chair</w:t>
            </w:r>
          </w:p>
          <w:p w14:paraId="534C63A0" w14:textId="77777777" w:rsidR="00A22E4D" w:rsidRPr="000D2499" w:rsidRDefault="00A22E4D" w:rsidP="00DF29AB">
            <w:pPr>
              <w:pStyle w:val="Default"/>
              <w:ind w:left="213" w:hanging="213"/>
              <w:rPr>
                <w:rFonts w:asciiTheme="majorHAnsi" w:hAnsiTheme="majorHAnsi"/>
                <w:sz w:val="18"/>
                <w:szCs w:val="18"/>
              </w:rPr>
            </w:pPr>
          </w:p>
          <w:p w14:paraId="3496DFCC" w14:textId="77777777" w:rsidR="00A22E4D" w:rsidRPr="000D2499" w:rsidRDefault="00A22E4D" w:rsidP="00DF29AB">
            <w:pPr>
              <w:pStyle w:val="Default"/>
              <w:ind w:left="213" w:hanging="213"/>
              <w:rPr>
                <w:rFonts w:asciiTheme="majorHAnsi" w:hAnsiTheme="majorHAnsi"/>
                <w:sz w:val="18"/>
                <w:szCs w:val="18"/>
              </w:rPr>
            </w:pPr>
          </w:p>
        </w:tc>
        <w:tc>
          <w:tcPr>
            <w:tcW w:w="2338" w:type="dxa"/>
          </w:tcPr>
          <w:p w14:paraId="1B145374" w14:textId="77777777" w:rsidR="00A22E4D" w:rsidRPr="000D2499" w:rsidRDefault="00A22E4D" w:rsidP="00EA4043">
            <w:pPr>
              <w:pStyle w:val="Default"/>
              <w:numPr>
                <w:ilvl w:val="0"/>
                <w:numId w:val="48"/>
              </w:numPr>
              <w:ind w:left="255" w:hanging="255"/>
              <w:rPr>
                <w:rFonts w:asciiTheme="majorHAnsi" w:hAnsiTheme="majorHAnsi"/>
                <w:b/>
                <w:sz w:val="18"/>
                <w:szCs w:val="18"/>
              </w:rPr>
            </w:pPr>
            <w:r w:rsidRPr="000D2499">
              <w:rPr>
                <w:rFonts w:asciiTheme="majorHAnsi" w:hAnsiTheme="majorHAnsi"/>
                <w:b/>
                <w:sz w:val="18"/>
                <w:szCs w:val="18"/>
              </w:rPr>
              <w:t>Presentations – specifically to State Leaders on Landscape/Seascape Planning and Master/Land Use Planning, by an “expert,” preferably foreign consultant</w:t>
            </w:r>
            <w:r w:rsidRPr="000D2499">
              <w:rPr>
                <w:rStyle w:val="FootnoteReference"/>
                <w:rFonts w:asciiTheme="majorHAnsi" w:hAnsiTheme="majorHAnsi"/>
                <w:szCs w:val="18"/>
              </w:rPr>
              <w:footnoteReference w:id="39"/>
            </w:r>
          </w:p>
          <w:p w14:paraId="75D24169" w14:textId="77777777" w:rsidR="00A22E4D" w:rsidRPr="000D2499" w:rsidRDefault="00A22E4D" w:rsidP="00DF29AB">
            <w:pPr>
              <w:pStyle w:val="Default"/>
              <w:ind w:left="213"/>
              <w:rPr>
                <w:rFonts w:asciiTheme="majorHAnsi" w:hAnsiTheme="majorHAnsi"/>
                <w:sz w:val="18"/>
                <w:szCs w:val="18"/>
              </w:rPr>
            </w:pPr>
          </w:p>
          <w:p w14:paraId="1E2442CC"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Social Media</w:t>
            </w:r>
          </w:p>
          <w:p w14:paraId="70234414"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Digital Newsletter</w:t>
            </w:r>
          </w:p>
          <w:p w14:paraId="13F7A768"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Emails</w:t>
            </w:r>
          </w:p>
          <w:p w14:paraId="1EDE093D"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Group Meetings</w:t>
            </w:r>
          </w:p>
          <w:p w14:paraId="47153570"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Individual Meetings</w:t>
            </w:r>
          </w:p>
          <w:p w14:paraId="13AFE015"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Cheat Sheets</w:t>
            </w:r>
          </w:p>
        </w:tc>
      </w:tr>
      <w:tr w:rsidR="00A22E4D" w:rsidRPr="000D2499" w14:paraId="5051B096" w14:textId="77777777" w:rsidTr="00DF29AB">
        <w:tc>
          <w:tcPr>
            <w:tcW w:w="2337" w:type="dxa"/>
          </w:tcPr>
          <w:p w14:paraId="39FAD5E6" w14:textId="77777777" w:rsidR="00A22E4D" w:rsidRPr="000D2499" w:rsidRDefault="00A22E4D" w:rsidP="00DF29AB">
            <w:pPr>
              <w:rPr>
                <w:rFonts w:asciiTheme="majorHAnsi" w:hAnsiTheme="majorHAnsi"/>
                <w:sz w:val="18"/>
                <w:szCs w:val="18"/>
              </w:rPr>
            </w:pPr>
            <w:r w:rsidRPr="000D2499">
              <w:rPr>
                <w:rFonts w:asciiTheme="majorHAnsi" w:hAnsiTheme="majorHAnsi"/>
                <w:b/>
                <w:sz w:val="18"/>
                <w:szCs w:val="18"/>
              </w:rPr>
              <w:t xml:space="preserve">Communications Strategy Objective 3b: </w:t>
            </w:r>
            <w:r w:rsidRPr="000D2499">
              <w:rPr>
                <w:rFonts w:asciiTheme="majorHAnsi" w:hAnsiTheme="majorHAnsi"/>
                <w:sz w:val="18"/>
                <w:szCs w:val="18"/>
              </w:rPr>
              <w:t>Key stakeholders, including landowners and direct resource managers, have increased their understanding of Best Practices</w:t>
            </w:r>
          </w:p>
        </w:tc>
        <w:tc>
          <w:tcPr>
            <w:tcW w:w="2337" w:type="dxa"/>
          </w:tcPr>
          <w:p w14:paraId="66ECBBE8"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Farmers, including foreign farmers</w:t>
            </w:r>
          </w:p>
          <w:p w14:paraId="22F1ADF1"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Fishers</w:t>
            </w:r>
          </w:p>
          <w:p w14:paraId="2CAAB74A"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Private Businesses (tourism and other)</w:t>
            </w:r>
          </w:p>
          <w:p w14:paraId="2C466953"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Tour Guides</w:t>
            </w:r>
          </w:p>
          <w:p w14:paraId="24436E05"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Community Groups</w:t>
            </w:r>
          </w:p>
          <w:p w14:paraId="49E079A0"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Aquaculturists</w:t>
            </w:r>
          </w:p>
          <w:p w14:paraId="43A6D7BA" w14:textId="77777777" w:rsidR="00A22E4D" w:rsidRPr="000D2499" w:rsidRDefault="00A22E4D" w:rsidP="00DF29AB">
            <w:pPr>
              <w:pStyle w:val="Default"/>
              <w:ind w:left="213" w:hanging="213"/>
              <w:rPr>
                <w:rFonts w:asciiTheme="majorHAnsi" w:hAnsiTheme="majorHAnsi"/>
                <w:sz w:val="18"/>
                <w:szCs w:val="18"/>
              </w:rPr>
            </w:pPr>
          </w:p>
        </w:tc>
        <w:tc>
          <w:tcPr>
            <w:tcW w:w="2338" w:type="dxa"/>
          </w:tcPr>
          <w:p w14:paraId="72AEC3EC"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Farm landowners</w:t>
            </w:r>
          </w:p>
          <w:p w14:paraId="359F2E45"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Church leaders (especially to access foreign farmers)</w:t>
            </w:r>
          </w:p>
          <w:p w14:paraId="36BED885"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Palau Organic Growers Organization, Palau Aquaculture Cooperative, Palau Taiwan Farmers Association</w:t>
            </w:r>
          </w:p>
          <w:p w14:paraId="52853CC8"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Fishing Cooperatives</w:t>
            </w:r>
          </w:p>
          <w:p w14:paraId="5C79B605"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Fish Markets</w:t>
            </w:r>
          </w:p>
          <w:p w14:paraId="4448D733"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Restaurant and Store owners</w:t>
            </w:r>
          </w:p>
          <w:p w14:paraId="3974A342"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BTA</w:t>
            </w:r>
          </w:p>
          <w:p w14:paraId="4AA7EBC0"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Chamber of Commerce</w:t>
            </w:r>
          </w:p>
          <w:p w14:paraId="270BF73F"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Business Owners/Managers</w:t>
            </w:r>
          </w:p>
          <w:p w14:paraId="11190534"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BMR</w:t>
            </w:r>
          </w:p>
        </w:tc>
        <w:tc>
          <w:tcPr>
            <w:tcW w:w="2338" w:type="dxa"/>
          </w:tcPr>
          <w:p w14:paraId="07E96327"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Digital copies and/or Printed Copies</w:t>
            </w:r>
          </w:p>
          <w:p w14:paraId="1F8D78AE"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Emails</w:t>
            </w:r>
          </w:p>
          <w:p w14:paraId="115B76D1"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Website</w:t>
            </w:r>
          </w:p>
          <w:p w14:paraId="7CE9EDF7"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Workshops</w:t>
            </w:r>
          </w:p>
          <w:p w14:paraId="355B05DB"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Peer Learning Exchanges</w:t>
            </w:r>
          </w:p>
          <w:p w14:paraId="7FFC7666"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Meetings</w:t>
            </w:r>
          </w:p>
          <w:p w14:paraId="13573113"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Photographs</w:t>
            </w:r>
          </w:p>
          <w:p w14:paraId="13026FDC"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Social Media</w:t>
            </w:r>
          </w:p>
          <w:p w14:paraId="5F8A091C"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Digital Newsletter</w:t>
            </w:r>
          </w:p>
          <w:p w14:paraId="4D8C6E3C"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Pop-up Hands-on Exhibits</w:t>
            </w:r>
          </w:p>
          <w:p w14:paraId="1F6DBF54"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Field Visits</w:t>
            </w:r>
          </w:p>
        </w:tc>
      </w:tr>
      <w:tr w:rsidR="00A22E4D" w:rsidRPr="000D2499" w14:paraId="366A5F60" w14:textId="77777777" w:rsidTr="00DF29AB">
        <w:tc>
          <w:tcPr>
            <w:tcW w:w="2337" w:type="dxa"/>
          </w:tcPr>
          <w:p w14:paraId="68F057BC" w14:textId="77777777" w:rsidR="00A22E4D" w:rsidRPr="000D2499" w:rsidRDefault="00A22E4D" w:rsidP="00DF29AB">
            <w:pPr>
              <w:rPr>
                <w:rFonts w:asciiTheme="majorHAnsi" w:hAnsiTheme="majorHAnsi"/>
                <w:sz w:val="18"/>
                <w:szCs w:val="18"/>
              </w:rPr>
            </w:pPr>
            <w:r w:rsidRPr="000D2499">
              <w:rPr>
                <w:rFonts w:asciiTheme="majorHAnsi" w:hAnsiTheme="majorHAnsi"/>
                <w:b/>
                <w:sz w:val="18"/>
                <w:szCs w:val="18"/>
              </w:rPr>
              <w:t xml:space="preserve">Communications Strategy Objective 3c: </w:t>
            </w:r>
            <w:r w:rsidRPr="000D2499">
              <w:rPr>
                <w:rFonts w:asciiTheme="majorHAnsi" w:hAnsiTheme="majorHAnsi"/>
                <w:sz w:val="18"/>
                <w:szCs w:val="18"/>
              </w:rPr>
              <w:t xml:space="preserve">The public has increased its understanding of Biosecurity/IAS </w:t>
            </w:r>
          </w:p>
        </w:tc>
        <w:tc>
          <w:tcPr>
            <w:tcW w:w="2337" w:type="dxa"/>
          </w:tcPr>
          <w:p w14:paraId="6762C10E"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The Public</w:t>
            </w:r>
          </w:p>
          <w:p w14:paraId="5295164B"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Farmers</w:t>
            </w:r>
          </w:p>
          <w:p w14:paraId="3C851DC7"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 xml:space="preserve">Landscapers/ Gardeners </w:t>
            </w:r>
          </w:p>
          <w:p w14:paraId="59D42FA9"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Aquaculturists</w:t>
            </w:r>
          </w:p>
          <w:p w14:paraId="3C355477"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Nurseries (National and private)</w:t>
            </w:r>
          </w:p>
          <w:p w14:paraId="64F62C8C"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Hotel owners and workers</w:t>
            </w:r>
          </w:p>
          <w:p w14:paraId="5317F676"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Importers</w:t>
            </w:r>
          </w:p>
          <w:p w14:paraId="5956F385"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Palauans and wealthy individuals traveling abroad</w:t>
            </w:r>
          </w:p>
          <w:p w14:paraId="77C9094F"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Tourists</w:t>
            </w:r>
          </w:p>
          <w:p w14:paraId="76770D4A"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Border Protection</w:t>
            </w:r>
          </w:p>
          <w:p w14:paraId="5045B7CF"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Customs, Quarantine, Biosecurity</w:t>
            </w:r>
          </w:p>
          <w:p w14:paraId="1DA957A5"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Store staff</w:t>
            </w:r>
          </w:p>
        </w:tc>
        <w:tc>
          <w:tcPr>
            <w:tcW w:w="2338" w:type="dxa"/>
          </w:tcPr>
          <w:p w14:paraId="04940772"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All above (3b)</w:t>
            </w:r>
          </w:p>
          <w:p w14:paraId="3DEE643A"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Radio personalities</w:t>
            </w:r>
          </w:p>
          <w:p w14:paraId="7D87C74E"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TV personalities and organizations able to access TV</w:t>
            </w:r>
          </w:p>
          <w:p w14:paraId="5CF5EB0D"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Ministers (for Biosecurity)</w:t>
            </w:r>
          </w:p>
          <w:p w14:paraId="61474B54"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Store, restaurant, hotel owners and managers</w:t>
            </w:r>
          </w:p>
        </w:tc>
        <w:tc>
          <w:tcPr>
            <w:tcW w:w="2338" w:type="dxa"/>
          </w:tcPr>
          <w:p w14:paraId="0721CE27"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Social Media</w:t>
            </w:r>
          </w:p>
          <w:p w14:paraId="36EE7294"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Digital Newsletter (either part of GEF6 or an additional one)</w:t>
            </w:r>
          </w:p>
          <w:p w14:paraId="74AE6B62"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Website (Project plus NISC)</w:t>
            </w:r>
          </w:p>
          <w:p w14:paraId="625A83B6"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Emails</w:t>
            </w:r>
          </w:p>
          <w:p w14:paraId="457BD9B9"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Group meetings</w:t>
            </w:r>
          </w:p>
          <w:p w14:paraId="3B5C6AAB"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Individual Meetings</w:t>
            </w:r>
          </w:p>
          <w:p w14:paraId="63750181"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Pop-Up Events</w:t>
            </w:r>
          </w:p>
          <w:p w14:paraId="1AC79479"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Exhibits at Fairs</w:t>
            </w:r>
          </w:p>
          <w:p w14:paraId="75979AEE"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Press Releases</w:t>
            </w:r>
          </w:p>
          <w:p w14:paraId="541F8669"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Printed Materials</w:t>
            </w:r>
          </w:p>
          <w:p w14:paraId="58743DFD"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Signs and banners</w:t>
            </w:r>
          </w:p>
          <w:p w14:paraId="7E7AF690"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School Visits</w:t>
            </w:r>
          </w:p>
          <w:p w14:paraId="4E51E27B" w14:textId="77777777" w:rsidR="00A22E4D" w:rsidRPr="000D2499" w:rsidRDefault="00A22E4D" w:rsidP="00EA4043">
            <w:pPr>
              <w:pStyle w:val="Default"/>
              <w:numPr>
                <w:ilvl w:val="0"/>
                <w:numId w:val="48"/>
              </w:numPr>
              <w:ind w:left="213" w:hanging="213"/>
              <w:rPr>
                <w:rFonts w:asciiTheme="majorHAnsi" w:hAnsiTheme="majorHAnsi"/>
                <w:sz w:val="18"/>
                <w:szCs w:val="18"/>
              </w:rPr>
            </w:pPr>
            <w:r w:rsidRPr="000D2499">
              <w:rPr>
                <w:rFonts w:asciiTheme="majorHAnsi" w:hAnsiTheme="majorHAnsi"/>
                <w:sz w:val="18"/>
                <w:szCs w:val="18"/>
              </w:rPr>
              <w:t>Promotional Items</w:t>
            </w:r>
          </w:p>
        </w:tc>
      </w:tr>
    </w:tbl>
    <w:p w14:paraId="29D9C5C9" w14:textId="77777777" w:rsidR="00A22E4D" w:rsidRPr="000D2499" w:rsidRDefault="00A22E4D" w:rsidP="00A22E4D">
      <w:pPr>
        <w:pStyle w:val="Default"/>
        <w:rPr>
          <w:rFonts w:asciiTheme="majorHAnsi" w:hAnsiTheme="majorHAnsi"/>
          <w:sz w:val="18"/>
          <w:szCs w:val="18"/>
        </w:rPr>
      </w:pPr>
    </w:p>
    <w:p w14:paraId="228576AE" w14:textId="77777777" w:rsidR="00A22E4D" w:rsidRPr="000D2499" w:rsidRDefault="00A22E4D" w:rsidP="00A22E4D">
      <w:pPr>
        <w:pStyle w:val="Default"/>
        <w:rPr>
          <w:rFonts w:asciiTheme="majorHAnsi" w:hAnsiTheme="majorHAnsi"/>
          <w:b/>
          <w:sz w:val="20"/>
          <w:szCs w:val="20"/>
        </w:rPr>
      </w:pPr>
      <w:r w:rsidRPr="000D2499">
        <w:rPr>
          <w:rFonts w:asciiTheme="majorHAnsi" w:hAnsiTheme="majorHAnsi"/>
          <w:b/>
          <w:sz w:val="20"/>
          <w:szCs w:val="20"/>
        </w:rPr>
        <w:t>Gender Mainstreaming and Inclusivity</w:t>
      </w:r>
    </w:p>
    <w:p w14:paraId="7526AFB3" w14:textId="77777777" w:rsidR="00A22E4D" w:rsidRPr="006D63E5" w:rsidRDefault="00A22E4D" w:rsidP="00A22E4D">
      <w:pPr>
        <w:pStyle w:val="Default"/>
        <w:rPr>
          <w:rFonts w:asciiTheme="majorHAnsi" w:hAnsiTheme="majorHAnsi"/>
          <w:sz w:val="20"/>
          <w:szCs w:val="20"/>
        </w:rPr>
      </w:pPr>
      <w:r w:rsidRPr="00DB6EB8">
        <w:rPr>
          <w:rFonts w:asciiTheme="majorHAnsi" w:hAnsiTheme="majorHAnsi"/>
          <w:sz w:val="20"/>
          <w:szCs w:val="20"/>
        </w:rPr>
        <w:t>General Community Meetings should not be the only community meeting employed. In fact, this project should not invest in “general” community meetings, but instead should invest in targeted meetings with individual groups such as Legislatures, Men’s Groups, Women’s Groups, and Youth Groups. Care should be taken to ensure that the per</w:t>
      </w:r>
      <w:r w:rsidRPr="006D63E5">
        <w:rPr>
          <w:rFonts w:asciiTheme="majorHAnsi" w:hAnsiTheme="majorHAnsi"/>
          <w:sz w:val="20"/>
          <w:szCs w:val="20"/>
        </w:rPr>
        <w:t>son conducting meetings is the culturally appropriate person to do so.</w:t>
      </w:r>
    </w:p>
    <w:p w14:paraId="682F5299" w14:textId="77777777" w:rsidR="00A22E4D" w:rsidRPr="006D63E5" w:rsidRDefault="00A22E4D" w:rsidP="00A22E4D">
      <w:pPr>
        <w:pStyle w:val="Default"/>
        <w:rPr>
          <w:rFonts w:asciiTheme="majorHAnsi" w:hAnsiTheme="majorHAnsi"/>
          <w:sz w:val="20"/>
          <w:szCs w:val="20"/>
        </w:rPr>
      </w:pPr>
    </w:p>
    <w:p w14:paraId="7A80990F" w14:textId="77777777" w:rsidR="00A22E4D" w:rsidRPr="006D63E5" w:rsidRDefault="00A22E4D" w:rsidP="00A22E4D">
      <w:pPr>
        <w:spacing w:after="0"/>
        <w:rPr>
          <w:rFonts w:asciiTheme="majorHAnsi" w:hAnsiTheme="majorHAnsi"/>
          <w:b/>
          <w:sz w:val="20"/>
          <w:szCs w:val="20"/>
        </w:rPr>
      </w:pPr>
      <w:r w:rsidRPr="006D63E5">
        <w:rPr>
          <w:rFonts w:asciiTheme="majorHAnsi" w:hAnsiTheme="majorHAnsi"/>
          <w:b/>
          <w:sz w:val="20"/>
          <w:szCs w:val="20"/>
        </w:rPr>
        <w:t>General Characteristics of the Target Audiences</w:t>
      </w:r>
    </w:p>
    <w:p w14:paraId="327CE0B7" w14:textId="77777777" w:rsidR="00A22E4D" w:rsidRPr="006D63E5" w:rsidRDefault="00A22E4D" w:rsidP="00EA4043">
      <w:pPr>
        <w:pStyle w:val="ListParagraph"/>
        <w:numPr>
          <w:ilvl w:val="0"/>
          <w:numId w:val="39"/>
        </w:numPr>
        <w:spacing w:line="276" w:lineRule="auto"/>
        <w:contextualSpacing/>
        <w:rPr>
          <w:rFonts w:asciiTheme="majorHAnsi" w:hAnsiTheme="majorHAnsi"/>
          <w:sz w:val="20"/>
          <w:szCs w:val="20"/>
        </w:rPr>
      </w:pPr>
      <w:r w:rsidRPr="00DB6EB8">
        <w:rPr>
          <w:rFonts w:asciiTheme="majorHAnsi" w:hAnsiTheme="majorHAnsi"/>
          <w:sz w:val="20"/>
          <w:szCs w:val="20"/>
        </w:rPr>
        <w:t xml:space="preserve">The majority of </w:t>
      </w:r>
      <w:r w:rsidRPr="00DB6EB8">
        <w:rPr>
          <w:rFonts w:asciiTheme="majorHAnsi" w:hAnsiTheme="majorHAnsi"/>
          <w:b/>
          <w:sz w:val="20"/>
          <w:szCs w:val="20"/>
        </w:rPr>
        <w:t>MALE POLICYMAKERS</w:t>
      </w:r>
      <w:r w:rsidRPr="00DB6EB8">
        <w:rPr>
          <w:rFonts w:asciiTheme="majorHAnsi" w:hAnsiTheme="majorHAnsi"/>
          <w:sz w:val="20"/>
          <w:szCs w:val="20"/>
        </w:rPr>
        <w:t xml:space="preserve"> are in the 45+ age category.</w:t>
      </w:r>
      <w:r w:rsidRPr="006D63E5">
        <w:rPr>
          <w:rStyle w:val="FootnoteReference"/>
          <w:rFonts w:asciiTheme="majorHAnsi" w:hAnsiTheme="majorHAnsi"/>
          <w:sz w:val="20"/>
          <w:szCs w:val="20"/>
        </w:rPr>
        <w:footnoteReference w:id="40"/>
      </w:r>
    </w:p>
    <w:p w14:paraId="7BC5A784" w14:textId="77777777" w:rsidR="00A22E4D" w:rsidRPr="006D63E5" w:rsidRDefault="00A22E4D" w:rsidP="00EA4043">
      <w:pPr>
        <w:pStyle w:val="ListParagraph"/>
        <w:numPr>
          <w:ilvl w:val="1"/>
          <w:numId w:val="39"/>
        </w:numPr>
        <w:spacing w:line="276" w:lineRule="auto"/>
        <w:contextualSpacing/>
        <w:rPr>
          <w:rFonts w:asciiTheme="majorHAnsi" w:hAnsiTheme="majorHAnsi"/>
          <w:sz w:val="20"/>
          <w:szCs w:val="20"/>
        </w:rPr>
      </w:pPr>
      <w:r w:rsidRPr="006D63E5">
        <w:rPr>
          <w:rFonts w:asciiTheme="majorHAnsi" w:hAnsiTheme="majorHAnsi"/>
          <w:sz w:val="20"/>
          <w:szCs w:val="20"/>
        </w:rPr>
        <w:t>Television is the preferred source of information. Viewership is highest during evening primetime hours (9 pm).</w:t>
      </w:r>
    </w:p>
    <w:p w14:paraId="68B86764" w14:textId="77777777" w:rsidR="00A22E4D" w:rsidRPr="006D63E5" w:rsidRDefault="00A22E4D" w:rsidP="00EA4043">
      <w:pPr>
        <w:pStyle w:val="ListParagraph"/>
        <w:numPr>
          <w:ilvl w:val="1"/>
          <w:numId w:val="39"/>
        </w:numPr>
        <w:spacing w:line="276" w:lineRule="auto"/>
        <w:contextualSpacing/>
        <w:rPr>
          <w:rFonts w:asciiTheme="majorHAnsi" w:hAnsiTheme="majorHAnsi"/>
          <w:sz w:val="20"/>
          <w:szCs w:val="20"/>
        </w:rPr>
      </w:pPr>
      <w:bookmarkStart w:id="21" w:name="OLE_LINK1"/>
      <w:bookmarkStart w:id="22" w:name="OLE_LINK2"/>
      <w:r w:rsidRPr="006D63E5">
        <w:rPr>
          <w:rFonts w:asciiTheme="majorHAnsi" w:hAnsiTheme="majorHAnsi"/>
          <w:sz w:val="20"/>
          <w:szCs w:val="20"/>
        </w:rPr>
        <w:t xml:space="preserve">89.5 WWFM (Diaz) </w:t>
      </w:r>
      <w:bookmarkEnd w:id="21"/>
      <w:bookmarkEnd w:id="22"/>
      <w:r w:rsidRPr="006D63E5">
        <w:rPr>
          <w:rFonts w:asciiTheme="majorHAnsi" w:hAnsiTheme="majorHAnsi"/>
          <w:sz w:val="20"/>
          <w:szCs w:val="20"/>
        </w:rPr>
        <w:t>is the preferred radio station. Listenership is highest during early morning hours</w:t>
      </w:r>
    </w:p>
    <w:p w14:paraId="05634BA9" w14:textId="77777777" w:rsidR="00A22E4D" w:rsidRPr="006D63E5" w:rsidRDefault="00A22E4D" w:rsidP="00EA4043">
      <w:pPr>
        <w:pStyle w:val="ListParagraph"/>
        <w:numPr>
          <w:ilvl w:val="1"/>
          <w:numId w:val="39"/>
        </w:numPr>
        <w:spacing w:line="276" w:lineRule="auto"/>
        <w:contextualSpacing/>
        <w:rPr>
          <w:rFonts w:asciiTheme="majorHAnsi" w:hAnsiTheme="majorHAnsi"/>
          <w:sz w:val="20"/>
          <w:szCs w:val="20"/>
        </w:rPr>
      </w:pPr>
      <w:r w:rsidRPr="006D63E5">
        <w:rPr>
          <w:rFonts w:asciiTheme="majorHAnsi" w:hAnsiTheme="majorHAnsi"/>
          <w:sz w:val="20"/>
          <w:szCs w:val="20"/>
        </w:rPr>
        <w:t>The Internet is not a preferred source of information. However, internet use is growing in this age group and is a common source of information for Palauans living overseas.</w:t>
      </w:r>
    </w:p>
    <w:p w14:paraId="4D5A4E30" w14:textId="77777777" w:rsidR="00A22E4D" w:rsidRPr="006D63E5" w:rsidRDefault="00A22E4D" w:rsidP="00EA4043">
      <w:pPr>
        <w:pStyle w:val="ListParagraph"/>
        <w:numPr>
          <w:ilvl w:val="1"/>
          <w:numId w:val="39"/>
        </w:numPr>
        <w:spacing w:line="276" w:lineRule="auto"/>
        <w:contextualSpacing/>
        <w:rPr>
          <w:rFonts w:asciiTheme="majorHAnsi" w:hAnsiTheme="majorHAnsi"/>
          <w:sz w:val="20"/>
          <w:szCs w:val="20"/>
        </w:rPr>
      </w:pPr>
      <w:r w:rsidRPr="006D63E5">
        <w:rPr>
          <w:rFonts w:asciiTheme="majorHAnsi" w:hAnsiTheme="majorHAnsi"/>
          <w:sz w:val="20"/>
          <w:szCs w:val="20"/>
        </w:rPr>
        <w:t>Print media is not a preferred source of information; however, of newspapers, Island Times is the most read paper in this age group.</w:t>
      </w:r>
    </w:p>
    <w:p w14:paraId="1C765F55" w14:textId="77777777" w:rsidR="00A22E4D" w:rsidRPr="006D63E5" w:rsidRDefault="00A22E4D" w:rsidP="00EA4043">
      <w:pPr>
        <w:pStyle w:val="ListParagraph"/>
        <w:numPr>
          <w:ilvl w:val="0"/>
          <w:numId w:val="39"/>
        </w:numPr>
        <w:spacing w:line="276" w:lineRule="auto"/>
        <w:contextualSpacing/>
        <w:rPr>
          <w:rFonts w:asciiTheme="majorHAnsi" w:hAnsiTheme="majorHAnsi"/>
          <w:sz w:val="20"/>
          <w:szCs w:val="20"/>
        </w:rPr>
      </w:pPr>
      <w:r w:rsidRPr="006D63E5">
        <w:rPr>
          <w:rFonts w:asciiTheme="majorHAnsi" w:hAnsiTheme="majorHAnsi"/>
          <w:sz w:val="20"/>
          <w:szCs w:val="20"/>
        </w:rPr>
        <w:t xml:space="preserve">According to surveys conducted as part of Gender Mainstreaming, </w:t>
      </w:r>
      <w:r w:rsidRPr="006D63E5">
        <w:rPr>
          <w:rFonts w:asciiTheme="majorHAnsi" w:hAnsiTheme="majorHAnsi"/>
          <w:b/>
          <w:sz w:val="20"/>
          <w:szCs w:val="20"/>
        </w:rPr>
        <w:t>FEMALE DECISION MAKERS</w:t>
      </w:r>
      <w:r w:rsidRPr="006D63E5">
        <w:rPr>
          <w:rFonts w:asciiTheme="majorHAnsi" w:hAnsiTheme="majorHAnsi"/>
          <w:sz w:val="20"/>
          <w:szCs w:val="20"/>
        </w:rPr>
        <w:t xml:space="preserve"> rely heavily on oral communications, including word-of-mouth and meetings.</w:t>
      </w:r>
    </w:p>
    <w:p w14:paraId="0433F5D5" w14:textId="77777777" w:rsidR="00A22E4D" w:rsidRPr="006D63E5" w:rsidRDefault="00A22E4D" w:rsidP="00EA4043">
      <w:pPr>
        <w:pStyle w:val="ListParagraph"/>
        <w:numPr>
          <w:ilvl w:val="0"/>
          <w:numId w:val="39"/>
        </w:numPr>
        <w:spacing w:line="276" w:lineRule="auto"/>
        <w:contextualSpacing/>
        <w:rPr>
          <w:rFonts w:asciiTheme="majorHAnsi" w:hAnsiTheme="majorHAnsi"/>
          <w:sz w:val="20"/>
          <w:szCs w:val="20"/>
        </w:rPr>
      </w:pPr>
      <w:r w:rsidRPr="006D63E5">
        <w:rPr>
          <w:rFonts w:asciiTheme="majorHAnsi" w:hAnsiTheme="majorHAnsi"/>
          <w:sz w:val="20"/>
          <w:szCs w:val="20"/>
        </w:rPr>
        <w:t>Written communications should be short. More effective means of communication include visual, audio, and video.</w:t>
      </w:r>
    </w:p>
    <w:p w14:paraId="586A9776" w14:textId="67FC703E" w:rsidR="00A22E4D" w:rsidRPr="006D63E5" w:rsidRDefault="00A22E4D" w:rsidP="00EA4043">
      <w:pPr>
        <w:pStyle w:val="ListParagraph"/>
        <w:numPr>
          <w:ilvl w:val="0"/>
          <w:numId w:val="39"/>
        </w:numPr>
        <w:spacing w:line="276" w:lineRule="auto"/>
        <w:contextualSpacing/>
        <w:rPr>
          <w:rFonts w:asciiTheme="majorHAnsi" w:hAnsiTheme="majorHAnsi"/>
          <w:sz w:val="20"/>
          <w:szCs w:val="20"/>
        </w:rPr>
      </w:pPr>
      <w:r w:rsidRPr="006D63E5">
        <w:rPr>
          <w:rFonts w:asciiTheme="majorHAnsi" w:hAnsiTheme="majorHAnsi"/>
          <w:sz w:val="20"/>
          <w:szCs w:val="20"/>
        </w:rPr>
        <w:t>There is a high level of confusion and distrust about environmental initiatives</w:t>
      </w:r>
      <w:r w:rsidR="00194AA1">
        <w:rPr>
          <w:rFonts w:asciiTheme="majorHAnsi" w:hAnsiTheme="majorHAnsi"/>
          <w:sz w:val="20"/>
          <w:szCs w:val="20"/>
        </w:rPr>
        <w:t xml:space="preserve">. </w:t>
      </w:r>
      <w:r w:rsidRPr="006D63E5">
        <w:rPr>
          <w:rFonts w:asciiTheme="majorHAnsi" w:hAnsiTheme="majorHAnsi"/>
          <w:sz w:val="20"/>
          <w:szCs w:val="20"/>
        </w:rPr>
        <w:t>Many target audiences are confused; however, they still communicate incorrect information to other audiences.</w:t>
      </w:r>
    </w:p>
    <w:p w14:paraId="0C4174B8" w14:textId="77777777" w:rsidR="00A22E4D" w:rsidRPr="006D63E5" w:rsidRDefault="00A22E4D" w:rsidP="00EA4043">
      <w:pPr>
        <w:pStyle w:val="ListParagraph"/>
        <w:numPr>
          <w:ilvl w:val="0"/>
          <w:numId w:val="39"/>
        </w:numPr>
        <w:spacing w:line="276" w:lineRule="auto"/>
        <w:contextualSpacing/>
        <w:rPr>
          <w:rFonts w:asciiTheme="majorHAnsi" w:hAnsiTheme="majorHAnsi"/>
          <w:sz w:val="20"/>
          <w:szCs w:val="20"/>
        </w:rPr>
      </w:pPr>
      <w:r w:rsidRPr="006D63E5">
        <w:rPr>
          <w:rFonts w:asciiTheme="majorHAnsi" w:hAnsiTheme="majorHAnsi"/>
          <w:sz w:val="20"/>
          <w:szCs w:val="20"/>
        </w:rPr>
        <w:t>Re-election is a priority for many of the target audience.</w:t>
      </w:r>
    </w:p>
    <w:p w14:paraId="46276B12" w14:textId="77777777" w:rsidR="00A22E4D" w:rsidRPr="006D63E5" w:rsidRDefault="00A22E4D" w:rsidP="00EA4043">
      <w:pPr>
        <w:pStyle w:val="ListParagraph"/>
        <w:numPr>
          <w:ilvl w:val="0"/>
          <w:numId w:val="39"/>
        </w:numPr>
        <w:spacing w:line="276" w:lineRule="auto"/>
        <w:contextualSpacing/>
        <w:rPr>
          <w:rFonts w:asciiTheme="majorHAnsi" w:hAnsiTheme="majorHAnsi"/>
          <w:sz w:val="20"/>
          <w:szCs w:val="20"/>
        </w:rPr>
      </w:pPr>
      <w:r w:rsidRPr="006D63E5">
        <w:rPr>
          <w:rFonts w:asciiTheme="majorHAnsi" w:hAnsiTheme="majorHAnsi"/>
          <w:sz w:val="20"/>
          <w:szCs w:val="20"/>
        </w:rPr>
        <w:t>Loss of control over land is a prevalent concern.</w:t>
      </w:r>
    </w:p>
    <w:p w14:paraId="71435C2A" w14:textId="77777777" w:rsidR="00A22E4D" w:rsidRPr="00150717" w:rsidRDefault="00A22E4D" w:rsidP="00A22E4D">
      <w:pPr>
        <w:pStyle w:val="Default"/>
        <w:rPr>
          <w:rFonts w:asciiTheme="majorHAnsi" w:hAnsiTheme="majorHAnsi"/>
          <w:sz w:val="20"/>
          <w:szCs w:val="20"/>
        </w:rPr>
      </w:pPr>
    </w:p>
    <w:p w14:paraId="4033B42A" w14:textId="77777777" w:rsidR="00A22E4D" w:rsidRPr="00150717" w:rsidRDefault="00A22E4D" w:rsidP="00A22E4D">
      <w:pPr>
        <w:pStyle w:val="Default"/>
        <w:rPr>
          <w:rFonts w:asciiTheme="majorHAnsi" w:hAnsiTheme="majorHAnsi"/>
          <w:sz w:val="20"/>
          <w:szCs w:val="20"/>
        </w:rPr>
      </w:pPr>
    </w:p>
    <w:tbl>
      <w:tblPr>
        <w:tblW w:w="10165" w:type="dxa"/>
        <w:tblLook w:val="04A0" w:firstRow="1" w:lastRow="0" w:firstColumn="1" w:lastColumn="0" w:noHBand="0" w:noVBand="1"/>
      </w:tblPr>
      <w:tblGrid>
        <w:gridCol w:w="2785"/>
        <w:gridCol w:w="7380"/>
      </w:tblGrid>
      <w:tr w:rsidR="00A22E4D" w:rsidRPr="00150717" w14:paraId="19EEA1E0" w14:textId="77777777" w:rsidTr="00DF29AB">
        <w:tc>
          <w:tcPr>
            <w:tcW w:w="2785" w:type="dxa"/>
          </w:tcPr>
          <w:p w14:paraId="1A93814F" w14:textId="77777777" w:rsidR="00A22E4D" w:rsidRPr="000D2499" w:rsidRDefault="00A22E4D" w:rsidP="00DF29AB">
            <w:pPr>
              <w:pStyle w:val="Default"/>
              <w:rPr>
                <w:rFonts w:asciiTheme="majorHAnsi" w:hAnsiTheme="majorHAnsi"/>
                <w:sz w:val="18"/>
                <w:szCs w:val="18"/>
              </w:rPr>
            </w:pPr>
          </w:p>
        </w:tc>
        <w:tc>
          <w:tcPr>
            <w:tcW w:w="7380" w:type="dxa"/>
          </w:tcPr>
          <w:p w14:paraId="27D46335" w14:textId="77777777" w:rsidR="00A22E4D" w:rsidRPr="000D2499" w:rsidRDefault="00A22E4D" w:rsidP="00DF29AB">
            <w:pPr>
              <w:pStyle w:val="Default"/>
              <w:ind w:left="-20"/>
              <w:rPr>
                <w:rFonts w:asciiTheme="majorHAnsi" w:hAnsiTheme="majorHAnsi"/>
                <w:sz w:val="18"/>
                <w:szCs w:val="18"/>
              </w:rPr>
            </w:pPr>
            <w:r w:rsidRPr="000D2499">
              <w:rPr>
                <w:rFonts w:asciiTheme="majorHAnsi" w:hAnsiTheme="majorHAnsi"/>
                <w:b/>
                <w:sz w:val="18"/>
                <w:szCs w:val="18"/>
              </w:rPr>
              <w:t>Suggested Key Messages</w:t>
            </w:r>
          </w:p>
        </w:tc>
      </w:tr>
      <w:tr w:rsidR="00A22E4D" w:rsidRPr="00150717" w14:paraId="0A75AA03" w14:textId="77777777" w:rsidTr="00DF29AB">
        <w:tc>
          <w:tcPr>
            <w:tcW w:w="2785" w:type="dxa"/>
          </w:tcPr>
          <w:p w14:paraId="72C4DBFF" w14:textId="77777777" w:rsidR="00A22E4D" w:rsidRPr="000D2499" w:rsidRDefault="00A22E4D" w:rsidP="00DF29AB">
            <w:pPr>
              <w:rPr>
                <w:rFonts w:asciiTheme="majorHAnsi" w:hAnsiTheme="majorHAnsi"/>
                <w:sz w:val="18"/>
                <w:szCs w:val="18"/>
              </w:rPr>
            </w:pPr>
            <w:r w:rsidRPr="000D2499">
              <w:rPr>
                <w:rFonts w:asciiTheme="majorHAnsi" w:hAnsiTheme="majorHAnsi"/>
                <w:b/>
                <w:sz w:val="18"/>
                <w:szCs w:val="18"/>
              </w:rPr>
              <w:t>Communications Strategy Objective 1:</w:t>
            </w:r>
            <w:r w:rsidRPr="000D2499">
              <w:rPr>
                <w:rFonts w:asciiTheme="majorHAnsi" w:hAnsiTheme="majorHAnsi"/>
                <w:sz w:val="18"/>
                <w:szCs w:val="18"/>
              </w:rPr>
              <w:t xml:space="preserve"> The Project itself is well understood and implemented effectively and efficiently by all involved partners, including the public.</w:t>
            </w:r>
          </w:p>
          <w:p w14:paraId="0538CCBD" w14:textId="77777777" w:rsidR="00A22E4D" w:rsidRPr="000D2499" w:rsidRDefault="00A22E4D" w:rsidP="00DF29AB">
            <w:pPr>
              <w:pStyle w:val="Default"/>
              <w:rPr>
                <w:rFonts w:asciiTheme="majorHAnsi" w:hAnsiTheme="majorHAnsi"/>
                <w:sz w:val="18"/>
                <w:szCs w:val="18"/>
              </w:rPr>
            </w:pPr>
          </w:p>
        </w:tc>
        <w:tc>
          <w:tcPr>
            <w:tcW w:w="7380" w:type="dxa"/>
          </w:tcPr>
          <w:p w14:paraId="6F130EF4" w14:textId="77777777" w:rsidR="00A22E4D" w:rsidRPr="000D2499" w:rsidRDefault="00A22E4D" w:rsidP="00DF29AB">
            <w:pPr>
              <w:pStyle w:val="Default"/>
              <w:ind w:left="-20"/>
              <w:rPr>
                <w:rFonts w:asciiTheme="majorHAnsi" w:hAnsiTheme="majorHAnsi"/>
                <w:sz w:val="18"/>
                <w:szCs w:val="18"/>
              </w:rPr>
            </w:pPr>
            <w:r w:rsidRPr="000D2499">
              <w:rPr>
                <w:rFonts w:asciiTheme="majorHAnsi" w:hAnsiTheme="majorHAnsi"/>
                <w:b/>
                <w:sz w:val="18"/>
                <w:szCs w:val="18"/>
              </w:rPr>
              <w:t>1-minute Elevator Pitch</w:t>
            </w:r>
            <w:r w:rsidRPr="000D2499">
              <w:rPr>
                <w:rFonts w:asciiTheme="majorHAnsi" w:hAnsiTheme="majorHAnsi"/>
                <w:sz w:val="18"/>
                <w:szCs w:val="18"/>
              </w:rPr>
              <w:t>: “The GEF6 Project is protecting biodiversity and natural resources by improving National-State communication and coordination and expanding partnerships between the National, State, Nonprofit, and Business sectors. Activities include 1) Landscape, Seascape, and Master Planning; 2) Biosecurity and management of Invasive Species; 3) Use of Best Practices in agriculture, aquaculture, fisheries, forestry, and sustainable tourism, 4) Improved surveillance and enforcement; and 5) Gender mainstreaming and inclusivity.</w:t>
            </w:r>
          </w:p>
          <w:p w14:paraId="49318B7E" w14:textId="77777777" w:rsidR="00A22E4D" w:rsidRPr="000D2499" w:rsidRDefault="00A22E4D" w:rsidP="00DF29AB">
            <w:pPr>
              <w:pStyle w:val="Default"/>
              <w:ind w:left="-20"/>
              <w:rPr>
                <w:rFonts w:asciiTheme="majorHAnsi" w:hAnsiTheme="majorHAnsi"/>
                <w:sz w:val="18"/>
                <w:szCs w:val="18"/>
              </w:rPr>
            </w:pPr>
          </w:p>
          <w:p w14:paraId="0CC14D7F" w14:textId="77777777" w:rsidR="00A22E4D" w:rsidRPr="000D2499" w:rsidRDefault="00A22E4D" w:rsidP="00DF29AB">
            <w:pPr>
              <w:pStyle w:val="Default"/>
              <w:ind w:left="-20"/>
              <w:rPr>
                <w:rFonts w:asciiTheme="majorHAnsi" w:hAnsiTheme="majorHAnsi"/>
                <w:sz w:val="18"/>
                <w:szCs w:val="18"/>
              </w:rPr>
            </w:pPr>
            <w:r w:rsidRPr="000D2499">
              <w:rPr>
                <w:rFonts w:asciiTheme="majorHAnsi" w:hAnsiTheme="majorHAnsi"/>
                <w:b/>
                <w:sz w:val="18"/>
                <w:szCs w:val="18"/>
              </w:rPr>
              <w:t>Tagline</w:t>
            </w:r>
            <w:r w:rsidRPr="000D2499">
              <w:rPr>
                <w:rFonts w:asciiTheme="majorHAnsi" w:hAnsiTheme="majorHAnsi"/>
                <w:sz w:val="18"/>
                <w:szCs w:val="18"/>
              </w:rPr>
              <w:t xml:space="preserve"> (used at the end of all communications): </w:t>
            </w:r>
            <w:r w:rsidRPr="000D2499">
              <w:rPr>
                <w:rFonts w:asciiTheme="majorHAnsi" w:hAnsiTheme="majorHAnsi"/>
                <w:i/>
                <w:sz w:val="18"/>
                <w:szCs w:val="18"/>
              </w:rPr>
              <w:t>Mainstreaming biodiversity conservation into land and seascape governance, planning, and management</w:t>
            </w:r>
          </w:p>
          <w:p w14:paraId="6EC6CA1D" w14:textId="77777777" w:rsidR="00A22E4D" w:rsidRPr="000D2499" w:rsidRDefault="00A22E4D" w:rsidP="00DF29AB">
            <w:pPr>
              <w:pStyle w:val="Default"/>
              <w:ind w:left="-20"/>
              <w:rPr>
                <w:rFonts w:asciiTheme="majorHAnsi" w:hAnsiTheme="majorHAnsi"/>
                <w:sz w:val="18"/>
                <w:szCs w:val="18"/>
              </w:rPr>
            </w:pPr>
          </w:p>
          <w:p w14:paraId="5B44B797" w14:textId="77777777" w:rsidR="00A22E4D" w:rsidRPr="000D2499" w:rsidRDefault="00A22E4D" w:rsidP="00DF29AB">
            <w:pPr>
              <w:pStyle w:val="Default"/>
              <w:ind w:left="-20"/>
              <w:rPr>
                <w:rFonts w:asciiTheme="majorHAnsi" w:hAnsiTheme="majorHAnsi"/>
                <w:sz w:val="18"/>
                <w:szCs w:val="18"/>
              </w:rPr>
            </w:pPr>
            <w:r w:rsidRPr="000D2499">
              <w:rPr>
                <w:rFonts w:asciiTheme="majorHAnsi" w:hAnsiTheme="majorHAnsi"/>
                <w:b/>
                <w:sz w:val="18"/>
                <w:szCs w:val="18"/>
              </w:rPr>
              <w:t>Slogans</w:t>
            </w:r>
            <w:r w:rsidRPr="000D2499">
              <w:rPr>
                <w:rFonts w:asciiTheme="majorHAnsi" w:hAnsiTheme="majorHAnsi"/>
                <w:sz w:val="18"/>
                <w:szCs w:val="18"/>
              </w:rPr>
              <w:t xml:space="preserve"> (used at the beginning of relevant communications): </w:t>
            </w:r>
          </w:p>
          <w:p w14:paraId="7643FBD6" w14:textId="77777777" w:rsidR="00A22E4D" w:rsidRPr="000D2499" w:rsidRDefault="00A22E4D" w:rsidP="00EA4043">
            <w:pPr>
              <w:pStyle w:val="Default"/>
              <w:numPr>
                <w:ilvl w:val="0"/>
                <w:numId w:val="49"/>
              </w:numPr>
              <w:rPr>
                <w:rFonts w:asciiTheme="majorHAnsi" w:hAnsiTheme="majorHAnsi"/>
                <w:sz w:val="18"/>
                <w:szCs w:val="18"/>
              </w:rPr>
            </w:pPr>
            <w:r w:rsidRPr="000D2499">
              <w:rPr>
                <w:rFonts w:asciiTheme="majorHAnsi" w:hAnsiTheme="majorHAnsi"/>
                <w:sz w:val="18"/>
                <w:szCs w:val="18"/>
              </w:rPr>
              <w:t>Biosecurity to protect our Biodiversity</w:t>
            </w:r>
          </w:p>
          <w:p w14:paraId="292134BC" w14:textId="77777777" w:rsidR="00A22E4D" w:rsidRPr="000D2499" w:rsidRDefault="00A22E4D" w:rsidP="00EA4043">
            <w:pPr>
              <w:pStyle w:val="Default"/>
              <w:numPr>
                <w:ilvl w:val="0"/>
                <w:numId w:val="49"/>
              </w:numPr>
              <w:rPr>
                <w:rFonts w:asciiTheme="majorHAnsi" w:hAnsiTheme="majorHAnsi"/>
                <w:sz w:val="18"/>
                <w:szCs w:val="18"/>
              </w:rPr>
            </w:pPr>
            <w:r w:rsidRPr="000D2499">
              <w:rPr>
                <w:rFonts w:asciiTheme="majorHAnsi" w:hAnsiTheme="majorHAnsi"/>
                <w:sz w:val="18"/>
                <w:szCs w:val="18"/>
              </w:rPr>
              <w:t>Landscape Planning: Preventing Pollution and Securing our Future</w:t>
            </w:r>
          </w:p>
          <w:p w14:paraId="79F0CAAA" w14:textId="77777777" w:rsidR="00A22E4D" w:rsidRPr="000D2499" w:rsidRDefault="00A22E4D" w:rsidP="00EA4043">
            <w:pPr>
              <w:pStyle w:val="Default"/>
              <w:numPr>
                <w:ilvl w:val="0"/>
                <w:numId w:val="49"/>
              </w:numPr>
              <w:rPr>
                <w:rFonts w:asciiTheme="majorHAnsi" w:hAnsiTheme="majorHAnsi"/>
                <w:sz w:val="18"/>
                <w:szCs w:val="18"/>
              </w:rPr>
            </w:pPr>
            <w:r w:rsidRPr="000D2499">
              <w:rPr>
                <w:rFonts w:asciiTheme="majorHAnsi" w:hAnsiTheme="majorHAnsi"/>
                <w:sz w:val="18"/>
                <w:szCs w:val="18"/>
              </w:rPr>
              <w:t>Seascape Planning: Rethinking the way marine resources are used</w:t>
            </w:r>
          </w:p>
          <w:p w14:paraId="259BC8B5" w14:textId="77777777" w:rsidR="00A22E4D" w:rsidRPr="000D2499" w:rsidRDefault="00A22E4D" w:rsidP="00EA4043">
            <w:pPr>
              <w:pStyle w:val="Default"/>
              <w:numPr>
                <w:ilvl w:val="0"/>
                <w:numId w:val="49"/>
              </w:numPr>
              <w:rPr>
                <w:rFonts w:asciiTheme="majorHAnsi" w:hAnsiTheme="majorHAnsi"/>
                <w:sz w:val="18"/>
                <w:szCs w:val="18"/>
              </w:rPr>
            </w:pPr>
            <w:r w:rsidRPr="000D2499">
              <w:rPr>
                <w:rFonts w:asciiTheme="majorHAnsi" w:hAnsiTheme="majorHAnsi"/>
                <w:sz w:val="18"/>
                <w:szCs w:val="18"/>
              </w:rPr>
              <w:t>Best Practices protect biodiversity and our lands and seas</w:t>
            </w:r>
          </w:p>
          <w:p w14:paraId="646F7F6C" w14:textId="77777777" w:rsidR="00A22E4D" w:rsidRPr="000D2499" w:rsidRDefault="00A22E4D" w:rsidP="00EA4043">
            <w:pPr>
              <w:pStyle w:val="Default"/>
              <w:numPr>
                <w:ilvl w:val="0"/>
                <w:numId w:val="49"/>
              </w:numPr>
              <w:rPr>
                <w:rFonts w:asciiTheme="majorHAnsi" w:hAnsiTheme="majorHAnsi"/>
                <w:sz w:val="18"/>
                <w:szCs w:val="18"/>
              </w:rPr>
            </w:pPr>
            <w:r w:rsidRPr="000D2499">
              <w:rPr>
                <w:rFonts w:asciiTheme="majorHAnsi" w:hAnsiTheme="majorHAnsi"/>
                <w:sz w:val="18"/>
                <w:szCs w:val="18"/>
              </w:rPr>
              <w:t>Best Practices protect biodiversity and our future</w:t>
            </w:r>
          </w:p>
          <w:p w14:paraId="247850DD" w14:textId="77777777" w:rsidR="00A22E4D" w:rsidRPr="000D2499" w:rsidRDefault="00A22E4D" w:rsidP="00EA4043">
            <w:pPr>
              <w:pStyle w:val="Default"/>
              <w:numPr>
                <w:ilvl w:val="0"/>
                <w:numId w:val="49"/>
              </w:numPr>
              <w:rPr>
                <w:rFonts w:asciiTheme="majorHAnsi" w:hAnsiTheme="majorHAnsi"/>
                <w:sz w:val="18"/>
                <w:szCs w:val="18"/>
              </w:rPr>
            </w:pPr>
            <w:r w:rsidRPr="000D2499">
              <w:rPr>
                <w:rFonts w:asciiTheme="majorHAnsi" w:hAnsiTheme="majorHAnsi"/>
                <w:sz w:val="18"/>
                <w:szCs w:val="18"/>
              </w:rPr>
              <w:t>I comply for me and mine</w:t>
            </w:r>
          </w:p>
          <w:p w14:paraId="36C30713" w14:textId="77777777" w:rsidR="00A22E4D" w:rsidRPr="000D2499" w:rsidRDefault="00A22E4D" w:rsidP="00DF29AB">
            <w:pPr>
              <w:pStyle w:val="Default"/>
              <w:ind w:left="-20"/>
              <w:rPr>
                <w:rFonts w:asciiTheme="majorHAnsi" w:hAnsiTheme="majorHAnsi"/>
                <w:sz w:val="18"/>
                <w:szCs w:val="18"/>
              </w:rPr>
            </w:pPr>
          </w:p>
          <w:p w14:paraId="72F3471B" w14:textId="77777777" w:rsidR="00A22E4D" w:rsidRPr="000D2499" w:rsidRDefault="00A22E4D" w:rsidP="00DF29AB">
            <w:pPr>
              <w:pStyle w:val="Default"/>
              <w:ind w:left="-20"/>
              <w:rPr>
                <w:rFonts w:asciiTheme="majorHAnsi" w:hAnsiTheme="majorHAnsi"/>
                <w:sz w:val="18"/>
                <w:szCs w:val="18"/>
              </w:rPr>
            </w:pPr>
            <w:r w:rsidRPr="000D2499">
              <w:rPr>
                <w:rFonts w:asciiTheme="majorHAnsi" w:hAnsiTheme="majorHAnsi"/>
                <w:b/>
                <w:sz w:val="18"/>
                <w:szCs w:val="18"/>
              </w:rPr>
              <w:t>Logos</w:t>
            </w:r>
            <w:r w:rsidRPr="000D2499">
              <w:rPr>
                <w:rFonts w:asciiTheme="majorHAnsi" w:hAnsiTheme="majorHAnsi"/>
                <w:sz w:val="18"/>
                <w:szCs w:val="18"/>
              </w:rPr>
              <w:t>: Develop a project logo; adapt the NISC logo for biosecurity communications; and consider drawing other logos for the other parts of the project.</w:t>
            </w:r>
          </w:p>
          <w:p w14:paraId="79FBC387" w14:textId="77777777" w:rsidR="00A22E4D" w:rsidRPr="000D2499" w:rsidRDefault="00A22E4D" w:rsidP="00DF29AB">
            <w:pPr>
              <w:pStyle w:val="Default"/>
              <w:ind w:left="-20"/>
              <w:rPr>
                <w:rFonts w:asciiTheme="majorHAnsi" w:hAnsiTheme="majorHAnsi"/>
                <w:sz w:val="18"/>
                <w:szCs w:val="18"/>
              </w:rPr>
            </w:pPr>
          </w:p>
          <w:p w14:paraId="4A890176" w14:textId="77777777" w:rsidR="00A22E4D" w:rsidRPr="000D2499" w:rsidRDefault="00A22E4D" w:rsidP="00DF29AB">
            <w:pPr>
              <w:pStyle w:val="Default"/>
              <w:ind w:left="-20"/>
              <w:rPr>
                <w:rFonts w:asciiTheme="majorHAnsi" w:hAnsiTheme="majorHAnsi"/>
                <w:b/>
                <w:sz w:val="18"/>
                <w:szCs w:val="18"/>
              </w:rPr>
            </w:pPr>
            <w:r w:rsidRPr="000D2499">
              <w:rPr>
                <w:rFonts w:asciiTheme="majorHAnsi" w:hAnsiTheme="majorHAnsi"/>
                <w:b/>
                <w:sz w:val="18"/>
                <w:szCs w:val="18"/>
              </w:rPr>
              <w:t>Additional key messages should cover:</w:t>
            </w:r>
          </w:p>
          <w:p w14:paraId="0509E99B" w14:textId="77777777" w:rsidR="00A22E4D" w:rsidRPr="000D2499" w:rsidRDefault="00A22E4D" w:rsidP="00EA4043">
            <w:pPr>
              <w:pStyle w:val="Default"/>
              <w:numPr>
                <w:ilvl w:val="0"/>
                <w:numId w:val="50"/>
              </w:numPr>
              <w:rPr>
                <w:rFonts w:asciiTheme="majorHAnsi" w:hAnsiTheme="majorHAnsi"/>
                <w:sz w:val="18"/>
                <w:szCs w:val="18"/>
              </w:rPr>
            </w:pPr>
            <w:r w:rsidRPr="000D2499">
              <w:rPr>
                <w:rFonts w:asciiTheme="majorHAnsi" w:hAnsiTheme="majorHAnsi"/>
                <w:sz w:val="18"/>
                <w:szCs w:val="18"/>
              </w:rPr>
              <w:t>The impact of the project on you and your family</w:t>
            </w:r>
          </w:p>
          <w:p w14:paraId="68539BB3" w14:textId="77777777" w:rsidR="00A22E4D" w:rsidRPr="000D2499" w:rsidRDefault="00A22E4D" w:rsidP="00EA4043">
            <w:pPr>
              <w:pStyle w:val="Default"/>
              <w:numPr>
                <w:ilvl w:val="0"/>
                <w:numId w:val="50"/>
              </w:numPr>
              <w:rPr>
                <w:rFonts w:asciiTheme="majorHAnsi" w:hAnsiTheme="majorHAnsi"/>
                <w:sz w:val="18"/>
                <w:szCs w:val="18"/>
              </w:rPr>
            </w:pPr>
            <w:r w:rsidRPr="000D2499">
              <w:rPr>
                <w:rFonts w:asciiTheme="majorHAnsi" w:hAnsiTheme="majorHAnsi"/>
                <w:sz w:val="18"/>
                <w:szCs w:val="18"/>
              </w:rPr>
              <w:t>Project objectives and its four outputs</w:t>
            </w:r>
          </w:p>
          <w:p w14:paraId="6A890B4D" w14:textId="77777777" w:rsidR="00A22E4D" w:rsidRPr="000D2499" w:rsidRDefault="00A22E4D" w:rsidP="00EA4043">
            <w:pPr>
              <w:pStyle w:val="Default"/>
              <w:numPr>
                <w:ilvl w:val="0"/>
                <w:numId w:val="50"/>
              </w:numPr>
              <w:rPr>
                <w:rFonts w:asciiTheme="majorHAnsi" w:hAnsiTheme="majorHAnsi"/>
                <w:sz w:val="18"/>
                <w:szCs w:val="18"/>
              </w:rPr>
            </w:pPr>
            <w:r w:rsidRPr="000D2499">
              <w:rPr>
                <w:rFonts w:asciiTheme="majorHAnsi" w:hAnsiTheme="majorHAnsi"/>
                <w:sz w:val="18"/>
                <w:szCs w:val="18"/>
              </w:rPr>
              <w:t>Stakeholders and project partners and their roles and responsibilities</w:t>
            </w:r>
          </w:p>
          <w:p w14:paraId="26836AAE" w14:textId="77777777" w:rsidR="00A22E4D" w:rsidRPr="000D2499" w:rsidRDefault="00A22E4D" w:rsidP="00EA4043">
            <w:pPr>
              <w:pStyle w:val="Default"/>
              <w:numPr>
                <w:ilvl w:val="0"/>
                <w:numId w:val="50"/>
              </w:numPr>
              <w:rPr>
                <w:rFonts w:asciiTheme="majorHAnsi" w:hAnsiTheme="majorHAnsi"/>
                <w:sz w:val="18"/>
                <w:szCs w:val="18"/>
              </w:rPr>
            </w:pPr>
            <w:r w:rsidRPr="000D2499">
              <w:rPr>
                <w:rFonts w:asciiTheme="majorHAnsi" w:hAnsiTheme="majorHAnsi"/>
                <w:sz w:val="18"/>
                <w:szCs w:val="18"/>
              </w:rPr>
              <w:t>Responsibilities of stakeholders and project implementaters</w:t>
            </w:r>
          </w:p>
          <w:p w14:paraId="1AA069A8" w14:textId="77777777" w:rsidR="00A22E4D" w:rsidRPr="000D2499" w:rsidRDefault="00A22E4D" w:rsidP="00EA4043">
            <w:pPr>
              <w:pStyle w:val="Default"/>
              <w:numPr>
                <w:ilvl w:val="0"/>
                <w:numId w:val="50"/>
              </w:numPr>
              <w:rPr>
                <w:rFonts w:asciiTheme="majorHAnsi" w:hAnsiTheme="majorHAnsi"/>
                <w:sz w:val="18"/>
                <w:szCs w:val="18"/>
              </w:rPr>
            </w:pPr>
            <w:r w:rsidRPr="000D2499">
              <w:rPr>
                <w:rFonts w:asciiTheme="majorHAnsi" w:hAnsiTheme="majorHAnsi"/>
                <w:sz w:val="18"/>
                <w:szCs w:val="18"/>
              </w:rPr>
              <w:t>Ongoing and upcoming activities</w:t>
            </w:r>
          </w:p>
          <w:p w14:paraId="170220B5" w14:textId="77777777" w:rsidR="00A22E4D" w:rsidRPr="000D2499" w:rsidRDefault="00A22E4D" w:rsidP="00EA4043">
            <w:pPr>
              <w:pStyle w:val="Default"/>
              <w:numPr>
                <w:ilvl w:val="0"/>
                <w:numId w:val="50"/>
              </w:numPr>
              <w:rPr>
                <w:rFonts w:asciiTheme="majorHAnsi" w:hAnsiTheme="majorHAnsi"/>
                <w:sz w:val="18"/>
                <w:szCs w:val="18"/>
              </w:rPr>
            </w:pPr>
            <w:r w:rsidRPr="000D2499">
              <w:rPr>
                <w:rFonts w:asciiTheme="majorHAnsi" w:hAnsiTheme="majorHAnsi"/>
                <w:sz w:val="18"/>
                <w:szCs w:val="18"/>
              </w:rPr>
              <w:t>Project schedule</w:t>
            </w:r>
          </w:p>
          <w:p w14:paraId="47AD8EF4" w14:textId="77777777" w:rsidR="00A22E4D" w:rsidRPr="000D2499" w:rsidRDefault="00A22E4D" w:rsidP="00EA4043">
            <w:pPr>
              <w:pStyle w:val="Default"/>
              <w:numPr>
                <w:ilvl w:val="0"/>
                <w:numId w:val="50"/>
              </w:numPr>
              <w:rPr>
                <w:rFonts w:asciiTheme="majorHAnsi" w:hAnsiTheme="majorHAnsi"/>
                <w:sz w:val="18"/>
                <w:szCs w:val="18"/>
              </w:rPr>
            </w:pPr>
            <w:r w:rsidRPr="000D2499">
              <w:rPr>
                <w:rFonts w:asciiTheme="majorHAnsi" w:hAnsiTheme="majorHAnsi"/>
                <w:sz w:val="18"/>
                <w:szCs w:val="18"/>
              </w:rPr>
              <w:t>When and where project planning occurs, and how to participate</w:t>
            </w:r>
          </w:p>
          <w:p w14:paraId="68520041" w14:textId="77777777" w:rsidR="00A22E4D" w:rsidRPr="000D2499" w:rsidRDefault="00A22E4D" w:rsidP="00EA4043">
            <w:pPr>
              <w:pStyle w:val="Default"/>
              <w:numPr>
                <w:ilvl w:val="0"/>
                <w:numId w:val="50"/>
              </w:numPr>
              <w:rPr>
                <w:rFonts w:asciiTheme="majorHAnsi" w:hAnsiTheme="majorHAnsi"/>
                <w:sz w:val="18"/>
                <w:szCs w:val="18"/>
              </w:rPr>
            </w:pPr>
            <w:r w:rsidRPr="000D2499">
              <w:rPr>
                <w:rFonts w:asciiTheme="majorHAnsi" w:hAnsiTheme="majorHAnsi"/>
                <w:sz w:val="18"/>
                <w:szCs w:val="18"/>
              </w:rPr>
              <w:t>Project accomplishments and benefits</w:t>
            </w:r>
          </w:p>
          <w:p w14:paraId="2CE0A0BF" w14:textId="77777777" w:rsidR="00A22E4D" w:rsidRPr="000D2499" w:rsidRDefault="00A22E4D" w:rsidP="00DF29AB">
            <w:pPr>
              <w:pStyle w:val="Default"/>
              <w:rPr>
                <w:rFonts w:asciiTheme="majorHAnsi" w:hAnsiTheme="majorHAnsi"/>
                <w:sz w:val="18"/>
                <w:szCs w:val="18"/>
              </w:rPr>
            </w:pPr>
          </w:p>
          <w:p w14:paraId="40837EC7" w14:textId="77777777" w:rsidR="00A22E4D" w:rsidRPr="000D2499" w:rsidRDefault="00A22E4D" w:rsidP="00DF29AB">
            <w:pPr>
              <w:pStyle w:val="Default"/>
              <w:rPr>
                <w:rFonts w:asciiTheme="majorHAnsi" w:hAnsiTheme="majorHAnsi"/>
                <w:sz w:val="18"/>
                <w:szCs w:val="18"/>
              </w:rPr>
            </w:pPr>
            <w:r w:rsidRPr="000D2499">
              <w:rPr>
                <w:rFonts w:asciiTheme="majorHAnsi" w:hAnsiTheme="majorHAnsi"/>
                <w:sz w:val="18"/>
                <w:szCs w:val="18"/>
              </w:rPr>
              <w:t>As time goes by, the Elevator speech and/or Tagline can be updated to include the States that are partnering.</w:t>
            </w:r>
          </w:p>
          <w:p w14:paraId="0FA36566" w14:textId="77777777" w:rsidR="00A22E4D" w:rsidRPr="000D2499" w:rsidRDefault="00A22E4D" w:rsidP="00DF29AB">
            <w:pPr>
              <w:pStyle w:val="Default"/>
              <w:ind w:left="-20"/>
              <w:rPr>
                <w:rFonts w:asciiTheme="majorHAnsi" w:hAnsiTheme="majorHAnsi"/>
                <w:sz w:val="18"/>
                <w:szCs w:val="18"/>
              </w:rPr>
            </w:pPr>
          </w:p>
        </w:tc>
      </w:tr>
      <w:tr w:rsidR="00A22E4D" w:rsidRPr="00150717" w14:paraId="35747C64" w14:textId="77777777" w:rsidTr="00DF29AB">
        <w:tc>
          <w:tcPr>
            <w:tcW w:w="2785" w:type="dxa"/>
          </w:tcPr>
          <w:p w14:paraId="5F07F228" w14:textId="77777777" w:rsidR="00A22E4D" w:rsidRPr="000D2499" w:rsidRDefault="00A22E4D" w:rsidP="00DF29AB">
            <w:pPr>
              <w:rPr>
                <w:rFonts w:asciiTheme="majorHAnsi" w:hAnsiTheme="majorHAnsi"/>
                <w:sz w:val="18"/>
                <w:szCs w:val="18"/>
              </w:rPr>
            </w:pPr>
            <w:r w:rsidRPr="000D2499">
              <w:rPr>
                <w:rFonts w:asciiTheme="majorHAnsi" w:hAnsiTheme="majorHAnsi"/>
                <w:b/>
                <w:sz w:val="18"/>
                <w:szCs w:val="18"/>
              </w:rPr>
              <w:t xml:space="preserve">Communications Strategy Objective 2: </w:t>
            </w:r>
            <w:r w:rsidRPr="000D2499">
              <w:rPr>
                <w:rFonts w:asciiTheme="majorHAnsi" w:hAnsiTheme="majorHAnsi"/>
                <w:sz w:val="18"/>
                <w:szCs w:val="18"/>
              </w:rPr>
              <w:t>Knowledge Management Products arising from the project are shared, accessed, and used to improve practices by partners, the public, and international partners.</w:t>
            </w:r>
          </w:p>
        </w:tc>
        <w:tc>
          <w:tcPr>
            <w:tcW w:w="7380" w:type="dxa"/>
          </w:tcPr>
          <w:p w14:paraId="4EE1C3CB" w14:textId="77777777" w:rsidR="00A22E4D" w:rsidRPr="000D2499" w:rsidRDefault="00A22E4D" w:rsidP="00DF29AB">
            <w:pPr>
              <w:pStyle w:val="Default"/>
              <w:rPr>
                <w:rFonts w:asciiTheme="majorHAnsi" w:hAnsiTheme="majorHAnsi"/>
                <w:sz w:val="18"/>
                <w:szCs w:val="18"/>
              </w:rPr>
            </w:pPr>
            <w:r w:rsidRPr="000D2499">
              <w:rPr>
                <w:rFonts w:asciiTheme="majorHAnsi" w:hAnsiTheme="majorHAnsi"/>
                <w:b/>
                <w:sz w:val="18"/>
                <w:szCs w:val="18"/>
              </w:rPr>
              <w:t>General</w:t>
            </w:r>
            <w:r w:rsidRPr="000D2499">
              <w:rPr>
                <w:rFonts w:asciiTheme="majorHAnsi" w:hAnsiTheme="majorHAnsi"/>
                <w:sz w:val="18"/>
                <w:szCs w:val="18"/>
              </w:rPr>
              <w:t>:</w:t>
            </w:r>
          </w:p>
          <w:p w14:paraId="462125BA" w14:textId="77777777" w:rsidR="00A22E4D" w:rsidRPr="000D2499" w:rsidRDefault="00A22E4D" w:rsidP="00EA4043">
            <w:pPr>
              <w:pStyle w:val="Default"/>
              <w:numPr>
                <w:ilvl w:val="0"/>
                <w:numId w:val="52"/>
              </w:numPr>
              <w:rPr>
                <w:rFonts w:asciiTheme="majorHAnsi" w:hAnsiTheme="majorHAnsi"/>
                <w:sz w:val="18"/>
                <w:szCs w:val="18"/>
              </w:rPr>
            </w:pPr>
            <w:r w:rsidRPr="000D2499">
              <w:rPr>
                <w:rFonts w:asciiTheme="majorHAnsi" w:hAnsiTheme="majorHAnsi"/>
                <w:sz w:val="18"/>
                <w:szCs w:val="18"/>
              </w:rPr>
              <w:t>Consistently refer to the Project Website or document sharing forum.</w:t>
            </w:r>
          </w:p>
          <w:p w14:paraId="00B12864" w14:textId="77777777" w:rsidR="00A22E4D" w:rsidRPr="000D2499" w:rsidRDefault="00A22E4D" w:rsidP="00DF29AB">
            <w:pPr>
              <w:pStyle w:val="Default"/>
              <w:ind w:left="-20"/>
              <w:rPr>
                <w:rFonts w:asciiTheme="majorHAnsi" w:hAnsiTheme="majorHAnsi"/>
                <w:sz w:val="18"/>
                <w:szCs w:val="18"/>
              </w:rPr>
            </w:pPr>
          </w:p>
          <w:p w14:paraId="2767334F" w14:textId="77777777" w:rsidR="00A22E4D" w:rsidRPr="000D2499" w:rsidRDefault="00A22E4D" w:rsidP="00DF29AB">
            <w:pPr>
              <w:pStyle w:val="Default"/>
              <w:ind w:left="-20"/>
              <w:rPr>
                <w:rFonts w:asciiTheme="majorHAnsi" w:hAnsiTheme="majorHAnsi"/>
                <w:b/>
                <w:sz w:val="18"/>
                <w:szCs w:val="18"/>
              </w:rPr>
            </w:pPr>
            <w:r w:rsidRPr="000D2499">
              <w:rPr>
                <w:rFonts w:asciiTheme="majorHAnsi" w:hAnsiTheme="majorHAnsi"/>
                <w:b/>
                <w:sz w:val="18"/>
                <w:szCs w:val="18"/>
              </w:rPr>
              <w:t>As a News Release:</w:t>
            </w:r>
          </w:p>
          <w:p w14:paraId="3D283345" w14:textId="77777777" w:rsidR="00A22E4D" w:rsidRPr="000D2499" w:rsidRDefault="00A22E4D" w:rsidP="00DF29AB">
            <w:pPr>
              <w:pStyle w:val="Default"/>
              <w:ind w:left="-20"/>
              <w:rPr>
                <w:rFonts w:asciiTheme="majorHAnsi" w:hAnsiTheme="majorHAnsi"/>
                <w:sz w:val="18"/>
                <w:szCs w:val="18"/>
              </w:rPr>
            </w:pPr>
            <w:r w:rsidRPr="000D2499">
              <w:rPr>
                <w:rFonts w:asciiTheme="majorHAnsi" w:hAnsiTheme="majorHAnsi"/>
                <w:sz w:val="18"/>
                <w:szCs w:val="18"/>
              </w:rPr>
              <w:t>“Palau’s GEF6 Project entitled GEF 6 Project: Integrating biodiversity safeguards and conservation into development in Palau is pleased to announce that a new [</w:t>
            </w:r>
            <w:r w:rsidRPr="000D2499">
              <w:rPr>
                <w:rFonts w:asciiTheme="majorHAnsi" w:hAnsiTheme="majorHAnsi"/>
                <w:i/>
                <w:sz w:val="18"/>
                <w:szCs w:val="18"/>
              </w:rPr>
              <w:t xml:space="preserve">type of KM Product (e.g. </w:t>
            </w:r>
            <w:r w:rsidRPr="000D2499">
              <w:rPr>
                <w:rFonts w:asciiTheme="majorHAnsi" w:hAnsiTheme="majorHAnsi"/>
                <w:sz w:val="18"/>
                <w:szCs w:val="18"/>
              </w:rPr>
              <w:t>information resource; workshop; set of guidelines; etc.)] is available. This [</w:t>
            </w:r>
            <w:r w:rsidRPr="000D2499">
              <w:rPr>
                <w:rFonts w:asciiTheme="majorHAnsi" w:hAnsiTheme="majorHAnsi"/>
                <w:i/>
                <w:sz w:val="18"/>
                <w:szCs w:val="18"/>
              </w:rPr>
              <w:t>describe physical type of product (</w:t>
            </w:r>
            <w:r w:rsidRPr="000D2499">
              <w:rPr>
                <w:rFonts w:asciiTheme="majorHAnsi" w:hAnsiTheme="majorHAnsi"/>
                <w:sz w:val="18"/>
                <w:szCs w:val="18"/>
              </w:rPr>
              <w:t>book, printed brochure, video, etc.)] will help you [</w:t>
            </w:r>
            <w:r w:rsidRPr="000D2499">
              <w:rPr>
                <w:rFonts w:asciiTheme="majorHAnsi" w:hAnsiTheme="majorHAnsi"/>
                <w:i/>
                <w:sz w:val="18"/>
                <w:szCs w:val="18"/>
              </w:rPr>
              <w:t>specific to target audience]</w:t>
            </w:r>
            <w:r w:rsidRPr="000D2499">
              <w:rPr>
                <w:rFonts w:asciiTheme="majorHAnsi" w:hAnsiTheme="majorHAnsi"/>
                <w:sz w:val="18"/>
                <w:szCs w:val="18"/>
              </w:rPr>
              <w:t xml:space="preserve"> [</w:t>
            </w:r>
            <w:r w:rsidRPr="000D2499">
              <w:rPr>
                <w:rFonts w:asciiTheme="majorHAnsi" w:hAnsiTheme="majorHAnsi"/>
                <w:i/>
                <w:sz w:val="18"/>
                <w:szCs w:val="18"/>
              </w:rPr>
              <w:t>purpose and</w:t>
            </w:r>
            <w:r w:rsidRPr="000D2499">
              <w:rPr>
                <w:rFonts w:asciiTheme="majorHAnsi" w:hAnsiTheme="majorHAnsi"/>
                <w:sz w:val="18"/>
                <w:szCs w:val="18"/>
              </w:rPr>
              <w:t xml:space="preserve"> </w:t>
            </w:r>
            <w:r w:rsidRPr="000D2499">
              <w:rPr>
                <w:rFonts w:asciiTheme="majorHAnsi" w:hAnsiTheme="majorHAnsi"/>
                <w:i/>
                <w:sz w:val="18"/>
                <w:szCs w:val="18"/>
              </w:rPr>
              <w:t xml:space="preserve">reason why it should be used (e.g. </w:t>
            </w:r>
            <w:r w:rsidRPr="000D2499">
              <w:rPr>
                <w:rFonts w:asciiTheme="majorHAnsi" w:hAnsiTheme="majorHAnsi"/>
                <w:sz w:val="18"/>
                <w:szCs w:val="18"/>
              </w:rPr>
              <w:t>be a better farmer)] Access it by [</w:t>
            </w:r>
            <w:r w:rsidRPr="000D2499">
              <w:rPr>
                <w:rFonts w:asciiTheme="majorHAnsi" w:hAnsiTheme="majorHAnsi"/>
                <w:i/>
                <w:sz w:val="18"/>
                <w:szCs w:val="18"/>
              </w:rPr>
              <w:t xml:space="preserve">how: </w:t>
            </w:r>
            <w:r w:rsidRPr="000D2499">
              <w:rPr>
                <w:rFonts w:asciiTheme="majorHAnsi" w:hAnsiTheme="majorHAnsi"/>
                <w:sz w:val="18"/>
                <w:szCs w:val="18"/>
              </w:rPr>
              <w:t>going to the website, downloading it today, attending a workshop].”</w:t>
            </w:r>
          </w:p>
          <w:p w14:paraId="4A43ADAD" w14:textId="77777777" w:rsidR="00A22E4D" w:rsidRPr="000D2499" w:rsidRDefault="00A22E4D" w:rsidP="00DF29AB">
            <w:pPr>
              <w:pStyle w:val="Default"/>
              <w:ind w:left="-20"/>
              <w:rPr>
                <w:rFonts w:asciiTheme="majorHAnsi" w:hAnsiTheme="majorHAnsi"/>
                <w:sz w:val="18"/>
                <w:szCs w:val="18"/>
              </w:rPr>
            </w:pPr>
          </w:p>
          <w:p w14:paraId="216AB2A5" w14:textId="77777777" w:rsidR="00A22E4D" w:rsidRPr="000D2499" w:rsidRDefault="00A22E4D" w:rsidP="00DF29AB">
            <w:pPr>
              <w:pStyle w:val="Default"/>
              <w:ind w:left="-20"/>
              <w:rPr>
                <w:rFonts w:asciiTheme="majorHAnsi" w:hAnsiTheme="majorHAnsi"/>
                <w:b/>
                <w:sz w:val="18"/>
                <w:szCs w:val="18"/>
              </w:rPr>
            </w:pPr>
            <w:r w:rsidRPr="000D2499">
              <w:rPr>
                <w:rFonts w:asciiTheme="majorHAnsi" w:hAnsiTheme="majorHAnsi"/>
                <w:b/>
                <w:sz w:val="18"/>
                <w:szCs w:val="18"/>
              </w:rPr>
              <w:t>Additional Key Messages:</w:t>
            </w:r>
          </w:p>
          <w:p w14:paraId="155433E5" w14:textId="77777777" w:rsidR="00A22E4D" w:rsidRPr="000D2499" w:rsidRDefault="00A22E4D" w:rsidP="00EA4043">
            <w:pPr>
              <w:pStyle w:val="Default"/>
              <w:numPr>
                <w:ilvl w:val="0"/>
                <w:numId w:val="51"/>
              </w:numPr>
              <w:rPr>
                <w:rFonts w:asciiTheme="majorHAnsi" w:hAnsiTheme="majorHAnsi"/>
                <w:sz w:val="18"/>
                <w:szCs w:val="18"/>
              </w:rPr>
            </w:pPr>
            <w:r w:rsidRPr="000D2499">
              <w:rPr>
                <w:rFonts w:asciiTheme="majorHAnsi" w:hAnsiTheme="majorHAnsi"/>
                <w:sz w:val="18"/>
                <w:szCs w:val="18"/>
              </w:rPr>
              <w:t>Purpose of KM Product, benefit of using KM Product</w:t>
            </w:r>
          </w:p>
          <w:p w14:paraId="5A578466" w14:textId="77777777" w:rsidR="00A22E4D" w:rsidRPr="000D2499" w:rsidRDefault="00A22E4D" w:rsidP="00EA4043">
            <w:pPr>
              <w:pStyle w:val="Default"/>
              <w:numPr>
                <w:ilvl w:val="0"/>
                <w:numId w:val="51"/>
              </w:numPr>
              <w:rPr>
                <w:rFonts w:asciiTheme="majorHAnsi" w:hAnsiTheme="majorHAnsi"/>
                <w:sz w:val="18"/>
                <w:szCs w:val="18"/>
              </w:rPr>
            </w:pPr>
            <w:r w:rsidRPr="000D2499">
              <w:rPr>
                <w:rFonts w:asciiTheme="majorHAnsi" w:hAnsiTheme="majorHAnsi"/>
                <w:sz w:val="18"/>
                <w:szCs w:val="18"/>
              </w:rPr>
              <w:t>This is where to get KM Product</w:t>
            </w:r>
          </w:p>
          <w:p w14:paraId="6A7F1D56" w14:textId="77777777" w:rsidR="00A22E4D" w:rsidRPr="000D2499" w:rsidRDefault="00A22E4D" w:rsidP="00EA4043">
            <w:pPr>
              <w:pStyle w:val="Default"/>
              <w:numPr>
                <w:ilvl w:val="0"/>
                <w:numId w:val="51"/>
              </w:numPr>
              <w:rPr>
                <w:rFonts w:asciiTheme="majorHAnsi" w:hAnsiTheme="majorHAnsi"/>
                <w:sz w:val="18"/>
                <w:szCs w:val="18"/>
              </w:rPr>
            </w:pPr>
            <w:r w:rsidRPr="000D2499">
              <w:rPr>
                <w:rFonts w:asciiTheme="majorHAnsi" w:hAnsiTheme="majorHAnsi"/>
                <w:sz w:val="18"/>
                <w:szCs w:val="18"/>
              </w:rPr>
              <w:t>Targeted audience of KM Product</w:t>
            </w:r>
          </w:p>
          <w:p w14:paraId="299555BE" w14:textId="77777777" w:rsidR="00A22E4D" w:rsidRPr="000D2499" w:rsidRDefault="00A22E4D" w:rsidP="00EA4043">
            <w:pPr>
              <w:pStyle w:val="Default"/>
              <w:numPr>
                <w:ilvl w:val="0"/>
                <w:numId w:val="51"/>
              </w:numPr>
              <w:rPr>
                <w:rFonts w:asciiTheme="majorHAnsi" w:hAnsiTheme="majorHAnsi"/>
                <w:sz w:val="18"/>
                <w:szCs w:val="18"/>
              </w:rPr>
            </w:pPr>
            <w:r w:rsidRPr="000D2499">
              <w:rPr>
                <w:rFonts w:asciiTheme="majorHAnsi" w:hAnsiTheme="majorHAnsi"/>
                <w:sz w:val="18"/>
                <w:szCs w:val="18"/>
              </w:rPr>
              <w:t>Whether KM Product is specific to a stakeholder group or to be shared widely</w:t>
            </w:r>
          </w:p>
          <w:p w14:paraId="61072A45" w14:textId="77777777" w:rsidR="00A22E4D" w:rsidRPr="000D2499" w:rsidRDefault="00A22E4D" w:rsidP="00EA4043">
            <w:pPr>
              <w:pStyle w:val="Default"/>
              <w:numPr>
                <w:ilvl w:val="0"/>
                <w:numId w:val="51"/>
              </w:numPr>
              <w:rPr>
                <w:rFonts w:asciiTheme="majorHAnsi" w:hAnsiTheme="majorHAnsi"/>
                <w:sz w:val="18"/>
                <w:szCs w:val="18"/>
              </w:rPr>
            </w:pPr>
            <w:r w:rsidRPr="000D2499">
              <w:rPr>
                <w:rFonts w:asciiTheme="majorHAnsi" w:hAnsiTheme="majorHAnsi"/>
                <w:sz w:val="18"/>
                <w:szCs w:val="18"/>
              </w:rPr>
              <w:t>How to access KM Product</w:t>
            </w:r>
          </w:p>
          <w:p w14:paraId="6AED8782" w14:textId="77777777" w:rsidR="00A22E4D" w:rsidRPr="000D2499" w:rsidRDefault="00A22E4D" w:rsidP="00DF29AB">
            <w:pPr>
              <w:pStyle w:val="Default"/>
              <w:ind w:left="700"/>
              <w:rPr>
                <w:rFonts w:asciiTheme="majorHAnsi" w:hAnsiTheme="majorHAnsi"/>
                <w:sz w:val="18"/>
                <w:szCs w:val="18"/>
              </w:rPr>
            </w:pPr>
          </w:p>
        </w:tc>
      </w:tr>
      <w:tr w:rsidR="00A22E4D" w:rsidRPr="00150717" w14:paraId="27E79C3F" w14:textId="77777777" w:rsidTr="00DF29AB">
        <w:tc>
          <w:tcPr>
            <w:tcW w:w="2785" w:type="dxa"/>
          </w:tcPr>
          <w:p w14:paraId="50D4CD09" w14:textId="77777777" w:rsidR="00A22E4D" w:rsidRPr="000D2499" w:rsidRDefault="00A22E4D" w:rsidP="00DF29AB">
            <w:pPr>
              <w:rPr>
                <w:rFonts w:asciiTheme="majorHAnsi" w:hAnsiTheme="majorHAnsi"/>
                <w:sz w:val="18"/>
                <w:szCs w:val="18"/>
              </w:rPr>
            </w:pPr>
            <w:r w:rsidRPr="000D2499">
              <w:rPr>
                <w:rFonts w:asciiTheme="majorHAnsi" w:hAnsiTheme="majorHAnsi"/>
                <w:b/>
                <w:sz w:val="18"/>
                <w:szCs w:val="18"/>
              </w:rPr>
              <w:t xml:space="preserve">Communications Strategy Objective 3a: </w:t>
            </w:r>
            <w:r w:rsidRPr="000D2499">
              <w:rPr>
                <w:rFonts w:asciiTheme="majorHAnsi" w:hAnsiTheme="majorHAnsi"/>
                <w:sz w:val="18"/>
                <w:szCs w:val="18"/>
              </w:rPr>
              <w:t>Key stakeholders from State, National, Private, and Nonprofit sectors have increased their understanding of Landscape/Seascape Planning and the importance of biodiversity mainstreaming through improved partnerships</w:t>
            </w:r>
          </w:p>
        </w:tc>
        <w:tc>
          <w:tcPr>
            <w:tcW w:w="7380" w:type="dxa"/>
          </w:tcPr>
          <w:p w14:paraId="0ECAC1C4" w14:textId="77777777" w:rsidR="00A22E4D" w:rsidRPr="000D2499" w:rsidRDefault="00A22E4D" w:rsidP="00DF29AB">
            <w:pPr>
              <w:pStyle w:val="Default"/>
              <w:ind w:left="-20"/>
              <w:rPr>
                <w:rFonts w:asciiTheme="majorHAnsi" w:hAnsiTheme="majorHAnsi"/>
                <w:b/>
                <w:sz w:val="18"/>
                <w:szCs w:val="18"/>
              </w:rPr>
            </w:pPr>
            <w:r w:rsidRPr="000D2499">
              <w:rPr>
                <w:rFonts w:asciiTheme="majorHAnsi" w:hAnsiTheme="majorHAnsi"/>
                <w:b/>
                <w:sz w:val="18"/>
                <w:szCs w:val="18"/>
              </w:rPr>
              <w:t>Key messages should cover:</w:t>
            </w:r>
          </w:p>
          <w:p w14:paraId="13783A79" w14:textId="77777777" w:rsidR="00A22E4D" w:rsidRPr="000D2499" w:rsidRDefault="00A22E4D" w:rsidP="00EA4043">
            <w:pPr>
              <w:pStyle w:val="Default"/>
              <w:numPr>
                <w:ilvl w:val="0"/>
                <w:numId w:val="50"/>
              </w:numPr>
              <w:rPr>
                <w:rFonts w:asciiTheme="majorHAnsi" w:hAnsiTheme="majorHAnsi"/>
                <w:sz w:val="18"/>
                <w:szCs w:val="18"/>
              </w:rPr>
            </w:pPr>
            <w:r w:rsidRPr="000D2499">
              <w:rPr>
                <w:rFonts w:asciiTheme="majorHAnsi" w:hAnsiTheme="majorHAnsi"/>
                <w:sz w:val="18"/>
                <w:szCs w:val="18"/>
              </w:rPr>
              <w:t>The project is working to improve National and State Coordination</w:t>
            </w:r>
          </w:p>
          <w:p w14:paraId="0667E544" w14:textId="77777777" w:rsidR="00A22E4D" w:rsidRPr="000D2499" w:rsidRDefault="00A22E4D" w:rsidP="00EA4043">
            <w:pPr>
              <w:pStyle w:val="Default"/>
              <w:numPr>
                <w:ilvl w:val="0"/>
                <w:numId w:val="50"/>
              </w:numPr>
              <w:rPr>
                <w:rFonts w:asciiTheme="majorHAnsi" w:hAnsiTheme="majorHAnsi"/>
                <w:sz w:val="18"/>
                <w:szCs w:val="18"/>
              </w:rPr>
            </w:pPr>
            <w:r w:rsidRPr="000D2499">
              <w:rPr>
                <w:rFonts w:asciiTheme="majorHAnsi" w:hAnsiTheme="majorHAnsi"/>
                <w:sz w:val="18"/>
                <w:szCs w:val="18"/>
              </w:rPr>
              <w:t>Biodiversity Mainstreaming means taking National level biodiversity policies and goals and ensuring they are carried through and implemented on the ground by States and Resource Owners.</w:t>
            </w:r>
          </w:p>
          <w:p w14:paraId="5AD302BF" w14:textId="77777777" w:rsidR="00A22E4D" w:rsidRPr="000D2499" w:rsidRDefault="00A22E4D" w:rsidP="00EA4043">
            <w:pPr>
              <w:pStyle w:val="Default"/>
              <w:numPr>
                <w:ilvl w:val="0"/>
                <w:numId w:val="50"/>
              </w:numPr>
              <w:rPr>
                <w:rFonts w:asciiTheme="majorHAnsi" w:hAnsiTheme="majorHAnsi"/>
                <w:sz w:val="18"/>
                <w:szCs w:val="18"/>
              </w:rPr>
            </w:pPr>
            <w:r w:rsidRPr="000D2499">
              <w:rPr>
                <w:rFonts w:asciiTheme="majorHAnsi" w:hAnsiTheme="majorHAnsi"/>
                <w:sz w:val="18"/>
                <w:szCs w:val="18"/>
              </w:rPr>
              <w:t>Landscape/Seascape Planning is the first step in a process that leads through Master Planning to Land Use Planning. It includes large scale mapping of resources and relationships so that good land and marine use decisions can be made.</w:t>
            </w:r>
          </w:p>
          <w:p w14:paraId="6C1D3732" w14:textId="77777777" w:rsidR="00A22E4D" w:rsidRPr="000D2499" w:rsidRDefault="00A22E4D" w:rsidP="00EA4043">
            <w:pPr>
              <w:pStyle w:val="Default"/>
              <w:numPr>
                <w:ilvl w:val="0"/>
                <w:numId w:val="50"/>
              </w:numPr>
              <w:rPr>
                <w:rFonts w:asciiTheme="majorHAnsi" w:hAnsiTheme="majorHAnsi"/>
                <w:sz w:val="18"/>
                <w:szCs w:val="18"/>
              </w:rPr>
            </w:pPr>
            <w:r w:rsidRPr="000D2499">
              <w:rPr>
                <w:rFonts w:asciiTheme="majorHAnsi" w:hAnsiTheme="majorHAnsi"/>
                <w:sz w:val="18"/>
                <w:szCs w:val="18"/>
              </w:rPr>
              <w:t>In Babeldaob, the focus is on landscape planning, since what happens on land impacts water.</w:t>
            </w:r>
          </w:p>
          <w:p w14:paraId="37DB62E4" w14:textId="77777777" w:rsidR="00A22E4D" w:rsidRPr="000D2499" w:rsidRDefault="00A22E4D" w:rsidP="00EA4043">
            <w:pPr>
              <w:pStyle w:val="Default"/>
              <w:numPr>
                <w:ilvl w:val="0"/>
                <w:numId w:val="50"/>
              </w:numPr>
              <w:rPr>
                <w:rFonts w:asciiTheme="majorHAnsi" w:hAnsiTheme="majorHAnsi"/>
                <w:sz w:val="18"/>
                <w:szCs w:val="18"/>
              </w:rPr>
            </w:pPr>
            <w:r w:rsidRPr="000D2499">
              <w:rPr>
                <w:rFonts w:asciiTheme="majorHAnsi" w:hAnsiTheme="majorHAnsi"/>
                <w:sz w:val="18"/>
                <w:szCs w:val="18"/>
              </w:rPr>
              <w:t>In the Southern Lagoon, the focus is on seascape planning, since what happens on land is driven by the capacity of marine habitats.</w:t>
            </w:r>
          </w:p>
          <w:p w14:paraId="766D83B1" w14:textId="77777777" w:rsidR="00A22E4D" w:rsidRPr="000D2499" w:rsidRDefault="00A22E4D" w:rsidP="00EA4043">
            <w:pPr>
              <w:pStyle w:val="Default"/>
              <w:numPr>
                <w:ilvl w:val="0"/>
                <w:numId w:val="50"/>
              </w:numPr>
              <w:rPr>
                <w:rFonts w:asciiTheme="majorHAnsi" w:hAnsiTheme="majorHAnsi"/>
                <w:sz w:val="18"/>
                <w:szCs w:val="18"/>
              </w:rPr>
            </w:pPr>
            <w:r w:rsidRPr="000D2499">
              <w:rPr>
                <w:rFonts w:asciiTheme="majorHAnsi" w:hAnsiTheme="majorHAnsi"/>
                <w:sz w:val="18"/>
                <w:szCs w:val="18"/>
              </w:rPr>
              <w:t>Landscape and Seascape Planning is important to ensure that natural resources and biodiversity are protected for future generations and that our State is the kind of place we want to live.</w:t>
            </w:r>
          </w:p>
          <w:p w14:paraId="62620659" w14:textId="77777777" w:rsidR="00A22E4D" w:rsidRPr="000D2499" w:rsidRDefault="00A22E4D" w:rsidP="00EA4043">
            <w:pPr>
              <w:pStyle w:val="Default"/>
              <w:numPr>
                <w:ilvl w:val="0"/>
                <w:numId w:val="50"/>
              </w:numPr>
              <w:rPr>
                <w:rFonts w:asciiTheme="majorHAnsi" w:hAnsiTheme="majorHAnsi"/>
                <w:sz w:val="18"/>
                <w:szCs w:val="18"/>
              </w:rPr>
            </w:pPr>
            <w:r w:rsidRPr="000D2499">
              <w:rPr>
                <w:rFonts w:asciiTheme="majorHAnsi" w:hAnsiTheme="majorHAnsi"/>
                <w:sz w:val="18"/>
                <w:szCs w:val="18"/>
              </w:rPr>
              <w:t>One output of this project will be improved National and State Coordination and Communication.</w:t>
            </w:r>
          </w:p>
          <w:p w14:paraId="659A77A5" w14:textId="77777777" w:rsidR="00A22E4D" w:rsidRPr="000D2499" w:rsidRDefault="00A22E4D" w:rsidP="00EA4043">
            <w:pPr>
              <w:pStyle w:val="Default"/>
              <w:numPr>
                <w:ilvl w:val="0"/>
                <w:numId w:val="50"/>
              </w:numPr>
              <w:rPr>
                <w:rFonts w:asciiTheme="majorHAnsi" w:hAnsiTheme="majorHAnsi"/>
                <w:sz w:val="18"/>
                <w:szCs w:val="18"/>
              </w:rPr>
            </w:pPr>
            <w:r w:rsidRPr="000D2499">
              <w:rPr>
                <w:rFonts w:asciiTheme="majorHAnsi" w:hAnsiTheme="majorHAnsi"/>
                <w:sz w:val="18"/>
                <w:szCs w:val="18"/>
              </w:rPr>
              <w:t>One output of this project will be the creation of a Joint Coordination Body for Landscape/Seascape Planning. The Coordination Body will include National, State, Nonprofit, and Private sector partners and will help streamline biodiversity goals through national plans to state plans, so that all aspects of development (including leases, permits, loans, EAs, EISs, and types of development) are in line with State Landscape/Seascape Plans and National Biodiversity Goals.</w:t>
            </w:r>
          </w:p>
          <w:p w14:paraId="71ECE3AF" w14:textId="77777777" w:rsidR="00A22E4D" w:rsidRPr="000D2499" w:rsidRDefault="00A22E4D" w:rsidP="00DF29AB">
            <w:pPr>
              <w:pStyle w:val="Default"/>
              <w:ind w:left="-20"/>
              <w:rPr>
                <w:rFonts w:asciiTheme="majorHAnsi" w:hAnsiTheme="majorHAnsi"/>
                <w:sz w:val="18"/>
                <w:szCs w:val="18"/>
              </w:rPr>
            </w:pPr>
          </w:p>
        </w:tc>
      </w:tr>
      <w:tr w:rsidR="00A22E4D" w:rsidRPr="00150717" w14:paraId="3E1DBCB1" w14:textId="77777777" w:rsidTr="00DF29AB">
        <w:tc>
          <w:tcPr>
            <w:tcW w:w="2785" w:type="dxa"/>
          </w:tcPr>
          <w:p w14:paraId="7B61F779" w14:textId="77777777" w:rsidR="00A22E4D" w:rsidRPr="000D2499" w:rsidRDefault="00A22E4D" w:rsidP="00DF29AB">
            <w:pPr>
              <w:rPr>
                <w:rFonts w:asciiTheme="majorHAnsi" w:hAnsiTheme="majorHAnsi"/>
                <w:sz w:val="18"/>
                <w:szCs w:val="18"/>
              </w:rPr>
            </w:pPr>
            <w:r w:rsidRPr="000D2499">
              <w:rPr>
                <w:rFonts w:asciiTheme="majorHAnsi" w:hAnsiTheme="majorHAnsi"/>
                <w:b/>
                <w:sz w:val="18"/>
                <w:szCs w:val="18"/>
              </w:rPr>
              <w:t xml:space="preserve">Communications Strategy Objective 3b: </w:t>
            </w:r>
            <w:r w:rsidRPr="000D2499">
              <w:rPr>
                <w:rFonts w:asciiTheme="majorHAnsi" w:hAnsiTheme="majorHAnsi"/>
                <w:sz w:val="18"/>
                <w:szCs w:val="18"/>
              </w:rPr>
              <w:t>Key stakeholders, including landowners and direct resource managers, have increased their understanding of Best Practices from the start to the end of the project.</w:t>
            </w:r>
          </w:p>
        </w:tc>
        <w:tc>
          <w:tcPr>
            <w:tcW w:w="7380" w:type="dxa"/>
          </w:tcPr>
          <w:p w14:paraId="785FCDF2" w14:textId="77777777" w:rsidR="00A22E4D" w:rsidRPr="000D2499" w:rsidRDefault="00A22E4D" w:rsidP="00DF29AB">
            <w:pPr>
              <w:pStyle w:val="Default"/>
              <w:ind w:left="-20"/>
              <w:rPr>
                <w:rFonts w:asciiTheme="majorHAnsi" w:hAnsiTheme="majorHAnsi"/>
                <w:b/>
                <w:sz w:val="18"/>
                <w:szCs w:val="18"/>
              </w:rPr>
            </w:pPr>
            <w:r w:rsidRPr="000D2499">
              <w:rPr>
                <w:rFonts w:asciiTheme="majorHAnsi" w:hAnsiTheme="majorHAnsi"/>
                <w:b/>
                <w:sz w:val="18"/>
                <w:szCs w:val="18"/>
              </w:rPr>
              <w:t>Key Messages will be developed during the project but should include:</w:t>
            </w:r>
          </w:p>
          <w:p w14:paraId="0E6CB9D3" w14:textId="77777777" w:rsidR="00A22E4D" w:rsidRPr="000D2499" w:rsidRDefault="00A22E4D" w:rsidP="00EA4043">
            <w:pPr>
              <w:pStyle w:val="Default"/>
              <w:numPr>
                <w:ilvl w:val="0"/>
                <w:numId w:val="53"/>
              </w:numPr>
              <w:rPr>
                <w:rFonts w:asciiTheme="majorHAnsi" w:hAnsiTheme="majorHAnsi"/>
                <w:sz w:val="18"/>
                <w:szCs w:val="18"/>
              </w:rPr>
            </w:pPr>
            <w:r w:rsidRPr="000D2499">
              <w:rPr>
                <w:rFonts w:asciiTheme="majorHAnsi" w:hAnsiTheme="majorHAnsi"/>
                <w:sz w:val="18"/>
                <w:szCs w:val="18"/>
              </w:rPr>
              <w:t>The Project is testing and implementing Best Practices in Planning, Biosecurity, and 5 economic sectors: agriculture, aquaculture, fisheries, forestry, and sustainable tourism.</w:t>
            </w:r>
          </w:p>
          <w:p w14:paraId="7C217F55" w14:textId="77777777" w:rsidR="00A22E4D" w:rsidRPr="000D2499" w:rsidRDefault="00A22E4D" w:rsidP="00EA4043">
            <w:pPr>
              <w:pStyle w:val="Default"/>
              <w:numPr>
                <w:ilvl w:val="0"/>
                <w:numId w:val="53"/>
              </w:numPr>
              <w:rPr>
                <w:rFonts w:asciiTheme="majorHAnsi" w:hAnsiTheme="majorHAnsi"/>
                <w:sz w:val="18"/>
                <w:szCs w:val="18"/>
              </w:rPr>
            </w:pPr>
            <w:r w:rsidRPr="000D2499">
              <w:rPr>
                <w:rFonts w:asciiTheme="majorHAnsi" w:hAnsiTheme="majorHAnsi"/>
                <w:sz w:val="18"/>
                <w:szCs w:val="18"/>
              </w:rPr>
              <w:t>The project is providing direct financing for States to implement Best Practices on the ground.</w:t>
            </w:r>
          </w:p>
          <w:p w14:paraId="2C1EDC1D" w14:textId="77777777" w:rsidR="00A22E4D" w:rsidRPr="000D2499" w:rsidRDefault="00A22E4D" w:rsidP="00EA4043">
            <w:pPr>
              <w:pStyle w:val="Default"/>
              <w:numPr>
                <w:ilvl w:val="0"/>
                <w:numId w:val="53"/>
              </w:numPr>
              <w:rPr>
                <w:rFonts w:asciiTheme="majorHAnsi" w:hAnsiTheme="majorHAnsi"/>
                <w:sz w:val="18"/>
                <w:szCs w:val="18"/>
              </w:rPr>
            </w:pPr>
            <w:r w:rsidRPr="000D2499">
              <w:rPr>
                <w:rFonts w:asciiTheme="majorHAnsi" w:hAnsiTheme="majorHAnsi"/>
                <w:sz w:val="18"/>
                <w:szCs w:val="18"/>
              </w:rPr>
              <w:t>Best Practices protect water quality, soil quality, economic value…. [etc.]</w:t>
            </w:r>
          </w:p>
          <w:p w14:paraId="36EEFE4E" w14:textId="77777777" w:rsidR="00A22E4D" w:rsidRPr="000D2499" w:rsidRDefault="00A22E4D" w:rsidP="00EA4043">
            <w:pPr>
              <w:pStyle w:val="Default"/>
              <w:numPr>
                <w:ilvl w:val="0"/>
                <w:numId w:val="53"/>
              </w:numPr>
              <w:rPr>
                <w:rFonts w:asciiTheme="majorHAnsi" w:hAnsiTheme="majorHAnsi"/>
                <w:sz w:val="18"/>
                <w:szCs w:val="18"/>
              </w:rPr>
            </w:pPr>
            <w:r w:rsidRPr="000D2499">
              <w:rPr>
                <w:rFonts w:asciiTheme="majorHAnsi" w:hAnsiTheme="majorHAnsi"/>
                <w:sz w:val="18"/>
                <w:szCs w:val="18"/>
              </w:rPr>
              <w:t>Best Practices for planning include….</w:t>
            </w:r>
          </w:p>
          <w:p w14:paraId="099ED1E7" w14:textId="77777777" w:rsidR="00A22E4D" w:rsidRPr="000D2499" w:rsidRDefault="00A22E4D" w:rsidP="00EA4043">
            <w:pPr>
              <w:pStyle w:val="Default"/>
              <w:numPr>
                <w:ilvl w:val="0"/>
                <w:numId w:val="53"/>
              </w:numPr>
              <w:rPr>
                <w:rFonts w:asciiTheme="majorHAnsi" w:hAnsiTheme="majorHAnsi"/>
                <w:sz w:val="18"/>
                <w:szCs w:val="18"/>
              </w:rPr>
            </w:pPr>
            <w:r w:rsidRPr="000D2499">
              <w:rPr>
                <w:rFonts w:asciiTheme="majorHAnsi" w:hAnsiTheme="majorHAnsi"/>
                <w:sz w:val="18"/>
                <w:szCs w:val="18"/>
              </w:rPr>
              <w:t>Best Practices for biosecurity include… [etc.]</w:t>
            </w:r>
          </w:p>
          <w:p w14:paraId="2CE73D0C" w14:textId="77777777" w:rsidR="00A22E4D" w:rsidRPr="000D2499" w:rsidRDefault="00A22E4D" w:rsidP="00DF29AB">
            <w:pPr>
              <w:pStyle w:val="Default"/>
              <w:ind w:left="-20"/>
              <w:rPr>
                <w:rFonts w:asciiTheme="majorHAnsi" w:hAnsiTheme="majorHAnsi"/>
                <w:sz w:val="18"/>
                <w:szCs w:val="18"/>
              </w:rPr>
            </w:pPr>
          </w:p>
        </w:tc>
      </w:tr>
      <w:tr w:rsidR="00A22E4D" w:rsidRPr="00150717" w14:paraId="66B6EF4D" w14:textId="77777777" w:rsidTr="00DF29AB">
        <w:tc>
          <w:tcPr>
            <w:tcW w:w="2785" w:type="dxa"/>
          </w:tcPr>
          <w:p w14:paraId="15DCA925" w14:textId="77777777" w:rsidR="00A22E4D" w:rsidRPr="000D2499" w:rsidRDefault="00A22E4D" w:rsidP="00DF29AB">
            <w:pPr>
              <w:rPr>
                <w:rFonts w:asciiTheme="majorHAnsi" w:hAnsiTheme="majorHAnsi"/>
                <w:sz w:val="18"/>
                <w:szCs w:val="18"/>
              </w:rPr>
            </w:pPr>
            <w:r w:rsidRPr="000D2499">
              <w:rPr>
                <w:rFonts w:asciiTheme="majorHAnsi" w:hAnsiTheme="majorHAnsi"/>
                <w:b/>
                <w:sz w:val="18"/>
                <w:szCs w:val="18"/>
              </w:rPr>
              <w:t xml:space="preserve">Communications Strategy Objective 3c: </w:t>
            </w:r>
            <w:r w:rsidRPr="000D2499">
              <w:rPr>
                <w:rFonts w:asciiTheme="majorHAnsi" w:hAnsiTheme="majorHAnsi"/>
                <w:sz w:val="18"/>
                <w:szCs w:val="18"/>
              </w:rPr>
              <w:t>The public has increased its understanding of Biosecurity/IAS by the end of the project.</w:t>
            </w:r>
          </w:p>
        </w:tc>
        <w:tc>
          <w:tcPr>
            <w:tcW w:w="7380" w:type="dxa"/>
          </w:tcPr>
          <w:p w14:paraId="4D51B7EC" w14:textId="77777777" w:rsidR="00A22E4D" w:rsidRPr="000D2499" w:rsidRDefault="00A22E4D" w:rsidP="00DF29AB">
            <w:pPr>
              <w:pStyle w:val="Default"/>
              <w:ind w:left="-20"/>
              <w:rPr>
                <w:rFonts w:asciiTheme="majorHAnsi" w:hAnsiTheme="majorHAnsi"/>
                <w:b/>
                <w:sz w:val="18"/>
                <w:szCs w:val="18"/>
              </w:rPr>
            </w:pPr>
            <w:r w:rsidRPr="000D2499">
              <w:rPr>
                <w:rFonts w:asciiTheme="majorHAnsi" w:hAnsiTheme="majorHAnsi"/>
                <w:b/>
                <w:sz w:val="18"/>
                <w:szCs w:val="18"/>
              </w:rPr>
              <w:t>Key Messages will be developed during the project but should include:</w:t>
            </w:r>
          </w:p>
          <w:p w14:paraId="5309BD83" w14:textId="77777777" w:rsidR="00A22E4D" w:rsidRPr="000D2499" w:rsidRDefault="00A22E4D" w:rsidP="00EA4043">
            <w:pPr>
              <w:pStyle w:val="Default"/>
              <w:numPr>
                <w:ilvl w:val="0"/>
                <w:numId w:val="53"/>
              </w:numPr>
              <w:rPr>
                <w:rFonts w:asciiTheme="majorHAnsi" w:hAnsiTheme="majorHAnsi"/>
                <w:sz w:val="18"/>
                <w:szCs w:val="18"/>
              </w:rPr>
            </w:pPr>
            <w:r w:rsidRPr="000D2499">
              <w:rPr>
                <w:rFonts w:asciiTheme="majorHAnsi" w:hAnsiTheme="majorHAnsi"/>
                <w:sz w:val="18"/>
                <w:szCs w:val="18"/>
              </w:rPr>
              <w:t xml:space="preserve">The role of Biosecurity in protecting Biodiversity </w:t>
            </w:r>
          </w:p>
          <w:p w14:paraId="37B83032" w14:textId="77777777" w:rsidR="00A22E4D" w:rsidRPr="000D2499" w:rsidRDefault="00A22E4D" w:rsidP="00EA4043">
            <w:pPr>
              <w:pStyle w:val="Default"/>
              <w:numPr>
                <w:ilvl w:val="0"/>
                <w:numId w:val="53"/>
              </w:numPr>
              <w:rPr>
                <w:rFonts w:asciiTheme="majorHAnsi" w:hAnsiTheme="majorHAnsi"/>
                <w:sz w:val="18"/>
                <w:szCs w:val="18"/>
              </w:rPr>
            </w:pPr>
            <w:r w:rsidRPr="000D2499">
              <w:rPr>
                <w:rFonts w:asciiTheme="majorHAnsi" w:hAnsiTheme="majorHAnsi"/>
                <w:sz w:val="18"/>
                <w:szCs w:val="18"/>
              </w:rPr>
              <w:t>The role of Biosecurity in the economy</w:t>
            </w:r>
          </w:p>
          <w:p w14:paraId="301DAD54" w14:textId="77777777" w:rsidR="00A22E4D" w:rsidRPr="000D2499" w:rsidRDefault="00A22E4D" w:rsidP="00EA4043">
            <w:pPr>
              <w:pStyle w:val="Default"/>
              <w:numPr>
                <w:ilvl w:val="0"/>
                <w:numId w:val="53"/>
              </w:numPr>
              <w:rPr>
                <w:rFonts w:asciiTheme="majorHAnsi" w:hAnsiTheme="majorHAnsi"/>
                <w:sz w:val="18"/>
                <w:szCs w:val="18"/>
              </w:rPr>
            </w:pPr>
            <w:r w:rsidRPr="000D2499">
              <w:rPr>
                <w:rFonts w:asciiTheme="majorHAnsi" w:hAnsiTheme="majorHAnsi"/>
                <w:sz w:val="18"/>
                <w:szCs w:val="18"/>
              </w:rPr>
              <w:t>Individual and Stakeholder roles in Biosecurity</w:t>
            </w:r>
          </w:p>
          <w:p w14:paraId="7D8F4E12" w14:textId="77777777" w:rsidR="00A22E4D" w:rsidRPr="000D2499" w:rsidRDefault="00A22E4D" w:rsidP="00EA4043">
            <w:pPr>
              <w:pStyle w:val="Default"/>
              <w:numPr>
                <w:ilvl w:val="0"/>
                <w:numId w:val="53"/>
              </w:numPr>
              <w:rPr>
                <w:rFonts w:asciiTheme="majorHAnsi" w:hAnsiTheme="majorHAnsi"/>
                <w:sz w:val="18"/>
                <w:szCs w:val="18"/>
              </w:rPr>
            </w:pPr>
            <w:r w:rsidRPr="000D2499">
              <w:rPr>
                <w:rFonts w:asciiTheme="majorHAnsi" w:hAnsiTheme="majorHAnsi"/>
                <w:sz w:val="18"/>
                <w:szCs w:val="18"/>
              </w:rPr>
              <w:t>Best Practices for Biosecurity</w:t>
            </w:r>
          </w:p>
          <w:p w14:paraId="7DB31194" w14:textId="77777777" w:rsidR="00A22E4D" w:rsidRPr="000D2499" w:rsidRDefault="00A22E4D" w:rsidP="00EA4043">
            <w:pPr>
              <w:pStyle w:val="Default"/>
              <w:numPr>
                <w:ilvl w:val="0"/>
                <w:numId w:val="53"/>
              </w:numPr>
              <w:rPr>
                <w:rFonts w:asciiTheme="majorHAnsi" w:hAnsiTheme="majorHAnsi"/>
                <w:sz w:val="18"/>
                <w:szCs w:val="18"/>
              </w:rPr>
            </w:pPr>
            <w:r w:rsidRPr="000D2499">
              <w:rPr>
                <w:rFonts w:asciiTheme="majorHAnsi" w:hAnsiTheme="majorHAnsi"/>
                <w:sz w:val="18"/>
                <w:szCs w:val="18"/>
              </w:rPr>
              <w:t>How to prevent IAS, and why it matters</w:t>
            </w:r>
          </w:p>
          <w:p w14:paraId="59B66382" w14:textId="77777777" w:rsidR="00A22E4D" w:rsidRPr="000D2499" w:rsidRDefault="00A22E4D" w:rsidP="00EA4043">
            <w:pPr>
              <w:pStyle w:val="Default"/>
              <w:numPr>
                <w:ilvl w:val="0"/>
                <w:numId w:val="53"/>
              </w:numPr>
              <w:rPr>
                <w:rFonts w:asciiTheme="majorHAnsi" w:hAnsiTheme="majorHAnsi"/>
                <w:sz w:val="18"/>
                <w:szCs w:val="18"/>
              </w:rPr>
            </w:pPr>
            <w:r w:rsidRPr="000D2499">
              <w:rPr>
                <w:rFonts w:asciiTheme="majorHAnsi" w:hAnsiTheme="majorHAnsi"/>
                <w:sz w:val="18"/>
                <w:szCs w:val="18"/>
              </w:rPr>
              <w:t>How to recognize and respond to IAS sightings, who to call, where to go</w:t>
            </w:r>
          </w:p>
          <w:p w14:paraId="45145F19" w14:textId="77777777" w:rsidR="00A22E4D" w:rsidRPr="000D2499" w:rsidRDefault="00A22E4D" w:rsidP="00EA4043">
            <w:pPr>
              <w:pStyle w:val="Default"/>
              <w:numPr>
                <w:ilvl w:val="0"/>
                <w:numId w:val="53"/>
              </w:numPr>
              <w:rPr>
                <w:rFonts w:asciiTheme="majorHAnsi" w:hAnsiTheme="majorHAnsi"/>
                <w:sz w:val="18"/>
                <w:szCs w:val="18"/>
              </w:rPr>
            </w:pPr>
            <w:r w:rsidRPr="000D2499">
              <w:rPr>
                <w:rFonts w:asciiTheme="majorHAnsi" w:hAnsiTheme="majorHAnsi"/>
                <w:sz w:val="18"/>
                <w:szCs w:val="18"/>
              </w:rPr>
              <w:t>Emergency Response actions</w:t>
            </w:r>
          </w:p>
          <w:p w14:paraId="39911900" w14:textId="77777777" w:rsidR="00A22E4D" w:rsidRPr="000D2499" w:rsidRDefault="00A22E4D" w:rsidP="00EA4043">
            <w:pPr>
              <w:pStyle w:val="Default"/>
              <w:numPr>
                <w:ilvl w:val="0"/>
                <w:numId w:val="53"/>
              </w:numPr>
              <w:rPr>
                <w:rFonts w:asciiTheme="majorHAnsi" w:hAnsiTheme="majorHAnsi"/>
                <w:sz w:val="18"/>
                <w:szCs w:val="18"/>
              </w:rPr>
            </w:pPr>
            <w:r w:rsidRPr="000D2499">
              <w:rPr>
                <w:rFonts w:asciiTheme="majorHAnsi" w:hAnsiTheme="majorHAnsi"/>
                <w:sz w:val="18"/>
                <w:szCs w:val="18"/>
              </w:rPr>
              <w:t>Alternatives to IAS, like Native Species</w:t>
            </w:r>
          </w:p>
          <w:p w14:paraId="0E78E374" w14:textId="77777777" w:rsidR="00A22E4D" w:rsidRPr="000D2499" w:rsidRDefault="00A22E4D" w:rsidP="00EA4043">
            <w:pPr>
              <w:pStyle w:val="Default"/>
              <w:numPr>
                <w:ilvl w:val="0"/>
                <w:numId w:val="53"/>
              </w:numPr>
              <w:rPr>
                <w:rFonts w:asciiTheme="majorHAnsi" w:hAnsiTheme="majorHAnsi"/>
                <w:sz w:val="18"/>
                <w:szCs w:val="18"/>
              </w:rPr>
            </w:pPr>
            <w:r w:rsidRPr="000D2499">
              <w:rPr>
                <w:rFonts w:asciiTheme="majorHAnsi" w:hAnsiTheme="majorHAnsi"/>
                <w:sz w:val="18"/>
                <w:szCs w:val="18"/>
              </w:rPr>
              <w:t>The reason for Biosecurity and IAS compliance and enforcement</w:t>
            </w:r>
          </w:p>
          <w:p w14:paraId="4EBA936F" w14:textId="77777777" w:rsidR="00A22E4D" w:rsidRPr="000D2499" w:rsidRDefault="00A22E4D" w:rsidP="00DF29AB">
            <w:pPr>
              <w:pStyle w:val="Default"/>
              <w:ind w:left="-20"/>
              <w:rPr>
                <w:rFonts w:asciiTheme="majorHAnsi" w:hAnsiTheme="majorHAnsi"/>
                <w:sz w:val="18"/>
                <w:szCs w:val="18"/>
              </w:rPr>
            </w:pPr>
          </w:p>
        </w:tc>
      </w:tr>
    </w:tbl>
    <w:p w14:paraId="1807ED24" w14:textId="77777777" w:rsidR="00A22E4D" w:rsidRPr="00150717" w:rsidRDefault="00A22E4D" w:rsidP="006D63E5">
      <w:pPr>
        <w:pStyle w:val="Default"/>
        <w:rPr>
          <w:rFonts w:asciiTheme="majorHAnsi" w:hAnsiTheme="majorHAnsi"/>
          <w:sz w:val="20"/>
          <w:szCs w:val="20"/>
        </w:rPr>
      </w:pPr>
    </w:p>
    <w:p w14:paraId="03213C46" w14:textId="77777777" w:rsidR="00A22E4D" w:rsidRPr="00150717" w:rsidRDefault="00A22E4D" w:rsidP="00A22E4D">
      <w:pPr>
        <w:pStyle w:val="Default"/>
        <w:rPr>
          <w:rFonts w:asciiTheme="majorHAnsi" w:hAnsiTheme="majorHAnsi"/>
          <w:sz w:val="20"/>
          <w:szCs w:val="20"/>
        </w:rPr>
      </w:pPr>
    </w:p>
    <w:p w14:paraId="2D11F3C4" w14:textId="77777777" w:rsidR="00A22E4D" w:rsidRPr="006D63E5" w:rsidRDefault="00A22E4D" w:rsidP="00A22E4D">
      <w:pPr>
        <w:pStyle w:val="Default"/>
        <w:jc w:val="both"/>
        <w:rPr>
          <w:rFonts w:asciiTheme="majorHAnsi" w:hAnsiTheme="majorHAnsi"/>
          <w:b/>
          <w:sz w:val="20"/>
          <w:szCs w:val="20"/>
        </w:rPr>
      </w:pPr>
      <w:r w:rsidRPr="00DB6EB8">
        <w:rPr>
          <w:rFonts w:asciiTheme="majorHAnsi" w:hAnsiTheme="majorHAnsi"/>
          <w:b/>
          <w:sz w:val="20"/>
          <w:szCs w:val="20"/>
        </w:rPr>
        <w:t>Communications Activities</w:t>
      </w:r>
    </w:p>
    <w:p w14:paraId="24C171BC" w14:textId="77777777" w:rsidR="00A22E4D" w:rsidRPr="006D63E5" w:rsidRDefault="00A22E4D" w:rsidP="00A22E4D">
      <w:pPr>
        <w:pStyle w:val="Default"/>
        <w:jc w:val="both"/>
        <w:rPr>
          <w:rFonts w:asciiTheme="majorHAnsi" w:hAnsiTheme="majorHAnsi"/>
          <w:sz w:val="20"/>
          <w:szCs w:val="20"/>
        </w:rPr>
      </w:pPr>
    </w:p>
    <w:p w14:paraId="2C350760" w14:textId="77777777" w:rsidR="00A22E4D" w:rsidRPr="006D63E5" w:rsidRDefault="00A22E4D" w:rsidP="00A22E4D">
      <w:pPr>
        <w:spacing w:after="0"/>
        <w:rPr>
          <w:rFonts w:asciiTheme="majorHAnsi" w:hAnsiTheme="majorHAnsi"/>
          <w:sz w:val="20"/>
          <w:szCs w:val="20"/>
        </w:rPr>
      </w:pPr>
      <w:r w:rsidRPr="006D63E5">
        <w:rPr>
          <w:rFonts w:asciiTheme="majorHAnsi" w:hAnsiTheme="majorHAnsi"/>
          <w:sz w:val="20"/>
          <w:szCs w:val="20"/>
        </w:rPr>
        <w:t>In general, communications should be positive and friendly in tone. Stay away from warnings and highlight benefits over risks. Highlight good decisions and try to make Leaders and communities be seen as leaders and a heroes in biodiversity conservation. Always tie the Project to the target audience (e.g. “The Project will help you, Mr. President, because….”). Messages should be short but frequent. Communications include daily and regular communications and special or infrequent activities. Branding should be constant and consistent.</w:t>
      </w:r>
    </w:p>
    <w:p w14:paraId="0968ABB2" w14:textId="77777777" w:rsidR="00A22E4D" w:rsidRPr="006D63E5" w:rsidRDefault="00A22E4D" w:rsidP="00A22E4D">
      <w:pPr>
        <w:spacing w:after="0"/>
        <w:rPr>
          <w:rFonts w:asciiTheme="majorHAnsi" w:hAnsiTheme="majorHAnsi"/>
          <w:b/>
          <w:sz w:val="20"/>
          <w:szCs w:val="20"/>
        </w:rPr>
      </w:pPr>
    </w:p>
    <w:p w14:paraId="0F8F7986" w14:textId="77777777" w:rsidR="00A22E4D" w:rsidRPr="006D63E5" w:rsidRDefault="00A22E4D" w:rsidP="00A22E4D">
      <w:pPr>
        <w:spacing w:after="0"/>
        <w:rPr>
          <w:rFonts w:asciiTheme="majorHAnsi" w:hAnsiTheme="majorHAnsi"/>
          <w:b/>
          <w:sz w:val="20"/>
          <w:szCs w:val="20"/>
        </w:rPr>
      </w:pPr>
      <w:r w:rsidRPr="006D63E5">
        <w:rPr>
          <w:rFonts w:asciiTheme="majorHAnsi" w:hAnsiTheme="majorHAnsi"/>
          <w:b/>
          <w:sz w:val="20"/>
          <w:szCs w:val="20"/>
        </w:rPr>
        <w:t>1. Setting up communications and branding</w:t>
      </w:r>
    </w:p>
    <w:p w14:paraId="0E35C374" w14:textId="77777777" w:rsidR="00A22E4D" w:rsidRPr="006D63E5" w:rsidRDefault="00A22E4D" w:rsidP="00A22E4D">
      <w:pPr>
        <w:spacing w:after="0"/>
        <w:rPr>
          <w:rFonts w:asciiTheme="majorHAnsi" w:hAnsiTheme="majorHAnsi"/>
          <w:sz w:val="20"/>
          <w:szCs w:val="20"/>
        </w:rPr>
      </w:pPr>
      <w:r w:rsidRPr="006D63E5">
        <w:rPr>
          <w:rFonts w:asciiTheme="majorHAnsi" w:hAnsiTheme="majorHAnsi"/>
          <w:sz w:val="20"/>
          <w:szCs w:val="20"/>
        </w:rPr>
        <w:t xml:space="preserve">Set up communications by agreeing with the Project Management Board on the Key message. This will allow you to have consistent messaging. Enable an ongoing low level of communications activities using the key messages by: </w:t>
      </w:r>
    </w:p>
    <w:p w14:paraId="3F97EE57" w14:textId="77777777" w:rsidR="00A22E4D" w:rsidRPr="006D63E5" w:rsidRDefault="00A22E4D" w:rsidP="00EA4043">
      <w:pPr>
        <w:pStyle w:val="ListParagraph"/>
        <w:numPr>
          <w:ilvl w:val="0"/>
          <w:numId w:val="40"/>
        </w:numPr>
        <w:spacing w:line="276" w:lineRule="auto"/>
        <w:contextualSpacing/>
        <w:jc w:val="both"/>
        <w:rPr>
          <w:rFonts w:asciiTheme="majorHAnsi" w:hAnsiTheme="majorHAnsi"/>
          <w:sz w:val="20"/>
          <w:szCs w:val="20"/>
        </w:rPr>
      </w:pPr>
      <w:r w:rsidRPr="00DB6EB8">
        <w:rPr>
          <w:rFonts w:asciiTheme="majorHAnsi" w:hAnsiTheme="majorHAnsi"/>
          <w:sz w:val="20"/>
          <w:szCs w:val="20"/>
        </w:rPr>
        <w:t>Sharing Key Messages with all relevant partners.</w:t>
      </w:r>
    </w:p>
    <w:p w14:paraId="429F5819" w14:textId="77777777" w:rsidR="00A22E4D" w:rsidRPr="006D63E5" w:rsidRDefault="00A22E4D" w:rsidP="00EA4043">
      <w:pPr>
        <w:pStyle w:val="ListParagraph"/>
        <w:numPr>
          <w:ilvl w:val="0"/>
          <w:numId w:val="40"/>
        </w:numPr>
        <w:spacing w:line="276" w:lineRule="auto"/>
        <w:contextualSpacing/>
        <w:jc w:val="both"/>
        <w:rPr>
          <w:rFonts w:asciiTheme="majorHAnsi" w:hAnsiTheme="majorHAnsi"/>
          <w:sz w:val="20"/>
          <w:szCs w:val="20"/>
        </w:rPr>
      </w:pPr>
      <w:r w:rsidRPr="006D63E5">
        <w:rPr>
          <w:rFonts w:asciiTheme="majorHAnsi" w:hAnsiTheme="majorHAnsi"/>
          <w:sz w:val="20"/>
          <w:szCs w:val="20"/>
        </w:rPr>
        <w:t>Creation and use of a “Signature” for emails and letters that uses the tagline and Elevator Speech.</w:t>
      </w:r>
    </w:p>
    <w:p w14:paraId="76037E69" w14:textId="77777777" w:rsidR="00A22E4D" w:rsidRPr="006D63E5" w:rsidRDefault="00A22E4D" w:rsidP="00EA4043">
      <w:pPr>
        <w:pStyle w:val="ListParagraph"/>
        <w:numPr>
          <w:ilvl w:val="0"/>
          <w:numId w:val="40"/>
        </w:numPr>
        <w:spacing w:line="276" w:lineRule="auto"/>
        <w:contextualSpacing/>
        <w:jc w:val="both"/>
        <w:rPr>
          <w:rFonts w:asciiTheme="majorHAnsi" w:hAnsiTheme="majorHAnsi"/>
          <w:sz w:val="20"/>
          <w:szCs w:val="20"/>
        </w:rPr>
      </w:pPr>
      <w:r w:rsidRPr="006D63E5">
        <w:rPr>
          <w:rFonts w:asciiTheme="majorHAnsi" w:hAnsiTheme="majorHAnsi"/>
          <w:sz w:val="20"/>
          <w:szCs w:val="20"/>
        </w:rPr>
        <w:t xml:space="preserve">Consistent use of the tagline on </w:t>
      </w:r>
      <w:r w:rsidRPr="006D63E5">
        <w:rPr>
          <w:rFonts w:asciiTheme="majorHAnsi" w:hAnsiTheme="majorHAnsi"/>
          <w:b/>
          <w:sz w:val="20"/>
          <w:szCs w:val="20"/>
        </w:rPr>
        <w:t>all</w:t>
      </w:r>
      <w:r w:rsidRPr="006D63E5">
        <w:rPr>
          <w:rFonts w:asciiTheme="majorHAnsi" w:hAnsiTheme="majorHAnsi"/>
          <w:sz w:val="20"/>
          <w:szCs w:val="20"/>
        </w:rPr>
        <w:t xml:space="preserve"> communications. </w:t>
      </w:r>
    </w:p>
    <w:p w14:paraId="7F157F59" w14:textId="77777777" w:rsidR="00A22E4D" w:rsidRPr="006D63E5" w:rsidRDefault="00A22E4D" w:rsidP="00EA4043">
      <w:pPr>
        <w:pStyle w:val="ListParagraph"/>
        <w:numPr>
          <w:ilvl w:val="0"/>
          <w:numId w:val="40"/>
        </w:numPr>
        <w:spacing w:line="276" w:lineRule="auto"/>
        <w:contextualSpacing/>
        <w:jc w:val="both"/>
        <w:rPr>
          <w:rFonts w:asciiTheme="majorHAnsi" w:hAnsiTheme="majorHAnsi"/>
          <w:sz w:val="20"/>
          <w:szCs w:val="20"/>
        </w:rPr>
      </w:pPr>
      <w:r w:rsidRPr="006D63E5">
        <w:rPr>
          <w:rFonts w:asciiTheme="majorHAnsi" w:hAnsiTheme="majorHAnsi"/>
          <w:sz w:val="20"/>
          <w:szCs w:val="20"/>
        </w:rPr>
        <w:t>This Elevator Speech should be placed at the bottom of emails, letters, press releases, and other communications about the Project, when space permits.</w:t>
      </w:r>
    </w:p>
    <w:p w14:paraId="76C36740" w14:textId="5363F749" w:rsidR="00A22E4D" w:rsidRPr="006D63E5" w:rsidRDefault="00A22E4D" w:rsidP="00EA4043">
      <w:pPr>
        <w:pStyle w:val="ListParagraph"/>
        <w:numPr>
          <w:ilvl w:val="0"/>
          <w:numId w:val="40"/>
        </w:numPr>
        <w:spacing w:line="276" w:lineRule="auto"/>
        <w:contextualSpacing/>
        <w:jc w:val="both"/>
        <w:rPr>
          <w:rFonts w:asciiTheme="majorHAnsi" w:hAnsiTheme="majorHAnsi"/>
          <w:sz w:val="20"/>
          <w:szCs w:val="20"/>
        </w:rPr>
      </w:pPr>
      <w:r w:rsidRPr="006D63E5">
        <w:rPr>
          <w:rFonts w:asciiTheme="majorHAnsi" w:hAnsiTheme="majorHAnsi"/>
          <w:sz w:val="20"/>
          <w:szCs w:val="20"/>
        </w:rPr>
        <w:t>Creation and use of Project letterhead that is consistent visually with MNRET letterhead</w:t>
      </w:r>
      <w:r w:rsidR="00194AA1">
        <w:rPr>
          <w:rFonts w:asciiTheme="majorHAnsi" w:hAnsiTheme="majorHAnsi"/>
          <w:sz w:val="20"/>
          <w:szCs w:val="20"/>
        </w:rPr>
        <w:t xml:space="preserve">. </w:t>
      </w:r>
      <w:r w:rsidRPr="006D63E5">
        <w:rPr>
          <w:rFonts w:asciiTheme="majorHAnsi" w:hAnsiTheme="majorHAnsi"/>
          <w:sz w:val="20"/>
          <w:szCs w:val="20"/>
        </w:rPr>
        <w:t>The letterhead should include:</w:t>
      </w:r>
    </w:p>
    <w:p w14:paraId="415CEE12" w14:textId="77777777" w:rsidR="00A22E4D" w:rsidRPr="006D63E5" w:rsidRDefault="00A22E4D" w:rsidP="00EA4043">
      <w:pPr>
        <w:pStyle w:val="ListParagraph"/>
        <w:numPr>
          <w:ilvl w:val="1"/>
          <w:numId w:val="40"/>
        </w:numPr>
        <w:spacing w:line="276" w:lineRule="auto"/>
        <w:contextualSpacing/>
        <w:jc w:val="both"/>
        <w:rPr>
          <w:rFonts w:asciiTheme="majorHAnsi" w:hAnsiTheme="majorHAnsi"/>
          <w:sz w:val="20"/>
          <w:szCs w:val="20"/>
        </w:rPr>
      </w:pPr>
      <w:r w:rsidRPr="006D63E5">
        <w:rPr>
          <w:rFonts w:asciiTheme="majorHAnsi" w:hAnsiTheme="majorHAnsi"/>
          <w:sz w:val="20"/>
          <w:szCs w:val="20"/>
        </w:rPr>
        <w:t>Project Logo (if applicable)</w:t>
      </w:r>
    </w:p>
    <w:p w14:paraId="25261111" w14:textId="77777777" w:rsidR="00A22E4D" w:rsidRPr="006D63E5" w:rsidRDefault="00A22E4D" w:rsidP="00EA4043">
      <w:pPr>
        <w:pStyle w:val="ListParagraph"/>
        <w:numPr>
          <w:ilvl w:val="1"/>
          <w:numId w:val="40"/>
        </w:numPr>
        <w:spacing w:line="276" w:lineRule="auto"/>
        <w:contextualSpacing/>
        <w:jc w:val="both"/>
        <w:rPr>
          <w:rFonts w:asciiTheme="majorHAnsi" w:hAnsiTheme="majorHAnsi"/>
          <w:sz w:val="20"/>
          <w:szCs w:val="20"/>
        </w:rPr>
      </w:pPr>
      <w:r w:rsidRPr="006D63E5">
        <w:rPr>
          <w:rFonts w:asciiTheme="majorHAnsi" w:hAnsiTheme="majorHAnsi"/>
          <w:sz w:val="20"/>
          <w:szCs w:val="20"/>
        </w:rPr>
        <w:t>Applicable Slogan based on the topic</w:t>
      </w:r>
    </w:p>
    <w:p w14:paraId="40697B90" w14:textId="77777777" w:rsidR="00A22E4D" w:rsidRPr="006D63E5" w:rsidRDefault="00A22E4D" w:rsidP="00EA4043">
      <w:pPr>
        <w:pStyle w:val="ListParagraph"/>
        <w:numPr>
          <w:ilvl w:val="1"/>
          <w:numId w:val="40"/>
        </w:numPr>
        <w:spacing w:line="276" w:lineRule="auto"/>
        <w:contextualSpacing/>
        <w:jc w:val="both"/>
        <w:rPr>
          <w:rFonts w:asciiTheme="majorHAnsi" w:hAnsiTheme="majorHAnsi"/>
          <w:sz w:val="20"/>
          <w:szCs w:val="20"/>
        </w:rPr>
      </w:pPr>
      <w:r w:rsidRPr="006D63E5">
        <w:rPr>
          <w:rFonts w:asciiTheme="majorHAnsi" w:hAnsiTheme="majorHAnsi"/>
          <w:sz w:val="20"/>
          <w:szCs w:val="20"/>
        </w:rPr>
        <w:t>The tagline</w:t>
      </w:r>
    </w:p>
    <w:p w14:paraId="29B61A9B" w14:textId="77777777" w:rsidR="00A22E4D" w:rsidRPr="006D63E5" w:rsidRDefault="00A22E4D" w:rsidP="00EA4043">
      <w:pPr>
        <w:pStyle w:val="ListParagraph"/>
        <w:numPr>
          <w:ilvl w:val="1"/>
          <w:numId w:val="40"/>
        </w:numPr>
        <w:spacing w:line="276" w:lineRule="auto"/>
        <w:contextualSpacing/>
        <w:jc w:val="both"/>
        <w:rPr>
          <w:rFonts w:asciiTheme="majorHAnsi" w:hAnsiTheme="majorHAnsi"/>
          <w:sz w:val="20"/>
          <w:szCs w:val="20"/>
        </w:rPr>
      </w:pPr>
      <w:r w:rsidRPr="006D63E5">
        <w:rPr>
          <w:rFonts w:asciiTheme="majorHAnsi" w:hAnsiTheme="majorHAnsi"/>
          <w:sz w:val="20"/>
          <w:szCs w:val="20"/>
        </w:rPr>
        <w:t>The “elevator speech” in small font – either at the bottom on in a sidebar</w:t>
      </w:r>
    </w:p>
    <w:p w14:paraId="4A27773D" w14:textId="77777777" w:rsidR="00A22E4D" w:rsidRPr="006D63E5" w:rsidRDefault="00A22E4D" w:rsidP="00EA4043">
      <w:pPr>
        <w:pStyle w:val="ListParagraph"/>
        <w:numPr>
          <w:ilvl w:val="1"/>
          <w:numId w:val="40"/>
        </w:numPr>
        <w:spacing w:line="276" w:lineRule="auto"/>
        <w:contextualSpacing/>
        <w:jc w:val="both"/>
        <w:rPr>
          <w:rFonts w:asciiTheme="majorHAnsi" w:hAnsiTheme="majorHAnsi"/>
          <w:sz w:val="20"/>
          <w:szCs w:val="20"/>
        </w:rPr>
      </w:pPr>
      <w:r w:rsidRPr="006D63E5">
        <w:rPr>
          <w:rFonts w:asciiTheme="majorHAnsi" w:hAnsiTheme="majorHAnsi"/>
          <w:sz w:val="20"/>
          <w:szCs w:val="20"/>
        </w:rPr>
        <w:t>Members of the Core Team/Project Management Board and where they can be reached.</w:t>
      </w:r>
    </w:p>
    <w:p w14:paraId="67162B36" w14:textId="77777777" w:rsidR="00A22E4D" w:rsidRPr="006D63E5" w:rsidRDefault="00A22E4D" w:rsidP="00EA4043">
      <w:pPr>
        <w:pStyle w:val="ListParagraph"/>
        <w:numPr>
          <w:ilvl w:val="1"/>
          <w:numId w:val="40"/>
        </w:numPr>
        <w:spacing w:line="276" w:lineRule="auto"/>
        <w:contextualSpacing/>
        <w:jc w:val="both"/>
        <w:rPr>
          <w:rFonts w:asciiTheme="majorHAnsi" w:hAnsiTheme="majorHAnsi"/>
          <w:sz w:val="20"/>
          <w:szCs w:val="20"/>
        </w:rPr>
      </w:pPr>
      <w:r w:rsidRPr="006D63E5">
        <w:rPr>
          <w:rFonts w:asciiTheme="majorHAnsi" w:hAnsiTheme="majorHAnsi"/>
          <w:sz w:val="20"/>
          <w:szCs w:val="20"/>
        </w:rPr>
        <w:t>As time progresses, include a list of states that are actively implementing the project and contributing to its outcomes</w:t>
      </w:r>
    </w:p>
    <w:p w14:paraId="58849E77" w14:textId="77777777" w:rsidR="00A22E4D" w:rsidRPr="006D63E5" w:rsidRDefault="00A22E4D" w:rsidP="00EA4043">
      <w:pPr>
        <w:pStyle w:val="ListParagraph"/>
        <w:numPr>
          <w:ilvl w:val="1"/>
          <w:numId w:val="40"/>
        </w:numPr>
        <w:spacing w:line="276" w:lineRule="auto"/>
        <w:contextualSpacing/>
        <w:jc w:val="both"/>
        <w:rPr>
          <w:rFonts w:asciiTheme="majorHAnsi" w:hAnsiTheme="majorHAnsi"/>
          <w:sz w:val="20"/>
          <w:szCs w:val="20"/>
        </w:rPr>
      </w:pPr>
      <w:r w:rsidRPr="006D63E5">
        <w:rPr>
          <w:rFonts w:asciiTheme="majorHAnsi" w:hAnsiTheme="majorHAnsi"/>
          <w:sz w:val="20"/>
          <w:szCs w:val="20"/>
        </w:rPr>
        <w:t>This letterhead should be used for all communications</w:t>
      </w:r>
    </w:p>
    <w:p w14:paraId="72C031FD" w14:textId="77777777" w:rsidR="00A22E4D" w:rsidRPr="006D63E5" w:rsidRDefault="00A22E4D" w:rsidP="00EA4043">
      <w:pPr>
        <w:pStyle w:val="ListParagraph"/>
        <w:numPr>
          <w:ilvl w:val="0"/>
          <w:numId w:val="40"/>
        </w:numPr>
        <w:spacing w:line="276" w:lineRule="auto"/>
        <w:contextualSpacing/>
        <w:jc w:val="both"/>
        <w:rPr>
          <w:rFonts w:asciiTheme="majorHAnsi" w:hAnsiTheme="majorHAnsi"/>
          <w:sz w:val="20"/>
          <w:szCs w:val="20"/>
        </w:rPr>
      </w:pPr>
      <w:r w:rsidRPr="006D63E5">
        <w:rPr>
          <w:rFonts w:asciiTheme="majorHAnsi" w:hAnsiTheme="majorHAnsi"/>
          <w:sz w:val="20"/>
          <w:szCs w:val="20"/>
        </w:rPr>
        <w:t xml:space="preserve">Use of a consistent email signature. </w:t>
      </w:r>
    </w:p>
    <w:p w14:paraId="524AB34A" w14:textId="77777777" w:rsidR="00A22E4D" w:rsidRPr="006D63E5" w:rsidRDefault="00A22E4D" w:rsidP="00A22E4D">
      <w:pPr>
        <w:spacing w:after="0"/>
        <w:rPr>
          <w:rFonts w:asciiTheme="majorHAnsi" w:hAnsiTheme="majorHAnsi"/>
          <w:sz w:val="20"/>
          <w:szCs w:val="20"/>
        </w:rPr>
      </w:pPr>
    </w:p>
    <w:p w14:paraId="16CD0BCE" w14:textId="77777777" w:rsidR="00A22E4D" w:rsidRPr="006D63E5" w:rsidRDefault="00A22E4D" w:rsidP="00A22E4D">
      <w:pPr>
        <w:spacing w:after="0"/>
        <w:rPr>
          <w:rFonts w:asciiTheme="majorHAnsi" w:hAnsiTheme="majorHAnsi"/>
          <w:b/>
          <w:sz w:val="20"/>
          <w:szCs w:val="20"/>
        </w:rPr>
      </w:pPr>
      <w:r w:rsidRPr="006D63E5">
        <w:rPr>
          <w:rFonts w:asciiTheme="majorHAnsi" w:hAnsiTheme="majorHAnsi"/>
          <w:b/>
          <w:sz w:val="20"/>
          <w:szCs w:val="20"/>
        </w:rPr>
        <w:t>2. Ongoing Communications (All set up in the first 3 months of the project and shared by the Inception Workshop).</w:t>
      </w:r>
    </w:p>
    <w:p w14:paraId="534AA338" w14:textId="77777777" w:rsidR="00A22E4D" w:rsidRPr="006D63E5" w:rsidRDefault="00A22E4D" w:rsidP="00EA4043">
      <w:pPr>
        <w:pStyle w:val="ListParagraph"/>
        <w:numPr>
          <w:ilvl w:val="0"/>
          <w:numId w:val="41"/>
        </w:numPr>
        <w:spacing w:line="276" w:lineRule="auto"/>
        <w:contextualSpacing/>
        <w:jc w:val="both"/>
        <w:rPr>
          <w:rFonts w:asciiTheme="majorHAnsi" w:hAnsiTheme="majorHAnsi"/>
          <w:sz w:val="20"/>
          <w:szCs w:val="20"/>
        </w:rPr>
      </w:pPr>
      <w:r w:rsidRPr="00DB6EB8">
        <w:rPr>
          <w:rFonts w:asciiTheme="majorHAnsi" w:hAnsiTheme="majorHAnsi"/>
          <w:sz w:val="20"/>
          <w:szCs w:val="20"/>
        </w:rPr>
        <w:t>The GEF6 and GEF STAR (GEF5) Project Managers and the MNRET EPU/Projects Coordinator should have regular meetings as part of staff meetings. The GEF6 Project Board and NEPC Projects Subcommittee should also have regular meetings.</w:t>
      </w:r>
    </w:p>
    <w:p w14:paraId="71647CD3" w14:textId="77777777" w:rsidR="00A22E4D" w:rsidRPr="006D63E5" w:rsidRDefault="00A22E4D" w:rsidP="00EA4043">
      <w:pPr>
        <w:pStyle w:val="ListParagraph"/>
        <w:numPr>
          <w:ilvl w:val="0"/>
          <w:numId w:val="41"/>
        </w:numPr>
        <w:spacing w:line="276" w:lineRule="auto"/>
        <w:contextualSpacing/>
        <w:jc w:val="both"/>
        <w:rPr>
          <w:rFonts w:asciiTheme="majorHAnsi" w:hAnsiTheme="majorHAnsi"/>
          <w:sz w:val="20"/>
          <w:szCs w:val="20"/>
        </w:rPr>
      </w:pPr>
      <w:r w:rsidRPr="006D63E5">
        <w:rPr>
          <w:rFonts w:asciiTheme="majorHAnsi" w:hAnsiTheme="majorHAnsi"/>
          <w:sz w:val="20"/>
          <w:szCs w:val="20"/>
        </w:rPr>
        <w:t>Set up Social Media accounts. Post regularly (1 x day / daily to every few days) to all Social Media Sites. Twitter and Instagram may be used daily. Use consistent Hashtags and tag and thank active users (e.g. @ThinkBigPalau)</w:t>
      </w:r>
    </w:p>
    <w:p w14:paraId="3715908E" w14:textId="77777777" w:rsidR="00A22E4D" w:rsidRPr="006D63E5" w:rsidRDefault="00A22E4D" w:rsidP="00EA4043">
      <w:pPr>
        <w:pStyle w:val="ListParagraph"/>
        <w:numPr>
          <w:ilvl w:val="0"/>
          <w:numId w:val="41"/>
        </w:numPr>
        <w:spacing w:line="276" w:lineRule="auto"/>
        <w:contextualSpacing/>
        <w:jc w:val="both"/>
        <w:rPr>
          <w:rFonts w:asciiTheme="majorHAnsi" w:hAnsiTheme="majorHAnsi"/>
          <w:sz w:val="20"/>
          <w:szCs w:val="20"/>
        </w:rPr>
      </w:pPr>
      <w:r w:rsidRPr="006D63E5">
        <w:rPr>
          <w:rFonts w:asciiTheme="majorHAnsi" w:hAnsiTheme="majorHAnsi"/>
          <w:sz w:val="20"/>
          <w:szCs w:val="20"/>
        </w:rPr>
        <w:t>Create a Project Facebook and LinkedIn page and post SHORT messages at least every two weeks. Join/Follow other Facebook pages (e.g. Unofficial Micronesia Challenge blog).</w:t>
      </w:r>
    </w:p>
    <w:p w14:paraId="515772A0" w14:textId="77777777" w:rsidR="00A22E4D" w:rsidRPr="006D63E5" w:rsidRDefault="00A22E4D" w:rsidP="00EA4043">
      <w:pPr>
        <w:pStyle w:val="ListParagraph"/>
        <w:numPr>
          <w:ilvl w:val="0"/>
          <w:numId w:val="41"/>
        </w:numPr>
        <w:spacing w:line="276" w:lineRule="auto"/>
        <w:contextualSpacing/>
        <w:jc w:val="both"/>
        <w:rPr>
          <w:rFonts w:asciiTheme="majorHAnsi" w:hAnsiTheme="majorHAnsi"/>
          <w:sz w:val="20"/>
          <w:szCs w:val="20"/>
        </w:rPr>
      </w:pPr>
      <w:r w:rsidRPr="006D63E5">
        <w:rPr>
          <w:rFonts w:asciiTheme="majorHAnsi" w:hAnsiTheme="majorHAnsi"/>
          <w:sz w:val="20"/>
          <w:szCs w:val="20"/>
        </w:rPr>
        <w:t>Every two months, posting something relevant about the Project on other established Facebook pages (Minister’s pages, Conserve Palau, BTA, etc.</w:t>
      </w:r>
      <w:r w:rsidRPr="006D63E5">
        <w:rPr>
          <w:rStyle w:val="FootnoteReference"/>
          <w:rFonts w:asciiTheme="majorHAnsi" w:hAnsiTheme="majorHAnsi"/>
          <w:sz w:val="20"/>
          <w:szCs w:val="20"/>
        </w:rPr>
        <w:footnoteReference w:id="41"/>
      </w:r>
      <w:r w:rsidRPr="006D63E5">
        <w:rPr>
          <w:rFonts w:asciiTheme="majorHAnsi" w:hAnsiTheme="majorHAnsi"/>
          <w:sz w:val="20"/>
          <w:szCs w:val="20"/>
        </w:rPr>
        <w:t>).</w:t>
      </w:r>
    </w:p>
    <w:p w14:paraId="22D53234" w14:textId="77777777" w:rsidR="00A22E4D" w:rsidRPr="006D63E5" w:rsidRDefault="00A22E4D" w:rsidP="00EA4043">
      <w:pPr>
        <w:pStyle w:val="ListParagraph"/>
        <w:numPr>
          <w:ilvl w:val="0"/>
          <w:numId w:val="41"/>
        </w:numPr>
        <w:spacing w:line="276" w:lineRule="auto"/>
        <w:contextualSpacing/>
        <w:jc w:val="both"/>
        <w:rPr>
          <w:rFonts w:asciiTheme="majorHAnsi" w:hAnsiTheme="majorHAnsi"/>
          <w:sz w:val="20"/>
          <w:szCs w:val="20"/>
        </w:rPr>
      </w:pPr>
      <w:r w:rsidRPr="006D63E5">
        <w:rPr>
          <w:rFonts w:asciiTheme="majorHAnsi" w:hAnsiTheme="majorHAnsi"/>
          <w:sz w:val="20"/>
          <w:szCs w:val="20"/>
        </w:rPr>
        <w:t>Email messages (ideally using a Listserv) communicating key messages every 1-2 weeks on a consistent day (e.g. “Mainstreaming Mondays”)</w:t>
      </w:r>
    </w:p>
    <w:p w14:paraId="67F3B2B4" w14:textId="77777777" w:rsidR="00A22E4D" w:rsidRPr="006D63E5" w:rsidRDefault="00A22E4D" w:rsidP="00EA4043">
      <w:pPr>
        <w:pStyle w:val="ListParagraph"/>
        <w:numPr>
          <w:ilvl w:val="1"/>
          <w:numId w:val="41"/>
        </w:numPr>
        <w:spacing w:line="276" w:lineRule="auto"/>
        <w:contextualSpacing/>
        <w:jc w:val="both"/>
        <w:rPr>
          <w:rFonts w:asciiTheme="majorHAnsi" w:hAnsiTheme="majorHAnsi"/>
          <w:sz w:val="20"/>
          <w:szCs w:val="20"/>
        </w:rPr>
      </w:pPr>
      <w:r w:rsidRPr="006D63E5">
        <w:rPr>
          <w:rFonts w:asciiTheme="majorHAnsi" w:hAnsiTheme="majorHAnsi"/>
          <w:sz w:val="20"/>
          <w:szCs w:val="20"/>
        </w:rPr>
        <w:t>Compile an email list of the key audience members.</w:t>
      </w:r>
    </w:p>
    <w:p w14:paraId="0B1B9DFA" w14:textId="77777777" w:rsidR="00A22E4D" w:rsidRPr="006D63E5" w:rsidRDefault="00A22E4D" w:rsidP="00EA4043">
      <w:pPr>
        <w:pStyle w:val="ListParagraph"/>
        <w:numPr>
          <w:ilvl w:val="1"/>
          <w:numId w:val="41"/>
        </w:numPr>
        <w:spacing w:line="276" w:lineRule="auto"/>
        <w:contextualSpacing/>
        <w:jc w:val="both"/>
        <w:rPr>
          <w:rFonts w:asciiTheme="majorHAnsi" w:hAnsiTheme="majorHAnsi"/>
          <w:sz w:val="20"/>
          <w:szCs w:val="20"/>
        </w:rPr>
      </w:pPr>
      <w:r w:rsidRPr="006D63E5">
        <w:rPr>
          <w:rFonts w:asciiTheme="majorHAnsi" w:hAnsiTheme="majorHAnsi"/>
          <w:sz w:val="20"/>
          <w:szCs w:val="20"/>
        </w:rPr>
        <w:t>Email messages should be friendly and informative in tone.</w:t>
      </w:r>
    </w:p>
    <w:p w14:paraId="3D883997" w14:textId="77777777" w:rsidR="00A22E4D" w:rsidRPr="006D63E5" w:rsidRDefault="00A22E4D" w:rsidP="00EA4043">
      <w:pPr>
        <w:pStyle w:val="ListParagraph"/>
        <w:numPr>
          <w:ilvl w:val="1"/>
          <w:numId w:val="41"/>
        </w:numPr>
        <w:spacing w:line="276" w:lineRule="auto"/>
        <w:contextualSpacing/>
        <w:jc w:val="both"/>
        <w:rPr>
          <w:rFonts w:asciiTheme="majorHAnsi" w:hAnsiTheme="majorHAnsi"/>
          <w:sz w:val="20"/>
          <w:szCs w:val="20"/>
        </w:rPr>
      </w:pPr>
      <w:r w:rsidRPr="006D63E5">
        <w:rPr>
          <w:rFonts w:asciiTheme="majorHAnsi" w:hAnsiTheme="majorHAnsi"/>
          <w:sz w:val="20"/>
          <w:szCs w:val="20"/>
        </w:rPr>
        <w:t>Email messages should be consistent and build upon each other.</w:t>
      </w:r>
    </w:p>
    <w:p w14:paraId="2E16316B" w14:textId="77777777" w:rsidR="00A22E4D" w:rsidRPr="006D63E5" w:rsidRDefault="00A22E4D" w:rsidP="00EA4043">
      <w:pPr>
        <w:pStyle w:val="ListParagraph"/>
        <w:numPr>
          <w:ilvl w:val="0"/>
          <w:numId w:val="41"/>
        </w:numPr>
        <w:spacing w:line="276" w:lineRule="auto"/>
        <w:contextualSpacing/>
        <w:jc w:val="both"/>
        <w:rPr>
          <w:rFonts w:asciiTheme="majorHAnsi" w:hAnsiTheme="majorHAnsi"/>
          <w:sz w:val="20"/>
          <w:szCs w:val="20"/>
        </w:rPr>
      </w:pPr>
      <w:r w:rsidRPr="006D63E5">
        <w:rPr>
          <w:rFonts w:asciiTheme="majorHAnsi" w:hAnsiTheme="majorHAnsi"/>
          <w:sz w:val="20"/>
          <w:szCs w:val="20"/>
        </w:rPr>
        <w:t>Set up an online digital Newsletter or select an easy to use template for a printed and PDF newsletter. Prepare short newsletters and send out every month. 1 x month.</w:t>
      </w:r>
    </w:p>
    <w:p w14:paraId="2472AE5D" w14:textId="77777777" w:rsidR="00A22E4D" w:rsidRPr="006D63E5" w:rsidRDefault="00A22E4D" w:rsidP="00EA4043">
      <w:pPr>
        <w:pStyle w:val="ListParagraph"/>
        <w:numPr>
          <w:ilvl w:val="0"/>
          <w:numId w:val="41"/>
        </w:numPr>
        <w:spacing w:line="276" w:lineRule="auto"/>
        <w:contextualSpacing/>
        <w:jc w:val="both"/>
        <w:rPr>
          <w:rFonts w:asciiTheme="majorHAnsi" w:hAnsiTheme="majorHAnsi"/>
          <w:sz w:val="20"/>
          <w:szCs w:val="20"/>
        </w:rPr>
      </w:pPr>
      <w:r w:rsidRPr="006D63E5">
        <w:rPr>
          <w:rFonts w:asciiTheme="majorHAnsi" w:hAnsiTheme="majorHAnsi"/>
          <w:sz w:val="20"/>
          <w:szCs w:val="20"/>
        </w:rPr>
        <w:t>Write and submit Press releases every two months (include radio stations in releases)</w:t>
      </w:r>
    </w:p>
    <w:p w14:paraId="5E97ED1E" w14:textId="77777777" w:rsidR="00A22E4D" w:rsidRPr="006D63E5" w:rsidRDefault="00A22E4D" w:rsidP="00EA4043">
      <w:pPr>
        <w:pStyle w:val="ListParagraph"/>
        <w:numPr>
          <w:ilvl w:val="0"/>
          <w:numId w:val="41"/>
        </w:numPr>
        <w:spacing w:line="276" w:lineRule="auto"/>
        <w:contextualSpacing/>
        <w:jc w:val="both"/>
        <w:rPr>
          <w:rFonts w:asciiTheme="majorHAnsi" w:hAnsiTheme="majorHAnsi"/>
          <w:sz w:val="20"/>
          <w:szCs w:val="20"/>
        </w:rPr>
      </w:pPr>
      <w:r w:rsidRPr="006D63E5">
        <w:rPr>
          <w:rFonts w:asciiTheme="majorHAnsi" w:hAnsiTheme="majorHAnsi"/>
          <w:sz w:val="20"/>
          <w:szCs w:val="20"/>
        </w:rPr>
        <w:t>At least one Letter to the Editor (positive in nature) per year.</w:t>
      </w:r>
    </w:p>
    <w:p w14:paraId="05706EBF" w14:textId="77777777" w:rsidR="00A22E4D" w:rsidRPr="006D63E5" w:rsidRDefault="00A22E4D" w:rsidP="00EA4043">
      <w:pPr>
        <w:pStyle w:val="ListParagraph"/>
        <w:numPr>
          <w:ilvl w:val="0"/>
          <w:numId w:val="41"/>
        </w:numPr>
        <w:spacing w:line="276" w:lineRule="auto"/>
        <w:contextualSpacing/>
        <w:jc w:val="both"/>
        <w:rPr>
          <w:rFonts w:asciiTheme="majorHAnsi" w:hAnsiTheme="majorHAnsi"/>
          <w:sz w:val="20"/>
          <w:szCs w:val="20"/>
        </w:rPr>
      </w:pPr>
      <w:r w:rsidRPr="006D63E5">
        <w:rPr>
          <w:rFonts w:asciiTheme="majorHAnsi" w:hAnsiTheme="majorHAnsi"/>
          <w:sz w:val="20"/>
          <w:szCs w:val="20"/>
        </w:rPr>
        <w:t>Aim for Radio talk shows on Eco-Paradise as often as possible, but target 2x per year. Attempt to get on other radio stations.</w:t>
      </w:r>
    </w:p>
    <w:p w14:paraId="45553681" w14:textId="77777777" w:rsidR="00A22E4D" w:rsidRPr="006D63E5" w:rsidRDefault="00A22E4D" w:rsidP="00EA4043">
      <w:pPr>
        <w:pStyle w:val="ListParagraph"/>
        <w:numPr>
          <w:ilvl w:val="0"/>
          <w:numId w:val="41"/>
        </w:numPr>
        <w:spacing w:line="276" w:lineRule="auto"/>
        <w:contextualSpacing/>
        <w:jc w:val="both"/>
        <w:rPr>
          <w:rFonts w:asciiTheme="majorHAnsi" w:hAnsiTheme="majorHAnsi"/>
          <w:sz w:val="20"/>
          <w:szCs w:val="20"/>
        </w:rPr>
      </w:pPr>
      <w:r w:rsidRPr="006D63E5">
        <w:rPr>
          <w:rFonts w:asciiTheme="majorHAnsi" w:hAnsiTheme="majorHAnsi"/>
          <w:sz w:val="20"/>
          <w:szCs w:val="20"/>
        </w:rPr>
        <w:t>Hold at least one audience with the President, Speaker of the House, and Senate President (meetings may be held separately).</w:t>
      </w:r>
      <w:r w:rsidRPr="006D63E5">
        <w:rPr>
          <w:rStyle w:val="FootnoteReference"/>
          <w:rFonts w:asciiTheme="majorHAnsi" w:hAnsiTheme="majorHAnsi"/>
          <w:sz w:val="20"/>
          <w:szCs w:val="20"/>
        </w:rPr>
        <w:footnoteReference w:id="42"/>
      </w:r>
      <w:r w:rsidRPr="006D63E5">
        <w:rPr>
          <w:rFonts w:asciiTheme="majorHAnsi" w:hAnsiTheme="majorHAnsi"/>
          <w:sz w:val="20"/>
          <w:szCs w:val="20"/>
        </w:rPr>
        <w:t xml:space="preserve"> Have at least one yearly presentation to the Governor’s Association and one yearly presentation to the Council of Chiefs, especially as Landscape/Seascape Planning progresses.</w:t>
      </w:r>
    </w:p>
    <w:p w14:paraId="7118D7A4" w14:textId="77777777" w:rsidR="00A22E4D" w:rsidRPr="006D63E5" w:rsidRDefault="00A22E4D" w:rsidP="00EA4043">
      <w:pPr>
        <w:pStyle w:val="ListParagraph"/>
        <w:numPr>
          <w:ilvl w:val="0"/>
          <w:numId w:val="41"/>
        </w:numPr>
        <w:spacing w:line="276" w:lineRule="auto"/>
        <w:contextualSpacing/>
        <w:jc w:val="both"/>
        <w:rPr>
          <w:rFonts w:asciiTheme="majorHAnsi" w:hAnsiTheme="majorHAnsi"/>
          <w:sz w:val="20"/>
          <w:szCs w:val="20"/>
        </w:rPr>
      </w:pPr>
      <w:r w:rsidRPr="006D63E5">
        <w:rPr>
          <w:rFonts w:asciiTheme="majorHAnsi" w:hAnsiTheme="majorHAnsi"/>
          <w:sz w:val="20"/>
          <w:szCs w:val="20"/>
        </w:rPr>
        <w:t>Include Palau’s key messages in other relevant quarterly e-newsletters (such as the PCC newsletter). Call to establish relationships.</w:t>
      </w:r>
    </w:p>
    <w:p w14:paraId="6115942E" w14:textId="77777777" w:rsidR="00A22E4D" w:rsidRPr="006D63E5" w:rsidRDefault="00A22E4D" w:rsidP="00EA4043">
      <w:pPr>
        <w:pStyle w:val="ListParagraph"/>
        <w:numPr>
          <w:ilvl w:val="0"/>
          <w:numId w:val="41"/>
        </w:numPr>
        <w:spacing w:line="276" w:lineRule="auto"/>
        <w:contextualSpacing/>
        <w:jc w:val="both"/>
        <w:rPr>
          <w:rFonts w:asciiTheme="majorHAnsi" w:hAnsiTheme="majorHAnsi"/>
          <w:sz w:val="20"/>
          <w:szCs w:val="20"/>
        </w:rPr>
      </w:pPr>
      <w:r w:rsidRPr="006D63E5">
        <w:rPr>
          <w:rFonts w:asciiTheme="majorHAnsi" w:hAnsiTheme="majorHAnsi"/>
          <w:sz w:val="20"/>
          <w:szCs w:val="20"/>
        </w:rPr>
        <w:t>Develop short “Cheat Sheets” on the Key Messages and content that can be easily printed out before meetings.</w:t>
      </w:r>
      <w:r w:rsidRPr="006D63E5">
        <w:rPr>
          <w:rStyle w:val="FootnoteReference"/>
          <w:rFonts w:asciiTheme="majorHAnsi" w:hAnsiTheme="majorHAnsi"/>
          <w:sz w:val="20"/>
          <w:szCs w:val="20"/>
        </w:rPr>
        <w:footnoteReference w:id="43"/>
      </w:r>
    </w:p>
    <w:p w14:paraId="13E28E3E" w14:textId="77777777" w:rsidR="00A22E4D" w:rsidRPr="006D63E5" w:rsidRDefault="00A22E4D" w:rsidP="00EA4043">
      <w:pPr>
        <w:pStyle w:val="ListParagraph"/>
        <w:numPr>
          <w:ilvl w:val="0"/>
          <w:numId w:val="41"/>
        </w:numPr>
        <w:spacing w:line="276" w:lineRule="auto"/>
        <w:contextualSpacing/>
        <w:jc w:val="both"/>
        <w:rPr>
          <w:rFonts w:asciiTheme="majorHAnsi" w:hAnsiTheme="majorHAnsi"/>
          <w:sz w:val="20"/>
          <w:szCs w:val="20"/>
        </w:rPr>
      </w:pPr>
      <w:r w:rsidRPr="006D63E5">
        <w:rPr>
          <w:rFonts w:asciiTheme="majorHAnsi" w:hAnsiTheme="majorHAnsi"/>
          <w:sz w:val="20"/>
          <w:szCs w:val="20"/>
        </w:rPr>
        <w:t>Create the Project Website or File Sharing platform.</w:t>
      </w:r>
    </w:p>
    <w:p w14:paraId="757798B7" w14:textId="77777777" w:rsidR="00A22E4D" w:rsidRPr="006D63E5" w:rsidRDefault="00A22E4D" w:rsidP="00EA4043">
      <w:pPr>
        <w:pStyle w:val="ListParagraph"/>
        <w:numPr>
          <w:ilvl w:val="0"/>
          <w:numId w:val="41"/>
        </w:numPr>
        <w:spacing w:line="276" w:lineRule="auto"/>
        <w:contextualSpacing/>
        <w:jc w:val="both"/>
        <w:rPr>
          <w:rFonts w:asciiTheme="majorHAnsi" w:hAnsiTheme="majorHAnsi"/>
          <w:sz w:val="20"/>
          <w:szCs w:val="20"/>
        </w:rPr>
      </w:pPr>
      <w:r w:rsidRPr="006D63E5">
        <w:rPr>
          <w:rFonts w:asciiTheme="majorHAnsi" w:hAnsiTheme="majorHAnsi"/>
          <w:sz w:val="20"/>
          <w:szCs w:val="20"/>
        </w:rPr>
        <w:t>Participate in annual fairs (e.g. Earth Day, OBF).</w:t>
      </w:r>
    </w:p>
    <w:p w14:paraId="082AAD87" w14:textId="77777777" w:rsidR="00A22E4D" w:rsidRPr="006D63E5" w:rsidRDefault="00A22E4D" w:rsidP="00EA4043">
      <w:pPr>
        <w:pStyle w:val="ListParagraph"/>
        <w:numPr>
          <w:ilvl w:val="0"/>
          <w:numId w:val="41"/>
        </w:numPr>
        <w:spacing w:line="276" w:lineRule="auto"/>
        <w:contextualSpacing/>
        <w:jc w:val="both"/>
        <w:rPr>
          <w:rFonts w:asciiTheme="majorHAnsi" w:hAnsiTheme="majorHAnsi"/>
          <w:sz w:val="20"/>
          <w:szCs w:val="20"/>
        </w:rPr>
      </w:pPr>
      <w:r w:rsidRPr="006D63E5">
        <w:rPr>
          <w:rFonts w:asciiTheme="majorHAnsi" w:hAnsiTheme="majorHAnsi"/>
          <w:sz w:val="20"/>
          <w:szCs w:val="20"/>
        </w:rPr>
        <w:t>Reach out to business partners to set up at least 6 “Pop Up” Hands-on Exhibits throughout the year to increase awareness on Biosecurity and IAS. Suggested locations include Surangels, Payless, WCTC, and KB Shell.</w:t>
      </w:r>
    </w:p>
    <w:p w14:paraId="684FD00F" w14:textId="77777777" w:rsidR="00A22E4D" w:rsidRPr="006D63E5" w:rsidRDefault="00A22E4D" w:rsidP="00A22E4D">
      <w:pPr>
        <w:spacing w:after="0"/>
        <w:rPr>
          <w:rFonts w:asciiTheme="majorHAnsi" w:hAnsiTheme="majorHAnsi"/>
          <w:sz w:val="20"/>
          <w:szCs w:val="20"/>
        </w:rPr>
      </w:pPr>
    </w:p>
    <w:p w14:paraId="58EDBC3E" w14:textId="77777777" w:rsidR="00A22E4D" w:rsidRPr="006D63E5" w:rsidRDefault="00A22E4D" w:rsidP="00A22E4D">
      <w:pPr>
        <w:spacing w:after="0"/>
        <w:rPr>
          <w:rFonts w:asciiTheme="majorHAnsi" w:hAnsiTheme="majorHAnsi"/>
          <w:b/>
          <w:sz w:val="20"/>
          <w:szCs w:val="20"/>
        </w:rPr>
      </w:pPr>
      <w:r w:rsidRPr="006D63E5">
        <w:rPr>
          <w:rFonts w:asciiTheme="majorHAnsi" w:hAnsiTheme="majorHAnsi"/>
          <w:b/>
          <w:sz w:val="20"/>
          <w:szCs w:val="20"/>
        </w:rPr>
        <w:t>2. As needed Communications (Identified through regular work planning)</w:t>
      </w:r>
    </w:p>
    <w:p w14:paraId="335B8CD6" w14:textId="77777777" w:rsidR="00A22E4D" w:rsidRPr="006D63E5" w:rsidRDefault="00A22E4D" w:rsidP="00A22E4D">
      <w:pPr>
        <w:spacing w:after="0"/>
        <w:rPr>
          <w:rFonts w:asciiTheme="majorHAnsi" w:hAnsiTheme="majorHAnsi"/>
          <w:sz w:val="20"/>
          <w:szCs w:val="20"/>
        </w:rPr>
      </w:pPr>
      <w:r w:rsidRPr="006D63E5">
        <w:rPr>
          <w:rFonts w:asciiTheme="majorHAnsi" w:hAnsiTheme="majorHAnsi"/>
          <w:sz w:val="20"/>
          <w:szCs w:val="20"/>
        </w:rPr>
        <w:t>Much of the project involves targeted communications with key stakeholders, as meetings, letters, emails, workshops, presentations, creation of educational or outreach materials, or visits. These should be identified during regular work planning. Some items include:</w:t>
      </w:r>
    </w:p>
    <w:p w14:paraId="5A36C050" w14:textId="77777777" w:rsidR="00A22E4D" w:rsidRPr="006D63E5" w:rsidRDefault="00A22E4D" w:rsidP="00EA4043">
      <w:pPr>
        <w:pStyle w:val="ListParagraph"/>
        <w:numPr>
          <w:ilvl w:val="0"/>
          <w:numId w:val="54"/>
        </w:numPr>
        <w:spacing w:line="259" w:lineRule="auto"/>
        <w:contextualSpacing/>
        <w:jc w:val="both"/>
        <w:rPr>
          <w:rFonts w:asciiTheme="majorHAnsi" w:hAnsiTheme="majorHAnsi"/>
          <w:sz w:val="20"/>
          <w:szCs w:val="20"/>
        </w:rPr>
      </w:pPr>
      <w:r w:rsidRPr="00DB6EB8">
        <w:rPr>
          <w:rFonts w:asciiTheme="majorHAnsi" w:hAnsiTheme="majorHAnsi"/>
          <w:sz w:val="20"/>
          <w:szCs w:val="20"/>
        </w:rPr>
        <w:t>Hire an “Expert”, preferably foreign, and embark on a tour of State Legislatures to give presentations on the importance of Landscape/Seascape Planning.</w:t>
      </w:r>
    </w:p>
    <w:p w14:paraId="017C9D59" w14:textId="77777777" w:rsidR="00A22E4D" w:rsidRPr="006D63E5" w:rsidRDefault="00A22E4D" w:rsidP="00EA4043">
      <w:pPr>
        <w:pStyle w:val="ListParagraph"/>
        <w:numPr>
          <w:ilvl w:val="0"/>
          <w:numId w:val="54"/>
        </w:numPr>
        <w:spacing w:line="259" w:lineRule="auto"/>
        <w:contextualSpacing/>
        <w:jc w:val="both"/>
        <w:rPr>
          <w:rFonts w:asciiTheme="majorHAnsi" w:hAnsiTheme="majorHAnsi"/>
          <w:sz w:val="20"/>
          <w:szCs w:val="20"/>
        </w:rPr>
      </w:pPr>
      <w:r w:rsidRPr="006D63E5">
        <w:rPr>
          <w:rFonts w:asciiTheme="majorHAnsi" w:hAnsiTheme="majorHAnsi"/>
          <w:sz w:val="20"/>
          <w:szCs w:val="20"/>
        </w:rPr>
        <w:t>Follow Best Practices for Planning (Annex 4) to hold meetings and set up State Planning Teams</w:t>
      </w:r>
    </w:p>
    <w:p w14:paraId="24AD2278" w14:textId="77777777" w:rsidR="00A22E4D" w:rsidRPr="006D63E5" w:rsidRDefault="00A22E4D" w:rsidP="00EA4043">
      <w:pPr>
        <w:pStyle w:val="ListParagraph"/>
        <w:numPr>
          <w:ilvl w:val="0"/>
          <w:numId w:val="42"/>
        </w:numPr>
        <w:spacing w:line="276" w:lineRule="auto"/>
        <w:contextualSpacing/>
        <w:jc w:val="both"/>
        <w:rPr>
          <w:rFonts w:asciiTheme="majorHAnsi" w:hAnsiTheme="majorHAnsi"/>
          <w:i/>
          <w:sz w:val="20"/>
          <w:szCs w:val="20"/>
        </w:rPr>
      </w:pPr>
      <w:r w:rsidRPr="006D63E5">
        <w:rPr>
          <w:rFonts w:asciiTheme="majorHAnsi" w:hAnsiTheme="majorHAnsi"/>
          <w:sz w:val="20"/>
          <w:szCs w:val="20"/>
        </w:rPr>
        <w:t>When States/Partners make any positive advances towards Project Objectives, use as many venues as possible to congratulate and reassure leaders that it was the right decision.</w:t>
      </w:r>
    </w:p>
    <w:p w14:paraId="211025D8" w14:textId="77777777" w:rsidR="00A22E4D" w:rsidRPr="006D63E5" w:rsidRDefault="00A22E4D" w:rsidP="00EA4043">
      <w:pPr>
        <w:pStyle w:val="ListParagraph"/>
        <w:numPr>
          <w:ilvl w:val="0"/>
          <w:numId w:val="43"/>
        </w:numPr>
        <w:spacing w:line="276" w:lineRule="auto"/>
        <w:contextualSpacing/>
        <w:jc w:val="both"/>
        <w:rPr>
          <w:rFonts w:asciiTheme="majorHAnsi" w:hAnsiTheme="majorHAnsi"/>
          <w:sz w:val="20"/>
          <w:szCs w:val="20"/>
        </w:rPr>
      </w:pPr>
      <w:r w:rsidRPr="006D63E5">
        <w:rPr>
          <w:rFonts w:asciiTheme="majorHAnsi" w:hAnsiTheme="majorHAnsi"/>
          <w:sz w:val="20"/>
          <w:szCs w:val="20"/>
        </w:rPr>
        <w:t>When a new partner joins the project (including new State governments), send out letters, emails, and other messages highlighting their participation.</w:t>
      </w:r>
    </w:p>
    <w:p w14:paraId="0388A30E" w14:textId="77777777" w:rsidR="00A22E4D" w:rsidRPr="006D63E5" w:rsidRDefault="00A22E4D" w:rsidP="00A22E4D">
      <w:pPr>
        <w:tabs>
          <w:tab w:val="left" w:pos="1440"/>
          <w:tab w:val="left" w:pos="5040"/>
        </w:tabs>
        <w:spacing w:after="0"/>
        <w:rPr>
          <w:rFonts w:asciiTheme="majorHAnsi" w:hAnsiTheme="majorHAnsi"/>
          <w:b/>
          <w:sz w:val="20"/>
          <w:szCs w:val="20"/>
        </w:rPr>
      </w:pPr>
    </w:p>
    <w:p w14:paraId="2BE4082C" w14:textId="77777777" w:rsidR="00A22E4D" w:rsidRPr="006D63E5" w:rsidRDefault="00A22E4D" w:rsidP="00A22E4D">
      <w:pPr>
        <w:tabs>
          <w:tab w:val="left" w:pos="1440"/>
          <w:tab w:val="left" w:pos="5040"/>
        </w:tabs>
        <w:spacing w:after="0"/>
        <w:rPr>
          <w:rFonts w:asciiTheme="majorHAnsi" w:hAnsiTheme="majorHAnsi"/>
          <w:b/>
          <w:sz w:val="20"/>
          <w:szCs w:val="20"/>
        </w:rPr>
      </w:pPr>
      <w:r w:rsidRPr="006D63E5">
        <w:rPr>
          <w:rFonts w:asciiTheme="majorHAnsi" w:hAnsiTheme="majorHAnsi"/>
          <w:b/>
          <w:sz w:val="20"/>
          <w:szCs w:val="20"/>
        </w:rPr>
        <w:t>Evaluating Success</w:t>
      </w:r>
    </w:p>
    <w:p w14:paraId="661A4507" w14:textId="77777777" w:rsidR="00A22E4D" w:rsidRPr="006D63E5" w:rsidRDefault="00A22E4D" w:rsidP="00A22E4D">
      <w:pPr>
        <w:tabs>
          <w:tab w:val="left" w:pos="1440"/>
          <w:tab w:val="left" w:pos="5040"/>
        </w:tabs>
        <w:spacing w:after="0"/>
        <w:rPr>
          <w:rFonts w:asciiTheme="majorHAnsi" w:hAnsiTheme="majorHAnsi"/>
          <w:sz w:val="20"/>
          <w:szCs w:val="20"/>
        </w:rPr>
      </w:pPr>
      <w:r w:rsidRPr="006D63E5">
        <w:rPr>
          <w:rFonts w:asciiTheme="majorHAnsi" w:hAnsiTheme="majorHAnsi"/>
          <w:sz w:val="20"/>
          <w:szCs w:val="20"/>
        </w:rPr>
        <w:t>The Project Board should realistically measure success by:</w:t>
      </w:r>
    </w:p>
    <w:p w14:paraId="18D71937" w14:textId="77777777" w:rsidR="00A22E4D" w:rsidRPr="00DB6EB8" w:rsidRDefault="00A22E4D" w:rsidP="00EA4043">
      <w:pPr>
        <w:pStyle w:val="ListParagraph"/>
        <w:numPr>
          <w:ilvl w:val="0"/>
          <w:numId w:val="44"/>
        </w:numPr>
        <w:tabs>
          <w:tab w:val="left" w:pos="1440"/>
          <w:tab w:val="left" w:pos="5040"/>
        </w:tabs>
        <w:spacing w:line="276" w:lineRule="auto"/>
        <w:contextualSpacing/>
        <w:jc w:val="both"/>
        <w:rPr>
          <w:rFonts w:asciiTheme="majorHAnsi" w:hAnsiTheme="majorHAnsi"/>
          <w:sz w:val="20"/>
          <w:szCs w:val="20"/>
        </w:rPr>
      </w:pPr>
      <w:r w:rsidRPr="00DB6EB8">
        <w:rPr>
          <w:rFonts w:asciiTheme="majorHAnsi" w:hAnsiTheme="majorHAnsi"/>
          <w:sz w:val="20"/>
          <w:szCs w:val="20"/>
        </w:rPr>
        <w:t>Implementing the baseline and follow up KAP Surveys</w:t>
      </w:r>
    </w:p>
    <w:p w14:paraId="0EEF11EC" w14:textId="77777777" w:rsidR="00A22E4D" w:rsidRPr="006D63E5" w:rsidRDefault="00A22E4D" w:rsidP="00EA4043">
      <w:pPr>
        <w:pStyle w:val="ListParagraph"/>
        <w:numPr>
          <w:ilvl w:val="0"/>
          <w:numId w:val="44"/>
        </w:numPr>
        <w:tabs>
          <w:tab w:val="left" w:pos="1440"/>
          <w:tab w:val="left" w:pos="5040"/>
        </w:tabs>
        <w:spacing w:line="276" w:lineRule="auto"/>
        <w:contextualSpacing/>
        <w:jc w:val="both"/>
        <w:rPr>
          <w:rFonts w:asciiTheme="majorHAnsi" w:hAnsiTheme="majorHAnsi"/>
          <w:sz w:val="20"/>
          <w:szCs w:val="20"/>
        </w:rPr>
      </w:pPr>
      <w:r w:rsidRPr="006D63E5">
        <w:rPr>
          <w:rFonts w:asciiTheme="majorHAnsi" w:hAnsiTheme="majorHAnsi"/>
          <w:sz w:val="20"/>
          <w:szCs w:val="20"/>
        </w:rPr>
        <w:t>During work planning meetings, collect anecdotal information (including through direct questioning) on whether Project Partners understand the project. Track responses, especially highlighting areas where the Project Partners are struggling. If partners are struggling, then the public and other stakeholders will be too.</w:t>
      </w:r>
    </w:p>
    <w:p w14:paraId="048F5465" w14:textId="77777777" w:rsidR="00A22E4D" w:rsidRPr="006D63E5" w:rsidRDefault="00A22E4D" w:rsidP="00EA4043">
      <w:pPr>
        <w:pStyle w:val="ListParagraph"/>
        <w:numPr>
          <w:ilvl w:val="0"/>
          <w:numId w:val="44"/>
        </w:numPr>
        <w:tabs>
          <w:tab w:val="left" w:pos="1440"/>
          <w:tab w:val="left" w:pos="5040"/>
        </w:tabs>
        <w:spacing w:line="276" w:lineRule="auto"/>
        <w:contextualSpacing/>
        <w:jc w:val="both"/>
        <w:rPr>
          <w:rFonts w:asciiTheme="majorHAnsi" w:hAnsiTheme="majorHAnsi"/>
          <w:sz w:val="20"/>
          <w:szCs w:val="20"/>
        </w:rPr>
      </w:pPr>
      <w:r w:rsidRPr="006D63E5">
        <w:rPr>
          <w:rFonts w:asciiTheme="majorHAnsi" w:hAnsiTheme="majorHAnsi"/>
          <w:sz w:val="20"/>
          <w:szCs w:val="20"/>
        </w:rPr>
        <w:t>Tracking any requests for information or replies to email messages</w:t>
      </w:r>
    </w:p>
    <w:p w14:paraId="09A54903" w14:textId="77777777" w:rsidR="00A22E4D" w:rsidRPr="006D63E5" w:rsidRDefault="00A22E4D" w:rsidP="00EA4043">
      <w:pPr>
        <w:pStyle w:val="ListParagraph"/>
        <w:numPr>
          <w:ilvl w:val="0"/>
          <w:numId w:val="44"/>
        </w:numPr>
        <w:tabs>
          <w:tab w:val="left" w:pos="1440"/>
          <w:tab w:val="left" w:pos="5040"/>
        </w:tabs>
        <w:spacing w:line="276" w:lineRule="auto"/>
        <w:contextualSpacing/>
        <w:jc w:val="both"/>
        <w:rPr>
          <w:rFonts w:asciiTheme="majorHAnsi" w:hAnsiTheme="majorHAnsi"/>
          <w:sz w:val="20"/>
          <w:szCs w:val="20"/>
        </w:rPr>
      </w:pPr>
      <w:r w:rsidRPr="006D63E5">
        <w:rPr>
          <w:rFonts w:asciiTheme="majorHAnsi" w:hAnsiTheme="majorHAnsi"/>
          <w:sz w:val="20"/>
          <w:szCs w:val="20"/>
        </w:rPr>
        <w:t>Tracking any online comments (e.g. number and types of responses to Facebook postings)</w:t>
      </w:r>
    </w:p>
    <w:p w14:paraId="24EEB2E9" w14:textId="77777777" w:rsidR="00A22E4D" w:rsidRPr="006D63E5" w:rsidRDefault="00A22E4D" w:rsidP="00EA4043">
      <w:pPr>
        <w:pStyle w:val="ListParagraph"/>
        <w:numPr>
          <w:ilvl w:val="0"/>
          <w:numId w:val="44"/>
        </w:numPr>
        <w:tabs>
          <w:tab w:val="left" w:pos="1440"/>
          <w:tab w:val="left" w:pos="5040"/>
        </w:tabs>
        <w:spacing w:line="276" w:lineRule="auto"/>
        <w:contextualSpacing/>
        <w:jc w:val="both"/>
        <w:rPr>
          <w:rFonts w:asciiTheme="majorHAnsi" w:hAnsiTheme="majorHAnsi"/>
          <w:sz w:val="20"/>
          <w:szCs w:val="20"/>
        </w:rPr>
      </w:pPr>
      <w:r w:rsidRPr="006D63E5">
        <w:rPr>
          <w:rFonts w:asciiTheme="majorHAnsi" w:hAnsiTheme="majorHAnsi"/>
          <w:sz w:val="20"/>
          <w:szCs w:val="20"/>
        </w:rPr>
        <w:t>Use the tracking tools that come with Websites and Digital Newsletters (e.g. track # of clicks).</w:t>
      </w:r>
    </w:p>
    <w:p w14:paraId="74525EAC" w14:textId="77777777" w:rsidR="00A22E4D" w:rsidRPr="006D63E5" w:rsidRDefault="00A22E4D" w:rsidP="00A22E4D">
      <w:pPr>
        <w:tabs>
          <w:tab w:val="left" w:pos="1440"/>
          <w:tab w:val="left" w:pos="5040"/>
        </w:tabs>
        <w:spacing w:after="0" w:line="276" w:lineRule="auto"/>
        <w:rPr>
          <w:rFonts w:asciiTheme="majorHAnsi" w:hAnsiTheme="majorHAnsi"/>
          <w:sz w:val="20"/>
          <w:szCs w:val="20"/>
        </w:rPr>
      </w:pPr>
      <w:r w:rsidRPr="006D63E5">
        <w:rPr>
          <w:rFonts w:asciiTheme="majorHAnsi" w:hAnsiTheme="majorHAnsi"/>
          <w:sz w:val="20"/>
          <w:szCs w:val="20"/>
        </w:rPr>
        <w:t>Information that is collected should be used during Annual Work Planning, including updating of the Communications Plan.</w:t>
      </w:r>
    </w:p>
    <w:p w14:paraId="7C999160" w14:textId="77777777" w:rsidR="00A22E4D" w:rsidRPr="006D63E5" w:rsidRDefault="00A22E4D" w:rsidP="00A22E4D">
      <w:pPr>
        <w:spacing w:after="0"/>
        <w:rPr>
          <w:rFonts w:asciiTheme="majorHAnsi" w:hAnsiTheme="majorHAnsi" w:cs="Calibri"/>
          <w:b/>
          <w:sz w:val="20"/>
          <w:szCs w:val="20"/>
        </w:rPr>
      </w:pPr>
    </w:p>
    <w:p w14:paraId="2A6B091C" w14:textId="77777777" w:rsidR="00A22E4D" w:rsidRPr="006D63E5" w:rsidRDefault="00A22E4D" w:rsidP="00A22E4D">
      <w:pPr>
        <w:spacing w:after="0"/>
        <w:rPr>
          <w:rFonts w:asciiTheme="majorHAnsi" w:hAnsiTheme="majorHAnsi" w:cs="Calibri"/>
          <w:b/>
          <w:sz w:val="20"/>
          <w:szCs w:val="20"/>
        </w:rPr>
      </w:pPr>
      <w:r w:rsidRPr="006D63E5">
        <w:rPr>
          <w:rFonts w:asciiTheme="majorHAnsi" w:hAnsiTheme="majorHAnsi" w:cs="Calibri"/>
          <w:b/>
          <w:sz w:val="20"/>
          <w:szCs w:val="20"/>
        </w:rPr>
        <w:t xml:space="preserve">Implementation of the Communication Strategy </w:t>
      </w:r>
    </w:p>
    <w:p w14:paraId="67494D1D" w14:textId="77777777" w:rsidR="00A22E4D" w:rsidRPr="006D63E5" w:rsidRDefault="00A22E4D" w:rsidP="00A22E4D">
      <w:pPr>
        <w:rPr>
          <w:rFonts w:asciiTheme="majorHAnsi" w:hAnsiTheme="majorHAnsi" w:cs="Calibri"/>
          <w:sz w:val="20"/>
          <w:szCs w:val="20"/>
        </w:rPr>
      </w:pPr>
      <w:r w:rsidRPr="006D63E5">
        <w:rPr>
          <w:rFonts w:asciiTheme="majorHAnsi" w:hAnsiTheme="majorHAnsi" w:cs="Calibri"/>
          <w:sz w:val="20"/>
          <w:szCs w:val="20"/>
        </w:rPr>
        <w:t xml:space="preserve">The communication strategy implementation will be implemented over a period of six years, starting before the Inception Workshop. The main implementing agency is the </w:t>
      </w:r>
      <w:r w:rsidRPr="006D63E5">
        <w:rPr>
          <w:rFonts w:asciiTheme="majorHAnsi" w:hAnsiTheme="majorHAnsi" w:cs="Calibri"/>
          <w:b/>
          <w:sz w:val="20"/>
          <w:szCs w:val="20"/>
        </w:rPr>
        <w:t xml:space="preserve">Ministry of Natural Resources, Environment, and Tourism. </w:t>
      </w:r>
      <w:r w:rsidRPr="006D63E5">
        <w:rPr>
          <w:rFonts w:asciiTheme="majorHAnsi" w:hAnsiTheme="majorHAnsi" w:cs="Calibri"/>
          <w:sz w:val="20"/>
          <w:szCs w:val="20"/>
        </w:rPr>
        <w:t xml:space="preserve">It shall be the </w:t>
      </w:r>
      <w:r w:rsidRPr="006D63E5">
        <w:rPr>
          <w:rFonts w:asciiTheme="majorHAnsi" w:hAnsiTheme="majorHAnsi" w:cs="Calibri"/>
          <w:b/>
          <w:sz w:val="20"/>
          <w:szCs w:val="20"/>
        </w:rPr>
        <w:t>responsibility of the GEF6 Project Managers and the MNRET Projects Coordinator</w:t>
      </w:r>
      <w:r w:rsidRPr="006D63E5">
        <w:rPr>
          <w:rFonts w:asciiTheme="majorHAnsi" w:hAnsiTheme="majorHAnsi" w:cs="Calibri"/>
          <w:sz w:val="20"/>
          <w:szCs w:val="20"/>
        </w:rPr>
        <w:t xml:space="preserve"> to implement this plan, including overseeing partners to implement certain aspects of this plan. </w:t>
      </w:r>
    </w:p>
    <w:p w14:paraId="0220387E" w14:textId="77777777" w:rsidR="00A22E4D" w:rsidRPr="006D63E5" w:rsidRDefault="00A22E4D" w:rsidP="00A22E4D">
      <w:pPr>
        <w:tabs>
          <w:tab w:val="left" w:pos="7560"/>
        </w:tabs>
        <w:rPr>
          <w:b/>
          <w:sz w:val="20"/>
          <w:szCs w:val="20"/>
        </w:rPr>
      </w:pPr>
      <w:r w:rsidRPr="006D63E5">
        <w:rPr>
          <w:b/>
          <w:sz w:val="20"/>
          <w:szCs w:val="20"/>
        </w:rPr>
        <w:t xml:space="preserve"> </w:t>
      </w:r>
    </w:p>
    <w:p w14:paraId="2923DCEB" w14:textId="77777777" w:rsidR="00A22E4D" w:rsidRPr="006D63E5" w:rsidRDefault="00A22E4D" w:rsidP="00A22E4D">
      <w:pPr>
        <w:tabs>
          <w:tab w:val="left" w:pos="7560"/>
        </w:tabs>
        <w:rPr>
          <w:b/>
          <w:sz w:val="18"/>
          <w:szCs w:val="18"/>
        </w:rPr>
      </w:pPr>
      <w:r w:rsidRPr="006D21CC">
        <w:rPr>
          <w:b/>
          <w:szCs w:val="20"/>
        </w:rPr>
        <w:t xml:space="preserve"> </w:t>
      </w:r>
      <w:r w:rsidRPr="006D63E5">
        <w:rPr>
          <w:b/>
          <w:sz w:val="18"/>
          <w:szCs w:val="18"/>
        </w:rPr>
        <w:t>Table 1:  Work Plan for Implementation of the Communication Strategy</w:t>
      </w:r>
    </w:p>
    <w:tbl>
      <w:tblPr>
        <w:tblW w:w="992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7"/>
        <w:gridCol w:w="194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22E4D" w:rsidRPr="00175614" w14:paraId="75E76CAD" w14:textId="77777777" w:rsidTr="00DF29AB">
        <w:trPr>
          <w:tblHeader/>
        </w:trPr>
        <w:tc>
          <w:tcPr>
            <w:tcW w:w="2317" w:type="dxa"/>
            <w:shd w:val="clear" w:color="auto" w:fill="BFBFBF" w:themeFill="background1" w:themeFillShade="BF"/>
          </w:tcPr>
          <w:p w14:paraId="5FDEDE1E" w14:textId="77777777" w:rsidR="00A22E4D" w:rsidRPr="00175614" w:rsidRDefault="00A22E4D" w:rsidP="00DF29AB">
            <w:pPr>
              <w:tabs>
                <w:tab w:val="left" w:pos="7560"/>
              </w:tabs>
              <w:spacing w:after="0"/>
              <w:rPr>
                <w:b/>
                <w:sz w:val="18"/>
                <w:szCs w:val="16"/>
              </w:rPr>
            </w:pPr>
            <w:r w:rsidRPr="00175614">
              <w:rPr>
                <w:b/>
                <w:sz w:val="18"/>
                <w:szCs w:val="16"/>
              </w:rPr>
              <w:t>Activity</w:t>
            </w:r>
          </w:p>
        </w:tc>
        <w:tc>
          <w:tcPr>
            <w:tcW w:w="1946" w:type="dxa"/>
            <w:shd w:val="clear" w:color="auto" w:fill="BFBFBF" w:themeFill="background1" w:themeFillShade="BF"/>
          </w:tcPr>
          <w:p w14:paraId="03FBFEF7" w14:textId="77777777" w:rsidR="00A22E4D" w:rsidRPr="00175614" w:rsidRDefault="00A22E4D" w:rsidP="00DF29AB">
            <w:pPr>
              <w:tabs>
                <w:tab w:val="left" w:pos="7560"/>
              </w:tabs>
              <w:spacing w:after="0"/>
              <w:rPr>
                <w:b/>
                <w:sz w:val="18"/>
                <w:szCs w:val="16"/>
              </w:rPr>
            </w:pPr>
            <w:r w:rsidRPr="00175614">
              <w:rPr>
                <w:b/>
                <w:sz w:val="18"/>
                <w:szCs w:val="16"/>
              </w:rPr>
              <w:t>Milestone(s)</w:t>
            </w:r>
          </w:p>
        </w:tc>
        <w:tc>
          <w:tcPr>
            <w:tcW w:w="944" w:type="dxa"/>
            <w:gridSpan w:val="4"/>
            <w:shd w:val="clear" w:color="auto" w:fill="BFBFBF" w:themeFill="background1" w:themeFillShade="BF"/>
          </w:tcPr>
          <w:p w14:paraId="757109F1" w14:textId="77777777" w:rsidR="00A22E4D" w:rsidRPr="00175614" w:rsidRDefault="00A22E4D" w:rsidP="00DF29AB">
            <w:pPr>
              <w:tabs>
                <w:tab w:val="left" w:pos="7560"/>
              </w:tabs>
              <w:spacing w:after="0"/>
              <w:rPr>
                <w:b/>
                <w:sz w:val="18"/>
                <w:szCs w:val="16"/>
              </w:rPr>
            </w:pPr>
            <w:r>
              <w:rPr>
                <w:b/>
                <w:sz w:val="18"/>
                <w:szCs w:val="16"/>
              </w:rPr>
              <w:t>Year 1</w:t>
            </w:r>
          </w:p>
        </w:tc>
        <w:tc>
          <w:tcPr>
            <w:tcW w:w="944" w:type="dxa"/>
            <w:gridSpan w:val="4"/>
            <w:shd w:val="clear" w:color="auto" w:fill="BFBFBF" w:themeFill="background1" w:themeFillShade="BF"/>
          </w:tcPr>
          <w:p w14:paraId="0C9755F2" w14:textId="77777777" w:rsidR="00A22E4D" w:rsidRPr="00175614" w:rsidRDefault="00A22E4D" w:rsidP="00DF29AB">
            <w:pPr>
              <w:tabs>
                <w:tab w:val="left" w:pos="7560"/>
              </w:tabs>
              <w:spacing w:after="0"/>
              <w:rPr>
                <w:b/>
                <w:sz w:val="18"/>
                <w:szCs w:val="16"/>
              </w:rPr>
            </w:pPr>
            <w:r>
              <w:rPr>
                <w:b/>
                <w:sz w:val="18"/>
                <w:szCs w:val="16"/>
              </w:rPr>
              <w:t>Year 2</w:t>
            </w:r>
          </w:p>
        </w:tc>
        <w:tc>
          <w:tcPr>
            <w:tcW w:w="944" w:type="dxa"/>
            <w:gridSpan w:val="4"/>
            <w:shd w:val="clear" w:color="auto" w:fill="BFBFBF" w:themeFill="background1" w:themeFillShade="BF"/>
          </w:tcPr>
          <w:p w14:paraId="24C8CDE7" w14:textId="77777777" w:rsidR="00A22E4D" w:rsidRPr="00175614" w:rsidRDefault="00A22E4D" w:rsidP="00DF29AB">
            <w:pPr>
              <w:tabs>
                <w:tab w:val="left" w:pos="7560"/>
              </w:tabs>
              <w:spacing w:after="0"/>
              <w:rPr>
                <w:b/>
                <w:sz w:val="18"/>
                <w:szCs w:val="16"/>
              </w:rPr>
            </w:pPr>
            <w:r>
              <w:rPr>
                <w:b/>
                <w:sz w:val="18"/>
                <w:szCs w:val="16"/>
              </w:rPr>
              <w:t>Year 3</w:t>
            </w:r>
          </w:p>
        </w:tc>
        <w:tc>
          <w:tcPr>
            <w:tcW w:w="944" w:type="dxa"/>
            <w:gridSpan w:val="4"/>
            <w:shd w:val="clear" w:color="auto" w:fill="BFBFBF" w:themeFill="background1" w:themeFillShade="BF"/>
          </w:tcPr>
          <w:p w14:paraId="468FD81B" w14:textId="77777777" w:rsidR="00A22E4D" w:rsidRPr="00175614" w:rsidRDefault="00A22E4D" w:rsidP="00DF29AB">
            <w:pPr>
              <w:tabs>
                <w:tab w:val="left" w:pos="7560"/>
              </w:tabs>
              <w:spacing w:after="0"/>
              <w:rPr>
                <w:b/>
                <w:sz w:val="18"/>
                <w:szCs w:val="16"/>
              </w:rPr>
            </w:pPr>
            <w:r>
              <w:rPr>
                <w:b/>
                <w:sz w:val="18"/>
                <w:szCs w:val="16"/>
              </w:rPr>
              <w:t>Year 4</w:t>
            </w:r>
          </w:p>
        </w:tc>
        <w:tc>
          <w:tcPr>
            <w:tcW w:w="944" w:type="dxa"/>
            <w:gridSpan w:val="4"/>
            <w:shd w:val="clear" w:color="auto" w:fill="BFBFBF" w:themeFill="background1" w:themeFillShade="BF"/>
          </w:tcPr>
          <w:p w14:paraId="17625EB3" w14:textId="77777777" w:rsidR="00A22E4D" w:rsidRPr="00175614" w:rsidRDefault="00A22E4D" w:rsidP="00DF29AB">
            <w:pPr>
              <w:tabs>
                <w:tab w:val="left" w:pos="7560"/>
              </w:tabs>
              <w:spacing w:after="0"/>
              <w:rPr>
                <w:b/>
                <w:sz w:val="18"/>
                <w:szCs w:val="16"/>
              </w:rPr>
            </w:pPr>
            <w:r>
              <w:rPr>
                <w:b/>
                <w:sz w:val="18"/>
                <w:szCs w:val="16"/>
              </w:rPr>
              <w:t>Year 5</w:t>
            </w:r>
          </w:p>
        </w:tc>
        <w:tc>
          <w:tcPr>
            <w:tcW w:w="944" w:type="dxa"/>
            <w:gridSpan w:val="4"/>
            <w:shd w:val="clear" w:color="auto" w:fill="BFBFBF" w:themeFill="background1" w:themeFillShade="BF"/>
          </w:tcPr>
          <w:p w14:paraId="33D7B92B" w14:textId="77777777" w:rsidR="00A22E4D" w:rsidRPr="00175614" w:rsidRDefault="00A22E4D" w:rsidP="00DF29AB">
            <w:pPr>
              <w:tabs>
                <w:tab w:val="left" w:pos="7560"/>
              </w:tabs>
              <w:spacing w:after="0"/>
              <w:rPr>
                <w:b/>
                <w:sz w:val="18"/>
                <w:szCs w:val="16"/>
              </w:rPr>
            </w:pPr>
            <w:r>
              <w:rPr>
                <w:b/>
                <w:sz w:val="18"/>
                <w:szCs w:val="16"/>
              </w:rPr>
              <w:t>Year 6</w:t>
            </w:r>
          </w:p>
        </w:tc>
      </w:tr>
      <w:tr w:rsidR="00A22E4D" w:rsidRPr="006D21CC" w14:paraId="6DFB7B7D" w14:textId="77777777" w:rsidTr="00DF29AB">
        <w:tc>
          <w:tcPr>
            <w:tcW w:w="2317" w:type="dxa"/>
            <w:shd w:val="clear" w:color="auto" w:fill="auto"/>
          </w:tcPr>
          <w:p w14:paraId="4A4122AE" w14:textId="77777777" w:rsidR="00A22E4D" w:rsidRPr="006D21CC" w:rsidRDefault="00A22E4D" w:rsidP="00DF29AB">
            <w:pPr>
              <w:tabs>
                <w:tab w:val="left" w:pos="7560"/>
              </w:tabs>
              <w:spacing w:after="0"/>
              <w:rPr>
                <w:sz w:val="16"/>
                <w:szCs w:val="16"/>
              </w:rPr>
            </w:pPr>
            <w:r w:rsidRPr="006D21CC">
              <w:rPr>
                <w:sz w:val="16"/>
                <w:szCs w:val="16"/>
              </w:rPr>
              <w:t xml:space="preserve">Baseline </w:t>
            </w:r>
            <w:r>
              <w:rPr>
                <w:sz w:val="16"/>
                <w:szCs w:val="16"/>
              </w:rPr>
              <w:t xml:space="preserve">KAP </w:t>
            </w:r>
            <w:r w:rsidRPr="006D21CC">
              <w:rPr>
                <w:sz w:val="16"/>
                <w:szCs w:val="16"/>
              </w:rPr>
              <w:t>Survey</w:t>
            </w:r>
          </w:p>
          <w:p w14:paraId="3FDC548A" w14:textId="77777777" w:rsidR="00A22E4D" w:rsidRPr="006D21CC" w:rsidRDefault="00A22E4D" w:rsidP="00DF29AB">
            <w:pPr>
              <w:tabs>
                <w:tab w:val="left" w:pos="7560"/>
              </w:tabs>
              <w:spacing w:after="0"/>
              <w:rPr>
                <w:sz w:val="16"/>
                <w:szCs w:val="16"/>
              </w:rPr>
            </w:pPr>
          </w:p>
        </w:tc>
        <w:tc>
          <w:tcPr>
            <w:tcW w:w="1946" w:type="dxa"/>
          </w:tcPr>
          <w:p w14:paraId="02A3F81F" w14:textId="77777777" w:rsidR="00A22E4D" w:rsidRPr="006D21CC" w:rsidRDefault="00A22E4D" w:rsidP="00DF29AB">
            <w:pPr>
              <w:tabs>
                <w:tab w:val="left" w:pos="7560"/>
              </w:tabs>
              <w:spacing w:after="0"/>
              <w:rPr>
                <w:sz w:val="16"/>
                <w:szCs w:val="16"/>
              </w:rPr>
            </w:pPr>
            <w:r>
              <w:rPr>
                <w:sz w:val="16"/>
                <w:szCs w:val="16"/>
              </w:rPr>
              <w:t>Survey completed and data analyzed</w:t>
            </w:r>
          </w:p>
        </w:tc>
        <w:tc>
          <w:tcPr>
            <w:tcW w:w="236" w:type="dxa"/>
            <w:shd w:val="clear" w:color="auto" w:fill="D99594" w:themeFill="accent2" w:themeFillTint="99"/>
          </w:tcPr>
          <w:p w14:paraId="67726366"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2A5C2B5B"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2CF810BC" w14:textId="77777777" w:rsidR="00A22E4D" w:rsidRPr="006D21CC" w:rsidRDefault="00A22E4D" w:rsidP="00DF29AB">
            <w:pPr>
              <w:tabs>
                <w:tab w:val="left" w:pos="7560"/>
              </w:tabs>
              <w:spacing w:after="0"/>
              <w:rPr>
                <w:sz w:val="16"/>
                <w:szCs w:val="16"/>
              </w:rPr>
            </w:pPr>
          </w:p>
        </w:tc>
        <w:tc>
          <w:tcPr>
            <w:tcW w:w="236" w:type="dxa"/>
            <w:shd w:val="clear" w:color="auto" w:fill="FFFFFF" w:themeFill="background1"/>
          </w:tcPr>
          <w:p w14:paraId="43A6CB7F" w14:textId="77777777" w:rsidR="00A22E4D" w:rsidRPr="006D21CC" w:rsidRDefault="00A22E4D" w:rsidP="00DF29AB">
            <w:pPr>
              <w:tabs>
                <w:tab w:val="left" w:pos="7560"/>
              </w:tabs>
              <w:spacing w:after="0"/>
              <w:rPr>
                <w:sz w:val="16"/>
                <w:szCs w:val="16"/>
              </w:rPr>
            </w:pPr>
          </w:p>
        </w:tc>
        <w:tc>
          <w:tcPr>
            <w:tcW w:w="236" w:type="dxa"/>
            <w:shd w:val="clear" w:color="auto" w:fill="auto"/>
          </w:tcPr>
          <w:p w14:paraId="70D9A0C0" w14:textId="77777777" w:rsidR="00A22E4D" w:rsidRPr="006D21CC" w:rsidRDefault="00A22E4D" w:rsidP="00DF29AB">
            <w:pPr>
              <w:tabs>
                <w:tab w:val="left" w:pos="7560"/>
              </w:tabs>
              <w:spacing w:after="0"/>
              <w:rPr>
                <w:sz w:val="16"/>
                <w:szCs w:val="16"/>
              </w:rPr>
            </w:pPr>
          </w:p>
        </w:tc>
        <w:tc>
          <w:tcPr>
            <w:tcW w:w="236" w:type="dxa"/>
            <w:shd w:val="clear" w:color="auto" w:fill="auto"/>
          </w:tcPr>
          <w:p w14:paraId="67F8C8E1" w14:textId="77777777" w:rsidR="00A22E4D" w:rsidRPr="006D21CC" w:rsidRDefault="00A22E4D" w:rsidP="00DF29AB">
            <w:pPr>
              <w:tabs>
                <w:tab w:val="left" w:pos="7560"/>
              </w:tabs>
              <w:spacing w:after="0"/>
              <w:rPr>
                <w:sz w:val="16"/>
                <w:szCs w:val="16"/>
              </w:rPr>
            </w:pPr>
          </w:p>
        </w:tc>
        <w:tc>
          <w:tcPr>
            <w:tcW w:w="236" w:type="dxa"/>
            <w:shd w:val="clear" w:color="auto" w:fill="auto"/>
          </w:tcPr>
          <w:p w14:paraId="4E3F4591" w14:textId="77777777" w:rsidR="00A22E4D" w:rsidRPr="006D21CC" w:rsidRDefault="00A22E4D" w:rsidP="00DF29AB">
            <w:pPr>
              <w:tabs>
                <w:tab w:val="left" w:pos="7560"/>
              </w:tabs>
              <w:spacing w:after="0"/>
              <w:rPr>
                <w:sz w:val="16"/>
                <w:szCs w:val="16"/>
              </w:rPr>
            </w:pPr>
          </w:p>
        </w:tc>
        <w:tc>
          <w:tcPr>
            <w:tcW w:w="236" w:type="dxa"/>
            <w:shd w:val="clear" w:color="auto" w:fill="auto"/>
          </w:tcPr>
          <w:p w14:paraId="6C5C9FBE" w14:textId="77777777" w:rsidR="00A22E4D" w:rsidRPr="006D21CC" w:rsidRDefault="00A22E4D" w:rsidP="00DF29AB">
            <w:pPr>
              <w:tabs>
                <w:tab w:val="left" w:pos="7560"/>
              </w:tabs>
              <w:spacing w:after="0"/>
              <w:rPr>
                <w:sz w:val="16"/>
                <w:szCs w:val="16"/>
              </w:rPr>
            </w:pPr>
          </w:p>
        </w:tc>
        <w:tc>
          <w:tcPr>
            <w:tcW w:w="236" w:type="dxa"/>
            <w:shd w:val="clear" w:color="auto" w:fill="auto"/>
          </w:tcPr>
          <w:p w14:paraId="38693495" w14:textId="77777777" w:rsidR="00A22E4D" w:rsidRPr="006D21CC" w:rsidRDefault="00A22E4D" w:rsidP="00DF29AB">
            <w:pPr>
              <w:tabs>
                <w:tab w:val="left" w:pos="7560"/>
              </w:tabs>
              <w:spacing w:after="0"/>
              <w:rPr>
                <w:sz w:val="16"/>
                <w:szCs w:val="16"/>
              </w:rPr>
            </w:pPr>
          </w:p>
        </w:tc>
        <w:tc>
          <w:tcPr>
            <w:tcW w:w="236" w:type="dxa"/>
            <w:shd w:val="clear" w:color="auto" w:fill="auto"/>
          </w:tcPr>
          <w:p w14:paraId="37131C02" w14:textId="77777777" w:rsidR="00A22E4D" w:rsidRPr="006D21CC" w:rsidRDefault="00A22E4D" w:rsidP="00DF29AB">
            <w:pPr>
              <w:tabs>
                <w:tab w:val="left" w:pos="7560"/>
              </w:tabs>
              <w:spacing w:after="0"/>
              <w:rPr>
                <w:sz w:val="16"/>
                <w:szCs w:val="16"/>
              </w:rPr>
            </w:pPr>
          </w:p>
        </w:tc>
        <w:tc>
          <w:tcPr>
            <w:tcW w:w="236" w:type="dxa"/>
            <w:shd w:val="clear" w:color="auto" w:fill="auto"/>
          </w:tcPr>
          <w:p w14:paraId="7326576F" w14:textId="77777777" w:rsidR="00A22E4D" w:rsidRPr="006D21CC" w:rsidRDefault="00A22E4D" w:rsidP="00DF29AB">
            <w:pPr>
              <w:tabs>
                <w:tab w:val="left" w:pos="7560"/>
              </w:tabs>
              <w:spacing w:after="0"/>
              <w:rPr>
                <w:sz w:val="16"/>
                <w:szCs w:val="16"/>
              </w:rPr>
            </w:pPr>
          </w:p>
        </w:tc>
        <w:tc>
          <w:tcPr>
            <w:tcW w:w="236" w:type="dxa"/>
            <w:shd w:val="clear" w:color="auto" w:fill="auto"/>
          </w:tcPr>
          <w:p w14:paraId="20F52DF2" w14:textId="77777777" w:rsidR="00A22E4D" w:rsidRPr="006D21CC" w:rsidRDefault="00A22E4D" w:rsidP="00DF29AB">
            <w:pPr>
              <w:tabs>
                <w:tab w:val="left" w:pos="7560"/>
              </w:tabs>
              <w:spacing w:after="0"/>
              <w:rPr>
                <w:sz w:val="16"/>
                <w:szCs w:val="16"/>
              </w:rPr>
            </w:pPr>
          </w:p>
        </w:tc>
        <w:tc>
          <w:tcPr>
            <w:tcW w:w="236" w:type="dxa"/>
            <w:shd w:val="clear" w:color="auto" w:fill="auto"/>
          </w:tcPr>
          <w:p w14:paraId="78F050B0" w14:textId="77777777" w:rsidR="00A22E4D" w:rsidRPr="006D21CC" w:rsidRDefault="00A22E4D" w:rsidP="00DF29AB">
            <w:pPr>
              <w:tabs>
                <w:tab w:val="left" w:pos="7560"/>
              </w:tabs>
              <w:spacing w:after="0"/>
              <w:rPr>
                <w:sz w:val="16"/>
                <w:szCs w:val="16"/>
              </w:rPr>
            </w:pPr>
          </w:p>
        </w:tc>
        <w:tc>
          <w:tcPr>
            <w:tcW w:w="236" w:type="dxa"/>
            <w:shd w:val="clear" w:color="auto" w:fill="auto"/>
          </w:tcPr>
          <w:p w14:paraId="36545D7C" w14:textId="77777777" w:rsidR="00A22E4D" w:rsidRPr="006D21CC" w:rsidRDefault="00A22E4D" w:rsidP="00DF29AB">
            <w:pPr>
              <w:tabs>
                <w:tab w:val="left" w:pos="7560"/>
              </w:tabs>
              <w:spacing w:after="0"/>
              <w:rPr>
                <w:sz w:val="16"/>
                <w:szCs w:val="16"/>
              </w:rPr>
            </w:pPr>
          </w:p>
        </w:tc>
        <w:tc>
          <w:tcPr>
            <w:tcW w:w="236" w:type="dxa"/>
            <w:shd w:val="clear" w:color="auto" w:fill="auto"/>
          </w:tcPr>
          <w:p w14:paraId="5D93271A" w14:textId="77777777" w:rsidR="00A22E4D" w:rsidRPr="006D21CC" w:rsidRDefault="00A22E4D" w:rsidP="00DF29AB">
            <w:pPr>
              <w:tabs>
                <w:tab w:val="left" w:pos="7560"/>
              </w:tabs>
              <w:spacing w:after="0"/>
              <w:rPr>
                <w:sz w:val="16"/>
                <w:szCs w:val="16"/>
              </w:rPr>
            </w:pPr>
          </w:p>
        </w:tc>
        <w:tc>
          <w:tcPr>
            <w:tcW w:w="236" w:type="dxa"/>
            <w:shd w:val="clear" w:color="auto" w:fill="auto"/>
          </w:tcPr>
          <w:p w14:paraId="714FEE1A" w14:textId="77777777" w:rsidR="00A22E4D" w:rsidRPr="006D21CC" w:rsidRDefault="00A22E4D" w:rsidP="00DF29AB">
            <w:pPr>
              <w:tabs>
                <w:tab w:val="left" w:pos="7560"/>
              </w:tabs>
              <w:spacing w:after="0"/>
              <w:rPr>
                <w:sz w:val="16"/>
                <w:szCs w:val="16"/>
              </w:rPr>
            </w:pPr>
          </w:p>
        </w:tc>
        <w:tc>
          <w:tcPr>
            <w:tcW w:w="236" w:type="dxa"/>
            <w:shd w:val="clear" w:color="auto" w:fill="auto"/>
          </w:tcPr>
          <w:p w14:paraId="226E5D99" w14:textId="77777777" w:rsidR="00A22E4D" w:rsidRPr="006D21CC" w:rsidRDefault="00A22E4D" w:rsidP="00DF29AB">
            <w:pPr>
              <w:tabs>
                <w:tab w:val="left" w:pos="7560"/>
              </w:tabs>
              <w:spacing w:after="0"/>
              <w:rPr>
                <w:sz w:val="16"/>
                <w:szCs w:val="16"/>
              </w:rPr>
            </w:pPr>
          </w:p>
        </w:tc>
        <w:tc>
          <w:tcPr>
            <w:tcW w:w="236" w:type="dxa"/>
            <w:shd w:val="clear" w:color="auto" w:fill="auto"/>
          </w:tcPr>
          <w:p w14:paraId="7F097DAF" w14:textId="77777777" w:rsidR="00A22E4D" w:rsidRPr="006D21CC" w:rsidRDefault="00A22E4D" w:rsidP="00DF29AB">
            <w:pPr>
              <w:tabs>
                <w:tab w:val="left" w:pos="7560"/>
              </w:tabs>
              <w:spacing w:after="0"/>
              <w:rPr>
                <w:sz w:val="16"/>
                <w:szCs w:val="16"/>
              </w:rPr>
            </w:pPr>
          </w:p>
        </w:tc>
        <w:tc>
          <w:tcPr>
            <w:tcW w:w="236" w:type="dxa"/>
            <w:shd w:val="clear" w:color="auto" w:fill="auto"/>
          </w:tcPr>
          <w:p w14:paraId="2A27B13D" w14:textId="77777777" w:rsidR="00A22E4D" w:rsidRPr="006D21CC" w:rsidRDefault="00A22E4D" w:rsidP="00DF29AB">
            <w:pPr>
              <w:tabs>
                <w:tab w:val="left" w:pos="7560"/>
              </w:tabs>
              <w:spacing w:after="0"/>
              <w:rPr>
                <w:sz w:val="16"/>
                <w:szCs w:val="16"/>
              </w:rPr>
            </w:pPr>
          </w:p>
        </w:tc>
        <w:tc>
          <w:tcPr>
            <w:tcW w:w="236" w:type="dxa"/>
            <w:shd w:val="clear" w:color="auto" w:fill="auto"/>
          </w:tcPr>
          <w:p w14:paraId="4FC74501" w14:textId="77777777" w:rsidR="00A22E4D" w:rsidRPr="006D21CC" w:rsidRDefault="00A22E4D" w:rsidP="00DF29AB">
            <w:pPr>
              <w:tabs>
                <w:tab w:val="left" w:pos="7560"/>
              </w:tabs>
              <w:spacing w:after="0"/>
              <w:rPr>
                <w:sz w:val="16"/>
                <w:szCs w:val="16"/>
              </w:rPr>
            </w:pPr>
          </w:p>
        </w:tc>
        <w:tc>
          <w:tcPr>
            <w:tcW w:w="236" w:type="dxa"/>
            <w:shd w:val="clear" w:color="auto" w:fill="auto"/>
          </w:tcPr>
          <w:p w14:paraId="2AAF1B05" w14:textId="77777777" w:rsidR="00A22E4D" w:rsidRPr="006D21CC" w:rsidRDefault="00A22E4D" w:rsidP="00DF29AB">
            <w:pPr>
              <w:tabs>
                <w:tab w:val="left" w:pos="7560"/>
              </w:tabs>
              <w:spacing w:after="0"/>
              <w:rPr>
                <w:sz w:val="16"/>
                <w:szCs w:val="16"/>
              </w:rPr>
            </w:pPr>
          </w:p>
        </w:tc>
        <w:tc>
          <w:tcPr>
            <w:tcW w:w="236" w:type="dxa"/>
            <w:shd w:val="clear" w:color="auto" w:fill="auto"/>
          </w:tcPr>
          <w:p w14:paraId="1AAC58A0" w14:textId="77777777" w:rsidR="00A22E4D" w:rsidRPr="006D21CC" w:rsidRDefault="00A22E4D" w:rsidP="00DF29AB">
            <w:pPr>
              <w:tabs>
                <w:tab w:val="left" w:pos="7560"/>
              </w:tabs>
              <w:spacing w:after="0"/>
              <w:rPr>
                <w:sz w:val="16"/>
                <w:szCs w:val="16"/>
              </w:rPr>
            </w:pPr>
          </w:p>
        </w:tc>
        <w:tc>
          <w:tcPr>
            <w:tcW w:w="236" w:type="dxa"/>
            <w:shd w:val="clear" w:color="auto" w:fill="auto"/>
          </w:tcPr>
          <w:p w14:paraId="60D0A261" w14:textId="77777777" w:rsidR="00A22E4D" w:rsidRPr="006D21CC" w:rsidRDefault="00A22E4D" w:rsidP="00DF29AB">
            <w:pPr>
              <w:tabs>
                <w:tab w:val="left" w:pos="7560"/>
              </w:tabs>
              <w:spacing w:after="0"/>
              <w:rPr>
                <w:sz w:val="16"/>
                <w:szCs w:val="16"/>
              </w:rPr>
            </w:pPr>
          </w:p>
        </w:tc>
        <w:tc>
          <w:tcPr>
            <w:tcW w:w="236" w:type="dxa"/>
            <w:shd w:val="clear" w:color="auto" w:fill="auto"/>
          </w:tcPr>
          <w:p w14:paraId="3EF23C2E" w14:textId="77777777" w:rsidR="00A22E4D" w:rsidRPr="006D21CC" w:rsidRDefault="00A22E4D" w:rsidP="00DF29AB">
            <w:pPr>
              <w:tabs>
                <w:tab w:val="left" w:pos="7560"/>
              </w:tabs>
              <w:spacing w:after="0"/>
              <w:rPr>
                <w:sz w:val="16"/>
                <w:szCs w:val="16"/>
              </w:rPr>
            </w:pPr>
          </w:p>
        </w:tc>
      </w:tr>
      <w:tr w:rsidR="00A22E4D" w:rsidRPr="006D21CC" w14:paraId="121DE797" w14:textId="77777777" w:rsidTr="00DF29AB">
        <w:tc>
          <w:tcPr>
            <w:tcW w:w="2317" w:type="dxa"/>
            <w:shd w:val="clear" w:color="auto" w:fill="auto"/>
          </w:tcPr>
          <w:p w14:paraId="63BD4EE3" w14:textId="77777777" w:rsidR="00A22E4D" w:rsidRPr="006D21CC" w:rsidRDefault="00A22E4D" w:rsidP="00DF29AB">
            <w:pPr>
              <w:tabs>
                <w:tab w:val="left" w:pos="7560"/>
              </w:tabs>
              <w:spacing w:after="0"/>
              <w:rPr>
                <w:sz w:val="16"/>
                <w:szCs w:val="16"/>
              </w:rPr>
            </w:pPr>
            <w:r>
              <w:rPr>
                <w:sz w:val="16"/>
                <w:szCs w:val="16"/>
              </w:rPr>
              <w:t>Update Key Messages with KAP results and through meetings with Project Board</w:t>
            </w:r>
          </w:p>
        </w:tc>
        <w:tc>
          <w:tcPr>
            <w:tcW w:w="1946" w:type="dxa"/>
          </w:tcPr>
          <w:p w14:paraId="70884AA1" w14:textId="77777777" w:rsidR="00A22E4D" w:rsidRPr="006D21CC" w:rsidRDefault="00A22E4D" w:rsidP="00DF29AB">
            <w:pPr>
              <w:tabs>
                <w:tab w:val="left" w:pos="7560"/>
              </w:tabs>
              <w:spacing w:after="0"/>
              <w:rPr>
                <w:sz w:val="16"/>
                <w:szCs w:val="16"/>
              </w:rPr>
            </w:pPr>
            <w:r>
              <w:rPr>
                <w:sz w:val="16"/>
                <w:szCs w:val="16"/>
              </w:rPr>
              <w:t>Communications Plan updated</w:t>
            </w:r>
          </w:p>
        </w:tc>
        <w:tc>
          <w:tcPr>
            <w:tcW w:w="236" w:type="dxa"/>
            <w:shd w:val="clear" w:color="auto" w:fill="auto"/>
          </w:tcPr>
          <w:p w14:paraId="37A3FF78" w14:textId="77777777" w:rsidR="00A22E4D" w:rsidRPr="006D21CC" w:rsidRDefault="00A22E4D" w:rsidP="00DF29AB">
            <w:pPr>
              <w:tabs>
                <w:tab w:val="left" w:pos="7560"/>
              </w:tabs>
              <w:spacing w:after="0"/>
              <w:rPr>
                <w:sz w:val="16"/>
                <w:szCs w:val="16"/>
              </w:rPr>
            </w:pPr>
          </w:p>
        </w:tc>
        <w:tc>
          <w:tcPr>
            <w:tcW w:w="236" w:type="dxa"/>
            <w:shd w:val="clear" w:color="auto" w:fill="auto"/>
          </w:tcPr>
          <w:p w14:paraId="298C7789" w14:textId="77777777" w:rsidR="00A22E4D" w:rsidRPr="006D21CC" w:rsidRDefault="00A22E4D" w:rsidP="00DF29AB">
            <w:pPr>
              <w:tabs>
                <w:tab w:val="left" w:pos="7560"/>
              </w:tabs>
              <w:spacing w:after="0"/>
              <w:rPr>
                <w:sz w:val="16"/>
                <w:szCs w:val="16"/>
              </w:rPr>
            </w:pPr>
          </w:p>
        </w:tc>
        <w:tc>
          <w:tcPr>
            <w:tcW w:w="236" w:type="dxa"/>
            <w:shd w:val="clear" w:color="auto" w:fill="auto"/>
          </w:tcPr>
          <w:p w14:paraId="0CD28D8D" w14:textId="77777777" w:rsidR="00A22E4D" w:rsidRPr="006D21CC" w:rsidRDefault="00A22E4D" w:rsidP="00DF29AB">
            <w:pPr>
              <w:tabs>
                <w:tab w:val="left" w:pos="7560"/>
              </w:tabs>
              <w:spacing w:after="0"/>
              <w:rPr>
                <w:sz w:val="16"/>
                <w:szCs w:val="16"/>
                <w:highlight w:val="yellow"/>
              </w:rPr>
            </w:pPr>
          </w:p>
        </w:tc>
        <w:tc>
          <w:tcPr>
            <w:tcW w:w="236" w:type="dxa"/>
            <w:shd w:val="clear" w:color="auto" w:fill="D99594" w:themeFill="accent2" w:themeFillTint="99"/>
          </w:tcPr>
          <w:p w14:paraId="048D1858" w14:textId="77777777" w:rsidR="00A22E4D" w:rsidRPr="006D21CC" w:rsidRDefault="00A22E4D" w:rsidP="00DF29AB">
            <w:pPr>
              <w:tabs>
                <w:tab w:val="left" w:pos="7560"/>
              </w:tabs>
              <w:spacing w:after="0"/>
              <w:rPr>
                <w:sz w:val="16"/>
                <w:szCs w:val="16"/>
                <w:highlight w:val="yellow"/>
              </w:rPr>
            </w:pPr>
          </w:p>
        </w:tc>
        <w:tc>
          <w:tcPr>
            <w:tcW w:w="236" w:type="dxa"/>
            <w:shd w:val="clear" w:color="auto" w:fill="D99594" w:themeFill="accent2" w:themeFillTint="99"/>
          </w:tcPr>
          <w:p w14:paraId="33EB8B56" w14:textId="77777777" w:rsidR="00A22E4D" w:rsidRPr="006D21CC" w:rsidRDefault="00A22E4D" w:rsidP="00DF29AB">
            <w:pPr>
              <w:tabs>
                <w:tab w:val="left" w:pos="7560"/>
              </w:tabs>
              <w:spacing w:after="0"/>
              <w:rPr>
                <w:sz w:val="16"/>
                <w:szCs w:val="16"/>
                <w:highlight w:val="yellow"/>
              </w:rPr>
            </w:pPr>
          </w:p>
        </w:tc>
        <w:tc>
          <w:tcPr>
            <w:tcW w:w="236" w:type="dxa"/>
            <w:shd w:val="clear" w:color="auto" w:fill="D99594" w:themeFill="accent2" w:themeFillTint="99"/>
          </w:tcPr>
          <w:p w14:paraId="6E4D31E3"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227FD4E4"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1D16F962"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1569F42E"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1CC93871"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6E871593"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4F539007"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53C93E79"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6A6E914E"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2EC94603"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7A8FB169"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7595FE8E"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16537FB4"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1C56E872"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4D201EE7"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644E5450"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2C057D72"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69AA45F8" w14:textId="77777777" w:rsidR="00A22E4D" w:rsidRPr="006D21CC" w:rsidRDefault="00A22E4D" w:rsidP="00DF29AB">
            <w:pPr>
              <w:tabs>
                <w:tab w:val="left" w:pos="7560"/>
              </w:tabs>
              <w:spacing w:after="0"/>
              <w:rPr>
                <w:sz w:val="16"/>
                <w:szCs w:val="16"/>
              </w:rPr>
            </w:pPr>
          </w:p>
        </w:tc>
        <w:tc>
          <w:tcPr>
            <w:tcW w:w="236" w:type="dxa"/>
            <w:shd w:val="clear" w:color="auto" w:fill="auto"/>
          </w:tcPr>
          <w:p w14:paraId="444B26D7" w14:textId="77777777" w:rsidR="00A22E4D" w:rsidRPr="006D21CC" w:rsidRDefault="00A22E4D" w:rsidP="00DF29AB">
            <w:pPr>
              <w:tabs>
                <w:tab w:val="left" w:pos="7560"/>
              </w:tabs>
              <w:spacing w:after="0"/>
              <w:rPr>
                <w:sz w:val="16"/>
                <w:szCs w:val="16"/>
              </w:rPr>
            </w:pPr>
          </w:p>
        </w:tc>
      </w:tr>
      <w:tr w:rsidR="00A22E4D" w:rsidRPr="006D21CC" w14:paraId="09ECE64B" w14:textId="77777777" w:rsidTr="00DF29AB">
        <w:tc>
          <w:tcPr>
            <w:tcW w:w="2317" w:type="dxa"/>
            <w:shd w:val="clear" w:color="auto" w:fill="auto"/>
          </w:tcPr>
          <w:p w14:paraId="204A4B66" w14:textId="77777777" w:rsidR="00A22E4D" w:rsidRPr="006D21CC" w:rsidRDefault="00A22E4D" w:rsidP="00DF29AB">
            <w:pPr>
              <w:tabs>
                <w:tab w:val="left" w:pos="7560"/>
              </w:tabs>
              <w:spacing w:after="0"/>
              <w:rPr>
                <w:sz w:val="16"/>
                <w:szCs w:val="16"/>
              </w:rPr>
            </w:pPr>
            <w:r>
              <w:rPr>
                <w:sz w:val="16"/>
                <w:szCs w:val="16"/>
              </w:rPr>
              <w:t>Communications Plan (or at least Key Messages) shared with partners</w:t>
            </w:r>
          </w:p>
        </w:tc>
        <w:tc>
          <w:tcPr>
            <w:tcW w:w="1946" w:type="dxa"/>
          </w:tcPr>
          <w:p w14:paraId="5D3B3CBA" w14:textId="77777777" w:rsidR="00A22E4D" w:rsidRPr="006D21CC" w:rsidRDefault="00A22E4D" w:rsidP="00DF29AB">
            <w:pPr>
              <w:tabs>
                <w:tab w:val="left" w:pos="7560"/>
              </w:tabs>
              <w:spacing w:after="0"/>
              <w:rPr>
                <w:sz w:val="16"/>
                <w:szCs w:val="16"/>
              </w:rPr>
            </w:pPr>
            <w:r>
              <w:rPr>
                <w:sz w:val="16"/>
                <w:szCs w:val="16"/>
              </w:rPr>
              <w:t>Partners use Tagline, Elevator Speech, Slogan, and other Key Messages</w:t>
            </w:r>
          </w:p>
        </w:tc>
        <w:tc>
          <w:tcPr>
            <w:tcW w:w="236" w:type="dxa"/>
            <w:shd w:val="clear" w:color="auto" w:fill="auto"/>
          </w:tcPr>
          <w:p w14:paraId="4495A002" w14:textId="77777777" w:rsidR="00A22E4D" w:rsidRPr="006D21CC" w:rsidRDefault="00A22E4D" w:rsidP="00DF29AB">
            <w:pPr>
              <w:tabs>
                <w:tab w:val="left" w:pos="7560"/>
              </w:tabs>
              <w:spacing w:after="0"/>
              <w:rPr>
                <w:sz w:val="16"/>
                <w:szCs w:val="16"/>
              </w:rPr>
            </w:pPr>
          </w:p>
        </w:tc>
        <w:tc>
          <w:tcPr>
            <w:tcW w:w="236" w:type="dxa"/>
            <w:shd w:val="clear" w:color="auto" w:fill="auto"/>
          </w:tcPr>
          <w:p w14:paraId="3B2850E8"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14B4A881"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71B116A1"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31BE206A"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65EE5B25"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042B9614" w14:textId="77777777" w:rsidR="00A22E4D" w:rsidRPr="006D21CC" w:rsidRDefault="00A22E4D" w:rsidP="00DF29AB">
            <w:pPr>
              <w:tabs>
                <w:tab w:val="left" w:pos="7560"/>
              </w:tabs>
              <w:spacing w:after="0"/>
              <w:rPr>
                <w:sz w:val="16"/>
                <w:szCs w:val="16"/>
              </w:rPr>
            </w:pPr>
          </w:p>
        </w:tc>
        <w:tc>
          <w:tcPr>
            <w:tcW w:w="236" w:type="dxa"/>
            <w:shd w:val="clear" w:color="auto" w:fill="auto"/>
          </w:tcPr>
          <w:p w14:paraId="17292581" w14:textId="77777777" w:rsidR="00A22E4D" w:rsidRPr="006D21CC" w:rsidRDefault="00A22E4D" w:rsidP="00DF29AB">
            <w:pPr>
              <w:tabs>
                <w:tab w:val="left" w:pos="7560"/>
              </w:tabs>
              <w:spacing w:after="0"/>
              <w:rPr>
                <w:sz w:val="16"/>
                <w:szCs w:val="16"/>
              </w:rPr>
            </w:pPr>
          </w:p>
        </w:tc>
        <w:tc>
          <w:tcPr>
            <w:tcW w:w="236" w:type="dxa"/>
            <w:shd w:val="clear" w:color="auto" w:fill="auto"/>
          </w:tcPr>
          <w:p w14:paraId="20908E19" w14:textId="77777777" w:rsidR="00A22E4D" w:rsidRPr="006D21CC" w:rsidRDefault="00A22E4D" w:rsidP="00DF29AB">
            <w:pPr>
              <w:tabs>
                <w:tab w:val="left" w:pos="7560"/>
              </w:tabs>
              <w:spacing w:after="0"/>
              <w:rPr>
                <w:sz w:val="16"/>
                <w:szCs w:val="16"/>
              </w:rPr>
            </w:pPr>
          </w:p>
        </w:tc>
        <w:tc>
          <w:tcPr>
            <w:tcW w:w="236" w:type="dxa"/>
            <w:shd w:val="clear" w:color="auto" w:fill="auto"/>
          </w:tcPr>
          <w:p w14:paraId="64A80C74" w14:textId="77777777" w:rsidR="00A22E4D" w:rsidRPr="006D21CC" w:rsidRDefault="00A22E4D" w:rsidP="00DF29AB">
            <w:pPr>
              <w:tabs>
                <w:tab w:val="left" w:pos="7560"/>
              </w:tabs>
              <w:spacing w:after="0"/>
              <w:rPr>
                <w:sz w:val="16"/>
                <w:szCs w:val="16"/>
              </w:rPr>
            </w:pPr>
          </w:p>
        </w:tc>
        <w:tc>
          <w:tcPr>
            <w:tcW w:w="236" w:type="dxa"/>
            <w:shd w:val="clear" w:color="auto" w:fill="auto"/>
          </w:tcPr>
          <w:p w14:paraId="1DF2A0E6" w14:textId="77777777" w:rsidR="00A22E4D" w:rsidRPr="006D21CC" w:rsidRDefault="00A22E4D" w:rsidP="00DF29AB">
            <w:pPr>
              <w:tabs>
                <w:tab w:val="left" w:pos="7560"/>
              </w:tabs>
              <w:spacing w:after="0"/>
              <w:rPr>
                <w:sz w:val="16"/>
                <w:szCs w:val="16"/>
              </w:rPr>
            </w:pPr>
          </w:p>
        </w:tc>
        <w:tc>
          <w:tcPr>
            <w:tcW w:w="236" w:type="dxa"/>
            <w:shd w:val="clear" w:color="auto" w:fill="auto"/>
          </w:tcPr>
          <w:p w14:paraId="00135A78" w14:textId="77777777" w:rsidR="00A22E4D" w:rsidRPr="006D21CC" w:rsidRDefault="00A22E4D" w:rsidP="00DF29AB">
            <w:pPr>
              <w:tabs>
                <w:tab w:val="left" w:pos="7560"/>
              </w:tabs>
              <w:spacing w:after="0"/>
              <w:rPr>
                <w:sz w:val="16"/>
                <w:szCs w:val="16"/>
              </w:rPr>
            </w:pPr>
          </w:p>
        </w:tc>
        <w:tc>
          <w:tcPr>
            <w:tcW w:w="236" w:type="dxa"/>
            <w:shd w:val="clear" w:color="auto" w:fill="auto"/>
          </w:tcPr>
          <w:p w14:paraId="018268F1" w14:textId="77777777" w:rsidR="00A22E4D" w:rsidRPr="006D21CC" w:rsidRDefault="00A22E4D" w:rsidP="00DF29AB">
            <w:pPr>
              <w:tabs>
                <w:tab w:val="left" w:pos="7560"/>
              </w:tabs>
              <w:spacing w:after="0"/>
              <w:rPr>
                <w:sz w:val="16"/>
                <w:szCs w:val="16"/>
              </w:rPr>
            </w:pPr>
          </w:p>
        </w:tc>
        <w:tc>
          <w:tcPr>
            <w:tcW w:w="236" w:type="dxa"/>
            <w:shd w:val="clear" w:color="auto" w:fill="auto"/>
          </w:tcPr>
          <w:p w14:paraId="030093A3" w14:textId="77777777" w:rsidR="00A22E4D" w:rsidRPr="006D21CC" w:rsidRDefault="00A22E4D" w:rsidP="00DF29AB">
            <w:pPr>
              <w:tabs>
                <w:tab w:val="left" w:pos="7560"/>
              </w:tabs>
              <w:spacing w:after="0"/>
              <w:rPr>
                <w:sz w:val="16"/>
                <w:szCs w:val="16"/>
              </w:rPr>
            </w:pPr>
          </w:p>
        </w:tc>
        <w:tc>
          <w:tcPr>
            <w:tcW w:w="236" w:type="dxa"/>
            <w:shd w:val="clear" w:color="auto" w:fill="auto"/>
          </w:tcPr>
          <w:p w14:paraId="482C8A2E" w14:textId="77777777" w:rsidR="00A22E4D" w:rsidRPr="006D21CC" w:rsidRDefault="00A22E4D" w:rsidP="00DF29AB">
            <w:pPr>
              <w:tabs>
                <w:tab w:val="left" w:pos="7560"/>
              </w:tabs>
              <w:spacing w:after="0"/>
              <w:rPr>
                <w:sz w:val="16"/>
                <w:szCs w:val="16"/>
              </w:rPr>
            </w:pPr>
          </w:p>
        </w:tc>
        <w:tc>
          <w:tcPr>
            <w:tcW w:w="236" w:type="dxa"/>
            <w:shd w:val="clear" w:color="auto" w:fill="auto"/>
          </w:tcPr>
          <w:p w14:paraId="6FBDEB2D" w14:textId="77777777" w:rsidR="00A22E4D" w:rsidRPr="006D21CC" w:rsidRDefault="00A22E4D" w:rsidP="00DF29AB">
            <w:pPr>
              <w:tabs>
                <w:tab w:val="left" w:pos="7560"/>
              </w:tabs>
              <w:spacing w:after="0"/>
              <w:rPr>
                <w:sz w:val="16"/>
                <w:szCs w:val="16"/>
              </w:rPr>
            </w:pPr>
          </w:p>
        </w:tc>
        <w:tc>
          <w:tcPr>
            <w:tcW w:w="236" w:type="dxa"/>
            <w:shd w:val="clear" w:color="auto" w:fill="auto"/>
          </w:tcPr>
          <w:p w14:paraId="63F40D83" w14:textId="77777777" w:rsidR="00A22E4D" w:rsidRPr="006D21CC" w:rsidRDefault="00A22E4D" w:rsidP="00DF29AB">
            <w:pPr>
              <w:tabs>
                <w:tab w:val="left" w:pos="7560"/>
              </w:tabs>
              <w:spacing w:after="0"/>
              <w:rPr>
                <w:sz w:val="16"/>
                <w:szCs w:val="16"/>
              </w:rPr>
            </w:pPr>
          </w:p>
        </w:tc>
        <w:tc>
          <w:tcPr>
            <w:tcW w:w="236" w:type="dxa"/>
            <w:shd w:val="clear" w:color="auto" w:fill="auto"/>
          </w:tcPr>
          <w:p w14:paraId="24B757A6" w14:textId="77777777" w:rsidR="00A22E4D" w:rsidRPr="006D21CC" w:rsidRDefault="00A22E4D" w:rsidP="00DF29AB">
            <w:pPr>
              <w:tabs>
                <w:tab w:val="left" w:pos="7560"/>
              </w:tabs>
              <w:spacing w:after="0"/>
              <w:rPr>
                <w:sz w:val="16"/>
                <w:szCs w:val="16"/>
              </w:rPr>
            </w:pPr>
          </w:p>
        </w:tc>
        <w:tc>
          <w:tcPr>
            <w:tcW w:w="236" w:type="dxa"/>
            <w:shd w:val="clear" w:color="auto" w:fill="auto"/>
          </w:tcPr>
          <w:p w14:paraId="28AA34DA" w14:textId="77777777" w:rsidR="00A22E4D" w:rsidRPr="006D21CC" w:rsidRDefault="00A22E4D" w:rsidP="00DF29AB">
            <w:pPr>
              <w:tabs>
                <w:tab w:val="left" w:pos="7560"/>
              </w:tabs>
              <w:spacing w:after="0"/>
              <w:rPr>
                <w:sz w:val="16"/>
                <w:szCs w:val="16"/>
              </w:rPr>
            </w:pPr>
          </w:p>
        </w:tc>
        <w:tc>
          <w:tcPr>
            <w:tcW w:w="236" w:type="dxa"/>
            <w:shd w:val="clear" w:color="auto" w:fill="auto"/>
          </w:tcPr>
          <w:p w14:paraId="24BA55DB" w14:textId="77777777" w:rsidR="00A22E4D" w:rsidRPr="006D21CC" w:rsidRDefault="00A22E4D" w:rsidP="00DF29AB">
            <w:pPr>
              <w:tabs>
                <w:tab w:val="left" w:pos="7560"/>
              </w:tabs>
              <w:spacing w:after="0"/>
              <w:rPr>
                <w:sz w:val="16"/>
                <w:szCs w:val="16"/>
              </w:rPr>
            </w:pPr>
          </w:p>
        </w:tc>
        <w:tc>
          <w:tcPr>
            <w:tcW w:w="236" w:type="dxa"/>
            <w:shd w:val="clear" w:color="auto" w:fill="auto"/>
          </w:tcPr>
          <w:p w14:paraId="1B7C710D" w14:textId="77777777" w:rsidR="00A22E4D" w:rsidRPr="006D21CC" w:rsidRDefault="00A22E4D" w:rsidP="00DF29AB">
            <w:pPr>
              <w:tabs>
                <w:tab w:val="left" w:pos="7560"/>
              </w:tabs>
              <w:spacing w:after="0"/>
              <w:rPr>
                <w:sz w:val="16"/>
                <w:szCs w:val="16"/>
              </w:rPr>
            </w:pPr>
          </w:p>
        </w:tc>
        <w:tc>
          <w:tcPr>
            <w:tcW w:w="236" w:type="dxa"/>
            <w:shd w:val="clear" w:color="auto" w:fill="auto"/>
          </w:tcPr>
          <w:p w14:paraId="1009C5EF" w14:textId="77777777" w:rsidR="00A22E4D" w:rsidRPr="006D21CC" w:rsidRDefault="00A22E4D" w:rsidP="00DF29AB">
            <w:pPr>
              <w:tabs>
                <w:tab w:val="left" w:pos="7560"/>
              </w:tabs>
              <w:spacing w:after="0"/>
              <w:rPr>
                <w:sz w:val="16"/>
                <w:szCs w:val="16"/>
              </w:rPr>
            </w:pPr>
          </w:p>
        </w:tc>
        <w:tc>
          <w:tcPr>
            <w:tcW w:w="236" w:type="dxa"/>
            <w:shd w:val="clear" w:color="auto" w:fill="auto"/>
          </w:tcPr>
          <w:p w14:paraId="61FB1CDE" w14:textId="77777777" w:rsidR="00A22E4D" w:rsidRPr="006D21CC" w:rsidRDefault="00A22E4D" w:rsidP="00DF29AB">
            <w:pPr>
              <w:tabs>
                <w:tab w:val="left" w:pos="7560"/>
              </w:tabs>
              <w:spacing w:after="0"/>
              <w:rPr>
                <w:sz w:val="16"/>
                <w:szCs w:val="16"/>
              </w:rPr>
            </w:pPr>
          </w:p>
        </w:tc>
        <w:tc>
          <w:tcPr>
            <w:tcW w:w="236" w:type="dxa"/>
            <w:shd w:val="clear" w:color="auto" w:fill="auto"/>
          </w:tcPr>
          <w:p w14:paraId="798F4F94" w14:textId="77777777" w:rsidR="00A22E4D" w:rsidRPr="006D21CC" w:rsidRDefault="00A22E4D" w:rsidP="00DF29AB">
            <w:pPr>
              <w:tabs>
                <w:tab w:val="left" w:pos="7560"/>
              </w:tabs>
              <w:spacing w:after="0"/>
              <w:rPr>
                <w:sz w:val="16"/>
                <w:szCs w:val="16"/>
              </w:rPr>
            </w:pPr>
          </w:p>
        </w:tc>
      </w:tr>
      <w:tr w:rsidR="00A22E4D" w:rsidRPr="006D21CC" w14:paraId="5567953C" w14:textId="77777777" w:rsidTr="00DF29AB">
        <w:tc>
          <w:tcPr>
            <w:tcW w:w="2317" w:type="dxa"/>
            <w:shd w:val="clear" w:color="auto" w:fill="auto"/>
          </w:tcPr>
          <w:p w14:paraId="604B72BB" w14:textId="77777777" w:rsidR="00A22E4D" w:rsidRPr="006D21CC" w:rsidRDefault="00A22E4D" w:rsidP="00DF29AB">
            <w:pPr>
              <w:tabs>
                <w:tab w:val="left" w:pos="7560"/>
              </w:tabs>
              <w:spacing w:after="0"/>
              <w:rPr>
                <w:sz w:val="16"/>
                <w:szCs w:val="16"/>
              </w:rPr>
            </w:pPr>
            <w:r>
              <w:rPr>
                <w:sz w:val="16"/>
                <w:szCs w:val="16"/>
              </w:rPr>
              <w:t>Create Project letterhead</w:t>
            </w:r>
          </w:p>
        </w:tc>
        <w:tc>
          <w:tcPr>
            <w:tcW w:w="1946" w:type="dxa"/>
          </w:tcPr>
          <w:p w14:paraId="497D6592" w14:textId="77777777" w:rsidR="00A22E4D" w:rsidRPr="006D21CC" w:rsidRDefault="00A22E4D" w:rsidP="00DF29AB">
            <w:pPr>
              <w:tabs>
                <w:tab w:val="left" w:pos="7560"/>
              </w:tabs>
              <w:spacing w:after="0"/>
              <w:rPr>
                <w:sz w:val="16"/>
                <w:szCs w:val="16"/>
              </w:rPr>
            </w:pPr>
            <w:r>
              <w:rPr>
                <w:sz w:val="16"/>
                <w:szCs w:val="16"/>
              </w:rPr>
              <w:t>Project Letter used and updated</w:t>
            </w:r>
          </w:p>
        </w:tc>
        <w:tc>
          <w:tcPr>
            <w:tcW w:w="236" w:type="dxa"/>
            <w:shd w:val="clear" w:color="auto" w:fill="D99594" w:themeFill="accent2" w:themeFillTint="99"/>
          </w:tcPr>
          <w:p w14:paraId="6AAE729F" w14:textId="77777777" w:rsidR="00A22E4D" w:rsidRPr="006D21CC" w:rsidRDefault="00A22E4D" w:rsidP="00DF29AB">
            <w:pPr>
              <w:tabs>
                <w:tab w:val="left" w:pos="7560"/>
              </w:tabs>
              <w:spacing w:after="0"/>
              <w:rPr>
                <w:sz w:val="16"/>
                <w:szCs w:val="16"/>
              </w:rPr>
            </w:pPr>
          </w:p>
        </w:tc>
        <w:tc>
          <w:tcPr>
            <w:tcW w:w="236" w:type="dxa"/>
            <w:shd w:val="clear" w:color="auto" w:fill="auto"/>
          </w:tcPr>
          <w:p w14:paraId="41701CC5" w14:textId="77777777" w:rsidR="00A22E4D" w:rsidRPr="006D21CC" w:rsidRDefault="00A22E4D" w:rsidP="00DF29AB">
            <w:pPr>
              <w:tabs>
                <w:tab w:val="left" w:pos="7560"/>
              </w:tabs>
              <w:spacing w:after="0"/>
              <w:rPr>
                <w:sz w:val="16"/>
                <w:szCs w:val="16"/>
              </w:rPr>
            </w:pPr>
          </w:p>
        </w:tc>
        <w:tc>
          <w:tcPr>
            <w:tcW w:w="236" w:type="dxa"/>
            <w:shd w:val="clear" w:color="auto" w:fill="auto"/>
          </w:tcPr>
          <w:p w14:paraId="050C97B3" w14:textId="77777777" w:rsidR="00A22E4D" w:rsidRPr="006D21CC" w:rsidRDefault="00A22E4D" w:rsidP="00DF29AB">
            <w:pPr>
              <w:tabs>
                <w:tab w:val="left" w:pos="7560"/>
              </w:tabs>
              <w:spacing w:after="0"/>
              <w:rPr>
                <w:sz w:val="16"/>
                <w:szCs w:val="16"/>
              </w:rPr>
            </w:pPr>
          </w:p>
        </w:tc>
        <w:tc>
          <w:tcPr>
            <w:tcW w:w="236" w:type="dxa"/>
            <w:shd w:val="clear" w:color="auto" w:fill="auto"/>
          </w:tcPr>
          <w:p w14:paraId="4F24513E" w14:textId="77777777" w:rsidR="00A22E4D" w:rsidRPr="006D21CC" w:rsidRDefault="00A22E4D" w:rsidP="00DF29AB">
            <w:pPr>
              <w:tabs>
                <w:tab w:val="left" w:pos="7560"/>
              </w:tabs>
              <w:spacing w:after="0"/>
              <w:rPr>
                <w:sz w:val="16"/>
                <w:szCs w:val="16"/>
              </w:rPr>
            </w:pPr>
          </w:p>
        </w:tc>
        <w:tc>
          <w:tcPr>
            <w:tcW w:w="236" w:type="dxa"/>
            <w:shd w:val="clear" w:color="auto" w:fill="auto"/>
          </w:tcPr>
          <w:p w14:paraId="3F4D9F99" w14:textId="77777777" w:rsidR="00A22E4D" w:rsidRPr="006D21CC" w:rsidRDefault="00A22E4D" w:rsidP="00DF29AB">
            <w:pPr>
              <w:tabs>
                <w:tab w:val="left" w:pos="7560"/>
              </w:tabs>
              <w:spacing w:after="0"/>
              <w:rPr>
                <w:sz w:val="16"/>
                <w:szCs w:val="16"/>
              </w:rPr>
            </w:pPr>
          </w:p>
        </w:tc>
        <w:tc>
          <w:tcPr>
            <w:tcW w:w="236" w:type="dxa"/>
            <w:shd w:val="clear" w:color="auto" w:fill="auto"/>
          </w:tcPr>
          <w:p w14:paraId="1FF095E3" w14:textId="77777777" w:rsidR="00A22E4D" w:rsidRPr="006D21CC" w:rsidRDefault="00A22E4D" w:rsidP="00DF29AB">
            <w:pPr>
              <w:tabs>
                <w:tab w:val="left" w:pos="7560"/>
              </w:tabs>
              <w:spacing w:after="0"/>
              <w:rPr>
                <w:sz w:val="16"/>
                <w:szCs w:val="16"/>
              </w:rPr>
            </w:pPr>
          </w:p>
        </w:tc>
        <w:tc>
          <w:tcPr>
            <w:tcW w:w="236" w:type="dxa"/>
            <w:shd w:val="clear" w:color="auto" w:fill="auto"/>
          </w:tcPr>
          <w:p w14:paraId="6BB2EF1E" w14:textId="77777777" w:rsidR="00A22E4D" w:rsidRPr="006D21CC" w:rsidRDefault="00A22E4D" w:rsidP="00DF29AB">
            <w:pPr>
              <w:tabs>
                <w:tab w:val="left" w:pos="7560"/>
              </w:tabs>
              <w:spacing w:after="0"/>
              <w:rPr>
                <w:sz w:val="16"/>
                <w:szCs w:val="16"/>
              </w:rPr>
            </w:pPr>
          </w:p>
        </w:tc>
        <w:tc>
          <w:tcPr>
            <w:tcW w:w="236" w:type="dxa"/>
            <w:shd w:val="clear" w:color="auto" w:fill="auto"/>
          </w:tcPr>
          <w:p w14:paraId="4A8C40F1" w14:textId="77777777" w:rsidR="00A22E4D" w:rsidRPr="006D21CC" w:rsidRDefault="00A22E4D" w:rsidP="00DF29AB">
            <w:pPr>
              <w:tabs>
                <w:tab w:val="left" w:pos="7560"/>
              </w:tabs>
              <w:spacing w:after="0"/>
              <w:rPr>
                <w:sz w:val="16"/>
                <w:szCs w:val="16"/>
              </w:rPr>
            </w:pPr>
          </w:p>
        </w:tc>
        <w:tc>
          <w:tcPr>
            <w:tcW w:w="236" w:type="dxa"/>
            <w:shd w:val="clear" w:color="auto" w:fill="auto"/>
          </w:tcPr>
          <w:p w14:paraId="01A43EE3" w14:textId="77777777" w:rsidR="00A22E4D" w:rsidRPr="006D21CC" w:rsidRDefault="00A22E4D" w:rsidP="00DF29AB">
            <w:pPr>
              <w:tabs>
                <w:tab w:val="left" w:pos="7560"/>
              </w:tabs>
              <w:spacing w:after="0"/>
              <w:rPr>
                <w:sz w:val="16"/>
                <w:szCs w:val="16"/>
              </w:rPr>
            </w:pPr>
          </w:p>
        </w:tc>
        <w:tc>
          <w:tcPr>
            <w:tcW w:w="236" w:type="dxa"/>
            <w:shd w:val="clear" w:color="auto" w:fill="auto"/>
          </w:tcPr>
          <w:p w14:paraId="150D3C12" w14:textId="77777777" w:rsidR="00A22E4D" w:rsidRPr="006D21CC" w:rsidRDefault="00A22E4D" w:rsidP="00DF29AB">
            <w:pPr>
              <w:tabs>
                <w:tab w:val="left" w:pos="7560"/>
              </w:tabs>
              <w:spacing w:after="0"/>
              <w:rPr>
                <w:sz w:val="16"/>
                <w:szCs w:val="16"/>
              </w:rPr>
            </w:pPr>
          </w:p>
        </w:tc>
        <w:tc>
          <w:tcPr>
            <w:tcW w:w="236" w:type="dxa"/>
            <w:shd w:val="clear" w:color="auto" w:fill="auto"/>
          </w:tcPr>
          <w:p w14:paraId="37C63B75" w14:textId="77777777" w:rsidR="00A22E4D" w:rsidRPr="006D21CC" w:rsidRDefault="00A22E4D" w:rsidP="00DF29AB">
            <w:pPr>
              <w:tabs>
                <w:tab w:val="left" w:pos="7560"/>
              </w:tabs>
              <w:spacing w:after="0"/>
              <w:rPr>
                <w:sz w:val="16"/>
                <w:szCs w:val="16"/>
              </w:rPr>
            </w:pPr>
          </w:p>
        </w:tc>
        <w:tc>
          <w:tcPr>
            <w:tcW w:w="236" w:type="dxa"/>
            <w:shd w:val="clear" w:color="auto" w:fill="auto"/>
          </w:tcPr>
          <w:p w14:paraId="4AE3D055" w14:textId="77777777" w:rsidR="00A22E4D" w:rsidRPr="006D21CC" w:rsidRDefault="00A22E4D" w:rsidP="00DF29AB">
            <w:pPr>
              <w:tabs>
                <w:tab w:val="left" w:pos="7560"/>
              </w:tabs>
              <w:spacing w:after="0"/>
              <w:rPr>
                <w:sz w:val="16"/>
                <w:szCs w:val="16"/>
              </w:rPr>
            </w:pPr>
          </w:p>
        </w:tc>
        <w:tc>
          <w:tcPr>
            <w:tcW w:w="236" w:type="dxa"/>
            <w:shd w:val="clear" w:color="auto" w:fill="auto"/>
          </w:tcPr>
          <w:p w14:paraId="20BC205A" w14:textId="77777777" w:rsidR="00A22E4D" w:rsidRPr="006D21CC" w:rsidRDefault="00A22E4D" w:rsidP="00DF29AB">
            <w:pPr>
              <w:tabs>
                <w:tab w:val="left" w:pos="7560"/>
              </w:tabs>
              <w:spacing w:after="0"/>
              <w:rPr>
                <w:sz w:val="16"/>
                <w:szCs w:val="16"/>
              </w:rPr>
            </w:pPr>
          </w:p>
        </w:tc>
        <w:tc>
          <w:tcPr>
            <w:tcW w:w="236" w:type="dxa"/>
            <w:shd w:val="clear" w:color="auto" w:fill="auto"/>
          </w:tcPr>
          <w:p w14:paraId="6C31DD82" w14:textId="77777777" w:rsidR="00A22E4D" w:rsidRPr="006D21CC" w:rsidRDefault="00A22E4D" w:rsidP="00DF29AB">
            <w:pPr>
              <w:tabs>
                <w:tab w:val="left" w:pos="7560"/>
              </w:tabs>
              <w:spacing w:after="0"/>
              <w:rPr>
                <w:sz w:val="16"/>
                <w:szCs w:val="16"/>
              </w:rPr>
            </w:pPr>
          </w:p>
        </w:tc>
        <w:tc>
          <w:tcPr>
            <w:tcW w:w="236" w:type="dxa"/>
            <w:shd w:val="clear" w:color="auto" w:fill="auto"/>
          </w:tcPr>
          <w:p w14:paraId="500BA2A3" w14:textId="77777777" w:rsidR="00A22E4D" w:rsidRPr="006D21CC" w:rsidRDefault="00A22E4D" w:rsidP="00DF29AB">
            <w:pPr>
              <w:tabs>
                <w:tab w:val="left" w:pos="7560"/>
              </w:tabs>
              <w:spacing w:after="0"/>
              <w:rPr>
                <w:sz w:val="16"/>
                <w:szCs w:val="16"/>
              </w:rPr>
            </w:pPr>
          </w:p>
        </w:tc>
        <w:tc>
          <w:tcPr>
            <w:tcW w:w="236" w:type="dxa"/>
            <w:shd w:val="clear" w:color="auto" w:fill="auto"/>
          </w:tcPr>
          <w:p w14:paraId="696B1BF5" w14:textId="77777777" w:rsidR="00A22E4D" w:rsidRPr="006D21CC" w:rsidRDefault="00A22E4D" w:rsidP="00DF29AB">
            <w:pPr>
              <w:tabs>
                <w:tab w:val="left" w:pos="7560"/>
              </w:tabs>
              <w:spacing w:after="0"/>
              <w:rPr>
                <w:sz w:val="16"/>
                <w:szCs w:val="16"/>
              </w:rPr>
            </w:pPr>
          </w:p>
        </w:tc>
        <w:tc>
          <w:tcPr>
            <w:tcW w:w="236" w:type="dxa"/>
            <w:shd w:val="clear" w:color="auto" w:fill="auto"/>
          </w:tcPr>
          <w:p w14:paraId="4D1C708D" w14:textId="77777777" w:rsidR="00A22E4D" w:rsidRPr="006D21CC" w:rsidRDefault="00A22E4D" w:rsidP="00DF29AB">
            <w:pPr>
              <w:tabs>
                <w:tab w:val="left" w:pos="7560"/>
              </w:tabs>
              <w:spacing w:after="0"/>
              <w:rPr>
                <w:sz w:val="16"/>
                <w:szCs w:val="16"/>
              </w:rPr>
            </w:pPr>
          </w:p>
        </w:tc>
        <w:tc>
          <w:tcPr>
            <w:tcW w:w="236" w:type="dxa"/>
            <w:shd w:val="clear" w:color="auto" w:fill="auto"/>
          </w:tcPr>
          <w:p w14:paraId="5716B64D" w14:textId="77777777" w:rsidR="00A22E4D" w:rsidRPr="006D21CC" w:rsidRDefault="00A22E4D" w:rsidP="00DF29AB">
            <w:pPr>
              <w:tabs>
                <w:tab w:val="left" w:pos="7560"/>
              </w:tabs>
              <w:spacing w:after="0"/>
              <w:rPr>
                <w:sz w:val="16"/>
                <w:szCs w:val="16"/>
              </w:rPr>
            </w:pPr>
          </w:p>
        </w:tc>
        <w:tc>
          <w:tcPr>
            <w:tcW w:w="236" w:type="dxa"/>
            <w:shd w:val="clear" w:color="auto" w:fill="auto"/>
          </w:tcPr>
          <w:p w14:paraId="1D5C8317" w14:textId="77777777" w:rsidR="00A22E4D" w:rsidRPr="006D21CC" w:rsidRDefault="00A22E4D" w:rsidP="00DF29AB">
            <w:pPr>
              <w:tabs>
                <w:tab w:val="left" w:pos="7560"/>
              </w:tabs>
              <w:spacing w:after="0"/>
              <w:rPr>
                <w:sz w:val="16"/>
                <w:szCs w:val="16"/>
              </w:rPr>
            </w:pPr>
          </w:p>
        </w:tc>
        <w:tc>
          <w:tcPr>
            <w:tcW w:w="236" w:type="dxa"/>
            <w:shd w:val="clear" w:color="auto" w:fill="auto"/>
          </w:tcPr>
          <w:p w14:paraId="011DB80A" w14:textId="77777777" w:rsidR="00A22E4D" w:rsidRPr="006D21CC" w:rsidRDefault="00A22E4D" w:rsidP="00DF29AB">
            <w:pPr>
              <w:tabs>
                <w:tab w:val="left" w:pos="7560"/>
              </w:tabs>
              <w:spacing w:after="0"/>
              <w:rPr>
                <w:sz w:val="16"/>
                <w:szCs w:val="16"/>
              </w:rPr>
            </w:pPr>
          </w:p>
        </w:tc>
        <w:tc>
          <w:tcPr>
            <w:tcW w:w="236" w:type="dxa"/>
            <w:shd w:val="clear" w:color="auto" w:fill="auto"/>
          </w:tcPr>
          <w:p w14:paraId="6C2A1153" w14:textId="77777777" w:rsidR="00A22E4D" w:rsidRPr="006D21CC" w:rsidRDefault="00A22E4D" w:rsidP="00DF29AB">
            <w:pPr>
              <w:tabs>
                <w:tab w:val="left" w:pos="7560"/>
              </w:tabs>
              <w:spacing w:after="0"/>
              <w:rPr>
                <w:sz w:val="16"/>
                <w:szCs w:val="16"/>
              </w:rPr>
            </w:pPr>
          </w:p>
        </w:tc>
        <w:tc>
          <w:tcPr>
            <w:tcW w:w="236" w:type="dxa"/>
            <w:shd w:val="clear" w:color="auto" w:fill="auto"/>
          </w:tcPr>
          <w:p w14:paraId="24E7981D" w14:textId="77777777" w:rsidR="00A22E4D" w:rsidRPr="006D21CC" w:rsidRDefault="00A22E4D" w:rsidP="00DF29AB">
            <w:pPr>
              <w:tabs>
                <w:tab w:val="left" w:pos="7560"/>
              </w:tabs>
              <w:spacing w:after="0"/>
              <w:rPr>
                <w:sz w:val="16"/>
                <w:szCs w:val="16"/>
              </w:rPr>
            </w:pPr>
          </w:p>
        </w:tc>
        <w:tc>
          <w:tcPr>
            <w:tcW w:w="236" w:type="dxa"/>
            <w:shd w:val="clear" w:color="auto" w:fill="auto"/>
          </w:tcPr>
          <w:p w14:paraId="63C35265" w14:textId="77777777" w:rsidR="00A22E4D" w:rsidRPr="006D21CC" w:rsidRDefault="00A22E4D" w:rsidP="00DF29AB">
            <w:pPr>
              <w:tabs>
                <w:tab w:val="left" w:pos="7560"/>
              </w:tabs>
              <w:spacing w:after="0"/>
              <w:rPr>
                <w:sz w:val="16"/>
                <w:szCs w:val="16"/>
              </w:rPr>
            </w:pPr>
          </w:p>
        </w:tc>
        <w:tc>
          <w:tcPr>
            <w:tcW w:w="236" w:type="dxa"/>
            <w:shd w:val="clear" w:color="auto" w:fill="auto"/>
          </w:tcPr>
          <w:p w14:paraId="573CDFEE" w14:textId="77777777" w:rsidR="00A22E4D" w:rsidRPr="006D21CC" w:rsidRDefault="00A22E4D" w:rsidP="00DF29AB">
            <w:pPr>
              <w:tabs>
                <w:tab w:val="left" w:pos="7560"/>
              </w:tabs>
              <w:spacing w:after="0"/>
              <w:rPr>
                <w:sz w:val="16"/>
                <w:szCs w:val="16"/>
              </w:rPr>
            </w:pPr>
          </w:p>
        </w:tc>
      </w:tr>
      <w:tr w:rsidR="00A22E4D" w:rsidRPr="006D21CC" w14:paraId="232283DB" w14:textId="77777777" w:rsidTr="00DF29AB">
        <w:tc>
          <w:tcPr>
            <w:tcW w:w="2317" w:type="dxa"/>
            <w:shd w:val="clear" w:color="auto" w:fill="auto"/>
          </w:tcPr>
          <w:p w14:paraId="01D50E98" w14:textId="77777777" w:rsidR="00A22E4D" w:rsidRPr="006D21CC" w:rsidRDefault="00A22E4D" w:rsidP="00DF29AB">
            <w:pPr>
              <w:tabs>
                <w:tab w:val="left" w:pos="7560"/>
              </w:tabs>
              <w:spacing w:after="0"/>
              <w:rPr>
                <w:sz w:val="16"/>
                <w:szCs w:val="16"/>
              </w:rPr>
            </w:pPr>
            <w:r>
              <w:rPr>
                <w:sz w:val="16"/>
                <w:szCs w:val="16"/>
              </w:rPr>
              <w:t>Create Email Signature</w:t>
            </w:r>
          </w:p>
        </w:tc>
        <w:tc>
          <w:tcPr>
            <w:tcW w:w="1946" w:type="dxa"/>
          </w:tcPr>
          <w:p w14:paraId="659D90FE" w14:textId="77777777" w:rsidR="00A22E4D" w:rsidRPr="006D21CC" w:rsidRDefault="00A22E4D" w:rsidP="00DF29AB">
            <w:pPr>
              <w:tabs>
                <w:tab w:val="left" w:pos="7560"/>
              </w:tabs>
              <w:spacing w:after="0"/>
              <w:rPr>
                <w:sz w:val="16"/>
                <w:szCs w:val="16"/>
              </w:rPr>
            </w:pPr>
            <w:r>
              <w:rPr>
                <w:sz w:val="16"/>
                <w:szCs w:val="16"/>
              </w:rPr>
              <w:t>Emails have signature</w:t>
            </w:r>
          </w:p>
        </w:tc>
        <w:tc>
          <w:tcPr>
            <w:tcW w:w="236" w:type="dxa"/>
            <w:shd w:val="clear" w:color="auto" w:fill="D99594" w:themeFill="accent2" w:themeFillTint="99"/>
          </w:tcPr>
          <w:p w14:paraId="68D04DD2" w14:textId="77777777" w:rsidR="00A22E4D" w:rsidRPr="006D21CC" w:rsidRDefault="00A22E4D" w:rsidP="00DF29AB">
            <w:pPr>
              <w:tabs>
                <w:tab w:val="left" w:pos="7560"/>
              </w:tabs>
              <w:spacing w:after="0"/>
              <w:rPr>
                <w:sz w:val="16"/>
                <w:szCs w:val="16"/>
              </w:rPr>
            </w:pPr>
          </w:p>
        </w:tc>
        <w:tc>
          <w:tcPr>
            <w:tcW w:w="236" w:type="dxa"/>
            <w:shd w:val="clear" w:color="auto" w:fill="auto"/>
          </w:tcPr>
          <w:p w14:paraId="1A465133" w14:textId="77777777" w:rsidR="00A22E4D" w:rsidRPr="006D21CC" w:rsidRDefault="00A22E4D" w:rsidP="00DF29AB">
            <w:pPr>
              <w:tabs>
                <w:tab w:val="left" w:pos="7560"/>
              </w:tabs>
              <w:spacing w:after="0"/>
              <w:rPr>
                <w:sz w:val="16"/>
                <w:szCs w:val="16"/>
              </w:rPr>
            </w:pPr>
          </w:p>
        </w:tc>
        <w:tc>
          <w:tcPr>
            <w:tcW w:w="236" w:type="dxa"/>
            <w:shd w:val="clear" w:color="auto" w:fill="auto"/>
          </w:tcPr>
          <w:p w14:paraId="16A5D830" w14:textId="77777777" w:rsidR="00A22E4D" w:rsidRPr="006D21CC" w:rsidRDefault="00A22E4D" w:rsidP="00DF29AB">
            <w:pPr>
              <w:tabs>
                <w:tab w:val="left" w:pos="7560"/>
              </w:tabs>
              <w:spacing w:after="0"/>
              <w:rPr>
                <w:sz w:val="16"/>
                <w:szCs w:val="16"/>
              </w:rPr>
            </w:pPr>
          </w:p>
        </w:tc>
        <w:tc>
          <w:tcPr>
            <w:tcW w:w="236" w:type="dxa"/>
            <w:shd w:val="clear" w:color="auto" w:fill="auto"/>
          </w:tcPr>
          <w:p w14:paraId="736367ED" w14:textId="77777777" w:rsidR="00A22E4D" w:rsidRPr="006D21CC" w:rsidRDefault="00A22E4D" w:rsidP="00DF29AB">
            <w:pPr>
              <w:tabs>
                <w:tab w:val="left" w:pos="7560"/>
              </w:tabs>
              <w:spacing w:after="0"/>
              <w:rPr>
                <w:sz w:val="16"/>
                <w:szCs w:val="16"/>
              </w:rPr>
            </w:pPr>
          </w:p>
        </w:tc>
        <w:tc>
          <w:tcPr>
            <w:tcW w:w="236" w:type="dxa"/>
            <w:shd w:val="clear" w:color="auto" w:fill="auto"/>
          </w:tcPr>
          <w:p w14:paraId="4796DBAB" w14:textId="77777777" w:rsidR="00A22E4D" w:rsidRPr="006D21CC" w:rsidRDefault="00A22E4D" w:rsidP="00DF29AB">
            <w:pPr>
              <w:tabs>
                <w:tab w:val="left" w:pos="7560"/>
              </w:tabs>
              <w:spacing w:after="0"/>
              <w:rPr>
                <w:sz w:val="16"/>
                <w:szCs w:val="16"/>
              </w:rPr>
            </w:pPr>
          </w:p>
        </w:tc>
        <w:tc>
          <w:tcPr>
            <w:tcW w:w="236" w:type="dxa"/>
            <w:shd w:val="clear" w:color="auto" w:fill="auto"/>
          </w:tcPr>
          <w:p w14:paraId="0176109B" w14:textId="77777777" w:rsidR="00A22E4D" w:rsidRPr="006D21CC" w:rsidRDefault="00A22E4D" w:rsidP="00DF29AB">
            <w:pPr>
              <w:tabs>
                <w:tab w:val="left" w:pos="7560"/>
              </w:tabs>
              <w:spacing w:after="0"/>
              <w:rPr>
                <w:sz w:val="16"/>
                <w:szCs w:val="16"/>
              </w:rPr>
            </w:pPr>
          </w:p>
        </w:tc>
        <w:tc>
          <w:tcPr>
            <w:tcW w:w="236" w:type="dxa"/>
            <w:shd w:val="clear" w:color="auto" w:fill="auto"/>
          </w:tcPr>
          <w:p w14:paraId="2967C9D9" w14:textId="77777777" w:rsidR="00A22E4D" w:rsidRPr="006D21CC" w:rsidRDefault="00A22E4D" w:rsidP="00DF29AB">
            <w:pPr>
              <w:tabs>
                <w:tab w:val="left" w:pos="7560"/>
              </w:tabs>
              <w:spacing w:after="0"/>
              <w:rPr>
                <w:sz w:val="16"/>
                <w:szCs w:val="16"/>
              </w:rPr>
            </w:pPr>
          </w:p>
        </w:tc>
        <w:tc>
          <w:tcPr>
            <w:tcW w:w="236" w:type="dxa"/>
            <w:shd w:val="clear" w:color="auto" w:fill="auto"/>
          </w:tcPr>
          <w:p w14:paraId="0DB764E0" w14:textId="77777777" w:rsidR="00A22E4D" w:rsidRPr="006D21CC" w:rsidRDefault="00A22E4D" w:rsidP="00DF29AB">
            <w:pPr>
              <w:tabs>
                <w:tab w:val="left" w:pos="7560"/>
              </w:tabs>
              <w:spacing w:after="0"/>
              <w:rPr>
                <w:sz w:val="16"/>
                <w:szCs w:val="16"/>
              </w:rPr>
            </w:pPr>
          </w:p>
        </w:tc>
        <w:tc>
          <w:tcPr>
            <w:tcW w:w="236" w:type="dxa"/>
            <w:shd w:val="clear" w:color="auto" w:fill="auto"/>
          </w:tcPr>
          <w:p w14:paraId="4FA59896" w14:textId="77777777" w:rsidR="00A22E4D" w:rsidRPr="006D21CC" w:rsidRDefault="00A22E4D" w:rsidP="00DF29AB">
            <w:pPr>
              <w:tabs>
                <w:tab w:val="left" w:pos="7560"/>
              </w:tabs>
              <w:spacing w:after="0"/>
              <w:rPr>
                <w:sz w:val="16"/>
                <w:szCs w:val="16"/>
              </w:rPr>
            </w:pPr>
          </w:p>
        </w:tc>
        <w:tc>
          <w:tcPr>
            <w:tcW w:w="236" w:type="dxa"/>
            <w:shd w:val="clear" w:color="auto" w:fill="auto"/>
          </w:tcPr>
          <w:p w14:paraId="1EDBA552" w14:textId="77777777" w:rsidR="00A22E4D" w:rsidRPr="006D21CC" w:rsidRDefault="00A22E4D" w:rsidP="00DF29AB">
            <w:pPr>
              <w:tabs>
                <w:tab w:val="left" w:pos="7560"/>
              </w:tabs>
              <w:spacing w:after="0"/>
              <w:rPr>
                <w:sz w:val="16"/>
                <w:szCs w:val="16"/>
              </w:rPr>
            </w:pPr>
          </w:p>
        </w:tc>
        <w:tc>
          <w:tcPr>
            <w:tcW w:w="236" w:type="dxa"/>
            <w:shd w:val="clear" w:color="auto" w:fill="auto"/>
          </w:tcPr>
          <w:p w14:paraId="6B620F75" w14:textId="77777777" w:rsidR="00A22E4D" w:rsidRPr="006D21CC" w:rsidRDefault="00A22E4D" w:rsidP="00DF29AB">
            <w:pPr>
              <w:tabs>
                <w:tab w:val="left" w:pos="7560"/>
              </w:tabs>
              <w:spacing w:after="0"/>
              <w:rPr>
                <w:sz w:val="16"/>
                <w:szCs w:val="16"/>
              </w:rPr>
            </w:pPr>
          </w:p>
        </w:tc>
        <w:tc>
          <w:tcPr>
            <w:tcW w:w="236" w:type="dxa"/>
            <w:shd w:val="clear" w:color="auto" w:fill="auto"/>
          </w:tcPr>
          <w:p w14:paraId="2BF7DF16" w14:textId="77777777" w:rsidR="00A22E4D" w:rsidRPr="006D21CC" w:rsidRDefault="00A22E4D" w:rsidP="00DF29AB">
            <w:pPr>
              <w:tabs>
                <w:tab w:val="left" w:pos="7560"/>
              </w:tabs>
              <w:spacing w:after="0"/>
              <w:rPr>
                <w:sz w:val="16"/>
                <w:szCs w:val="16"/>
              </w:rPr>
            </w:pPr>
          </w:p>
        </w:tc>
        <w:tc>
          <w:tcPr>
            <w:tcW w:w="236" w:type="dxa"/>
            <w:shd w:val="clear" w:color="auto" w:fill="auto"/>
          </w:tcPr>
          <w:p w14:paraId="5F3611E7" w14:textId="77777777" w:rsidR="00A22E4D" w:rsidRPr="006D21CC" w:rsidRDefault="00A22E4D" w:rsidP="00DF29AB">
            <w:pPr>
              <w:tabs>
                <w:tab w:val="left" w:pos="7560"/>
              </w:tabs>
              <w:spacing w:after="0"/>
              <w:rPr>
                <w:sz w:val="16"/>
                <w:szCs w:val="16"/>
              </w:rPr>
            </w:pPr>
          </w:p>
        </w:tc>
        <w:tc>
          <w:tcPr>
            <w:tcW w:w="236" w:type="dxa"/>
            <w:shd w:val="clear" w:color="auto" w:fill="auto"/>
          </w:tcPr>
          <w:p w14:paraId="3859ACA0" w14:textId="77777777" w:rsidR="00A22E4D" w:rsidRPr="006D21CC" w:rsidRDefault="00A22E4D" w:rsidP="00DF29AB">
            <w:pPr>
              <w:tabs>
                <w:tab w:val="left" w:pos="7560"/>
              </w:tabs>
              <w:spacing w:after="0"/>
              <w:rPr>
                <w:sz w:val="16"/>
                <w:szCs w:val="16"/>
              </w:rPr>
            </w:pPr>
          </w:p>
        </w:tc>
        <w:tc>
          <w:tcPr>
            <w:tcW w:w="236" w:type="dxa"/>
            <w:shd w:val="clear" w:color="auto" w:fill="auto"/>
          </w:tcPr>
          <w:p w14:paraId="63404A91" w14:textId="77777777" w:rsidR="00A22E4D" w:rsidRPr="006D21CC" w:rsidRDefault="00A22E4D" w:rsidP="00DF29AB">
            <w:pPr>
              <w:tabs>
                <w:tab w:val="left" w:pos="7560"/>
              </w:tabs>
              <w:spacing w:after="0"/>
              <w:rPr>
                <w:sz w:val="16"/>
                <w:szCs w:val="16"/>
              </w:rPr>
            </w:pPr>
          </w:p>
        </w:tc>
        <w:tc>
          <w:tcPr>
            <w:tcW w:w="236" w:type="dxa"/>
            <w:shd w:val="clear" w:color="auto" w:fill="auto"/>
          </w:tcPr>
          <w:p w14:paraId="347991B7" w14:textId="77777777" w:rsidR="00A22E4D" w:rsidRPr="006D21CC" w:rsidRDefault="00A22E4D" w:rsidP="00DF29AB">
            <w:pPr>
              <w:tabs>
                <w:tab w:val="left" w:pos="7560"/>
              </w:tabs>
              <w:spacing w:after="0"/>
              <w:rPr>
                <w:sz w:val="16"/>
                <w:szCs w:val="16"/>
              </w:rPr>
            </w:pPr>
          </w:p>
        </w:tc>
        <w:tc>
          <w:tcPr>
            <w:tcW w:w="236" w:type="dxa"/>
            <w:shd w:val="clear" w:color="auto" w:fill="auto"/>
          </w:tcPr>
          <w:p w14:paraId="36D7E8AE" w14:textId="77777777" w:rsidR="00A22E4D" w:rsidRPr="006D21CC" w:rsidRDefault="00A22E4D" w:rsidP="00DF29AB">
            <w:pPr>
              <w:tabs>
                <w:tab w:val="left" w:pos="7560"/>
              </w:tabs>
              <w:spacing w:after="0"/>
              <w:rPr>
                <w:sz w:val="16"/>
                <w:szCs w:val="16"/>
              </w:rPr>
            </w:pPr>
          </w:p>
        </w:tc>
        <w:tc>
          <w:tcPr>
            <w:tcW w:w="236" w:type="dxa"/>
            <w:shd w:val="clear" w:color="auto" w:fill="auto"/>
          </w:tcPr>
          <w:p w14:paraId="140634D4" w14:textId="77777777" w:rsidR="00A22E4D" w:rsidRPr="006D21CC" w:rsidRDefault="00A22E4D" w:rsidP="00DF29AB">
            <w:pPr>
              <w:tabs>
                <w:tab w:val="left" w:pos="7560"/>
              </w:tabs>
              <w:spacing w:after="0"/>
              <w:rPr>
                <w:sz w:val="16"/>
                <w:szCs w:val="16"/>
              </w:rPr>
            </w:pPr>
          </w:p>
        </w:tc>
        <w:tc>
          <w:tcPr>
            <w:tcW w:w="236" w:type="dxa"/>
            <w:shd w:val="clear" w:color="auto" w:fill="auto"/>
          </w:tcPr>
          <w:p w14:paraId="4D2565C8" w14:textId="77777777" w:rsidR="00A22E4D" w:rsidRPr="006D21CC" w:rsidRDefault="00A22E4D" w:rsidP="00DF29AB">
            <w:pPr>
              <w:tabs>
                <w:tab w:val="left" w:pos="7560"/>
              </w:tabs>
              <w:spacing w:after="0"/>
              <w:rPr>
                <w:sz w:val="16"/>
                <w:szCs w:val="16"/>
              </w:rPr>
            </w:pPr>
          </w:p>
        </w:tc>
        <w:tc>
          <w:tcPr>
            <w:tcW w:w="236" w:type="dxa"/>
            <w:shd w:val="clear" w:color="auto" w:fill="auto"/>
          </w:tcPr>
          <w:p w14:paraId="2EBE8F69" w14:textId="77777777" w:rsidR="00A22E4D" w:rsidRPr="006D21CC" w:rsidRDefault="00A22E4D" w:rsidP="00DF29AB">
            <w:pPr>
              <w:tabs>
                <w:tab w:val="left" w:pos="7560"/>
              </w:tabs>
              <w:spacing w:after="0"/>
              <w:rPr>
                <w:sz w:val="16"/>
                <w:szCs w:val="16"/>
              </w:rPr>
            </w:pPr>
          </w:p>
        </w:tc>
        <w:tc>
          <w:tcPr>
            <w:tcW w:w="236" w:type="dxa"/>
            <w:shd w:val="clear" w:color="auto" w:fill="auto"/>
          </w:tcPr>
          <w:p w14:paraId="5F907C3F" w14:textId="77777777" w:rsidR="00A22E4D" w:rsidRPr="006D21CC" w:rsidRDefault="00A22E4D" w:rsidP="00DF29AB">
            <w:pPr>
              <w:tabs>
                <w:tab w:val="left" w:pos="7560"/>
              </w:tabs>
              <w:spacing w:after="0"/>
              <w:rPr>
                <w:sz w:val="16"/>
                <w:szCs w:val="16"/>
              </w:rPr>
            </w:pPr>
          </w:p>
        </w:tc>
        <w:tc>
          <w:tcPr>
            <w:tcW w:w="236" w:type="dxa"/>
            <w:shd w:val="clear" w:color="auto" w:fill="auto"/>
          </w:tcPr>
          <w:p w14:paraId="44FB5334" w14:textId="77777777" w:rsidR="00A22E4D" w:rsidRPr="006D21CC" w:rsidRDefault="00A22E4D" w:rsidP="00DF29AB">
            <w:pPr>
              <w:tabs>
                <w:tab w:val="left" w:pos="7560"/>
              </w:tabs>
              <w:spacing w:after="0"/>
              <w:rPr>
                <w:sz w:val="16"/>
                <w:szCs w:val="16"/>
              </w:rPr>
            </w:pPr>
          </w:p>
        </w:tc>
        <w:tc>
          <w:tcPr>
            <w:tcW w:w="236" w:type="dxa"/>
            <w:shd w:val="clear" w:color="auto" w:fill="auto"/>
          </w:tcPr>
          <w:p w14:paraId="78B3D551" w14:textId="77777777" w:rsidR="00A22E4D" w:rsidRPr="006D21CC" w:rsidRDefault="00A22E4D" w:rsidP="00DF29AB">
            <w:pPr>
              <w:tabs>
                <w:tab w:val="left" w:pos="7560"/>
              </w:tabs>
              <w:spacing w:after="0"/>
              <w:rPr>
                <w:sz w:val="16"/>
                <w:szCs w:val="16"/>
              </w:rPr>
            </w:pPr>
          </w:p>
        </w:tc>
        <w:tc>
          <w:tcPr>
            <w:tcW w:w="236" w:type="dxa"/>
            <w:shd w:val="clear" w:color="auto" w:fill="auto"/>
          </w:tcPr>
          <w:p w14:paraId="260B860E" w14:textId="77777777" w:rsidR="00A22E4D" w:rsidRPr="006D21CC" w:rsidRDefault="00A22E4D" w:rsidP="00DF29AB">
            <w:pPr>
              <w:tabs>
                <w:tab w:val="left" w:pos="7560"/>
              </w:tabs>
              <w:spacing w:after="0"/>
              <w:rPr>
                <w:sz w:val="16"/>
                <w:szCs w:val="16"/>
              </w:rPr>
            </w:pPr>
          </w:p>
        </w:tc>
      </w:tr>
      <w:tr w:rsidR="00A22E4D" w:rsidRPr="006D21CC" w14:paraId="6746452E" w14:textId="77777777" w:rsidTr="00DF29AB">
        <w:tc>
          <w:tcPr>
            <w:tcW w:w="2317" w:type="dxa"/>
            <w:shd w:val="clear" w:color="auto" w:fill="auto"/>
          </w:tcPr>
          <w:p w14:paraId="7E2927F2" w14:textId="77777777" w:rsidR="00A22E4D" w:rsidRPr="006D21CC" w:rsidRDefault="00A22E4D" w:rsidP="00DF29AB">
            <w:pPr>
              <w:tabs>
                <w:tab w:val="left" w:pos="7560"/>
              </w:tabs>
              <w:spacing w:after="0"/>
              <w:rPr>
                <w:sz w:val="16"/>
                <w:szCs w:val="16"/>
              </w:rPr>
            </w:pPr>
            <w:r>
              <w:rPr>
                <w:sz w:val="16"/>
                <w:szCs w:val="16"/>
              </w:rPr>
              <w:t>Create Email List</w:t>
            </w:r>
          </w:p>
        </w:tc>
        <w:tc>
          <w:tcPr>
            <w:tcW w:w="1946" w:type="dxa"/>
          </w:tcPr>
          <w:p w14:paraId="0BEE6262" w14:textId="77777777" w:rsidR="00A22E4D" w:rsidRPr="006D21CC" w:rsidRDefault="00A22E4D" w:rsidP="00DF29AB">
            <w:pPr>
              <w:tabs>
                <w:tab w:val="left" w:pos="7560"/>
              </w:tabs>
              <w:spacing w:after="0"/>
              <w:rPr>
                <w:sz w:val="16"/>
                <w:szCs w:val="16"/>
              </w:rPr>
            </w:pPr>
            <w:r>
              <w:rPr>
                <w:sz w:val="16"/>
                <w:szCs w:val="16"/>
              </w:rPr>
              <w:t>Emails sent out to appropriate audiences</w:t>
            </w:r>
          </w:p>
        </w:tc>
        <w:tc>
          <w:tcPr>
            <w:tcW w:w="236" w:type="dxa"/>
            <w:shd w:val="clear" w:color="auto" w:fill="D99594" w:themeFill="accent2" w:themeFillTint="99"/>
          </w:tcPr>
          <w:p w14:paraId="5340F9A1"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7EB57FE2"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13F7FE9C" w14:textId="77777777" w:rsidR="00A22E4D" w:rsidRPr="006D21CC" w:rsidRDefault="00A22E4D" w:rsidP="00DF29AB">
            <w:pPr>
              <w:tabs>
                <w:tab w:val="left" w:pos="7560"/>
              </w:tabs>
              <w:spacing w:after="0"/>
              <w:rPr>
                <w:sz w:val="16"/>
                <w:szCs w:val="16"/>
              </w:rPr>
            </w:pPr>
          </w:p>
        </w:tc>
        <w:tc>
          <w:tcPr>
            <w:tcW w:w="236" w:type="dxa"/>
            <w:shd w:val="clear" w:color="auto" w:fill="auto"/>
          </w:tcPr>
          <w:p w14:paraId="2BEF63BD" w14:textId="77777777" w:rsidR="00A22E4D" w:rsidRPr="006D21CC" w:rsidRDefault="00A22E4D" w:rsidP="00DF29AB">
            <w:pPr>
              <w:tabs>
                <w:tab w:val="left" w:pos="7560"/>
              </w:tabs>
              <w:spacing w:after="0"/>
              <w:rPr>
                <w:sz w:val="16"/>
                <w:szCs w:val="16"/>
              </w:rPr>
            </w:pPr>
          </w:p>
        </w:tc>
        <w:tc>
          <w:tcPr>
            <w:tcW w:w="236" w:type="dxa"/>
            <w:shd w:val="clear" w:color="auto" w:fill="auto"/>
          </w:tcPr>
          <w:p w14:paraId="19D224ED" w14:textId="77777777" w:rsidR="00A22E4D" w:rsidRPr="006D21CC" w:rsidRDefault="00A22E4D" w:rsidP="00DF29AB">
            <w:pPr>
              <w:tabs>
                <w:tab w:val="left" w:pos="7560"/>
              </w:tabs>
              <w:spacing w:after="0"/>
              <w:rPr>
                <w:sz w:val="16"/>
                <w:szCs w:val="16"/>
              </w:rPr>
            </w:pPr>
          </w:p>
        </w:tc>
        <w:tc>
          <w:tcPr>
            <w:tcW w:w="236" w:type="dxa"/>
            <w:shd w:val="clear" w:color="auto" w:fill="auto"/>
          </w:tcPr>
          <w:p w14:paraId="2DDF54B7" w14:textId="77777777" w:rsidR="00A22E4D" w:rsidRPr="006D21CC" w:rsidRDefault="00A22E4D" w:rsidP="00DF29AB">
            <w:pPr>
              <w:tabs>
                <w:tab w:val="left" w:pos="7560"/>
              </w:tabs>
              <w:spacing w:after="0"/>
              <w:rPr>
                <w:sz w:val="16"/>
                <w:szCs w:val="16"/>
              </w:rPr>
            </w:pPr>
          </w:p>
        </w:tc>
        <w:tc>
          <w:tcPr>
            <w:tcW w:w="236" w:type="dxa"/>
            <w:shd w:val="clear" w:color="auto" w:fill="auto"/>
          </w:tcPr>
          <w:p w14:paraId="6BC1C84B" w14:textId="77777777" w:rsidR="00A22E4D" w:rsidRPr="006D21CC" w:rsidRDefault="00A22E4D" w:rsidP="00DF29AB">
            <w:pPr>
              <w:tabs>
                <w:tab w:val="left" w:pos="7560"/>
              </w:tabs>
              <w:spacing w:after="0"/>
              <w:rPr>
                <w:sz w:val="16"/>
                <w:szCs w:val="16"/>
              </w:rPr>
            </w:pPr>
          </w:p>
        </w:tc>
        <w:tc>
          <w:tcPr>
            <w:tcW w:w="236" w:type="dxa"/>
            <w:shd w:val="clear" w:color="auto" w:fill="auto"/>
          </w:tcPr>
          <w:p w14:paraId="042DE0F5" w14:textId="77777777" w:rsidR="00A22E4D" w:rsidRPr="006D21CC" w:rsidRDefault="00A22E4D" w:rsidP="00DF29AB">
            <w:pPr>
              <w:tabs>
                <w:tab w:val="left" w:pos="7560"/>
              </w:tabs>
              <w:spacing w:after="0"/>
              <w:rPr>
                <w:sz w:val="16"/>
                <w:szCs w:val="16"/>
              </w:rPr>
            </w:pPr>
          </w:p>
        </w:tc>
        <w:tc>
          <w:tcPr>
            <w:tcW w:w="236" w:type="dxa"/>
            <w:shd w:val="clear" w:color="auto" w:fill="auto"/>
          </w:tcPr>
          <w:p w14:paraId="6F1BC648" w14:textId="77777777" w:rsidR="00A22E4D" w:rsidRPr="006D21CC" w:rsidRDefault="00A22E4D" w:rsidP="00DF29AB">
            <w:pPr>
              <w:tabs>
                <w:tab w:val="left" w:pos="7560"/>
              </w:tabs>
              <w:spacing w:after="0"/>
              <w:rPr>
                <w:sz w:val="16"/>
                <w:szCs w:val="16"/>
              </w:rPr>
            </w:pPr>
          </w:p>
        </w:tc>
        <w:tc>
          <w:tcPr>
            <w:tcW w:w="236" w:type="dxa"/>
            <w:shd w:val="clear" w:color="auto" w:fill="auto"/>
          </w:tcPr>
          <w:p w14:paraId="1792A99A" w14:textId="77777777" w:rsidR="00A22E4D" w:rsidRPr="006D21CC" w:rsidRDefault="00A22E4D" w:rsidP="00DF29AB">
            <w:pPr>
              <w:tabs>
                <w:tab w:val="left" w:pos="7560"/>
              </w:tabs>
              <w:spacing w:after="0"/>
              <w:rPr>
                <w:sz w:val="16"/>
                <w:szCs w:val="16"/>
              </w:rPr>
            </w:pPr>
          </w:p>
        </w:tc>
        <w:tc>
          <w:tcPr>
            <w:tcW w:w="236" w:type="dxa"/>
            <w:shd w:val="clear" w:color="auto" w:fill="auto"/>
          </w:tcPr>
          <w:p w14:paraId="70812CB8" w14:textId="77777777" w:rsidR="00A22E4D" w:rsidRPr="006D21CC" w:rsidRDefault="00A22E4D" w:rsidP="00DF29AB">
            <w:pPr>
              <w:tabs>
                <w:tab w:val="left" w:pos="7560"/>
              </w:tabs>
              <w:spacing w:after="0"/>
              <w:rPr>
                <w:sz w:val="16"/>
                <w:szCs w:val="16"/>
              </w:rPr>
            </w:pPr>
          </w:p>
        </w:tc>
        <w:tc>
          <w:tcPr>
            <w:tcW w:w="236" w:type="dxa"/>
            <w:shd w:val="clear" w:color="auto" w:fill="auto"/>
          </w:tcPr>
          <w:p w14:paraId="269D7C64" w14:textId="77777777" w:rsidR="00A22E4D" w:rsidRPr="006D21CC" w:rsidRDefault="00A22E4D" w:rsidP="00DF29AB">
            <w:pPr>
              <w:tabs>
                <w:tab w:val="left" w:pos="7560"/>
              </w:tabs>
              <w:spacing w:after="0"/>
              <w:rPr>
                <w:sz w:val="16"/>
                <w:szCs w:val="16"/>
              </w:rPr>
            </w:pPr>
          </w:p>
        </w:tc>
        <w:tc>
          <w:tcPr>
            <w:tcW w:w="236" w:type="dxa"/>
            <w:shd w:val="clear" w:color="auto" w:fill="auto"/>
          </w:tcPr>
          <w:p w14:paraId="02B9D163" w14:textId="77777777" w:rsidR="00A22E4D" w:rsidRPr="006D21CC" w:rsidRDefault="00A22E4D" w:rsidP="00DF29AB">
            <w:pPr>
              <w:tabs>
                <w:tab w:val="left" w:pos="7560"/>
              </w:tabs>
              <w:spacing w:after="0"/>
              <w:rPr>
                <w:sz w:val="16"/>
                <w:szCs w:val="16"/>
              </w:rPr>
            </w:pPr>
          </w:p>
        </w:tc>
        <w:tc>
          <w:tcPr>
            <w:tcW w:w="236" w:type="dxa"/>
            <w:shd w:val="clear" w:color="auto" w:fill="auto"/>
          </w:tcPr>
          <w:p w14:paraId="2DA27A43" w14:textId="77777777" w:rsidR="00A22E4D" w:rsidRPr="006D21CC" w:rsidRDefault="00A22E4D" w:rsidP="00DF29AB">
            <w:pPr>
              <w:tabs>
                <w:tab w:val="left" w:pos="7560"/>
              </w:tabs>
              <w:spacing w:after="0"/>
              <w:rPr>
                <w:sz w:val="16"/>
                <w:szCs w:val="16"/>
              </w:rPr>
            </w:pPr>
          </w:p>
        </w:tc>
        <w:tc>
          <w:tcPr>
            <w:tcW w:w="236" w:type="dxa"/>
            <w:shd w:val="clear" w:color="auto" w:fill="auto"/>
          </w:tcPr>
          <w:p w14:paraId="4D393821" w14:textId="77777777" w:rsidR="00A22E4D" w:rsidRPr="006D21CC" w:rsidRDefault="00A22E4D" w:rsidP="00DF29AB">
            <w:pPr>
              <w:tabs>
                <w:tab w:val="left" w:pos="7560"/>
              </w:tabs>
              <w:spacing w:after="0"/>
              <w:rPr>
                <w:sz w:val="16"/>
                <w:szCs w:val="16"/>
              </w:rPr>
            </w:pPr>
          </w:p>
        </w:tc>
        <w:tc>
          <w:tcPr>
            <w:tcW w:w="236" w:type="dxa"/>
            <w:shd w:val="clear" w:color="auto" w:fill="auto"/>
          </w:tcPr>
          <w:p w14:paraId="272B2806" w14:textId="77777777" w:rsidR="00A22E4D" w:rsidRPr="006D21CC" w:rsidRDefault="00A22E4D" w:rsidP="00DF29AB">
            <w:pPr>
              <w:tabs>
                <w:tab w:val="left" w:pos="7560"/>
              </w:tabs>
              <w:spacing w:after="0"/>
              <w:rPr>
                <w:sz w:val="16"/>
                <w:szCs w:val="16"/>
              </w:rPr>
            </w:pPr>
          </w:p>
        </w:tc>
        <w:tc>
          <w:tcPr>
            <w:tcW w:w="236" w:type="dxa"/>
            <w:shd w:val="clear" w:color="auto" w:fill="auto"/>
          </w:tcPr>
          <w:p w14:paraId="3DAB4672" w14:textId="77777777" w:rsidR="00A22E4D" w:rsidRPr="006D21CC" w:rsidRDefault="00A22E4D" w:rsidP="00DF29AB">
            <w:pPr>
              <w:tabs>
                <w:tab w:val="left" w:pos="7560"/>
              </w:tabs>
              <w:spacing w:after="0"/>
              <w:rPr>
                <w:sz w:val="16"/>
                <w:szCs w:val="16"/>
              </w:rPr>
            </w:pPr>
          </w:p>
        </w:tc>
        <w:tc>
          <w:tcPr>
            <w:tcW w:w="236" w:type="dxa"/>
            <w:shd w:val="clear" w:color="auto" w:fill="auto"/>
          </w:tcPr>
          <w:p w14:paraId="6EBA5C34" w14:textId="77777777" w:rsidR="00A22E4D" w:rsidRPr="006D21CC" w:rsidRDefault="00A22E4D" w:rsidP="00DF29AB">
            <w:pPr>
              <w:tabs>
                <w:tab w:val="left" w:pos="7560"/>
              </w:tabs>
              <w:spacing w:after="0"/>
              <w:rPr>
                <w:sz w:val="16"/>
                <w:szCs w:val="16"/>
              </w:rPr>
            </w:pPr>
          </w:p>
        </w:tc>
        <w:tc>
          <w:tcPr>
            <w:tcW w:w="236" w:type="dxa"/>
            <w:shd w:val="clear" w:color="auto" w:fill="auto"/>
          </w:tcPr>
          <w:p w14:paraId="7E701A18" w14:textId="77777777" w:rsidR="00A22E4D" w:rsidRPr="006D21CC" w:rsidRDefault="00A22E4D" w:rsidP="00DF29AB">
            <w:pPr>
              <w:tabs>
                <w:tab w:val="left" w:pos="7560"/>
              </w:tabs>
              <w:spacing w:after="0"/>
              <w:rPr>
                <w:sz w:val="16"/>
                <w:szCs w:val="16"/>
              </w:rPr>
            </w:pPr>
          </w:p>
        </w:tc>
        <w:tc>
          <w:tcPr>
            <w:tcW w:w="236" w:type="dxa"/>
            <w:shd w:val="clear" w:color="auto" w:fill="auto"/>
          </w:tcPr>
          <w:p w14:paraId="2DA5F771" w14:textId="77777777" w:rsidR="00A22E4D" w:rsidRPr="006D21CC" w:rsidRDefault="00A22E4D" w:rsidP="00DF29AB">
            <w:pPr>
              <w:tabs>
                <w:tab w:val="left" w:pos="7560"/>
              </w:tabs>
              <w:spacing w:after="0"/>
              <w:rPr>
                <w:sz w:val="16"/>
                <w:szCs w:val="16"/>
              </w:rPr>
            </w:pPr>
          </w:p>
        </w:tc>
        <w:tc>
          <w:tcPr>
            <w:tcW w:w="236" w:type="dxa"/>
            <w:shd w:val="clear" w:color="auto" w:fill="auto"/>
          </w:tcPr>
          <w:p w14:paraId="5312731B" w14:textId="77777777" w:rsidR="00A22E4D" w:rsidRPr="006D21CC" w:rsidRDefault="00A22E4D" w:rsidP="00DF29AB">
            <w:pPr>
              <w:tabs>
                <w:tab w:val="left" w:pos="7560"/>
              </w:tabs>
              <w:spacing w:after="0"/>
              <w:rPr>
                <w:sz w:val="16"/>
                <w:szCs w:val="16"/>
              </w:rPr>
            </w:pPr>
          </w:p>
        </w:tc>
        <w:tc>
          <w:tcPr>
            <w:tcW w:w="236" w:type="dxa"/>
            <w:shd w:val="clear" w:color="auto" w:fill="auto"/>
          </w:tcPr>
          <w:p w14:paraId="05D6B079" w14:textId="77777777" w:rsidR="00A22E4D" w:rsidRPr="006D21CC" w:rsidRDefault="00A22E4D" w:rsidP="00DF29AB">
            <w:pPr>
              <w:tabs>
                <w:tab w:val="left" w:pos="7560"/>
              </w:tabs>
              <w:spacing w:after="0"/>
              <w:rPr>
                <w:sz w:val="16"/>
                <w:szCs w:val="16"/>
              </w:rPr>
            </w:pPr>
          </w:p>
        </w:tc>
        <w:tc>
          <w:tcPr>
            <w:tcW w:w="236" w:type="dxa"/>
            <w:shd w:val="clear" w:color="auto" w:fill="auto"/>
          </w:tcPr>
          <w:p w14:paraId="183CC762" w14:textId="77777777" w:rsidR="00A22E4D" w:rsidRPr="006D21CC" w:rsidRDefault="00A22E4D" w:rsidP="00DF29AB">
            <w:pPr>
              <w:tabs>
                <w:tab w:val="left" w:pos="7560"/>
              </w:tabs>
              <w:spacing w:after="0"/>
              <w:rPr>
                <w:sz w:val="16"/>
                <w:szCs w:val="16"/>
              </w:rPr>
            </w:pPr>
          </w:p>
        </w:tc>
        <w:tc>
          <w:tcPr>
            <w:tcW w:w="236" w:type="dxa"/>
            <w:shd w:val="clear" w:color="auto" w:fill="auto"/>
          </w:tcPr>
          <w:p w14:paraId="6EB9C1A2" w14:textId="77777777" w:rsidR="00A22E4D" w:rsidRPr="006D21CC" w:rsidRDefault="00A22E4D" w:rsidP="00DF29AB">
            <w:pPr>
              <w:tabs>
                <w:tab w:val="left" w:pos="7560"/>
              </w:tabs>
              <w:spacing w:after="0"/>
              <w:rPr>
                <w:sz w:val="16"/>
                <w:szCs w:val="16"/>
              </w:rPr>
            </w:pPr>
          </w:p>
        </w:tc>
      </w:tr>
      <w:tr w:rsidR="00A22E4D" w:rsidRPr="006D21CC" w14:paraId="6E61818C" w14:textId="77777777" w:rsidTr="00DF29AB">
        <w:tc>
          <w:tcPr>
            <w:tcW w:w="2317" w:type="dxa"/>
            <w:shd w:val="clear" w:color="auto" w:fill="auto"/>
          </w:tcPr>
          <w:p w14:paraId="0DD8F41E" w14:textId="77777777" w:rsidR="00A22E4D" w:rsidRPr="006D21CC" w:rsidRDefault="00A22E4D" w:rsidP="00DF29AB">
            <w:pPr>
              <w:tabs>
                <w:tab w:val="left" w:pos="7560"/>
              </w:tabs>
              <w:spacing w:after="0"/>
              <w:rPr>
                <w:sz w:val="16"/>
                <w:szCs w:val="16"/>
              </w:rPr>
            </w:pPr>
            <w:r>
              <w:rPr>
                <w:sz w:val="16"/>
                <w:szCs w:val="16"/>
              </w:rPr>
              <w:t>Regular Project Board and NEPC Subcommittee meetings</w:t>
            </w:r>
          </w:p>
        </w:tc>
        <w:tc>
          <w:tcPr>
            <w:tcW w:w="1946" w:type="dxa"/>
          </w:tcPr>
          <w:p w14:paraId="5719E6C8" w14:textId="77777777" w:rsidR="00A22E4D" w:rsidRPr="006D21CC" w:rsidRDefault="00A22E4D" w:rsidP="00DF29AB">
            <w:pPr>
              <w:tabs>
                <w:tab w:val="left" w:pos="7560"/>
              </w:tabs>
              <w:spacing w:after="0"/>
              <w:rPr>
                <w:sz w:val="16"/>
                <w:szCs w:val="16"/>
              </w:rPr>
            </w:pPr>
            <w:r>
              <w:rPr>
                <w:sz w:val="16"/>
                <w:szCs w:val="16"/>
              </w:rPr>
              <w:t>Communications added to agenda of all GEF6 meetings</w:t>
            </w:r>
          </w:p>
        </w:tc>
        <w:tc>
          <w:tcPr>
            <w:tcW w:w="236" w:type="dxa"/>
            <w:shd w:val="clear" w:color="auto" w:fill="D99594" w:themeFill="accent2" w:themeFillTint="99"/>
          </w:tcPr>
          <w:p w14:paraId="17B7763A"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743F544D"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3C9207E2"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494530F5"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7E740842"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446DC356"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41EBA1B8"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07A7E3C4"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4ED99A76"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0D078CEB"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75B5C3FF"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592D096B"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2FCF2A69"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399ABE22"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007CFCD7"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55FC7974"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51CC3D91"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2362D498"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21829ACB"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2A7933D7"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06C68DA2"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0A34411E"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11B2D765"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14FDF9B6" w14:textId="77777777" w:rsidR="00A22E4D" w:rsidRPr="006D21CC" w:rsidRDefault="00A22E4D" w:rsidP="00DF29AB">
            <w:pPr>
              <w:tabs>
                <w:tab w:val="left" w:pos="7560"/>
              </w:tabs>
              <w:spacing w:after="0"/>
              <w:rPr>
                <w:sz w:val="16"/>
                <w:szCs w:val="16"/>
              </w:rPr>
            </w:pPr>
          </w:p>
        </w:tc>
      </w:tr>
      <w:tr w:rsidR="00A22E4D" w:rsidRPr="006D21CC" w14:paraId="0A2D9F80" w14:textId="77777777" w:rsidTr="00DF29AB">
        <w:tc>
          <w:tcPr>
            <w:tcW w:w="2317" w:type="dxa"/>
            <w:shd w:val="clear" w:color="auto" w:fill="auto"/>
          </w:tcPr>
          <w:p w14:paraId="2DB3CE2C" w14:textId="77777777" w:rsidR="00A22E4D" w:rsidRPr="006D21CC" w:rsidRDefault="00A22E4D" w:rsidP="00DF29AB">
            <w:pPr>
              <w:tabs>
                <w:tab w:val="left" w:pos="7560"/>
              </w:tabs>
              <w:spacing w:after="0"/>
              <w:rPr>
                <w:sz w:val="16"/>
                <w:szCs w:val="16"/>
              </w:rPr>
            </w:pPr>
            <w:r>
              <w:rPr>
                <w:sz w:val="16"/>
                <w:szCs w:val="16"/>
              </w:rPr>
              <w:t xml:space="preserve">Set up Social Media accounts </w:t>
            </w:r>
          </w:p>
        </w:tc>
        <w:tc>
          <w:tcPr>
            <w:tcW w:w="1946" w:type="dxa"/>
          </w:tcPr>
          <w:p w14:paraId="65F940A1" w14:textId="77777777" w:rsidR="00A22E4D" w:rsidRPr="006D21CC" w:rsidRDefault="00A22E4D" w:rsidP="00DF29AB">
            <w:pPr>
              <w:tabs>
                <w:tab w:val="left" w:pos="7560"/>
              </w:tabs>
              <w:spacing w:after="0"/>
              <w:rPr>
                <w:sz w:val="16"/>
                <w:szCs w:val="16"/>
              </w:rPr>
            </w:pPr>
            <w:r>
              <w:rPr>
                <w:sz w:val="16"/>
                <w:szCs w:val="16"/>
              </w:rPr>
              <w:t>Posts are regular and audience numbers growing</w:t>
            </w:r>
          </w:p>
        </w:tc>
        <w:tc>
          <w:tcPr>
            <w:tcW w:w="236" w:type="dxa"/>
            <w:shd w:val="clear" w:color="auto" w:fill="auto"/>
          </w:tcPr>
          <w:p w14:paraId="263147BE" w14:textId="77777777" w:rsidR="00A22E4D" w:rsidRPr="006D21CC" w:rsidRDefault="00A22E4D" w:rsidP="00DF29AB">
            <w:pPr>
              <w:tabs>
                <w:tab w:val="left" w:pos="7560"/>
              </w:tabs>
              <w:spacing w:after="0"/>
              <w:rPr>
                <w:sz w:val="16"/>
                <w:szCs w:val="16"/>
              </w:rPr>
            </w:pPr>
          </w:p>
        </w:tc>
        <w:tc>
          <w:tcPr>
            <w:tcW w:w="236" w:type="dxa"/>
            <w:shd w:val="clear" w:color="auto" w:fill="auto"/>
          </w:tcPr>
          <w:p w14:paraId="4B9A030A"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6E736741"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5C4D1389" w14:textId="77777777" w:rsidR="00A22E4D" w:rsidRPr="006D21CC" w:rsidRDefault="00A22E4D" w:rsidP="00DF29AB">
            <w:pPr>
              <w:tabs>
                <w:tab w:val="left" w:pos="7560"/>
              </w:tabs>
              <w:spacing w:after="0"/>
              <w:rPr>
                <w:sz w:val="16"/>
                <w:szCs w:val="16"/>
              </w:rPr>
            </w:pPr>
          </w:p>
        </w:tc>
        <w:tc>
          <w:tcPr>
            <w:tcW w:w="236" w:type="dxa"/>
            <w:shd w:val="clear" w:color="auto" w:fill="auto"/>
          </w:tcPr>
          <w:p w14:paraId="13F35067" w14:textId="77777777" w:rsidR="00A22E4D" w:rsidRPr="006D21CC" w:rsidRDefault="00A22E4D" w:rsidP="00DF29AB">
            <w:pPr>
              <w:tabs>
                <w:tab w:val="left" w:pos="7560"/>
              </w:tabs>
              <w:spacing w:after="0"/>
              <w:rPr>
                <w:sz w:val="16"/>
                <w:szCs w:val="16"/>
              </w:rPr>
            </w:pPr>
          </w:p>
        </w:tc>
        <w:tc>
          <w:tcPr>
            <w:tcW w:w="236" w:type="dxa"/>
            <w:shd w:val="clear" w:color="auto" w:fill="auto"/>
          </w:tcPr>
          <w:p w14:paraId="78604CE4" w14:textId="77777777" w:rsidR="00A22E4D" w:rsidRPr="006D21CC" w:rsidRDefault="00A22E4D" w:rsidP="00DF29AB">
            <w:pPr>
              <w:tabs>
                <w:tab w:val="left" w:pos="7560"/>
              </w:tabs>
              <w:spacing w:after="0"/>
              <w:rPr>
                <w:sz w:val="16"/>
                <w:szCs w:val="16"/>
              </w:rPr>
            </w:pPr>
          </w:p>
        </w:tc>
        <w:tc>
          <w:tcPr>
            <w:tcW w:w="236" w:type="dxa"/>
            <w:shd w:val="clear" w:color="auto" w:fill="auto"/>
          </w:tcPr>
          <w:p w14:paraId="2172BFFD" w14:textId="77777777" w:rsidR="00A22E4D" w:rsidRPr="006D21CC" w:rsidRDefault="00A22E4D" w:rsidP="00DF29AB">
            <w:pPr>
              <w:tabs>
                <w:tab w:val="left" w:pos="7560"/>
              </w:tabs>
              <w:spacing w:after="0"/>
              <w:rPr>
                <w:sz w:val="16"/>
                <w:szCs w:val="16"/>
              </w:rPr>
            </w:pPr>
          </w:p>
        </w:tc>
        <w:tc>
          <w:tcPr>
            <w:tcW w:w="236" w:type="dxa"/>
            <w:shd w:val="clear" w:color="auto" w:fill="auto"/>
          </w:tcPr>
          <w:p w14:paraId="4A3C1BCF" w14:textId="77777777" w:rsidR="00A22E4D" w:rsidRPr="006D21CC" w:rsidRDefault="00A22E4D" w:rsidP="00DF29AB">
            <w:pPr>
              <w:tabs>
                <w:tab w:val="left" w:pos="7560"/>
              </w:tabs>
              <w:spacing w:after="0"/>
              <w:rPr>
                <w:sz w:val="16"/>
                <w:szCs w:val="16"/>
              </w:rPr>
            </w:pPr>
          </w:p>
        </w:tc>
        <w:tc>
          <w:tcPr>
            <w:tcW w:w="236" w:type="dxa"/>
            <w:shd w:val="clear" w:color="auto" w:fill="auto"/>
          </w:tcPr>
          <w:p w14:paraId="7F03B84D" w14:textId="77777777" w:rsidR="00A22E4D" w:rsidRPr="006D21CC" w:rsidRDefault="00A22E4D" w:rsidP="00DF29AB">
            <w:pPr>
              <w:tabs>
                <w:tab w:val="left" w:pos="7560"/>
              </w:tabs>
              <w:spacing w:after="0"/>
              <w:rPr>
                <w:sz w:val="16"/>
                <w:szCs w:val="16"/>
              </w:rPr>
            </w:pPr>
          </w:p>
        </w:tc>
        <w:tc>
          <w:tcPr>
            <w:tcW w:w="236" w:type="dxa"/>
            <w:shd w:val="clear" w:color="auto" w:fill="auto"/>
          </w:tcPr>
          <w:p w14:paraId="4CC25596" w14:textId="77777777" w:rsidR="00A22E4D" w:rsidRPr="006D21CC" w:rsidRDefault="00A22E4D" w:rsidP="00DF29AB">
            <w:pPr>
              <w:tabs>
                <w:tab w:val="left" w:pos="7560"/>
              </w:tabs>
              <w:spacing w:after="0"/>
              <w:rPr>
                <w:sz w:val="16"/>
                <w:szCs w:val="16"/>
              </w:rPr>
            </w:pPr>
          </w:p>
        </w:tc>
        <w:tc>
          <w:tcPr>
            <w:tcW w:w="236" w:type="dxa"/>
            <w:shd w:val="clear" w:color="auto" w:fill="auto"/>
          </w:tcPr>
          <w:p w14:paraId="565A3FD2" w14:textId="77777777" w:rsidR="00A22E4D" w:rsidRPr="006D21CC" w:rsidRDefault="00A22E4D" w:rsidP="00DF29AB">
            <w:pPr>
              <w:tabs>
                <w:tab w:val="left" w:pos="7560"/>
              </w:tabs>
              <w:spacing w:after="0"/>
              <w:rPr>
                <w:sz w:val="16"/>
                <w:szCs w:val="16"/>
              </w:rPr>
            </w:pPr>
          </w:p>
        </w:tc>
        <w:tc>
          <w:tcPr>
            <w:tcW w:w="236" w:type="dxa"/>
            <w:shd w:val="clear" w:color="auto" w:fill="auto"/>
          </w:tcPr>
          <w:p w14:paraId="5F4F3D72" w14:textId="77777777" w:rsidR="00A22E4D" w:rsidRPr="006D21CC" w:rsidRDefault="00A22E4D" w:rsidP="00DF29AB">
            <w:pPr>
              <w:tabs>
                <w:tab w:val="left" w:pos="7560"/>
              </w:tabs>
              <w:spacing w:after="0"/>
              <w:rPr>
                <w:sz w:val="16"/>
                <w:szCs w:val="16"/>
              </w:rPr>
            </w:pPr>
          </w:p>
        </w:tc>
        <w:tc>
          <w:tcPr>
            <w:tcW w:w="236" w:type="dxa"/>
            <w:shd w:val="clear" w:color="auto" w:fill="auto"/>
          </w:tcPr>
          <w:p w14:paraId="7DF5164D" w14:textId="77777777" w:rsidR="00A22E4D" w:rsidRPr="006D21CC" w:rsidRDefault="00A22E4D" w:rsidP="00DF29AB">
            <w:pPr>
              <w:tabs>
                <w:tab w:val="left" w:pos="7560"/>
              </w:tabs>
              <w:spacing w:after="0"/>
              <w:rPr>
                <w:sz w:val="16"/>
                <w:szCs w:val="16"/>
              </w:rPr>
            </w:pPr>
          </w:p>
        </w:tc>
        <w:tc>
          <w:tcPr>
            <w:tcW w:w="236" w:type="dxa"/>
            <w:shd w:val="clear" w:color="auto" w:fill="auto"/>
          </w:tcPr>
          <w:p w14:paraId="3E658AA6" w14:textId="77777777" w:rsidR="00A22E4D" w:rsidRPr="006D21CC" w:rsidRDefault="00A22E4D" w:rsidP="00DF29AB">
            <w:pPr>
              <w:tabs>
                <w:tab w:val="left" w:pos="7560"/>
              </w:tabs>
              <w:spacing w:after="0"/>
              <w:rPr>
                <w:sz w:val="16"/>
                <w:szCs w:val="16"/>
              </w:rPr>
            </w:pPr>
          </w:p>
        </w:tc>
        <w:tc>
          <w:tcPr>
            <w:tcW w:w="236" w:type="dxa"/>
            <w:shd w:val="clear" w:color="auto" w:fill="auto"/>
          </w:tcPr>
          <w:p w14:paraId="5884D3C0" w14:textId="77777777" w:rsidR="00A22E4D" w:rsidRPr="006D21CC" w:rsidRDefault="00A22E4D" w:rsidP="00DF29AB">
            <w:pPr>
              <w:tabs>
                <w:tab w:val="left" w:pos="7560"/>
              </w:tabs>
              <w:spacing w:after="0"/>
              <w:rPr>
                <w:sz w:val="16"/>
                <w:szCs w:val="16"/>
              </w:rPr>
            </w:pPr>
          </w:p>
        </w:tc>
        <w:tc>
          <w:tcPr>
            <w:tcW w:w="236" w:type="dxa"/>
            <w:shd w:val="clear" w:color="auto" w:fill="auto"/>
          </w:tcPr>
          <w:p w14:paraId="7ABC5798" w14:textId="77777777" w:rsidR="00A22E4D" w:rsidRPr="006D21CC" w:rsidRDefault="00A22E4D" w:rsidP="00DF29AB">
            <w:pPr>
              <w:tabs>
                <w:tab w:val="left" w:pos="7560"/>
              </w:tabs>
              <w:spacing w:after="0"/>
              <w:rPr>
                <w:sz w:val="16"/>
                <w:szCs w:val="16"/>
              </w:rPr>
            </w:pPr>
          </w:p>
        </w:tc>
        <w:tc>
          <w:tcPr>
            <w:tcW w:w="236" w:type="dxa"/>
            <w:shd w:val="clear" w:color="auto" w:fill="auto"/>
          </w:tcPr>
          <w:p w14:paraId="2679632C" w14:textId="77777777" w:rsidR="00A22E4D" w:rsidRPr="006D21CC" w:rsidRDefault="00A22E4D" w:rsidP="00DF29AB">
            <w:pPr>
              <w:tabs>
                <w:tab w:val="left" w:pos="7560"/>
              </w:tabs>
              <w:spacing w:after="0"/>
              <w:rPr>
                <w:sz w:val="16"/>
                <w:szCs w:val="16"/>
              </w:rPr>
            </w:pPr>
          </w:p>
        </w:tc>
        <w:tc>
          <w:tcPr>
            <w:tcW w:w="236" w:type="dxa"/>
            <w:shd w:val="clear" w:color="auto" w:fill="auto"/>
          </w:tcPr>
          <w:p w14:paraId="19DE59B1" w14:textId="77777777" w:rsidR="00A22E4D" w:rsidRPr="006D21CC" w:rsidRDefault="00A22E4D" w:rsidP="00DF29AB">
            <w:pPr>
              <w:tabs>
                <w:tab w:val="left" w:pos="7560"/>
              </w:tabs>
              <w:spacing w:after="0"/>
              <w:rPr>
                <w:sz w:val="16"/>
                <w:szCs w:val="16"/>
              </w:rPr>
            </w:pPr>
          </w:p>
        </w:tc>
        <w:tc>
          <w:tcPr>
            <w:tcW w:w="236" w:type="dxa"/>
            <w:shd w:val="clear" w:color="auto" w:fill="auto"/>
          </w:tcPr>
          <w:p w14:paraId="02239274" w14:textId="77777777" w:rsidR="00A22E4D" w:rsidRPr="006D21CC" w:rsidRDefault="00A22E4D" w:rsidP="00DF29AB">
            <w:pPr>
              <w:tabs>
                <w:tab w:val="left" w:pos="7560"/>
              </w:tabs>
              <w:spacing w:after="0"/>
              <w:rPr>
                <w:sz w:val="16"/>
                <w:szCs w:val="16"/>
              </w:rPr>
            </w:pPr>
          </w:p>
        </w:tc>
        <w:tc>
          <w:tcPr>
            <w:tcW w:w="236" w:type="dxa"/>
            <w:shd w:val="clear" w:color="auto" w:fill="auto"/>
          </w:tcPr>
          <w:p w14:paraId="29B613A1" w14:textId="77777777" w:rsidR="00A22E4D" w:rsidRPr="006D21CC" w:rsidRDefault="00A22E4D" w:rsidP="00DF29AB">
            <w:pPr>
              <w:tabs>
                <w:tab w:val="left" w:pos="7560"/>
              </w:tabs>
              <w:spacing w:after="0"/>
              <w:rPr>
                <w:sz w:val="16"/>
                <w:szCs w:val="16"/>
              </w:rPr>
            </w:pPr>
          </w:p>
        </w:tc>
        <w:tc>
          <w:tcPr>
            <w:tcW w:w="236" w:type="dxa"/>
            <w:shd w:val="clear" w:color="auto" w:fill="auto"/>
          </w:tcPr>
          <w:p w14:paraId="491BD6C4" w14:textId="77777777" w:rsidR="00A22E4D" w:rsidRPr="006D21CC" w:rsidRDefault="00A22E4D" w:rsidP="00DF29AB">
            <w:pPr>
              <w:tabs>
                <w:tab w:val="left" w:pos="7560"/>
              </w:tabs>
              <w:spacing w:after="0"/>
              <w:rPr>
                <w:sz w:val="16"/>
                <w:szCs w:val="16"/>
              </w:rPr>
            </w:pPr>
          </w:p>
        </w:tc>
        <w:tc>
          <w:tcPr>
            <w:tcW w:w="236" w:type="dxa"/>
            <w:shd w:val="clear" w:color="auto" w:fill="auto"/>
          </w:tcPr>
          <w:p w14:paraId="4C0AEE6D" w14:textId="77777777" w:rsidR="00A22E4D" w:rsidRPr="006D21CC" w:rsidRDefault="00A22E4D" w:rsidP="00DF29AB">
            <w:pPr>
              <w:tabs>
                <w:tab w:val="left" w:pos="7560"/>
              </w:tabs>
              <w:spacing w:after="0"/>
              <w:rPr>
                <w:sz w:val="16"/>
                <w:szCs w:val="16"/>
              </w:rPr>
            </w:pPr>
          </w:p>
        </w:tc>
        <w:tc>
          <w:tcPr>
            <w:tcW w:w="236" w:type="dxa"/>
            <w:shd w:val="clear" w:color="auto" w:fill="auto"/>
          </w:tcPr>
          <w:p w14:paraId="5A69A18A" w14:textId="77777777" w:rsidR="00A22E4D" w:rsidRPr="006D21CC" w:rsidRDefault="00A22E4D" w:rsidP="00DF29AB">
            <w:pPr>
              <w:tabs>
                <w:tab w:val="left" w:pos="7560"/>
              </w:tabs>
              <w:spacing w:after="0"/>
              <w:rPr>
                <w:sz w:val="16"/>
                <w:szCs w:val="16"/>
              </w:rPr>
            </w:pPr>
          </w:p>
        </w:tc>
        <w:tc>
          <w:tcPr>
            <w:tcW w:w="236" w:type="dxa"/>
            <w:shd w:val="clear" w:color="auto" w:fill="auto"/>
          </w:tcPr>
          <w:p w14:paraId="21671216" w14:textId="77777777" w:rsidR="00A22E4D" w:rsidRPr="006D21CC" w:rsidRDefault="00A22E4D" w:rsidP="00DF29AB">
            <w:pPr>
              <w:tabs>
                <w:tab w:val="left" w:pos="7560"/>
              </w:tabs>
              <w:spacing w:after="0"/>
              <w:rPr>
                <w:sz w:val="16"/>
                <w:szCs w:val="16"/>
              </w:rPr>
            </w:pPr>
          </w:p>
        </w:tc>
      </w:tr>
      <w:tr w:rsidR="00A22E4D" w:rsidRPr="006D21CC" w14:paraId="7AF0A1F0" w14:textId="77777777" w:rsidTr="00DF29AB">
        <w:tc>
          <w:tcPr>
            <w:tcW w:w="2317" w:type="dxa"/>
            <w:shd w:val="clear" w:color="auto" w:fill="auto"/>
          </w:tcPr>
          <w:p w14:paraId="134CAC3F" w14:textId="77777777" w:rsidR="00A22E4D" w:rsidRPr="006D21CC" w:rsidRDefault="00A22E4D" w:rsidP="00DF29AB">
            <w:pPr>
              <w:tabs>
                <w:tab w:val="left" w:pos="7560"/>
              </w:tabs>
              <w:spacing w:after="0"/>
              <w:rPr>
                <w:sz w:val="16"/>
                <w:szCs w:val="16"/>
              </w:rPr>
            </w:pPr>
            <w:r>
              <w:rPr>
                <w:sz w:val="16"/>
                <w:szCs w:val="16"/>
              </w:rPr>
              <w:t xml:space="preserve">Create at least 1 Podcast or Short Video and post on social media </w:t>
            </w:r>
          </w:p>
        </w:tc>
        <w:tc>
          <w:tcPr>
            <w:tcW w:w="1946" w:type="dxa"/>
          </w:tcPr>
          <w:p w14:paraId="7F78AFF2" w14:textId="77777777" w:rsidR="00A22E4D" w:rsidRPr="006D21CC" w:rsidRDefault="00A22E4D" w:rsidP="00DF29AB">
            <w:pPr>
              <w:tabs>
                <w:tab w:val="left" w:pos="7560"/>
              </w:tabs>
              <w:spacing w:after="0"/>
              <w:rPr>
                <w:sz w:val="16"/>
                <w:szCs w:val="16"/>
              </w:rPr>
            </w:pPr>
            <w:r>
              <w:rPr>
                <w:sz w:val="16"/>
                <w:szCs w:val="16"/>
              </w:rPr>
              <w:t># of users of video and voice recordings will be tracked and inform whether to continue</w:t>
            </w:r>
          </w:p>
        </w:tc>
        <w:tc>
          <w:tcPr>
            <w:tcW w:w="236" w:type="dxa"/>
            <w:shd w:val="clear" w:color="auto" w:fill="auto"/>
          </w:tcPr>
          <w:p w14:paraId="5402C68E" w14:textId="77777777" w:rsidR="00A22E4D" w:rsidRPr="006D21CC" w:rsidRDefault="00A22E4D" w:rsidP="00DF29AB">
            <w:pPr>
              <w:tabs>
                <w:tab w:val="left" w:pos="7560"/>
              </w:tabs>
              <w:spacing w:after="0"/>
              <w:rPr>
                <w:sz w:val="16"/>
                <w:szCs w:val="16"/>
              </w:rPr>
            </w:pPr>
          </w:p>
        </w:tc>
        <w:tc>
          <w:tcPr>
            <w:tcW w:w="236" w:type="dxa"/>
            <w:shd w:val="clear" w:color="auto" w:fill="auto"/>
          </w:tcPr>
          <w:p w14:paraId="0988284E" w14:textId="77777777" w:rsidR="00A22E4D" w:rsidRPr="006D21CC" w:rsidRDefault="00A22E4D" w:rsidP="00DF29AB">
            <w:pPr>
              <w:tabs>
                <w:tab w:val="left" w:pos="7560"/>
              </w:tabs>
              <w:spacing w:after="0"/>
              <w:rPr>
                <w:sz w:val="16"/>
                <w:szCs w:val="16"/>
              </w:rPr>
            </w:pPr>
          </w:p>
        </w:tc>
        <w:tc>
          <w:tcPr>
            <w:tcW w:w="236" w:type="dxa"/>
            <w:shd w:val="clear" w:color="auto" w:fill="auto"/>
          </w:tcPr>
          <w:p w14:paraId="477EEF55"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6BB07627" w14:textId="77777777" w:rsidR="00A22E4D" w:rsidRPr="006D21CC" w:rsidRDefault="00A22E4D" w:rsidP="00DF29AB">
            <w:pPr>
              <w:tabs>
                <w:tab w:val="left" w:pos="7560"/>
              </w:tabs>
              <w:spacing w:after="0"/>
              <w:rPr>
                <w:sz w:val="16"/>
                <w:szCs w:val="16"/>
              </w:rPr>
            </w:pPr>
          </w:p>
        </w:tc>
        <w:tc>
          <w:tcPr>
            <w:tcW w:w="236" w:type="dxa"/>
            <w:shd w:val="clear" w:color="auto" w:fill="auto"/>
          </w:tcPr>
          <w:p w14:paraId="6BB1B40C" w14:textId="77777777" w:rsidR="00A22E4D" w:rsidRPr="006D21CC" w:rsidRDefault="00A22E4D" w:rsidP="00DF29AB">
            <w:pPr>
              <w:tabs>
                <w:tab w:val="left" w:pos="7560"/>
              </w:tabs>
              <w:spacing w:after="0"/>
              <w:rPr>
                <w:sz w:val="16"/>
                <w:szCs w:val="16"/>
              </w:rPr>
            </w:pPr>
          </w:p>
        </w:tc>
        <w:tc>
          <w:tcPr>
            <w:tcW w:w="236" w:type="dxa"/>
            <w:shd w:val="clear" w:color="auto" w:fill="auto"/>
          </w:tcPr>
          <w:p w14:paraId="1B551032" w14:textId="77777777" w:rsidR="00A22E4D" w:rsidRPr="006D21CC" w:rsidRDefault="00A22E4D" w:rsidP="00DF29AB">
            <w:pPr>
              <w:tabs>
                <w:tab w:val="left" w:pos="7560"/>
              </w:tabs>
              <w:spacing w:after="0"/>
              <w:rPr>
                <w:sz w:val="16"/>
                <w:szCs w:val="16"/>
              </w:rPr>
            </w:pPr>
          </w:p>
        </w:tc>
        <w:tc>
          <w:tcPr>
            <w:tcW w:w="236" w:type="dxa"/>
            <w:shd w:val="clear" w:color="auto" w:fill="auto"/>
          </w:tcPr>
          <w:p w14:paraId="295B0DEE" w14:textId="77777777" w:rsidR="00A22E4D" w:rsidRPr="006D21CC" w:rsidRDefault="00A22E4D" w:rsidP="00DF29AB">
            <w:pPr>
              <w:tabs>
                <w:tab w:val="left" w:pos="7560"/>
              </w:tabs>
              <w:spacing w:after="0"/>
              <w:rPr>
                <w:sz w:val="16"/>
                <w:szCs w:val="16"/>
              </w:rPr>
            </w:pPr>
          </w:p>
        </w:tc>
        <w:tc>
          <w:tcPr>
            <w:tcW w:w="236" w:type="dxa"/>
            <w:shd w:val="clear" w:color="auto" w:fill="auto"/>
          </w:tcPr>
          <w:p w14:paraId="25322D0B" w14:textId="77777777" w:rsidR="00A22E4D" w:rsidRPr="006D21CC" w:rsidRDefault="00A22E4D" w:rsidP="00DF29AB">
            <w:pPr>
              <w:tabs>
                <w:tab w:val="left" w:pos="7560"/>
              </w:tabs>
              <w:spacing w:after="0"/>
              <w:rPr>
                <w:sz w:val="16"/>
                <w:szCs w:val="16"/>
              </w:rPr>
            </w:pPr>
          </w:p>
        </w:tc>
        <w:tc>
          <w:tcPr>
            <w:tcW w:w="236" w:type="dxa"/>
            <w:shd w:val="clear" w:color="auto" w:fill="auto"/>
          </w:tcPr>
          <w:p w14:paraId="10F6C0B6" w14:textId="77777777" w:rsidR="00A22E4D" w:rsidRPr="006D21CC" w:rsidRDefault="00A22E4D" w:rsidP="00DF29AB">
            <w:pPr>
              <w:tabs>
                <w:tab w:val="left" w:pos="7560"/>
              </w:tabs>
              <w:spacing w:after="0"/>
              <w:rPr>
                <w:sz w:val="16"/>
                <w:szCs w:val="16"/>
              </w:rPr>
            </w:pPr>
          </w:p>
        </w:tc>
        <w:tc>
          <w:tcPr>
            <w:tcW w:w="236" w:type="dxa"/>
            <w:shd w:val="clear" w:color="auto" w:fill="auto"/>
          </w:tcPr>
          <w:p w14:paraId="654BC50E" w14:textId="77777777" w:rsidR="00A22E4D" w:rsidRPr="006D21CC" w:rsidRDefault="00A22E4D" w:rsidP="00DF29AB">
            <w:pPr>
              <w:tabs>
                <w:tab w:val="left" w:pos="7560"/>
              </w:tabs>
              <w:spacing w:after="0"/>
              <w:rPr>
                <w:sz w:val="16"/>
                <w:szCs w:val="16"/>
              </w:rPr>
            </w:pPr>
          </w:p>
        </w:tc>
        <w:tc>
          <w:tcPr>
            <w:tcW w:w="236" w:type="dxa"/>
            <w:shd w:val="clear" w:color="auto" w:fill="auto"/>
          </w:tcPr>
          <w:p w14:paraId="26D39A1B" w14:textId="77777777" w:rsidR="00A22E4D" w:rsidRPr="006D21CC" w:rsidRDefault="00A22E4D" w:rsidP="00DF29AB">
            <w:pPr>
              <w:tabs>
                <w:tab w:val="left" w:pos="7560"/>
              </w:tabs>
              <w:spacing w:after="0"/>
              <w:rPr>
                <w:sz w:val="16"/>
                <w:szCs w:val="16"/>
              </w:rPr>
            </w:pPr>
          </w:p>
        </w:tc>
        <w:tc>
          <w:tcPr>
            <w:tcW w:w="236" w:type="dxa"/>
            <w:shd w:val="clear" w:color="auto" w:fill="auto"/>
          </w:tcPr>
          <w:p w14:paraId="1ECBC67E" w14:textId="77777777" w:rsidR="00A22E4D" w:rsidRPr="006D21CC" w:rsidRDefault="00A22E4D" w:rsidP="00DF29AB">
            <w:pPr>
              <w:tabs>
                <w:tab w:val="left" w:pos="7560"/>
              </w:tabs>
              <w:spacing w:after="0"/>
              <w:rPr>
                <w:sz w:val="16"/>
                <w:szCs w:val="16"/>
              </w:rPr>
            </w:pPr>
          </w:p>
        </w:tc>
        <w:tc>
          <w:tcPr>
            <w:tcW w:w="236" w:type="dxa"/>
            <w:shd w:val="clear" w:color="auto" w:fill="auto"/>
          </w:tcPr>
          <w:p w14:paraId="0A8A8A99" w14:textId="77777777" w:rsidR="00A22E4D" w:rsidRPr="006D21CC" w:rsidRDefault="00A22E4D" w:rsidP="00DF29AB">
            <w:pPr>
              <w:tabs>
                <w:tab w:val="left" w:pos="7560"/>
              </w:tabs>
              <w:spacing w:after="0"/>
              <w:rPr>
                <w:sz w:val="16"/>
                <w:szCs w:val="16"/>
              </w:rPr>
            </w:pPr>
          </w:p>
        </w:tc>
        <w:tc>
          <w:tcPr>
            <w:tcW w:w="236" w:type="dxa"/>
            <w:shd w:val="clear" w:color="auto" w:fill="auto"/>
          </w:tcPr>
          <w:p w14:paraId="7FF3B33F" w14:textId="77777777" w:rsidR="00A22E4D" w:rsidRPr="006D21CC" w:rsidRDefault="00A22E4D" w:rsidP="00DF29AB">
            <w:pPr>
              <w:tabs>
                <w:tab w:val="left" w:pos="7560"/>
              </w:tabs>
              <w:spacing w:after="0"/>
              <w:rPr>
                <w:sz w:val="16"/>
                <w:szCs w:val="16"/>
              </w:rPr>
            </w:pPr>
          </w:p>
        </w:tc>
        <w:tc>
          <w:tcPr>
            <w:tcW w:w="236" w:type="dxa"/>
            <w:shd w:val="clear" w:color="auto" w:fill="auto"/>
          </w:tcPr>
          <w:p w14:paraId="43306369" w14:textId="77777777" w:rsidR="00A22E4D" w:rsidRPr="006D21CC" w:rsidRDefault="00A22E4D" w:rsidP="00DF29AB">
            <w:pPr>
              <w:tabs>
                <w:tab w:val="left" w:pos="7560"/>
              </w:tabs>
              <w:spacing w:after="0"/>
              <w:rPr>
                <w:sz w:val="16"/>
                <w:szCs w:val="16"/>
              </w:rPr>
            </w:pPr>
          </w:p>
        </w:tc>
        <w:tc>
          <w:tcPr>
            <w:tcW w:w="236" w:type="dxa"/>
            <w:shd w:val="clear" w:color="auto" w:fill="auto"/>
          </w:tcPr>
          <w:p w14:paraId="32627FCC" w14:textId="77777777" w:rsidR="00A22E4D" w:rsidRPr="006D21CC" w:rsidRDefault="00A22E4D" w:rsidP="00DF29AB">
            <w:pPr>
              <w:tabs>
                <w:tab w:val="left" w:pos="7560"/>
              </w:tabs>
              <w:spacing w:after="0"/>
              <w:rPr>
                <w:sz w:val="16"/>
                <w:szCs w:val="16"/>
              </w:rPr>
            </w:pPr>
          </w:p>
        </w:tc>
        <w:tc>
          <w:tcPr>
            <w:tcW w:w="236" w:type="dxa"/>
            <w:shd w:val="clear" w:color="auto" w:fill="auto"/>
          </w:tcPr>
          <w:p w14:paraId="07CD87FC" w14:textId="77777777" w:rsidR="00A22E4D" w:rsidRPr="006D21CC" w:rsidRDefault="00A22E4D" w:rsidP="00DF29AB">
            <w:pPr>
              <w:tabs>
                <w:tab w:val="left" w:pos="7560"/>
              </w:tabs>
              <w:spacing w:after="0"/>
              <w:rPr>
                <w:sz w:val="16"/>
                <w:szCs w:val="16"/>
              </w:rPr>
            </w:pPr>
          </w:p>
        </w:tc>
        <w:tc>
          <w:tcPr>
            <w:tcW w:w="236" w:type="dxa"/>
            <w:shd w:val="clear" w:color="auto" w:fill="auto"/>
          </w:tcPr>
          <w:p w14:paraId="72E67DF9" w14:textId="77777777" w:rsidR="00A22E4D" w:rsidRPr="006D21CC" w:rsidRDefault="00A22E4D" w:rsidP="00DF29AB">
            <w:pPr>
              <w:tabs>
                <w:tab w:val="left" w:pos="7560"/>
              </w:tabs>
              <w:spacing w:after="0"/>
              <w:rPr>
                <w:sz w:val="16"/>
                <w:szCs w:val="16"/>
              </w:rPr>
            </w:pPr>
          </w:p>
        </w:tc>
        <w:tc>
          <w:tcPr>
            <w:tcW w:w="236" w:type="dxa"/>
            <w:shd w:val="clear" w:color="auto" w:fill="auto"/>
          </w:tcPr>
          <w:p w14:paraId="0F7BB8D7" w14:textId="77777777" w:rsidR="00A22E4D" w:rsidRPr="006D21CC" w:rsidRDefault="00A22E4D" w:rsidP="00DF29AB">
            <w:pPr>
              <w:tabs>
                <w:tab w:val="left" w:pos="7560"/>
              </w:tabs>
              <w:spacing w:after="0"/>
              <w:rPr>
                <w:sz w:val="16"/>
                <w:szCs w:val="16"/>
              </w:rPr>
            </w:pPr>
          </w:p>
        </w:tc>
        <w:tc>
          <w:tcPr>
            <w:tcW w:w="236" w:type="dxa"/>
            <w:shd w:val="clear" w:color="auto" w:fill="auto"/>
          </w:tcPr>
          <w:p w14:paraId="186EBB7E" w14:textId="77777777" w:rsidR="00A22E4D" w:rsidRPr="006D21CC" w:rsidRDefault="00A22E4D" w:rsidP="00DF29AB">
            <w:pPr>
              <w:tabs>
                <w:tab w:val="left" w:pos="7560"/>
              </w:tabs>
              <w:spacing w:after="0"/>
              <w:rPr>
                <w:sz w:val="16"/>
                <w:szCs w:val="16"/>
              </w:rPr>
            </w:pPr>
          </w:p>
        </w:tc>
        <w:tc>
          <w:tcPr>
            <w:tcW w:w="236" w:type="dxa"/>
            <w:shd w:val="clear" w:color="auto" w:fill="auto"/>
          </w:tcPr>
          <w:p w14:paraId="6B1B8AC4" w14:textId="77777777" w:rsidR="00A22E4D" w:rsidRPr="006D21CC" w:rsidRDefault="00A22E4D" w:rsidP="00DF29AB">
            <w:pPr>
              <w:tabs>
                <w:tab w:val="left" w:pos="7560"/>
              </w:tabs>
              <w:spacing w:after="0"/>
              <w:rPr>
                <w:sz w:val="16"/>
                <w:szCs w:val="16"/>
              </w:rPr>
            </w:pPr>
          </w:p>
        </w:tc>
        <w:tc>
          <w:tcPr>
            <w:tcW w:w="236" w:type="dxa"/>
            <w:shd w:val="clear" w:color="auto" w:fill="auto"/>
          </w:tcPr>
          <w:p w14:paraId="1AA771AC" w14:textId="77777777" w:rsidR="00A22E4D" w:rsidRPr="006D21CC" w:rsidRDefault="00A22E4D" w:rsidP="00DF29AB">
            <w:pPr>
              <w:tabs>
                <w:tab w:val="left" w:pos="7560"/>
              </w:tabs>
              <w:spacing w:after="0"/>
              <w:rPr>
                <w:sz w:val="16"/>
                <w:szCs w:val="16"/>
              </w:rPr>
            </w:pPr>
          </w:p>
        </w:tc>
        <w:tc>
          <w:tcPr>
            <w:tcW w:w="236" w:type="dxa"/>
            <w:shd w:val="clear" w:color="auto" w:fill="auto"/>
          </w:tcPr>
          <w:p w14:paraId="24C09FB0" w14:textId="77777777" w:rsidR="00A22E4D" w:rsidRPr="006D21CC" w:rsidRDefault="00A22E4D" w:rsidP="00DF29AB">
            <w:pPr>
              <w:tabs>
                <w:tab w:val="left" w:pos="7560"/>
              </w:tabs>
              <w:spacing w:after="0"/>
              <w:rPr>
                <w:sz w:val="16"/>
                <w:szCs w:val="16"/>
              </w:rPr>
            </w:pPr>
          </w:p>
        </w:tc>
        <w:tc>
          <w:tcPr>
            <w:tcW w:w="236" w:type="dxa"/>
            <w:shd w:val="clear" w:color="auto" w:fill="auto"/>
          </w:tcPr>
          <w:p w14:paraId="0CBAF25D" w14:textId="77777777" w:rsidR="00A22E4D" w:rsidRPr="006D21CC" w:rsidRDefault="00A22E4D" w:rsidP="00DF29AB">
            <w:pPr>
              <w:tabs>
                <w:tab w:val="left" w:pos="7560"/>
              </w:tabs>
              <w:spacing w:after="0"/>
              <w:rPr>
                <w:sz w:val="16"/>
                <w:szCs w:val="16"/>
              </w:rPr>
            </w:pPr>
          </w:p>
        </w:tc>
      </w:tr>
      <w:tr w:rsidR="00A22E4D" w:rsidRPr="006D21CC" w14:paraId="31F5B5B2" w14:textId="77777777" w:rsidTr="00DF29AB">
        <w:tc>
          <w:tcPr>
            <w:tcW w:w="2317" w:type="dxa"/>
            <w:shd w:val="clear" w:color="auto" w:fill="auto"/>
          </w:tcPr>
          <w:p w14:paraId="7C817150" w14:textId="77777777" w:rsidR="00A22E4D" w:rsidRPr="006D21CC" w:rsidRDefault="00A22E4D" w:rsidP="00DF29AB">
            <w:pPr>
              <w:tabs>
                <w:tab w:val="left" w:pos="7560"/>
              </w:tabs>
              <w:spacing w:after="0"/>
              <w:rPr>
                <w:sz w:val="16"/>
                <w:szCs w:val="16"/>
              </w:rPr>
            </w:pPr>
            <w:r>
              <w:rPr>
                <w:sz w:val="16"/>
                <w:szCs w:val="16"/>
              </w:rPr>
              <w:t>Set up Digital Newsletter, input email list, and send out regularly</w:t>
            </w:r>
          </w:p>
        </w:tc>
        <w:tc>
          <w:tcPr>
            <w:tcW w:w="1946" w:type="dxa"/>
          </w:tcPr>
          <w:p w14:paraId="0CE51775" w14:textId="77777777" w:rsidR="00A22E4D" w:rsidRPr="006D21CC" w:rsidRDefault="00A22E4D" w:rsidP="00DF29AB">
            <w:pPr>
              <w:tabs>
                <w:tab w:val="left" w:pos="7560"/>
              </w:tabs>
              <w:spacing w:after="0"/>
              <w:rPr>
                <w:sz w:val="16"/>
                <w:szCs w:val="16"/>
              </w:rPr>
            </w:pPr>
            <w:r>
              <w:rPr>
                <w:sz w:val="16"/>
                <w:szCs w:val="16"/>
              </w:rPr>
              <w:t>Digital newsletter sent out and readership tracked</w:t>
            </w:r>
          </w:p>
        </w:tc>
        <w:tc>
          <w:tcPr>
            <w:tcW w:w="236" w:type="dxa"/>
            <w:shd w:val="clear" w:color="auto" w:fill="auto"/>
          </w:tcPr>
          <w:p w14:paraId="4BC18DB0" w14:textId="77777777" w:rsidR="00A22E4D" w:rsidRPr="006D21CC" w:rsidRDefault="00A22E4D" w:rsidP="00DF29AB">
            <w:pPr>
              <w:tabs>
                <w:tab w:val="left" w:pos="7560"/>
              </w:tabs>
              <w:spacing w:after="0"/>
              <w:rPr>
                <w:sz w:val="16"/>
                <w:szCs w:val="16"/>
              </w:rPr>
            </w:pPr>
          </w:p>
        </w:tc>
        <w:tc>
          <w:tcPr>
            <w:tcW w:w="236" w:type="dxa"/>
            <w:shd w:val="clear" w:color="auto" w:fill="auto"/>
          </w:tcPr>
          <w:p w14:paraId="5B657CE4"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5F751C81"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2AD36D5C"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0C173CDD"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7286A6F9"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32C0A39B"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2351429C"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7F751137"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4922742D"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49CFAC4D"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3F11EA87"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2D5F0DBE"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329EFD8D"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1871E7A9"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64D10546"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41C44830"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221239A6"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303A5179"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48546353"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68735538"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2B993F07"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3113C8C9"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5F0A874E" w14:textId="77777777" w:rsidR="00A22E4D" w:rsidRPr="006D21CC" w:rsidRDefault="00A22E4D" w:rsidP="00DF29AB">
            <w:pPr>
              <w:tabs>
                <w:tab w:val="left" w:pos="7560"/>
              </w:tabs>
              <w:spacing w:after="0"/>
              <w:rPr>
                <w:sz w:val="16"/>
                <w:szCs w:val="16"/>
              </w:rPr>
            </w:pPr>
          </w:p>
        </w:tc>
      </w:tr>
      <w:tr w:rsidR="00A22E4D" w:rsidRPr="006D21CC" w14:paraId="50388AE5" w14:textId="77777777" w:rsidTr="00DF29AB">
        <w:tc>
          <w:tcPr>
            <w:tcW w:w="2317" w:type="dxa"/>
            <w:shd w:val="clear" w:color="auto" w:fill="auto"/>
          </w:tcPr>
          <w:p w14:paraId="3A4838E5" w14:textId="77777777" w:rsidR="00A22E4D" w:rsidRPr="006D21CC" w:rsidRDefault="00A22E4D" w:rsidP="00DF29AB">
            <w:pPr>
              <w:tabs>
                <w:tab w:val="left" w:pos="7560"/>
              </w:tabs>
              <w:spacing w:after="0"/>
              <w:rPr>
                <w:sz w:val="16"/>
                <w:szCs w:val="16"/>
              </w:rPr>
            </w:pPr>
            <w:r>
              <w:rPr>
                <w:sz w:val="16"/>
                <w:szCs w:val="16"/>
              </w:rPr>
              <w:t>Written Press Releases and radio shows</w:t>
            </w:r>
          </w:p>
        </w:tc>
        <w:tc>
          <w:tcPr>
            <w:tcW w:w="1946" w:type="dxa"/>
          </w:tcPr>
          <w:p w14:paraId="7FBB6AC0" w14:textId="77777777" w:rsidR="00A22E4D" w:rsidRPr="006D21CC" w:rsidRDefault="00A22E4D" w:rsidP="00DF29AB">
            <w:pPr>
              <w:tabs>
                <w:tab w:val="left" w:pos="7560"/>
              </w:tabs>
              <w:spacing w:after="0"/>
              <w:rPr>
                <w:sz w:val="16"/>
                <w:szCs w:val="16"/>
              </w:rPr>
            </w:pPr>
            <w:r>
              <w:rPr>
                <w:sz w:val="16"/>
                <w:szCs w:val="16"/>
              </w:rPr>
              <w:t>Project published in newsletter; on radio</w:t>
            </w:r>
          </w:p>
        </w:tc>
        <w:tc>
          <w:tcPr>
            <w:tcW w:w="236" w:type="dxa"/>
            <w:shd w:val="clear" w:color="auto" w:fill="auto"/>
          </w:tcPr>
          <w:p w14:paraId="53FB457B"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69A551BA" w14:textId="77777777" w:rsidR="00A22E4D" w:rsidRPr="006D21CC" w:rsidRDefault="00A22E4D" w:rsidP="00DF29AB">
            <w:pPr>
              <w:tabs>
                <w:tab w:val="left" w:pos="7560"/>
              </w:tabs>
              <w:spacing w:after="0"/>
              <w:rPr>
                <w:sz w:val="16"/>
                <w:szCs w:val="16"/>
              </w:rPr>
            </w:pPr>
          </w:p>
        </w:tc>
        <w:tc>
          <w:tcPr>
            <w:tcW w:w="236" w:type="dxa"/>
            <w:shd w:val="clear" w:color="auto" w:fill="auto"/>
          </w:tcPr>
          <w:p w14:paraId="063D48CE"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781EC074" w14:textId="77777777" w:rsidR="00A22E4D" w:rsidRPr="006D21CC" w:rsidRDefault="00A22E4D" w:rsidP="00DF29AB">
            <w:pPr>
              <w:tabs>
                <w:tab w:val="left" w:pos="7560"/>
              </w:tabs>
              <w:spacing w:after="0"/>
              <w:rPr>
                <w:sz w:val="16"/>
                <w:szCs w:val="16"/>
              </w:rPr>
            </w:pPr>
          </w:p>
        </w:tc>
        <w:tc>
          <w:tcPr>
            <w:tcW w:w="236" w:type="dxa"/>
            <w:shd w:val="clear" w:color="auto" w:fill="auto"/>
          </w:tcPr>
          <w:p w14:paraId="4ECA1621"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39BFD0B9" w14:textId="77777777" w:rsidR="00A22E4D" w:rsidRPr="006D21CC" w:rsidRDefault="00A22E4D" w:rsidP="00DF29AB">
            <w:pPr>
              <w:tabs>
                <w:tab w:val="left" w:pos="7560"/>
              </w:tabs>
              <w:spacing w:after="0"/>
              <w:rPr>
                <w:sz w:val="16"/>
                <w:szCs w:val="16"/>
              </w:rPr>
            </w:pPr>
          </w:p>
        </w:tc>
        <w:tc>
          <w:tcPr>
            <w:tcW w:w="236" w:type="dxa"/>
            <w:shd w:val="clear" w:color="auto" w:fill="auto"/>
          </w:tcPr>
          <w:p w14:paraId="0EB70FCB"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1FE59645" w14:textId="77777777" w:rsidR="00A22E4D" w:rsidRPr="006D21CC" w:rsidRDefault="00A22E4D" w:rsidP="00DF29AB">
            <w:pPr>
              <w:tabs>
                <w:tab w:val="left" w:pos="7560"/>
              </w:tabs>
              <w:spacing w:after="0"/>
              <w:rPr>
                <w:sz w:val="16"/>
                <w:szCs w:val="16"/>
              </w:rPr>
            </w:pPr>
          </w:p>
        </w:tc>
        <w:tc>
          <w:tcPr>
            <w:tcW w:w="236" w:type="dxa"/>
            <w:shd w:val="clear" w:color="auto" w:fill="auto"/>
          </w:tcPr>
          <w:p w14:paraId="45C29F65"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5669C6B9" w14:textId="77777777" w:rsidR="00A22E4D" w:rsidRPr="006D21CC" w:rsidRDefault="00A22E4D" w:rsidP="00DF29AB">
            <w:pPr>
              <w:tabs>
                <w:tab w:val="left" w:pos="7560"/>
              </w:tabs>
              <w:spacing w:after="0"/>
              <w:rPr>
                <w:sz w:val="16"/>
                <w:szCs w:val="16"/>
              </w:rPr>
            </w:pPr>
          </w:p>
        </w:tc>
        <w:tc>
          <w:tcPr>
            <w:tcW w:w="236" w:type="dxa"/>
            <w:shd w:val="clear" w:color="auto" w:fill="auto"/>
          </w:tcPr>
          <w:p w14:paraId="32F989AA"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2A230C29" w14:textId="77777777" w:rsidR="00A22E4D" w:rsidRPr="006D21CC" w:rsidRDefault="00A22E4D" w:rsidP="00DF29AB">
            <w:pPr>
              <w:tabs>
                <w:tab w:val="left" w:pos="7560"/>
              </w:tabs>
              <w:spacing w:after="0"/>
              <w:rPr>
                <w:sz w:val="16"/>
                <w:szCs w:val="16"/>
              </w:rPr>
            </w:pPr>
          </w:p>
        </w:tc>
        <w:tc>
          <w:tcPr>
            <w:tcW w:w="236" w:type="dxa"/>
            <w:shd w:val="clear" w:color="auto" w:fill="auto"/>
          </w:tcPr>
          <w:p w14:paraId="1D964CB9"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2A0A2828" w14:textId="77777777" w:rsidR="00A22E4D" w:rsidRPr="006D21CC" w:rsidRDefault="00A22E4D" w:rsidP="00DF29AB">
            <w:pPr>
              <w:tabs>
                <w:tab w:val="left" w:pos="7560"/>
              </w:tabs>
              <w:spacing w:after="0"/>
              <w:rPr>
                <w:sz w:val="16"/>
                <w:szCs w:val="16"/>
              </w:rPr>
            </w:pPr>
          </w:p>
        </w:tc>
        <w:tc>
          <w:tcPr>
            <w:tcW w:w="236" w:type="dxa"/>
            <w:shd w:val="clear" w:color="auto" w:fill="auto"/>
          </w:tcPr>
          <w:p w14:paraId="62B33CED"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11354B5C" w14:textId="77777777" w:rsidR="00A22E4D" w:rsidRPr="006D21CC" w:rsidRDefault="00A22E4D" w:rsidP="00DF29AB">
            <w:pPr>
              <w:tabs>
                <w:tab w:val="left" w:pos="7560"/>
              </w:tabs>
              <w:spacing w:after="0"/>
              <w:rPr>
                <w:sz w:val="16"/>
                <w:szCs w:val="16"/>
              </w:rPr>
            </w:pPr>
          </w:p>
        </w:tc>
        <w:tc>
          <w:tcPr>
            <w:tcW w:w="236" w:type="dxa"/>
            <w:shd w:val="clear" w:color="auto" w:fill="auto"/>
          </w:tcPr>
          <w:p w14:paraId="4498B42E"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3145258C" w14:textId="77777777" w:rsidR="00A22E4D" w:rsidRPr="006D21CC" w:rsidRDefault="00A22E4D" w:rsidP="00DF29AB">
            <w:pPr>
              <w:tabs>
                <w:tab w:val="left" w:pos="7560"/>
              </w:tabs>
              <w:spacing w:after="0"/>
              <w:rPr>
                <w:sz w:val="16"/>
                <w:szCs w:val="16"/>
              </w:rPr>
            </w:pPr>
          </w:p>
        </w:tc>
        <w:tc>
          <w:tcPr>
            <w:tcW w:w="236" w:type="dxa"/>
            <w:shd w:val="clear" w:color="auto" w:fill="auto"/>
          </w:tcPr>
          <w:p w14:paraId="44BE47B9"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52D25235" w14:textId="77777777" w:rsidR="00A22E4D" w:rsidRPr="006D21CC" w:rsidRDefault="00A22E4D" w:rsidP="00DF29AB">
            <w:pPr>
              <w:tabs>
                <w:tab w:val="left" w:pos="7560"/>
              </w:tabs>
              <w:spacing w:after="0"/>
              <w:rPr>
                <w:sz w:val="16"/>
                <w:szCs w:val="16"/>
              </w:rPr>
            </w:pPr>
          </w:p>
        </w:tc>
        <w:tc>
          <w:tcPr>
            <w:tcW w:w="236" w:type="dxa"/>
            <w:shd w:val="clear" w:color="auto" w:fill="auto"/>
          </w:tcPr>
          <w:p w14:paraId="69A89876"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03EDE593" w14:textId="77777777" w:rsidR="00A22E4D" w:rsidRPr="006D21CC" w:rsidRDefault="00A22E4D" w:rsidP="00DF29AB">
            <w:pPr>
              <w:tabs>
                <w:tab w:val="left" w:pos="7560"/>
              </w:tabs>
              <w:spacing w:after="0"/>
              <w:rPr>
                <w:sz w:val="16"/>
                <w:szCs w:val="16"/>
              </w:rPr>
            </w:pPr>
          </w:p>
        </w:tc>
        <w:tc>
          <w:tcPr>
            <w:tcW w:w="236" w:type="dxa"/>
            <w:shd w:val="clear" w:color="auto" w:fill="auto"/>
          </w:tcPr>
          <w:p w14:paraId="588CF1CC"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3224FE32" w14:textId="77777777" w:rsidR="00A22E4D" w:rsidRPr="006D21CC" w:rsidRDefault="00A22E4D" w:rsidP="00DF29AB">
            <w:pPr>
              <w:tabs>
                <w:tab w:val="left" w:pos="7560"/>
              </w:tabs>
              <w:spacing w:after="0"/>
              <w:rPr>
                <w:sz w:val="16"/>
                <w:szCs w:val="16"/>
              </w:rPr>
            </w:pPr>
          </w:p>
        </w:tc>
      </w:tr>
      <w:tr w:rsidR="00A22E4D" w:rsidRPr="006D21CC" w14:paraId="7D57A712" w14:textId="77777777" w:rsidTr="00DF29AB">
        <w:tc>
          <w:tcPr>
            <w:tcW w:w="2317" w:type="dxa"/>
            <w:shd w:val="clear" w:color="auto" w:fill="auto"/>
          </w:tcPr>
          <w:p w14:paraId="24355F04" w14:textId="77777777" w:rsidR="00A22E4D" w:rsidRPr="006D21CC" w:rsidRDefault="00A22E4D" w:rsidP="00DF29AB">
            <w:pPr>
              <w:tabs>
                <w:tab w:val="left" w:pos="7560"/>
              </w:tabs>
              <w:spacing w:after="0"/>
              <w:rPr>
                <w:sz w:val="16"/>
                <w:szCs w:val="16"/>
              </w:rPr>
            </w:pPr>
            <w:r>
              <w:rPr>
                <w:sz w:val="16"/>
                <w:szCs w:val="16"/>
              </w:rPr>
              <w:t>Meet with NISC to develop Biosecurity Awareness Plans</w:t>
            </w:r>
          </w:p>
        </w:tc>
        <w:tc>
          <w:tcPr>
            <w:tcW w:w="1946" w:type="dxa"/>
          </w:tcPr>
          <w:p w14:paraId="2E8ADE8B" w14:textId="77777777" w:rsidR="00A22E4D" w:rsidRPr="006D21CC" w:rsidRDefault="00A22E4D" w:rsidP="00DF29AB">
            <w:pPr>
              <w:tabs>
                <w:tab w:val="left" w:pos="7560"/>
              </w:tabs>
              <w:spacing w:after="0"/>
              <w:rPr>
                <w:sz w:val="16"/>
                <w:szCs w:val="16"/>
              </w:rPr>
            </w:pPr>
            <w:r>
              <w:rPr>
                <w:sz w:val="16"/>
                <w:szCs w:val="16"/>
              </w:rPr>
              <w:t>Schedule and responsibility list for Biosecurity awareness plan is set and implemented</w:t>
            </w:r>
          </w:p>
        </w:tc>
        <w:tc>
          <w:tcPr>
            <w:tcW w:w="236" w:type="dxa"/>
            <w:shd w:val="clear" w:color="auto" w:fill="D99594" w:themeFill="accent2" w:themeFillTint="99"/>
          </w:tcPr>
          <w:p w14:paraId="208835EB"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24892D6C"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3DA052CA"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4A94DEF5" w14:textId="77777777" w:rsidR="00A22E4D" w:rsidRPr="006D21CC" w:rsidRDefault="00A22E4D" w:rsidP="00DF29AB">
            <w:pPr>
              <w:tabs>
                <w:tab w:val="left" w:pos="7560"/>
              </w:tabs>
              <w:spacing w:after="0"/>
              <w:rPr>
                <w:sz w:val="16"/>
                <w:szCs w:val="16"/>
              </w:rPr>
            </w:pPr>
          </w:p>
        </w:tc>
        <w:tc>
          <w:tcPr>
            <w:tcW w:w="236" w:type="dxa"/>
            <w:shd w:val="clear" w:color="auto" w:fill="auto"/>
          </w:tcPr>
          <w:p w14:paraId="4C3A3319" w14:textId="77777777" w:rsidR="00A22E4D" w:rsidRPr="006D21CC" w:rsidRDefault="00A22E4D" w:rsidP="00DF29AB">
            <w:pPr>
              <w:tabs>
                <w:tab w:val="left" w:pos="7560"/>
              </w:tabs>
              <w:spacing w:after="0"/>
              <w:rPr>
                <w:sz w:val="16"/>
                <w:szCs w:val="16"/>
              </w:rPr>
            </w:pPr>
          </w:p>
        </w:tc>
        <w:tc>
          <w:tcPr>
            <w:tcW w:w="236" w:type="dxa"/>
            <w:shd w:val="clear" w:color="auto" w:fill="auto"/>
          </w:tcPr>
          <w:p w14:paraId="6FC7149B" w14:textId="77777777" w:rsidR="00A22E4D" w:rsidRPr="006D21CC" w:rsidRDefault="00A22E4D" w:rsidP="00DF29AB">
            <w:pPr>
              <w:tabs>
                <w:tab w:val="left" w:pos="7560"/>
              </w:tabs>
              <w:spacing w:after="0"/>
              <w:rPr>
                <w:sz w:val="16"/>
                <w:szCs w:val="16"/>
              </w:rPr>
            </w:pPr>
          </w:p>
        </w:tc>
        <w:tc>
          <w:tcPr>
            <w:tcW w:w="236" w:type="dxa"/>
            <w:shd w:val="clear" w:color="auto" w:fill="auto"/>
          </w:tcPr>
          <w:p w14:paraId="436E65EF" w14:textId="77777777" w:rsidR="00A22E4D" w:rsidRPr="006D21CC" w:rsidRDefault="00A22E4D" w:rsidP="00DF29AB">
            <w:pPr>
              <w:tabs>
                <w:tab w:val="left" w:pos="7560"/>
              </w:tabs>
              <w:spacing w:after="0"/>
              <w:rPr>
                <w:sz w:val="16"/>
                <w:szCs w:val="16"/>
              </w:rPr>
            </w:pPr>
          </w:p>
        </w:tc>
        <w:tc>
          <w:tcPr>
            <w:tcW w:w="236" w:type="dxa"/>
            <w:shd w:val="clear" w:color="auto" w:fill="auto"/>
          </w:tcPr>
          <w:p w14:paraId="7D4963C1"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0384CC77" w14:textId="77777777" w:rsidR="00A22E4D" w:rsidRPr="006D21CC" w:rsidRDefault="00A22E4D" w:rsidP="00DF29AB">
            <w:pPr>
              <w:tabs>
                <w:tab w:val="left" w:pos="7560"/>
              </w:tabs>
              <w:spacing w:after="0"/>
              <w:rPr>
                <w:sz w:val="16"/>
                <w:szCs w:val="16"/>
              </w:rPr>
            </w:pPr>
          </w:p>
        </w:tc>
        <w:tc>
          <w:tcPr>
            <w:tcW w:w="236" w:type="dxa"/>
            <w:shd w:val="clear" w:color="auto" w:fill="auto"/>
          </w:tcPr>
          <w:p w14:paraId="18A4B3B2" w14:textId="77777777" w:rsidR="00A22E4D" w:rsidRPr="006D21CC" w:rsidRDefault="00A22E4D" w:rsidP="00DF29AB">
            <w:pPr>
              <w:tabs>
                <w:tab w:val="left" w:pos="7560"/>
              </w:tabs>
              <w:spacing w:after="0"/>
              <w:rPr>
                <w:sz w:val="16"/>
                <w:szCs w:val="16"/>
              </w:rPr>
            </w:pPr>
          </w:p>
        </w:tc>
        <w:tc>
          <w:tcPr>
            <w:tcW w:w="236" w:type="dxa"/>
            <w:shd w:val="clear" w:color="auto" w:fill="auto"/>
          </w:tcPr>
          <w:p w14:paraId="018E6B91" w14:textId="77777777" w:rsidR="00A22E4D" w:rsidRPr="006D21CC" w:rsidRDefault="00A22E4D" w:rsidP="00DF29AB">
            <w:pPr>
              <w:tabs>
                <w:tab w:val="left" w:pos="7560"/>
              </w:tabs>
              <w:spacing w:after="0"/>
              <w:rPr>
                <w:sz w:val="16"/>
                <w:szCs w:val="16"/>
              </w:rPr>
            </w:pPr>
          </w:p>
        </w:tc>
        <w:tc>
          <w:tcPr>
            <w:tcW w:w="236" w:type="dxa"/>
            <w:shd w:val="clear" w:color="auto" w:fill="auto"/>
          </w:tcPr>
          <w:p w14:paraId="4FC13A1E"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42DF83B1" w14:textId="77777777" w:rsidR="00A22E4D" w:rsidRPr="006D21CC" w:rsidRDefault="00A22E4D" w:rsidP="00DF29AB">
            <w:pPr>
              <w:tabs>
                <w:tab w:val="left" w:pos="7560"/>
              </w:tabs>
              <w:spacing w:after="0"/>
              <w:rPr>
                <w:sz w:val="16"/>
                <w:szCs w:val="16"/>
              </w:rPr>
            </w:pPr>
          </w:p>
        </w:tc>
        <w:tc>
          <w:tcPr>
            <w:tcW w:w="236" w:type="dxa"/>
            <w:shd w:val="clear" w:color="auto" w:fill="auto"/>
          </w:tcPr>
          <w:p w14:paraId="13CBE6BC" w14:textId="77777777" w:rsidR="00A22E4D" w:rsidRPr="006D21CC" w:rsidRDefault="00A22E4D" w:rsidP="00DF29AB">
            <w:pPr>
              <w:tabs>
                <w:tab w:val="left" w:pos="7560"/>
              </w:tabs>
              <w:spacing w:after="0"/>
              <w:rPr>
                <w:sz w:val="16"/>
                <w:szCs w:val="16"/>
              </w:rPr>
            </w:pPr>
          </w:p>
        </w:tc>
        <w:tc>
          <w:tcPr>
            <w:tcW w:w="236" w:type="dxa"/>
            <w:shd w:val="clear" w:color="auto" w:fill="auto"/>
          </w:tcPr>
          <w:p w14:paraId="105F6E13" w14:textId="77777777" w:rsidR="00A22E4D" w:rsidRPr="006D21CC" w:rsidRDefault="00A22E4D" w:rsidP="00DF29AB">
            <w:pPr>
              <w:tabs>
                <w:tab w:val="left" w:pos="7560"/>
              </w:tabs>
              <w:spacing w:after="0"/>
              <w:rPr>
                <w:sz w:val="16"/>
                <w:szCs w:val="16"/>
              </w:rPr>
            </w:pPr>
          </w:p>
        </w:tc>
        <w:tc>
          <w:tcPr>
            <w:tcW w:w="236" w:type="dxa"/>
            <w:shd w:val="clear" w:color="auto" w:fill="auto"/>
          </w:tcPr>
          <w:p w14:paraId="380E9616"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22A092E6" w14:textId="77777777" w:rsidR="00A22E4D" w:rsidRPr="006D21CC" w:rsidRDefault="00A22E4D" w:rsidP="00DF29AB">
            <w:pPr>
              <w:tabs>
                <w:tab w:val="left" w:pos="7560"/>
              </w:tabs>
              <w:spacing w:after="0"/>
              <w:rPr>
                <w:sz w:val="16"/>
                <w:szCs w:val="16"/>
              </w:rPr>
            </w:pPr>
          </w:p>
        </w:tc>
        <w:tc>
          <w:tcPr>
            <w:tcW w:w="236" w:type="dxa"/>
            <w:shd w:val="clear" w:color="auto" w:fill="auto"/>
          </w:tcPr>
          <w:p w14:paraId="05305148" w14:textId="77777777" w:rsidR="00A22E4D" w:rsidRPr="006D21CC" w:rsidRDefault="00A22E4D" w:rsidP="00DF29AB">
            <w:pPr>
              <w:tabs>
                <w:tab w:val="left" w:pos="7560"/>
              </w:tabs>
              <w:spacing w:after="0"/>
              <w:rPr>
                <w:sz w:val="16"/>
                <w:szCs w:val="16"/>
              </w:rPr>
            </w:pPr>
          </w:p>
        </w:tc>
        <w:tc>
          <w:tcPr>
            <w:tcW w:w="236" w:type="dxa"/>
            <w:shd w:val="clear" w:color="auto" w:fill="auto"/>
          </w:tcPr>
          <w:p w14:paraId="29AAF4D3" w14:textId="77777777" w:rsidR="00A22E4D" w:rsidRPr="006D21CC" w:rsidRDefault="00A22E4D" w:rsidP="00DF29AB">
            <w:pPr>
              <w:tabs>
                <w:tab w:val="left" w:pos="7560"/>
              </w:tabs>
              <w:spacing w:after="0"/>
              <w:rPr>
                <w:sz w:val="16"/>
                <w:szCs w:val="16"/>
              </w:rPr>
            </w:pPr>
          </w:p>
        </w:tc>
        <w:tc>
          <w:tcPr>
            <w:tcW w:w="236" w:type="dxa"/>
            <w:shd w:val="clear" w:color="auto" w:fill="auto"/>
          </w:tcPr>
          <w:p w14:paraId="1E7F08F0"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0A86A134" w14:textId="77777777" w:rsidR="00A22E4D" w:rsidRPr="006D21CC" w:rsidRDefault="00A22E4D" w:rsidP="00DF29AB">
            <w:pPr>
              <w:tabs>
                <w:tab w:val="left" w:pos="7560"/>
              </w:tabs>
              <w:spacing w:after="0"/>
              <w:rPr>
                <w:sz w:val="16"/>
                <w:szCs w:val="16"/>
              </w:rPr>
            </w:pPr>
          </w:p>
        </w:tc>
        <w:tc>
          <w:tcPr>
            <w:tcW w:w="236" w:type="dxa"/>
            <w:shd w:val="clear" w:color="auto" w:fill="auto"/>
          </w:tcPr>
          <w:p w14:paraId="69E2FC57" w14:textId="77777777" w:rsidR="00A22E4D" w:rsidRPr="006D21CC" w:rsidRDefault="00A22E4D" w:rsidP="00DF29AB">
            <w:pPr>
              <w:tabs>
                <w:tab w:val="left" w:pos="7560"/>
              </w:tabs>
              <w:spacing w:after="0"/>
              <w:rPr>
                <w:sz w:val="16"/>
                <w:szCs w:val="16"/>
              </w:rPr>
            </w:pPr>
          </w:p>
        </w:tc>
        <w:tc>
          <w:tcPr>
            <w:tcW w:w="236" w:type="dxa"/>
            <w:shd w:val="clear" w:color="auto" w:fill="auto"/>
          </w:tcPr>
          <w:p w14:paraId="43F77524" w14:textId="77777777" w:rsidR="00A22E4D" w:rsidRPr="006D21CC" w:rsidRDefault="00A22E4D" w:rsidP="00DF29AB">
            <w:pPr>
              <w:tabs>
                <w:tab w:val="left" w:pos="7560"/>
              </w:tabs>
              <w:spacing w:after="0"/>
              <w:rPr>
                <w:sz w:val="16"/>
                <w:szCs w:val="16"/>
              </w:rPr>
            </w:pPr>
          </w:p>
        </w:tc>
        <w:tc>
          <w:tcPr>
            <w:tcW w:w="236" w:type="dxa"/>
            <w:shd w:val="clear" w:color="auto" w:fill="auto"/>
          </w:tcPr>
          <w:p w14:paraId="0755B043" w14:textId="77777777" w:rsidR="00A22E4D" w:rsidRPr="006D21CC" w:rsidRDefault="00A22E4D" w:rsidP="00DF29AB">
            <w:pPr>
              <w:tabs>
                <w:tab w:val="left" w:pos="7560"/>
              </w:tabs>
              <w:spacing w:after="0"/>
              <w:rPr>
                <w:sz w:val="16"/>
                <w:szCs w:val="16"/>
              </w:rPr>
            </w:pPr>
          </w:p>
        </w:tc>
      </w:tr>
      <w:tr w:rsidR="00A22E4D" w:rsidRPr="006D21CC" w14:paraId="753403E2" w14:textId="77777777" w:rsidTr="00DF29AB">
        <w:tc>
          <w:tcPr>
            <w:tcW w:w="2317" w:type="dxa"/>
            <w:shd w:val="clear" w:color="auto" w:fill="auto"/>
          </w:tcPr>
          <w:p w14:paraId="26B1483D" w14:textId="77777777" w:rsidR="00A22E4D" w:rsidRPr="006D21CC" w:rsidRDefault="00A22E4D" w:rsidP="00DF29AB">
            <w:pPr>
              <w:tabs>
                <w:tab w:val="left" w:pos="7560"/>
              </w:tabs>
              <w:spacing w:after="0"/>
              <w:rPr>
                <w:sz w:val="16"/>
                <w:szCs w:val="16"/>
              </w:rPr>
            </w:pPr>
            <w:r>
              <w:rPr>
                <w:sz w:val="16"/>
                <w:szCs w:val="16"/>
              </w:rPr>
              <w:t>Hire “Expert” consultant</w:t>
            </w:r>
          </w:p>
        </w:tc>
        <w:tc>
          <w:tcPr>
            <w:tcW w:w="1946" w:type="dxa"/>
          </w:tcPr>
          <w:p w14:paraId="7A2D18CF" w14:textId="77777777" w:rsidR="00A22E4D" w:rsidRPr="006D21CC" w:rsidRDefault="00A22E4D" w:rsidP="00DF29AB">
            <w:pPr>
              <w:tabs>
                <w:tab w:val="left" w:pos="7560"/>
              </w:tabs>
              <w:spacing w:after="0"/>
              <w:rPr>
                <w:sz w:val="16"/>
                <w:szCs w:val="16"/>
              </w:rPr>
            </w:pPr>
            <w:r>
              <w:rPr>
                <w:sz w:val="16"/>
                <w:szCs w:val="16"/>
              </w:rPr>
              <w:t>Consultant holds meetings with all 9 States on Landscape/ Seascape Planning</w:t>
            </w:r>
          </w:p>
        </w:tc>
        <w:tc>
          <w:tcPr>
            <w:tcW w:w="236" w:type="dxa"/>
            <w:shd w:val="clear" w:color="auto" w:fill="auto"/>
          </w:tcPr>
          <w:p w14:paraId="2F1DB66F" w14:textId="77777777" w:rsidR="00A22E4D" w:rsidRPr="006D21CC" w:rsidRDefault="00A22E4D" w:rsidP="00DF29AB">
            <w:pPr>
              <w:tabs>
                <w:tab w:val="left" w:pos="7560"/>
              </w:tabs>
              <w:spacing w:after="0"/>
              <w:rPr>
                <w:sz w:val="16"/>
                <w:szCs w:val="16"/>
              </w:rPr>
            </w:pPr>
          </w:p>
        </w:tc>
        <w:tc>
          <w:tcPr>
            <w:tcW w:w="236" w:type="dxa"/>
            <w:shd w:val="clear" w:color="auto" w:fill="auto"/>
          </w:tcPr>
          <w:p w14:paraId="21EC9645"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0C4D95A8"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1773178A"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355AC3E1"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761951CC" w14:textId="77777777" w:rsidR="00A22E4D" w:rsidRPr="006D21CC" w:rsidRDefault="00A22E4D" w:rsidP="00DF29AB">
            <w:pPr>
              <w:tabs>
                <w:tab w:val="left" w:pos="7560"/>
              </w:tabs>
              <w:spacing w:after="0"/>
              <w:rPr>
                <w:sz w:val="16"/>
                <w:szCs w:val="16"/>
              </w:rPr>
            </w:pPr>
          </w:p>
        </w:tc>
        <w:tc>
          <w:tcPr>
            <w:tcW w:w="236" w:type="dxa"/>
            <w:shd w:val="clear" w:color="auto" w:fill="auto"/>
          </w:tcPr>
          <w:p w14:paraId="4463EEC1" w14:textId="77777777" w:rsidR="00A22E4D" w:rsidRPr="006D21CC" w:rsidRDefault="00A22E4D" w:rsidP="00DF29AB">
            <w:pPr>
              <w:tabs>
                <w:tab w:val="left" w:pos="7560"/>
              </w:tabs>
              <w:spacing w:after="0"/>
              <w:rPr>
                <w:sz w:val="16"/>
                <w:szCs w:val="16"/>
              </w:rPr>
            </w:pPr>
          </w:p>
        </w:tc>
        <w:tc>
          <w:tcPr>
            <w:tcW w:w="236" w:type="dxa"/>
            <w:shd w:val="clear" w:color="auto" w:fill="auto"/>
          </w:tcPr>
          <w:p w14:paraId="48CB2E77" w14:textId="77777777" w:rsidR="00A22E4D" w:rsidRPr="006D21CC" w:rsidRDefault="00A22E4D" w:rsidP="00DF29AB">
            <w:pPr>
              <w:tabs>
                <w:tab w:val="left" w:pos="7560"/>
              </w:tabs>
              <w:spacing w:after="0"/>
              <w:rPr>
                <w:sz w:val="16"/>
                <w:szCs w:val="16"/>
              </w:rPr>
            </w:pPr>
          </w:p>
        </w:tc>
        <w:tc>
          <w:tcPr>
            <w:tcW w:w="236" w:type="dxa"/>
            <w:shd w:val="clear" w:color="auto" w:fill="auto"/>
          </w:tcPr>
          <w:p w14:paraId="35C26898" w14:textId="77777777" w:rsidR="00A22E4D" w:rsidRPr="006D21CC" w:rsidRDefault="00A22E4D" w:rsidP="00DF29AB">
            <w:pPr>
              <w:tabs>
                <w:tab w:val="left" w:pos="7560"/>
              </w:tabs>
              <w:spacing w:after="0"/>
              <w:rPr>
                <w:sz w:val="16"/>
                <w:szCs w:val="16"/>
              </w:rPr>
            </w:pPr>
          </w:p>
        </w:tc>
        <w:tc>
          <w:tcPr>
            <w:tcW w:w="236" w:type="dxa"/>
            <w:shd w:val="clear" w:color="auto" w:fill="auto"/>
          </w:tcPr>
          <w:p w14:paraId="7E334F21" w14:textId="77777777" w:rsidR="00A22E4D" w:rsidRPr="006D21CC" w:rsidRDefault="00A22E4D" w:rsidP="00DF29AB">
            <w:pPr>
              <w:tabs>
                <w:tab w:val="left" w:pos="7560"/>
              </w:tabs>
              <w:spacing w:after="0"/>
              <w:rPr>
                <w:sz w:val="16"/>
                <w:szCs w:val="16"/>
              </w:rPr>
            </w:pPr>
          </w:p>
        </w:tc>
        <w:tc>
          <w:tcPr>
            <w:tcW w:w="236" w:type="dxa"/>
            <w:shd w:val="clear" w:color="auto" w:fill="auto"/>
          </w:tcPr>
          <w:p w14:paraId="116FA2DF" w14:textId="77777777" w:rsidR="00A22E4D" w:rsidRPr="006D21CC" w:rsidRDefault="00A22E4D" w:rsidP="00DF29AB">
            <w:pPr>
              <w:tabs>
                <w:tab w:val="left" w:pos="7560"/>
              </w:tabs>
              <w:spacing w:after="0"/>
              <w:rPr>
                <w:sz w:val="16"/>
                <w:szCs w:val="16"/>
              </w:rPr>
            </w:pPr>
          </w:p>
        </w:tc>
        <w:tc>
          <w:tcPr>
            <w:tcW w:w="236" w:type="dxa"/>
            <w:shd w:val="clear" w:color="auto" w:fill="auto"/>
          </w:tcPr>
          <w:p w14:paraId="02C7FE7C" w14:textId="77777777" w:rsidR="00A22E4D" w:rsidRPr="006D21CC" w:rsidRDefault="00A22E4D" w:rsidP="00DF29AB">
            <w:pPr>
              <w:tabs>
                <w:tab w:val="left" w:pos="7560"/>
              </w:tabs>
              <w:spacing w:after="0"/>
              <w:rPr>
                <w:sz w:val="16"/>
                <w:szCs w:val="16"/>
              </w:rPr>
            </w:pPr>
          </w:p>
        </w:tc>
        <w:tc>
          <w:tcPr>
            <w:tcW w:w="236" w:type="dxa"/>
            <w:shd w:val="clear" w:color="auto" w:fill="auto"/>
          </w:tcPr>
          <w:p w14:paraId="4D7A9ABC" w14:textId="77777777" w:rsidR="00A22E4D" w:rsidRPr="006D21CC" w:rsidRDefault="00A22E4D" w:rsidP="00DF29AB">
            <w:pPr>
              <w:tabs>
                <w:tab w:val="left" w:pos="7560"/>
              </w:tabs>
              <w:spacing w:after="0"/>
              <w:rPr>
                <w:sz w:val="16"/>
                <w:szCs w:val="16"/>
              </w:rPr>
            </w:pPr>
          </w:p>
        </w:tc>
        <w:tc>
          <w:tcPr>
            <w:tcW w:w="236" w:type="dxa"/>
            <w:shd w:val="clear" w:color="auto" w:fill="auto"/>
          </w:tcPr>
          <w:p w14:paraId="738F0745" w14:textId="77777777" w:rsidR="00A22E4D" w:rsidRPr="006D21CC" w:rsidRDefault="00A22E4D" w:rsidP="00DF29AB">
            <w:pPr>
              <w:tabs>
                <w:tab w:val="left" w:pos="7560"/>
              </w:tabs>
              <w:spacing w:after="0"/>
              <w:rPr>
                <w:sz w:val="16"/>
                <w:szCs w:val="16"/>
              </w:rPr>
            </w:pPr>
          </w:p>
        </w:tc>
        <w:tc>
          <w:tcPr>
            <w:tcW w:w="236" w:type="dxa"/>
            <w:shd w:val="clear" w:color="auto" w:fill="auto"/>
          </w:tcPr>
          <w:p w14:paraId="5116E544" w14:textId="77777777" w:rsidR="00A22E4D" w:rsidRPr="006D21CC" w:rsidRDefault="00A22E4D" w:rsidP="00DF29AB">
            <w:pPr>
              <w:tabs>
                <w:tab w:val="left" w:pos="7560"/>
              </w:tabs>
              <w:spacing w:after="0"/>
              <w:rPr>
                <w:sz w:val="16"/>
                <w:szCs w:val="16"/>
              </w:rPr>
            </w:pPr>
          </w:p>
        </w:tc>
        <w:tc>
          <w:tcPr>
            <w:tcW w:w="236" w:type="dxa"/>
            <w:shd w:val="clear" w:color="auto" w:fill="auto"/>
          </w:tcPr>
          <w:p w14:paraId="76663DA3"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4B57918C"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79778119"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78A082BB"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40C43A71"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4302DA4A"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5F7D2F88"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60956EC3"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5FC7206E" w14:textId="77777777" w:rsidR="00A22E4D" w:rsidRPr="006D21CC" w:rsidRDefault="00A22E4D" w:rsidP="00DF29AB">
            <w:pPr>
              <w:tabs>
                <w:tab w:val="left" w:pos="7560"/>
              </w:tabs>
              <w:spacing w:after="0"/>
              <w:rPr>
                <w:sz w:val="16"/>
                <w:szCs w:val="16"/>
              </w:rPr>
            </w:pPr>
          </w:p>
        </w:tc>
      </w:tr>
      <w:tr w:rsidR="00A22E4D" w:rsidRPr="006D21CC" w14:paraId="31104BD0" w14:textId="77777777" w:rsidTr="00DF29AB">
        <w:tc>
          <w:tcPr>
            <w:tcW w:w="2317" w:type="dxa"/>
            <w:shd w:val="clear" w:color="auto" w:fill="auto"/>
          </w:tcPr>
          <w:p w14:paraId="6785F2D4" w14:textId="77777777" w:rsidR="00A22E4D" w:rsidRPr="006D21CC" w:rsidRDefault="00A22E4D" w:rsidP="00DF29AB">
            <w:pPr>
              <w:tabs>
                <w:tab w:val="left" w:pos="7560"/>
              </w:tabs>
              <w:spacing w:after="0"/>
              <w:rPr>
                <w:sz w:val="16"/>
                <w:szCs w:val="16"/>
              </w:rPr>
            </w:pPr>
            <w:r>
              <w:rPr>
                <w:sz w:val="16"/>
                <w:szCs w:val="16"/>
              </w:rPr>
              <w:t>Write Cheat Sheets</w:t>
            </w:r>
          </w:p>
        </w:tc>
        <w:tc>
          <w:tcPr>
            <w:tcW w:w="1946" w:type="dxa"/>
          </w:tcPr>
          <w:p w14:paraId="18C1A76E" w14:textId="77777777" w:rsidR="00A22E4D" w:rsidRPr="006D21CC" w:rsidRDefault="00A22E4D" w:rsidP="00DF29AB">
            <w:pPr>
              <w:tabs>
                <w:tab w:val="left" w:pos="7560"/>
              </w:tabs>
              <w:spacing w:after="0"/>
              <w:rPr>
                <w:sz w:val="16"/>
                <w:szCs w:val="16"/>
              </w:rPr>
            </w:pPr>
            <w:r>
              <w:rPr>
                <w:sz w:val="16"/>
                <w:szCs w:val="16"/>
              </w:rPr>
              <w:t>Cheat Sheets ready to be used whenever needed</w:t>
            </w:r>
          </w:p>
        </w:tc>
        <w:tc>
          <w:tcPr>
            <w:tcW w:w="236" w:type="dxa"/>
            <w:shd w:val="clear" w:color="auto" w:fill="auto"/>
          </w:tcPr>
          <w:p w14:paraId="5840D677" w14:textId="77777777" w:rsidR="00A22E4D" w:rsidRPr="006D21CC" w:rsidRDefault="00A22E4D" w:rsidP="00DF29AB">
            <w:pPr>
              <w:tabs>
                <w:tab w:val="left" w:pos="7560"/>
              </w:tabs>
              <w:spacing w:after="0"/>
              <w:rPr>
                <w:sz w:val="16"/>
                <w:szCs w:val="16"/>
              </w:rPr>
            </w:pPr>
          </w:p>
        </w:tc>
        <w:tc>
          <w:tcPr>
            <w:tcW w:w="236" w:type="dxa"/>
            <w:shd w:val="clear" w:color="auto" w:fill="auto"/>
          </w:tcPr>
          <w:p w14:paraId="4A707337"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5700D29B"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559C650A"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6BDD1D94"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1CC494A7" w14:textId="77777777" w:rsidR="00A22E4D" w:rsidRPr="006D21CC" w:rsidRDefault="00A22E4D" w:rsidP="00DF29AB">
            <w:pPr>
              <w:tabs>
                <w:tab w:val="left" w:pos="7560"/>
              </w:tabs>
              <w:spacing w:after="0"/>
              <w:rPr>
                <w:sz w:val="16"/>
                <w:szCs w:val="16"/>
              </w:rPr>
            </w:pPr>
          </w:p>
        </w:tc>
        <w:tc>
          <w:tcPr>
            <w:tcW w:w="236" w:type="dxa"/>
            <w:shd w:val="clear" w:color="auto" w:fill="auto"/>
          </w:tcPr>
          <w:p w14:paraId="3C879513" w14:textId="77777777" w:rsidR="00A22E4D" w:rsidRPr="006D21CC" w:rsidRDefault="00A22E4D" w:rsidP="00DF29AB">
            <w:pPr>
              <w:tabs>
                <w:tab w:val="left" w:pos="7560"/>
              </w:tabs>
              <w:spacing w:after="0"/>
              <w:rPr>
                <w:sz w:val="16"/>
                <w:szCs w:val="16"/>
              </w:rPr>
            </w:pPr>
          </w:p>
        </w:tc>
        <w:tc>
          <w:tcPr>
            <w:tcW w:w="236" w:type="dxa"/>
            <w:shd w:val="clear" w:color="auto" w:fill="auto"/>
          </w:tcPr>
          <w:p w14:paraId="386EBB8A" w14:textId="77777777" w:rsidR="00A22E4D" w:rsidRPr="006D21CC" w:rsidRDefault="00A22E4D" w:rsidP="00DF29AB">
            <w:pPr>
              <w:tabs>
                <w:tab w:val="left" w:pos="7560"/>
              </w:tabs>
              <w:spacing w:after="0"/>
              <w:rPr>
                <w:sz w:val="16"/>
                <w:szCs w:val="16"/>
              </w:rPr>
            </w:pPr>
          </w:p>
        </w:tc>
        <w:tc>
          <w:tcPr>
            <w:tcW w:w="236" w:type="dxa"/>
            <w:shd w:val="clear" w:color="auto" w:fill="auto"/>
          </w:tcPr>
          <w:p w14:paraId="0B1D7B79" w14:textId="77777777" w:rsidR="00A22E4D" w:rsidRPr="006D21CC" w:rsidRDefault="00A22E4D" w:rsidP="00DF29AB">
            <w:pPr>
              <w:tabs>
                <w:tab w:val="left" w:pos="7560"/>
              </w:tabs>
              <w:spacing w:after="0"/>
              <w:rPr>
                <w:sz w:val="16"/>
                <w:szCs w:val="16"/>
              </w:rPr>
            </w:pPr>
          </w:p>
        </w:tc>
        <w:tc>
          <w:tcPr>
            <w:tcW w:w="236" w:type="dxa"/>
            <w:shd w:val="clear" w:color="auto" w:fill="auto"/>
          </w:tcPr>
          <w:p w14:paraId="05167860" w14:textId="77777777" w:rsidR="00A22E4D" w:rsidRPr="006D21CC" w:rsidRDefault="00A22E4D" w:rsidP="00DF29AB">
            <w:pPr>
              <w:tabs>
                <w:tab w:val="left" w:pos="7560"/>
              </w:tabs>
              <w:spacing w:after="0"/>
              <w:rPr>
                <w:sz w:val="16"/>
                <w:szCs w:val="16"/>
              </w:rPr>
            </w:pPr>
          </w:p>
        </w:tc>
        <w:tc>
          <w:tcPr>
            <w:tcW w:w="236" w:type="dxa"/>
            <w:shd w:val="clear" w:color="auto" w:fill="auto"/>
          </w:tcPr>
          <w:p w14:paraId="4A149CD1" w14:textId="77777777" w:rsidR="00A22E4D" w:rsidRPr="006D21CC" w:rsidRDefault="00A22E4D" w:rsidP="00DF29AB">
            <w:pPr>
              <w:tabs>
                <w:tab w:val="left" w:pos="7560"/>
              </w:tabs>
              <w:spacing w:after="0"/>
              <w:rPr>
                <w:sz w:val="16"/>
                <w:szCs w:val="16"/>
              </w:rPr>
            </w:pPr>
          </w:p>
        </w:tc>
        <w:tc>
          <w:tcPr>
            <w:tcW w:w="236" w:type="dxa"/>
            <w:shd w:val="clear" w:color="auto" w:fill="auto"/>
          </w:tcPr>
          <w:p w14:paraId="13D0E2A2"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4F93191F"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5937A3E9"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4697FFD4"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503E4E38"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014B8AE5" w14:textId="77777777" w:rsidR="00A22E4D" w:rsidRPr="006D21CC" w:rsidRDefault="00A22E4D" w:rsidP="00DF29AB">
            <w:pPr>
              <w:tabs>
                <w:tab w:val="left" w:pos="7560"/>
              </w:tabs>
              <w:spacing w:after="0"/>
              <w:rPr>
                <w:sz w:val="16"/>
                <w:szCs w:val="16"/>
              </w:rPr>
            </w:pPr>
          </w:p>
        </w:tc>
        <w:tc>
          <w:tcPr>
            <w:tcW w:w="236" w:type="dxa"/>
            <w:shd w:val="clear" w:color="auto" w:fill="auto"/>
          </w:tcPr>
          <w:p w14:paraId="4A1C30C8" w14:textId="77777777" w:rsidR="00A22E4D" w:rsidRPr="006D21CC" w:rsidRDefault="00A22E4D" w:rsidP="00DF29AB">
            <w:pPr>
              <w:tabs>
                <w:tab w:val="left" w:pos="7560"/>
              </w:tabs>
              <w:spacing w:after="0"/>
              <w:rPr>
                <w:sz w:val="16"/>
                <w:szCs w:val="16"/>
              </w:rPr>
            </w:pPr>
          </w:p>
        </w:tc>
        <w:tc>
          <w:tcPr>
            <w:tcW w:w="236" w:type="dxa"/>
            <w:shd w:val="clear" w:color="auto" w:fill="auto"/>
          </w:tcPr>
          <w:p w14:paraId="36884E56" w14:textId="77777777" w:rsidR="00A22E4D" w:rsidRPr="006D21CC" w:rsidRDefault="00A22E4D" w:rsidP="00DF29AB">
            <w:pPr>
              <w:tabs>
                <w:tab w:val="left" w:pos="7560"/>
              </w:tabs>
              <w:spacing w:after="0"/>
              <w:rPr>
                <w:sz w:val="16"/>
                <w:szCs w:val="16"/>
              </w:rPr>
            </w:pPr>
          </w:p>
        </w:tc>
        <w:tc>
          <w:tcPr>
            <w:tcW w:w="236" w:type="dxa"/>
            <w:shd w:val="clear" w:color="auto" w:fill="auto"/>
          </w:tcPr>
          <w:p w14:paraId="26320AD7" w14:textId="77777777" w:rsidR="00A22E4D" w:rsidRPr="006D21CC" w:rsidRDefault="00A22E4D" w:rsidP="00DF29AB">
            <w:pPr>
              <w:tabs>
                <w:tab w:val="left" w:pos="7560"/>
              </w:tabs>
              <w:spacing w:after="0"/>
              <w:rPr>
                <w:sz w:val="16"/>
                <w:szCs w:val="16"/>
              </w:rPr>
            </w:pPr>
          </w:p>
        </w:tc>
        <w:tc>
          <w:tcPr>
            <w:tcW w:w="236" w:type="dxa"/>
            <w:shd w:val="clear" w:color="auto" w:fill="auto"/>
          </w:tcPr>
          <w:p w14:paraId="68D6AC86" w14:textId="77777777" w:rsidR="00A22E4D" w:rsidRPr="006D21CC" w:rsidRDefault="00A22E4D" w:rsidP="00DF29AB">
            <w:pPr>
              <w:tabs>
                <w:tab w:val="left" w:pos="7560"/>
              </w:tabs>
              <w:spacing w:after="0"/>
              <w:rPr>
                <w:sz w:val="16"/>
                <w:szCs w:val="16"/>
              </w:rPr>
            </w:pPr>
          </w:p>
        </w:tc>
        <w:tc>
          <w:tcPr>
            <w:tcW w:w="236" w:type="dxa"/>
            <w:shd w:val="clear" w:color="auto" w:fill="auto"/>
          </w:tcPr>
          <w:p w14:paraId="0EA58964" w14:textId="77777777" w:rsidR="00A22E4D" w:rsidRPr="006D21CC" w:rsidRDefault="00A22E4D" w:rsidP="00DF29AB">
            <w:pPr>
              <w:tabs>
                <w:tab w:val="left" w:pos="7560"/>
              </w:tabs>
              <w:spacing w:after="0"/>
              <w:rPr>
                <w:sz w:val="16"/>
                <w:szCs w:val="16"/>
              </w:rPr>
            </w:pPr>
          </w:p>
        </w:tc>
        <w:tc>
          <w:tcPr>
            <w:tcW w:w="236" w:type="dxa"/>
            <w:shd w:val="clear" w:color="auto" w:fill="auto"/>
          </w:tcPr>
          <w:p w14:paraId="7F948CB4" w14:textId="77777777" w:rsidR="00A22E4D" w:rsidRPr="006D21CC" w:rsidRDefault="00A22E4D" w:rsidP="00DF29AB">
            <w:pPr>
              <w:tabs>
                <w:tab w:val="left" w:pos="7560"/>
              </w:tabs>
              <w:spacing w:after="0"/>
              <w:rPr>
                <w:sz w:val="16"/>
                <w:szCs w:val="16"/>
              </w:rPr>
            </w:pPr>
          </w:p>
        </w:tc>
        <w:tc>
          <w:tcPr>
            <w:tcW w:w="236" w:type="dxa"/>
            <w:shd w:val="clear" w:color="auto" w:fill="auto"/>
          </w:tcPr>
          <w:p w14:paraId="00E6CB42" w14:textId="77777777" w:rsidR="00A22E4D" w:rsidRPr="006D21CC" w:rsidRDefault="00A22E4D" w:rsidP="00DF29AB">
            <w:pPr>
              <w:tabs>
                <w:tab w:val="left" w:pos="7560"/>
              </w:tabs>
              <w:spacing w:after="0"/>
              <w:rPr>
                <w:sz w:val="16"/>
                <w:szCs w:val="16"/>
              </w:rPr>
            </w:pPr>
          </w:p>
        </w:tc>
      </w:tr>
      <w:tr w:rsidR="00A22E4D" w:rsidRPr="006D21CC" w14:paraId="2A799F00" w14:textId="77777777" w:rsidTr="00DF29AB">
        <w:tc>
          <w:tcPr>
            <w:tcW w:w="2317" w:type="dxa"/>
            <w:shd w:val="clear" w:color="auto" w:fill="auto"/>
          </w:tcPr>
          <w:p w14:paraId="5939442D" w14:textId="77777777" w:rsidR="00A22E4D" w:rsidRPr="006D21CC" w:rsidRDefault="00A22E4D" w:rsidP="00DF29AB">
            <w:pPr>
              <w:tabs>
                <w:tab w:val="left" w:pos="7560"/>
              </w:tabs>
              <w:spacing w:after="0"/>
              <w:rPr>
                <w:sz w:val="16"/>
                <w:szCs w:val="16"/>
              </w:rPr>
            </w:pPr>
            <w:r>
              <w:rPr>
                <w:sz w:val="16"/>
                <w:szCs w:val="16"/>
              </w:rPr>
              <w:t>Create Website.</w:t>
            </w:r>
          </w:p>
        </w:tc>
        <w:tc>
          <w:tcPr>
            <w:tcW w:w="1946" w:type="dxa"/>
          </w:tcPr>
          <w:p w14:paraId="04F960FC" w14:textId="77777777" w:rsidR="00A22E4D" w:rsidRPr="006D21CC" w:rsidRDefault="00A22E4D" w:rsidP="00DF29AB">
            <w:pPr>
              <w:tabs>
                <w:tab w:val="left" w:pos="7560"/>
              </w:tabs>
              <w:spacing w:after="0"/>
              <w:rPr>
                <w:sz w:val="16"/>
                <w:szCs w:val="16"/>
              </w:rPr>
            </w:pPr>
            <w:r>
              <w:rPr>
                <w:sz w:val="16"/>
                <w:szCs w:val="16"/>
              </w:rPr>
              <w:t>Website use tracked</w:t>
            </w:r>
          </w:p>
        </w:tc>
        <w:tc>
          <w:tcPr>
            <w:tcW w:w="236" w:type="dxa"/>
            <w:shd w:val="clear" w:color="auto" w:fill="D99594" w:themeFill="accent2" w:themeFillTint="99"/>
          </w:tcPr>
          <w:p w14:paraId="6E0A4B42"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1BF60729"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487D5DD3"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0C854EC2" w14:textId="77777777" w:rsidR="00A22E4D" w:rsidRPr="006D21CC" w:rsidRDefault="00A22E4D" w:rsidP="00DF29AB">
            <w:pPr>
              <w:tabs>
                <w:tab w:val="left" w:pos="7560"/>
              </w:tabs>
              <w:spacing w:after="0"/>
              <w:rPr>
                <w:sz w:val="16"/>
                <w:szCs w:val="16"/>
              </w:rPr>
            </w:pPr>
          </w:p>
        </w:tc>
        <w:tc>
          <w:tcPr>
            <w:tcW w:w="236" w:type="dxa"/>
            <w:shd w:val="clear" w:color="auto" w:fill="auto"/>
          </w:tcPr>
          <w:p w14:paraId="712B198D" w14:textId="77777777" w:rsidR="00A22E4D" w:rsidRPr="006D21CC" w:rsidRDefault="00A22E4D" w:rsidP="00DF29AB">
            <w:pPr>
              <w:tabs>
                <w:tab w:val="left" w:pos="7560"/>
              </w:tabs>
              <w:spacing w:after="0"/>
              <w:rPr>
                <w:sz w:val="16"/>
                <w:szCs w:val="16"/>
              </w:rPr>
            </w:pPr>
          </w:p>
        </w:tc>
        <w:tc>
          <w:tcPr>
            <w:tcW w:w="236" w:type="dxa"/>
            <w:shd w:val="clear" w:color="auto" w:fill="auto"/>
          </w:tcPr>
          <w:p w14:paraId="1D803574" w14:textId="77777777" w:rsidR="00A22E4D" w:rsidRPr="006D21CC" w:rsidRDefault="00A22E4D" w:rsidP="00DF29AB">
            <w:pPr>
              <w:tabs>
                <w:tab w:val="left" w:pos="7560"/>
              </w:tabs>
              <w:spacing w:after="0"/>
              <w:rPr>
                <w:sz w:val="16"/>
                <w:szCs w:val="16"/>
              </w:rPr>
            </w:pPr>
          </w:p>
        </w:tc>
        <w:tc>
          <w:tcPr>
            <w:tcW w:w="236" w:type="dxa"/>
            <w:shd w:val="clear" w:color="auto" w:fill="auto"/>
          </w:tcPr>
          <w:p w14:paraId="5A8F6719" w14:textId="77777777" w:rsidR="00A22E4D" w:rsidRPr="006D21CC" w:rsidRDefault="00A22E4D" w:rsidP="00DF29AB">
            <w:pPr>
              <w:tabs>
                <w:tab w:val="left" w:pos="7560"/>
              </w:tabs>
              <w:spacing w:after="0"/>
              <w:rPr>
                <w:sz w:val="16"/>
                <w:szCs w:val="16"/>
              </w:rPr>
            </w:pPr>
          </w:p>
        </w:tc>
        <w:tc>
          <w:tcPr>
            <w:tcW w:w="236" w:type="dxa"/>
            <w:shd w:val="clear" w:color="auto" w:fill="auto"/>
          </w:tcPr>
          <w:p w14:paraId="4A73209E" w14:textId="77777777" w:rsidR="00A22E4D" w:rsidRPr="006D21CC" w:rsidRDefault="00A22E4D" w:rsidP="00DF29AB">
            <w:pPr>
              <w:tabs>
                <w:tab w:val="left" w:pos="7560"/>
              </w:tabs>
              <w:spacing w:after="0"/>
              <w:rPr>
                <w:sz w:val="16"/>
                <w:szCs w:val="16"/>
              </w:rPr>
            </w:pPr>
          </w:p>
        </w:tc>
        <w:tc>
          <w:tcPr>
            <w:tcW w:w="236" w:type="dxa"/>
            <w:shd w:val="clear" w:color="auto" w:fill="auto"/>
          </w:tcPr>
          <w:p w14:paraId="3DB734E0" w14:textId="77777777" w:rsidR="00A22E4D" w:rsidRPr="006D21CC" w:rsidRDefault="00A22E4D" w:rsidP="00DF29AB">
            <w:pPr>
              <w:tabs>
                <w:tab w:val="left" w:pos="7560"/>
              </w:tabs>
              <w:spacing w:after="0"/>
              <w:rPr>
                <w:sz w:val="16"/>
                <w:szCs w:val="16"/>
              </w:rPr>
            </w:pPr>
          </w:p>
        </w:tc>
        <w:tc>
          <w:tcPr>
            <w:tcW w:w="236" w:type="dxa"/>
            <w:shd w:val="clear" w:color="auto" w:fill="auto"/>
          </w:tcPr>
          <w:p w14:paraId="3874494C" w14:textId="77777777" w:rsidR="00A22E4D" w:rsidRPr="006D21CC" w:rsidRDefault="00A22E4D" w:rsidP="00DF29AB">
            <w:pPr>
              <w:tabs>
                <w:tab w:val="left" w:pos="7560"/>
              </w:tabs>
              <w:spacing w:after="0"/>
              <w:rPr>
                <w:sz w:val="16"/>
                <w:szCs w:val="16"/>
              </w:rPr>
            </w:pPr>
          </w:p>
        </w:tc>
        <w:tc>
          <w:tcPr>
            <w:tcW w:w="236" w:type="dxa"/>
            <w:shd w:val="clear" w:color="auto" w:fill="auto"/>
          </w:tcPr>
          <w:p w14:paraId="602CACDE" w14:textId="77777777" w:rsidR="00A22E4D" w:rsidRPr="006D21CC" w:rsidRDefault="00A22E4D" w:rsidP="00DF29AB">
            <w:pPr>
              <w:tabs>
                <w:tab w:val="left" w:pos="7560"/>
              </w:tabs>
              <w:spacing w:after="0"/>
              <w:rPr>
                <w:sz w:val="16"/>
                <w:szCs w:val="16"/>
              </w:rPr>
            </w:pPr>
          </w:p>
        </w:tc>
        <w:tc>
          <w:tcPr>
            <w:tcW w:w="236" w:type="dxa"/>
            <w:shd w:val="clear" w:color="auto" w:fill="auto"/>
          </w:tcPr>
          <w:p w14:paraId="2CF0ACB2" w14:textId="77777777" w:rsidR="00A22E4D" w:rsidRPr="006D21CC" w:rsidRDefault="00A22E4D" w:rsidP="00DF29AB">
            <w:pPr>
              <w:tabs>
                <w:tab w:val="left" w:pos="7560"/>
              </w:tabs>
              <w:spacing w:after="0"/>
              <w:rPr>
                <w:sz w:val="16"/>
                <w:szCs w:val="16"/>
              </w:rPr>
            </w:pPr>
          </w:p>
        </w:tc>
        <w:tc>
          <w:tcPr>
            <w:tcW w:w="236" w:type="dxa"/>
            <w:shd w:val="clear" w:color="auto" w:fill="auto"/>
          </w:tcPr>
          <w:p w14:paraId="281DFFA8" w14:textId="77777777" w:rsidR="00A22E4D" w:rsidRPr="006D21CC" w:rsidRDefault="00A22E4D" w:rsidP="00DF29AB">
            <w:pPr>
              <w:tabs>
                <w:tab w:val="left" w:pos="7560"/>
              </w:tabs>
              <w:spacing w:after="0"/>
              <w:rPr>
                <w:sz w:val="16"/>
                <w:szCs w:val="16"/>
              </w:rPr>
            </w:pPr>
          </w:p>
        </w:tc>
        <w:tc>
          <w:tcPr>
            <w:tcW w:w="236" w:type="dxa"/>
            <w:shd w:val="clear" w:color="auto" w:fill="auto"/>
          </w:tcPr>
          <w:p w14:paraId="21E5A574" w14:textId="77777777" w:rsidR="00A22E4D" w:rsidRPr="006D21CC" w:rsidRDefault="00A22E4D" w:rsidP="00DF29AB">
            <w:pPr>
              <w:tabs>
                <w:tab w:val="left" w:pos="7560"/>
              </w:tabs>
              <w:spacing w:after="0"/>
              <w:rPr>
                <w:sz w:val="16"/>
                <w:szCs w:val="16"/>
              </w:rPr>
            </w:pPr>
          </w:p>
        </w:tc>
        <w:tc>
          <w:tcPr>
            <w:tcW w:w="236" w:type="dxa"/>
            <w:shd w:val="clear" w:color="auto" w:fill="auto"/>
          </w:tcPr>
          <w:p w14:paraId="02090951" w14:textId="77777777" w:rsidR="00A22E4D" w:rsidRPr="006D21CC" w:rsidRDefault="00A22E4D" w:rsidP="00DF29AB">
            <w:pPr>
              <w:tabs>
                <w:tab w:val="left" w:pos="7560"/>
              </w:tabs>
              <w:spacing w:after="0"/>
              <w:rPr>
                <w:sz w:val="16"/>
                <w:szCs w:val="16"/>
              </w:rPr>
            </w:pPr>
          </w:p>
        </w:tc>
        <w:tc>
          <w:tcPr>
            <w:tcW w:w="236" w:type="dxa"/>
            <w:shd w:val="clear" w:color="auto" w:fill="auto"/>
          </w:tcPr>
          <w:p w14:paraId="2FB7286A"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209648FF"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407B2AFD"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502D0945"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6AC98257"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4F9A417C"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6BCF11E1"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01EDCACB"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1A899083" w14:textId="77777777" w:rsidR="00A22E4D" w:rsidRPr="006D21CC" w:rsidRDefault="00A22E4D" w:rsidP="00DF29AB">
            <w:pPr>
              <w:tabs>
                <w:tab w:val="left" w:pos="7560"/>
              </w:tabs>
              <w:spacing w:after="0"/>
              <w:rPr>
                <w:sz w:val="16"/>
                <w:szCs w:val="16"/>
              </w:rPr>
            </w:pPr>
          </w:p>
        </w:tc>
      </w:tr>
      <w:tr w:rsidR="00A22E4D" w:rsidRPr="006D21CC" w14:paraId="416894CC" w14:textId="77777777" w:rsidTr="00DF29AB">
        <w:tc>
          <w:tcPr>
            <w:tcW w:w="2317" w:type="dxa"/>
            <w:shd w:val="clear" w:color="auto" w:fill="auto"/>
          </w:tcPr>
          <w:p w14:paraId="16D59054" w14:textId="77777777" w:rsidR="00A22E4D" w:rsidRPr="006D21CC" w:rsidRDefault="00A22E4D" w:rsidP="00DF29AB">
            <w:pPr>
              <w:tabs>
                <w:tab w:val="left" w:pos="7560"/>
              </w:tabs>
              <w:spacing w:after="0"/>
              <w:rPr>
                <w:sz w:val="16"/>
                <w:szCs w:val="16"/>
              </w:rPr>
            </w:pPr>
            <w:r>
              <w:rPr>
                <w:sz w:val="16"/>
                <w:szCs w:val="16"/>
              </w:rPr>
              <w:t>Create File sharing forum</w:t>
            </w:r>
          </w:p>
        </w:tc>
        <w:tc>
          <w:tcPr>
            <w:tcW w:w="1946" w:type="dxa"/>
          </w:tcPr>
          <w:p w14:paraId="1A0EAB61" w14:textId="77777777" w:rsidR="00A22E4D" w:rsidRPr="006D21CC" w:rsidRDefault="00A22E4D" w:rsidP="00DF29AB">
            <w:pPr>
              <w:tabs>
                <w:tab w:val="left" w:pos="7560"/>
              </w:tabs>
              <w:spacing w:after="0"/>
              <w:rPr>
                <w:sz w:val="16"/>
                <w:szCs w:val="16"/>
              </w:rPr>
            </w:pPr>
            <w:r>
              <w:rPr>
                <w:sz w:val="16"/>
                <w:szCs w:val="16"/>
              </w:rPr>
              <w:t>KM Products are uploaded onto internet</w:t>
            </w:r>
          </w:p>
        </w:tc>
        <w:tc>
          <w:tcPr>
            <w:tcW w:w="236" w:type="dxa"/>
            <w:shd w:val="clear" w:color="auto" w:fill="D99594" w:themeFill="accent2" w:themeFillTint="99"/>
          </w:tcPr>
          <w:p w14:paraId="3FD158F1"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5D4DF1F0"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12475C9B"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56B866AC" w14:textId="77777777" w:rsidR="00A22E4D" w:rsidRPr="006D21CC" w:rsidRDefault="00A22E4D" w:rsidP="00DF29AB">
            <w:pPr>
              <w:tabs>
                <w:tab w:val="left" w:pos="7560"/>
              </w:tabs>
              <w:spacing w:after="0"/>
              <w:rPr>
                <w:sz w:val="16"/>
                <w:szCs w:val="16"/>
              </w:rPr>
            </w:pPr>
          </w:p>
        </w:tc>
        <w:tc>
          <w:tcPr>
            <w:tcW w:w="236" w:type="dxa"/>
            <w:shd w:val="clear" w:color="auto" w:fill="auto"/>
          </w:tcPr>
          <w:p w14:paraId="7B47AF72" w14:textId="77777777" w:rsidR="00A22E4D" w:rsidRPr="006D21CC" w:rsidRDefault="00A22E4D" w:rsidP="00DF29AB">
            <w:pPr>
              <w:tabs>
                <w:tab w:val="left" w:pos="7560"/>
              </w:tabs>
              <w:spacing w:after="0"/>
              <w:rPr>
                <w:sz w:val="16"/>
                <w:szCs w:val="16"/>
              </w:rPr>
            </w:pPr>
          </w:p>
        </w:tc>
        <w:tc>
          <w:tcPr>
            <w:tcW w:w="236" w:type="dxa"/>
            <w:shd w:val="clear" w:color="auto" w:fill="auto"/>
          </w:tcPr>
          <w:p w14:paraId="082295E3" w14:textId="77777777" w:rsidR="00A22E4D" w:rsidRPr="006D21CC" w:rsidRDefault="00A22E4D" w:rsidP="00DF29AB">
            <w:pPr>
              <w:tabs>
                <w:tab w:val="left" w:pos="7560"/>
              </w:tabs>
              <w:spacing w:after="0"/>
              <w:rPr>
                <w:sz w:val="16"/>
                <w:szCs w:val="16"/>
              </w:rPr>
            </w:pPr>
          </w:p>
        </w:tc>
        <w:tc>
          <w:tcPr>
            <w:tcW w:w="236" w:type="dxa"/>
            <w:shd w:val="clear" w:color="auto" w:fill="auto"/>
          </w:tcPr>
          <w:p w14:paraId="31DCE77A" w14:textId="77777777" w:rsidR="00A22E4D" w:rsidRPr="006D21CC" w:rsidRDefault="00A22E4D" w:rsidP="00DF29AB">
            <w:pPr>
              <w:tabs>
                <w:tab w:val="left" w:pos="7560"/>
              </w:tabs>
              <w:spacing w:after="0"/>
              <w:rPr>
                <w:sz w:val="16"/>
                <w:szCs w:val="16"/>
              </w:rPr>
            </w:pPr>
          </w:p>
        </w:tc>
        <w:tc>
          <w:tcPr>
            <w:tcW w:w="236" w:type="dxa"/>
            <w:shd w:val="clear" w:color="auto" w:fill="auto"/>
          </w:tcPr>
          <w:p w14:paraId="02A90E23" w14:textId="77777777" w:rsidR="00A22E4D" w:rsidRPr="006D21CC" w:rsidRDefault="00A22E4D" w:rsidP="00DF29AB">
            <w:pPr>
              <w:tabs>
                <w:tab w:val="left" w:pos="7560"/>
              </w:tabs>
              <w:spacing w:after="0"/>
              <w:rPr>
                <w:sz w:val="16"/>
                <w:szCs w:val="16"/>
              </w:rPr>
            </w:pPr>
          </w:p>
        </w:tc>
        <w:tc>
          <w:tcPr>
            <w:tcW w:w="236" w:type="dxa"/>
            <w:shd w:val="clear" w:color="auto" w:fill="auto"/>
          </w:tcPr>
          <w:p w14:paraId="2A900DE3" w14:textId="77777777" w:rsidR="00A22E4D" w:rsidRPr="006D21CC" w:rsidRDefault="00A22E4D" w:rsidP="00DF29AB">
            <w:pPr>
              <w:tabs>
                <w:tab w:val="left" w:pos="7560"/>
              </w:tabs>
              <w:spacing w:after="0"/>
              <w:rPr>
                <w:sz w:val="16"/>
                <w:szCs w:val="16"/>
              </w:rPr>
            </w:pPr>
          </w:p>
        </w:tc>
        <w:tc>
          <w:tcPr>
            <w:tcW w:w="236" w:type="dxa"/>
            <w:shd w:val="clear" w:color="auto" w:fill="auto"/>
          </w:tcPr>
          <w:p w14:paraId="737187A5" w14:textId="77777777" w:rsidR="00A22E4D" w:rsidRPr="006D21CC" w:rsidRDefault="00A22E4D" w:rsidP="00DF29AB">
            <w:pPr>
              <w:tabs>
                <w:tab w:val="left" w:pos="7560"/>
              </w:tabs>
              <w:spacing w:after="0"/>
              <w:rPr>
                <w:sz w:val="16"/>
                <w:szCs w:val="16"/>
              </w:rPr>
            </w:pPr>
          </w:p>
        </w:tc>
        <w:tc>
          <w:tcPr>
            <w:tcW w:w="236" w:type="dxa"/>
            <w:shd w:val="clear" w:color="auto" w:fill="auto"/>
          </w:tcPr>
          <w:p w14:paraId="656DAF0A" w14:textId="77777777" w:rsidR="00A22E4D" w:rsidRPr="006D21CC" w:rsidRDefault="00A22E4D" w:rsidP="00DF29AB">
            <w:pPr>
              <w:tabs>
                <w:tab w:val="left" w:pos="7560"/>
              </w:tabs>
              <w:spacing w:after="0"/>
              <w:rPr>
                <w:sz w:val="16"/>
                <w:szCs w:val="16"/>
              </w:rPr>
            </w:pPr>
          </w:p>
        </w:tc>
        <w:tc>
          <w:tcPr>
            <w:tcW w:w="236" w:type="dxa"/>
            <w:shd w:val="clear" w:color="auto" w:fill="auto"/>
          </w:tcPr>
          <w:p w14:paraId="3BE0F444" w14:textId="77777777" w:rsidR="00A22E4D" w:rsidRPr="006D21CC" w:rsidRDefault="00A22E4D" w:rsidP="00DF29AB">
            <w:pPr>
              <w:tabs>
                <w:tab w:val="left" w:pos="7560"/>
              </w:tabs>
              <w:spacing w:after="0"/>
              <w:rPr>
                <w:sz w:val="16"/>
                <w:szCs w:val="16"/>
              </w:rPr>
            </w:pPr>
          </w:p>
        </w:tc>
        <w:tc>
          <w:tcPr>
            <w:tcW w:w="236" w:type="dxa"/>
            <w:shd w:val="clear" w:color="auto" w:fill="auto"/>
          </w:tcPr>
          <w:p w14:paraId="4007A22E" w14:textId="77777777" w:rsidR="00A22E4D" w:rsidRPr="006D21CC" w:rsidRDefault="00A22E4D" w:rsidP="00DF29AB">
            <w:pPr>
              <w:tabs>
                <w:tab w:val="left" w:pos="7560"/>
              </w:tabs>
              <w:spacing w:after="0"/>
              <w:rPr>
                <w:sz w:val="16"/>
                <w:szCs w:val="16"/>
              </w:rPr>
            </w:pPr>
          </w:p>
        </w:tc>
        <w:tc>
          <w:tcPr>
            <w:tcW w:w="236" w:type="dxa"/>
            <w:shd w:val="clear" w:color="auto" w:fill="auto"/>
          </w:tcPr>
          <w:p w14:paraId="7FE59181" w14:textId="77777777" w:rsidR="00A22E4D" w:rsidRPr="006D21CC" w:rsidRDefault="00A22E4D" w:rsidP="00DF29AB">
            <w:pPr>
              <w:tabs>
                <w:tab w:val="left" w:pos="7560"/>
              </w:tabs>
              <w:spacing w:after="0"/>
              <w:rPr>
                <w:sz w:val="16"/>
                <w:szCs w:val="16"/>
              </w:rPr>
            </w:pPr>
          </w:p>
        </w:tc>
        <w:tc>
          <w:tcPr>
            <w:tcW w:w="236" w:type="dxa"/>
            <w:shd w:val="clear" w:color="auto" w:fill="auto"/>
          </w:tcPr>
          <w:p w14:paraId="250BF70E" w14:textId="77777777" w:rsidR="00A22E4D" w:rsidRPr="006D21CC" w:rsidRDefault="00A22E4D" w:rsidP="00DF29AB">
            <w:pPr>
              <w:tabs>
                <w:tab w:val="left" w:pos="7560"/>
              </w:tabs>
              <w:spacing w:after="0"/>
              <w:rPr>
                <w:sz w:val="16"/>
                <w:szCs w:val="16"/>
              </w:rPr>
            </w:pPr>
          </w:p>
        </w:tc>
        <w:tc>
          <w:tcPr>
            <w:tcW w:w="236" w:type="dxa"/>
            <w:shd w:val="clear" w:color="auto" w:fill="auto"/>
          </w:tcPr>
          <w:p w14:paraId="57118ADC" w14:textId="77777777" w:rsidR="00A22E4D" w:rsidRPr="006D21CC" w:rsidRDefault="00A22E4D" w:rsidP="00DF29AB">
            <w:pPr>
              <w:tabs>
                <w:tab w:val="left" w:pos="7560"/>
              </w:tabs>
              <w:spacing w:after="0"/>
              <w:rPr>
                <w:sz w:val="16"/>
                <w:szCs w:val="16"/>
              </w:rPr>
            </w:pPr>
          </w:p>
        </w:tc>
        <w:tc>
          <w:tcPr>
            <w:tcW w:w="236" w:type="dxa"/>
            <w:shd w:val="clear" w:color="auto" w:fill="auto"/>
          </w:tcPr>
          <w:p w14:paraId="5708EB4B" w14:textId="77777777" w:rsidR="00A22E4D" w:rsidRPr="006D21CC" w:rsidRDefault="00A22E4D" w:rsidP="00DF29AB">
            <w:pPr>
              <w:tabs>
                <w:tab w:val="left" w:pos="7560"/>
              </w:tabs>
              <w:spacing w:after="0"/>
              <w:rPr>
                <w:sz w:val="16"/>
                <w:szCs w:val="16"/>
              </w:rPr>
            </w:pPr>
          </w:p>
        </w:tc>
        <w:tc>
          <w:tcPr>
            <w:tcW w:w="236" w:type="dxa"/>
            <w:shd w:val="clear" w:color="auto" w:fill="auto"/>
          </w:tcPr>
          <w:p w14:paraId="0C378021" w14:textId="77777777" w:rsidR="00A22E4D" w:rsidRPr="006D21CC" w:rsidRDefault="00A22E4D" w:rsidP="00DF29AB">
            <w:pPr>
              <w:tabs>
                <w:tab w:val="left" w:pos="7560"/>
              </w:tabs>
              <w:spacing w:after="0"/>
              <w:rPr>
                <w:sz w:val="16"/>
                <w:szCs w:val="16"/>
              </w:rPr>
            </w:pPr>
          </w:p>
        </w:tc>
        <w:tc>
          <w:tcPr>
            <w:tcW w:w="236" w:type="dxa"/>
            <w:shd w:val="clear" w:color="auto" w:fill="auto"/>
          </w:tcPr>
          <w:p w14:paraId="483B2A56" w14:textId="77777777" w:rsidR="00A22E4D" w:rsidRPr="006D21CC" w:rsidRDefault="00A22E4D" w:rsidP="00DF29AB">
            <w:pPr>
              <w:tabs>
                <w:tab w:val="left" w:pos="7560"/>
              </w:tabs>
              <w:spacing w:after="0"/>
              <w:rPr>
                <w:sz w:val="16"/>
                <w:szCs w:val="16"/>
              </w:rPr>
            </w:pPr>
          </w:p>
        </w:tc>
        <w:tc>
          <w:tcPr>
            <w:tcW w:w="236" w:type="dxa"/>
            <w:shd w:val="clear" w:color="auto" w:fill="auto"/>
          </w:tcPr>
          <w:p w14:paraId="20D3EF80" w14:textId="77777777" w:rsidR="00A22E4D" w:rsidRPr="006D21CC" w:rsidRDefault="00A22E4D" w:rsidP="00DF29AB">
            <w:pPr>
              <w:tabs>
                <w:tab w:val="left" w:pos="7560"/>
              </w:tabs>
              <w:spacing w:after="0"/>
              <w:rPr>
                <w:sz w:val="16"/>
                <w:szCs w:val="16"/>
              </w:rPr>
            </w:pPr>
          </w:p>
        </w:tc>
        <w:tc>
          <w:tcPr>
            <w:tcW w:w="236" w:type="dxa"/>
            <w:shd w:val="clear" w:color="auto" w:fill="auto"/>
          </w:tcPr>
          <w:p w14:paraId="7D97B532" w14:textId="77777777" w:rsidR="00A22E4D" w:rsidRPr="006D21CC" w:rsidRDefault="00A22E4D" w:rsidP="00DF29AB">
            <w:pPr>
              <w:tabs>
                <w:tab w:val="left" w:pos="7560"/>
              </w:tabs>
              <w:spacing w:after="0"/>
              <w:rPr>
                <w:sz w:val="16"/>
                <w:szCs w:val="16"/>
              </w:rPr>
            </w:pPr>
          </w:p>
        </w:tc>
        <w:tc>
          <w:tcPr>
            <w:tcW w:w="236" w:type="dxa"/>
            <w:shd w:val="clear" w:color="auto" w:fill="auto"/>
          </w:tcPr>
          <w:p w14:paraId="400F4C1B" w14:textId="77777777" w:rsidR="00A22E4D" w:rsidRPr="006D21CC" w:rsidRDefault="00A22E4D" w:rsidP="00DF29AB">
            <w:pPr>
              <w:tabs>
                <w:tab w:val="left" w:pos="7560"/>
              </w:tabs>
              <w:spacing w:after="0"/>
              <w:rPr>
                <w:sz w:val="16"/>
                <w:szCs w:val="16"/>
              </w:rPr>
            </w:pPr>
          </w:p>
        </w:tc>
        <w:tc>
          <w:tcPr>
            <w:tcW w:w="236" w:type="dxa"/>
            <w:shd w:val="clear" w:color="auto" w:fill="auto"/>
          </w:tcPr>
          <w:p w14:paraId="25E774E9" w14:textId="77777777" w:rsidR="00A22E4D" w:rsidRPr="006D21CC" w:rsidRDefault="00A22E4D" w:rsidP="00DF29AB">
            <w:pPr>
              <w:tabs>
                <w:tab w:val="left" w:pos="7560"/>
              </w:tabs>
              <w:spacing w:after="0"/>
              <w:rPr>
                <w:sz w:val="16"/>
                <w:szCs w:val="16"/>
              </w:rPr>
            </w:pPr>
          </w:p>
        </w:tc>
        <w:tc>
          <w:tcPr>
            <w:tcW w:w="236" w:type="dxa"/>
            <w:shd w:val="clear" w:color="auto" w:fill="auto"/>
          </w:tcPr>
          <w:p w14:paraId="3B7CE4F6" w14:textId="77777777" w:rsidR="00A22E4D" w:rsidRPr="006D21CC" w:rsidRDefault="00A22E4D" w:rsidP="00DF29AB">
            <w:pPr>
              <w:tabs>
                <w:tab w:val="left" w:pos="7560"/>
              </w:tabs>
              <w:spacing w:after="0"/>
              <w:rPr>
                <w:sz w:val="16"/>
                <w:szCs w:val="16"/>
              </w:rPr>
            </w:pPr>
          </w:p>
        </w:tc>
      </w:tr>
      <w:tr w:rsidR="00A22E4D" w:rsidRPr="006D21CC" w14:paraId="3C0BC895" w14:textId="77777777" w:rsidTr="00DF29AB">
        <w:tc>
          <w:tcPr>
            <w:tcW w:w="2317" w:type="dxa"/>
            <w:shd w:val="clear" w:color="auto" w:fill="auto"/>
          </w:tcPr>
          <w:p w14:paraId="6421315F" w14:textId="77777777" w:rsidR="00A22E4D" w:rsidRPr="006D21CC" w:rsidRDefault="00A22E4D" w:rsidP="00DF29AB">
            <w:pPr>
              <w:tabs>
                <w:tab w:val="left" w:pos="7560"/>
              </w:tabs>
              <w:spacing w:after="0"/>
              <w:rPr>
                <w:sz w:val="16"/>
                <w:szCs w:val="16"/>
              </w:rPr>
            </w:pPr>
            <w:r>
              <w:rPr>
                <w:sz w:val="16"/>
                <w:szCs w:val="16"/>
              </w:rPr>
              <w:t>Pop-up Awareness activities</w:t>
            </w:r>
          </w:p>
        </w:tc>
        <w:tc>
          <w:tcPr>
            <w:tcW w:w="1946" w:type="dxa"/>
          </w:tcPr>
          <w:p w14:paraId="686FEC7D" w14:textId="77777777" w:rsidR="00A22E4D" w:rsidRPr="006D21CC" w:rsidRDefault="00A22E4D" w:rsidP="00DF29AB">
            <w:pPr>
              <w:tabs>
                <w:tab w:val="left" w:pos="7560"/>
              </w:tabs>
              <w:spacing w:after="0"/>
              <w:rPr>
                <w:sz w:val="16"/>
                <w:szCs w:val="16"/>
              </w:rPr>
            </w:pPr>
            <w:r>
              <w:rPr>
                <w:sz w:val="16"/>
                <w:szCs w:val="16"/>
              </w:rPr>
              <w:t>Materials, schedule, and partnerships for Pop-ups ready to go, and # people reached tracked.</w:t>
            </w:r>
          </w:p>
        </w:tc>
        <w:tc>
          <w:tcPr>
            <w:tcW w:w="236" w:type="dxa"/>
            <w:shd w:val="clear" w:color="auto" w:fill="D99594" w:themeFill="accent2" w:themeFillTint="99"/>
          </w:tcPr>
          <w:p w14:paraId="28D07597"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603BF732"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77873518"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190CC432"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19CF69FD"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4521CEC0"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3D056C4C"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14188391"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0B7C10FE"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31A4A668"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1490BE39"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0FDE4D67"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5E4C20D6"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2994A954"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4730D175"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36E05C75" w14:textId="77777777" w:rsidR="00A22E4D" w:rsidRPr="006D21CC" w:rsidRDefault="00A22E4D" w:rsidP="00DF29AB">
            <w:pPr>
              <w:tabs>
                <w:tab w:val="left" w:pos="7560"/>
              </w:tabs>
              <w:spacing w:after="0"/>
              <w:rPr>
                <w:sz w:val="16"/>
                <w:szCs w:val="16"/>
                <w:highlight w:val="yellow"/>
              </w:rPr>
            </w:pPr>
          </w:p>
        </w:tc>
        <w:tc>
          <w:tcPr>
            <w:tcW w:w="236" w:type="dxa"/>
            <w:shd w:val="clear" w:color="auto" w:fill="D99594" w:themeFill="accent2" w:themeFillTint="99"/>
          </w:tcPr>
          <w:p w14:paraId="5847BE02" w14:textId="77777777" w:rsidR="00A22E4D" w:rsidRPr="006D21CC" w:rsidRDefault="00A22E4D" w:rsidP="00DF29AB">
            <w:pPr>
              <w:tabs>
                <w:tab w:val="left" w:pos="7560"/>
              </w:tabs>
              <w:spacing w:after="0"/>
              <w:rPr>
                <w:sz w:val="16"/>
                <w:szCs w:val="16"/>
                <w:highlight w:val="yellow"/>
              </w:rPr>
            </w:pPr>
          </w:p>
        </w:tc>
        <w:tc>
          <w:tcPr>
            <w:tcW w:w="236" w:type="dxa"/>
            <w:shd w:val="clear" w:color="auto" w:fill="D99594" w:themeFill="accent2" w:themeFillTint="99"/>
          </w:tcPr>
          <w:p w14:paraId="535133D5" w14:textId="77777777" w:rsidR="00A22E4D" w:rsidRPr="006D21CC" w:rsidRDefault="00A22E4D" w:rsidP="00DF29AB">
            <w:pPr>
              <w:tabs>
                <w:tab w:val="left" w:pos="7560"/>
              </w:tabs>
              <w:spacing w:after="0"/>
              <w:rPr>
                <w:sz w:val="16"/>
                <w:szCs w:val="16"/>
                <w:highlight w:val="yellow"/>
              </w:rPr>
            </w:pPr>
          </w:p>
        </w:tc>
        <w:tc>
          <w:tcPr>
            <w:tcW w:w="236" w:type="dxa"/>
            <w:shd w:val="clear" w:color="auto" w:fill="D99594" w:themeFill="accent2" w:themeFillTint="99"/>
          </w:tcPr>
          <w:p w14:paraId="6D3E5BCD" w14:textId="77777777" w:rsidR="00A22E4D" w:rsidRPr="006D21CC" w:rsidRDefault="00A22E4D" w:rsidP="00DF29AB">
            <w:pPr>
              <w:tabs>
                <w:tab w:val="left" w:pos="7560"/>
              </w:tabs>
              <w:spacing w:after="0"/>
              <w:rPr>
                <w:sz w:val="16"/>
                <w:szCs w:val="16"/>
                <w:highlight w:val="yellow"/>
              </w:rPr>
            </w:pPr>
          </w:p>
        </w:tc>
        <w:tc>
          <w:tcPr>
            <w:tcW w:w="236" w:type="dxa"/>
            <w:shd w:val="clear" w:color="auto" w:fill="D99594" w:themeFill="accent2" w:themeFillTint="99"/>
          </w:tcPr>
          <w:p w14:paraId="0C54B71F" w14:textId="77777777" w:rsidR="00A22E4D" w:rsidRPr="006D21CC" w:rsidRDefault="00A22E4D" w:rsidP="00DF29AB">
            <w:pPr>
              <w:tabs>
                <w:tab w:val="left" w:pos="7560"/>
              </w:tabs>
              <w:spacing w:after="0"/>
              <w:rPr>
                <w:sz w:val="16"/>
                <w:szCs w:val="16"/>
                <w:highlight w:val="yellow"/>
              </w:rPr>
            </w:pPr>
          </w:p>
        </w:tc>
        <w:tc>
          <w:tcPr>
            <w:tcW w:w="236" w:type="dxa"/>
            <w:shd w:val="clear" w:color="auto" w:fill="D99594" w:themeFill="accent2" w:themeFillTint="99"/>
          </w:tcPr>
          <w:p w14:paraId="2901C641" w14:textId="77777777" w:rsidR="00A22E4D" w:rsidRPr="006D21CC" w:rsidRDefault="00A22E4D" w:rsidP="00DF29AB">
            <w:pPr>
              <w:tabs>
                <w:tab w:val="left" w:pos="7560"/>
              </w:tabs>
              <w:spacing w:after="0"/>
              <w:rPr>
                <w:sz w:val="16"/>
                <w:szCs w:val="16"/>
                <w:highlight w:val="yellow"/>
              </w:rPr>
            </w:pPr>
          </w:p>
        </w:tc>
        <w:tc>
          <w:tcPr>
            <w:tcW w:w="236" w:type="dxa"/>
            <w:shd w:val="clear" w:color="auto" w:fill="D99594" w:themeFill="accent2" w:themeFillTint="99"/>
          </w:tcPr>
          <w:p w14:paraId="441F629C" w14:textId="77777777" w:rsidR="00A22E4D" w:rsidRPr="006D21CC" w:rsidRDefault="00A22E4D" w:rsidP="00DF29AB">
            <w:pPr>
              <w:tabs>
                <w:tab w:val="left" w:pos="7560"/>
              </w:tabs>
              <w:spacing w:after="0"/>
              <w:rPr>
                <w:sz w:val="16"/>
                <w:szCs w:val="16"/>
                <w:highlight w:val="yellow"/>
              </w:rPr>
            </w:pPr>
          </w:p>
        </w:tc>
        <w:tc>
          <w:tcPr>
            <w:tcW w:w="236" w:type="dxa"/>
            <w:shd w:val="clear" w:color="auto" w:fill="D99594" w:themeFill="accent2" w:themeFillTint="99"/>
          </w:tcPr>
          <w:p w14:paraId="0316E0F4" w14:textId="77777777" w:rsidR="00A22E4D" w:rsidRPr="006D21CC" w:rsidRDefault="00A22E4D" w:rsidP="00DF29AB">
            <w:pPr>
              <w:tabs>
                <w:tab w:val="left" w:pos="7560"/>
              </w:tabs>
              <w:spacing w:after="0"/>
              <w:rPr>
                <w:sz w:val="16"/>
                <w:szCs w:val="16"/>
                <w:highlight w:val="yellow"/>
              </w:rPr>
            </w:pPr>
          </w:p>
        </w:tc>
        <w:tc>
          <w:tcPr>
            <w:tcW w:w="236" w:type="dxa"/>
            <w:shd w:val="clear" w:color="auto" w:fill="D99594" w:themeFill="accent2" w:themeFillTint="99"/>
          </w:tcPr>
          <w:p w14:paraId="1FC0A1CC" w14:textId="77777777" w:rsidR="00A22E4D" w:rsidRPr="006D21CC" w:rsidRDefault="00A22E4D" w:rsidP="00DF29AB">
            <w:pPr>
              <w:tabs>
                <w:tab w:val="left" w:pos="7560"/>
              </w:tabs>
              <w:spacing w:after="0"/>
              <w:rPr>
                <w:sz w:val="16"/>
                <w:szCs w:val="16"/>
              </w:rPr>
            </w:pPr>
          </w:p>
        </w:tc>
      </w:tr>
      <w:tr w:rsidR="00A22E4D" w:rsidRPr="006D21CC" w14:paraId="7E7288B6" w14:textId="77777777" w:rsidTr="00DF29AB">
        <w:tc>
          <w:tcPr>
            <w:tcW w:w="2317" w:type="dxa"/>
            <w:shd w:val="clear" w:color="auto" w:fill="auto"/>
          </w:tcPr>
          <w:p w14:paraId="2B1AD2D3" w14:textId="77777777" w:rsidR="00A22E4D" w:rsidRPr="006D21CC" w:rsidRDefault="00A22E4D" w:rsidP="00DF29AB">
            <w:pPr>
              <w:tabs>
                <w:tab w:val="left" w:pos="7560"/>
              </w:tabs>
              <w:spacing w:after="0"/>
              <w:rPr>
                <w:sz w:val="16"/>
                <w:szCs w:val="16"/>
              </w:rPr>
            </w:pPr>
            <w:r>
              <w:rPr>
                <w:sz w:val="16"/>
                <w:szCs w:val="16"/>
              </w:rPr>
              <w:t>Participate in fairs</w:t>
            </w:r>
          </w:p>
        </w:tc>
        <w:tc>
          <w:tcPr>
            <w:tcW w:w="1946" w:type="dxa"/>
          </w:tcPr>
          <w:p w14:paraId="3F16A233" w14:textId="77777777" w:rsidR="00A22E4D" w:rsidRPr="006D21CC" w:rsidRDefault="00A22E4D" w:rsidP="00DF29AB">
            <w:pPr>
              <w:tabs>
                <w:tab w:val="left" w:pos="7560"/>
              </w:tabs>
              <w:spacing w:after="0"/>
              <w:rPr>
                <w:sz w:val="16"/>
                <w:szCs w:val="16"/>
              </w:rPr>
            </w:pPr>
            <w:r>
              <w:rPr>
                <w:sz w:val="16"/>
                <w:szCs w:val="16"/>
              </w:rPr>
              <w:t>Materials, schedule, and partnerships for fairs ready to go.</w:t>
            </w:r>
          </w:p>
        </w:tc>
        <w:tc>
          <w:tcPr>
            <w:tcW w:w="236" w:type="dxa"/>
            <w:shd w:val="clear" w:color="auto" w:fill="FFFFFF" w:themeFill="background1"/>
          </w:tcPr>
          <w:p w14:paraId="6259452F" w14:textId="77777777" w:rsidR="00A22E4D" w:rsidRPr="006D21CC" w:rsidRDefault="00A22E4D" w:rsidP="00DF29AB">
            <w:pPr>
              <w:tabs>
                <w:tab w:val="left" w:pos="7560"/>
              </w:tabs>
              <w:spacing w:after="0"/>
              <w:rPr>
                <w:sz w:val="16"/>
                <w:szCs w:val="16"/>
              </w:rPr>
            </w:pPr>
          </w:p>
        </w:tc>
        <w:tc>
          <w:tcPr>
            <w:tcW w:w="236" w:type="dxa"/>
            <w:shd w:val="clear" w:color="auto" w:fill="FFFFFF" w:themeFill="background1"/>
          </w:tcPr>
          <w:p w14:paraId="15C000EE" w14:textId="77777777" w:rsidR="00A22E4D" w:rsidRPr="006D21CC" w:rsidRDefault="00A22E4D" w:rsidP="00DF29AB">
            <w:pPr>
              <w:tabs>
                <w:tab w:val="left" w:pos="7560"/>
              </w:tabs>
              <w:spacing w:after="0"/>
              <w:rPr>
                <w:sz w:val="16"/>
                <w:szCs w:val="16"/>
              </w:rPr>
            </w:pPr>
          </w:p>
        </w:tc>
        <w:tc>
          <w:tcPr>
            <w:tcW w:w="236" w:type="dxa"/>
            <w:shd w:val="clear" w:color="auto" w:fill="FFFFFF" w:themeFill="background1"/>
          </w:tcPr>
          <w:p w14:paraId="01F070AC"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001F3188" w14:textId="77777777" w:rsidR="00A22E4D" w:rsidRPr="006D21CC" w:rsidRDefault="00A22E4D" w:rsidP="00DF29AB">
            <w:pPr>
              <w:tabs>
                <w:tab w:val="left" w:pos="7560"/>
              </w:tabs>
              <w:spacing w:after="0"/>
              <w:rPr>
                <w:sz w:val="16"/>
                <w:szCs w:val="16"/>
              </w:rPr>
            </w:pPr>
          </w:p>
        </w:tc>
        <w:tc>
          <w:tcPr>
            <w:tcW w:w="236" w:type="dxa"/>
            <w:shd w:val="clear" w:color="auto" w:fill="auto"/>
          </w:tcPr>
          <w:p w14:paraId="47BBE6FB" w14:textId="77777777" w:rsidR="00A22E4D" w:rsidRPr="006D21CC" w:rsidRDefault="00A22E4D" w:rsidP="00DF29AB">
            <w:pPr>
              <w:tabs>
                <w:tab w:val="left" w:pos="7560"/>
              </w:tabs>
              <w:spacing w:after="0"/>
              <w:rPr>
                <w:sz w:val="16"/>
                <w:szCs w:val="16"/>
              </w:rPr>
            </w:pPr>
          </w:p>
        </w:tc>
        <w:tc>
          <w:tcPr>
            <w:tcW w:w="236" w:type="dxa"/>
            <w:shd w:val="clear" w:color="auto" w:fill="auto"/>
          </w:tcPr>
          <w:p w14:paraId="0E98FAFB" w14:textId="77777777" w:rsidR="00A22E4D" w:rsidRPr="006D21CC" w:rsidRDefault="00A22E4D" w:rsidP="00DF29AB">
            <w:pPr>
              <w:tabs>
                <w:tab w:val="left" w:pos="7560"/>
              </w:tabs>
              <w:spacing w:after="0"/>
              <w:rPr>
                <w:sz w:val="16"/>
                <w:szCs w:val="16"/>
              </w:rPr>
            </w:pPr>
          </w:p>
        </w:tc>
        <w:tc>
          <w:tcPr>
            <w:tcW w:w="236" w:type="dxa"/>
            <w:shd w:val="clear" w:color="auto" w:fill="auto"/>
          </w:tcPr>
          <w:p w14:paraId="1DE12390" w14:textId="77777777" w:rsidR="00A22E4D" w:rsidRPr="006D21CC" w:rsidRDefault="00A22E4D" w:rsidP="00DF29AB">
            <w:pPr>
              <w:tabs>
                <w:tab w:val="left" w:pos="7560"/>
              </w:tabs>
              <w:spacing w:after="0"/>
              <w:rPr>
                <w:sz w:val="16"/>
                <w:szCs w:val="16"/>
              </w:rPr>
            </w:pPr>
          </w:p>
        </w:tc>
        <w:tc>
          <w:tcPr>
            <w:tcW w:w="236" w:type="dxa"/>
            <w:shd w:val="clear" w:color="auto" w:fill="auto"/>
          </w:tcPr>
          <w:p w14:paraId="611DFD83"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56937F41" w14:textId="77777777" w:rsidR="00A22E4D" w:rsidRPr="006D21CC" w:rsidRDefault="00A22E4D" w:rsidP="00DF29AB">
            <w:pPr>
              <w:tabs>
                <w:tab w:val="left" w:pos="7560"/>
              </w:tabs>
              <w:spacing w:after="0"/>
              <w:rPr>
                <w:sz w:val="16"/>
                <w:szCs w:val="16"/>
              </w:rPr>
            </w:pPr>
          </w:p>
        </w:tc>
        <w:tc>
          <w:tcPr>
            <w:tcW w:w="236" w:type="dxa"/>
            <w:shd w:val="clear" w:color="auto" w:fill="auto"/>
          </w:tcPr>
          <w:p w14:paraId="7385B355" w14:textId="77777777" w:rsidR="00A22E4D" w:rsidRPr="006D21CC" w:rsidRDefault="00A22E4D" w:rsidP="00DF29AB">
            <w:pPr>
              <w:tabs>
                <w:tab w:val="left" w:pos="7560"/>
              </w:tabs>
              <w:spacing w:after="0"/>
              <w:rPr>
                <w:sz w:val="16"/>
                <w:szCs w:val="16"/>
              </w:rPr>
            </w:pPr>
          </w:p>
        </w:tc>
        <w:tc>
          <w:tcPr>
            <w:tcW w:w="236" w:type="dxa"/>
            <w:shd w:val="clear" w:color="auto" w:fill="auto"/>
          </w:tcPr>
          <w:p w14:paraId="6B3DB219" w14:textId="77777777" w:rsidR="00A22E4D" w:rsidRPr="006D21CC" w:rsidRDefault="00A22E4D" w:rsidP="00DF29AB">
            <w:pPr>
              <w:tabs>
                <w:tab w:val="left" w:pos="7560"/>
              </w:tabs>
              <w:spacing w:after="0"/>
              <w:rPr>
                <w:sz w:val="16"/>
                <w:szCs w:val="16"/>
              </w:rPr>
            </w:pPr>
          </w:p>
        </w:tc>
        <w:tc>
          <w:tcPr>
            <w:tcW w:w="236" w:type="dxa"/>
            <w:shd w:val="clear" w:color="auto" w:fill="auto"/>
          </w:tcPr>
          <w:p w14:paraId="38E64A6A"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75C19C8C" w14:textId="77777777" w:rsidR="00A22E4D" w:rsidRPr="006D21CC" w:rsidRDefault="00A22E4D" w:rsidP="00DF29AB">
            <w:pPr>
              <w:tabs>
                <w:tab w:val="left" w:pos="7560"/>
              </w:tabs>
              <w:spacing w:after="0"/>
              <w:rPr>
                <w:sz w:val="16"/>
                <w:szCs w:val="16"/>
              </w:rPr>
            </w:pPr>
          </w:p>
        </w:tc>
        <w:tc>
          <w:tcPr>
            <w:tcW w:w="236" w:type="dxa"/>
            <w:shd w:val="clear" w:color="auto" w:fill="auto"/>
          </w:tcPr>
          <w:p w14:paraId="1F9F911C" w14:textId="77777777" w:rsidR="00A22E4D" w:rsidRPr="006D21CC" w:rsidRDefault="00A22E4D" w:rsidP="00DF29AB">
            <w:pPr>
              <w:tabs>
                <w:tab w:val="left" w:pos="7560"/>
              </w:tabs>
              <w:spacing w:after="0"/>
              <w:rPr>
                <w:sz w:val="16"/>
                <w:szCs w:val="16"/>
              </w:rPr>
            </w:pPr>
          </w:p>
        </w:tc>
        <w:tc>
          <w:tcPr>
            <w:tcW w:w="236" w:type="dxa"/>
            <w:shd w:val="clear" w:color="auto" w:fill="auto"/>
          </w:tcPr>
          <w:p w14:paraId="478EA887" w14:textId="77777777" w:rsidR="00A22E4D" w:rsidRPr="006D21CC" w:rsidRDefault="00A22E4D" w:rsidP="00DF29AB">
            <w:pPr>
              <w:tabs>
                <w:tab w:val="left" w:pos="7560"/>
              </w:tabs>
              <w:spacing w:after="0"/>
              <w:rPr>
                <w:sz w:val="16"/>
                <w:szCs w:val="16"/>
              </w:rPr>
            </w:pPr>
          </w:p>
        </w:tc>
        <w:tc>
          <w:tcPr>
            <w:tcW w:w="236" w:type="dxa"/>
            <w:shd w:val="clear" w:color="auto" w:fill="auto"/>
          </w:tcPr>
          <w:p w14:paraId="46E41637"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37350749" w14:textId="77777777" w:rsidR="00A22E4D" w:rsidRPr="006D21CC" w:rsidRDefault="00A22E4D" w:rsidP="00DF29AB">
            <w:pPr>
              <w:tabs>
                <w:tab w:val="left" w:pos="7560"/>
              </w:tabs>
              <w:spacing w:after="0"/>
              <w:rPr>
                <w:sz w:val="16"/>
                <w:szCs w:val="16"/>
              </w:rPr>
            </w:pPr>
          </w:p>
        </w:tc>
        <w:tc>
          <w:tcPr>
            <w:tcW w:w="236" w:type="dxa"/>
            <w:shd w:val="clear" w:color="auto" w:fill="auto"/>
          </w:tcPr>
          <w:p w14:paraId="0865440E" w14:textId="77777777" w:rsidR="00A22E4D" w:rsidRPr="006D21CC" w:rsidRDefault="00A22E4D" w:rsidP="00DF29AB">
            <w:pPr>
              <w:tabs>
                <w:tab w:val="left" w:pos="7560"/>
              </w:tabs>
              <w:spacing w:after="0"/>
              <w:rPr>
                <w:sz w:val="16"/>
                <w:szCs w:val="16"/>
              </w:rPr>
            </w:pPr>
          </w:p>
        </w:tc>
        <w:tc>
          <w:tcPr>
            <w:tcW w:w="236" w:type="dxa"/>
            <w:shd w:val="clear" w:color="auto" w:fill="auto"/>
          </w:tcPr>
          <w:p w14:paraId="2FF079F8" w14:textId="77777777" w:rsidR="00A22E4D" w:rsidRPr="006D21CC" w:rsidRDefault="00A22E4D" w:rsidP="00DF29AB">
            <w:pPr>
              <w:tabs>
                <w:tab w:val="left" w:pos="7560"/>
              </w:tabs>
              <w:spacing w:after="0"/>
              <w:rPr>
                <w:sz w:val="16"/>
                <w:szCs w:val="16"/>
              </w:rPr>
            </w:pPr>
          </w:p>
        </w:tc>
        <w:tc>
          <w:tcPr>
            <w:tcW w:w="236" w:type="dxa"/>
            <w:shd w:val="clear" w:color="auto" w:fill="auto"/>
          </w:tcPr>
          <w:p w14:paraId="3783F15E"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5BCF678E" w14:textId="77777777" w:rsidR="00A22E4D" w:rsidRPr="006D21CC" w:rsidRDefault="00A22E4D" w:rsidP="00DF29AB">
            <w:pPr>
              <w:tabs>
                <w:tab w:val="left" w:pos="7560"/>
              </w:tabs>
              <w:spacing w:after="0"/>
              <w:rPr>
                <w:sz w:val="16"/>
                <w:szCs w:val="16"/>
              </w:rPr>
            </w:pPr>
          </w:p>
        </w:tc>
        <w:tc>
          <w:tcPr>
            <w:tcW w:w="236" w:type="dxa"/>
            <w:shd w:val="clear" w:color="auto" w:fill="auto"/>
          </w:tcPr>
          <w:p w14:paraId="3EC4AC92" w14:textId="77777777" w:rsidR="00A22E4D" w:rsidRPr="006D21CC" w:rsidRDefault="00A22E4D" w:rsidP="00DF29AB">
            <w:pPr>
              <w:tabs>
                <w:tab w:val="left" w:pos="7560"/>
              </w:tabs>
              <w:spacing w:after="0"/>
              <w:rPr>
                <w:sz w:val="16"/>
                <w:szCs w:val="16"/>
              </w:rPr>
            </w:pPr>
          </w:p>
        </w:tc>
        <w:tc>
          <w:tcPr>
            <w:tcW w:w="236" w:type="dxa"/>
            <w:shd w:val="clear" w:color="auto" w:fill="auto"/>
          </w:tcPr>
          <w:p w14:paraId="1A1D2BCB" w14:textId="77777777" w:rsidR="00A22E4D" w:rsidRPr="006D21CC" w:rsidRDefault="00A22E4D" w:rsidP="00DF29AB">
            <w:pPr>
              <w:tabs>
                <w:tab w:val="left" w:pos="7560"/>
              </w:tabs>
              <w:spacing w:after="0"/>
              <w:rPr>
                <w:sz w:val="16"/>
                <w:szCs w:val="16"/>
              </w:rPr>
            </w:pPr>
          </w:p>
        </w:tc>
        <w:tc>
          <w:tcPr>
            <w:tcW w:w="236" w:type="dxa"/>
            <w:shd w:val="clear" w:color="auto" w:fill="auto"/>
          </w:tcPr>
          <w:p w14:paraId="6C25BA8C" w14:textId="77777777" w:rsidR="00A22E4D" w:rsidRPr="006D21CC" w:rsidRDefault="00A22E4D" w:rsidP="00DF29AB">
            <w:pPr>
              <w:tabs>
                <w:tab w:val="left" w:pos="7560"/>
              </w:tabs>
              <w:spacing w:after="0"/>
              <w:rPr>
                <w:sz w:val="16"/>
                <w:szCs w:val="16"/>
              </w:rPr>
            </w:pPr>
          </w:p>
        </w:tc>
      </w:tr>
      <w:tr w:rsidR="00A22E4D" w:rsidRPr="006D21CC" w14:paraId="0336B0E3" w14:textId="77777777" w:rsidTr="00DF29AB">
        <w:tc>
          <w:tcPr>
            <w:tcW w:w="2317" w:type="dxa"/>
            <w:shd w:val="clear" w:color="auto" w:fill="auto"/>
          </w:tcPr>
          <w:p w14:paraId="0AF3B810" w14:textId="77777777" w:rsidR="00A22E4D" w:rsidRPr="006D21CC" w:rsidRDefault="00A22E4D" w:rsidP="00DF29AB">
            <w:pPr>
              <w:tabs>
                <w:tab w:val="left" w:pos="7560"/>
              </w:tabs>
              <w:spacing w:after="0"/>
              <w:rPr>
                <w:sz w:val="16"/>
                <w:szCs w:val="16"/>
              </w:rPr>
            </w:pPr>
            <w:r>
              <w:rPr>
                <w:sz w:val="16"/>
                <w:szCs w:val="16"/>
              </w:rPr>
              <w:t>Hold initial meetings with all Governors and Decision Makers to set up State Planning Teams</w:t>
            </w:r>
          </w:p>
        </w:tc>
        <w:tc>
          <w:tcPr>
            <w:tcW w:w="1946" w:type="dxa"/>
          </w:tcPr>
          <w:p w14:paraId="42E900B9" w14:textId="77777777" w:rsidR="00A22E4D" w:rsidRPr="006D21CC" w:rsidRDefault="00A22E4D" w:rsidP="00DF29AB">
            <w:pPr>
              <w:tabs>
                <w:tab w:val="left" w:pos="7560"/>
              </w:tabs>
              <w:spacing w:after="0"/>
              <w:rPr>
                <w:sz w:val="16"/>
                <w:szCs w:val="16"/>
              </w:rPr>
            </w:pPr>
            <w:r>
              <w:rPr>
                <w:sz w:val="16"/>
                <w:szCs w:val="16"/>
              </w:rPr>
              <w:t>State Planning Teams set up and functioning</w:t>
            </w:r>
          </w:p>
        </w:tc>
        <w:tc>
          <w:tcPr>
            <w:tcW w:w="236" w:type="dxa"/>
            <w:shd w:val="clear" w:color="auto" w:fill="D99594" w:themeFill="accent2" w:themeFillTint="99"/>
          </w:tcPr>
          <w:p w14:paraId="7FCD9AE9"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0DBCD775"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20A24BE4"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0D464000"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5B11EF21"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5A0FA87E" w14:textId="77777777" w:rsidR="00A22E4D" w:rsidRPr="006D21CC" w:rsidRDefault="00A22E4D" w:rsidP="00DF29AB">
            <w:pPr>
              <w:tabs>
                <w:tab w:val="left" w:pos="7560"/>
              </w:tabs>
              <w:spacing w:after="0"/>
              <w:rPr>
                <w:sz w:val="16"/>
                <w:szCs w:val="16"/>
              </w:rPr>
            </w:pPr>
          </w:p>
        </w:tc>
        <w:tc>
          <w:tcPr>
            <w:tcW w:w="236" w:type="dxa"/>
            <w:shd w:val="clear" w:color="auto" w:fill="auto"/>
          </w:tcPr>
          <w:p w14:paraId="25BFCC02" w14:textId="77777777" w:rsidR="00A22E4D" w:rsidRPr="006D21CC" w:rsidRDefault="00A22E4D" w:rsidP="00DF29AB">
            <w:pPr>
              <w:tabs>
                <w:tab w:val="left" w:pos="7560"/>
              </w:tabs>
              <w:spacing w:after="0"/>
              <w:rPr>
                <w:sz w:val="16"/>
                <w:szCs w:val="16"/>
              </w:rPr>
            </w:pPr>
          </w:p>
        </w:tc>
        <w:tc>
          <w:tcPr>
            <w:tcW w:w="236" w:type="dxa"/>
            <w:shd w:val="clear" w:color="auto" w:fill="auto"/>
          </w:tcPr>
          <w:p w14:paraId="4A022139" w14:textId="77777777" w:rsidR="00A22E4D" w:rsidRPr="006D21CC" w:rsidRDefault="00A22E4D" w:rsidP="00DF29AB">
            <w:pPr>
              <w:tabs>
                <w:tab w:val="left" w:pos="7560"/>
              </w:tabs>
              <w:spacing w:after="0"/>
              <w:rPr>
                <w:sz w:val="16"/>
                <w:szCs w:val="16"/>
              </w:rPr>
            </w:pPr>
          </w:p>
        </w:tc>
        <w:tc>
          <w:tcPr>
            <w:tcW w:w="236" w:type="dxa"/>
            <w:shd w:val="clear" w:color="auto" w:fill="auto"/>
          </w:tcPr>
          <w:p w14:paraId="4EC15FE6" w14:textId="77777777" w:rsidR="00A22E4D" w:rsidRPr="006D21CC" w:rsidRDefault="00A22E4D" w:rsidP="00DF29AB">
            <w:pPr>
              <w:tabs>
                <w:tab w:val="left" w:pos="7560"/>
              </w:tabs>
              <w:spacing w:after="0"/>
              <w:rPr>
                <w:sz w:val="16"/>
                <w:szCs w:val="16"/>
              </w:rPr>
            </w:pPr>
          </w:p>
        </w:tc>
        <w:tc>
          <w:tcPr>
            <w:tcW w:w="236" w:type="dxa"/>
            <w:shd w:val="clear" w:color="auto" w:fill="auto"/>
          </w:tcPr>
          <w:p w14:paraId="6B88CC60" w14:textId="77777777" w:rsidR="00A22E4D" w:rsidRPr="006D21CC" w:rsidRDefault="00A22E4D" w:rsidP="00DF29AB">
            <w:pPr>
              <w:tabs>
                <w:tab w:val="left" w:pos="7560"/>
              </w:tabs>
              <w:spacing w:after="0"/>
              <w:rPr>
                <w:sz w:val="16"/>
                <w:szCs w:val="16"/>
              </w:rPr>
            </w:pPr>
          </w:p>
        </w:tc>
        <w:tc>
          <w:tcPr>
            <w:tcW w:w="236" w:type="dxa"/>
            <w:shd w:val="clear" w:color="auto" w:fill="auto"/>
          </w:tcPr>
          <w:p w14:paraId="7A156633" w14:textId="77777777" w:rsidR="00A22E4D" w:rsidRPr="006D21CC" w:rsidRDefault="00A22E4D" w:rsidP="00DF29AB">
            <w:pPr>
              <w:tabs>
                <w:tab w:val="left" w:pos="7560"/>
              </w:tabs>
              <w:spacing w:after="0"/>
              <w:rPr>
                <w:sz w:val="16"/>
                <w:szCs w:val="16"/>
              </w:rPr>
            </w:pPr>
          </w:p>
        </w:tc>
        <w:tc>
          <w:tcPr>
            <w:tcW w:w="236" w:type="dxa"/>
            <w:shd w:val="clear" w:color="auto" w:fill="auto"/>
          </w:tcPr>
          <w:p w14:paraId="21FE9EF3" w14:textId="77777777" w:rsidR="00A22E4D" w:rsidRPr="006D21CC" w:rsidRDefault="00A22E4D" w:rsidP="00DF29AB">
            <w:pPr>
              <w:tabs>
                <w:tab w:val="left" w:pos="7560"/>
              </w:tabs>
              <w:spacing w:after="0"/>
              <w:rPr>
                <w:sz w:val="16"/>
                <w:szCs w:val="16"/>
              </w:rPr>
            </w:pPr>
          </w:p>
        </w:tc>
        <w:tc>
          <w:tcPr>
            <w:tcW w:w="236" w:type="dxa"/>
            <w:shd w:val="clear" w:color="auto" w:fill="auto"/>
          </w:tcPr>
          <w:p w14:paraId="4024A3D3" w14:textId="77777777" w:rsidR="00A22E4D" w:rsidRPr="006D21CC" w:rsidRDefault="00A22E4D" w:rsidP="00DF29AB">
            <w:pPr>
              <w:tabs>
                <w:tab w:val="left" w:pos="7560"/>
              </w:tabs>
              <w:spacing w:after="0"/>
              <w:rPr>
                <w:sz w:val="16"/>
                <w:szCs w:val="16"/>
              </w:rPr>
            </w:pPr>
          </w:p>
        </w:tc>
        <w:tc>
          <w:tcPr>
            <w:tcW w:w="236" w:type="dxa"/>
            <w:shd w:val="clear" w:color="auto" w:fill="auto"/>
          </w:tcPr>
          <w:p w14:paraId="58AD9D6F" w14:textId="77777777" w:rsidR="00A22E4D" w:rsidRPr="006D21CC" w:rsidRDefault="00A22E4D" w:rsidP="00DF29AB">
            <w:pPr>
              <w:tabs>
                <w:tab w:val="left" w:pos="7560"/>
              </w:tabs>
              <w:spacing w:after="0"/>
              <w:rPr>
                <w:sz w:val="16"/>
                <w:szCs w:val="16"/>
              </w:rPr>
            </w:pPr>
          </w:p>
        </w:tc>
        <w:tc>
          <w:tcPr>
            <w:tcW w:w="236" w:type="dxa"/>
            <w:shd w:val="clear" w:color="auto" w:fill="auto"/>
          </w:tcPr>
          <w:p w14:paraId="177D859E" w14:textId="77777777" w:rsidR="00A22E4D" w:rsidRPr="006D21CC" w:rsidRDefault="00A22E4D" w:rsidP="00DF29AB">
            <w:pPr>
              <w:tabs>
                <w:tab w:val="left" w:pos="7560"/>
              </w:tabs>
              <w:spacing w:after="0"/>
              <w:rPr>
                <w:sz w:val="16"/>
                <w:szCs w:val="16"/>
              </w:rPr>
            </w:pPr>
          </w:p>
        </w:tc>
        <w:tc>
          <w:tcPr>
            <w:tcW w:w="236" w:type="dxa"/>
            <w:shd w:val="clear" w:color="auto" w:fill="auto"/>
          </w:tcPr>
          <w:p w14:paraId="457BAD27"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34AE9832"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291186A4"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2066F834"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294CA654"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7C95AA45"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14B21D65"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101E56C7"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76F3D4C6" w14:textId="77777777" w:rsidR="00A22E4D" w:rsidRPr="006D21CC" w:rsidRDefault="00A22E4D" w:rsidP="00DF29AB">
            <w:pPr>
              <w:tabs>
                <w:tab w:val="left" w:pos="7560"/>
              </w:tabs>
              <w:spacing w:after="0"/>
              <w:rPr>
                <w:sz w:val="16"/>
                <w:szCs w:val="16"/>
              </w:rPr>
            </w:pPr>
          </w:p>
        </w:tc>
      </w:tr>
      <w:tr w:rsidR="00A22E4D" w:rsidRPr="006D21CC" w14:paraId="7F66D0CA" w14:textId="77777777" w:rsidTr="00DF29AB">
        <w:tc>
          <w:tcPr>
            <w:tcW w:w="2317" w:type="dxa"/>
            <w:shd w:val="clear" w:color="auto" w:fill="auto"/>
          </w:tcPr>
          <w:p w14:paraId="642C98CE" w14:textId="77777777" w:rsidR="00A22E4D" w:rsidRPr="006D21CC" w:rsidRDefault="00A22E4D" w:rsidP="00DF29AB">
            <w:pPr>
              <w:tabs>
                <w:tab w:val="left" w:pos="7560"/>
              </w:tabs>
              <w:spacing w:after="0"/>
              <w:rPr>
                <w:sz w:val="16"/>
                <w:szCs w:val="16"/>
              </w:rPr>
            </w:pPr>
            <w:r>
              <w:rPr>
                <w:sz w:val="16"/>
                <w:szCs w:val="16"/>
              </w:rPr>
              <w:t>Celebrate Project Accomplishments, such as completion of Landscape/ Seascape Plans or NISSAP</w:t>
            </w:r>
          </w:p>
        </w:tc>
        <w:tc>
          <w:tcPr>
            <w:tcW w:w="1946" w:type="dxa"/>
          </w:tcPr>
          <w:p w14:paraId="1DEEF45A" w14:textId="77777777" w:rsidR="00A22E4D" w:rsidRPr="006D21CC" w:rsidRDefault="00A22E4D" w:rsidP="00DF29AB">
            <w:pPr>
              <w:tabs>
                <w:tab w:val="left" w:pos="7560"/>
              </w:tabs>
              <w:spacing w:after="0"/>
              <w:rPr>
                <w:sz w:val="16"/>
                <w:szCs w:val="16"/>
              </w:rPr>
            </w:pPr>
            <w:r>
              <w:rPr>
                <w:sz w:val="16"/>
                <w:szCs w:val="16"/>
              </w:rPr>
              <w:t>Press materials distributed</w:t>
            </w:r>
          </w:p>
        </w:tc>
        <w:tc>
          <w:tcPr>
            <w:tcW w:w="236" w:type="dxa"/>
            <w:shd w:val="clear" w:color="auto" w:fill="D99594" w:themeFill="accent2" w:themeFillTint="99"/>
          </w:tcPr>
          <w:p w14:paraId="7320DF2F"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4F1EFAA5"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72826D6C"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10ACAE24"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4BA14FC1"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067D6D31"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14D2AE9F"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7181B79D"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186E0889"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504A250B"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477BF674"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79AAA9B6"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233DA8B3"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0F7D9EFE"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61492015"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4D60AD1B"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10DDB8BB"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2504A232"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3DCF1DD9"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4DB8E4D3"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492F4812"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35ECB714"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55383A41"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691FAE18" w14:textId="77777777" w:rsidR="00A22E4D" w:rsidRPr="006D21CC" w:rsidRDefault="00A22E4D" w:rsidP="00DF29AB">
            <w:pPr>
              <w:tabs>
                <w:tab w:val="left" w:pos="7560"/>
              </w:tabs>
              <w:spacing w:after="0"/>
              <w:rPr>
                <w:sz w:val="16"/>
                <w:szCs w:val="16"/>
              </w:rPr>
            </w:pPr>
          </w:p>
        </w:tc>
      </w:tr>
      <w:tr w:rsidR="00A22E4D" w:rsidRPr="006D21CC" w14:paraId="5297362E" w14:textId="77777777" w:rsidTr="00DF29AB">
        <w:tc>
          <w:tcPr>
            <w:tcW w:w="2317" w:type="dxa"/>
            <w:shd w:val="clear" w:color="auto" w:fill="auto"/>
          </w:tcPr>
          <w:p w14:paraId="2664E22D" w14:textId="77777777" w:rsidR="00A22E4D" w:rsidRPr="006D21CC" w:rsidRDefault="00A22E4D" w:rsidP="00DF29AB">
            <w:pPr>
              <w:tabs>
                <w:tab w:val="left" w:pos="7560"/>
              </w:tabs>
              <w:spacing w:after="0"/>
              <w:rPr>
                <w:sz w:val="16"/>
                <w:szCs w:val="16"/>
              </w:rPr>
            </w:pPr>
            <w:r>
              <w:rPr>
                <w:sz w:val="16"/>
                <w:szCs w:val="16"/>
              </w:rPr>
              <w:t xml:space="preserve">Hold initial meetings with Nonprofit, Business Partners to set up Best Practice implementation </w:t>
            </w:r>
          </w:p>
        </w:tc>
        <w:tc>
          <w:tcPr>
            <w:tcW w:w="1946" w:type="dxa"/>
          </w:tcPr>
          <w:p w14:paraId="07459784" w14:textId="77777777" w:rsidR="00A22E4D" w:rsidRPr="006D21CC" w:rsidRDefault="00A22E4D" w:rsidP="00DF29AB">
            <w:pPr>
              <w:tabs>
                <w:tab w:val="left" w:pos="7560"/>
              </w:tabs>
              <w:spacing w:after="0"/>
              <w:rPr>
                <w:sz w:val="16"/>
                <w:szCs w:val="16"/>
              </w:rPr>
            </w:pPr>
            <w:r>
              <w:rPr>
                <w:sz w:val="16"/>
                <w:szCs w:val="16"/>
              </w:rPr>
              <w:t>Partnerships ready to go in States</w:t>
            </w:r>
          </w:p>
        </w:tc>
        <w:tc>
          <w:tcPr>
            <w:tcW w:w="236" w:type="dxa"/>
            <w:shd w:val="clear" w:color="auto" w:fill="auto"/>
          </w:tcPr>
          <w:p w14:paraId="13D25B27" w14:textId="77777777" w:rsidR="00A22E4D" w:rsidRPr="006D21CC" w:rsidRDefault="00A22E4D" w:rsidP="00DF29AB">
            <w:pPr>
              <w:tabs>
                <w:tab w:val="left" w:pos="7560"/>
              </w:tabs>
              <w:spacing w:after="0"/>
              <w:rPr>
                <w:sz w:val="16"/>
                <w:szCs w:val="16"/>
              </w:rPr>
            </w:pPr>
          </w:p>
        </w:tc>
        <w:tc>
          <w:tcPr>
            <w:tcW w:w="236" w:type="dxa"/>
            <w:shd w:val="clear" w:color="auto" w:fill="auto"/>
          </w:tcPr>
          <w:p w14:paraId="07FFA37D" w14:textId="77777777" w:rsidR="00A22E4D" w:rsidRPr="006D21CC" w:rsidRDefault="00A22E4D" w:rsidP="00DF29AB">
            <w:pPr>
              <w:tabs>
                <w:tab w:val="left" w:pos="7560"/>
              </w:tabs>
              <w:spacing w:after="0"/>
              <w:rPr>
                <w:sz w:val="16"/>
                <w:szCs w:val="16"/>
              </w:rPr>
            </w:pPr>
          </w:p>
        </w:tc>
        <w:tc>
          <w:tcPr>
            <w:tcW w:w="236" w:type="dxa"/>
            <w:shd w:val="clear" w:color="auto" w:fill="auto"/>
          </w:tcPr>
          <w:p w14:paraId="752FAE5A" w14:textId="77777777" w:rsidR="00A22E4D" w:rsidRPr="006D21CC" w:rsidRDefault="00A22E4D" w:rsidP="00DF29AB">
            <w:pPr>
              <w:tabs>
                <w:tab w:val="left" w:pos="7560"/>
              </w:tabs>
              <w:spacing w:after="0"/>
              <w:rPr>
                <w:sz w:val="16"/>
                <w:szCs w:val="16"/>
              </w:rPr>
            </w:pPr>
          </w:p>
        </w:tc>
        <w:tc>
          <w:tcPr>
            <w:tcW w:w="236" w:type="dxa"/>
            <w:shd w:val="clear" w:color="auto" w:fill="auto"/>
          </w:tcPr>
          <w:p w14:paraId="41409886" w14:textId="77777777" w:rsidR="00A22E4D" w:rsidRPr="006D21CC" w:rsidRDefault="00A22E4D" w:rsidP="00DF29AB">
            <w:pPr>
              <w:tabs>
                <w:tab w:val="left" w:pos="7560"/>
              </w:tabs>
              <w:spacing w:after="0"/>
              <w:rPr>
                <w:sz w:val="16"/>
                <w:szCs w:val="16"/>
              </w:rPr>
            </w:pPr>
          </w:p>
        </w:tc>
        <w:tc>
          <w:tcPr>
            <w:tcW w:w="236" w:type="dxa"/>
            <w:shd w:val="clear" w:color="auto" w:fill="auto"/>
          </w:tcPr>
          <w:p w14:paraId="662820D2" w14:textId="77777777" w:rsidR="00A22E4D" w:rsidRPr="006D21CC" w:rsidRDefault="00A22E4D" w:rsidP="00DF29AB">
            <w:pPr>
              <w:tabs>
                <w:tab w:val="left" w:pos="7560"/>
              </w:tabs>
              <w:spacing w:after="0"/>
              <w:rPr>
                <w:sz w:val="16"/>
                <w:szCs w:val="16"/>
              </w:rPr>
            </w:pPr>
          </w:p>
        </w:tc>
        <w:tc>
          <w:tcPr>
            <w:tcW w:w="236" w:type="dxa"/>
            <w:shd w:val="clear" w:color="auto" w:fill="auto"/>
          </w:tcPr>
          <w:p w14:paraId="2C8017D2" w14:textId="77777777" w:rsidR="00A22E4D" w:rsidRPr="006D21CC" w:rsidRDefault="00A22E4D" w:rsidP="00DF29AB">
            <w:pPr>
              <w:tabs>
                <w:tab w:val="left" w:pos="7560"/>
              </w:tabs>
              <w:spacing w:after="0"/>
              <w:rPr>
                <w:sz w:val="16"/>
                <w:szCs w:val="16"/>
              </w:rPr>
            </w:pPr>
          </w:p>
        </w:tc>
        <w:tc>
          <w:tcPr>
            <w:tcW w:w="236" w:type="dxa"/>
            <w:shd w:val="clear" w:color="auto" w:fill="auto"/>
          </w:tcPr>
          <w:p w14:paraId="491E8C9C" w14:textId="77777777" w:rsidR="00A22E4D" w:rsidRPr="006D21CC" w:rsidRDefault="00A22E4D" w:rsidP="00DF29AB">
            <w:pPr>
              <w:tabs>
                <w:tab w:val="left" w:pos="7560"/>
              </w:tabs>
              <w:spacing w:after="0"/>
              <w:rPr>
                <w:sz w:val="16"/>
                <w:szCs w:val="16"/>
              </w:rPr>
            </w:pPr>
          </w:p>
        </w:tc>
        <w:tc>
          <w:tcPr>
            <w:tcW w:w="236" w:type="dxa"/>
            <w:shd w:val="clear" w:color="auto" w:fill="auto"/>
          </w:tcPr>
          <w:p w14:paraId="340514CA" w14:textId="77777777" w:rsidR="00A22E4D" w:rsidRPr="006D21CC" w:rsidRDefault="00A22E4D" w:rsidP="00DF29AB">
            <w:pPr>
              <w:tabs>
                <w:tab w:val="left" w:pos="7560"/>
              </w:tabs>
              <w:spacing w:after="0"/>
              <w:rPr>
                <w:sz w:val="16"/>
                <w:szCs w:val="16"/>
              </w:rPr>
            </w:pPr>
          </w:p>
        </w:tc>
        <w:tc>
          <w:tcPr>
            <w:tcW w:w="236" w:type="dxa"/>
            <w:shd w:val="clear" w:color="auto" w:fill="auto"/>
          </w:tcPr>
          <w:p w14:paraId="41FB543D" w14:textId="77777777" w:rsidR="00A22E4D" w:rsidRPr="006D21CC" w:rsidRDefault="00A22E4D" w:rsidP="00DF29AB">
            <w:pPr>
              <w:tabs>
                <w:tab w:val="left" w:pos="7560"/>
              </w:tabs>
              <w:spacing w:after="0"/>
              <w:rPr>
                <w:sz w:val="16"/>
                <w:szCs w:val="16"/>
              </w:rPr>
            </w:pPr>
          </w:p>
        </w:tc>
        <w:tc>
          <w:tcPr>
            <w:tcW w:w="236" w:type="dxa"/>
            <w:shd w:val="clear" w:color="auto" w:fill="auto"/>
          </w:tcPr>
          <w:p w14:paraId="61DB6D3E" w14:textId="77777777" w:rsidR="00A22E4D" w:rsidRPr="006D21CC" w:rsidRDefault="00A22E4D" w:rsidP="00DF29AB">
            <w:pPr>
              <w:tabs>
                <w:tab w:val="left" w:pos="7560"/>
              </w:tabs>
              <w:spacing w:after="0"/>
              <w:rPr>
                <w:sz w:val="16"/>
                <w:szCs w:val="16"/>
              </w:rPr>
            </w:pPr>
          </w:p>
        </w:tc>
        <w:tc>
          <w:tcPr>
            <w:tcW w:w="236" w:type="dxa"/>
            <w:shd w:val="clear" w:color="auto" w:fill="auto"/>
          </w:tcPr>
          <w:p w14:paraId="39FACF7F" w14:textId="77777777" w:rsidR="00A22E4D" w:rsidRPr="006D21CC" w:rsidRDefault="00A22E4D" w:rsidP="00DF29AB">
            <w:pPr>
              <w:tabs>
                <w:tab w:val="left" w:pos="7560"/>
              </w:tabs>
              <w:spacing w:after="0"/>
              <w:rPr>
                <w:sz w:val="16"/>
                <w:szCs w:val="16"/>
              </w:rPr>
            </w:pPr>
          </w:p>
        </w:tc>
        <w:tc>
          <w:tcPr>
            <w:tcW w:w="236" w:type="dxa"/>
            <w:shd w:val="clear" w:color="auto" w:fill="auto"/>
          </w:tcPr>
          <w:p w14:paraId="65F70B28"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5173FD6F"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69CE677C" w14:textId="77777777" w:rsidR="00A22E4D" w:rsidRPr="006D21CC" w:rsidRDefault="00A22E4D" w:rsidP="00DF29AB">
            <w:pPr>
              <w:tabs>
                <w:tab w:val="left" w:pos="7560"/>
              </w:tabs>
              <w:spacing w:after="0"/>
              <w:rPr>
                <w:sz w:val="16"/>
                <w:szCs w:val="16"/>
              </w:rPr>
            </w:pPr>
          </w:p>
        </w:tc>
        <w:tc>
          <w:tcPr>
            <w:tcW w:w="236" w:type="dxa"/>
            <w:shd w:val="clear" w:color="auto" w:fill="auto"/>
          </w:tcPr>
          <w:p w14:paraId="2E64E9EC" w14:textId="77777777" w:rsidR="00A22E4D" w:rsidRPr="006D21CC" w:rsidRDefault="00A22E4D" w:rsidP="00DF29AB">
            <w:pPr>
              <w:tabs>
                <w:tab w:val="left" w:pos="7560"/>
              </w:tabs>
              <w:spacing w:after="0"/>
              <w:rPr>
                <w:sz w:val="16"/>
                <w:szCs w:val="16"/>
              </w:rPr>
            </w:pPr>
          </w:p>
        </w:tc>
        <w:tc>
          <w:tcPr>
            <w:tcW w:w="236" w:type="dxa"/>
            <w:shd w:val="clear" w:color="auto" w:fill="auto"/>
          </w:tcPr>
          <w:p w14:paraId="706ECF75"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6619BBB4"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0442E081"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14AB6EDC"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0FC8B807"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2248B0AC"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59AE7EF0"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1648AFD5"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7D8E2E68" w14:textId="77777777" w:rsidR="00A22E4D" w:rsidRPr="006D21CC" w:rsidRDefault="00A22E4D" w:rsidP="00DF29AB">
            <w:pPr>
              <w:tabs>
                <w:tab w:val="left" w:pos="7560"/>
              </w:tabs>
              <w:spacing w:after="0"/>
              <w:rPr>
                <w:sz w:val="16"/>
                <w:szCs w:val="16"/>
              </w:rPr>
            </w:pPr>
          </w:p>
        </w:tc>
      </w:tr>
      <w:tr w:rsidR="00A22E4D" w:rsidRPr="006D21CC" w14:paraId="0CC79E72" w14:textId="77777777" w:rsidTr="00DF29AB">
        <w:tc>
          <w:tcPr>
            <w:tcW w:w="2317" w:type="dxa"/>
            <w:shd w:val="clear" w:color="auto" w:fill="auto"/>
          </w:tcPr>
          <w:p w14:paraId="0E0659DB" w14:textId="77777777" w:rsidR="00A22E4D" w:rsidRPr="006D21CC" w:rsidRDefault="00A22E4D" w:rsidP="00DF29AB">
            <w:pPr>
              <w:tabs>
                <w:tab w:val="left" w:pos="7560"/>
              </w:tabs>
              <w:spacing w:after="0"/>
              <w:rPr>
                <w:sz w:val="16"/>
                <w:szCs w:val="16"/>
              </w:rPr>
            </w:pPr>
            <w:r>
              <w:rPr>
                <w:sz w:val="16"/>
                <w:szCs w:val="16"/>
              </w:rPr>
              <w:t>Hold initial meetings with Nonprofit, Business Partners to set up Landscape/ Seascape Planning Coordination Body</w:t>
            </w:r>
          </w:p>
        </w:tc>
        <w:tc>
          <w:tcPr>
            <w:tcW w:w="1946" w:type="dxa"/>
          </w:tcPr>
          <w:p w14:paraId="24B1E38D" w14:textId="77777777" w:rsidR="00A22E4D" w:rsidRPr="006D21CC" w:rsidRDefault="00A22E4D" w:rsidP="00DF29AB">
            <w:pPr>
              <w:tabs>
                <w:tab w:val="left" w:pos="7560"/>
              </w:tabs>
              <w:spacing w:after="0"/>
              <w:rPr>
                <w:sz w:val="16"/>
                <w:szCs w:val="16"/>
              </w:rPr>
            </w:pPr>
            <w:r>
              <w:rPr>
                <w:sz w:val="16"/>
                <w:szCs w:val="16"/>
              </w:rPr>
              <w:t>Joint Coordination Body established and holding regular meetings</w:t>
            </w:r>
          </w:p>
        </w:tc>
        <w:tc>
          <w:tcPr>
            <w:tcW w:w="236" w:type="dxa"/>
            <w:shd w:val="clear" w:color="auto" w:fill="auto"/>
          </w:tcPr>
          <w:p w14:paraId="57736C84" w14:textId="77777777" w:rsidR="00A22E4D" w:rsidRPr="006D21CC" w:rsidRDefault="00A22E4D" w:rsidP="00DF29AB">
            <w:pPr>
              <w:tabs>
                <w:tab w:val="left" w:pos="7560"/>
              </w:tabs>
              <w:spacing w:after="0"/>
              <w:rPr>
                <w:sz w:val="16"/>
                <w:szCs w:val="16"/>
              </w:rPr>
            </w:pPr>
          </w:p>
        </w:tc>
        <w:tc>
          <w:tcPr>
            <w:tcW w:w="236" w:type="dxa"/>
            <w:shd w:val="clear" w:color="auto" w:fill="auto"/>
          </w:tcPr>
          <w:p w14:paraId="0216EB0F"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44444F87"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0BABC6EA"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57FAB375"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47C36F0A" w14:textId="77777777" w:rsidR="00A22E4D" w:rsidRPr="006D21CC" w:rsidRDefault="00A22E4D" w:rsidP="00DF29AB">
            <w:pPr>
              <w:tabs>
                <w:tab w:val="left" w:pos="7560"/>
              </w:tabs>
              <w:spacing w:after="0"/>
              <w:rPr>
                <w:sz w:val="16"/>
                <w:szCs w:val="16"/>
              </w:rPr>
            </w:pPr>
          </w:p>
        </w:tc>
        <w:tc>
          <w:tcPr>
            <w:tcW w:w="236" w:type="dxa"/>
            <w:shd w:val="clear" w:color="auto" w:fill="auto"/>
          </w:tcPr>
          <w:p w14:paraId="2F879CD0" w14:textId="77777777" w:rsidR="00A22E4D" w:rsidRPr="006D21CC" w:rsidRDefault="00A22E4D" w:rsidP="00DF29AB">
            <w:pPr>
              <w:tabs>
                <w:tab w:val="left" w:pos="7560"/>
              </w:tabs>
              <w:spacing w:after="0"/>
              <w:rPr>
                <w:sz w:val="16"/>
                <w:szCs w:val="16"/>
              </w:rPr>
            </w:pPr>
          </w:p>
        </w:tc>
        <w:tc>
          <w:tcPr>
            <w:tcW w:w="236" w:type="dxa"/>
            <w:shd w:val="clear" w:color="auto" w:fill="auto"/>
          </w:tcPr>
          <w:p w14:paraId="0097AAAA" w14:textId="77777777" w:rsidR="00A22E4D" w:rsidRPr="006D21CC" w:rsidRDefault="00A22E4D" w:rsidP="00DF29AB">
            <w:pPr>
              <w:tabs>
                <w:tab w:val="left" w:pos="7560"/>
              </w:tabs>
              <w:spacing w:after="0"/>
              <w:rPr>
                <w:sz w:val="16"/>
                <w:szCs w:val="16"/>
              </w:rPr>
            </w:pPr>
          </w:p>
        </w:tc>
        <w:tc>
          <w:tcPr>
            <w:tcW w:w="236" w:type="dxa"/>
            <w:shd w:val="clear" w:color="auto" w:fill="auto"/>
          </w:tcPr>
          <w:p w14:paraId="557AD9BA" w14:textId="77777777" w:rsidR="00A22E4D" w:rsidRPr="006D21CC" w:rsidRDefault="00A22E4D" w:rsidP="00DF29AB">
            <w:pPr>
              <w:tabs>
                <w:tab w:val="left" w:pos="7560"/>
              </w:tabs>
              <w:spacing w:after="0"/>
              <w:rPr>
                <w:sz w:val="16"/>
                <w:szCs w:val="16"/>
              </w:rPr>
            </w:pPr>
          </w:p>
        </w:tc>
        <w:tc>
          <w:tcPr>
            <w:tcW w:w="236" w:type="dxa"/>
            <w:shd w:val="clear" w:color="auto" w:fill="auto"/>
          </w:tcPr>
          <w:p w14:paraId="64FFA796" w14:textId="77777777" w:rsidR="00A22E4D" w:rsidRPr="006D21CC" w:rsidRDefault="00A22E4D" w:rsidP="00DF29AB">
            <w:pPr>
              <w:tabs>
                <w:tab w:val="left" w:pos="7560"/>
              </w:tabs>
              <w:spacing w:after="0"/>
              <w:rPr>
                <w:sz w:val="16"/>
                <w:szCs w:val="16"/>
              </w:rPr>
            </w:pPr>
          </w:p>
        </w:tc>
        <w:tc>
          <w:tcPr>
            <w:tcW w:w="236" w:type="dxa"/>
            <w:shd w:val="clear" w:color="auto" w:fill="auto"/>
          </w:tcPr>
          <w:p w14:paraId="3ECD03D4" w14:textId="77777777" w:rsidR="00A22E4D" w:rsidRPr="006D21CC" w:rsidRDefault="00A22E4D" w:rsidP="00DF29AB">
            <w:pPr>
              <w:tabs>
                <w:tab w:val="left" w:pos="7560"/>
              </w:tabs>
              <w:spacing w:after="0"/>
              <w:rPr>
                <w:sz w:val="16"/>
                <w:szCs w:val="16"/>
              </w:rPr>
            </w:pPr>
          </w:p>
        </w:tc>
        <w:tc>
          <w:tcPr>
            <w:tcW w:w="236" w:type="dxa"/>
            <w:shd w:val="clear" w:color="auto" w:fill="auto"/>
          </w:tcPr>
          <w:p w14:paraId="5A18A9CA" w14:textId="77777777" w:rsidR="00A22E4D" w:rsidRPr="006D21CC" w:rsidRDefault="00A22E4D" w:rsidP="00DF29AB">
            <w:pPr>
              <w:tabs>
                <w:tab w:val="left" w:pos="7560"/>
              </w:tabs>
              <w:spacing w:after="0"/>
              <w:rPr>
                <w:sz w:val="16"/>
                <w:szCs w:val="16"/>
              </w:rPr>
            </w:pPr>
          </w:p>
        </w:tc>
        <w:tc>
          <w:tcPr>
            <w:tcW w:w="236" w:type="dxa"/>
            <w:shd w:val="clear" w:color="auto" w:fill="auto"/>
          </w:tcPr>
          <w:p w14:paraId="7F36990C" w14:textId="77777777" w:rsidR="00A22E4D" w:rsidRPr="006D21CC" w:rsidRDefault="00A22E4D" w:rsidP="00DF29AB">
            <w:pPr>
              <w:tabs>
                <w:tab w:val="left" w:pos="7560"/>
              </w:tabs>
              <w:spacing w:after="0"/>
              <w:rPr>
                <w:sz w:val="16"/>
                <w:szCs w:val="16"/>
              </w:rPr>
            </w:pPr>
          </w:p>
        </w:tc>
        <w:tc>
          <w:tcPr>
            <w:tcW w:w="236" w:type="dxa"/>
            <w:shd w:val="clear" w:color="auto" w:fill="auto"/>
          </w:tcPr>
          <w:p w14:paraId="6C9A6C6D" w14:textId="77777777" w:rsidR="00A22E4D" w:rsidRPr="006D21CC" w:rsidRDefault="00A22E4D" w:rsidP="00DF29AB">
            <w:pPr>
              <w:tabs>
                <w:tab w:val="left" w:pos="7560"/>
              </w:tabs>
              <w:spacing w:after="0"/>
              <w:rPr>
                <w:sz w:val="16"/>
                <w:szCs w:val="16"/>
              </w:rPr>
            </w:pPr>
          </w:p>
        </w:tc>
        <w:tc>
          <w:tcPr>
            <w:tcW w:w="236" w:type="dxa"/>
            <w:shd w:val="clear" w:color="auto" w:fill="auto"/>
          </w:tcPr>
          <w:p w14:paraId="7B3E703B" w14:textId="77777777" w:rsidR="00A22E4D" w:rsidRPr="006D21CC" w:rsidRDefault="00A22E4D" w:rsidP="00DF29AB">
            <w:pPr>
              <w:tabs>
                <w:tab w:val="left" w:pos="7560"/>
              </w:tabs>
              <w:spacing w:after="0"/>
              <w:rPr>
                <w:sz w:val="16"/>
                <w:szCs w:val="16"/>
              </w:rPr>
            </w:pPr>
          </w:p>
        </w:tc>
        <w:tc>
          <w:tcPr>
            <w:tcW w:w="236" w:type="dxa"/>
            <w:shd w:val="clear" w:color="auto" w:fill="auto"/>
          </w:tcPr>
          <w:p w14:paraId="25647129"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1955F0C3"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11022B87"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1B4CA6D9"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66A98D46"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119DAA59"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689CCBBB"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6240B600" w14:textId="77777777" w:rsidR="00A22E4D" w:rsidRPr="006D21CC" w:rsidRDefault="00A22E4D" w:rsidP="00DF29AB">
            <w:pPr>
              <w:tabs>
                <w:tab w:val="left" w:pos="7560"/>
              </w:tabs>
              <w:spacing w:after="0"/>
              <w:rPr>
                <w:sz w:val="16"/>
                <w:szCs w:val="16"/>
                <w:highlight w:val="yellow"/>
              </w:rPr>
            </w:pPr>
          </w:p>
        </w:tc>
        <w:tc>
          <w:tcPr>
            <w:tcW w:w="236" w:type="dxa"/>
            <w:shd w:val="clear" w:color="auto" w:fill="auto"/>
          </w:tcPr>
          <w:p w14:paraId="6792FB82" w14:textId="77777777" w:rsidR="00A22E4D" w:rsidRPr="006D21CC" w:rsidRDefault="00A22E4D" w:rsidP="00DF29AB">
            <w:pPr>
              <w:tabs>
                <w:tab w:val="left" w:pos="7560"/>
              </w:tabs>
              <w:spacing w:after="0"/>
              <w:rPr>
                <w:sz w:val="16"/>
                <w:szCs w:val="16"/>
              </w:rPr>
            </w:pPr>
          </w:p>
        </w:tc>
      </w:tr>
      <w:tr w:rsidR="00A22E4D" w:rsidRPr="006D21CC" w14:paraId="10B509AA" w14:textId="77777777" w:rsidTr="00DF29AB">
        <w:tc>
          <w:tcPr>
            <w:tcW w:w="2317" w:type="dxa"/>
            <w:shd w:val="clear" w:color="auto" w:fill="auto"/>
          </w:tcPr>
          <w:p w14:paraId="61162453" w14:textId="77777777" w:rsidR="00A22E4D" w:rsidRPr="006D21CC" w:rsidRDefault="00A22E4D" w:rsidP="00DF29AB">
            <w:pPr>
              <w:tabs>
                <w:tab w:val="left" w:pos="7560"/>
              </w:tabs>
              <w:spacing w:after="0"/>
              <w:rPr>
                <w:sz w:val="16"/>
                <w:szCs w:val="16"/>
              </w:rPr>
            </w:pPr>
            <w:r>
              <w:rPr>
                <w:sz w:val="16"/>
                <w:szCs w:val="16"/>
              </w:rPr>
              <w:t>Hold appropriate group meetings (men’s, women’s, youth, church)</w:t>
            </w:r>
          </w:p>
        </w:tc>
        <w:tc>
          <w:tcPr>
            <w:tcW w:w="1946" w:type="dxa"/>
          </w:tcPr>
          <w:p w14:paraId="297C64BD" w14:textId="77777777" w:rsidR="00A22E4D" w:rsidRPr="006D21CC" w:rsidRDefault="00A22E4D" w:rsidP="00DF29AB">
            <w:pPr>
              <w:tabs>
                <w:tab w:val="left" w:pos="7560"/>
              </w:tabs>
              <w:spacing w:after="0"/>
              <w:rPr>
                <w:sz w:val="16"/>
                <w:szCs w:val="16"/>
              </w:rPr>
            </w:pPr>
            <w:r>
              <w:rPr>
                <w:sz w:val="16"/>
                <w:szCs w:val="16"/>
              </w:rPr>
              <w:t>Meetings were held and presentation materials ready</w:t>
            </w:r>
          </w:p>
        </w:tc>
        <w:tc>
          <w:tcPr>
            <w:tcW w:w="236" w:type="dxa"/>
            <w:shd w:val="clear" w:color="auto" w:fill="D99594" w:themeFill="accent2" w:themeFillTint="99"/>
          </w:tcPr>
          <w:p w14:paraId="24315F4F"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15221977"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5837B3CF"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6BF9F446"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6F1D06BB"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479823F4"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32A81066"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7489DAD7"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679D5660"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1A078CD9"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2EB330DB"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2B661B19"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072A6A3F"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013AB667"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447433C8"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38F3597F"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6ABD3A45"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787160CC"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309B7C5A"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57FE677A"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55D4AAE8"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5AAD5C39"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47B7DDA9" w14:textId="77777777" w:rsidR="00A22E4D" w:rsidRPr="006D21CC" w:rsidRDefault="00A22E4D" w:rsidP="00DF29AB">
            <w:pPr>
              <w:tabs>
                <w:tab w:val="left" w:pos="7560"/>
              </w:tabs>
              <w:spacing w:after="0"/>
              <w:rPr>
                <w:sz w:val="16"/>
                <w:szCs w:val="16"/>
              </w:rPr>
            </w:pPr>
          </w:p>
        </w:tc>
        <w:tc>
          <w:tcPr>
            <w:tcW w:w="236" w:type="dxa"/>
            <w:shd w:val="clear" w:color="auto" w:fill="auto"/>
          </w:tcPr>
          <w:p w14:paraId="73BF65E5" w14:textId="77777777" w:rsidR="00A22E4D" w:rsidRPr="006D21CC" w:rsidRDefault="00A22E4D" w:rsidP="00DF29AB">
            <w:pPr>
              <w:tabs>
                <w:tab w:val="left" w:pos="7560"/>
              </w:tabs>
              <w:spacing w:after="0"/>
              <w:rPr>
                <w:sz w:val="16"/>
                <w:szCs w:val="16"/>
              </w:rPr>
            </w:pPr>
          </w:p>
        </w:tc>
      </w:tr>
      <w:tr w:rsidR="00A22E4D" w:rsidRPr="006D21CC" w14:paraId="5BFEE634" w14:textId="77777777" w:rsidTr="00DF29AB">
        <w:tc>
          <w:tcPr>
            <w:tcW w:w="2317" w:type="dxa"/>
            <w:shd w:val="clear" w:color="auto" w:fill="auto"/>
          </w:tcPr>
          <w:p w14:paraId="0C4081D2" w14:textId="77777777" w:rsidR="00A22E4D" w:rsidRPr="006D21CC" w:rsidRDefault="00A22E4D" w:rsidP="00DF29AB">
            <w:pPr>
              <w:tabs>
                <w:tab w:val="left" w:pos="7560"/>
              </w:tabs>
              <w:spacing w:after="0"/>
              <w:rPr>
                <w:sz w:val="16"/>
                <w:szCs w:val="16"/>
              </w:rPr>
            </w:pPr>
            <w:r>
              <w:rPr>
                <w:sz w:val="16"/>
                <w:szCs w:val="16"/>
              </w:rPr>
              <w:t>Hold appropriate individual meetings</w:t>
            </w:r>
          </w:p>
        </w:tc>
        <w:tc>
          <w:tcPr>
            <w:tcW w:w="1946" w:type="dxa"/>
          </w:tcPr>
          <w:p w14:paraId="21C11E92" w14:textId="77777777" w:rsidR="00A22E4D" w:rsidRPr="006D21CC" w:rsidRDefault="00A22E4D" w:rsidP="00DF29AB">
            <w:pPr>
              <w:tabs>
                <w:tab w:val="left" w:pos="7560"/>
              </w:tabs>
              <w:spacing w:after="0"/>
              <w:rPr>
                <w:sz w:val="16"/>
                <w:szCs w:val="16"/>
              </w:rPr>
            </w:pPr>
            <w:r>
              <w:rPr>
                <w:sz w:val="16"/>
                <w:szCs w:val="16"/>
              </w:rPr>
              <w:t>List of meetings grows</w:t>
            </w:r>
          </w:p>
        </w:tc>
        <w:tc>
          <w:tcPr>
            <w:tcW w:w="236" w:type="dxa"/>
            <w:shd w:val="clear" w:color="auto" w:fill="D99594" w:themeFill="accent2" w:themeFillTint="99"/>
          </w:tcPr>
          <w:p w14:paraId="08BE933F"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122380F3"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7716B26E"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3CC82317"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64F71061"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753C5012"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25D8C5E4"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082C7F58"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2E1DF955"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4EF30BB8"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5D156384"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18979858"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0ABC3633"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7177E7EA"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2008EE5A" w14:textId="77777777" w:rsidR="00A22E4D" w:rsidRPr="006D21CC" w:rsidRDefault="00A22E4D" w:rsidP="00DF29AB">
            <w:pPr>
              <w:tabs>
                <w:tab w:val="left" w:pos="7560"/>
              </w:tabs>
              <w:spacing w:after="0"/>
              <w:rPr>
                <w:sz w:val="16"/>
                <w:szCs w:val="16"/>
              </w:rPr>
            </w:pPr>
          </w:p>
        </w:tc>
        <w:tc>
          <w:tcPr>
            <w:tcW w:w="236" w:type="dxa"/>
            <w:shd w:val="clear" w:color="auto" w:fill="D99594" w:themeFill="accent2" w:themeFillTint="99"/>
          </w:tcPr>
          <w:p w14:paraId="11ACAD5E" w14:textId="77777777" w:rsidR="00A22E4D" w:rsidRPr="006D21CC" w:rsidRDefault="00A22E4D" w:rsidP="00DF29AB">
            <w:pPr>
              <w:tabs>
                <w:tab w:val="left" w:pos="7560"/>
              </w:tabs>
              <w:spacing w:after="0"/>
              <w:rPr>
                <w:sz w:val="16"/>
                <w:szCs w:val="16"/>
                <w:highlight w:val="yellow"/>
              </w:rPr>
            </w:pPr>
          </w:p>
        </w:tc>
        <w:tc>
          <w:tcPr>
            <w:tcW w:w="236" w:type="dxa"/>
            <w:shd w:val="clear" w:color="auto" w:fill="D99594" w:themeFill="accent2" w:themeFillTint="99"/>
          </w:tcPr>
          <w:p w14:paraId="2883AB3E" w14:textId="77777777" w:rsidR="00A22E4D" w:rsidRPr="006D21CC" w:rsidRDefault="00A22E4D" w:rsidP="00DF29AB">
            <w:pPr>
              <w:tabs>
                <w:tab w:val="left" w:pos="7560"/>
              </w:tabs>
              <w:spacing w:after="0"/>
              <w:rPr>
                <w:sz w:val="16"/>
                <w:szCs w:val="16"/>
                <w:highlight w:val="yellow"/>
              </w:rPr>
            </w:pPr>
          </w:p>
        </w:tc>
        <w:tc>
          <w:tcPr>
            <w:tcW w:w="236" w:type="dxa"/>
            <w:shd w:val="clear" w:color="auto" w:fill="D99594" w:themeFill="accent2" w:themeFillTint="99"/>
          </w:tcPr>
          <w:p w14:paraId="5E4D36EC" w14:textId="77777777" w:rsidR="00A22E4D" w:rsidRPr="006D21CC" w:rsidRDefault="00A22E4D" w:rsidP="00DF29AB">
            <w:pPr>
              <w:tabs>
                <w:tab w:val="left" w:pos="7560"/>
              </w:tabs>
              <w:spacing w:after="0"/>
              <w:rPr>
                <w:sz w:val="16"/>
                <w:szCs w:val="16"/>
                <w:highlight w:val="yellow"/>
              </w:rPr>
            </w:pPr>
          </w:p>
        </w:tc>
        <w:tc>
          <w:tcPr>
            <w:tcW w:w="236" w:type="dxa"/>
            <w:shd w:val="clear" w:color="auto" w:fill="D99594" w:themeFill="accent2" w:themeFillTint="99"/>
          </w:tcPr>
          <w:p w14:paraId="5340EDED" w14:textId="77777777" w:rsidR="00A22E4D" w:rsidRPr="006D21CC" w:rsidRDefault="00A22E4D" w:rsidP="00DF29AB">
            <w:pPr>
              <w:tabs>
                <w:tab w:val="left" w:pos="7560"/>
              </w:tabs>
              <w:spacing w:after="0"/>
              <w:rPr>
                <w:sz w:val="16"/>
                <w:szCs w:val="16"/>
                <w:highlight w:val="yellow"/>
              </w:rPr>
            </w:pPr>
          </w:p>
        </w:tc>
        <w:tc>
          <w:tcPr>
            <w:tcW w:w="236" w:type="dxa"/>
            <w:shd w:val="clear" w:color="auto" w:fill="D99594" w:themeFill="accent2" w:themeFillTint="99"/>
          </w:tcPr>
          <w:p w14:paraId="7CF4700A" w14:textId="77777777" w:rsidR="00A22E4D" w:rsidRPr="006D21CC" w:rsidRDefault="00A22E4D" w:rsidP="00DF29AB">
            <w:pPr>
              <w:tabs>
                <w:tab w:val="left" w:pos="7560"/>
              </w:tabs>
              <w:spacing w:after="0"/>
              <w:rPr>
                <w:sz w:val="16"/>
                <w:szCs w:val="16"/>
                <w:highlight w:val="yellow"/>
              </w:rPr>
            </w:pPr>
          </w:p>
        </w:tc>
        <w:tc>
          <w:tcPr>
            <w:tcW w:w="236" w:type="dxa"/>
            <w:shd w:val="clear" w:color="auto" w:fill="D99594" w:themeFill="accent2" w:themeFillTint="99"/>
          </w:tcPr>
          <w:p w14:paraId="487B32C2" w14:textId="77777777" w:rsidR="00A22E4D" w:rsidRPr="006D21CC" w:rsidRDefault="00A22E4D" w:rsidP="00DF29AB">
            <w:pPr>
              <w:tabs>
                <w:tab w:val="left" w:pos="7560"/>
              </w:tabs>
              <w:spacing w:after="0"/>
              <w:rPr>
                <w:sz w:val="16"/>
                <w:szCs w:val="16"/>
                <w:highlight w:val="yellow"/>
              </w:rPr>
            </w:pPr>
          </w:p>
        </w:tc>
        <w:tc>
          <w:tcPr>
            <w:tcW w:w="236" w:type="dxa"/>
            <w:shd w:val="clear" w:color="auto" w:fill="D99594" w:themeFill="accent2" w:themeFillTint="99"/>
          </w:tcPr>
          <w:p w14:paraId="39571185" w14:textId="77777777" w:rsidR="00A22E4D" w:rsidRPr="006D21CC" w:rsidRDefault="00A22E4D" w:rsidP="00DF29AB">
            <w:pPr>
              <w:tabs>
                <w:tab w:val="left" w:pos="7560"/>
              </w:tabs>
              <w:spacing w:after="0"/>
              <w:rPr>
                <w:sz w:val="16"/>
                <w:szCs w:val="16"/>
                <w:highlight w:val="yellow"/>
              </w:rPr>
            </w:pPr>
          </w:p>
        </w:tc>
        <w:tc>
          <w:tcPr>
            <w:tcW w:w="236" w:type="dxa"/>
            <w:shd w:val="clear" w:color="auto" w:fill="D99594" w:themeFill="accent2" w:themeFillTint="99"/>
          </w:tcPr>
          <w:p w14:paraId="5C47FB60" w14:textId="77777777" w:rsidR="00A22E4D" w:rsidRPr="006D21CC" w:rsidRDefault="00A22E4D" w:rsidP="00DF29AB">
            <w:pPr>
              <w:tabs>
                <w:tab w:val="left" w:pos="7560"/>
              </w:tabs>
              <w:spacing w:after="0"/>
              <w:rPr>
                <w:sz w:val="16"/>
                <w:szCs w:val="16"/>
                <w:highlight w:val="yellow"/>
              </w:rPr>
            </w:pPr>
          </w:p>
        </w:tc>
        <w:tc>
          <w:tcPr>
            <w:tcW w:w="236" w:type="dxa"/>
            <w:shd w:val="clear" w:color="auto" w:fill="D99594" w:themeFill="accent2" w:themeFillTint="99"/>
          </w:tcPr>
          <w:p w14:paraId="50836678" w14:textId="77777777" w:rsidR="00A22E4D" w:rsidRPr="006D21CC" w:rsidRDefault="00A22E4D" w:rsidP="00DF29AB">
            <w:pPr>
              <w:tabs>
                <w:tab w:val="left" w:pos="7560"/>
              </w:tabs>
              <w:spacing w:after="0"/>
              <w:rPr>
                <w:sz w:val="16"/>
                <w:szCs w:val="16"/>
              </w:rPr>
            </w:pPr>
          </w:p>
        </w:tc>
      </w:tr>
    </w:tbl>
    <w:p w14:paraId="3B84F62F" w14:textId="77777777" w:rsidR="006C560A" w:rsidRDefault="006C560A" w:rsidP="003B2A79">
      <w:pPr>
        <w:jc w:val="left"/>
        <w:sectPr w:rsidR="006C560A" w:rsidSect="00F20987">
          <w:pgSz w:w="12240" w:h="15840" w:code="1"/>
          <w:pgMar w:top="1440" w:right="1440" w:bottom="1440" w:left="1440" w:header="720" w:footer="720" w:gutter="0"/>
          <w:cols w:space="720"/>
          <w:docGrid w:linePitch="360"/>
        </w:sectPr>
      </w:pPr>
    </w:p>
    <w:p w14:paraId="40512C12" w14:textId="77777777" w:rsidR="00FD0662" w:rsidRDefault="00FD0662" w:rsidP="003B2A79">
      <w:pPr>
        <w:jc w:val="left"/>
        <w:sectPr w:rsidR="00FD0662" w:rsidSect="00F20987">
          <w:pgSz w:w="12240" w:h="15840" w:code="1"/>
          <w:pgMar w:top="1440" w:right="1440" w:bottom="1440" w:left="1440" w:header="720" w:footer="720" w:gutter="0"/>
          <w:cols w:space="720"/>
          <w:docGrid w:linePitch="360"/>
        </w:sectPr>
      </w:pPr>
    </w:p>
    <w:p w14:paraId="1F0AACC2" w14:textId="77777777" w:rsidR="00A22E4D" w:rsidRPr="006D63E5" w:rsidRDefault="00A22E4D" w:rsidP="00A22E4D">
      <w:pPr>
        <w:pStyle w:val="Footer"/>
        <w:spacing w:before="120" w:after="120"/>
        <w:jc w:val="right"/>
        <w:rPr>
          <w:b/>
          <w:sz w:val="20"/>
          <w:szCs w:val="20"/>
        </w:rPr>
      </w:pPr>
      <w:r w:rsidRPr="006D63E5">
        <w:rPr>
          <w:b/>
          <w:sz w:val="20"/>
          <w:szCs w:val="20"/>
        </w:rPr>
        <w:t>Annex 7</w:t>
      </w:r>
    </w:p>
    <w:p w14:paraId="77923E5A" w14:textId="77777777" w:rsidR="00A22E4D" w:rsidRPr="006D63E5" w:rsidRDefault="00A22E4D" w:rsidP="00A22E4D">
      <w:pPr>
        <w:pStyle w:val="Footer"/>
        <w:spacing w:before="120" w:after="120"/>
        <w:jc w:val="center"/>
        <w:rPr>
          <w:b/>
          <w:sz w:val="20"/>
          <w:szCs w:val="20"/>
        </w:rPr>
      </w:pPr>
      <w:r w:rsidRPr="006D63E5">
        <w:rPr>
          <w:b/>
          <w:sz w:val="20"/>
          <w:szCs w:val="20"/>
        </w:rPr>
        <w:t xml:space="preserve">Roles and responsibilities of main stakeholders of the project </w:t>
      </w: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3780"/>
        <w:gridCol w:w="2430"/>
        <w:gridCol w:w="540"/>
        <w:gridCol w:w="540"/>
        <w:gridCol w:w="630"/>
      </w:tblGrid>
      <w:tr w:rsidR="00A22E4D" w14:paraId="5DBE9C54" w14:textId="77777777" w:rsidTr="00DF29AB">
        <w:trPr>
          <w:cantSplit/>
          <w:trHeight w:val="1817"/>
          <w:tblHeader/>
        </w:trPr>
        <w:tc>
          <w:tcPr>
            <w:tcW w:w="2250" w:type="dxa"/>
            <w:shd w:val="clear" w:color="auto" w:fill="D6E3BC"/>
            <w:hideMark/>
          </w:tcPr>
          <w:p w14:paraId="406F0585" w14:textId="77777777" w:rsidR="00A22E4D" w:rsidRPr="006829D0" w:rsidRDefault="00A22E4D" w:rsidP="00DF29AB">
            <w:pPr>
              <w:tabs>
                <w:tab w:val="center" w:pos="4320"/>
                <w:tab w:val="right" w:pos="8640"/>
              </w:tabs>
              <w:spacing w:after="0"/>
              <w:jc w:val="center"/>
              <w:rPr>
                <w:rFonts w:eastAsia="Times New Roman" w:cs="Calibri"/>
                <w:b/>
                <w:color w:val="000000"/>
                <w:sz w:val="18"/>
                <w:szCs w:val="18"/>
              </w:rPr>
            </w:pPr>
            <w:r w:rsidRPr="006829D0">
              <w:rPr>
                <w:rFonts w:eastAsia="Times New Roman" w:cs="Calibri"/>
                <w:b/>
                <w:color w:val="000000"/>
                <w:sz w:val="18"/>
                <w:szCs w:val="18"/>
              </w:rPr>
              <w:t>Key Stakeholder</w:t>
            </w:r>
          </w:p>
        </w:tc>
        <w:tc>
          <w:tcPr>
            <w:tcW w:w="3780" w:type="dxa"/>
            <w:shd w:val="clear" w:color="auto" w:fill="D6E3BC"/>
            <w:hideMark/>
          </w:tcPr>
          <w:p w14:paraId="7E339ED9" w14:textId="77777777" w:rsidR="00A22E4D" w:rsidRPr="005D516A" w:rsidRDefault="00A22E4D" w:rsidP="00DF29AB">
            <w:pPr>
              <w:tabs>
                <w:tab w:val="center" w:pos="4320"/>
                <w:tab w:val="right" w:pos="8640"/>
              </w:tabs>
              <w:spacing w:after="0"/>
              <w:jc w:val="center"/>
              <w:rPr>
                <w:rFonts w:eastAsia="Times New Roman" w:cs="Calibri"/>
                <w:b/>
                <w:color w:val="000000"/>
                <w:sz w:val="18"/>
                <w:szCs w:val="18"/>
              </w:rPr>
            </w:pPr>
            <w:r w:rsidRPr="005D516A">
              <w:rPr>
                <w:rFonts w:eastAsia="Times New Roman" w:cs="Calibri"/>
                <w:b/>
                <w:color w:val="000000"/>
                <w:sz w:val="18"/>
                <w:szCs w:val="18"/>
              </w:rPr>
              <w:t>Role and responsibilities</w:t>
            </w:r>
          </w:p>
        </w:tc>
        <w:tc>
          <w:tcPr>
            <w:tcW w:w="2430" w:type="dxa"/>
            <w:shd w:val="clear" w:color="auto" w:fill="D6E3BC"/>
            <w:hideMark/>
          </w:tcPr>
          <w:p w14:paraId="1D61DB60" w14:textId="77777777" w:rsidR="00A22E4D" w:rsidRPr="005D516A" w:rsidRDefault="00A22E4D" w:rsidP="00DF29AB">
            <w:pPr>
              <w:tabs>
                <w:tab w:val="center" w:pos="4320"/>
                <w:tab w:val="right" w:pos="8640"/>
              </w:tabs>
              <w:spacing w:after="0"/>
              <w:jc w:val="center"/>
              <w:rPr>
                <w:rFonts w:eastAsia="Times New Roman" w:cs="Calibri"/>
                <w:b/>
                <w:color w:val="000000"/>
                <w:sz w:val="18"/>
                <w:szCs w:val="18"/>
              </w:rPr>
            </w:pPr>
            <w:r w:rsidRPr="005D516A">
              <w:rPr>
                <w:rFonts w:eastAsia="Times New Roman" w:cs="Calibri"/>
                <w:b/>
                <w:color w:val="000000"/>
                <w:sz w:val="18"/>
                <w:szCs w:val="18"/>
              </w:rPr>
              <w:t>Role in the project and involvement mechanism</w:t>
            </w:r>
          </w:p>
        </w:tc>
        <w:tc>
          <w:tcPr>
            <w:tcW w:w="540" w:type="dxa"/>
            <w:shd w:val="clear" w:color="auto" w:fill="D6E3BC"/>
            <w:textDirection w:val="btLr"/>
          </w:tcPr>
          <w:p w14:paraId="4E29C51F" w14:textId="77777777" w:rsidR="00A22E4D" w:rsidRPr="005D516A" w:rsidRDefault="00A22E4D" w:rsidP="00DF29AB">
            <w:pPr>
              <w:tabs>
                <w:tab w:val="center" w:pos="4320"/>
                <w:tab w:val="right" w:pos="8640"/>
              </w:tabs>
              <w:spacing w:after="0"/>
              <w:ind w:left="113" w:right="113"/>
              <w:jc w:val="left"/>
              <w:rPr>
                <w:rFonts w:eastAsia="Times New Roman" w:cs="Calibri"/>
                <w:b/>
                <w:color w:val="000000"/>
                <w:sz w:val="18"/>
                <w:szCs w:val="18"/>
              </w:rPr>
            </w:pPr>
            <w:r w:rsidRPr="005D516A">
              <w:rPr>
                <w:rFonts w:eastAsia="Times New Roman" w:cs="Calibri"/>
                <w:b/>
                <w:color w:val="000000"/>
                <w:sz w:val="18"/>
                <w:szCs w:val="18"/>
              </w:rPr>
              <w:t>Biosecurity Team</w:t>
            </w:r>
          </w:p>
        </w:tc>
        <w:tc>
          <w:tcPr>
            <w:tcW w:w="540" w:type="dxa"/>
            <w:shd w:val="clear" w:color="auto" w:fill="D6E3BC"/>
            <w:textDirection w:val="btLr"/>
          </w:tcPr>
          <w:p w14:paraId="337C0889" w14:textId="77777777" w:rsidR="00A22E4D" w:rsidRPr="005D516A" w:rsidRDefault="00A22E4D" w:rsidP="00DF29AB">
            <w:pPr>
              <w:tabs>
                <w:tab w:val="center" w:pos="4320"/>
                <w:tab w:val="right" w:pos="8640"/>
              </w:tabs>
              <w:spacing w:after="0"/>
              <w:ind w:left="113" w:right="113"/>
              <w:jc w:val="left"/>
              <w:rPr>
                <w:rFonts w:eastAsia="Times New Roman" w:cs="Calibri"/>
                <w:b/>
                <w:color w:val="000000"/>
                <w:sz w:val="18"/>
                <w:szCs w:val="18"/>
              </w:rPr>
            </w:pPr>
            <w:r w:rsidRPr="005D516A">
              <w:rPr>
                <w:rFonts w:eastAsia="Times New Roman" w:cs="Calibri"/>
                <w:b/>
                <w:color w:val="000000"/>
                <w:sz w:val="18"/>
                <w:szCs w:val="18"/>
              </w:rPr>
              <w:t>Landscape/Seascape Planning Team</w:t>
            </w:r>
          </w:p>
        </w:tc>
        <w:tc>
          <w:tcPr>
            <w:tcW w:w="630" w:type="dxa"/>
            <w:shd w:val="clear" w:color="auto" w:fill="D6E3BC"/>
            <w:textDirection w:val="btLr"/>
          </w:tcPr>
          <w:p w14:paraId="3860342E" w14:textId="77777777" w:rsidR="00A22E4D" w:rsidRPr="006829D0" w:rsidRDefault="00A22E4D" w:rsidP="00DF29AB">
            <w:pPr>
              <w:tabs>
                <w:tab w:val="center" w:pos="4320"/>
                <w:tab w:val="right" w:pos="8640"/>
              </w:tabs>
              <w:spacing w:after="0"/>
              <w:ind w:left="113" w:right="113"/>
              <w:jc w:val="left"/>
              <w:rPr>
                <w:rFonts w:eastAsia="Times New Roman" w:cs="Calibri"/>
                <w:b/>
                <w:color w:val="000000"/>
                <w:sz w:val="18"/>
                <w:szCs w:val="18"/>
              </w:rPr>
            </w:pPr>
            <w:r w:rsidRPr="005D516A">
              <w:rPr>
                <w:rFonts w:eastAsia="Times New Roman" w:cs="Calibri"/>
                <w:b/>
                <w:color w:val="000000"/>
                <w:sz w:val="18"/>
                <w:szCs w:val="18"/>
              </w:rPr>
              <w:t>Implementati</w:t>
            </w:r>
            <w:r w:rsidRPr="00585382">
              <w:rPr>
                <w:rFonts w:eastAsia="Times New Roman" w:cs="Calibri"/>
                <w:b/>
                <w:color w:val="000000"/>
                <w:sz w:val="18"/>
                <w:szCs w:val="18"/>
              </w:rPr>
              <w:t>ng B</w:t>
            </w:r>
            <w:r w:rsidRPr="006829D0">
              <w:rPr>
                <w:rFonts w:eastAsia="Times New Roman" w:cs="Calibri"/>
                <w:b/>
                <w:color w:val="000000"/>
                <w:sz w:val="18"/>
                <w:szCs w:val="18"/>
              </w:rPr>
              <w:t>est Practices</w:t>
            </w:r>
          </w:p>
        </w:tc>
      </w:tr>
      <w:tr w:rsidR="00A22E4D" w:rsidRPr="00EC4355" w14:paraId="5275FFF5" w14:textId="77777777" w:rsidTr="00DF29AB">
        <w:trPr>
          <w:trHeight w:val="224"/>
        </w:trPr>
        <w:tc>
          <w:tcPr>
            <w:tcW w:w="8460" w:type="dxa"/>
            <w:gridSpan w:val="3"/>
            <w:shd w:val="clear" w:color="auto" w:fill="D0CECE"/>
          </w:tcPr>
          <w:p w14:paraId="748037A0" w14:textId="77777777" w:rsidR="00A22E4D" w:rsidRPr="006829D0" w:rsidRDefault="00A22E4D" w:rsidP="00DF29AB">
            <w:pPr>
              <w:spacing w:after="0"/>
              <w:jc w:val="left"/>
              <w:rPr>
                <w:rFonts w:cs="Calibri"/>
                <w:b/>
                <w:sz w:val="18"/>
                <w:szCs w:val="18"/>
              </w:rPr>
            </w:pPr>
            <w:r w:rsidRPr="006829D0">
              <w:rPr>
                <w:b/>
                <w:color w:val="000000"/>
                <w:sz w:val="18"/>
                <w:szCs w:val="18"/>
              </w:rPr>
              <w:t>National Government Agencies</w:t>
            </w:r>
          </w:p>
        </w:tc>
        <w:tc>
          <w:tcPr>
            <w:tcW w:w="540" w:type="dxa"/>
            <w:shd w:val="clear" w:color="auto" w:fill="D0CECE"/>
          </w:tcPr>
          <w:p w14:paraId="75E2F1A7" w14:textId="77777777" w:rsidR="00A22E4D" w:rsidRPr="005D516A" w:rsidRDefault="00A22E4D" w:rsidP="00DF29AB">
            <w:pPr>
              <w:spacing w:after="0"/>
              <w:jc w:val="left"/>
              <w:rPr>
                <w:rFonts w:cs="Calibri"/>
                <w:b/>
                <w:sz w:val="18"/>
                <w:szCs w:val="18"/>
              </w:rPr>
            </w:pPr>
          </w:p>
        </w:tc>
        <w:tc>
          <w:tcPr>
            <w:tcW w:w="540" w:type="dxa"/>
            <w:shd w:val="clear" w:color="auto" w:fill="D0CECE"/>
          </w:tcPr>
          <w:p w14:paraId="1E5D8FAD" w14:textId="77777777" w:rsidR="00A22E4D" w:rsidRPr="005D516A" w:rsidRDefault="00A22E4D" w:rsidP="00DF29AB">
            <w:pPr>
              <w:spacing w:after="0"/>
              <w:jc w:val="left"/>
              <w:rPr>
                <w:rFonts w:cs="Calibri"/>
                <w:b/>
                <w:sz w:val="18"/>
                <w:szCs w:val="18"/>
              </w:rPr>
            </w:pPr>
          </w:p>
        </w:tc>
        <w:tc>
          <w:tcPr>
            <w:tcW w:w="630" w:type="dxa"/>
            <w:shd w:val="clear" w:color="auto" w:fill="D0CECE"/>
          </w:tcPr>
          <w:p w14:paraId="065DAB01" w14:textId="77777777" w:rsidR="00A22E4D" w:rsidRPr="005D516A" w:rsidRDefault="00A22E4D" w:rsidP="00DF29AB">
            <w:pPr>
              <w:spacing w:after="0"/>
              <w:jc w:val="left"/>
              <w:rPr>
                <w:rFonts w:cs="Calibri"/>
                <w:b/>
                <w:sz w:val="18"/>
                <w:szCs w:val="18"/>
              </w:rPr>
            </w:pPr>
          </w:p>
        </w:tc>
      </w:tr>
      <w:tr w:rsidR="00A22E4D" w14:paraId="34330B9E" w14:textId="77777777" w:rsidTr="00DF29AB">
        <w:trPr>
          <w:trHeight w:val="1412"/>
        </w:trPr>
        <w:tc>
          <w:tcPr>
            <w:tcW w:w="2250" w:type="dxa"/>
          </w:tcPr>
          <w:p w14:paraId="13E9357F" w14:textId="77777777" w:rsidR="00A22E4D" w:rsidRPr="005D516A" w:rsidRDefault="00A22E4D" w:rsidP="00DF29AB">
            <w:pPr>
              <w:widowControl w:val="0"/>
              <w:autoSpaceDE w:val="0"/>
              <w:autoSpaceDN w:val="0"/>
              <w:adjustRightInd w:val="0"/>
              <w:spacing w:after="0"/>
              <w:jc w:val="left"/>
              <w:rPr>
                <w:color w:val="000000"/>
                <w:sz w:val="18"/>
                <w:szCs w:val="18"/>
              </w:rPr>
            </w:pPr>
            <w:r w:rsidRPr="006829D0">
              <w:rPr>
                <w:color w:val="000000"/>
                <w:sz w:val="18"/>
                <w:szCs w:val="18"/>
              </w:rPr>
              <w:t xml:space="preserve">Ministry of Natural Resources Environment and Tourism (MNRET), Office of the Minister </w:t>
            </w:r>
          </w:p>
          <w:p w14:paraId="74B5F44B" w14:textId="77777777" w:rsidR="00A22E4D" w:rsidRPr="005D516A" w:rsidRDefault="00A22E4D" w:rsidP="00DF29AB">
            <w:pPr>
              <w:widowControl w:val="0"/>
              <w:autoSpaceDE w:val="0"/>
              <w:autoSpaceDN w:val="0"/>
              <w:adjustRightInd w:val="0"/>
              <w:spacing w:after="0"/>
              <w:jc w:val="left"/>
              <w:rPr>
                <w:color w:val="000000"/>
                <w:sz w:val="18"/>
                <w:szCs w:val="18"/>
              </w:rPr>
            </w:pPr>
          </w:p>
          <w:p w14:paraId="0369D311" w14:textId="77777777" w:rsidR="00A22E4D" w:rsidRPr="005D516A" w:rsidRDefault="00A22E4D" w:rsidP="00DF29AB">
            <w:pPr>
              <w:widowControl w:val="0"/>
              <w:autoSpaceDE w:val="0"/>
              <w:autoSpaceDN w:val="0"/>
              <w:adjustRightInd w:val="0"/>
              <w:spacing w:after="0"/>
              <w:jc w:val="left"/>
              <w:rPr>
                <w:color w:val="000000"/>
                <w:sz w:val="18"/>
                <w:szCs w:val="18"/>
              </w:rPr>
            </w:pPr>
            <w:r w:rsidRPr="005D516A">
              <w:rPr>
                <w:color w:val="000000"/>
                <w:sz w:val="18"/>
                <w:szCs w:val="18"/>
              </w:rPr>
              <w:t>MNRET’s Environmental Planning Unit</w:t>
            </w:r>
          </w:p>
        </w:tc>
        <w:tc>
          <w:tcPr>
            <w:tcW w:w="3780" w:type="dxa"/>
            <w:hideMark/>
          </w:tcPr>
          <w:p w14:paraId="0DD2E35C" w14:textId="77777777" w:rsidR="00A22E4D" w:rsidRPr="005D516A" w:rsidRDefault="00A22E4D" w:rsidP="00DF29AB">
            <w:pPr>
              <w:widowControl w:val="0"/>
              <w:autoSpaceDE w:val="0"/>
              <w:autoSpaceDN w:val="0"/>
              <w:adjustRightInd w:val="0"/>
              <w:spacing w:after="0"/>
              <w:jc w:val="left"/>
              <w:rPr>
                <w:rFonts w:cs="Calibri"/>
                <w:sz w:val="18"/>
                <w:szCs w:val="18"/>
              </w:rPr>
            </w:pPr>
            <w:r w:rsidRPr="006829D0">
              <w:rPr>
                <w:color w:val="000000"/>
                <w:sz w:val="18"/>
                <w:szCs w:val="18"/>
              </w:rPr>
              <w:t xml:space="preserve">MNRET is responsible for oversight of government initiated agricultural, forestry, fisheries and energy programs and </w:t>
            </w:r>
            <w:r w:rsidRPr="005D516A">
              <w:rPr>
                <w:color w:val="000000"/>
                <w:sz w:val="18"/>
                <w:szCs w:val="18"/>
              </w:rPr>
              <w:t>activities. MNRET oversees multiple natural resource management bureaus and offices, including BOA, BMR, BOT, and EPU, which will each play</w:t>
            </w:r>
            <w:r>
              <w:rPr>
                <w:color w:val="000000"/>
                <w:sz w:val="18"/>
                <w:szCs w:val="18"/>
              </w:rPr>
              <w:t>ing</w:t>
            </w:r>
            <w:r w:rsidRPr="005D516A">
              <w:rPr>
                <w:color w:val="000000"/>
                <w:sz w:val="18"/>
                <w:szCs w:val="18"/>
              </w:rPr>
              <w:t xml:space="preserve"> a key role in project implementation. </w:t>
            </w:r>
          </w:p>
        </w:tc>
        <w:tc>
          <w:tcPr>
            <w:tcW w:w="2430" w:type="dxa"/>
          </w:tcPr>
          <w:p w14:paraId="6E68EC07" w14:textId="77777777" w:rsidR="00A22E4D" w:rsidRPr="005D516A" w:rsidRDefault="00A22E4D" w:rsidP="00DF29AB">
            <w:pPr>
              <w:spacing w:after="0"/>
              <w:jc w:val="left"/>
              <w:rPr>
                <w:rFonts w:cs="Calibri"/>
                <w:sz w:val="18"/>
                <w:szCs w:val="18"/>
              </w:rPr>
            </w:pPr>
            <w:r w:rsidRPr="005D516A">
              <w:rPr>
                <w:rFonts w:cs="Calibri"/>
                <w:sz w:val="18"/>
                <w:szCs w:val="18"/>
              </w:rPr>
              <w:t>MNRET is the Executing Agency and home of the Project Manager. This is also where alignment with GEF STAR will happen.</w:t>
            </w:r>
          </w:p>
        </w:tc>
        <w:tc>
          <w:tcPr>
            <w:tcW w:w="540" w:type="dxa"/>
          </w:tcPr>
          <w:p w14:paraId="4A33BDCE" w14:textId="77777777" w:rsidR="00A22E4D" w:rsidRPr="005D516A" w:rsidRDefault="00A22E4D" w:rsidP="00DF29AB">
            <w:pPr>
              <w:spacing w:after="0"/>
              <w:jc w:val="left"/>
              <w:rPr>
                <w:rFonts w:cs="Calibri"/>
                <w:sz w:val="18"/>
                <w:szCs w:val="18"/>
              </w:rPr>
            </w:pPr>
            <w:r w:rsidRPr="005D516A">
              <w:rPr>
                <w:rFonts w:cs="Calibri"/>
                <w:sz w:val="18"/>
                <w:szCs w:val="18"/>
              </w:rPr>
              <w:t>x</w:t>
            </w:r>
          </w:p>
        </w:tc>
        <w:tc>
          <w:tcPr>
            <w:tcW w:w="540" w:type="dxa"/>
          </w:tcPr>
          <w:p w14:paraId="3E056C04" w14:textId="77777777" w:rsidR="00A22E4D" w:rsidRPr="005D516A" w:rsidRDefault="00A22E4D" w:rsidP="00DF29AB">
            <w:pPr>
              <w:spacing w:after="0"/>
              <w:jc w:val="left"/>
              <w:rPr>
                <w:rFonts w:cs="Calibri"/>
                <w:sz w:val="18"/>
                <w:szCs w:val="18"/>
              </w:rPr>
            </w:pPr>
            <w:r w:rsidRPr="005D516A">
              <w:rPr>
                <w:rFonts w:cs="Calibri"/>
                <w:sz w:val="18"/>
                <w:szCs w:val="18"/>
              </w:rPr>
              <w:t>x</w:t>
            </w:r>
          </w:p>
        </w:tc>
        <w:tc>
          <w:tcPr>
            <w:tcW w:w="630" w:type="dxa"/>
          </w:tcPr>
          <w:p w14:paraId="710DA9AB" w14:textId="77777777" w:rsidR="00A22E4D" w:rsidRPr="005D516A" w:rsidRDefault="00A22E4D" w:rsidP="00DF29AB">
            <w:pPr>
              <w:spacing w:after="0"/>
              <w:jc w:val="left"/>
              <w:rPr>
                <w:rFonts w:cs="Calibri"/>
                <w:sz w:val="18"/>
                <w:szCs w:val="18"/>
              </w:rPr>
            </w:pPr>
            <w:r w:rsidRPr="005D516A">
              <w:rPr>
                <w:rFonts w:cs="Calibri"/>
                <w:sz w:val="18"/>
                <w:szCs w:val="18"/>
              </w:rPr>
              <w:t>x</w:t>
            </w:r>
          </w:p>
        </w:tc>
      </w:tr>
      <w:tr w:rsidR="00A22E4D" w14:paraId="74F03034" w14:textId="77777777" w:rsidTr="00DF29AB">
        <w:trPr>
          <w:trHeight w:val="755"/>
        </w:trPr>
        <w:tc>
          <w:tcPr>
            <w:tcW w:w="2250" w:type="dxa"/>
          </w:tcPr>
          <w:p w14:paraId="2551880A" w14:textId="77777777" w:rsidR="00A22E4D" w:rsidRPr="006829D0" w:rsidRDefault="00A22E4D" w:rsidP="00DF29AB">
            <w:pPr>
              <w:widowControl w:val="0"/>
              <w:autoSpaceDE w:val="0"/>
              <w:autoSpaceDN w:val="0"/>
              <w:adjustRightInd w:val="0"/>
              <w:spacing w:after="0"/>
              <w:jc w:val="left"/>
              <w:rPr>
                <w:color w:val="000000"/>
                <w:sz w:val="18"/>
                <w:szCs w:val="18"/>
              </w:rPr>
            </w:pPr>
            <w:r w:rsidRPr="006829D0">
              <w:rPr>
                <w:color w:val="000000"/>
                <w:sz w:val="18"/>
                <w:szCs w:val="18"/>
              </w:rPr>
              <w:t xml:space="preserve">Bureau of Tourism (BOT), MNRET </w:t>
            </w:r>
          </w:p>
        </w:tc>
        <w:tc>
          <w:tcPr>
            <w:tcW w:w="3780" w:type="dxa"/>
          </w:tcPr>
          <w:p w14:paraId="43DCA0BA" w14:textId="0E3EE1CF" w:rsidR="00A22E4D" w:rsidRPr="006829D0" w:rsidRDefault="00A22E4D" w:rsidP="00DF29AB">
            <w:pPr>
              <w:widowControl w:val="0"/>
              <w:autoSpaceDE w:val="0"/>
              <w:autoSpaceDN w:val="0"/>
              <w:adjustRightInd w:val="0"/>
              <w:spacing w:after="0"/>
              <w:jc w:val="left"/>
              <w:rPr>
                <w:color w:val="000000"/>
                <w:sz w:val="18"/>
                <w:szCs w:val="18"/>
              </w:rPr>
            </w:pPr>
            <w:r w:rsidRPr="006829D0">
              <w:rPr>
                <w:color w:val="000000"/>
                <w:sz w:val="18"/>
                <w:szCs w:val="18"/>
              </w:rPr>
              <w:t>Oversees tourism in Palau through establishment of industry standards and regulations; respons</w:t>
            </w:r>
            <w:r w:rsidRPr="005D516A">
              <w:rPr>
                <w:color w:val="000000"/>
                <w:sz w:val="18"/>
                <w:szCs w:val="18"/>
              </w:rPr>
              <w:t>ible for development of Palau’s National Tourism Master Plan</w:t>
            </w:r>
            <w:r w:rsidR="00194AA1">
              <w:rPr>
                <w:color w:val="000000"/>
                <w:sz w:val="18"/>
                <w:szCs w:val="18"/>
              </w:rPr>
              <w:t xml:space="preserve">. </w:t>
            </w:r>
            <w:r>
              <w:rPr>
                <w:color w:val="000000"/>
                <w:sz w:val="18"/>
                <w:szCs w:val="18"/>
              </w:rPr>
              <w:t xml:space="preserve">BOT is responsible for developing </w:t>
            </w:r>
            <w:r w:rsidRPr="004D7624">
              <w:rPr>
                <w:color w:val="000000"/>
                <w:sz w:val="18"/>
                <w:szCs w:val="18"/>
              </w:rPr>
              <w:t>standards and green certification and implements the Sustainable Tourism Framework</w:t>
            </w:r>
            <w:r>
              <w:rPr>
                <w:color w:val="000000"/>
                <w:sz w:val="18"/>
                <w:szCs w:val="18"/>
              </w:rPr>
              <w:t>.</w:t>
            </w:r>
          </w:p>
        </w:tc>
        <w:tc>
          <w:tcPr>
            <w:tcW w:w="2430" w:type="dxa"/>
          </w:tcPr>
          <w:p w14:paraId="020EE926" w14:textId="18942190" w:rsidR="00A22E4D" w:rsidRPr="005D516A" w:rsidRDefault="00A22E4D" w:rsidP="00DF29AB">
            <w:pPr>
              <w:spacing w:after="0"/>
              <w:jc w:val="left"/>
              <w:rPr>
                <w:color w:val="000000"/>
                <w:sz w:val="18"/>
                <w:szCs w:val="18"/>
              </w:rPr>
            </w:pPr>
            <w:r w:rsidRPr="005D516A">
              <w:rPr>
                <w:color w:val="000000"/>
                <w:sz w:val="18"/>
                <w:szCs w:val="18"/>
              </w:rPr>
              <w:t xml:space="preserve">BOT will be actively involved in development of Land/Seascape plans and implementation of Best Practices in the ground as relates to tourism. </w:t>
            </w:r>
          </w:p>
        </w:tc>
        <w:tc>
          <w:tcPr>
            <w:tcW w:w="540" w:type="dxa"/>
          </w:tcPr>
          <w:p w14:paraId="111307A9" w14:textId="77777777" w:rsidR="00A22E4D" w:rsidRPr="005D516A" w:rsidRDefault="00A22E4D" w:rsidP="00DF29AB">
            <w:pPr>
              <w:spacing w:after="0"/>
              <w:jc w:val="left"/>
              <w:rPr>
                <w:color w:val="000000"/>
                <w:sz w:val="18"/>
                <w:szCs w:val="18"/>
              </w:rPr>
            </w:pPr>
          </w:p>
        </w:tc>
        <w:tc>
          <w:tcPr>
            <w:tcW w:w="540" w:type="dxa"/>
          </w:tcPr>
          <w:p w14:paraId="2219A25C" w14:textId="77777777" w:rsidR="00A22E4D" w:rsidRPr="005D516A" w:rsidRDefault="00A22E4D" w:rsidP="00DF29AB">
            <w:pPr>
              <w:spacing w:after="0"/>
              <w:jc w:val="left"/>
              <w:rPr>
                <w:color w:val="000000"/>
                <w:sz w:val="18"/>
                <w:szCs w:val="18"/>
              </w:rPr>
            </w:pPr>
            <w:r w:rsidRPr="005D516A">
              <w:rPr>
                <w:color w:val="000000"/>
                <w:sz w:val="18"/>
                <w:szCs w:val="18"/>
              </w:rPr>
              <w:t>x</w:t>
            </w:r>
          </w:p>
        </w:tc>
        <w:tc>
          <w:tcPr>
            <w:tcW w:w="630" w:type="dxa"/>
          </w:tcPr>
          <w:p w14:paraId="4C76643C" w14:textId="77777777" w:rsidR="00A22E4D" w:rsidRPr="005D516A" w:rsidRDefault="00A22E4D" w:rsidP="00DF29AB">
            <w:pPr>
              <w:spacing w:after="0"/>
              <w:jc w:val="left"/>
              <w:rPr>
                <w:color w:val="000000"/>
                <w:sz w:val="18"/>
                <w:szCs w:val="18"/>
              </w:rPr>
            </w:pPr>
            <w:r w:rsidRPr="005D516A">
              <w:rPr>
                <w:color w:val="000000"/>
                <w:sz w:val="18"/>
                <w:szCs w:val="18"/>
              </w:rPr>
              <w:t>x</w:t>
            </w:r>
          </w:p>
        </w:tc>
      </w:tr>
      <w:tr w:rsidR="00A22E4D" w14:paraId="2D562666" w14:textId="77777777" w:rsidTr="00DF29AB">
        <w:trPr>
          <w:trHeight w:val="548"/>
        </w:trPr>
        <w:tc>
          <w:tcPr>
            <w:tcW w:w="2250" w:type="dxa"/>
          </w:tcPr>
          <w:p w14:paraId="3D763600" w14:textId="77777777" w:rsidR="00A22E4D" w:rsidRPr="005D516A" w:rsidRDefault="00A22E4D" w:rsidP="00DF29AB">
            <w:pPr>
              <w:widowControl w:val="0"/>
              <w:autoSpaceDE w:val="0"/>
              <w:autoSpaceDN w:val="0"/>
              <w:adjustRightInd w:val="0"/>
              <w:spacing w:after="0"/>
              <w:jc w:val="left"/>
              <w:rPr>
                <w:color w:val="000000"/>
                <w:sz w:val="18"/>
                <w:szCs w:val="18"/>
              </w:rPr>
            </w:pPr>
            <w:r w:rsidRPr="006829D0">
              <w:rPr>
                <w:color w:val="000000"/>
                <w:sz w:val="18"/>
                <w:szCs w:val="18"/>
              </w:rPr>
              <w:t>Bureau of Agriculture (BOA) and Biosecurity Office</w:t>
            </w:r>
            <w:r w:rsidRPr="005D516A">
              <w:rPr>
                <w:color w:val="000000"/>
                <w:sz w:val="18"/>
                <w:szCs w:val="18"/>
              </w:rPr>
              <w:t xml:space="preserve"> </w:t>
            </w:r>
          </w:p>
        </w:tc>
        <w:tc>
          <w:tcPr>
            <w:tcW w:w="3780" w:type="dxa"/>
          </w:tcPr>
          <w:p w14:paraId="7B026242" w14:textId="77777777" w:rsidR="00A22E4D" w:rsidRPr="005D516A" w:rsidRDefault="00A22E4D" w:rsidP="00DF29AB">
            <w:pPr>
              <w:widowControl w:val="0"/>
              <w:autoSpaceDE w:val="0"/>
              <w:autoSpaceDN w:val="0"/>
              <w:adjustRightInd w:val="0"/>
              <w:spacing w:after="0"/>
              <w:jc w:val="left"/>
              <w:rPr>
                <w:color w:val="000000"/>
                <w:sz w:val="18"/>
                <w:szCs w:val="18"/>
              </w:rPr>
            </w:pPr>
            <w:r w:rsidRPr="005D516A">
              <w:rPr>
                <w:color w:val="000000"/>
                <w:sz w:val="18"/>
                <w:szCs w:val="18"/>
              </w:rPr>
              <w:t xml:space="preserve">Key agency in IAS prevention and management, integrated land, watershed and forestry management </w:t>
            </w:r>
          </w:p>
        </w:tc>
        <w:tc>
          <w:tcPr>
            <w:tcW w:w="2430" w:type="dxa"/>
          </w:tcPr>
          <w:p w14:paraId="25806A06" w14:textId="1E2A19CC" w:rsidR="00A22E4D" w:rsidRPr="005D516A" w:rsidRDefault="00A22E4D" w:rsidP="00DF29AB">
            <w:pPr>
              <w:spacing w:after="0"/>
              <w:jc w:val="left"/>
              <w:rPr>
                <w:color w:val="000000"/>
                <w:sz w:val="18"/>
                <w:szCs w:val="18"/>
              </w:rPr>
            </w:pPr>
            <w:r w:rsidRPr="005D516A">
              <w:rPr>
                <w:color w:val="000000"/>
                <w:sz w:val="18"/>
                <w:szCs w:val="18"/>
              </w:rPr>
              <w:t>BOA is a member of the NISC and the driving force behind promoting sustainable agriculture. BOA will have multiple roles in the project including biosecurity and land</w:t>
            </w:r>
            <w:r w:rsidR="00D15171">
              <w:rPr>
                <w:color w:val="000000"/>
                <w:sz w:val="18"/>
                <w:szCs w:val="18"/>
              </w:rPr>
              <w:t>/sea</w:t>
            </w:r>
            <w:r w:rsidRPr="005D516A">
              <w:rPr>
                <w:color w:val="000000"/>
                <w:sz w:val="18"/>
                <w:szCs w:val="18"/>
              </w:rPr>
              <w:t>scape mapping, state-based planning, and implementation of sustainable agriculture activities</w:t>
            </w:r>
          </w:p>
        </w:tc>
        <w:tc>
          <w:tcPr>
            <w:tcW w:w="540" w:type="dxa"/>
          </w:tcPr>
          <w:p w14:paraId="4A703F52" w14:textId="77777777" w:rsidR="00A22E4D" w:rsidRPr="005D516A" w:rsidRDefault="00A22E4D" w:rsidP="00DF29AB">
            <w:pPr>
              <w:spacing w:after="0"/>
              <w:jc w:val="left"/>
              <w:rPr>
                <w:color w:val="000000"/>
                <w:sz w:val="18"/>
                <w:szCs w:val="18"/>
              </w:rPr>
            </w:pPr>
            <w:r w:rsidRPr="005D516A">
              <w:rPr>
                <w:color w:val="000000"/>
                <w:sz w:val="18"/>
                <w:szCs w:val="18"/>
              </w:rPr>
              <w:t>x</w:t>
            </w:r>
          </w:p>
        </w:tc>
        <w:tc>
          <w:tcPr>
            <w:tcW w:w="540" w:type="dxa"/>
          </w:tcPr>
          <w:p w14:paraId="4F3A1025" w14:textId="77777777" w:rsidR="00A22E4D" w:rsidRPr="005D516A" w:rsidRDefault="00A22E4D" w:rsidP="00DF29AB">
            <w:pPr>
              <w:spacing w:after="0"/>
              <w:jc w:val="left"/>
              <w:rPr>
                <w:color w:val="000000"/>
                <w:sz w:val="18"/>
                <w:szCs w:val="18"/>
              </w:rPr>
            </w:pPr>
            <w:r w:rsidRPr="005D516A">
              <w:rPr>
                <w:color w:val="000000"/>
                <w:sz w:val="18"/>
                <w:szCs w:val="18"/>
              </w:rPr>
              <w:t>x</w:t>
            </w:r>
          </w:p>
        </w:tc>
        <w:tc>
          <w:tcPr>
            <w:tcW w:w="630" w:type="dxa"/>
          </w:tcPr>
          <w:p w14:paraId="018A2FBD" w14:textId="77777777" w:rsidR="00A22E4D" w:rsidRPr="005D516A" w:rsidRDefault="00A22E4D" w:rsidP="00DF29AB">
            <w:pPr>
              <w:spacing w:after="0"/>
              <w:jc w:val="left"/>
              <w:rPr>
                <w:color w:val="000000"/>
                <w:sz w:val="18"/>
                <w:szCs w:val="18"/>
              </w:rPr>
            </w:pPr>
            <w:r w:rsidRPr="005D516A">
              <w:rPr>
                <w:color w:val="000000"/>
                <w:sz w:val="18"/>
                <w:szCs w:val="18"/>
              </w:rPr>
              <w:t>x</w:t>
            </w:r>
          </w:p>
        </w:tc>
      </w:tr>
      <w:tr w:rsidR="00A22E4D" w14:paraId="1C1F0BDD" w14:textId="77777777" w:rsidTr="00DF29AB">
        <w:trPr>
          <w:trHeight w:val="890"/>
        </w:trPr>
        <w:tc>
          <w:tcPr>
            <w:tcW w:w="2250" w:type="dxa"/>
          </w:tcPr>
          <w:p w14:paraId="5D0BEE7F" w14:textId="77777777" w:rsidR="00A22E4D" w:rsidRPr="006829D0" w:rsidRDefault="00A22E4D" w:rsidP="00DF29AB">
            <w:pPr>
              <w:widowControl w:val="0"/>
              <w:autoSpaceDE w:val="0"/>
              <w:autoSpaceDN w:val="0"/>
              <w:adjustRightInd w:val="0"/>
              <w:spacing w:after="0"/>
              <w:jc w:val="left"/>
              <w:rPr>
                <w:color w:val="000000"/>
                <w:sz w:val="18"/>
                <w:szCs w:val="18"/>
              </w:rPr>
            </w:pPr>
            <w:r w:rsidRPr="006829D0">
              <w:rPr>
                <w:color w:val="000000"/>
                <w:sz w:val="18"/>
                <w:szCs w:val="18"/>
              </w:rPr>
              <w:t>Division of Fish and Wildlife Protection (DFWP), Ministry of Justice</w:t>
            </w:r>
          </w:p>
        </w:tc>
        <w:tc>
          <w:tcPr>
            <w:tcW w:w="3780" w:type="dxa"/>
          </w:tcPr>
          <w:p w14:paraId="2DC96281" w14:textId="77777777" w:rsidR="00A22E4D" w:rsidRPr="005D516A" w:rsidRDefault="00A22E4D" w:rsidP="00DF29AB">
            <w:pPr>
              <w:widowControl w:val="0"/>
              <w:autoSpaceDE w:val="0"/>
              <w:autoSpaceDN w:val="0"/>
              <w:adjustRightInd w:val="0"/>
              <w:spacing w:after="0"/>
              <w:jc w:val="left"/>
              <w:rPr>
                <w:color w:val="000000"/>
                <w:sz w:val="18"/>
                <w:szCs w:val="18"/>
              </w:rPr>
            </w:pPr>
            <w:r w:rsidRPr="005D516A">
              <w:rPr>
                <w:color w:val="000000"/>
                <w:sz w:val="18"/>
                <w:szCs w:val="18"/>
              </w:rPr>
              <w:t xml:space="preserve">Primary authority for enforcing criminal laws protecting the environment inside of reefs. DFWP also plays a role in community relations and education regarding environmental issues. </w:t>
            </w:r>
          </w:p>
        </w:tc>
        <w:tc>
          <w:tcPr>
            <w:tcW w:w="2430" w:type="dxa"/>
          </w:tcPr>
          <w:p w14:paraId="21D4C149" w14:textId="77777777" w:rsidR="00A22E4D" w:rsidRPr="005D516A" w:rsidRDefault="00A22E4D" w:rsidP="00DF29AB">
            <w:pPr>
              <w:spacing w:after="0"/>
              <w:jc w:val="left"/>
              <w:rPr>
                <w:color w:val="000000"/>
                <w:sz w:val="18"/>
                <w:szCs w:val="18"/>
              </w:rPr>
            </w:pPr>
            <w:r w:rsidRPr="005D516A">
              <w:rPr>
                <w:color w:val="000000"/>
                <w:sz w:val="18"/>
                <w:szCs w:val="18"/>
              </w:rPr>
              <w:t>DFWP will be asked to contribute to biosecurity activities and will be a implementation partner on compliance and enforcement activities</w:t>
            </w:r>
          </w:p>
        </w:tc>
        <w:tc>
          <w:tcPr>
            <w:tcW w:w="540" w:type="dxa"/>
          </w:tcPr>
          <w:p w14:paraId="7A07DFDD" w14:textId="77777777" w:rsidR="00A22E4D" w:rsidRPr="005D516A" w:rsidRDefault="00A22E4D" w:rsidP="00DF29AB">
            <w:pPr>
              <w:spacing w:after="0"/>
              <w:jc w:val="left"/>
              <w:rPr>
                <w:color w:val="000000"/>
                <w:sz w:val="18"/>
                <w:szCs w:val="18"/>
              </w:rPr>
            </w:pPr>
            <w:r w:rsidRPr="005D516A">
              <w:rPr>
                <w:color w:val="000000"/>
                <w:sz w:val="18"/>
                <w:szCs w:val="18"/>
              </w:rPr>
              <w:t>x</w:t>
            </w:r>
          </w:p>
        </w:tc>
        <w:tc>
          <w:tcPr>
            <w:tcW w:w="540" w:type="dxa"/>
          </w:tcPr>
          <w:p w14:paraId="1B241307" w14:textId="77777777" w:rsidR="00A22E4D" w:rsidRPr="005D516A" w:rsidRDefault="00A22E4D" w:rsidP="00DF29AB">
            <w:pPr>
              <w:spacing w:after="0"/>
              <w:jc w:val="left"/>
              <w:rPr>
                <w:color w:val="000000"/>
                <w:sz w:val="18"/>
                <w:szCs w:val="18"/>
              </w:rPr>
            </w:pPr>
          </w:p>
        </w:tc>
        <w:tc>
          <w:tcPr>
            <w:tcW w:w="630" w:type="dxa"/>
          </w:tcPr>
          <w:p w14:paraId="51FAC331" w14:textId="77777777" w:rsidR="00A22E4D" w:rsidRPr="005D516A" w:rsidRDefault="00A22E4D" w:rsidP="00DF29AB">
            <w:pPr>
              <w:spacing w:after="0"/>
              <w:jc w:val="left"/>
              <w:rPr>
                <w:color w:val="000000"/>
                <w:sz w:val="18"/>
                <w:szCs w:val="18"/>
              </w:rPr>
            </w:pPr>
            <w:r w:rsidRPr="005D516A">
              <w:rPr>
                <w:color w:val="000000"/>
                <w:sz w:val="18"/>
                <w:szCs w:val="18"/>
              </w:rPr>
              <w:t>x</w:t>
            </w:r>
          </w:p>
        </w:tc>
      </w:tr>
      <w:tr w:rsidR="00A22E4D" w14:paraId="5F5E2484" w14:textId="77777777" w:rsidTr="00DF29AB">
        <w:trPr>
          <w:trHeight w:val="332"/>
        </w:trPr>
        <w:tc>
          <w:tcPr>
            <w:tcW w:w="2250" w:type="dxa"/>
            <w:shd w:val="clear" w:color="auto" w:fill="FFFFFF"/>
          </w:tcPr>
          <w:p w14:paraId="6E16E7B0" w14:textId="77777777" w:rsidR="00A22E4D" w:rsidRPr="005D516A" w:rsidRDefault="00A22E4D" w:rsidP="00DF29AB">
            <w:pPr>
              <w:widowControl w:val="0"/>
              <w:autoSpaceDE w:val="0"/>
              <w:autoSpaceDN w:val="0"/>
              <w:adjustRightInd w:val="0"/>
              <w:spacing w:after="0"/>
              <w:jc w:val="left"/>
              <w:rPr>
                <w:color w:val="000000"/>
                <w:sz w:val="18"/>
                <w:szCs w:val="18"/>
              </w:rPr>
            </w:pPr>
            <w:r w:rsidRPr="006829D0">
              <w:rPr>
                <w:color w:val="000000"/>
                <w:sz w:val="18"/>
                <w:szCs w:val="18"/>
              </w:rPr>
              <w:t xml:space="preserve">Office of the Palau Automated Land and Resources Information Systems (PALARIS), </w:t>
            </w:r>
            <w:r w:rsidRPr="005D516A">
              <w:rPr>
                <w:rStyle w:val="st"/>
                <w:sz w:val="18"/>
                <w:szCs w:val="18"/>
              </w:rPr>
              <w:t>Public Infrastructure, Industries, and Commerce (MPIIC)</w:t>
            </w:r>
          </w:p>
        </w:tc>
        <w:tc>
          <w:tcPr>
            <w:tcW w:w="3780" w:type="dxa"/>
            <w:shd w:val="clear" w:color="auto" w:fill="FFFFFF"/>
          </w:tcPr>
          <w:p w14:paraId="7FC332EF" w14:textId="77777777" w:rsidR="00A22E4D" w:rsidRPr="005D516A" w:rsidRDefault="00A22E4D" w:rsidP="00DF29AB">
            <w:pPr>
              <w:widowControl w:val="0"/>
              <w:autoSpaceDE w:val="0"/>
              <w:autoSpaceDN w:val="0"/>
              <w:adjustRightInd w:val="0"/>
              <w:spacing w:after="0"/>
              <w:jc w:val="left"/>
              <w:rPr>
                <w:color w:val="000000"/>
                <w:sz w:val="18"/>
                <w:szCs w:val="18"/>
              </w:rPr>
            </w:pPr>
            <w:r w:rsidRPr="005D516A">
              <w:rPr>
                <w:color w:val="000000"/>
                <w:sz w:val="18"/>
                <w:szCs w:val="18"/>
              </w:rPr>
              <w:t>PALARIS provides valuable mapping services that support land use planning and management. The Bureau of Lands and Surveys is associated with PALARIS and feeds field survey data into the GIS Database housed at PALARIS.</w:t>
            </w:r>
          </w:p>
        </w:tc>
        <w:tc>
          <w:tcPr>
            <w:tcW w:w="2430" w:type="dxa"/>
            <w:shd w:val="clear" w:color="auto" w:fill="FFFFFF"/>
          </w:tcPr>
          <w:p w14:paraId="7E85FF85" w14:textId="305837EA" w:rsidR="00A22E4D" w:rsidRPr="005D516A" w:rsidRDefault="00A22E4D" w:rsidP="00DF29AB">
            <w:pPr>
              <w:spacing w:after="0"/>
              <w:jc w:val="left"/>
              <w:rPr>
                <w:color w:val="000000"/>
                <w:sz w:val="18"/>
                <w:szCs w:val="18"/>
              </w:rPr>
            </w:pPr>
            <w:r w:rsidRPr="005D516A">
              <w:rPr>
                <w:color w:val="000000"/>
                <w:sz w:val="18"/>
                <w:szCs w:val="18"/>
              </w:rPr>
              <w:t xml:space="preserve">PALARIS will be the hub of </w:t>
            </w:r>
            <w:r w:rsidR="00D15171">
              <w:rPr>
                <w:color w:val="000000"/>
                <w:sz w:val="18"/>
                <w:szCs w:val="18"/>
              </w:rPr>
              <w:t>l</w:t>
            </w:r>
            <w:r w:rsidRPr="005D516A">
              <w:rPr>
                <w:color w:val="000000"/>
                <w:sz w:val="18"/>
                <w:szCs w:val="18"/>
              </w:rPr>
              <w:t>and/</w:t>
            </w:r>
            <w:r w:rsidR="00D15171">
              <w:rPr>
                <w:color w:val="000000"/>
                <w:sz w:val="18"/>
                <w:szCs w:val="18"/>
              </w:rPr>
              <w:t>s</w:t>
            </w:r>
            <w:r w:rsidRPr="005D516A">
              <w:rPr>
                <w:color w:val="000000"/>
                <w:sz w:val="18"/>
                <w:szCs w:val="18"/>
              </w:rPr>
              <w:t>eascape mapping, but will play a support role for other project components</w:t>
            </w:r>
          </w:p>
        </w:tc>
        <w:tc>
          <w:tcPr>
            <w:tcW w:w="540" w:type="dxa"/>
            <w:shd w:val="clear" w:color="auto" w:fill="FFFFFF"/>
          </w:tcPr>
          <w:p w14:paraId="75A88587" w14:textId="77777777" w:rsidR="00A22E4D" w:rsidRPr="005D516A" w:rsidRDefault="00A22E4D" w:rsidP="00DF29AB">
            <w:pPr>
              <w:spacing w:after="0"/>
              <w:jc w:val="left"/>
              <w:rPr>
                <w:color w:val="000000"/>
                <w:sz w:val="18"/>
                <w:szCs w:val="18"/>
              </w:rPr>
            </w:pPr>
          </w:p>
        </w:tc>
        <w:tc>
          <w:tcPr>
            <w:tcW w:w="540" w:type="dxa"/>
            <w:shd w:val="clear" w:color="auto" w:fill="FFFFFF"/>
          </w:tcPr>
          <w:p w14:paraId="5D1781C1" w14:textId="77777777" w:rsidR="00A22E4D" w:rsidRPr="005D516A" w:rsidRDefault="00A22E4D" w:rsidP="00DF29AB">
            <w:pPr>
              <w:spacing w:after="0"/>
              <w:jc w:val="left"/>
              <w:rPr>
                <w:color w:val="000000"/>
                <w:sz w:val="18"/>
                <w:szCs w:val="18"/>
              </w:rPr>
            </w:pPr>
            <w:r w:rsidRPr="005D516A">
              <w:rPr>
                <w:color w:val="000000"/>
                <w:sz w:val="18"/>
                <w:szCs w:val="18"/>
              </w:rPr>
              <w:t>x</w:t>
            </w:r>
          </w:p>
        </w:tc>
        <w:tc>
          <w:tcPr>
            <w:tcW w:w="630" w:type="dxa"/>
            <w:shd w:val="clear" w:color="auto" w:fill="FFFFFF"/>
          </w:tcPr>
          <w:p w14:paraId="69D9B0BD" w14:textId="77777777" w:rsidR="00A22E4D" w:rsidRPr="005D516A" w:rsidRDefault="00A22E4D" w:rsidP="00DF29AB">
            <w:pPr>
              <w:spacing w:after="0"/>
              <w:jc w:val="left"/>
              <w:rPr>
                <w:color w:val="000000"/>
                <w:sz w:val="18"/>
                <w:szCs w:val="18"/>
              </w:rPr>
            </w:pPr>
          </w:p>
        </w:tc>
      </w:tr>
      <w:tr w:rsidR="00A22E4D" w14:paraId="57042A8C" w14:textId="77777777" w:rsidTr="00DF29AB">
        <w:trPr>
          <w:trHeight w:val="701"/>
        </w:trPr>
        <w:tc>
          <w:tcPr>
            <w:tcW w:w="2250" w:type="dxa"/>
          </w:tcPr>
          <w:p w14:paraId="39ABBE56" w14:textId="77777777" w:rsidR="00A22E4D" w:rsidRPr="006829D0" w:rsidRDefault="00A22E4D" w:rsidP="00DF29AB">
            <w:pPr>
              <w:widowControl w:val="0"/>
              <w:autoSpaceDE w:val="0"/>
              <w:autoSpaceDN w:val="0"/>
              <w:adjustRightInd w:val="0"/>
              <w:spacing w:after="0"/>
              <w:jc w:val="left"/>
              <w:rPr>
                <w:color w:val="000000"/>
                <w:sz w:val="18"/>
                <w:szCs w:val="18"/>
              </w:rPr>
            </w:pPr>
            <w:r w:rsidRPr="006829D0">
              <w:rPr>
                <w:color w:val="000000"/>
                <w:sz w:val="18"/>
                <w:szCs w:val="18"/>
              </w:rPr>
              <w:t>Secretariat of the National Environmental Protection Council (NEPC), PALARIS, MPIIC</w:t>
            </w:r>
          </w:p>
        </w:tc>
        <w:tc>
          <w:tcPr>
            <w:tcW w:w="3780" w:type="dxa"/>
          </w:tcPr>
          <w:p w14:paraId="0CB1AFAE" w14:textId="77777777" w:rsidR="00A22E4D" w:rsidRPr="005D516A" w:rsidRDefault="00A22E4D" w:rsidP="00DF29AB">
            <w:pPr>
              <w:widowControl w:val="0"/>
              <w:autoSpaceDE w:val="0"/>
              <w:autoSpaceDN w:val="0"/>
              <w:adjustRightInd w:val="0"/>
              <w:spacing w:after="0"/>
              <w:jc w:val="left"/>
              <w:rPr>
                <w:color w:val="000000"/>
                <w:sz w:val="18"/>
                <w:szCs w:val="18"/>
              </w:rPr>
            </w:pPr>
            <w:r w:rsidRPr="005D516A">
              <w:rPr>
                <w:color w:val="000000"/>
                <w:sz w:val="18"/>
                <w:szCs w:val="18"/>
              </w:rPr>
              <w:t>The NEPC consists of Government Agency heads of all of the environmental agencies, and is mandated by Executive Order. The Secretariat of the NEPC also acts as the National Environmental Planner.</w:t>
            </w:r>
          </w:p>
        </w:tc>
        <w:tc>
          <w:tcPr>
            <w:tcW w:w="2430" w:type="dxa"/>
          </w:tcPr>
          <w:p w14:paraId="17AD4FCD" w14:textId="588A3B64" w:rsidR="00A22E4D" w:rsidRPr="005D516A" w:rsidRDefault="00A22E4D" w:rsidP="00DF29AB">
            <w:pPr>
              <w:spacing w:after="0"/>
              <w:jc w:val="left"/>
              <w:rPr>
                <w:rFonts w:cs="Calibri"/>
                <w:sz w:val="18"/>
                <w:szCs w:val="18"/>
              </w:rPr>
            </w:pPr>
            <w:r w:rsidRPr="005D516A">
              <w:rPr>
                <w:rFonts w:cs="Calibri"/>
                <w:sz w:val="18"/>
                <w:szCs w:val="18"/>
              </w:rPr>
              <w:t xml:space="preserve">The NEPC will play a large role in aligning activities across agencies and ensuring that </w:t>
            </w:r>
            <w:r w:rsidR="00D15171">
              <w:rPr>
                <w:rFonts w:cs="Calibri"/>
                <w:sz w:val="18"/>
                <w:szCs w:val="18"/>
              </w:rPr>
              <w:t>l</w:t>
            </w:r>
            <w:r w:rsidRPr="005D516A">
              <w:rPr>
                <w:rFonts w:cs="Calibri"/>
                <w:sz w:val="18"/>
                <w:szCs w:val="18"/>
              </w:rPr>
              <w:t xml:space="preserve">and/Seascape Plans are mainstreamed with the Agency Plans. Through the NEPC joint work planning process, areas for joint implementation will be identified. In the long-term, a lasting Joint </w:t>
            </w:r>
            <w:r w:rsidR="00D15171">
              <w:rPr>
                <w:rFonts w:cs="Calibri"/>
                <w:sz w:val="18"/>
                <w:szCs w:val="18"/>
              </w:rPr>
              <w:t>l</w:t>
            </w:r>
            <w:r w:rsidRPr="005D516A">
              <w:rPr>
                <w:rFonts w:cs="Calibri"/>
                <w:sz w:val="18"/>
                <w:szCs w:val="18"/>
              </w:rPr>
              <w:t>and/</w:t>
            </w:r>
            <w:r w:rsidR="00D15171">
              <w:rPr>
                <w:rFonts w:cs="Calibri"/>
                <w:sz w:val="18"/>
                <w:szCs w:val="18"/>
              </w:rPr>
              <w:t>s</w:t>
            </w:r>
            <w:r w:rsidRPr="005D516A">
              <w:rPr>
                <w:rFonts w:cs="Calibri"/>
                <w:sz w:val="18"/>
                <w:szCs w:val="18"/>
              </w:rPr>
              <w:t>eascape Coordination Committee is to be institutionalized a permanent subcommittee of the NEPC. The Secretariat Office plays a key role in bringing all members of the NEPC together.</w:t>
            </w:r>
          </w:p>
        </w:tc>
        <w:tc>
          <w:tcPr>
            <w:tcW w:w="540" w:type="dxa"/>
          </w:tcPr>
          <w:p w14:paraId="6EDB17AE" w14:textId="77777777" w:rsidR="00A22E4D" w:rsidRPr="005D516A" w:rsidRDefault="00A22E4D" w:rsidP="00DF29AB">
            <w:pPr>
              <w:spacing w:after="0"/>
              <w:jc w:val="left"/>
              <w:rPr>
                <w:rFonts w:cs="Calibri"/>
                <w:sz w:val="18"/>
                <w:szCs w:val="18"/>
              </w:rPr>
            </w:pPr>
            <w:r w:rsidRPr="005D516A">
              <w:rPr>
                <w:rFonts w:cs="Calibri"/>
                <w:sz w:val="18"/>
                <w:szCs w:val="18"/>
              </w:rPr>
              <w:t>x</w:t>
            </w:r>
          </w:p>
        </w:tc>
        <w:tc>
          <w:tcPr>
            <w:tcW w:w="540" w:type="dxa"/>
          </w:tcPr>
          <w:p w14:paraId="66284E7E" w14:textId="77777777" w:rsidR="00A22E4D" w:rsidRPr="005D516A" w:rsidRDefault="00A22E4D" w:rsidP="00DF29AB">
            <w:pPr>
              <w:spacing w:after="0"/>
              <w:jc w:val="left"/>
              <w:rPr>
                <w:rFonts w:cs="Calibri"/>
                <w:sz w:val="18"/>
                <w:szCs w:val="18"/>
              </w:rPr>
            </w:pPr>
            <w:r w:rsidRPr="005D516A">
              <w:rPr>
                <w:rFonts w:cs="Calibri"/>
                <w:sz w:val="18"/>
                <w:szCs w:val="18"/>
              </w:rPr>
              <w:t>x</w:t>
            </w:r>
          </w:p>
        </w:tc>
        <w:tc>
          <w:tcPr>
            <w:tcW w:w="630" w:type="dxa"/>
          </w:tcPr>
          <w:p w14:paraId="33582159" w14:textId="77777777" w:rsidR="00A22E4D" w:rsidRPr="005D516A" w:rsidRDefault="00A22E4D" w:rsidP="00DF29AB">
            <w:pPr>
              <w:spacing w:after="0"/>
              <w:jc w:val="left"/>
              <w:rPr>
                <w:rFonts w:cs="Calibri"/>
                <w:sz w:val="18"/>
                <w:szCs w:val="18"/>
              </w:rPr>
            </w:pPr>
            <w:r w:rsidRPr="005D516A">
              <w:rPr>
                <w:rFonts w:cs="Calibri"/>
                <w:sz w:val="18"/>
                <w:szCs w:val="18"/>
              </w:rPr>
              <w:t>x</w:t>
            </w:r>
          </w:p>
        </w:tc>
      </w:tr>
      <w:tr w:rsidR="00A22E4D" w14:paraId="395E624E" w14:textId="77777777" w:rsidTr="00DF29AB">
        <w:trPr>
          <w:trHeight w:val="701"/>
        </w:trPr>
        <w:tc>
          <w:tcPr>
            <w:tcW w:w="2250" w:type="dxa"/>
          </w:tcPr>
          <w:p w14:paraId="55E1272E" w14:textId="77777777" w:rsidR="00A22E4D" w:rsidRPr="005D516A" w:rsidRDefault="00A22E4D" w:rsidP="00DF29AB">
            <w:pPr>
              <w:widowControl w:val="0"/>
              <w:autoSpaceDE w:val="0"/>
              <w:autoSpaceDN w:val="0"/>
              <w:adjustRightInd w:val="0"/>
              <w:spacing w:after="0"/>
              <w:jc w:val="left"/>
              <w:rPr>
                <w:color w:val="000000"/>
                <w:sz w:val="18"/>
                <w:szCs w:val="18"/>
              </w:rPr>
            </w:pPr>
            <w:r w:rsidRPr="006829D0">
              <w:rPr>
                <w:color w:val="000000"/>
                <w:sz w:val="18"/>
                <w:szCs w:val="18"/>
              </w:rPr>
              <w:t>Ministry of Community and Cultural Affairs, Bureau of Aging and Ge</w:t>
            </w:r>
            <w:r w:rsidRPr="005D516A">
              <w:rPr>
                <w:color w:val="000000"/>
                <w:sz w:val="18"/>
                <w:szCs w:val="18"/>
              </w:rPr>
              <w:t>nder, Gender Division</w:t>
            </w:r>
          </w:p>
        </w:tc>
        <w:tc>
          <w:tcPr>
            <w:tcW w:w="3780" w:type="dxa"/>
          </w:tcPr>
          <w:p w14:paraId="39A90640" w14:textId="77777777" w:rsidR="00A22E4D" w:rsidRPr="005D516A" w:rsidRDefault="00A22E4D" w:rsidP="00DF29AB">
            <w:pPr>
              <w:widowControl w:val="0"/>
              <w:autoSpaceDE w:val="0"/>
              <w:autoSpaceDN w:val="0"/>
              <w:adjustRightInd w:val="0"/>
              <w:spacing w:after="0"/>
              <w:jc w:val="left"/>
              <w:rPr>
                <w:color w:val="000000"/>
                <w:sz w:val="18"/>
                <w:szCs w:val="18"/>
              </w:rPr>
            </w:pPr>
            <w:r w:rsidRPr="005D516A">
              <w:rPr>
                <w:color w:val="000000"/>
                <w:sz w:val="18"/>
                <w:szCs w:val="18"/>
              </w:rPr>
              <w:t>The Gender Division is tasked with completing and then implementing a National Gender Policy and working towards gender equality.</w:t>
            </w:r>
          </w:p>
          <w:p w14:paraId="2461865D" w14:textId="77777777" w:rsidR="00A22E4D" w:rsidRPr="005D516A" w:rsidRDefault="00A22E4D" w:rsidP="00DF29AB">
            <w:pPr>
              <w:widowControl w:val="0"/>
              <w:autoSpaceDE w:val="0"/>
              <w:autoSpaceDN w:val="0"/>
              <w:adjustRightInd w:val="0"/>
              <w:spacing w:after="0"/>
              <w:jc w:val="left"/>
              <w:rPr>
                <w:color w:val="000000"/>
                <w:sz w:val="18"/>
                <w:szCs w:val="18"/>
              </w:rPr>
            </w:pPr>
          </w:p>
          <w:p w14:paraId="4C6C71B4" w14:textId="77777777" w:rsidR="00A22E4D" w:rsidRPr="005D516A" w:rsidRDefault="00A22E4D" w:rsidP="00DF29AB">
            <w:pPr>
              <w:widowControl w:val="0"/>
              <w:autoSpaceDE w:val="0"/>
              <w:autoSpaceDN w:val="0"/>
              <w:adjustRightInd w:val="0"/>
              <w:spacing w:after="0"/>
              <w:jc w:val="left"/>
              <w:rPr>
                <w:color w:val="000000"/>
                <w:sz w:val="18"/>
                <w:szCs w:val="18"/>
              </w:rPr>
            </w:pPr>
          </w:p>
        </w:tc>
        <w:tc>
          <w:tcPr>
            <w:tcW w:w="2430" w:type="dxa"/>
          </w:tcPr>
          <w:p w14:paraId="7752F103" w14:textId="77777777" w:rsidR="00A22E4D" w:rsidRPr="005D516A" w:rsidRDefault="00A22E4D" w:rsidP="00DF29AB">
            <w:pPr>
              <w:spacing w:after="0"/>
              <w:jc w:val="left"/>
              <w:rPr>
                <w:rFonts w:cs="Calibri"/>
                <w:sz w:val="18"/>
                <w:szCs w:val="18"/>
              </w:rPr>
            </w:pPr>
            <w:r w:rsidRPr="005D516A">
              <w:rPr>
                <w:rFonts w:cs="Calibri"/>
                <w:sz w:val="18"/>
                <w:szCs w:val="18"/>
              </w:rPr>
              <w:t>The Gender Division will ensure that gender-equal benefits are mainstreamed throughout project components and plans</w:t>
            </w:r>
          </w:p>
        </w:tc>
        <w:tc>
          <w:tcPr>
            <w:tcW w:w="540" w:type="dxa"/>
          </w:tcPr>
          <w:p w14:paraId="43F4EC23" w14:textId="77777777" w:rsidR="00A22E4D" w:rsidRPr="005D516A" w:rsidRDefault="00A22E4D" w:rsidP="00DF29AB">
            <w:pPr>
              <w:spacing w:after="0"/>
              <w:jc w:val="left"/>
              <w:rPr>
                <w:rFonts w:cs="Calibri"/>
                <w:sz w:val="18"/>
                <w:szCs w:val="18"/>
              </w:rPr>
            </w:pPr>
          </w:p>
        </w:tc>
        <w:tc>
          <w:tcPr>
            <w:tcW w:w="540" w:type="dxa"/>
          </w:tcPr>
          <w:p w14:paraId="2613D1DC" w14:textId="77777777" w:rsidR="00A22E4D" w:rsidRPr="005D516A" w:rsidRDefault="00A22E4D" w:rsidP="00DF29AB">
            <w:pPr>
              <w:spacing w:after="0"/>
              <w:jc w:val="left"/>
              <w:rPr>
                <w:rFonts w:cs="Calibri"/>
                <w:sz w:val="18"/>
                <w:szCs w:val="18"/>
              </w:rPr>
            </w:pPr>
            <w:r w:rsidRPr="005D516A">
              <w:rPr>
                <w:rFonts w:cs="Calibri"/>
                <w:sz w:val="18"/>
                <w:szCs w:val="18"/>
              </w:rPr>
              <w:t>x</w:t>
            </w:r>
          </w:p>
        </w:tc>
        <w:tc>
          <w:tcPr>
            <w:tcW w:w="630" w:type="dxa"/>
          </w:tcPr>
          <w:p w14:paraId="6166A1E9" w14:textId="77777777" w:rsidR="00A22E4D" w:rsidRPr="005D516A" w:rsidRDefault="00A22E4D" w:rsidP="00DF29AB">
            <w:pPr>
              <w:spacing w:after="0"/>
              <w:jc w:val="left"/>
              <w:rPr>
                <w:rFonts w:cs="Calibri"/>
                <w:sz w:val="18"/>
                <w:szCs w:val="18"/>
              </w:rPr>
            </w:pPr>
          </w:p>
        </w:tc>
      </w:tr>
      <w:tr w:rsidR="00A22E4D" w14:paraId="7D3D6795" w14:textId="77777777" w:rsidTr="00DF29AB">
        <w:trPr>
          <w:trHeight w:val="179"/>
        </w:trPr>
        <w:tc>
          <w:tcPr>
            <w:tcW w:w="8460" w:type="dxa"/>
            <w:gridSpan w:val="3"/>
            <w:shd w:val="clear" w:color="auto" w:fill="D0CECE"/>
          </w:tcPr>
          <w:p w14:paraId="74EE0B12" w14:textId="77777777" w:rsidR="00A22E4D" w:rsidRPr="006829D0" w:rsidRDefault="00A22E4D" w:rsidP="00DF29AB">
            <w:pPr>
              <w:spacing w:after="0"/>
              <w:jc w:val="left"/>
              <w:rPr>
                <w:rFonts w:cs="Calibri"/>
                <w:b/>
                <w:sz w:val="18"/>
                <w:szCs w:val="18"/>
              </w:rPr>
            </w:pPr>
            <w:r w:rsidRPr="006829D0">
              <w:rPr>
                <w:b/>
                <w:color w:val="000000"/>
                <w:sz w:val="18"/>
                <w:szCs w:val="18"/>
              </w:rPr>
              <w:t xml:space="preserve">Autonomous Government-supported organizations </w:t>
            </w:r>
          </w:p>
        </w:tc>
        <w:tc>
          <w:tcPr>
            <w:tcW w:w="540" w:type="dxa"/>
            <w:shd w:val="clear" w:color="auto" w:fill="D0CECE"/>
          </w:tcPr>
          <w:p w14:paraId="6B2BAF57" w14:textId="77777777" w:rsidR="00A22E4D" w:rsidRPr="005D516A" w:rsidRDefault="00A22E4D" w:rsidP="00DF29AB">
            <w:pPr>
              <w:spacing w:after="0"/>
              <w:jc w:val="left"/>
              <w:rPr>
                <w:rFonts w:cs="Calibri"/>
                <w:sz w:val="18"/>
                <w:szCs w:val="18"/>
              </w:rPr>
            </w:pPr>
          </w:p>
        </w:tc>
        <w:tc>
          <w:tcPr>
            <w:tcW w:w="540" w:type="dxa"/>
            <w:shd w:val="clear" w:color="auto" w:fill="D0CECE"/>
          </w:tcPr>
          <w:p w14:paraId="05F29BEA" w14:textId="77777777" w:rsidR="00A22E4D" w:rsidRPr="005D516A" w:rsidRDefault="00A22E4D" w:rsidP="00DF29AB">
            <w:pPr>
              <w:spacing w:after="0"/>
              <w:jc w:val="left"/>
              <w:rPr>
                <w:rFonts w:cs="Calibri"/>
                <w:sz w:val="18"/>
                <w:szCs w:val="18"/>
              </w:rPr>
            </w:pPr>
          </w:p>
        </w:tc>
        <w:tc>
          <w:tcPr>
            <w:tcW w:w="630" w:type="dxa"/>
            <w:shd w:val="clear" w:color="auto" w:fill="D0CECE"/>
          </w:tcPr>
          <w:p w14:paraId="4754047F" w14:textId="77777777" w:rsidR="00A22E4D" w:rsidRPr="005D516A" w:rsidRDefault="00A22E4D" w:rsidP="00DF29AB">
            <w:pPr>
              <w:spacing w:after="0"/>
              <w:jc w:val="left"/>
              <w:rPr>
                <w:rFonts w:cs="Calibri"/>
                <w:sz w:val="18"/>
                <w:szCs w:val="18"/>
              </w:rPr>
            </w:pPr>
          </w:p>
        </w:tc>
      </w:tr>
      <w:tr w:rsidR="00A22E4D" w14:paraId="444A60C0" w14:textId="77777777" w:rsidTr="00DF29AB">
        <w:trPr>
          <w:trHeight w:val="530"/>
        </w:trPr>
        <w:tc>
          <w:tcPr>
            <w:tcW w:w="2250" w:type="dxa"/>
          </w:tcPr>
          <w:p w14:paraId="37BBAB1A" w14:textId="77777777" w:rsidR="00A22E4D" w:rsidRPr="006829D0" w:rsidRDefault="00A22E4D" w:rsidP="00DF29AB">
            <w:pPr>
              <w:widowControl w:val="0"/>
              <w:autoSpaceDE w:val="0"/>
              <w:autoSpaceDN w:val="0"/>
              <w:adjustRightInd w:val="0"/>
              <w:spacing w:after="0"/>
              <w:jc w:val="left"/>
              <w:rPr>
                <w:color w:val="000000"/>
                <w:sz w:val="18"/>
                <w:szCs w:val="18"/>
              </w:rPr>
            </w:pPr>
            <w:r w:rsidRPr="006829D0">
              <w:rPr>
                <w:color w:val="000000"/>
                <w:sz w:val="18"/>
                <w:szCs w:val="18"/>
              </w:rPr>
              <w:t xml:space="preserve">Environmental Quality Protection Board (EQPB) </w:t>
            </w:r>
          </w:p>
        </w:tc>
        <w:tc>
          <w:tcPr>
            <w:tcW w:w="3780" w:type="dxa"/>
          </w:tcPr>
          <w:p w14:paraId="359FD48B" w14:textId="77777777" w:rsidR="00A22E4D" w:rsidRPr="005D516A" w:rsidRDefault="00A22E4D" w:rsidP="00DF29AB">
            <w:pPr>
              <w:widowControl w:val="0"/>
              <w:autoSpaceDE w:val="0"/>
              <w:autoSpaceDN w:val="0"/>
              <w:adjustRightInd w:val="0"/>
              <w:spacing w:after="0"/>
              <w:jc w:val="left"/>
              <w:rPr>
                <w:color w:val="000000"/>
                <w:sz w:val="18"/>
                <w:szCs w:val="18"/>
              </w:rPr>
            </w:pPr>
            <w:r w:rsidRPr="005D516A">
              <w:rPr>
                <w:color w:val="000000"/>
                <w:sz w:val="18"/>
                <w:szCs w:val="18"/>
              </w:rPr>
              <w:t xml:space="preserve">EQPB is a key organization in implementing current land management practices. EQPB regulates all development activities involving earthmoving and structural development in Palau. The agency is also responsible for regulating environmental impact statements (EIS), marine and freshwater quality, air quality, public water systems, solid waste management, toilet facilities and pesticides. </w:t>
            </w:r>
          </w:p>
        </w:tc>
        <w:tc>
          <w:tcPr>
            <w:tcW w:w="2430" w:type="dxa"/>
          </w:tcPr>
          <w:p w14:paraId="4FA9B901" w14:textId="77777777" w:rsidR="00A22E4D" w:rsidRPr="005D516A" w:rsidRDefault="00A22E4D" w:rsidP="00DF29AB">
            <w:pPr>
              <w:spacing w:after="0"/>
              <w:jc w:val="left"/>
              <w:rPr>
                <w:color w:val="000000"/>
                <w:sz w:val="18"/>
                <w:szCs w:val="18"/>
              </w:rPr>
            </w:pPr>
            <w:r w:rsidRPr="005D516A">
              <w:rPr>
                <w:color w:val="000000"/>
                <w:sz w:val="18"/>
                <w:szCs w:val="18"/>
              </w:rPr>
              <w:t>EQPB will be involved as part of the effort of transforming the way that development projects move forward, to ensure that regulations enable mainstreaming and that permits are in line with landscape plans. Inspection processes will be updated to consider alignment with Biosecurity Policies and Biosecurity.</w:t>
            </w:r>
          </w:p>
        </w:tc>
        <w:tc>
          <w:tcPr>
            <w:tcW w:w="540" w:type="dxa"/>
          </w:tcPr>
          <w:p w14:paraId="3D2B3368" w14:textId="77777777" w:rsidR="00A22E4D" w:rsidRPr="005D516A" w:rsidRDefault="00A22E4D" w:rsidP="00DF29AB">
            <w:pPr>
              <w:spacing w:after="0"/>
              <w:jc w:val="left"/>
              <w:rPr>
                <w:color w:val="000000"/>
                <w:sz w:val="18"/>
                <w:szCs w:val="18"/>
              </w:rPr>
            </w:pPr>
            <w:r w:rsidRPr="005D516A">
              <w:rPr>
                <w:color w:val="000000"/>
                <w:sz w:val="18"/>
                <w:szCs w:val="18"/>
              </w:rPr>
              <w:t>x</w:t>
            </w:r>
          </w:p>
        </w:tc>
        <w:tc>
          <w:tcPr>
            <w:tcW w:w="540" w:type="dxa"/>
          </w:tcPr>
          <w:p w14:paraId="3D5FE0AB" w14:textId="77777777" w:rsidR="00A22E4D" w:rsidRPr="005D516A" w:rsidRDefault="00A22E4D" w:rsidP="00DF29AB">
            <w:pPr>
              <w:spacing w:after="0"/>
              <w:jc w:val="left"/>
              <w:rPr>
                <w:color w:val="000000"/>
                <w:sz w:val="18"/>
                <w:szCs w:val="18"/>
              </w:rPr>
            </w:pPr>
            <w:r w:rsidRPr="005D516A">
              <w:rPr>
                <w:color w:val="000000"/>
                <w:sz w:val="18"/>
                <w:szCs w:val="18"/>
              </w:rPr>
              <w:t>x</w:t>
            </w:r>
          </w:p>
        </w:tc>
        <w:tc>
          <w:tcPr>
            <w:tcW w:w="630" w:type="dxa"/>
          </w:tcPr>
          <w:p w14:paraId="223AC954" w14:textId="77777777" w:rsidR="00A22E4D" w:rsidRPr="005D516A" w:rsidRDefault="00A22E4D" w:rsidP="00DF29AB">
            <w:pPr>
              <w:spacing w:after="0"/>
              <w:jc w:val="left"/>
              <w:rPr>
                <w:color w:val="000000"/>
                <w:sz w:val="18"/>
                <w:szCs w:val="18"/>
              </w:rPr>
            </w:pPr>
            <w:r w:rsidRPr="005D516A">
              <w:rPr>
                <w:color w:val="000000"/>
                <w:sz w:val="18"/>
                <w:szCs w:val="18"/>
              </w:rPr>
              <w:t>x</w:t>
            </w:r>
          </w:p>
        </w:tc>
      </w:tr>
      <w:tr w:rsidR="00A22E4D" w14:paraId="7F5D83AD" w14:textId="77777777" w:rsidTr="00DF29AB">
        <w:trPr>
          <w:trHeight w:val="530"/>
        </w:trPr>
        <w:tc>
          <w:tcPr>
            <w:tcW w:w="2250" w:type="dxa"/>
          </w:tcPr>
          <w:p w14:paraId="746E794B" w14:textId="77777777" w:rsidR="00A22E4D" w:rsidRPr="005D516A" w:rsidRDefault="00A22E4D" w:rsidP="00DF29AB">
            <w:pPr>
              <w:widowControl w:val="0"/>
              <w:autoSpaceDE w:val="0"/>
              <w:autoSpaceDN w:val="0"/>
              <w:adjustRightInd w:val="0"/>
              <w:spacing w:after="0"/>
              <w:jc w:val="left"/>
              <w:rPr>
                <w:color w:val="000000"/>
                <w:sz w:val="18"/>
                <w:szCs w:val="18"/>
              </w:rPr>
            </w:pPr>
            <w:r w:rsidRPr="006829D0">
              <w:rPr>
                <w:color w:val="000000"/>
                <w:sz w:val="18"/>
                <w:szCs w:val="18"/>
              </w:rPr>
              <w:t xml:space="preserve">Palau Public Land Authority (PPLA) </w:t>
            </w:r>
          </w:p>
          <w:p w14:paraId="4D302064" w14:textId="77777777" w:rsidR="00A22E4D" w:rsidRPr="005D516A" w:rsidRDefault="00A22E4D" w:rsidP="00DF29AB">
            <w:pPr>
              <w:widowControl w:val="0"/>
              <w:autoSpaceDE w:val="0"/>
              <w:autoSpaceDN w:val="0"/>
              <w:adjustRightInd w:val="0"/>
              <w:spacing w:after="0"/>
              <w:jc w:val="left"/>
              <w:rPr>
                <w:color w:val="000000"/>
                <w:sz w:val="18"/>
                <w:szCs w:val="18"/>
              </w:rPr>
            </w:pPr>
          </w:p>
          <w:p w14:paraId="4A5776C4" w14:textId="77777777" w:rsidR="00A22E4D" w:rsidRPr="005D516A" w:rsidRDefault="00A22E4D" w:rsidP="00DF29AB">
            <w:pPr>
              <w:widowControl w:val="0"/>
              <w:autoSpaceDE w:val="0"/>
              <w:autoSpaceDN w:val="0"/>
              <w:adjustRightInd w:val="0"/>
              <w:spacing w:after="0"/>
              <w:jc w:val="left"/>
              <w:rPr>
                <w:color w:val="000000"/>
                <w:sz w:val="18"/>
                <w:szCs w:val="18"/>
              </w:rPr>
            </w:pPr>
            <w:r w:rsidRPr="005D516A">
              <w:rPr>
                <w:color w:val="000000"/>
                <w:sz w:val="18"/>
                <w:szCs w:val="18"/>
              </w:rPr>
              <w:t>And State Public Lands Authorities</w:t>
            </w:r>
          </w:p>
        </w:tc>
        <w:tc>
          <w:tcPr>
            <w:tcW w:w="3780" w:type="dxa"/>
          </w:tcPr>
          <w:p w14:paraId="18742043" w14:textId="77777777" w:rsidR="00A22E4D" w:rsidRPr="005D516A" w:rsidRDefault="00A22E4D" w:rsidP="00DF29AB">
            <w:pPr>
              <w:widowControl w:val="0"/>
              <w:autoSpaceDE w:val="0"/>
              <w:autoSpaceDN w:val="0"/>
              <w:adjustRightInd w:val="0"/>
              <w:spacing w:after="0"/>
              <w:jc w:val="left"/>
              <w:rPr>
                <w:color w:val="000000"/>
                <w:sz w:val="18"/>
                <w:szCs w:val="18"/>
              </w:rPr>
            </w:pPr>
            <w:r w:rsidRPr="005D516A">
              <w:rPr>
                <w:color w:val="000000"/>
                <w:sz w:val="18"/>
                <w:szCs w:val="18"/>
              </w:rPr>
              <w:t xml:space="preserve">PPLA administers, manages and regulates the use of public lands and any resulting income. It also establishes the basic guidelines and procedures for the operation of state public land authorities in each state and provides technical assistance. Each state in turn uses the authority granted to it by the PPLA to administer, manage and regulate public lands within its geographical boundaries. </w:t>
            </w:r>
          </w:p>
        </w:tc>
        <w:tc>
          <w:tcPr>
            <w:tcW w:w="2430" w:type="dxa"/>
          </w:tcPr>
          <w:p w14:paraId="3A0662C3" w14:textId="4A154AA3" w:rsidR="00A22E4D" w:rsidRPr="005D516A" w:rsidRDefault="00A22E4D" w:rsidP="00DF29AB">
            <w:pPr>
              <w:spacing w:after="0"/>
              <w:jc w:val="left"/>
              <w:rPr>
                <w:color w:val="000000"/>
                <w:sz w:val="18"/>
                <w:szCs w:val="18"/>
              </w:rPr>
            </w:pPr>
            <w:r w:rsidRPr="005D516A">
              <w:rPr>
                <w:color w:val="000000"/>
                <w:sz w:val="18"/>
                <w:szCs w:val="18"/>
              </w:rPr>
              <w:t xml:space="preserve">The PPLA, and by extension the State PPLAs will play major, active roles in developing </w:t>
            </w:r>
            <w:r w:rsidR="00D15171">
              <w:rPr>
                <w:color w:val="000000"/>
                <w:sz w:val="18"/>
                <w:szCs w:val="18"/>
              </w:rPr>
              <w:t>l</w:t>
            </w:r>
            <w:r w:rsidRPr="005D516A">
              <w:rPr>
                <w:color w:val="000000"/>
                <w:sz w:val="18"/>
                <w:szCs w:val="18"/>
              </w:rPr>
              <w:t>and</w:t>
            </w:r>
            <w:r w:rsidR="00D15171">
              <w:rPr>
                <w:color w:val="000000"/>
                <w:sz w:val="18"/>
                <w:szCs w:val="18"/>
              </w:rPr>
              <w:t>/sea</w:t>
            </w:r>
            <w:r w:rsidRPr="005D516A">
              <w:rPr>
                <w:color w:val="000000"/>
                <w:sz w:val="18"/>
                <w:szCs w:val="18"/>
              </w:rPr>
              <w:t xml:space="preserve">scape plans in aligning biodiversity policies into those plans. </w:t>
            </w:r>
          </w:p>
        </w:tc>
        <w:tc>
          <w:tcPr>
            <w:tcW w:w="540" w:type="dxa"/>
          </w:tcPr>
          <w:p w14:paraId="2207A410" w14:textId="77777777" w:rsidR="00A22E4D" w:rsidRPr="005D516A" w:rsidRDefault="00A22E4D" w:rsidP="00DF29AB">
            <w:pPr>
              <w:spacing w:after="0"/>
              <w:jc w:val="left"/>
              <w:rPr>
                <w:color w:val="000000"/>
                <w:sz w:val="18"/>
                <w:szCs w:val="18"/>
              </w:rPr>
            </w:pPr>
          </w:p>
        </w:tc>
        <w:tc>
          <w:tcPr>
            <w:tcW w:w="540" w:type="dxa"/>
          </w:tcPr>
          <w:p w14:paraId="1A2DCFC2" w14:textId="77777777" w:rsidR="00A22E4D" w:rsidRPr="005D516A" w:rsidRDefault="00A22E4D" w:rsidP="00DF29AB">
            <w:pPr>
              <w:spacing w:after="0"/>
              <w:jc w:val="left"/>
              <w:rPr>
                <w:color w:val="000000"/>
                <w:sz w:val="18"/>
                <w:szCs w:val="18"/>
              </w:rPr>
            </w:pPr>
            <w:r w:rsidRPr="005D516A">
              <w:rPr>
                <w:color w:val="000000"/>
                <w:sz w:val="18"/>
                <w:szCs w:val="18"/>
              </w:rPr>
              <w:t>x</w:t>
            </w:r>
          </w:p>
        </w:tc>
        <w:tc>
          <w:tcPr>
            <w:tcW w:w="630" w:type="dxa"/>
          </w:tcPr>
          <w:p w14:paraId="6A880610" w14:textId="77777777" w:rsidR="00A22E4D" w:rsidRPr="005D516A" w:rsidRDefault="00A22E4D" w:rsidP="00DF29AB">
            <w:pPr>
              <w:spacing w:after="0"/>
              <w:jc w:val="left"/>
              <w:rPr>
                <w:color w:val="000000"/>
                <w:sz w:val="18"/>
                <w:szCs w:val="18"/>
              </w:rPr>
            </w:pPr>
          </w:p>
        </w:tc>
      </w:tr>
      <w:tr w:rsidR="00A22E4D" w14:paraId="67F14C92" w14:textId="77777777" w:rsidTr="00DF29AB">
        <w:trPr>
          <w:trHeight w:val="494"/>
        </w:trPr>
        <w:tc>
          <w:tcPr>
            <w:tcW w:w="2250" w:type="dxa"/>
          </w:tcPr>
          <w:p w14:paraId="41918B51" w14:textId="77777777" w:rsidR="00A22E4D" w:rsidRPr="006829D0" w:rsidRDefault="00A22E4D" w:rsidP="00DF29AB">
            <w:pPr>
              <w:widowControl w:val="0"/>
              <w:autoSpaceDE w:val="0"/>
              <w:autoSpaceDN w:val="0"/>
              <w:adjustRightInd w:val="0"/>
              <w:spacing w:after="0"/>
              <w:jc w:val="left"/>
              <w:rPr>
                <w:color w:val="000000"/>
                <w:sz w:val="18"/>
                <w:szCs w:val="18"/>
              </w:rPr>
            </w:pPr>
            <w:r w:rsidRPr="006829D0">
              <w:rPr>
                <w:color w:val="000000"/>
                <w:sz w:val="18"/>
                <w:szCs w:val="18"/>
              </w:rPr>
              <w:t xml:space="preserve">Palau International Coral Reef Center </w:t>
            </w:r>
          </w:p>
        </w:tc>
        <w:tc>
          <w:tcPr>
            <w:tcW w:w="3780" w:type="dxa"/>
          </w:tcPr>
          <w:p w14:paraId="079A8BDB" w14:textId="77777777" w:rsidR="00A22E4D" w:rsidRPr="005D516A" w:rsidRDefault="00A22E4D" w:rsidP="00DF29AB">
            <w:pPr>
              <w:widowControl w:val="0"/>
              <w:autoSpaceDE w:val="0"/>
              <w:autoSpaceDN w:val="0"/>
              <w:adjustRightInd w:val="0"/>
              <w:spacing w:after="0"/>
              <w:jc w:val="left"/>
              <w:rPr>
                <w:color w:val="000000"/>
                <w:sz w:val="18"/>
                <w:szCs w:val="18"/>
              </w:rPr>
            </w:pPr>
            <w:r w:rsidRPr="005D516A">
              <w:rPr>
                <w:color w:val="000000"/>
                <w:sz w:val="18"/>
                <w:szCs w:val="18"/>
              </w:rPr>
              <w:t xml:space="preserve">PICRC is a key agency in researching and promoting conservation of marine ecosystems and biodiversity in Palau </w:t>
            </w:r>
          </w:p>
        </w:tc>
        <w:tc>
          <w:tcPr>
            <w:tcW w:w="2430" w:type="dxa"/>
          </w:tcPr>
          <w:p w14:paraId="4EF3F379" w14:textId="18C1CCA8" w:rsidR="00A22E4D" w:rsidRPr="005D516A" w:rsidRDefault="00A22E4D" w:rsidP="00DF29AB">
            <w:pPr>
              <w:spacing w:after="0"/>
              <w:jc w:val="left"/>
              <w:rPr>
                <w:color w:val="000000"/>
                <w:sz w:val="18"/>
                <w:szCs w:val="18"/>
              </w:rPr>
            </w:pPr>
            <w:r w:rsidRPr="005D516A">
              <w:rPr>
                <w:color w:val="000000"/>
                <w:sz w:val="18"/>
                <w:szCs w:val="18"/>
              </w:rPr>
              <w:t>PICRC may take on the monitoring aspect of the program, as well as serve as  part of marine invasive response networks. PICRC will play a major role in marine spatial planning.</w:t>
            </w:r>
          </w:p>
        </w:tc>
        <w:tc>
          <w:tcPr>
            <w:tcW w:w="540" w:type="dxa"/>
          </w:tcPr>
          <w:p w14:paraId="7FD05B85" w14:textId="77777777" w:rsidR="00A22E4D" w:rsidRPr="005D516A" w:rsidRDefault="00A22E4D" w:rsidP="00DF29AB">
            <w:pPr>
              <w:spacing w:after="0"/>
              <w:jc w:val="left"/>
              <w:rPr>
                <w:color w:val="000000"/>
                <w:sz w:val="18"/>
                <w:szCs w:val="18"/>
              </w:rPr>
            </w:pPr>
            <w:r w:rsidRPr="005D516A">
              <w:rPr>
                <w:color w:val="000000"/>
                <w:sz w:val="18"/>
                <w:szCs w:val="18"/>
              </w:rPr>
              <w:t>x</w:t>
            </w:r>
          </w:p>
        </w:tc>
        <w:tc>
          <w:tcPr>
            <w:tcW w:w="540" w:type="dxa"/>
          </w:tcPr>
          <w:p w14:paraId="7753F31A" w14:textId="77777777" w:rsidR="00A22E4D" w:rsidRPr="005D516A" w:rsidRDefault="00A22E4D" w:rsidP="00DF29AB">
            <w:pPr>
              <w:spacing w:after="0"/>
              <w:jc w:val="left"/>
              <w:rPr>
                <w:color w:val="000000"/>
                <w:sz w:val="18"/>
                <w:szCs w:val="18"/>
              </w:rPr>
            </w:pPr>
            <w:r w:rsidRPr="005D516A">
              <w:rPr>
                <w:color w:val="000000"/>
                <w:sz w:val="18"/>
                <w:szCs w:val="18"/>
              </w:rPr>
              <w:t>x</w:t>
            </w:r>
          </w:p>
        </w:tc>
        <w:tc>
          <w:tcPr>
            <w:tcW w:w="630" w:type="dxa"/>
          </w:tcPr>
          <w:p w14:paraId="6AA21AF6" w14:textId="77777777" w:rsidR="00A22E4D" w:rsidRPr="005D516A" w:rsidRDefault="00A22E4D" w:rsidP="00DF29AB">
            <w:pPr>
              <w:spacing w:after="0"/>
              <w:jc w:val="left"/>
              <w:rPr>
                <w:color w:val="000000"/>
                <w:sz w:val="18"/>
                <w:szCs w:val="18"/>
              </w:rPr>
            </w:pPr>
          </w:p>
        </w:tc>
      </w:tr>
      <w:tr w:rsidR="00A22E4D" w14:paraId="48DC7D33" w14:textId="77777777" w:rsidTr="00DF29AB">
        <w:trPr>
          <w:trHeight w:val="503"/>
        </w:trPr>
        <w:tc>
          <w:tcPr>
            <w:tcW w:w="2250" w:type="dxa"/>
          </w:tcPr>
          <w:p w14:paraId="2F136AE3" w14:textId="77777777" w:rsidR="00A22E4D" w:rsidRPr="006829D0" w:rsidRDefault="00A22E4D" w:rsidP="00DF29AB">
            <w:pPr>
              <w:widowControl w:val="0"/>
              <w:autoSpaceDE w:val="0"/>
              <w:autoSpaceDN w:val="0"/>
              <w:adjustRightInd w:val="0"/>
              <w:spacing w:after="0"/>
              <w:jc w:val="left"/>
              <w:rPr>
                <w:color w:val="000000"/>
                <w:sz w:val="18"/>
                <w:szCs w:val="18"/>
              </w:rPr>
            </w:pPr>
            <w:r w:rsidRPr="006829D0">
              <w:rPr>
                <w:color w:val="000000"/>
                <w:sz w:val="18"/>
                <w:szCs w:val="18"/>
              </w:rPr>
              <w:t xml:space="preserve">Belau National Museum (BNM) </w:t>
            </w:r>
          </w:p>
        </w:tc>
        <w:tc>
          <w:tcPr>
            <w:tcW w:w="3780" w:type="dxa"/>
          </w:tcPr>
          <w:p w14:paraId="16F844E2" w14:textId="77777777" w:rsidR="00A22E4D" w:rsidRPr="005D516A" w:rsidRDefault="00A22E4D" w:rsidP="00DF29AB">
            <w:pPr>
              <w:widowControl w:val="0"/>
              <w:autoSpaceDE w:val="0"/>
              <w:autoSpaceDN w:val="0"/>
              <w:adjustRightInd w:val="0"/>
              <w:spacing w:after="0"/>
              <w:jc w:val="left"/>
              <w:rPr>
                <w:color w:val="000000"/>
                <w:sz w:val="18"/>
                <w:szCs w:val="18"/>
              </w:rPr>
            </w:pPr>
            <w:r w:rsidRPr="005D516A">
              <w:rPr>
                <w:color w:val="000000"/>
                <w:sz w:val="18"/>
                <w:szCs w:val="18"/>
              </w:rPr>
              <w:t xml:space="preserve">Key agency in researching and promoting conservation of terrestrial ecosystems and biodiversity </w:t>
            </w:r>
          </w:p>
        </w:tc>
        <w:tc>
          <w:tcPr>
            <w:tcW w:w="2430" w:type="dxa"/>
          </w:tcPr>
          <w:p w14:paraId="4D775157" w14:textId="78001BDD" w:rsidR="00A22E4D" w:rsidRPr="005D516A" w:rsidRDefault="00A22E4D" w:rsidP="00DF29AB">
            <w:pPr>
              <w:spacing w:after="0"/>
              <w:jc w:val="left"/>
              <w:rPr>
                <w:color w:val="000000"/>
                <w:sz w:val="18"/>
                <w:szCs w:val="18"/>
              </w:rPr>
            </w:pPr>
            <w:r w:rsidRPr="005D516A">
              <w:rPr>
                <w:color w:val="000000"/>
                <w:sz w:val="18"/>
                <w:szCs w:val="18"/>
              </w:rPr>
              <w:t>The project will partner with experts at the museum on birds and native diversity to conduct land</w:t>
            </w:r>
            <w:r w:rsidR="00D15171">
              <w:rPr>
                <w:color w:val="000000"/>
                <w:sz w:val="18"/>
                <w:szCs w:val="18"/>
              </w:rPr>
              <w:t>/sea</w:t>
            </w:r>
            <w:r w:rsidRPr="005D516A">
              <w:rPr>
                <w:color w:val="000000"/>
                <w:sz w:val="18"/>
                <w:szCs w:val="18"/>
              </w:rPr>
              <w:t>scape mapping and planning, as well as with the Museum in general to develop new materials on IAS.</w:t>
            </w:r>
          </w:p>
        </w:tc>
        <w:tc>
          <w:tcPr>
            <w:tcW w:w="540" w:type="dxa"/>
          </w:tcPr>
          <w:p w14:paraId="75785C21" w14:textId="77777777" w:rsidR="00A22E4D" w:rsidRPr="005D516A" w:rsidRDefault="00A22E4D" w:rsidP="00DF29AB">
            <w:pPr>
              <w:spacing w:after="0"/>
              <w:jc w:val="left"/>
              <w:rPr>
                <w:color w:val="000000"/>
                <w:sz w:val="18"/>
                <w:szCs w:val="18"/>
              </w:rPr>
            </w:pPr>
            <w:r w:rsidRPr="005D516A">
              <w:rPr>
                <w:color w:val="000000"/>
                <w:sz w:val="18"/>
                <w:szCs w:val="18"/>
              </w:rPr>
              <w:t>x</w:t>
            </w:r>
          </w:p>
        </w:tc>
        <w:tc>
          <w:tcPr>
            <w:tcW w:w="540" w:type="dxa"/>
          </w:tcPr>
          <w:p w14:paraId="257362EA" w14:textId="77777777" w:rsidR="00A22E4D" w:rsidRPr="005D516A" w:rsidRDefault="00A22E4D" w:rsidP="00DF29AB">
            <w:pPr>
              <w:spacing w:after="0"/>
              <w:jc w:val="left"/>
              <w:rPr>
                <w:color w:val="000000"/>
                <w:sz w:val="18"/>
                <w:szCs w:val="18"/>
              </w:rPr>
            </w:pPr>
          </w:p>
        </w:tc>
        <w:tc>
          <w:tcPr>
            <w:tcW w:w="630" w:type="dxa"/>
          </w:tcPr>
          <w:p w14:paraId="56A66779" w14:textId="77777777" w:rsidR="00A22E4D" w:rsidRPr="005D516A" w:rsidRDefault="00A22E4D" w:rsidP="00DF29AB">
            <w:pPr>
              <w:spacing w:after="0"/>
              <w:jc w:val="left"/>
              <w:rPr>
                <w:color w:val="000000"/>
                <w:sz w:val="18"/>
                <w:szCs w:val="18"/>
              </w:rPr>
            </w:pPr>
            <w:r w:rsidRPr="005D516A">
              <w:rPr>
                <w:color w:val="000000"/>
                <w:sz w:val="18"/>
                <w:szCs w:val="18"/>
              </w:rPr>
              <w:t>x</w:t>
            </w:r>
          </w:p>
        </w:tc>
      </w:tr>
      <w:tr w:rsidR="00A22E4D" w:rsidRPr="00037DE9" w14:paraId="66FD14E3" w14:textId="77777777" w:rsidTr="00DF29AB">
        <w:trPr>
          <w:trHeight w:val="152"/>
        </w:trPr>
        <w:tc>
          <w:tcPr>
            <w:tcW w:w="8460" w:type="dxa"/>
            <w:gridSpan w:val="3"/>
            <w:shd w:val="clear" w:color="auto" w:fill="D0CECE"/>
          </w:tcPr>
          <w:p w14:paraId="4DBBEB1D" w14:textId="77777777" w:rsidR="00A22E4D" w:rsidRPr="006829D0" w:rsidRDefault="00A22E4D" w:rsidP="00DF29AB">
            <w:pPr>
              <w:spacing w:after="0"/>
              <w:jc w:val="left"/>
              <w:rPr>
                <w:rFonts w:cs="Calibri"/>
                <w:b/>
                <w:sz w:val="18"/>
                <w:szCs w:val="18"/>
              </w:rPr>
            </w:pPr>
            <w:r w:rsidRPr="006829D0">
              <w:rPr>
                <w:b/>
                <w:color w:val="000000"/>
                <w:sz w:val="18"/>
                <w:szCs w:val="18"/>
              </w:rPr>
              <w:t>Government-Mandated Joint Committees</w:t>
            </w:r>
          </w:p>
        </w:tc>
        <w:tc>
          <w:tcPr>
            <w:tcW w:w="540" w:type="dxa"/>
            <w:shd w:val="clear" w:color="auto" w:fill="D0CECE"/>
          </w:tcPr>
          <w:p w14:paraId="3D378C5B" w14:textId="77777777" w:rsidR="00A22E4D" w:rsidRPr="005D516A" w:rsidRDefault="00A22E4D" w:rsidP="00DF29AB">
            <w:pPr>
              <w:spacing w:after="0"/>
              <w:jc w:val="left"/>
              <w:rPr>
                <w:rFonts w:cs="Calibri"/>
                <w:b/>
                <w:sz w:val="18"/>
                <w:szCs w:val="18"/>
              </w:rPr>
            </w:pPr>
          </w:p>
        </w:tc>
        <w:tc>
          <w:tcPr>
            <w:tcW w:w="540" w:type="dxa"/>
            <w:shd w:val="clear" w:color="auto" w:fill="D0CECE"/>
          </w:tcPr>
          <w:p w14:paraId="17104A37" w14:textId="77777777" w:rsidR="00A22E4D" w:rsidRPr="005D516A" w:rsidRDefault="00A22E4D" w:rsidP="00DF29AB">
            <w:pPr>
              <w:spacing w:after="0"/>
              <w:jc w:val="left"/>
              <w:rPr>
                <w:rFonts w:cs="Calibri"/>
                <w:b/>
                <w:sz w:val="18"/>
                <w:szCs w:val="18"/>
              </w:rPr>
            </w:pPr>
          </w:p>
        </w:tc>
        <w:tc>
          <w:tcPr>
            <w:tcW w:w="630" w:type="dxa"/>
            <w:shd w:val="clear" w:color="auto" w:fill="D0CECE"/>
          </w:tcPr>
          <w:p w14:paraId="66FBDA93" w14:textId="77777777" w:rsidR="00A22E4D" w:rsidRPr="005D516A" w:rsidRDefault="00A22E4D" w:rsidP="00DF29AB">
            <w:pPr>
              <w:spacing w:after="0"/>
              <w:jc w:val="left"/>
              <w:rPr>
                <w:rFonts w:cs="Calibri"/>
                <w:b/>
                <w:sz w:val="18"/>
                <w:szCs w:val="18"/>
              </w:rPr>
            </w:pPr>
          </w:p>
        </w:tc>
      </w:tr>
      <w:tr w:rsidR="00A22E4D" w14:paraId="602B1C68" w14:textId="77777777" w:rsidTr="00DF29AB">
        <w:trPr>
          <w:trHeight w:val="710"/>
        </w:trPr>
        <w:tc>
          <w:tcPr>
            <w:tcW w:w="2250" w:type="dxa"/>
          </w:tcPr>
          <w:p w14:paraId="1617405A" w14:textId="77777777" w:rsidR="00A22E4D" w:rsidRPr="006829D0" w:rsidRDefault="00A22E4D" w:rsidP="00DF29AB">
            <w:pPr>
              <w:widowControl w:val="0"/>
              <w:autoSpaceDE w:val="0"/>
              <w:autoSpaceDN w:val="0"/>
              <w:adjustRightInd w:val="0"/>
              <w:spacing w:after="0"/>
              <w:jc w:val="left"/>
              <w:rPr>
                <w:color w:val="000000"/>
                <w:sz w:val="18"/>
                <w:szCs w:val="18"/>
              </w:rPr>
            </w:pPr>
            <w:r w:rsidRPr="006829D0">
              <w:rPr>
                <w:color w:val="000000"/>
                <w:sz w:val="18"/>
                <w:szCs w:val="18"/>
              </w:rPr>
              <w:t xml:space="preserve">National Invasive Species Committee (NISC) and </w:t>
            </w:r>
          </w:p>
          <w:p w14:paraId="150C8827" w14:textId="77777777" w:rsidR="00A22E4D" w:rsidRPr="005D516A" w:rsidRDefault="00A22E4D" w:rsidP="00DF29AB">
            <w:pPr>
              <w:widowControl w:val="0"/>
              <w:autoSpaceDE w:val="0"/>
              <w:autoSpaceDN w:val="0"/>
              <w:adjustRightInd w:val="0"/>
              <w:spacing w:after="0"/>
              <w:jc w:val="left"/>
              <w:rPr>
                <w:color w:val="000000"/>
                <w:sz w:val="18"/>
                <w:szCs w:val="18"/>
              </w:rPr>
            </w:pPr>
            <w:r w:rsidRPr="005D516A">
              <w:rPr>
                <w:color w:val="000000"/>
                <w:sz w:val="18"/>
                <w:szCs w:val="18"/>
              </w:rPr>
              <w:t>NISC Chairperson</w:t>
            </w:r>
          </w:p>
        </w:tc>
        <w:tc>
          <w:tcPr>
            <w:tcW w:w="3780" w:type="dxa"/>
          </w:tcPr>
          <w:p w14:paraId="1CCFF046" w14:textId="5DD50C3E" w:rsidR="00A22E4D" w:rsidRPr="005D516A" w:rsidRDefault="00A22E4D" w:rsidP="00DF29AB">
            <w:pPr>
              <w:jc w:val="left"/>
              <w:rPr>
                <w:sz w:val="18"/>
                <w:szCs w:val="18"/>
              </w:rPr>
            </w:pPr>
            <w:r w:rsidRPr="005D516A">
              <w:rPr>
                <w:color w:val="000000"/>
                <w:sz w:val="18"/>
                <w:szCs w:val="18"/>
              </w:rPr>
              <w:t>National coordinating body on invasives</w:t>
            </w:r>
            <w:r w:rsidRPr="00585382">
              <w:rPr>
                <w:color w:val="000000"/>
                <w:sz w:val="18"/>
                <w:szCs w:val="18"/>
              </w:rPr>
              <w:t>.</w:t>
            </w:r>
            <w:r w:rsidRPr="006829D0">
              <w:rPr>
                <w:color w:val="000000"/>
                <w:sz w:val="18"/>
                <w:szCs w:val="18"/>
              </w:rPr>
              <w:t xml:space="preserve"> Membership includes: </w:t>
            </w:r>
            <w:r w:rsidRPr="005D516A">
              <w:rPr>
                <w:sz w:val="18"/>
                <w:szCs w:val="18"/>
              </w:rPr>
              <w:t>Association of State PAN Coordinators; Attorney General’s Office (EQPB Legal Counsel), MOJ; Bureau of Agriculture, MNRET; Bureau of Marine Resources, MNRET; Division of Customs, Ministry of Finance; Division of Environmental Health, Ministry of Health; Division of Fish and Wildlife Protection, MOJ; Environmental Quality Protection Board ; National Environment Planner, PALARIS; National Invasive Species Coordinator, Bureau of Agriculture, MNRET; Palau Conservation Society ; Palau International Coral Reef Center</w:t>
            </w:r>
          </w:p>
          <w:p w14:paraId="7041786E" w14:textId="77777777" w:rsidR="00A22E4D" w:rsidRPr="006829D0" w:rsidRDefault="00A22E4D" w:rsidP="00DF29AB">
            <w:pPr>
              <w:widowControl w:val="0"/>
              <w:autoSpaceDE w:val="0"/>
              <w:autoSpaceDN w:val="0"/>
              <w:adjustRightInd w:val="0"/>
              <w:spacing w:after="0"/>
              <w:jc w:val="left"/>
              <w:rPr>
                <w:color w:val="000000"/>
                <w:sz w:val="18"/>
                <w:szCs w:val="18"/>
              </w:rPr>
            </w:pPr>
          </w:p>
        </w:tc>
        <w:tc>
          <w:tcPr>
            <w:tcW w:w="2430" w:type="dxa"/>
          </w:tcPr>
          <w:p w14:paraId="1AB60D59" w14:textId="77777777" w:rsidR="00A22E4D" w:rsidRPr="005D516A" w:rsidRDefault="00A22E4D" w:rsidP="00DF29AB">
            <w:pPr>
              <w:spacing w:after="0"/>
              <w:jc w:val="left"/>
              <w:rPr>
                <w:color w:val="000000"/>
                <w:sz w:val="18"/>
                <w:szCs w:val="18"/>
              </w:rPr>
            </w:pPr>
            <w:r w:rsidRPr="005D516A">
              <w:rPr>
                <w:color w:val="000000"/>
                <w:sz w:val="18"/>
                <w:szCs w:val="18"/>
              </w:rPr>
              <w:t>The NISC will play a major role in leading the Biosecurity aspects of the project.</w:t>
            </w:r>
          </w:p>
        </w:tc>
        <w:tc>
          <w:tcPr>
            <w:tcW w:w="540" w:type="dxa"/>
          </w:tcPr>
          <w:p w14:paraId="552ACCB3" w14:textId="77777777" w:rsidR="00A22E4D" w:rsidRPr="005D516A" w:rsidRDefault="00A22E4D" w:rsidP="00DF29AB">
            <w:pPr>
              <w:spacing w:after="0"/>
              <w:jc w:val="left"/>
              <w:rPr>
                <w:color w:val="000000"/>
                <w:sz w:val="18"/>
                <w:szCs w:val="18"/>
              </w:rPr>
            </w:pPr>
            <w:r w:rsidRPr="005D516A">
              <w:rPr>
                <w:color w:val="000000"/>
                <w:sz w:val="18"/>
                <w:szCs w:val="18"/>
              </w:rPr>
              <w:t>x</w:t>
            </w:r>
          </w:p>
        </w:tc>
        <w:tc>
          <w:tcPr>
            <w:tcW w:w="540" w:type="dxa"/>
          </w:tcPr>
          <w:p w14:paraId="65FBBFCC" w14:textId="77777777" w:rsidR="00A22E4D" w:rsidRPr="005D516A" w:rsidRDefault="00A22E4D" w:rsidP="00DF29AB">
            <w:pPr>
              <w:spacing w:after="0"/>
              <w:jc w:val="left"/>
              <w:rPr>
                <w:color w:val="000000"/>
                <w:sz w:val="18"/>
                <w:szCs w:val="18"/>
              </w:rPr>
            </w:pPr>
          </w:p>
        </w:tc>
        <w:tc>
          <w:tcPr>
            <w:tcW w:w="630" w:type="dxa"/>
          </w:tcPr>
          <w:p w14:paraId="05F9EDF9" w14:textId="77777777" w:rsidR="00A22E4D" w:rsidRPr="005D516A" w:rsidRDefault="00A22E4D" w:rsidP="00DF29AB">
            <w:pPr>
              <w:spacing w:after="0"/>
              <w:jc w:val="left"/>
              <w:rPr>
                <w:color w:val="000000"/>
                <w:sz w:val="18"/>
                <w:szCs w:val="18"/>
              </w:rPr>
            </w:pPr>
          </w:p>
        </w:tc>
      </w:tr>
      <w:tr w:rsidR="00A22E4D" w14:paraId="49BB424A" w14:textId="77777777" w:rsidTr="00DF29AB">
        <w:trPr>
          <w:trHeight w:val="935"/>
        </w:trPr>
        <w:tc>
          <w:tcPr>
            <w:tcW w:w="2250" w:type="dxa"/>
          </w:tcPr>
          <w:p w14:paraId="70EDAF66" w14:textId="77777777" w:rsidR="00A22E4D" w:rsidRPr="006829D0" w:rsidRDefault="00A22E4D" w:rsidP="00DF29AB">
            <w:pPr>
              <w:widowControl w:val="0"/>
              <w:autoSpaceDE w:val="0"/>
              <w:autoSpaceDN w:val="0"/>
              <w:adjustRightInd w:val="0"/>
              <w:spacing w:after="0"/>
              <w:jc w:val="left"/>
              <w:rPr>
                <w:color w:val="000000"/>
                <w:sz w:val="18"/>
                <w:szCs w:val="18"/>
              </w:rPr>
            </w:pPr>
            <w:r w:rsidRPr="006829D0">
              <w:rPr>
                <w:color w:val="000000"/>
                <w:sz w:val="18"/>
                <w:szCs w:val="18"/>
              </w:rPr>
              <w:t>Economic Advisory Group (EAG)</w:t>
            </w:r>
          </w:p>
        </w:tc>
        <w:tc>
          <w:tcPr>
            <w:tcW w:w="3780" w:type="dxa"/>
          </w:tcPr>
          <w:p w14:paraId="696ED24A" w14:textId="77777777" w:rsidR="00A22E4D" w:rsidRPr="005D516A" w:rsidRDefault="00A22E4D" w:rsidP="00DF29AB">
            <w:pPr>
              <w:widowControl w:val="0"/>
              <w:autoSpaceDE w:val="0"/>
              <w:autoSpaceDN w:val="0"/>
              <w:adjustRightInd w:val="0"/>
              <w:spacing w:after="0"/>
              <w:jc w:val="left"/>
              <w:rPr>
                <w:color w:val="000000"/>
                <w:sz w:val="18"/>
                <w:szCs w:val="18"/>
              </w:rPr>
            </w:pPr>
            <w:r w:rsidRPr="005D516A">
              <w:rPr>
                <w:color w:val="000000"/>
                <w:sz w:val="18"/>
                <w:szCs w:val="18"/>
              </w:rPr>
              <w:t xml:space="preserve">This group consists of Government and Private organizations who advise the President on economic matters. </w:t>
            </w:r>
          </w:p>
        </w:tc>
        <w:tc>
          <w:tcPr>
            <w:tcW w:w="2430" w:type="dxa"/>
          </w:tcPr>
          <w:p w14:paraId="5B8652FF" w14:textId="77777777" w:rsidR="00A22E4D" w:rsidRPr="005D516A" w:rsidRDefault="00A22E4D" w:rsidP="00DF29AB">
            <w:pPr>
              <w:spacing w:after="0"/>
              <w:jc w:val="left"/>
              <w:rPr>
                <w:color w:val="000000"/>
                <w:sz w:val="18"/>
                <w:szCs w:val="18"/>
              </w:rPr>
            </w:pPr>
            <w:r w:rsidRPr="005D516A">
              <w:rPr>
                <w:color w:val="000000"/>
                <w:sz w:val="18"/>
                <w:szCs w:val="18"/>
              </w:rPr>
              <w:t>The EAG will be targeted as a key body with links to the private sector so as to improve mainstreaming and implementation of biodiversity policies into private sector practices.</w:t>
            </w:r>
          </w:p>
        </w:tc>
        <w:tc>
          <w:tcPr>
            <w:tcW w:w="540" w:type="dxa"/>
          </w:tcPr>
          <w:p w14:paraId="4B2AF2FA" w14:textId="77777777" w:rsidR="00A22E4D" w:rsidRPr="005D516A" w:rsidRDefault="00A22E4D" w:rsidP="00DF29AB">
            <w:pPr>
              <w:spacing w:after="0"/>
              <w:jc w:val="left"/>
              <w:rPr>
                <w:color w:val="000000"/>
                <w:sz w:val="18"/>
                <w:szCs w:val="18"/>
              </w:rPr>
            </w:pPr>
          </w:p>
        </w:tc>
        <w:tc>
          <w:tcPr>
            <w:tcW w:w="540" w:type="dxa"/>
          </w:tcPr>
          <w:p w14:paraId="49B841B4" w14:textId="77777777" w:rsidR="00A22E4D" w:rsidRPr="005D516A" w:rsidRDefault="00A22E4D" w:rsidP="00DF29AB">
            <w:pPr>
              <w:spacing w:after="0"/>
              <w:jc w:val="left"/>
              <w:rPr>
                <w:color w:val="000000"/>
                <w:sz w:val="18"/>
                <w:szCs w:val="18"/>
              </w:rPr>
            </w:pPr>
            <w:r w:rsidRPr="005D516A">
              <w:rPr>
                <w:color w:val="000000"/>
                <w:sz w:val="18"/>
                <w:szCs w:val="18"/>
              </w:rPr>
              <w:t>x</w:t>
            </w:r>
          </w:p>
        </w:tc>
        <w:tc>
          <w:tcPr>
            <w:tcW w:w="630" w:type="dxa"/>
          </w:tcPr>
          <w:p w14:paraId="3CBD6AE9" w14:textId="77777777" w:rsidR="00A22E4D" w:rsidRPr="005D516A" w:rsidRDefault="00A22E4D" w:rsidP="00DF29AB">
            <w:pPr>
              <w:spacing w:after="0"/>
              <w:jc w:val="left"/>
              <w:rPr>
                <w:color w:val="000000"/>
                <w:sz w:val="18"/>
                <w:szCs w:val="18"/>
              </w:rPr>
            </w:pPr>
            <w:r w:rsidRPr="005D516A">
              <w:rPr>
                <w:color w:val="000000"/>
                <w:sz w:val="18"/>
                <w:szCs w:val="18"/>
              </w:rPr>
              <w:t>x</w:t>
            </w:r>
          </w:p>
        </w:tc>
      </w:tr>
      <w:tr w:rsidR="00A22E4D" w14:paraId="5F9F65E2" w14:textId="77777777" w:rsidTr="00DF29AB">
        <w:trPr>
          <w:trHeight w:val="935"/>
        </w:trPr>
        <w:tc>
          <w:tcPr>
            <w:tcW w:w="2250" w:type="dxa"/>
          </w:tcPr>
          <w:p w14:paraId="2FEADBF6" w14:textId="77777777" w:rsidR="00A22E4D" w:rsidRPr="006829D0" w:rsidRDefault="00A22E4D" w:rsidP="00DF29AB">
            <w:pPr>
              <w:widowControl w:val="0"/>
              <w:autoSpaceDE w:val="0"/>
              <w:autoSpaceDN w:val="0"/>
              <w:adjustRightInd w:val="0"/>
              <w:spacing w:after="0"/>
              <w:jc w:val="left"/>
              <w:rPr>
                <w:color w:val="000000"/>
                <w:sz w:val="18"/>
                <w:szCs w:val="18"/>
              </w:rPr>
            </w:pPr>
            <w:r w:rsidRPr="006829D0">
              <w:rPr>
                <w:color w:val="000000"/>
                <w:sz w:val="18"/>
                <w:szCs w:val="18"/>
              </w:rPr>
              <w:t>Foreign Investment Board (FIB)</w:t>
            </w:r>
          </w:p>
        </w:tc>
        <w:tc>
          <w:tcPr>
            <w:tcW w:w="3780" w:type="dxa"/>
          </w:tcPr>
          <w:p w14:paraId="6005465B" w14:textId="77777777" w:rsidR="00A22E4D" w:rsidRPr="005D516A" w:rsidRDefault="00A22E4D" w:rsidP="00DF29AB">
            <w:pPr>
              <w:widowControl w:val="0"/>
              <w:autoSpaceDE w:val="0"/>
              <w:autoSpaceDN w:val="0"/>
              <w:adjustRightInd w:val="0"/>
              <w:spacing w:after="0"/>
              <w:jc w:val="left"/>
              <w:rPr>
                <w:color w:val="000000"/>
                <w:sz w:val="18"/>
                <w:szCs w:val="18"/>
              </w:rPr>
            </w:pPr>
            <w:r w:rsidRPr="005D516A">
              <w:rPr>
                <w:color w:val="000000"/>
                <w:sz w:val="18"/>
                <w:szCs w:val="18"/>
              </w:rPr>
              <w:t xml:space="preserve">The FIB approves business proposals by foreign entities. </w:t>
            </w:r>
          </w:p>
        </w:tc>
        <w:tc>
          <w:tcPr>
            <w:tcW w:w="2430" w:type="dxa"/>
          </w:tcPr>
          <w:p w14:paraId="4568F0AB" w14:textId="77777777" w:rsidR="00A22E4D" w:rsidRPr="005D516A" w:rsidRDefault="00A22E4D" w:rsidP="00DF29AB">
            <w:pPr>
              <w:spacing w:after="0"/>
              <w:jc w:val="left"/>
              <w:rPr>
                <w:color w:val="000000"/>
                <w:sz w:val="18"/>
                <w:szCs w:val="18"/>
              </w:rPr>
            </w:pPr>
            <w:r w:rsidRPr="005D516A">
              <w:rPr>
                <w:color w:val="000000"/>
                <w:sz w:val="18"/>
                <w:szCs w:val="18"/>
              </w:rPr>
              <w:t>The Project will look for ways to align Landscape/Seascape Plans and Biodiversity Policies into the approval process.</w:t>
            </w:r>
          </w:p>
        </w:tc>
        <w:tc>
          <w:tcPr>
            <w:tcW w:w="540" w:type="dxa"/>
          </w:tcPr>
          <w:p w14:paraId="65E5A144" w14:textId="77777777" w:rsidR="00A22E4D" w:rsidRPr="005D516A" w:rsidRDefault="00A22E4D" w:rsidP="00DF29AB">
            <w:pPr>
              <w:spacing w:after="0"/>
              <w:jc w:val="left"/>
              <w:rPr>
                <w:color w:val="000000"/>
                <w:sz w:val="18"/>
                <w:szCs w:val="18"/>
              </w:rPr>
            </w:pPr>
          </w:p>
        </w:tc>
        <w:tc>
          <w:tcPr>
            <w:tcW w:w="540" w:type="dxa"/>
          </w:tcPr>
          <w:p w14:paraId="3568A30B" w14:textId="77777777" w:rsidR="00A22E4D" w:rsidRPr="005D516A" w:rsidRDefault="00A22E4D" w:rsidP="00DF29AB">
            <w:pPr>
              <w:spacing w:after="0"/>
              <w:jc w:val="left"/>
              <w:rPr>
                <w:color w:val="000000"/>
                <w:sz w:val="18"/>
                <w:szCs w:val="18"/>
              </w:rPr>
            </w:pPr>
            <w:r w:rsidRPr="005D516A">
              <w:rPr>
                <w:color w:val="000000"/>
                <w:sz w:val="18"/>
                <w:szCs w:val="18"/>
              </w:rPr>
              <w:t>x</w:t>
            </w:r>
          </w:p>
        </w:tc>
        <w:tc>
          <w:tcPr>
            <w:tcW w:w="630" w:type="dxa"/>
          </w:tcPr>
          <w:p w14:paraId="0A43A1B5" w14:textId="77777777" w:rsidR="00A22E4D" w:rsidRPr="005D516A" w:rsidRDefault="00A22E4D" w:rsidP="00DF29AB">
            <w:pPr>
              <w:spacing w:after="0"/>
              <w:jc w:val="left"/>
              <w:rPr>
                <w:color w:val="000000"/>
                <w:sz w:val="18"/>
                <w:szCs w:val="18"/>
              </w:rPr>
            </w:pPr>
          </w:p>
        </w:tc>
      </w:tr>
      <w:tr w:rsidR="00A22E4D" w:rsidRPr="00037DE9" w14:paraId="230953B3" w14:textId="77777777" w:rsidTr="00DF29AB">
        <w:trPr>
          <w:trHeight w:val="98"/>
        </w:trPr>
        <w:tc>
          <w:tcPr>
            <w:tcW w:w="8460" w:type="dxa"/>
            <w:gridSpan w:val="3"/>
            <w:shd w:val="clear" w:color="auto" w:fill="D0CECE"/>
          </w:tcPr>
          <w:p w14:paraId="011473BC" w14:textId="77777777" w:rsidR="00A22E4D" w:rsidRPr="006829D0" w:rsidRDefault="00A22E4D" w:rsidP="00DF29AB">
            <w:pPr>
              <w:widowControl w:val="0"/>
              <w:autoSpaceDE w:val="0"/>
              <w:autoSpaceDN w:val="0"/>
              <w:adjustRightInd w:val="0"/>
              <w:spacing w:after="0"/>
              <w:jc w:val="left"/>
              <w:rPr>
                <w:b/>
                <w:color w:val="000000"/>
                <w:sz w:val="18"/>
                <w:szCs w:val="18"/>
              </w:rPr>
            </w:pPr>
            <w:r w:rsidRPr="006829D0">
              <w:rPr>
                <w:b/>
                <w:color w:val="000000"/>
                <w:sz w:val="18"/>
                <w:szCs w:val="18"/>
              </w:rPr>
              <w:t>State Government</w:t>
            </w:r>
          </w:p>
        </w:tc>
        <w:tc>
          <w:tcPr>
            <w:tcW w:w="540" w:type="dxa"/>
            <w:shd w:val="clear" w:color="auto" w:fill="D0CECE"/>
          </w:tcPr>
          <w:p w14:paraId="08A8A49A" w14:textId="77777777" w:rsidR="00A22E4D" w:rsidRPr="005D516A" w:rsidRDefault="00A22E4D" w:rsidP="00DF29AB">
            <w:pPr>
              <w:spacing w:after="0"/>
              <w:jc w:val="left"/>
              <w:rPr>
                <w:rFonts w:cs="Calibri"/>
                <w:b/>
                <w:sz w:val="18"/>
                <w:szCs w:val="18"/>
              </w:rPr>
            </w:pPr>
          </w:p>
        </w:tc>
        <w:tc>
          <w:tcPr>
            <w:tcW w:w="540" w:type="dxa"/>
            <w:shd w:val="clear" w:color="auto" w:fill="D0CECE"/>
          </w:tcPr>
          <w:p w14:paraId="48BF6F5A" w14:textId="77777777" w:rsidR="00A22E4D" w:rsidRPr="005D516A" w:rsidRDefault="00A22E4D" w:rsidP="00DF29AB">
            <w:pPr>
              <w:spacing w:after="0"/>
              <w:jc w:val="left"/>
              <w:rPr>
                <w:rFonts w:cs="Calibri"/>
                <w:b/>
                <w:sz w:val="18"/>
                <w:szCs w:val="18"/>
              </w:rPr>
            </w:pPr>
          </w:p>
        </w:tc>
        <w:tc>
          <w:tcPr>
            <w:tcW w:w="630" w:type="dxa"/>
            <w:shd w:val="clear" w:color="auto" w:fill="D0CECE"/>
          </w:tcPr>
          <w:p w14:paraId="731FB901" w14:textId="77777777" w:rsidR="00A22E4D" w:rsidRPr="005D516A" w:rsidRDefault="00A22E4D" w:rsidP="00DF29AB">
            <w:pPr>
              <w:spacing w:after="0"/>
              <w:jc w:val="left"/>
              <w:rPr>
                <w:rFonts w:cs="Calibri"/>
                <w:b/>
                <w:sz w:val="18"/>
                <w:szCs w:val="18"/>
              </w:rPr>
            </w:pPr>
          </w:p>
        </w:tc>
      </w:tr>
      <w:tr w:rsidR="00A22E4D" w14:paraId="389C1028" w14:textId="77777777" w:rsidTr="00DF29AB">
        <w:trPr>
          <w:trHeight w:val="512"/>
        </w:trPr>
        <w:tc>
          <w:tcPr>
            <w:tcW w:w="2250" w:type="dxa"/>
          </w:tcPr>
          <w:p w14:paraId="37DCC914" w14:textId="77777777" w:rsidR="00A22E4D" w:rsidRPr="005D516A" w:rsidRDefault="00A22E4D" w:rsidP="00DF29AB">
            <w:pPr>
              <w:widowControl w:val="0"/>
              <w:autoSpaceDE w:val="0"/>
              <w:autoSpaceDN w:val="0"/>
              <w:adjustRightInd w:val="0"/>
              <w:spacing w:after="0"/>
              <w:jc w:val="left"/>
              <w:rPr>
                <w:color w:val="000000"/>
                <w:sz w:val="18"/>
                <w:szCs w:val="18"/>
              </w:rPr>
            </w:pPr>
            <w:r w:rsidRPr="006829D0">
              <w:rPr>
                <w:color w:val="000000"/>
                <w:sz w:val="18"/>
                <w:szCs w:val="18"/>
              </w:rPr>
              <w:t>State Governments (with particular emphasis on Peleliu, Koror, and 9</w:t>
            </w:r>
            <w:r w:rsidRPr="005D516A">
              <w:rPr>
                <w:color w:val="000000"/>
                <w:sz w:val="18"/>
                <w:szCs w:val="18"/>
              </w:rPr>
              <w:t xml:space="preserve"> Babeldaob States) and Governor’s Association</w:t>
            </w:r>
          </w:p>
        </w:tc>
        <w:tc>
          <w:tcPr>
            <w:tcW w:w="3780" w:type="dxa"/>
          </w:tcPr>
          <w:p w14:paraId="2C1ACFF2" w14:textId="77777777" w:rsidR="00A22E4D" w:rsidRPr="005D516A" w:rsidRDefault="00A22E4D" w:rsidP="00DF29AB">
            <w:pPr>
              <w:widowControl w:val="0"/>
              <w:autoSpaceDE w:val="0"/>
              <w:autoSpaceDN w:val="0"/>
              <w:adjustRightInd w:val="0"/>
              <w:spacing w:after="0"/>
              <w:jc w:val="left"/>
              <w:rPr>
                <w:color w:val="000000"/>
                <w:sz w:val="18"/>
                <w:szCs w:val="18"/>
              </w:rPr>
            </w:pPr>
            <w:r w:rsidRPr="005D516A">
              <w:rPr>
                <w:color w:val="000000"/>
                <w:sz w:val="18"/>
                <w:szCs w:val="18"/>
              </w:rPr>
              <w:t xml:space="preserve">States are responsible for natural resource management within state boundaries. </w:t>
            </w:r>
          </w:p>
          <w:p w14:paraId="1BA83BED" w14:textId="77777777" w:rsidR="00A22E4D" w:rsidRPr="005D516A" w:rsidRDefault="00A22E4D" w:rsidP="00DF29AB">
            <w:pPr>
              <w:widowControl w:val="0"/>
              <w:autoSpaceDE w:val="0"/>
              <w:autoSpaceDN w:val="0"/>
              <w:adjustRightInd w:val="0"/>
              <w:spacing w:after="0"/>
              <w:jc w:val="left"/>
              <w:rPr>
                <w:color w:val="000000"/>
                <w:sz w:val="18"/>
                <w:szCs w:val="18"/>
              </w:rPr>
            </w:pPr>
          </w:p>
          <w:p w14:paraId="200FB1BD" w14:textId="77777777" w:rsidR="00A22E4D" w:rsidRPr="005D516A" w:rsidRDefault="00A22E4D" w:rsidP="00DF29AB">
            <w:pPr>
              <w:widowControl w:val="0"/>
              <w:autoSpaceDE w:val="0"/>
              <w:autoSpaceDN w:val="0"/>
              <w:adjustRightInd w:val="0"/>
              <w:spacing w:after="0"/>
              <w:jc w:val="left"/>
              <w:rPr>
                <w:color w:val="000000"/>
                <w:sz w:val="18"/>
                <w:szCs w:val="18"/>
              </w:rPr>
            </w:pPr>
            <w:r w:rsidRPr="005D516A">
              <w:rPr>
                <w:color w:val="000000"/>
                <w:sz w:val="18"/>
                <w:szCs w:val="18"/>
              </w:rPr>
              <w:t>States issues leases for public lands and waters (out to 12 nautical miles). States issue business licenses.</w:t>
            </w:r>
          </w:p>
        </w:tc>
        <w:tc>
          <w:tcPr>
            <w:tcW w:w="2430" w:type="dxa"/>
          </w:tcPr>
          <w:p w14:paraId="152273CF" w14:textId="215BD140" w:rsidR="00A22E4D" w:rsidRPr="005D516A" w:rsidRDefault="00A22E4D" w:rsidP="00DF29AB">
            <w:pPr>
              <w:spacing w:after="0"/>
              <w:jc w:val="left"/>
              <w:rPr>
                <w:color w:val="000000"/>
                <w:sz w:val="18"/>
                <w:szCs w:val="18"/>
              </w:rPr>
            </w:pPr>
            <w:r w:rsidRPr="005D516A">
              <w:rPr>
                <w:color w:val="000000"/>
                <w:sz w:val="18"/>
                <w:szCs w:val="18"/>
              </w:rPr>
              <w:t xml:space="preserve">The Project will actively involve State Governments, from the Governor to personnel, in multiple aspects of the project, from National-State Coordination to Biosecurity to </w:t>
            </w:r>
            <w:r w:rsidR="00D15171">
              <w:rPr>
                <w:color w:val="000000"/>
                <w:sz w:val="18"/>
                <w:szCs w:val="18"/>
              </w:rPr>
              <w:t>l</w:t>
            </w:r>
            <w:r w:rsidRPr="005D516A">
              <w:rPr>
                <w:color w:val="000000"/>
                <w:sz w:val="18"/>
                <w:szCs w:val="18"/>
              </w:rPr>
              <w:t>ands/</w:t>
            </w:r>
            <w:r w:rsidR="00D15171">
              <w:rPr>
                <w:color w:val="000000"/>
                <w:sz w:val="18"/>
                <w:szCs w:val="18"/>
              </w:rPr>
              <w:t>s</w:t>
            </w:r>
            <w:r w:rsidRPr="005D516A">
              <w:rPr>
                <w:color w:val="000000"/>
                <w:sz w:val="18"/>
                <w:szCs w:val="18"/>
              </w:rPr>
              <w:t>eascape Planning.</w:t>
            </w:r>
          </w:p>
        </w:tc>
        <w:tc>
          <w:tcPr>
            <w:tcW w:w="540" w:type="dxa"/>
          </w:tcPr>
          <w:p w14:paraId="65C17F00" w14:textId="77777777" w:rsidR="00A22E4D" w:rsidRPr="005D516A" w:rsidRDefault="00A22E4D" w:rsidP="00DF29AB">
            <w:pPr>
              <w:spacing w:after="0"/>
              <w:jc w:val="left"/>
              <w:rPr>
                <w:color w:val="000000"/>
                <w:sz w:val="18"/>
                <w:szCs w:val="18"/>
              </w:rPr>
            </w:pPr>
            <w:r w:rsidRPr="005D516A">
              <w:rPr>
                <w:color w:val="000000"/>
                <w:sz w:val="18"/>
                <w:szCs w:val="18"/>
              </w:rPr>
              <w:t>x</w:t>
            </w:r>
          </w:p>
        </w:tc>
        <w:tc>
          <w:tcPr>
            <w:tcW w:w="540" w:type="dxa"/>
          </w:tcPr>
          <w:p w14:paraId="4B3202AF" w14:textId="77777777" w:rsidR="00A22E4D" w:rsidRPr="005D516A" w:rsidRDefault="00A22E4D" w:rsidP="00DF29AB">
            <w:pPr>
              <w:spacing w:after="0"/>
              <w:jc w:val="left"/>
              <w:rPr>
                <w:color w:val="000000"/>
                <w:sz w:val="18"/>
                <w:szCs w:val="18"/>
              </w:rPr>
            </w:pPr>
            <w:r w:rsidRPr="005D516A">
              <w:rPr>
                <w:color w:val="000000"/>
                <w:sz w:val="18"/>
                <w:szCs w:val="18"/>
              </w:rPr>
              <w:t>x</w:t>
            </w:r>
          </w:p>
        </w:tc>
        <w:tc>
          <w:tcPr>
            <w:tcW w:w="630" w:type="dxa"/>
          </w:tcPr>
          <w:p w14:paraId="589DCBB0" w14:textId="77777777" w:rsidR="00A22E4D" w:rsidRPr="005D516A" w:rsidRDefault="00A22E4D" w:rsidP="00DF29AB">
            <w:pPr>
              <w:spacing w:after="0"/>
              <w:jc w:val="left"/>
              <w:rPr>
                <w:color w:val="000000"/>
                <w:sz w:val="18"/>
                <w:szCs w:val="18"/>
              </w:rPr>
            </w:pPr>
            <w:r w:rsidRPr="005D516A">
              <w:rPr>
                <w:color w:val="000000"/>
                <w:sz w:val="18"/>
                <w:szCs w:val="18"/>
              </w:rPr>
              <w:t>x</w:t>
            </w:r>
          </w:p>
        </w:tc>
      </w:tr>
      <w:tr w:rsidR="00A22E4D" w14:paraId="5E1BBEBD" w14:textId="77777777" w:rsidTr="00DF29AB">
        <w:trPr>
          <w:trHeight w:val="512"/>
        </w:trPr>
        <w:tc>
          <w:tcPr>
            <w:tcW w:w="2250" w:type="dxa"/>
          </w:tcPr>
          <w:p w14:paraId="5624939D" w14:textId="77777777" w:rsidR="00A22E4D" w:rsidRPr="006829D0" w:rsidRDefault="00A22E4D" w:rsidP="00DF29AB">
            <w:pPr>
              <w:widowControl w:val="0"/>
              <w:autoSpaceDE w:val="0"/>
              <w:autoSpaceDN w:val="0"/>
              <w:adjustRightInd w:val="0"/>
              <w:spacing w:after="0"/>
              <w:jc w:val="left"/>
              <w:rPr>
                <w:color w:val="000000"/>
                <w:sz w:val="18"/>
                <w:szCs w:val="18"/>
              </w:rPr>
            </w:pPr>
            <w:r w:rsidRPr="006829D0">
              <w:rPr>
                <w:color w:val="000000"/>
                <w:sz w:val="18"/>
                <w:szCs w:val="18"/>
              </w:rPr>
              <w:t xml:space="preserve">Koror State Department of Conservation and Law Enforcement (KSDCLE) </w:t>
            </w:r>
          </w:p>
        </w:tc>
        <w:tc>
          <w:tcPr>
            <w:tcW w:w="3780" w:type="dxa"/>
          </w:tcPr>
          <w:p w14:paraId="543FDA02" w14:textId="77777777" w:rsidR="00A22E4D" w:rsidRPr="005D516A" w:rsidRDefault="00A22E4D" w:rsidP="00DF29AB">
            <w:pPr>
              <w:widowControl w:val="0"/>
              <w:autoSpaceDE w:val="0"/>
              <w:autoSpaceDN w:val="0"/>
              <w:adjustRightInd w:val="0"/>
              <w:spacing w:after="0"/>
              <w:jc w:val="left"/>
              <w:rPr>
                <w:color w:val="000000"/>
                <w:sz w:val="18"/>
                <w:szCs w:val="18"/>
              </w:rPr>
            </w:pPr>
            <w:r w:rsidRPr="005D516A">
              <w:rPr>
                <w:color w:val="000000"/>
                <w:sz w:val="18"/>
                <w:szCs w:val="18"/>
              </w:rPr>
              <w:t>The KSDCLE manages the Rock Islands Southern Lagoon, including conservation area planning, enforcement, and training of tour operators.</w:t>
            </w:r>
          </w:p>
        </w:tc>
        <w:tc>
          <w:tcPr>
            <w:tcW w:w="2430" w:type="dxa"/>
          </w:tcPr>
          <w:p w14:paraId="309B4EC0" w14:textId="77777777" w:rsidR="00A22E4D" w:rsidRPr="005D516A" w:rsidRDefault="00A22E4D" w:rsidP="00DF29AB">
            <w:pPr>
              <w:spacing w:after="0"/>
              <w:jc w:val="left"/>
              <w:rPr>
                <w:color w:val="000000"/>
                <w:sz w:val="18"/>
                <w:szCs w:val="18"/>
              </w:rPr>
            </w:pPr>
            <w:r w:rsidRPr="005D516A">
              <w:rPr>
                <w:color w:val="000000"/>
                <w:sz w:val="18"/>
                <w:szCs w:val="18"/>
              </w:rPr>
              <w:t>Koror will be a major partner for every aspect of the project, and most activities will go through this department.</w:t>
            </w:r>
          </w:p>
        </w:tc>
        <w:tc>
          <w:tcPr>
            <w:tcW w:w="540" w:type="dxa"/>
          </w:tcPr>
          <w:p w14:paraId="5128F54A" w14:textId="77777777" w:rsidR="00A22E4D" w:rsidRPr="005D516A" w:rsidRDefault="00A22E4D" w:rsidP="00DF29AB">
            <w:pPr>
              <w:spacing w:after="0"/>
              <w:jc w:val="left"/>
              <w:rPr>
                <w:color w:val="000000"/>
                <w:sz w:val="18"/>
                <w:szCs w:val="18"/>
              </w:rPr>
            </w:pPr>
            <w:r w:rsidRPr="005D516A">
              <w:rPr>
                <w:color w:val="000000"/>
                <w:sz w:val="18"/>
                <w:szCs w:val="18"/>
              </w:rPr>
              <w:t>x</w:t>
            </w:r>
          </w:p>
        </w:tc>
        <w:tc>
          <w:tcPr>
            <w:tcW w:w="540" w:type="dxa"/>
          </w:tcPr>
          <w:p w14:paraId="2B56F40C" w14:textId="77777777" w:rsidR="00A22E4D" w:rsidRPr="005D516A" w:rsidRDefault="00A22E4D" w:rsidP="00DF29AB">
            <w:pPr>
              <w:spacing w:after="0"/>
              <w:jc w:val="left"/>
              <w:rPr>
                <w:color w:val="000000"/>
                <w:sz w:val="18"/>
                <w:szCs w:val="18"/>
              </w:rPr>
            </w:pPr>
            <w:r w:rsidRPr="005D516A">
              <w:rPr>
                <w:color w:val="000000"/>
                <w:sz w:val="18"/>
                <w:szCs w:val="18"/>
              </w:rPr>
              <w:t>x</w:t>
            </w:r>
          </w:p>
        </w:tc>
        <w:tc>
          <w:tcPr>
            <w:tcW w:w="630" w:type="dxa"/>
          </w:tcPr>
          <w:p w14:paraId="41DD33DF" w14:textId="77777777" w:rsidR="00A22E4D" w:rsidRPr="005D516A" w:rsidRDefault="00A22E4D" w:rsidP="00DF29AB">
            <w:pPr>
              <w:spacing w:after="0"/>
              <w:jc w:val="left"/>
              <w:rPr>
                <w:color w:val="000000"/>
                <w:sz w:val="18"/>
                <w:szCs w:val="18"/>
              </w:rPr>
            </w:pPr>
            <w:r w:rsidRPr="005D516A">
              <w:rPr>
                <w:color w:val="000000"/>
                <w:sz w:val="18"/>
                <w:szCs w:val="18"/>
              </w:rPr>
              <w:t>x</w:t>
            </w:r>
          </w:p>
        </w:tc>
      </w:tr>
      <w:tr w:rsidR="00A22E4D" w:rsidRPr="00037DE9" w14:paraId="51100932" w14:textId="77777777" w:rsidTr="00DF29AB">
        <w:trPr>
          <w:trHeight w:val="152"/>
        </w:trPr>
        <w:tc>
          <w:tcPr>
            <w:tcW w:w="8460" w:type="dxa"/>
            <w:gridSpan w:val="3"/>
            <w:shd w:val="clear" w:color="auto" w:fill="D0CECE"/>
          </w:tcPr>
          <w:p w14:paraId="6971327F" w14:textId="77777777" w:rsidR="00A22E4D" w:rsidRPr="006829D0" w:rsidRDefault="00A22E4D" w:rsidP="00DF29AB">
            <w:pPr>
              <w:spacing w:after="0"/>
              <w:jc w:val="left"/>
              <w:rPr>
                <w:rFonts w:cs="Calibri"/>
                <w:b/>
                <w:sz w:val="18"/>
                <w:szCs w:val="18"/>
              </w:rPr>
            </w:pPr>
            <w:r w:rsidRPr="006829D0">
              <w:rPr>
                <w:b/>
                <w:color w:val="000000"/>
                <w:sz w:val="18"/>
                <w:szCs w:val="18"/>
              </w:rPr>
              <w:t xml:space="preserve">Foreign Government </w:t>
            </w:r>
          </w:p>
        </w:tc>
        <w:tc>
          <w:tcPr>
            <w:tcW w:w="540" w:type="dxa"/>
            <w:shd w:val="clear" w:color="auto" w:fill="D0CECE"/>
          </w:tcPr>
          <w:p w14:paraId="36AB2A2C" w14:textId="77777777" w:rsidR="00A22E4D" w:rsidRPr="005D516A" w:rsidRDefault="00A22E4D" w:rsidP="00DF29AB">
            <w:pPr>
              <w:spacing w:after="0"/>
              <w:jc w:val="left"/>
              <w:rPr>
                <w:rFonts w:cs="Calibri"/>
                <w:b/>
                <w:sz w:val="18"/>
                <w:szCs w:val="18"/>
              </w:rPr>
            </w:pPr>
          </w:p>
        </w:tc>
        <w:tc>
          <w:tcPr>
            <w:tcW w:w="540" w:type="dxa"/>
            <w:shd w:val="clear" w:color="auto" w:fill="D0CECE"/>
          </w:tcPr>
          <w:p w14:paraId="5F7DB35F" w14:textId="77777777" w:rsidR="00A22E4D" w:rsidRPr="005D516A" w:rsidRDefault="00A22E4D" w:rsidP="00DF29AB">
            <w:pPr>
              <w:spacing w:after="0"/>
              <w:jc w:val="left"/>
              <w:rPr>
                <w:rFonts w:cs="Calibri"/>
                <w:b/>
                <w:sz w:val="18"/>
                <w:szCs w:val="18"/>
              </w:rPr>
            </w:pPr>
          </w:p>
        </w:tc>
        <w:tc>
          <w:tcPr>
            <w:tcW w:w="630" w:type="dxa"/>
            <w:shd w:val="clear" w:color="auto" w:fill="D0CECE"/>
          </w:tcPr>
          <w:p w14:paraId="74573819" w14:textId="77777777" w:rsidR="00A22E4D" w:rsidRPr="005D516A" w:rsidRDefault="00A22E4D" w:rsidP="00DF29AB">
            <w:pPr>
              <w:spacing w:after="0"/>
              <w:jc w:val="left"/>
              <w:rPr>
                <w:rFonts w:cs="Calibri"/>
                <w:b/>
                <w:sz w:val="18"/>
                <w:szCs w:val="18"/>
              </w:rPr>
            </w:pPr>
          </w:p>
        </w:tc>
      </w:tr>
      <w:tr w:rsidR="00A22E4D" w14:paraId="35C50EBE" w14:textId="77777777" w:rsidTr="00DF29AB">
        <w:trPr>
          <w:trHeight w:val="701"/>
        </w:trPr>
        <w:tc>
          <w:tcPr>
            <w:tcW w:w="2250" w:type="dxa"/>
            <w:shd w:val="clear" w:color="auto" w:fill="FFFFFF"/>
          </w:tcPr>
          <w:p w14:paraId="6F3DB594" w14:textId="77777777" w:rsidR="00A22E4D" w:rsidRPr="006829D0" w:rsidRDefault="00A22E4D" w:rsidP="00DF29AB">
            <w:pPr>
              <w:widowControl w:val="0"/>
              <w:autoSpaceDE w:val="0"/>
              <w:autoSpaceDN w:val="0"/>
              <w:adjustRightInd w:val="0"/>
              <w:spacing w:after="0"/>
              <w:jc w:val="left"/>
              <w:rPr>
                <w:color w:val="000000"/>
                <w:sz w:val="18"/>
                <w:szCs w:val="18"/>
              </w:rPr>
            </w:pPr>
            <w:r w:rsidRPr="006829D0">
              <w:rPr>
                <w:color w:val="000000"/>
                <w:sz w:val="18"/>
                <w:szCs w:val="18"/>
              </w:rPr>
              <w:t>USDA NRCS</w:t>
            </w:r>
          </w:p>
        </w:tc>
        <w:tc>
          <w:tcPr>
            <w:tcW w:w="3780" w:type="dxa"/>
            <w:shd w:val="clear" w:color="auto" w:fill="FFFFFF"/>
          </w:tcPr>
          <w:p w14:paraId="2D6BD69E" w14:textId="77777777" w:rsidR="00A22E4D" w:rsidRPr="005D516A" w:rsidRDefault="00A22E4D" w:rsidP="00DF29AB">
            <w:pPr>
              <w:widowControl w:val="0"/>
              <w:autoSpaceDE w:val="0"/>
              <w:autoSpaceDN w:val="0"/>
              <w:adjustRightInd w:val="0"/>
              <w:spacing w:after="0"/>
              <w:jc w:val="left"/>
              <w:rPr>
                <w:color w:val="000000"/>
                <w:sz w:val="18"/>
                <w:szCs w:val="18"/>
              </w:rPr>
            </w:pPr>
            <w:r w:rsidRPr="005D516A">
              <w:rPr>
                <w:color w:val="000000"/>
                <w:sz w:val="18"/>
                <w:szCs w:val="18"/>
              </w:rPr>
              <w:t>Based at the US Embassy, the USDA NRCS staff person provides technical advice particularly on soils, watersheds, and agriculture.</w:t>
            </w:r>
          </w:p>
        </w:tc>
        <w:tc>
          <w:tcPr>
            <w:tcW w:w="2430" w:type="dxa"/>
            <w:shd w:val="clear" w:color="auto" w:fill="FFFFFF"/>
          </w:tcPr>
          <w:p w14:paraId="1D153BF3" w14:textId="77777777" w:rsidR="00A22E4D" w:rsidRPr="005D516A" w:rsidRDefault="00A22E4D" w:rsidP="00DF29AB">
            <w:pPr>
              <w:spacing w:after="0"/>
              <w:jc w:val="left"/>
              <w:rPr>
                <w:rFonts w:cs="Calibri"/>
                <w:sz w:val="18"/>
                <w:szCs w:val="18"/>
              </w:rPr>
            </w:pPr>
            <w:r w:rsidRPr="005D516A">
              <w:rPr>
                <w:rFonts w:cs="Calibri"/>
                <w:sz w:val="18"/>
                <w:szCs w:val="18"/>
              </w:rPr>
              <w:t>The Project will look for ways to partner with USDA in terms of Capacity Building.</w:t>
            </w:r>
          </w:p>
        </w:tc>
        <w:tc>
          <w:tcPr>
            <w:tcW w:w="540" w:type="dxa"/>
            <w:shd w:val="clear" w:color="auto" w:fill="FFFFFF"/>
          </w:tcPr>
          <w:p w14:paraId="52A996DE" w14:textId="77777777" w:rsidR="00A22E4D" w:rsidRPr="005D516A" w:rsidRDefault="00A22E4D" w:rsidP="00DF29AB">
            <w:pPr>
              <w:spacing w:after="0"/>
              <w:jc w:val="left"/>
              <w:rPr>
                <w:rFonts w:cs="Calibri"/>
                <w:sz w:val="18"/>
                <w:szCs w:val="18"/>
              </w:rPr>
            </w:pPr>
          </w:p>
        </w:tc>
        <w:tc>
          <w:tcPr>
            <w:tcW w:w="540" w:type="dxa"/>
            <w:shd w:val="clear" w:color="auto" w:fill="FFFFFF"/>
          </w:tcPr>
          <w:p w14:paraId="4F0DA853" w14:textId="77777777" w:rsidR="00A22E4D" w:rsidRPr="005D516A" w:rsidRDefault="00A22E4D" w:rsidP="00DF29AB">
            <w:pPr>
              <w:spacing w:after="0"/>
              <w:jc w:val="left"/>
              <w:rPr>
                <w:rFonts w:cs="Calibri"/>
                <w:sz w:val="18"/>
                <w:szCs w:val="18"/>
              </w:rPr>
            </w:pPr>
          </w:p>
        </w:tc>
        <w:tc>
          <w:tcPr>
            <w:tcW w:w="630" w:type="dxa"/>
            <w:shd w:val="clear" w:color="auto" w:fill="FFFFFF"/>
          </w:tcPr>
          <w:p w14:paraId="59FF64A6" w14:textId="77777777" w:rsidR="00A22E4D" w:rsidRPr="005D516A" w:rsidRDefault="00A22E4D" w:rsidP="00DF29AB">
            <w:pPr>
              <w:spacing w:after="0"/>
              <w:jc w:val="left"/>
              <w:rPr>
                <w:rFonts w:cs="Calibri"/>
                <w:sz w:val="18"/>
                <w:szCs w:val="18"/>
              </w:rPr>
            </w:pPr>
            <w:r w:rsidRPr="005D516A">
              <w:rPr>
                <w:rFonts w:cs="Calibri"/>
                <w:sz w:val="18"/>
                <w:szCs w:val="18"/>
              </w:rPr>
              <w:t>x</w:t>
            </w:r>
          </w:p>
        </w:tc>
      </w:tr>
      <w:tr w:rsidR="00A22E4D" w14:paraId="6A7528D3" w14:textId="77777777" w:rsidTr="00DF29AB">
        <w:trPr>
          <w:trHeight w:val="701"/>
        </w:trPr>
        <w:tc>
          <w:tcPr>
            <w:tcW w:w="2250" w:type="dxa"/>
            <w:shd w:val="clear" w:color="auto" w:fill="FFFFFF"/>
          </w:tcPr>
          <w:p w14:paraId="63D37214" w14:textId="77777777" w:rsidR="00A22E4D" w:rsidRPr="006829D0" w:rsidRDefault="00A22E4D" w:rsidP="00DF29AB">
            <w:pPr>
              <w:widowControl w:val="0"/>
              <w:autoSpaceDE w:val="0"/>
              <w:autoSpaceDN w:val="0"/>
              <w:adjustRightInd w:val="0"/>
              <w:spacing w:after="0"/>
              <w:jc w:val="left"/>
              <w:rPr>
                <w:color w:val="000000"/>
                <w:sz w:val="18"/>
                <w:szCs w:val="18"/>
              </w:rPr>
            </w:pPr>
            <w:r w:rsidRPr="006829D0">
              <w:rPr>
                <w:color w:val="000000"/>
                <w:sz w:val="18"/>
                <w:szCs w:val="18"/>
              </w:rPr>
              <w:t>Taiwan Technical Mission</w:t>
            </w:r>
          </w:p>
        </w:tc>
        <w:tc>
          <w:tcPr>
            <w:tcW w:w="3780" w:type="dxa"/>
            <w:shd w:val="clear" w:color="auto" w:fill="FFFFFF"/>
          </w:tcPr>
          <w:p w14:paraId="41CC480D" w14:textId="77777777" w:rsidR="00A22E4D" w:rsidRPr="005D516A" w:rsidRDefault="00A22E4D" w:rsidP="00DF29AB">
            <w:pPr>
              <w:widowControl w:val="0"/>
              <w:autoSpaceDE w:val="0"/>
              <w:autoSpaceDN w:val="0"/>
              <w:adjustRightInd w:val="0"/>
              <w:spacing w:after="0"/>
              <w:jc w:val="left"/>
              <w:rPr>
                <w:color w:val="000000"/>
                <w:sz w:val="18"/>
                <w:szCs w:val="18"/>
              </w:rPr>
            </w:pPr>
            <w:r w:rsidRPr="005D516A">
              <w:rPr>
                <w:color w:val="000000"/>
                <w:sz w:val="18"/>
                <w:szCs w:val="18"/>
              </w:rPr>
              <w:t>Based out of the Republic of China (Taiwan) Embassy, the Taiwan Technical Mission plays a significant role in the expansion of agriculture in Palau through technical advice and provision of equipment.</w:t>
            </w:r>
          </w:p>
        </w:tc>
        <w:tc>
          <w:tcPr>
            <w:tcW w:w="2430" w:type="dxa"/>
            <w:shd w:val="clear" w:color="auto" w:fill="FFFFFF"/>
          </w:tcPr>
          <w:p w14:paraId="54F4EBF2" w14:textId="77777777" w:rsidR="00A22E4D" w:rsidRPr="005D516A" w:rsidRDefault="00A22E4D" w:rsidP="00DF29AB">
            <w:pPr>
              <w:spacing w:after="0"/>
              <w:jc w:val="left"/>
              <w:rPr>
                <w:rFonts w:cs="Calibri"/>
                <w:sz w:val="18"/>
                <w:szCs w:val="18"/>
              </w:rPr>
            </w:pPr>
            <w:r w:rsidRPr="005D516A">
              <w:rPr>
                <w:rFonts w:cs="Calibri"/>
                <w:sz w:val="18"/>
                <w:szCs w:val="18"/>
              </w:rPr>
              <w:t>The Project will need to take proactive steps to engage with the Taiwan Technical Mission to ensure that best practices are mainstreamed into their technical support, including support for native species over IAS.</w:t>
            </w:r>
          </w:p>
        </w:tc>
        <w:tc>
          <w:tcPr>
            <w:tcW w:w="540" w:type="dxa"/>
            <w:shd w:val="clear" w:color="auto" w:fill="FFFFFF"/>
          </w:tcPr>
          <w:p w14:paraId="530C78DB" w14:textId="77777777" w:rsidR="00A22E4D" w:rsidRPr="005D516A" w:rsidRDefault="00A22E4D" w:rsidP="00DF29AB">
            <w:pPr>
              <w:spacing w:after="0"/>
              <w:jc w:val="left"/>
              <w:rPr>
                <w:rFonts w:cs="Calibri"/>
                <w:sz w:val="18"/>
                <w:szCs w:val="18"/>
              </w:rPr>
            </w:pPr>
            <w:r w:rsidRPr="005D516A">
              <w:rPr>
                <w:rFonts w:cs="Calibri"/>
                <w:sz w:val="18"/>
                <w:szCs w:val="18"/>
              </w:rPr>
              <w:t>x</w:t>
            </w:r>
          </w:p>
        </w:tc>
        <w:tc>
          <w:tcPr>
            <w:tcW w:w="540" w:type="dxa"/>
            <w:shd w:val="clear" w:color="auto" w:fill="FFFFFF"/>
          </w:tcPr>
          <w:p w14:paraId="20855083" w14:textId="77777777" w:rsidR="00A22E4D" w:rsidRPr="005D516A" w:rsidRDefault="00A22E4D" w:rsidP="00DF29AB">
            <w:pPr>
              <w:spacing w:after="0"/>
              <w:jc w:val="left"/>
              <w:rPr>
                <w:rFonts w:cs="Calibri"/>
                <w:sz w:val="18"/>
                <w:szCs w:val="18"/>
              </w:rPr>
            </w:pPr>
          </w:p>
        </w:tc>
        <w:tc>
          <w:tcPr>
            <w:tcW w:w="630" w:type="dxa"/>
            <w:shd w:val="clear" w:color="auto" w:fill="FFFFFF"/>
          </w:tcPr>
          <w:p w14:paraId="356E7B18" w14:textId="77777777" w:rsidR="00A22E4D" w:rsidRPr="005D516A" w:rsidRDefault="00A22E4D" w:rsidP="00DF29AB">
            <w:pPr>
              <w:spacing w:after="0"/>
              <w:jc w:val="left"/>
              <w:rPr>
                <w:rFonts w:cs="Calibri"/>
                <w:sz w:val="18"/>
                <w:szCs w:val="18"/>
              </w:rPr>
            </w:pPr>
            <w:r w:rsidRPr="005D516A">
              <w:rPr>
                <w:rFonts w:cs="Calibri"/>
                <w:sz w:val="18"/>
                <w:szCs w:val="18"/>
              </w:rPr>
              <w:t>x</w:t>
            </w:r>
          </w:p>
        </w:tc>
      </w:tr>
      <w:tr w:rsidR="00A22E4D" w:rsidRPr="00037DE9" w14:paraId="7D627B4E" w14:textId="77777777" w:rsidTr="00DF29AB">
        <w:trPr>
          <w:trHeight w:val="215"/>
        </w:trPr>
        <w:tc>
          <w:tcPr>
            <w:tcW w:w="8460" w:type="dxa"/>
            <w:gridSpan w:val="3"/>
            <w:shd w:val="clear" w:color="auto" w:fill="D0CECE"/>
          </w:tcPr>
          <w:p w14:paraId="2BAC1014" w14:textId="77777777" w:rsidR="00A22E4D" w:rsidRPr="006829D0" w:rsidRDefault="00A22E4D" w:rsidP="00DF29AB">
            <w:pPr>
              <w:spacing w:after="0"/>
              <w:jc w:val="left"/>
              <w:rPr>
                <w:rFonts w:cs="Calibri"/>
                <w:b/>
                <w:sz w:val="18"/>
                <w:szCs w:val="18"/>
              </w:rPr>
            </w:pPr>
            <w:r w:rsidRPr="006829D0">
              <w:rPr>
                <w:b/>
                <w:color w:val="000000"/>
                <w:sz w:val="18"/>
                <w:szCs w:val="18"/>
              </w:rPr>
              <w:t>Business / Private Sector</w:t>
            </w:r>
          </w:p>
        </w:tc>
        <w:tc>
          <w:tcPr>
            <w:tcW w:w="540" w:type="dxa"/>
            <w:shd w:val="clear" w:color="auto" w:fill="D0CECE"/>
          </w:tcPr>
          <w:p w14:paraId="02F1988D" w14:textId="77777777" w:rsidR="00A22E4D" w:rsidRPr="005D516A" w:rsidRDefault="00A22E4D" w:rsidP="00DF29AB">
            <w:pPr>
              <w:spacing w:after="0"/>
              <w:jc w:val="left"/>
              <w:rPr>
                <w:rFonts w:cs="Calibri"/>
                <w:b/>
                <w:sz w:val="18"/>
                <w:szCs w:val="18"/>
              </w:rPr>
            </w:pPr>
          </w:p>
        </w:tc>
        <w:tc>
          <w:tcPr>
            <w:tcW w:w="540" w:type="dxa"/>
            <w:shd w:val="clear" w:color="auto" w:fill="D0CECE"/>
          </w:tcPr>
          <w:p w14:paraId="0975FF11" w14:textId="77777777" w:rsidR="00A22E4D" w:rsidRPr="005D516A" w:rsidRDefault="00A22E4D" w:rsidP="00DF29AB">
            <w:pPr>
              <w:spacing w:after="0"/>
              <w:jc w:val="left"/>
              <w:rPr>
                <w:rFonts w:cs="Calibri"/>
                <w:b/>
                <w:sz w:val="18"/>
                <w:szCs w:val="18"/>
              </w:rPr>
            </w:pPr>
          </w:p>
        </w:tc>
        <w:tc>
          <w:tcPr>
            <w:tcW w:w="630" w:type="dxa"/>
            <w:shd w:val="clear" w:color="auto" w:fill="D0CECE"/>
          </w:tcPr>
          <w:p w14:paraId="0EC6D83E" w14:textId="77777777" w:rsidR="00A22E4D" w:rsidRPr="005D516A" w:rsidRDefault="00A22E4D" w:rsidP="00DF29AB">
            <w:pPr>
              <w:spacing w:after="0"/>
              <w:jc w:val="left"/>
              <w:rPr>
                <w:rFonts w:cs="Calibri"/>
                <w:b/>
                <w:sz w:val="18"/>
                <w:szCs w:val="18"/>
              </w:rPr>
            </w:pPr>
          </w:p>
        </w:tc>
      </w:tr>
      <w:tr w:rsidR="00A22E4D" w14:paraId="78C21A5A" w14:textId="77777777" w:rsidTr="00DF29AB">
        <w:trPr>
          <w:trHeight w:val="458"/>
        </w:trPr>
        <w:tc>
          <w:tcPr>
            <w:tcW w:w="2250" w:type="dxa"/>
          </w:tcPr>
          <w:p w14:paraId="46216A84" w14:textId="77777777" w:rsidR="00A22E4D" w:rsidRPr="006829D0" w:rsidRDefault="00A22E4D" w:rsidP="00DF29AB">
            <w:pPr>
              <w:widowControl w:val="0"/>
              <w:autoSpaceDE w:val="0"/>
              <w:autoSpaceDN w:val="0"/>
              <w:adjustRightInd w:val="0"/>
              <w:spacing w:after="0"/>
              <w:jc w:val="left"/>
              <w:rPr>
                <w:color w:val="000000"/>
                <w:sz w:val="18"/>
                <w:szCs w:val="18"/>
              </w:rPr>
            </w:pPr>
            <w:r w:rsidRPr="006829D0">
              <w:rPr>
                <w:color w:val="000000"/>
                <w:sz w:val="18"/>
                <w:szCs w:val="18"/>
              </w:rPr>
              <w:t xml:space="preserve">National Development Bank of Palau (NDBP) </w:t>
            </w:r>
          </w:p>
        </w:tc>
        <w:tc>
          <w:tcPr>
            <w:tcW w:w="3780" w:type="dxa"/>
          </w:tcPr>
          <w:p w14:paraId="0B001FE6" w14:textId="77777777" w:rsidR="00A22E4D" w:rsidRPr="005D516A" w:rsidRDefault="00A22E4D" w:rsidP="00DF29AB">
            <w:pPr>
              <w:widowControl w:val="0"/>
              <w:autoSpaceDE w:val="0"/>
              <w:autoSpaceDN w:val="0"/>
              <w:adjustRightInd w:val="0"/>
              <w:spacing w:after="0"/>
              <w:jc w:val="left"/>
              <w:rPr>
                <w:color w:val="000000"/>
                <w:sz w:val="18"/>
                <w:szCs w:val="18"/>
              </w:rPr>
            </w:pPr>
            <w:r w:rsidRPr="005D516A">
              <w:rPr>
                <w:color w:val="000000"/>
                <w:sz w:val="18"/>
                <w:szCs w:val="18"/>
              </w:rPr>
              <w:t>NDBP offers loans for development projects and small businesses, in addition to home loans.</w:t>
            </w:r>
          </w:p>
        </w:tc>
        <w:tc>
          <w:tcPr>
            <w:tcW w:w="2430" w:type="dxa"/>
          </w:tcPr>
          <w:p w14:paraId="1ED47B25" w14:textId="6D9DB672" w:rsidR="00A22E4D" w:rsidRPr="005D516A" w:rsidRDefault="00A22E4D" w:rsidP="00DF29AB">
            <w:pPr>
              <w:spacing w:after="0"/>
              <w:jc w:val="left"/>
              <w:rPr>
                <w:color w:val="000000"/>
                <w:sz w:val="18"/>
                <w:szCs w:val="18"/>
              </w:rPr>
            </w:pPr>
            <w:r w:rsidRPr="005D516A">
              <w:rPr>
                <w:color w:val="000000"/>
                <w:sz w:val="18"/>
                <w:szCs w:val="18"/>
              </w:rPr>
              <w:t xml:space="preserve">The Project will look for ways to align </w:t>
            </w:r>
            <w:r w:rsidR="00D15171">
              <w:rPr>
                <w:color w:val="000000"/>
                <w:sz w:val="18"/>
                <w:szCs w:val="18"/>
              </w:rPr>
              <w:t>l</w:t>
            </w:r>
            <w:r w:rsidRPr="005D516A">
              <w:rPr>
                <w:color w:val="000000"/>
                <w:sz w:val="18"/>
                <w:szCs w:val="18"/>
              </w:rPr>
              <w:t>and/</w:t>
            </w:r>
            <w:r w:rsidR="00D15171">
              <w:rPr>
                <w:color w:val="000000"/>
                <w:sz w:val="18"/>
                <w:szCs w:val="18"/>
              </w:rPr>
              <w:t>s</w:t>
            </w:r>
            <w:r w:rsidRPr="005D516A">
              <w:rPr>
                <w:color w:val="000000"/>
                <w:sz w:val="18"/>
                <w:szCs w:val="18"/>
              </w:rPr>
              <w:t>eascape Plans and Biodiversity Policies into the approval process.</w:t>
            </w:r>
          </w:p>
          <w:p w14:paraId="588503F2" w14:textId="77777777" w:rsidR="00A22E4D" w:rsidRPr="005D516A" w:rsidRDefault="00A22E4D" w:rsidP="00DF29AB">
            <w:pPr>
              <w:spacing w:after="0"/>
              <w:jc w:val="left"/>
              <w:rPr>
                <w:color w:val="000000"/>
                <w:sz w:val="18"/>
                <w:szCs w:val="18"/>
              </w:rPr>
            </w:pPr>
          </w:p>
          <w:p w14:paraId="01F53C06" w14:textId="77777777" w:rsidR="00A22E4D" w:rsidRPr="005D516A" w:rsidRDefault="00A22E4D" w:rsidP="00DF29AB">
            <w:pPr>
              <w:spacing w:after="0"/>
              <w:jc w:val="left"/>
              <w:rPr>
                <w:color w:val="000000"/>
                <w:sz w:val="18"/>
                <w:szCs w:val="18"/>
              </w:rPr>
            </w:pPr>
            <w:r w:rsidRPr="005D516A">
              <w:rPr>
                <w:color w:val="000000"/>
                <w:sz w:val="18"/>
                <w:szCs w:val="18"/>
              </w:rPr>
              <w:t>It will also look for ways to partner with NDBP on Capacity Building to access loans and create eco-friendly businesses.</w:t>
            </w:r>
          </w:p>
        </w:tc>
        <w:tc>
          <w:tcPr>
            <w:tcW w:w="540" w:type="dxa"/>
          </w:tcPr>
          <w:p w14:paraId="380C753E" w14:textId="77777777" w:rsidR="00A22E4D" w:rsidRPr="005D516A" w:rsidRDefault="00A22E4D" w:rsidP="00DF29AB">
            <w:pPr>
              <w:spacing w:after="0"/>
              <w:jc w:val="left"/>
              <w:rPr>
                <w:color w:val="000000"/>
                <w:sz w:val="18"/>
                <w:szCs w:val="18"/>
              </w:rPr>
            </w:pPr>
          </w:p>
        </w:tc>
        <w:tc>
          <w:tcPr>
            <w:tcW w:w="540" w:type="dxa"/>
          </w:tcPr>
          <w:p w14:paraId="50FA94CE" w14:textId="77777777" w:rsidR="00A22E4D" w:rsidRPr="005D516A" w:rsidRDefault="00A22E4D" w:rsidP="00DF29AB">
            <w:pPr>
              <w:spacing w:after="0"/>
              <w:jc w:val="left"/>
              <w:rPr>
                <w:color w:val="000000"/>
                <w:sz w:val="18"/>
                <w:szCs w:val="18"/>
              </w:rPr>
            </w:pPr>
            <w:r w:rsidRPr="005D516A">
              <w:rPr>
                <w:color w:val="000000"/>
                <w:sz w:val="18"/>
                <w:szCs w:val="18"/>
              </w:rPr>
              <w:t>x</w:t>
            </w:r>
          </w:p>
        </w:tc>
        <w:tc>
          <w:tcPr>
            <w:tcW w:w="630" w:type="dxa"/>
          </w:tcPr>
          <w:p w14:paraId="382B860B" w14:textId="77777777" w:rsidR="00A22E4D" w:rsidRPr="005D516A" w:rsidRDefault="00A22E4D" w:rsidP="00DF29AB">
            <w:pPr>
              <w:spacing w:after="0"/>
              <w:jc w:val="left"/>
              <w:rPr>
                <w:color w:val="000000"/>
                <w:sz w:val="18"/>
                <w:szCs w:val="18"/>
              </w:rPr>
            </w:pPr>
            <w:r w:rsidRPr="005D516A">
              <w:rPr>
                <w:color w:val="000000"/>
                <w:sz w:val="18"/>
                <w:szCs w:val="18"/>
              </w:rPr>
              <w:t>x</w:t>
            </w:r>
          </w:p>
        </w:tc>
      </w:tr>
      <w:tr w:rsidR="00A22E4D" w14:paraId="19BB7469" w14:textId="77777777" w:rsidTr="00DF29AB">
        <w:trPr>
          <w:trHeight w:val="458"/>
        </w:trPr>
        <w:tc>
          <w:tcPr>
            <w:tcW w:w="2250" w:type="dxa"/>
          </w:tcPr>
          <w:p w14:paraId="4979DE0A" w14:textId="77777777" w:rsidR="00A22E4D" w:rsidRPr="005D516A" w:rsidRDefault="00A22E4D" w:rsidP="00DF29AB">
            <w:pPr>
              <w:widowControl w:val="0"/>
              <w:autoSpaceDE w:val="0"/>
              <w:autoSpaceDN w:val="0"/>
              <w:adjustRightInd w:val="0"/>
              <w:spacing w:after="0"/>
              <w:jc w:val="left"/>
              <w:rPr>
                <w:color w:val="000000"/>
                <w:sz w:val="18"/>
                <w:szCs w:val="18"/>
              </w:rPr>
            </w:pPr>
            <w:r w:rsidRPr="006829D0">
              <w:rPr>
                <w:color w:val="000000"/>
                <w:sz w:val="18"/>
                <w:szCs w:val="18"/>
              </w:rPr>
              <w:t>Developers and Large Construction Companies (including the Government’s Capital Improvement Project (CIP) Office)</w:t>
            </w:r>
          </w:p>
        </w:tc>
        <w:tc>
          <w:tcPr>
            <w:tcW w:w="3780" w:type="dxa"/>
          </w:tcPr>
          <w:p w14:paraId="6347FC79" w14:textId="77777777" w:rsidR="00A22E4D" w:rsidRPr="005D516A" w:rsidRDefault="00A22E4D" w:rsidP="00DF29AB">
            <w:pPr>
              <w:widowControl w:val="0"/>
              <w:autoSpaceDE w:val="0"/>
              <w:autoSpaceDN w:val="0"/>
              <w:adjustRightInd w:val="0"/>
              <w:spacing w:after="0"/>
              <w:jc w:val="left"/>
              <w:rPr>
                <w:color w:val="000000"/>
                <w:sz w:val="18"/>
                <w:szCs w:val="18"/>
              </w:rPr>
            </w:pPr>
            <w:r w:rsidRPr="005D516A">
              <w:rPr>
                <w:color w:val="000000"/>
                <w:sz w:val="18"/>
                <w:szCs w:val="18"/>
              </w:rPr>
              <w:t>These are a diverse group of local and foreign companies and individuals who lease or purchase land and develop businesses on them.</w:t>
            </w:r>
          </w:p>
          <w:p w14:paraId="5BAD9BCD" w14:textId="77777777" w:rsidR="00A22E4D" w:rsidRPr="005D516A" w:rsidRDefault="00A22E4D" w:rsidP="00DF29AB">
            <w:pPr>
              <w:widowControl w:val="0"/>
              <w:autoSpaceDE w:val="0"/>
              <w:autoSpaceDN w:val="0"/>
              <w:adjustRightInd w:val="0"/>
              <w:spacing w:after="0"/>
              <w:jc w:val="left"/>
              <w:rPr>
                <w:color w:val="000000"/>
                <w:sz w:val="18"/>
                <w:szCs w:val="18"/>
              </w:rPr>
            </w:pPr>
          </w:p>
          <w:p w14:paraId="2E3EEC41" w14:textId="77777777" w:rsidR="00A22E4D" w:rsidRPr="005D516A" w:rsidRDefault="00A22E4D" w:rsidP="00DF29AB">
            <w:pPr>
              <w:widowControl w:val="0"/>
              <w:autoSpaceDE w:val="0"/>
              <w:autoSpaceDN w:val="0"/>
              <w:adjustRightInd w:val="0"/>
              <w:spacing w:after="0"/>
              <w:jc w:val="left"/>
              <w:rPr>
                <w:color w:val="000000"/>
                <w:sz w:val="18"/>
                <w:szCs w:val="18"/>
              </w:rPr>
            </w:pPr>
            <w:r w:rsidRPr="005D516A">
              <w:rPr>
                <w:color w:val="000000"/>
                <w:sz w:val="18"/>
                <w:szCs w:val="18"/>
              </w:rPr>
              <w:t>There are only a few construction companies, but their practices play a key role in water quality and land use.</w:t>
            </w:r>
          </w:p>
        </w:tc>
        <w:tc>
          <w:tcPr>
            <w:tcW w:w="2430" w:type="dxa"/>
          </w:tcPr>
          <w:p w14:paraId="3EFA38DA" w14:textId="77777777" w:rsidR="00A22E4D" w:rsidRPr="005D516A" w:rsidRDefault="00A22E4D" w:rsidP="00DF29AB">
            <w:pPr>
              <w:spacing w:after="0"/>
              <w:jc w:val="left"/>
              <w:rPr>
                <w:color w:val="000000"/>
                <w:sz w:val="18"/>
                <w:szCs w:val="18"/>
              </w:rPr>
            </w:pPr>
            <w:r w:rsidRPr="005D516A">
              <w:rPr>
                <w:color w:val="000000"/>
                <w:sz w:val="18"/>
                <w:szCs w:val="18"/>
              </w:rPr>
              <w:t>The Project will look for ways to improve engagement, awareness, and mainstreaming by the private sector.</w:t>
            </w:r>
          </w:p>
        </w:tc>
        <w:tc>
          <w:tcPr>
            <w:tcW w:w="540" w:type="dxa"/>
          </w:tcPr>
          <w:p w14:paraId="2063E8BA" w14:textId="77777777" w:rsidR="00A22E4D" w:rsidRPr="005D516A" w:rsidRDefault="00A22E4D" w:rsidP="00DF29AB">
            <w:pPr>
              <w:spacing w:after="0"/>
              <w:jc w:val="left"/>
              <w:rPr>
                <w:color w:val="000000"/>
                <w:sz w:val="18"/>
                <w:szCs w:val="18"/>
              </w:rPr>
            </w:pPr>
            <w:r w:rsidRPr="005D516A">
              <w:rPr>
                <w:color w:val="000000"/>
                <w:sz w:val="18"/>
                <w:szCs w:val="18"/>
              </w:rPr>
              <w:t>x</w:t>
            </w:r>
          </w:p>
        </w:tc>
        <w:tc>
          <w:tcPr>
            <w:tcW w:w="540" w:type="dxa"/>
          </w:tcPr>
          <w:p w14:paraId="33E3DFC5" w14:textId="77777777" w:rsidR="00A22E4D" w:rsidRPr="005D516A" w:rsidRDefault="00A22E4D" w:rsidP="00DF29AB">
            <w:pPr>
              <w:spacing w:after="0"/>
              <w:jc w:val="left"/>
              <w:rPr>
                <w:color w:val="000000"/>
                <w:sz w:val="18"/>
                <w:szCs w:val="18"/>
              </w:rPr>
            </w:pPr>
            <w:r w:rsidRPr="005D516A">
              <w:rPr>
                <w:color w:val="000000"/>
                <w:sz w:val="18"/>
                <w:szCs w:val="18"/>
              </w:rPr>
              <w:t>x</w:t>
            </w:r>
          </w:p>
        </w:tc>
        <w:tc>
          <w:tcPr>
            <w:tcW w:w="630" w:type="dxa"/>
          </w:tcPr>
          <w:p w14:paraId="480C44E2" w14:textId="77777777" w:rsidR="00A22E4D" w:rsidRPr="005D516A" w:rsidRDefault="00A22E4D" w:rsidP="00DF29AB">
            <w:pPr>
              <w:spacing w:after="0"/>
              <w:jc w:val="left"/>
              <w:rPr>
                <w:color w:val="000000"/>
                <w:sz w:val="18"/>
                <w:szCs w:val="18"/>
              </w:rPr>
            </w:pPr>
            <w:r w:rsidRPr="005D516A">
              <w:rPr>
                <w:color w:val="000000"/>
                <w:sz w:val="18"/>
                <w:szCs w:val="18"/>
              </w:rPr>
              <w:t>x</w:t>
            </w:r>
          </w:p>
        </w:tc>
      </w:tr>
      <w:tr w:rsidR="00A22E4D" w14:paraId="000ABB7E" w14:textId="77777777" w:rsidTr="00DF29AB">
        <w:trPr>
          <w:trHeight w:val="458"/>
        </w:trPr>
        <w:tc>
          <w:tcPr>
            <w:tcW w:w="2250" w:type="dxa"/>
          </w:tcPr>
          <w:p w14:paraId="476D9F9C" w14:textId="77777777" w:rsidR="00A22E4D" w:rsidRPr="006829D0" w:rsidRDefault="00A22E4D" w:rsidP="00DF29AB">
            <w:pPr>
              <w:widowControl w:val="0"/>
              <w:autoSpaceDE w:val="0"/>
              <w:autoSpaceDN w:val="0"/>
              <w:adjustRightInd w:val="0"/>
              <w:spacing w:after="0"/>
              <w:jc w:val="left"/>
              <w:rPr>
                <w:color w:val="000000"/>
                <w:sz w:val="18"/>
                <w:szCs w:val="18"/>
              </w:rPr>
            </w:pPr>
            <w:r w:rsidRPr="006829D0">
              <w:rPr>
                <w:color w:val="000000"/>
                <w:sz w:val="18"/>
                <w:szCs w:val="18"/>
              </w:rPr>
              <w:t>Commercial Farms</w:t>
            </w:r>
          </w:p>
        </w:tc>
        <w:tc>
          <w:tcPr>
            <w:tcW w:w="3780" w:type="dxa"/>
          </w:tcPr>
          <w:p w14:paraId="5390F7BE" w14:textId="77777777" w:rsidR="00A22E4D" w:rsidRPr="005D516A" w:rsidRDefault="00A22E4D" w:rsidP="00DF29AB">
            <w:pPr>
              <w:widowControl w:val="0"/>
              <w:autoSpaceDE w:val="0"/>
              <w:autoSpaceDN w:val="0"/>
              <w:adjustRightInd w:val="0"/>
              <w:spacing w:after="0"/>
              <w:jc w:val="left"/>
              <w:rPr>
                <w:color w:val="000000"/>
                <w:sz w:val="18"/>
                <w:szCs w:val="18"/>
              </w:rPr>
            </w:pPr>
            <w:r w:rsidRPr="005D516A">
              <w:rPr>
                <w:color w:val="000000"/>
                <w:sz w:val="18"/>
                <w:szCs w:val="18"/>
              </w:rPr>
              <w:t>There were 16 commercial farms in 2015, using a mixture of traditional and organic farming, including native and non-native crops.</w:t>
            </w:r>
          </w:p>
        </w:tc>
        <w:tc>
          <w:tcPr>
            <w:tcW w:w="2430" w:type="dxa"/>
          </w:tcPr>
          <w:p w14:paraId="7B7D0637" w14:textId="77777777" w:rsidR="00A22E4D" w:rsidRPr="005D516A" w:rsidRDefault="00A22E4D" w:rsidP="00DF29AB">
            <w:pPr>
              <w:spacing w:after="0"/>
              <w:jc w:val="left"/>
              <w:rPr>
                <w:color w:val="000000"/>
                <w:sz w:val="18"/>
                <w:szCs w:val="18"/>
              </w:rPr>
            </w:pPr>
            <w:r w:rsidRPr="005D516A">
              <w:rPr>
                <w:color w:val="000000"/>
                <w:sz w:val="18"/>
                <w:szCs w:val="18"/>
              </w:rPr>
              <w:t>The Project will look for ways to improve engagement, awareness, and mainstreaming by the private sector.</w:t>
            </w:r>
          </w:p>
        </w:tc>
        <w:tc>
          <w:tcPr>
            <w:tcW w:w="540" w:type="dxa"/>
          </w:tcPr>
          <w:p w14:paraId="06647627" w14:textId="77777777" w:rsidR="00A22E4D" w:rsidRPr="005D516A" w:rsidRDefault="00A22E4D" w:rsidP="00DF29AB">
            <w:pPr>
              <w:spacing w:after="0"/>
              <w:jc w:val="left"/>
              <w:rPr>
                <w:color w:val="000000"/>
                <w:sz w:val="18"/>
                <w:szCs w:val="18"/>
              </w:rPr>
            </w:pPr>
            <w:r w:rsidRPr="005D516A">
              <w:rPr>
                <w:color w:val="000000"/>
                <w:sz w:val="18"/>
                <w:szCs w:val="18"/>
              </w:rPr>
              <w:t>x</w:t>
            </w:r>
          </w:p>
        </w:tc>
        <w:tc>
          <w:tcPr>
            <w:tcW w:w="540" w:type="dxa"/>
          </w:tcPr>
          <w:p w14:paraId="5715678B" w14:textId="77777777" w:rsidR="00A22E4D" w:rsidRPr="005D516A" w:rsidRDefault="00A22E4D" w:rsidP="00DF29AB">
            <w:pPr>
              <w:spacing w:after="0"/>
              <w:jc w:val="left"/>
              <w:rPr>
                <w:color w:val="000000"/>
                <w:sz w:val="18"/>
                <w:szCs w:val="18"/>
              </w:rPr>
            </w:pPr>
            <w:r w:rsidRPr="005D516A">
              <w:rPr>
                <w:color w:val="000000"/>
                <w:sz w:val="18"/>
                <w:szCs w:val="18"/>
              </w:rPr>
              <w:t>x</w:t>
            </w:r>
          </w:p>
        </w:tc>
        <w:tc>
          <w:tcPr>
            <w:tcW w:w="630" w:type="dxa"/>
          </w:tcPr>
          <w:p w14:paraId="6B32343B" w14:textId="77777777" w:rsidR="00A22E4D" w:rsidRPr="005D516A" w:rsidRDefault="00A22E4D" w:rsidP="00DF29AB">
            <w:pPr>
              <w:spacing w:after="0"/>
              <w:jc w:val="left"/>
              <w:rPr>
                <w:color w:val="000000"/>
                <w:sz w:val="18"/>
                <w:szCs w:val="18"/>
              </w:rPr>
            </w:pPr>
            <w:r w:rsidRPr="005D516A">
              <w:rPr>
                <w:color w:val="000000"/>
                <w:sz w:val="18"/>
                <w:szCs w:val="18"/>
              </w:rPr>
              <w:t>x</w:t>
            </w:r>
          </w:p>
        </w:tc>
      </w:tr>
      <w:tr w:rsidR="00A22E4D" w14:paraId="1089FC80" w14:textId="77777777" w:rsidTr="00DF29AB">
        <w:trPr>
          <w:trHeight w:val="458"/>
        </w:trPr>
        <w:tc>
          <w:tcPr>
            <w:tcW w:w="2250" w:type="dxa"/>
          </w:tcPr>
          <w:p w14:paraId="36C76E39" w14:textId="77777777" w:rsidR="00A22E4D" w:rsidRPr="005D516A" w:rsidRDefault="00A22E4D" w:rsidP="00DF29AB">
            <w:pPr>
              <w:widowControl w:val="0"/>
              <w:autoSpaceDE w:val="0"/>
              <w:autoSpaceDN w:val="0"/>
              <w:adjustRightInd w:val="0"/>
              <w:spacing w:after="0"/>
              <w:jc w:val="left"/>
              <w:rPr>
                <w:color w:val="000000"/>
                <w:sz w:val="18"/>
                <w:szCs w:val="18"/>
              </w:rPr>
            </w:pPr>
            <w:r w:rsidRPr="006829D0">
              <w:rPr>
                <w:color w:val="000000"/>
                <w:sz w:val="18"/>
                <w:szCs w:val="18"/>
              </w:rPr>
              <w:t>Shippers (Air and Sea) and Importers</w:t>
            </w:r>
            <w:r w:rsidRPr="005D516A">
              <w:rPr>
                <w:color w:val="000000"/>
                <w:sz w:val="18"/>
                <w:szCs w:val="18"/>
              </w:rPr>
              <w:t xml:space="preserve"> and Port Authority</w:t>
            </w:r>
          </w:p>
        </w:tc>
        <w:tc>
          <w:tcPr>
            <w:tcW w:w="3780" w:type="dxa"/>
          </w:tcPr>
          <w:p w14:paraId="1BDC42F3" w14:textId="77777777" w:rsidR="00A22E4D" w:rsidRPr="005D516A" w:rsidRDefault="00A22E4D" w:rsidP="00DF29AB">
            <w:pPr>
              <w:widowControl w:val="0"/>
              <w:autoSpaceDE w:val="0"/>
              <w:autoSpaceDN w:val="0"/>
              <w:adjustRightInd w:val="0"/>
              <w:spacing w:after="0"/>
              <w:jc w:val="left"/>
              <w:rPr>
                <w:color w:val="000000"/>
                <w:sz w:val="18"/>
                <w:szCs w:val="18"/>
              </w:rPr>
            </w:pPr>
            <w:r w:rsidRPr="005D516A">
              <w:rPr>
                <w:color w:val="000000"/>
                <w:sz w:val="18"/>
                <w:szCs w:val="18"/>
              </w:rPr>
              <w:t>Private companies manage imports and exports from Palau, and organizations responsible for managing the airport and seaport,</w:t>
            </w:r>
          </w:p>
          <w:p w14:paraId="6C0114E7" w14:textId="77777777" w:rsidR="00A22E4D" w:rsidRPr="005D516A" w:rsidRDefault="00A22E4D" w:rsidP="00DF29AB">
            <w:pPr>
              <w:widowControl w:val="0"/>
              <w:autoSpaceDE w:val="0"/>
              <w:autoSpaceDN w:val="0"/>
              <w:adjustRightInd w:val="0"/>
              <w:spacing w:after="0"/>
              <w:jc w:val="left"/>
              <w:rPr>
                <w:color w:val="000000"/>
                <w:sz w:val="18"/>
                <w:szCs w:val="18"/>
              </w:rPr>
            </w:pPr>
          </w:p>
        </w:tc>
        <w:tc>
          <w:tcPr>
            <w:tcW w:w="2430" w:type="dxa"/>
          </w:tcPr>
          <w:p w14:paraId="008BDDB4" w14:textId="77777777" w:rsidR="00A22E4D" w:rsidRPr="005D516A" w:rsidRDefault="00A22E4D" w:rsidP="00DF29AB">
            <w:pPr>
              <w:spacing w:after="0"/>
              <w:jc w:val="left"/>
              <w:rPr>
                <w:color w:val="000000"/>
                <w:sz w:val="18"/>
                <w:szCs w:val="18"/>
              </w:rPr>
            </w:pPr>
            <w:r w:rsidRPr="005D516A">
              <w:rPr>
                <w:color w:val="000000"/>
                <w:sz w:val="18"/>
                <w:szCs w:val="18"/>
              </w:rPr>
              <w:t xml:space="preserve">The Project will look for ways to improve biosecurity, particularly for imports; as well as IAS Response. </w:t>
            </w:r>
          </w:p>
        </w:tc>
        <w:tc>
          <w:tcPr>
            <w:tcW w:w="540" w:type="dxa"/>
          </w:tcPr>
          <w:p w14:paraId="10C4F891" w14:textId="77777777" w:rsidR="00A22E4D" w:rsidRPr="005D516A" w:rsidRDefault="00A22E4D" w:rsidP="00DF29AB">
            <w:pPr>
              <w:spacing w:after="0"/>
              <w:jc w:val="left"/>
              <w:rPr>
                <w:color w:val="000000"/>
                <w:sz w:val="18"/>
                <w:szCs w:val="18"/>
              </w:rPr>
            </w:pPr>
            <w:r w:rsidRPr="005D516A">
              <w:rPr>
                <w:color w:val="000000"/>
                <w:sz w:val="18"/>
                <w:szCs w:val="18"/>
              </w:rPr>
              <w:t>x</w:t>
            </w:r>
          </w:p>
        </w:tc>
        <w:tc>
          <w:tcPr>
            <w:tcW w:w="540" w:type="dxa"/>
          </w:tcPr>
          <w:p w14:paraId="6F8092AA" w14:textId="77777777" w:rsidR="00A22E4D" w:rsidRPr="005D516A" w:rsidRDefault="00A22E4D" w:rsidP="00DF29AB">
            <w:pPr>
              <w:spacing w:after="0"/>
              <w:jc w:val="left"/>
              <w:rPr>
                <w:color w:val="000000"/>
                <w:sz w:val="18"/>
                <w:szCs w:val="18"/>
              </w:rPr>
            </w:pPr>
          </w:p>
        </w:tc>
        <w:tc>
          <w:tcPr>
            <w:tcW w:w="630" w:type="dxa"/>
          </w:tcPr>
          <w:p w14:paraId="32876DBF" w14:textId="77777777" w:rsidR="00A22E4D" w:rsidRPr="005D516A" w:rsidRDefault="00A22E4D" w:rsidP="00DF29AB">
            <w:pPr>
              <w:spacing w:after="0"/>
              <w:jc w:val="left"/>
              <w:rPr>
                <w:color w:val="000000"/>
                <w:sz w:val="18"/>
                <w:szCs w:val="18"/>
              </w:rPr>
            </w:pPr>
          </w:p>
        </w:tc>
      </w:tr>
      <w:tr w:rsidR="00A22E4D" w14:paraId="3021B9F7" w14:textId="77777777" w:rsidTr="00DF29AB">
        <w:trPr>
          <w:trHeight w:val="458"/>
        </w:trPr>
        <w:tc>
          <w:tcPr>
            <w:tcW w:w="2250" w:type="dxa"/>
          </w:tcPr>
          <w:p w14:paraId="18A87240" w14:textId="77777777" w:rsidR="00A22E4D" w:rsidRPr="005D516A" w:rsidRDefault="00A22E4D" w:rsidP="00DF29AB">
            <w:pPr>
              <w:widowControl w:val="0"/>
              <w:autoSpaceDE w:val="0"/>
              <w:autoSpaceDN w:val="0"/>
              <w:adjustRightInd w:val="0"/>
              <w:spacing w:after="0"/>
              <w:jc w:val="left"/>
              <w:rPr>
                <w:color w:val="000000"/>
                <w:sz w:val="18"/>
                <w:szCs w:val="18"/>
              </w:rPr>
            </w:pPr>
            <w:r w:rsidRPr="006829D0">
              <w:rPr>
                <w:color w:val="000000"/>
                <w:sz w:val="18"/>
                <w:szCs w:val="18"/>
              </w:rPr>
              <w:t>Tour Companies and Diving Shops</w:t>
            </w:r>
          </w:p>
        </w:tc>
        <w:tc>
          <w:tcPr>
            <w:tcW w:w="3780" w:type="dxa"/>
          </w:tcPr>
          <w:p w14:paraId="1133BA20" w14:textId="77777777" w:rsidR="00A22E4D" w:rsidRPr="005D516A" w:rsidRDefault="00A22E4D" w:rsidP="00DF29AB">
            <w:pPr>
              <w:widowControl w:val="0"/>
              <w:autoSpaceDE w:val="0"/>
              <w:autoSpaceDN w:val="0"/>
              <w:adjustRightInd w:val="0"/>
              <w:spacing w:after="0"/>
              <w:jc w:val="left"/>
              <w:rPr>
                <w:color w:val="000000"/>
                <w:sz w:val="18"/>
                <w:szCs w:val="18"/>
              </w:rPr>
            </w:pPr>
            <w:r w:rsidRPr="005D516A">
              <w:rPr>
                <w:color w:val="000000"/>
                <w:sz w:val="18"/>
                <w:szCs w:val="18"/>
              </w:rPr>
              <w:t>Participate in training programs and rapid response programs</w:t>
            </w:r>
          </w:p>
        </w:tc>
        <w:tc>
          <w:tcPr>
            <w:tcW w:w="2430" w:type="dxa"/>
          </w:tcPr>
          <w:p w14:paraId="08780BEF" w14:textId="77777777" w:rsidR="00A22E4D" w:rsidRPr="005D516A" w:rsidRDefault="00A22E4D" w:rsidP="00DF29AB">
            <w:pPr>
              <w:spacing w:after="0"/>
              <w:jc w:val="left"/>
              <w:rPr>
                <w:color w:val="000000"/>
                <w:sz w:val="18"/>
                <w:szCs w:val="18"/>
              </w:rPr>
            </w:pPr>
            <w:r w:rsidRPr="005D516A">
              <w:rPr>
                <w:color w:val="000000"/>
                <w:sz w:val="18"/>
                <w:szCs w:val="18"/>
              </w:rPr>
              <w:t xml:space="preserve">The Project will partner with companies on </w:t>
            </w:r>
          </w:p>
        </w:tc>
        <w:tc>
          <w:tcPr>
            <w:tcW w:w="540" w:type="dxa"/>
          </w:tcPr>
          <w:p w14:paraId="006E8D0B" w14:textId="77777777" w:rsidR="00A22E4D" w:rsidRPr="005D516A" w:rsidRDefault="00A22E4D" w:rsidP="00DF29AB">
            <w:pPr>
              <w:spacing w:after="0"/>
              <w:jc w:val="left"/>
              <w:rPr>
                <w:color w:val="000000"/>
                <w:sz w:val="18"/>
                <w:szCs w:val="18"/>
              </w:rPr>
            </w:pPr>
            <w:r w:rsidRPr="005D516A">
              <w:rPr>
                <w:color w:val="000000"/>
                <w:sz w:val="18"/>
                <w:szCs w:val="18"/>
              </w:rPr>
              <w:t>x</w:t>
            </w:r>
          </w:p>
        </w:tc>
        <w:tc>
          <w:tcPr>
            <w:tcW w:w="540" w:type="dxa"/>
          </w:tcPr>
          <w:p w14:paraId="2C25A1D5" w14:textId="77777777" w:rsidR="00A22E4D" w:rsidRPr="005D516A" w:rsidRDefault="00A22E4D" w:rsidP="00DF29AB">
            <w:pPr>
              <w:spacing w:after="0"/>
              <w:jc w:val="left"/>
              <w:rPr>
                <w:color w:val="000000"/>
                <w:sz w:val="18"/>
                <w:szCs w:val="18"/>
              </w:rPr>
            </w:pPr>
          </w:p>
        </w:tc>
        <w:tc>
          <w:tcPr>
            <w:tcW w:w="630" w:type="dxa"/>
          </w:tcPr>
          <w:p w14:paraId="3ABE431E" w14:textId="77777777" w:rsidR="00A22E4D" w:rsidRPr="005D516A" w:rsidRDefault="00A22E4D" w:rsidP="00DF29AB">
            <w:pPr>
              <w:spacing w:after="0"/>
              <w:jc w:val="left"/>
              <w:rPr>
                <w:color w:val="000000"/>
                <w:sz w:val="18"/>
                <w:szCs w:val="18"/>
              </w:rPr>
            </w:pPr>
            <w:r w:rsidRPr="005D516A">
              <w:rPr>
                <w:color w:val="000000"/>
                <w:sz w:val="18"/>
                <w:szCs w:val="18"/>
              </w:rPr>
              <w:t>x</w:t>
            </w:r>
          </w:p>
        </w:tc>
      </w:tr>
      <w:tr w:rsidR="00A22E4D" w14:paraId="3046B406" w14:textId="77777777" w:rsidTr="00DF29AB">
        <w:trPr>
          <w:trHeight w:val="278"/>
        </w:trPr>
        <w:tc>
          <w:tcPr>
            <w:tcW w:w="8460" w:type="dxa"/>
            <w:gridSpan w:val="3"/>
            <w:shd w:val="clear" w:color="auto" w:fill="D0CECE"/>
          </w:tcPr>
          <w:p w14:paraId="18E815A5" w14:textId="77777777" w:rsidR="00A22E4D" w:rsidRPr="006829D0" w:rsidRDefault="00A22E4D" w:rsidP="00DF29AB">
            <w:pPr>
              <w:spacing w:after="0"/>
              <w:jc w:val="left"/>
              <w:rPr>
                <w:rFonts w:cs="Calibri"/>
                <w:sz w:val="18"/>
                <w:szCs w:val="18"/>
              </w:rPr>
            </w:pPr>
            <w:r w:rsidRPr="006829D0">
              <w:rPr>
                <w:color w:val="000000"/>
                <w:sz w:val="18"/>
                <w:szCs w:val="18"/>
              </w:rPr>
              <w:t>Nonprofit</w:t>
            </w:r>
          </w:p>
        </w:tc>
        <w:tc>
          <w:tcPr>
            <w:tcW w:w="540" w:type="dxa"/>
            <w:shd w:val="clear" w:color="auto" w:fill="D0CECE"/>
          </w:tcPr>
          <w:p w14:paraId="1A931769" w14:textId="77777777" w:rsidR="00A22E4D" w:rsidRPr="005D516A" w:rsidRDefault="00A22E4D" w:rsidP="00DF29AB">
            <w:pPr>
              <w:spacing w:after="0"/>
              <w:jc w:val="left"/>
              <w:rPr>
                <w:rFonts w:cs="Calibri"/>
                <w:sz w:val="18"/>
                <w:szCs w:val="18"/>
              </w:rPr>
            </w:pPr>
          </w:p>
        </w:tc>
        <w:tc>
          <w:tcPr>
            <w:tcW w:w="540" w:type="dxa"/>
            <w:shd w:val="clear" w:color="auto" w:fill="D0CECE"/>
          </w:tcPr>
          <w:p w14:paraId="17F5E107" w14:textId="77777777" w:rsidR="00A22E4D" w:rsidRPr="005D516A" w:rsidRDefault="00A22E4D" w:rsidP="00DF29AB">
            <w:pPr>
              <w:spacing w:after="0"/>
              <w:jc w:val="left"/>
              <w:rPr>
                <w:rFonts w:cs="Calibri"/>
                <w:sz w:val="18"/>
                <w:szCs w:val="18"/>
              </w:rPr>
            </w:pPr>
          </w:p>
        </w:tc>
        <w:tc>
          <w:tcPr>
            <w:tcW w:w="630" w:type="dxa"/>
            <w:shd w:val="clear" w:color="auto" w:fill="D0CECE"/>
          </w:tcPr>
          <w:p w14:paraId="4EC680C4" w14:textId="77777777" w:rsidR="00A22E4D" w:rsidRPr="005D516A" w:rsidRDefault="00A22E4D" w:rsidP="00DF29AB">
            <w:pPr>
              <w:spacing w:after="0"/>
              <w:jc w:val="left"/>
              <w:rPr>
                <w:rFonts w:cs="Calibri"/>
                <w:sz w:val="18"/>
                <w:szCs w:val="18"/>
              </w:rPr>
            </w:pPr>
          </w:p>
        </w:tc>
      </w:tr>
      <w:tr w:rsidR="00A22E4D" w14:paraId="0E040367" w14:textId="77777777" w:rsidTr="00DF29AB">
        <w:trPr>
          <w:trHeight w:val="665"/>
        </w:trPr>
        <w:tc>
          <w:tcPr>
            <w:tcW w:w="2250" w:type="dxa"/>
          </w:tcPr>
          <w:p w14:paraId="23751556" w14:textId="77777777" w:rsidR="00A22E4D" w:rsidRPr="006829D0" w:rsidRDefault="00A22E4D" w:rsidP="00DF29AB">
            <w:pPr>
              <w:widowControl w:val="0"/>
              <w:autoSpaceDE w:val="0"/>
              <w:autoSpaceDN w:val="0"/>
              <w:adjustRightInd w:val="0"/>
              <w:spacing w:after="0"/>
              <w:jc w:val="left"/>
              <w:rPr>
                <w:color w:val="000000"/>
                <w:sz w:val="18"/>
                <w:szCs w:val="18"/>
              </w:rPr>
            </w:pPr>
            <w:r w:rsidRPr="006829D0">
              <w:rPr>
                <w:color w:val="000000"/>
                <w:sz w:val="18"/>
                <w:szCs w:val="18"/>
              </w:rPr>
              <w:t xml:space="preserve">Palau Conservation Society (PCS) </w:t>
            </w:r>
          </w:p>
        </w:tc>
        <w:tc>
          <w:tcPr>
            <w:tcW w:w="3780" w:type="dxa"/>
          </w:tcPr>
          <w:p w14:paraId="5DC03ED6" w14:textId="77777777" w:rsidR="00A22E4D" w:rsidRPr="005D516A" w:rsidRDefault="00A22E4D" w:rsidP="00DF29AB">
            <w:pPr>
              <w:widowControl w:val="0"/>
              <w:autoSpaceDE w:val="0"/>
              <w:autoSpaceDN w:val="0"/>
              <w:adjustRightInd w:val="0"/>
              <w:spacing w:after="0"/>
              <w:jc w:val="left"/>
              <w:rPr>
                <w:color w:val="000000"/>
                <w:sz w:val="18"/>
                <w:szCs w:val="18"/>
              </w:rPr>
            </w:pPr>
            <w:r w:rsidRPr="005D516A">
              <w:rPr>
                <w:color w:val="000000"/>
                <w:sz w:val="18"/>
                <w:szCs w:val="18"/>
              </w:rPr>
              <w:t>PCS is a natural resource conservation organization with expertise in communication, project management, and policy development. PCS is a link to communities.</w:t>
            </w:r>
          </w:p>
          <w:p w14:paraId="3337733B" w14:textId="77777777" w:rsidR="00A22E4D" w:rsidRPr="005D516A" w:rsidRDefault="00A22E4D" w:rsidP="00DF29AB">
            <w:pPr>
              <w:widowControl w:val="0"/>
              <w:autoSpaceDE w:val="0"/>
              <w:autoSpaceDN w:val="0"/>
              <w:adjustRightInd w:val="0"/>
              <w:spacing w:after="0"/>
              <w:jc w:val="left"/>
              <w:rPr>
                <w:color w:val="000000"/>
                <w:sz w:val="18"/>
                <w:szCs w:val="18"/>
              </w:rPr>
            </w:pPr>
          </w:p>
          <w:p w14:paraId="714C6FF4" w14:textId="77777777" w:rsidR="00A22E4D" w:rsidRPr="005D516A" w:rsidRDefault="00A22E4D" w:rsidP="00DF29AB">
            <w:pPr>
              <w:widowControl w:val="0"/>
              <w:autoSpaceDE w:val="0"/>
              <w:autoSpaceDN w:val="0"/>
              <w:adjustRightInd w:val="0"/>
              <w:spacing w:after="0"/>
              <w:jc w:val="left"/>
              <w:rPr>
                <w:color w:val="000000"/>
                <w:sz w:val="18"/>
                <w:szCs w:val="18"/>
              </w:rPr>
            </w:pPr>
            <w:r w:rsidRPr="005D516A">
              <w:rPr>
                <w:color w:val="000000"/>
                <w:sz w:val="18"/>
                <w:szCs w:val="18"/>
              </w:rPr>
              <w:t>PCS is a key implementation partner of the GEF STAR Project.</w:t>
            </w:r>
          </w:p>
        </w:tc>
        <w:tc>
          <w:tcPr>
            <w:tcW w:w="2430" w:type="dxa"/>
          </w:tcPr>
          <w:p w14:paraId="1C6FD576" w14:textId="566D2348" w:rsidR="00A22E4D" w:rsidRPr="005D516A" w:rsidRDefault="00A22E4D" w:rsidP="00D15171">
            <w:pPr>
              <w:spacing w:after="0"/>
              <w:jc w:val="left"/>
              <w:rPr>
                <w:color w:val="000000"/>
                <w:sz w:val="18"/>
                <w:szCs w:val="18"/>
              </w:rPr>
            </w:pPr>
            <w:r w:rsidRPr="005D516A">
              <w:rPr>
                <w:color w:val="000000"/>
                <w:sz w:val="18"/>
                <w:szCs w:val="18"/>
              </w:rPr>
              <w:t xml:space="preserve">PCS will be fully engaged in all aspects of the program </w:t>
            </w:r>
          </w:p>
        </w:tc>
        <w:tc>
          <w:tcPr>
            <w:tcW w:w="540" w:type="dxa"/>
          </w:tcPr>
          <w:p w14:paraId="095CC00D" w14:textId="77777777" w:rsidR="00A22E4D" w:rsidRPr="005D516A" w:rsidRDefault="00A22E4D" w:rsidP="00DF29AB">
            <w:pPr>
              <w:spacing w:after="0"/>
              <w:jc w:val="left"/>
              <w:rPr>
                <w:color w:val="000000"/>
                <w:sz w:val="18"/>
                <w:szCs w:val="18"/>
              </w:rPr>
            </w:pPr>
            <w:r w:rsidRPr="005D516A">
              <w:rPr>
                <w:color w:val="000000"/>
                <w:sz w:val="18"/>
                <w:szCs w:val="18"/>
              </w:rPr>
              <w:t>x</w:t>
            </w:r>
          </w:p>
        </w:tc>
        <w:tc>
          <w:tcPr>
            <w:tcW w:w="540" w:type="dxa"/>
          </w:tcPr>
          <w:p w14:paraId="46405E55" w14:textId="77777777" w:rsidR="00A22E4D" w:rsidRPr="005D516A" w:rsidRDefault="00A22E4D" w:rsidP="00DF29AB">
            <w:pPr>
              <w:spacing w:after="0"/>
              <w:jc w:val="left"/>
              <w:rPr>
                <w:color w:val="000000"/>
                <w:sz w:val="18"/>
                <w:szCs w:val="18"/>
              </w:rPr>
            </w:pPr>
            <w:r w:rsidRPr="005D516A">
              <w:rPr>
                <w:color w:val="000000"/>
                <w:sz w:val="18"/>
                <w:szCs w:val="18"/>
              </w:rPr>
              <w:t>x</w:t>
            </w:r>
          </w:p>
        </w:tc>
        <w:tc>
          <w:tcPr>
            <w:tcW w:w="630" w:type="dxa"/>
          </w:tcPr>
          <w:p w14:paraId="2E6FB1C8" w14:textId="3C128B12" w:rsidR="00A22E4D" w:rsidRPr="005D516A" w:rsidRDefault="008C5F37" w:rsidP="00DF29AB">
            <w:pPr>
              <w:spacing w:after="0"/>
              <w:jc w:val="left"/>
              <w:rPr>
                <w:color w:val="000000"/>
                <w:sz w:val="18"/>
                <w:szCs w:val="18"/>
              </w:rPr>
            </w:pPr>
            <w:r w:rsidRPr="005D516A">
              <w:rPr>
                <w:color w:val="000000"/>
                <w:sz w:val="18"/>
                <w:szCs w:val="18"/>
              </w:rPr>
              <w:t>X</w:t>
            </w:r>
          </w:p>
        </w:tc>
      </w:tr>
      <w:tr w:rsidR="00A22E4D" w14:paraId="6888A5CF" w14:textId="77777777" w:rsidTr="00DF29AB">
        <w:trPr>
          <w:trHeight w:val="458"/>
        </w:trPr>
        <w:tc>
          <w:tcPr>
            <w:tcW w:w="2250" w:type="dxa"/>
          </w:tcPr>
          <w:p w14:paraId="4B032D4E" w14:textId="77777777" w:rsidR="00A22E4D" w:rsidRPr="006829D0" w:rsidRDefault="00A22E4D" w:rsidP="00DF29AB">
            <w:pPr>
              <w:widowControl w:val="0"/>
              <w:autoSpaceDE w:val="0"/>
              <w:autoSpaceDN w:val="0"/>
              <w:adjustRightInd w:val="0"/>
              <w:spacing w:after="0"/>
              <w:jc w:val="left"/>
              <w:rPr>
                <w:color w:val="000000"/>
                <w:sz w:val="18"/>
                <w:szCs w:val="18"/>
              </w:rPr>
            </w:pPr>
            <w:r w:rsidRPr="006829D0">
              <w:rPr>
                <w:color w:val="000000"/>
                <w:sz w:val="18"/>
                <w:szCs w:val="18"/>
              </w:rPr>
              <w:t xml:space="preserve">Ebiil Society </w:t>
            </w:r>
          </w:p>
        </w:tc>
        <w:tc>
          <w:tcPr>
            <w:tcW w:w="3780" w:type="dxa"/>
          </w:tcPr>
          <w:p w14:paraId="53EDED97" w14:textId="77777777" w:rsidR="00A22E4D" w:rsidRPr="005D516A" w:rsidRDefault="00A22E4D" w:rsidP="00DF29AB">
            <w:pPr>
              <w:widowControl w:val="0"/>
              <w:autoSpaceDE w:val="0"/>
              <w:autoSpaceDN w:val="0"/>
              <w:adjustRightInd w:val="0"/>
              <w:spacing w:after="0"/>
              <w:jc w:val="left"/>
              <w:rPr>
                <w:color w:val="000000"/>
                <w:sz w:val="18"/>
                <w:szCs w:val="18"/>
              </w:rPr>
            </w:pPr>
            <w:r w:rsidRPr="005D516A">
              <w:rPr>
                <w:color w:val="000000"/>
                <w:sz w:val="18"/>
                <w:szCs w:val="18"/>
              </w:rPr>
              <w:t>The Ebiil Society has been instrumental in engaging community and developing and sharing approaches in terrestrial re-vegetation, erosion control, best agriculture practices, and fire prevention techniques. The Ebiil Society manages The PACT, a group of fishers and restauranteurs that agree to source and buy sustainably caught fish from each other.</w:t>
            </w:r>
          </w:p>
        </w:tc>
        <w:tc>
          <w:tcPr>
            <w:tcW w:w="2430" w:type="dxa"/>
          </w:tcPr>
          <w:p w14:paraId="69C0950A" w14:textId="019C6DA4" w:rsidR="00A22E4D" w:rsidRPr="005D516A" w:rsidRDefault="00A22E4D" w:rsidP="00D15171">
            <w:pPr>
              <w:spacing w:after="0"/>
              <w:jc w:val="left"/>
              <w:rPr>
                <w:color w:val="000000"/>
                <w:sz w:val="18"/>
                <w:szCs w:val="18"/>
              </w:rPr>
            </w:pPr>
            <w:r w:rsidRPr="005D516A">
              <w:rPr>
                <w:color w:val="000000"/>
                <w:sz w:val="18"/>
                <w:szCs w:val="18"/>
              </w:rPr>
              <w:t xml:space="preserve">The Ebiil Society will partner in </w:t>
            </w:r>
            <w:r w:rsidR="00D15171">
              <w:rPr>
                <w:color w:val="000000"/>
                <w:sz w:val="18"/>
                <w:szCs w:val="18"/>
              </w:rPr>
              <w:t>l</w:t>
            </w:r>
            <w:r w:rsidRPr="005D516A">
              <w:rPr>
                <w:color w:val="000000"/>
                <w:sz w:val="18"/>
                <w:szCs w:val="18"/>
              </w:rPr>
              <w:t>and</w:t>
            </w:r>
            <w:r w:rsidR="00D15171">
              <w:rPr>
                <w:color w:val="000000"/>
                <w:sz w:val="18"/>
                <w:szCs w:val="18"/>
              </w:rPr>
              <w:t>/sea</w:t>
            </w:r>
            <w:r w:rsidRPr="005D516A">
              <w:rPr>
                <w:color w:val="000000"/>
                <w:sz w:val="18"/>
                <w:szCs w:val="18"/>
              </w:rPr>
              <w:t>scape Planning, Biosecurity activities, and implementation of best practices.</w:t>
            </w:r>
          </w:p>
        </w:tc>
        <w:tc>
          <w:tcPr>
            <w:tcW w:w="540" w:type="dxa"/>
          </w:tcPr>
          <w:p w14:paraId="1C22A303" w14:textId="77777777" w:rsidR="00A22E4D" w:rsidRPr="005D516A" w:rsidRDefault="00A22E4D" w:rsidP="00DF29AB">
            <w:pPr>
              <w:spacing w:after="0"/>
              <w:jc w:val="left"/>
              <w:rPr>
                <w:color w:val="000000"/>
                <w:sz w:val="18"/>
                <w:szCs w:val="18"/>
              </w:rPr>
            </w:pPr>
            <w:r w:rsidRPr="005D516A">
              <w:rPr>
                <w:color w:val="000000"/>
                <w:sz w:val="18"/>
                <w:szCs w:val="18"/>
              </w:rPr>
              <w:t>x</w:t>
            </w:r>
          </w:p>
        </w:tc>
        <w:tc>
          <w:tcPr>
            <w:tcW w:w="540" w:type="dxa"/>
          </w:tcPr>
          <w:p w14:paraId="77D45FA9" w14:textId="77777777" w:rsidR="00A22E4D" w:rsidRPr="005D516A" w:rsidRDefault="00A22E4D" w:rsidP="00DF29AB">
            <w:pPr>
              <w:spacing w:after="0"/>
              <w:jc w:val="left"/>
              <w:rPr>
                <w:color w:val="000000"/>
                <w:sz w:val="18"/>
                <w:szCs w:val="18"/>
              </w:rPr>
            </w:pPr>
            <w:r w:rsidRPr="005D516A">
              <w:rPr>
                <w:color w:val="000000"/>
                <w:sz w:val="18"/>
                <w:szCs w:val="18"/>
              </w:rPr>
              <w:t>x</w:t>
            </w:r>
          </w:p>
        </w:tc>
        <w:tc>
          <w:tcPr>
            <w:tcW w:w="630" w:type="dxa"/>
          </w:tcPr>
          <w:p w14:paraId="2966D1BA" w14:textId="77777777" w:rsidR="00A22E4D" w:rsidRPr="005D516A" w:rsidRDefault="00A22E4D" w:rsidP="00DF29AB">
            <w:pPr>
              <w:spacing w:after="0"/>
              <w:jc w:val="left"/>
              <w:rPr>
                <w:color w:val="000000"/>
                <w:sz w:val="18"/>
                <w:szCs w:val="18"/>
              </w:rPr>
            </w:pPr>
          </w:p>
        </w:tc>
      </w:tr>
      <w:tr w:rsidR="00A22E4D" w14:paraId="4582D3B6" w14:textId="77777777" w:rsidTr="00DF29AB">
        <w:trPr>
          <w:trHeight w:val="467"/>
        </w:trPr>
        <w:tc>
          <w:tcPr>
            <w:tcW w:w="2250" w:type="dxa"/>
          </w:tcPr>
          <w:p w14:paraId="5D4DDCD9" w14:textId="77777777" w:rsidR="00A22E4D" w:rsidRPr="006829D0" w:rsidRDefault="00A22E4D" w:rsidP="00DF29AB">
            <w:pPr>
              <w:widowControl w:val="0"/>
              <w:autoSpaceDE w:val="0"/>
              <w:autoSpaceDN w:val="0"/>
              <w:adjustRightInd w:val="0"/>
              <w:spacing w:after="0"/>
              <w:jc w:val="left"/>
              <w:rPr>
                <w:color w:val="000000"/>
                <w:sz w:val="18"/>
                <w:szCs w:val="18"/>
              </w:rPr>
            </w:pPr>
            <w:r w:rsidRPr="006829D0">
              <w:rPr>
                <w:color w:val="000000"/>
                <w:sz w:val="18"/>
                <w:szCs w:val="18"/>
              </w:rPr>
              <w:t xml:space="preserve">Belau Tourism Association </w:t>
            </w:r>
          </w:p>
        </w:tc>
        <w:tc>
          <w:tcPr>
            <w:tcW w:w="3780" w:type="dxa"/>
          </w:tcPr>
          <w:p w14:paraId="0F1E6B31" w14:textId="77777777" w:rsidR="00A22E4D" w:rsidRPr="005D516A" w:rsidRDefault="00A22E4D" w:rsidP="00DF29AB">
            <w:pPr>
              <w:widowControl w:val="0"/>
              <w:autoSpaceDE w:val="0"/>
              <w:autoSpaceDN w:val="0"/>
              <w:adjustRightInd w:val="0"/>
              <w:spacing w:after="0"/>
              <w:jc w:val="left"/>
              <w:rPr>
                <w:color w:val="000000"/>
                <w:sz w:val="18"/>
                <w:szCs w:val="18"/>
              </w:rPr>
            </w:pPr>
            <w:r w:rsidRPr="005D516A">
              <w:rPr>
                <w:color w:val="000000"/>
                <w:sz w:val="18"/>
                <w:szCs w:val="18"/>
              </w:rPr>
              <w:t xml:space="preserve">Membership organization for tourism sector businesses in Palau and will be key to private sector engagement </w:t>
            </w:r>
          </w:p>
        </w:tc>
        <w:tc>
          <w:tcPr>
            <w:tcW w:w="2430" w:type="dxa"/>
          </w:tcPr>
          <w:p w14:paraId="1D030208" w14:textId="6926CB5F" w:rsidR="00A22E4D" w:rsidRPr="005D516A" w:rsidRDefault="00A22E4D" w:rsidP="00D15171">
            <w:pPr>
              <w:spacing w:after="0"/>
              <w:jc w:val="left"/>
              <w:rPr>
                <w:color w:val="000000"/>
                <w:sz w:val="18"/>
                <w:szCs w:val="18"/>
              </w:rPr>
            </w:pPr>
            <w:r w:rsidRPr="005D516A">
              <w:rPr>
                <w:color w:val="000000"/>
                <w:sz w:val="18"/>
                <w:szCs w:val="18"/>
              </w:rPr>
              <w:t>The BTA will fully engaging the tourism sector in mainstreaming and all parts of the project.</w:t>
            </w:r>
          </w:p>
        </w:tc>
        <w:tc>
          <w:tcPr>
            <w:tcW w:w="540" w:type="dxa"/>
          </w:tcPr>
          <w:p w14:paraId="1771AE79" w14:textId="77777777" w:rsidR="00A22E4D" w:rsidRPr="005D516A" w:rsidRDefault="00A22E4D" w:rsidP="00DF29AB">
            <w:pPr>
              <w:spacing w:after="0"/>
              <w:jc w:val="left"/>
              <w:rPr>
                <w:color w:val="000000"/>
                <w:sz w:val="18"/>
                <w:szCs w:val="18"/>
              </w:rPr>
            </w:pPr>
          </w:p>
        </w:tc>
        <w:tc>
          <w:tcPr>
            <w:tcW w:w="540" w:type="dxa"/>
          </w:tcPr>
          <w:p w14:paraId="7F3F08F5" w14:textId="77777777" w:rsidR="00A22E4D" w:rsidRPr="005D516A" w:rsidRDefault="00A22E4D" w:rsidP="00DF29AB">
            <w:pPr>
              <w:spacing w:after="0"/>
              <w:jc w:val="left"/>
              <w:rPr>
                <w:color w:val="000000"/>
                <w:sz w:val="18"/>
                <w:szCs w:val="18"/>
              </w:rPr>
            </w:pPr>
          </w:p>
        </w:tc>
        <w:tc>
          <w:tcPr>
            <w:tcW w:w="630" w:type="dxa"/>
          </w:tcPr>
          <w:p w14:paraId="30479744" w14:textId="77777777" w:rsidR="00A22E4D" w:rsidRPr="005D516A" w:rsidRDefault="00A22E4D" w:rsidP="00DF29AB">
            <w:pPr>
              <w:spacing w:after="0"/>
              <w:jc w:val="left"/>
              <w:rPr>
                <w:color w:val="000000"/>
                <w:sz w:val="18"/>
                <w:szCs w:val="18"/>
              </w:rPr>
            </w:pPr>
          </w:p>
        </w:tc>
      </w:tr>
      <w:tr w:rsidR="00A22E4D" w14:paraId="51A73164" w14:textId="77777777" w:rsidTr="00DF29AB">
        <w:trPr>
          <w:trHeight w:val="899"/>
        </w:trPr>
        <w:tc>
          <w:tcPr>
            <w:tcW w:w="2250" w:type="dxa"/>
          </w:tcPr>
          <w:p w14:paraId="4700B5F3" w14:textId="77777777" w:rsidR="00A22E4D" w:rsidRPr="004D7624" w:rsidRDefault="00A22E4D" w:rsidP="00DF29AB">
            <w:pPr>
              <w:widowControl w:val="0"/>
              <w:autoSpaceDE w:val="0"/>
              <w:autoSpaceDN w:val="0"/>
              <w:adjustRightInd w:val="0"/>
              <w:spacing w:after="0"/>
              <w:jc w:val="left"/>
              <w:rPr>
                <w:color w:val="000000"/>
                <w:sz w:val="18"/>
                <w:szCs w:val="18"/>
              </w:rPr>
            </w:pPr>
            <w:r w:rsidRPr="004D7624">
              <w:rPr>
                <w:color w:val="000000"/>
                <w:sz w:val="18"/>
                <w:szCs w:val="18"/>
              </w:rPr>
              <w:t xml:space="preserve">Palau Chamber of Commerce </w:t>
            </w:r>
          </w:p>
        </w:tc>
        <w:tc>
          <w:tcPr>
            <w:tcW w:w="3780" w:type="dxa"/>
          </w:tcPr>
          <w:p w14:paraId="0150F409" w14:textId="77777777" w:rsidR="00A22E4D" w:rsidRPr="004D7624" w:rsidRDefault="00A22E4D" w:rsidP="00DF29AB">
            <w:pPr>
              <w:widowControl w:val="0"/>
              <w:autoSpaceDE w:val="0"/>
              <w:autoSpaceDN w:val="0"/>
              <w:adjustRightInd w:val="0"/>
              <w:spacing w:after="0"/>
              <w:jc w:val="left"/>
              <w:rPr>
                <w:color w:val="000000"/>
                <w:sz w:val="18"/>
                <w:szCs w:val="18"/>
              </w:rPr>
            </w:pPr>
            <w:r w:rsidRPr="004D7624">
              <w:rPr>
                <w:color w:val="000000"/>
                <w:sz w:val="18"/>
                <w:szCs w:val="18"/>
              </w:rPr>
              <w:t>The Chamber of Commerce is an important partner in setting development priorities and establishing community support for management actions and will be key to private sector engagement.</w:t>
            </w:r>
          </w:p>
        </w:tc>
        <w:tc>
          <w:tcPr>
            <w:tcW w:w="2430" w:type="dxa"/>
          </w:tcPr>
          <w:p w14:paraId="19AEBF0F" w14:textId="77777777" w:rsidR="00A22E4D" w:rsidRPr="004D7624" w:rsidRDefault="00A22E4D" w:rsidP="00DF29AB">
            <w:pPr>
              <w:spacing w:after="0"/>
              <w:jc w:val="left"/>
              <w:rPr>
                <w:color w:val="000000"/>
                <w:sz w:val="18"/>
                <w:szCs w:val="18"/>
              </w:rPr>
            </w:pPr>
            <w:r w:rsidRPr="004D7624">
              <w:rPr>
                <w:color w:val="000000"/>
                <w:sz w:val="18"/>
                <w:szCs w:val="18"/>
              </w:rPr>
              <w:t>The Chamber will be targeted as a key body with links to the private sector so as to improve mainstreaming and implementation of biodiversity policies into private sector practices.</w:t>
            </w:r>
          </w:p>
        </w:tc>
        <w:tc>
          <w:tcPr>
            <w:tcW w:w="540" w:type="dxa"/>
          </w:tcPr>
          <w:p w14:paraId="5FE4685B" w14:textId="77777777" w:rsidR="00A22E4D" w:rsidRPr="004D7624" w:rsidRDefault="00A22E4D" w:rsidP="00DF29AB">
            <w:pPr>
              <w:spacing w:after="0"/>
              <w:jc w:val="left"/>
              <w:rPr>
                <w:color w:val="000000"/>
                <w:sz w:val="18"/>
                <w:szCs w:val="18"/>
              </w:rPr>
            </w:pPr>
          </w:p>
        </w:tc>
        <w:tc>
          <w:tcPr>
            <w:tcW w:w="540" w:type="dxa"/>
          </w:tcPr>
          <w:p w14:paraId="58846275" w14:textId="77777777" w:rsidR="00A22E4D" w:rsidRPr="004D7624" w:rsidRDefault="00A22E4D" w:rsidP="00DF29AB">
            <w:pPr>
              <w:spacing w:after="0"/>
              <w:jc w:val="left"/>
              <w:rPr>
                <w:color w:val="000000"/>
                <w:sz w:val="18"/>
                <w:szCs w:val="18"/>
              </w:rPr>
            </w:pPr>
            <w:r w:rsidRPr="004D7624">
              <w:rPr>
                <w:color w:val="000000"/>
                <w:sz w:val="18"/>
                <w:szCs w:val="18"/>
              </w:rPr>
              <w:t>x</w:t>
            </w:r>
          </w:p>
        </w:tc>
        <w:tc>
          <w:tcPr>
            <w:tcW w:w="630" w:type="dxa"/>
          </w:tcPr>
          <w:p w14:paraId="69C1FA2B" w14:textId="4E559E4F" w:rsidR="00A22E4D" w:rsidRPr="004D7624" w:rsidRDefault="008C5F37" w:rsidP="00DF29AB">
            <w:pPr>
              <w:spacing w:after="0"/>
              <w:jc w:val="left"/>
              <w:rPr>
                <w:color w:val="000000"/>
                <w:sz w:val="18"/>
                <w:szCs w:val="18"/>
              </w:rPr>
            </w:pPr>
            <w:r w:rsidRPr="004D7624">
              <w:rPr>
                <w:color w:val="000000"/>
                <w:sz w:val="18"/>
                <w:szCs w:val="18"/>
              </w:rPr>
              <w:t>X</w:t>
            </w:r>
          </w:p>
        </w:tc>
      </w:tr>
      <w:tr w:rsidR="00A22E4D" w14:paraId="3E06AFA2" w14:textId="77777777" w:rsidTr="00DF29AB">
        <w:trPr>
          <w:trHeight w:val="665"/>
        </w:trPr>
        <w:tc>
          <w:tcPr>
            <w:tcW w:w="2250" w:type="dxa"/>
          </w:tcPr>
          <w:p w14:paraId="161EA724" w14:textId="77777777" w:rsidR="00A22E4D" w:rsidRPr="006829D0" w:rsidRDefault="00A22E4D" w:rsidP="00DF29AB">
            <w:pPr>
              <w:widowControl w:val="0"/>
              <w:autoSpaceDE w:val="0"/>
              <w:autoSpaceDN w:val="0"/>
              <w:adjustRightInd w:val="0"/>
              <w:spacing w:after="0"/>
              <w:jc w:val="left"/>
              <w:rPr>
                <w:color w:val="000000"/>
                <w:sz w:val="18"/>
                <w:szCs w:val="18"/>
              </w:rPr>
            </w:pPr>
            <w:r w:rsidRPr="006829D0">
              <w:rPr>
                <w:color w:val="000000"/>
                <w:sz w:val="18"/>
                <w:szCs w:val="18"/>
              </w:rPr>
              <w:t xml:space="preserve">Island Conservation </w:t>
            </w:r>
          </w:p>
        </w:tc>
        <w:tc>
          <w:tcPr>
            <w:tcW w:w="3780" w:type="dxa"/>
          </w:tcPr>
          <w:p w14:paraId="30FED371" w14:textId="77777777" w:rsidR="00A22E4D" w:rsidRPr="005D516A" w:rsidRDefault="00A22E4D" w:rsidP="00DF29AB">
            <w:pPr>
              <w:widowControl w:val="0"/>
              <w:autoSpaceDE w:val="0"/>
              <w:autoSpaceDN w:val="0"/>
              <w:adjustRightInd w:val="0"/>
              <w:spacing w:after="0"/>
              <w:jc w:val="left"/>
              <w:rPr>
                <w:color w:val="000000"/>
                <w:sz w:val="18"/>
                <w:szCs w:val="18"/>
              </w:rPr>
            </w:pPr>
            <w:r w:rsidRPr="005D516A">
              <w:rPr>
                <w:color w:val="000000"/>
                <w:sz w:val="18"/>
                <w:szCs w:val="18"/>
              </w:rPr>
              <w:t>Island Conservation is implementing rodent eradication programs in Palau.</w:t>
            </w:r>
          </w:p>
        </w:tc>
        <w:tc>
          <w:tcPr>
            <w:tcW w:w="2430" w:type="dxa"/>
          </w:tcPr>
          <w:p w14:paraId="3B0254D7" w14:textId="1054EE75" w:rsidR="00A22E4D" w:rsidRPr="005D516A" w:rsidRDefault="00A22E4D" w:rsidP="00D15171">
            <w:pPr>
              <w:spacing w:after="0"/>
              <w:jc w:val="left"/>
              <w:rPr>
                <w:color w:val="000000"/>
                <w:sz w:val="18"/>
                <w:szCs w:val="18"/>
              </w:rPr>
            </w:pPr>
            <w:r w:rsidRPr="005D516A">
              <w:rPr>
                <w:color w:val="000000"/>
                <w:sz w:val="18"/>
                <w:szCs w:val="18"/>
              </w:rPr>
              <w:t xml:space="preserve">The Project will partner with IC on its rodent programs in the Rock Islands. </w:t>
            </w:r>
          </w:p>
        </w:tc>
        <w:tc>
          <w:tcPr>
            <w:tcW w:w="540" w:type="dxa"/>
          </w:tcPr>
          <w:p w14:paraId="637D9E2F" w14:textId="77777777" w:rsidR="00A22E4D" w:rsidRPr="005D516A" w:rsidRDefault="00A22E4D" w:rsidP="00DF29AB">
            <w:pPr>
              <w:spacing w:after="0"/>
              <w:jc w:val="left"/>
              <w:rPr>
                <w:color w:val="000000"/>
                <w:sz w:val="18"/>
                <w:szCs w:val="18"/>
              </w:rPr>
            </w:pPr>
            <w:r w:rsidRPr="005D516A">
              <w:rPr>
                <w:color w:val="000000"/>
                <w:sz w:val="18"/>
                <w:szCs w:val="18"/>
              </w:rPr>
              <w:t>x</w:t>
            </w:r>
          </w:p>
        </w:tc>
        <w:tc>
          <w:tcPr>
            <w:tcW w:w="540" w:type="dxa"/>
          </w:tcPr>
          <w:p w14:paraId="652A685C" w14:textId="77777777" w:rsidR="00A22E4D" w:rsidRPr="005D516A" w:rsidRDefault="00A22E4D" w:rsidP="00DF29AB">
            <w:pPr>
              <w:spacing w:after="0"/>
              <w:jc w:val="left"/>
              <w:rPr>
                <w:color w:val="000000"/>
                <w:sz w:val="18"/>
                <w:szCs w:val="18"/>
              </w:rPr>
            </w:pPr>
          </w:p>
        </w:tc>
        <w:tc>
          <w:tcPr>
            <w:tcW w:w="630" w:type="dxa"/>
          </w:tcPr>
          <w:p w14:paraId="26F271DB" w14:textId="77777777" w:rsidR="00A22E4D" w:rsidRPr="005D516A" w:rsidRDefault="00A22E4D" w:rsidP="00DF29AB">
            <w:pPr>
              <w:spacing w:after="0"/>
              <w:jc w:val="left"/>
              <w:rPr>
                <w:color w:val="000000"/>
                <w:sz w:val="18"/>
                <w:szCs w:val="18"/>
              </w:rPr>
            </w:pPr>
          </w:p>
        </w:tc>
      </w:tr>
      <w:tr w:rsidR="00A22E4D" w14:paraId="3E3ABFC5" w14:textId="77777777" w:rsidTr="00DF29AB">
        <w:trPr>
          <w:trHeight w:val="881"/>
        </w:trPr>
        <w:tc>
          <w:tcPr>
            <w:tcW w:w="2250" w:type="dxa"/>
          </w:tcPr>
          <w:p w14:paraId="218CA1DC" w14:textId="77777777" w:rsidR="00A22E4D" w:rsidRPr="006829D0" w:rsidRDefault="00A22E4D" w:rsidP="00DF29AB">
            <w:pPr>
              <w:widowControl w:val="0"/>
              <w:autoSpaceDE w:val="0"/>
              <w:autoSpaceDN w:val="0"/>
              <w:adjustRightInd w:val="0"/>
              <w:spacing w:after="0"/>
              <w:jc w:val="left"/>
              <w:rPr>
                <w:color w:val="000000"/>
                <w:sz w:val="18"/>
                <w:szCs w:val="18"/>
              </w:rPr>
            </w:pPr>
            <w:r w:rsidRPr="006829D0">
              <w:rPr>
                <w:color w:val="000000"/>
                <w:sz w:val="18"/>
                <w:szCs w:val="18"/>
              </w:rPr>
              <w:t xml:space="preserve">Alliance of Palau Conservation Officers (APCO) </w:t>
            </w:r>
          </w:p>
        </w:tc>
        <w:tc>
          <w:tcPr>
            <w:tcW w:w="3780" w:type="dxa"/>
          </w:tcPr>
          <w:p w14:paraId="2B2A3DC1" w14:textId="77777777" w:rsidR="00A22E4D" w:rsidRPr="005D516A" w:rsidRDefault="00A22E4D" w:rsidP="00DF29AB">
            <w:pPr>
              <w:widowControl w:val="0"/>
              <w:autoSpaceDE w:val="0"/>
              <w:autoSpaceDN w:val="0"/>
              <w:adjustRightInd w:val="0"/>
              <w:spacing w:after="0"/>
              <w:jc w:val="left"/>
              <w:rPr>
                <w:color w:val="000000"/>
                <w:sz w:val="18"/>
                <w:szCs w:val="18"/>
              </w:rPr>
            </w:pPr>
            <w:r w:rsidRPr="005D516A">
              <w:rPr>
                <w:color w:val="000000"/>
                <w:sz w:val="18"/>
                <w:szCs w:val="18"/>
              </w:rPr>
              <w:t xml:space="preserve">APCO is a collaborative capacity building network of state and national conservation officers which coordinates regular skills development and targeted training to enhance operations and compliance. </w:t>
            </w:r>
          </w:p>
        </w:tc>
        <w:tc>
          <w:tcPr>
            <w:tcW w:w="2430" w:type="dxa"/>
          </w:tcPr>
          <w:p w14:paraId="0E8FDDDF" w14:textId="3EA694A9" w:rsidR="00A22E4D" w:rsidRPr="005D516A" w:rsidRDefault="00A22E4D" w:rsidP="00DF29AB">
            <w:pPr>
              <w:spacing w:after="0"/>
              <w:jc w:val="left"/>
              <w:rPr>
                <w:color w:val="000000"/>
                <w:sz w:val="18"/>
                <w:szCs w:val="18"/>
              </w:rPr>
            </w:pPr>
            <w:r w:rsidRPr="005D516A">
              <w:rPr>
                <w:color w:val="000000"/>
                <w:sz w:val="18"/>
                <w:szCs w:val="18"/>
              </w:rPr>
              <w:t xml:space="preserve">Conservation Officers will be trained as the front lines of biosecurity and as the enforcers of </w:t>
            </w:r>
            <w:r w:rsidR="00D15171">
              <w:rPr>
                <w:color w:val="000000"/>
                <w:sz w:val="18"/>
                <w:szCs w:val="18"/>
              </w:rPr>
              <w:t>l</w:t>
            </w:r>
            <w:r w:rsidRPr="005D516A">
              <w:rPr>
                <w:color w:val="000000"/>
                <w:sz w:val="18"/>
                <w:szCs w:val="18"/>
              </w:rPr>
              <w:t>and/</w:t>
            </w:r>
            <w:r w:rsidR="00D15171">
              <w:rPr>
                <w:color w:val="000000"/>
                <w:sz w:val="18"/>
                <w:szCs w:val="18"/>
              </w:rPr>
              <w:t>s</w:t>
            </w:r>
            <w:r w:rsidRPr="005D516A">
              <w:rPr>
                <w:color w:val="000000"/>
                <w:sz w:val="18"/>
                <w:szCs w:val="18"/>
              </w:rPr>
              <w:t>eascape plans.</w:t>
            </w:r>
          </w:p>
        </w:tc>
        <w:tc>
          <w:tcPr>
            <w:tcW w:w="540" w:type="dxa"/>
          </w:tcPr>
          <w:p w14:paraId="403F75CD" w14:textId="77777777" w:rsidR="00A22E4D" w:rsidRPr="005D516A" w:rsidRDefault="00A22E4D" w:rsidP="00DF29AB">
            <w:pPr>
              <w:spacing w:after="0"/>
              <w:jc w:val="left"/>
              <w:rPr>
                <w:color w:val="000000"/>
                <w:sz w:val="18"/>
                <w:szCs w:val="18"/>
              </w:rPr>
            </w:pPr>
            <w:r w:rsidRPr="005D516A">
              <w:rPr>
                <w:color w:val="000000"/>
                <w:sz w:val="18"/>
                <w:szCs w:val="18"/>
              </w:rPr>
              <w:t>x</w:t>
            </w:r>
          </w:p>
        </w:tc>
        <w:tc>
          <w:tcPr>
            <w:tcW w:w="540" w:type="dxa"/>
          </w:tcPr>
          <w:p w14:paraId="5D96FF61" w14:textId="77777777" w:rsidR="00A22E4D" w:rsidRPr="005D516A" w:rsidRDefault="00A22E4D" w:rsidP="00DF29AB">
            <w:pPr>
              <w:spacing w:after="0"/>
              <w:jc w:val="left"/>
              <w:rPr>
                <w:color w:val="000000"/>
                <w:sz w:val="18"/>
                <w:szCs w:val="18"/>
              </w:rPr>
            </w:pPr>
          </w:p>
        </w:tc>
        <w:tc>
          <w:tcPr>
            <w:tcW w:w="630" w:type="dxa"/>
          </w:tcPr>
          <w:p w14:paraId="04D01824" w14:textId="68F0D6FC" w:rsidR="00A22E4D" w:rsidRPr="005D516A" w:rsidRDefault="008C5F37" w:rsidP="00DF29AB">
            <w:pPr>
              <w:spacing w:after="0"/>
              <w:jc w:val="left"/>
              <w:rPr>
                <w:color w:val="000000"/>
                <w:sz w:val="18"/>
                <w:szCs w:val="18"/>
              </w:rPr>
            </w:pPr>
            <w:r w:rsidRPr="005D516A">
              <w:rPr>
                <w:color w:val="000000"/>
                <w:sz w:val="18"/>
                <w:szCs w:val="18"/>
              </w:rPr>
              <w:t>X</w:t>
            </w:r>
          </w:p>
        </w:tc>
      </w:tr>
      <w:tr w:rsidR="00A22E4D" w14:paraId="11F426BA" w14:textId="77777777" w:rsidTr="00DF29AB">
        <w:trPr>
          <w:trHeight w:val="638"/>
        </w:trPr>
        <w:tc>
          <w:tcPr>
            <w:tcW w:w="6030" w:type="dxa"/>
            <w:gridSpan w:val="2"/>
          </w:tcPr>
          <w:p w14:paraId="6EDBC639" w14:textId="77777777" w:rsidR="00A22E4D" w:rsidRPr="006829D0" w:rsidRDefault="00A22E4D" w:rsidP="00DF29AB">
            <w:pPr>
              <w:widowControl w:val="0"/>
              <w:autoSpaceDE w:val="0"/>
              <w:autoSpaceDN w:val="0"/>
              <w:adjustRightInd w:val="0"/>
              <w:spacing w:after="0"/>
              <w:jc w:val="left"/>
              <w:rPr>
                <w:color w:val="000000"/>
                <w:sz w:val="18"/>
                <w:szCs w:val="18"/>
              </w:rPr>
            </w:pPr>
            <w:r w:rsidRPr="006829D0">
              <w:rPr>
                <w:color w:val="000000"/>
                <w:sz w:val="18"/>
                <w:szCs w:val="18"/>
              </w:rPr>
              <w:t>Fisheries Organizations:</w:t>
            </w:r>
          </w:p>
          <w:p w14:paraId="00507ADD" w14:textId="77777777" w:rsidR="00A22E4D" w:rsidRPr="006829D0" w:rsidRDefault="00A22E4D" w:rsidP="00EA4043">
            <w:pPr>
              <w:widowControl w:val="0"/>
              <w:numPr>
                <w:ilvl w:val="0"/>
                <w:numId w:val="34"/>
              </w:numPr>
              <w:autoSpaceDE w:val="0"/>
              <w:autoSpaceDN w:val="0"/>
              <w:adjustRightInd w:val="0"/>
              <w:spacing w:after="0"/>
              <w:ind w:left="252" w:hanging="252"/>
              <w:jc w:val="left"/>
              <w:rPr>
                <w:color w:val="000000"/>
                <w:sz w:val="18"/>
                <w:szCs w:val="18"/>
              </w:rPr>
            </w:pPr>
            <w:r w:rsidRPr="006829D0">
              <w:rPr>
                <w:color w:val="000000"/>
                <w:sz w:val="18"/>
                <w:szCs w:val="18"/>
              </w:rPr>
              <w:t xml:space="preserve">Coral Reef Research Foundation (CRRF) </w:t>
            </w:r>
          </w:p>
          <w:p w14:paraId="2A861108" w14:textId="77777777" w:rsidR="00A22E4D" w:rsidRPr="005D516A" w:rsidRDefault="00A22E4D" w:rsidP="00EA4043">
            <w:pPr>
              <w:widowControl w:val="0"/>
              <w:numPr>
                <w:ilvl w:val="0"/>
                <w:numId w:val="34"/>
              </w:numPr>
              <w:autoSpaceDE w:val="0"/>
              <w:autoSpaceDN w:val="0"/>
              <w:adjustRightInd w:val="0"/>
              <w:spacing w:after="0"/>
              <w:ind w:left="252" w:hanging="252"/>
              <w:jc w:val="left"/>
              <w:rPr>
                <w:color w:val="000000"/>
                <w:sz w:val="18"/>
                <w:szCs w:val="18"/>
              </w:rPr>
            </w:pPr>
            <w:r w:rsidRPr="005D516A">
              <w:rPr>
                <w:color w:val="000000"/>
                <w:sz w:val="18"/>
                <w:szCs w:val="18"/>
              </w:rPr>
              <w:t>Northern Reef Fisheries Cooperative</w:t>
            </w:r>
          </w:p>
          <w:p w14:paraId="744821D7" w14:textId="77777777" w:rsidR="00A22E4D" w:rsidRPr="005D516A" w:rsidRDefault="00A22E4D" w:rsidP="00DF29AB">
            <w:pPr>
              <w:widowControl w:val="0"/>
              <w:autoSpaceDE w:val="0"/>
              <w:autoSpaceDN w:val="0"/>
              <w:adjustRightInd w:val="0"/>
              <w:spacing w:after="0"/>
              <w:jc w:val="left"/>
              <w:rPr>
                <w:color w:val="000000"/>
                <w:sz w:val="18"/>
                <w:szCs w:val="18"/>
              </w:rPr>
            </w:pPr>
            <w:r w:rsidRPr="005D516A">
              <w:rPr>
                <w:color w:val="000000"/>
                <w:sz w:val="18"/>
                <w:szCs w:val="18"/>
              </w:rPr>
              <w:t xml:space="preserve">. </w:t>
            </w:r>
          </w:p>
        </w:tc>
        <w:tc>
          <w:tcPr>
            <w:tcW w:w="2430" w:type="dxa"/>
          </w:tcPr>
          <w:p w14:paraId="0E473DB4" w14:textId="77777777" w:rsidR="00A22E4D" w:rsidRPr="005D516A" w:rsidRDefault="00A22E4D" w:rsidP="00DF29AB">
            <w:pPr>
              <w:spacing w:after="0"/>
              <w:jc w:val="left"/>
              <w:rPr>
                <w:color w:val="000000"/>
                <w:sz w:val="18"/>
                <w:szCs w:val="18"/>
              </w:rPr>
            </w:pPr>
            <w:r w:rsidRPr="005D516A">
              <w:rPr>
                <w:color w:val="000000"/>
                <w:sz w:val="18"/>
                <w:szCs w:val="18"/>
              </w:rPr>
              <w:t>The Project will engage with CRRF on marine invasives and fisheries</w:t>
            </w:r>
          </w:p>
        </w:tc>
        <w:tc>
          <w:tcPr>
            <w:tcW w:w="540" w:type="dxa"/>
          </w:tcPr>
          <w:p w14:paraId="5E16DAF6" w14:textId="77777777" w:rsidR="00A22E4D" w:rsidRPr="005D516A" w:rsidRDefault="00A22E4D" w:rsidP="00DF29AB">
            <w:pPr>
              <w:spacing w:after="0"/>
              <w:jc w:val="left"/>
              <w:rPr>
                <w:color w:val="000000"/>
                <w:sz w:val="18"/>
                <w:szCs w:val="18"/>
              </w:rPr>
            </w:pPr>
            <w:r w:rsidRPr="005D516A">
              <w:rPr>
                <w:color w:val="000000"/>
                <w:sz w:val="18"/>
                <w:szCs w:val="18"/>
              </w:rPr>
              <w:t>x</w:t>
            </w:r>
          </w:p>
        </w:tc>
        <w:tc>
          <w:tcPr>
            <w:tcW w:w="540" w:type="dxa"/>
          </w:tcPr>
          <w:p w14:paraId="2DDAEE87" w14:textId="77777777" w:rsidR="00A22E4D" w:rsidRPr="005D516A" w:rsidRDefault="00A22E4D" w:rsidP="00DF29AB">
            <w:pPr>
              <w:spacing w:after="0"/>
              <w:jc w:val="left"/>
              <w:rPr>
                <w:color w:val="000000"/>
                <w:sz w:val="18"/>
                <w:szCs w:val="18"/>
              </w:rPr>
            </w:pPr>
          </w:p>
        </w:tc>
        <w:tc>
          <w:tcPr>
            <w:tcW w:w="630" w:type="dxa"/>
          </w:tcPr>
          <w:p w14:paraId="42FD7EBE" w14:textId="77777777" w:rsidR="00A22E4D" w:rsidRPr="005D516A" w:rsidRDefault="00A22E4D" w:rsidP="00DF29AB">
            <w:pPr>
              <w:spacing w:after="0"/>
              <w:jc w:val="left"/>
              <w:rPr>
                <w:color w:val="000000"/>
                <w:sz w:val="18"/>
                <w:szCs w:val="18"/>
              </w:rPr>
            </w:pPr>
          </w:p>
        </w:tc>
      </w:tr>
      <w:tr w:rsidR="00A22E4D" w14:paraId="7253859C" w14:textId="77777777" w:rsidTr="00DF29AB">
        <w:trPr>
          <w:trHeight w:val="512"/>
        </w:trPr>
        <w:tc>
          <w:tcPr>
            <w:tcW w:w="6030" w:type="dxa"/>
            <w:gridSpan w:val="2"/>
            <w:tcBorders>
              <w:bottom w:val="single" w:sz="4" w:space="0" w:color="auto"/>
            </w:tcBorders>
          </w:tcPr>
          <w:p w14:paraId="5E7E7008" w14:textId="77777777" w:rsidR="00A22E4D" w:rsidRPr="006829D0" w:rsidRDefault="00A22E4D" w:rsidP="00DF29AB">
            <w:pPr>
              <w:widowControl w:val="0"/>
              <w:autoSpaceDE w:val="0"/>
              <w:autoSpaceDN w:val="0"/>
              <w:adjustRightInd w:val="0"/>
              <w:spacing w:after="0"/>
              <w:jc w:val="left"/>
              <w:rPr>
                <w:rFonts w:cs="Cambria-Bold"/>
                <w:bCs/>
                <w:sz w:val="18"/>
                <w:szCs w:val="18"/>
              </w:rPr>
            </w:pPr>
            <w:r w:rsidRPr="006829D0">
              <w:rPr>
                <w:rFonts w:cs="Cambria-Bold"/>
                <w:bCs/>
                <w:sz w:val="18"/>
                <w:szCs w:val="18"/>
              </w:rPr>
              <w:t>Land, Agriculture, and Aquaculture Organizations:</w:t>
            </w:r>
          </w:p>
          <w:p w14:paraId="339CC12B" w14:textId="77777777" w:rsidR="00A22E4D" w:rsidRPr="005D516A" w:rsidRDefault="00A22E4D" w:rsidP="00EA4043">
            <w:pPr>
              <w:widowControl w:val="0"/>
              <w:numPr>
                <w:ilvl w:val="0"/>
                <w:numId w:val="35"/>
              </w:numPr>
              <w:autoSpaceDE w:val="0"/>
              <w:autoSpaceDN w:val="0"/>
              <w:adjustRightInd w:val="0"/>
              <w:spacing w:after="0"/>
              <w:ind w:left="252" w:hanging="252"/>
              <w:jc w:val="left"/>
              <w:rPr>
                <w:color w:val="000000"/>
                <w:sz w:val="18"/>
                <w:szCs w:val="18"/>
              </w:rPr>
            </w:pPr>
            <w:r w:rsidRPr="006829D0">
              <w:rPr>
                <w:rFonts w:cs="Cambria-Bold"/>
                <w:bCs/>
                <w:sz w:val="18"/>
                <w:szCs w:val="18"/>
              </w:rPr>
              <w:t>Palau Community Action Agency (PCAA)</w:t>
            </w:r>
          </w:p>
          <w:p w14:paraId="1FAB556E" w14:textId="77777777" w:rsidR="00A22E4D" w:rsidRPr="006829D0" w:rsidRDefault="00A22E4D" w:rsidP="00EA4043">
            <w:pPr>
              <w:widowControl w:val="0"/>
              <w:numPr>
                <w:ilvl w:val="0"/>
                <w:numId w:val="35"/>
              </w:numPr>
              <w:autoSpaceDE w:val="0"/>
              <w:autoSpaceDN w:val="0"/>
              <w:adjustRightInd w:val="0"/>
              <w:spacing w:after="0"/>
              <w:ind w:left="252" w:hanging="252"/>
              <w:jc w:val="left"/>
              <w:rPr>
                <w:color w:val="000000"/>
                <w:sz w:val="18"/>
                <w:szCs w:val="18"/>
              </w:rPr>
            </w:pPr>
            <w:r w:rsidRPr="006829D0">
              <w:rPr>
                <w:color w:val="000000"/>
                <w:sz w:val="18"/>
                <w:szCs w:val="18"/>
              </w:rPr>
              <w:t>Palau Organic Growers Association</w:t>
            </w:r>
          </w:p>
          <w:p w14:paraId="0AF92964" w14:textId="77777777" w:rsidR="00A22E4D" w:rsidRPr="005D516A" w:rsidRDefault="00A22E4D" w:rsidP="00EA4043">
            <w:pPr>
              <w:widowControl w:val="0"/>
              <w:numPr>
                <w:ilvl w:val="0"/>
                <w:numId w:val="35"/>
              </w:numPr>
              <w:autoSpaceDE w:val="0"/>
              <w:autoSpaceDN w:val="0"/>
              <w:adjustRightInd w:val="0"/>
              <w:spacing w:after="0"/>
              <w:ind w:left="252" w:hanging="252"/>
              <w:jc w:val="left"/>
              <w:rPr>
                <w:color w:val="000000"/>
                <w:sz w:val="18"/>
                <w:szCs w:val="18"/>
              </w:rPr>
            </w:pPr>
            <w:r w:rsidRPr="006829D0">
              <w:rPr>
                <w:color w:val="000000"/>
                <w:sz w:val="18"/>
                <w:szCs w:val="18"/>
              </w:rPr>
              <w:t>Palau Taiwan Farmers Association</w:t>
            </w:r>
          </w:p>
          <w:p w14:paraId="13B59F4C" w14:textId="77777777" w:rsidR="00A22E4D" w:rsidRPr="006829D0" w:rsidRDefault="00A22E4D" w:rsidP="00EA4043">
            <w:pPr>
              <w:widowControl w:val="0"/>
              <w:numPr>
                <w:ilvl w:val="0"/>
                <w:numId w:val="35"/>
              </w:numPr>
              <w:autoSpaceDE w:val="0"/>
              <w:autoSpaceDN w:val="0"/>
              <w:adjustRightInd w:val="0"/>
              <w:spacing w:after="0"/>
              <w:ind w:left="252" w:hanging="252"/>
              <w:jc w:val="left"/>
              <w:rPr>
                <w:color w:val="000000"/>
                <w:sz w:val="18"/>
                <w:szCs w:val="18"/>
              </w:rPr>
            </w:pPr>
            <w:r w:rsidRPr="006829D0">
              <w:rPr>
                <w:color w:val="000000"/>
                <w:sz w:val="18"/>
                <w:szCs w:val="18"/>
              </w:rPr>
              <w:t>Belau Watershed Alliance (BWA)</w:t>
            </w:r>
          </w:p>
          <w:p w14:paraId="39ACE267" w14:textId="77777777" w:rsidR="00A22E4D" w:rsidRPr="005D516A" w:rsidRDefault="00A22E4D" w:rsidP="00EA4043">
            <w:pPr>
              <w:widowControl w:val="0"/>
              <w:numPr>
                <w:ilvl w:val="0"/>
                <w:numId w:val="35"/>
              </w:numPr>
              <w:autoSpaceDE w:val="0"/>
              <w:autoSpaceDN w:val="0"/>
              <w:adjustRightInd w:val="0"/>
              <w:spacing w:after="0"/>
              <w:ind w:left="252" w:hanging="252"/>
              <w:jc w:val="left"/>
              <w:rPr>
                <w:color w:val="000000"/>
                <w:sz w:val="18"/>
                <w:szCs w:val="18"/>
              </w:rPr>
            </w:pPr>
            <w:r w:rsidRPr="005D516A">
              <w:rPr>
                <w:color w:val="000000"/>
                <w:sz w:val="18"/>
                <w:szCs w:val="18"/>
              </w:rPr>
              <w:t>Palau Aquaculture Cooperative Association</w:t>
            </w:r>
          </w:p>
          <w:p w14:paraId="3876614F" w14:textId="77777777" w:rsidR="00A22E4D" w:rsidRPr="005D516A" w:rsidRDefault="00A22E4D" w:rsidP="00DF29AB">
            <w:pPr>
              <w:autoSpaceDE w:val="0"/>
              <w:autoSpaceDN w:val="0"/>
              <w:adjustRightInd w:val="0"/>
              <w:spacing w:after="0"/>
              <w:jc w:val="left"/>
              <w:rPr>
                <w:color w:val="000000"/>
                <w:sz w:val="18"/>
                <w:szCs w:val="18"/>
              </w:rPr>
            </w:pPr>
          </w:p>
        </w:tc>
        <w:tc>
          <w:tcPr>
            <w:tcW w:w="2430" w:type="dxa"/>
            <w:tcBorders>
              <w:bottom w:val="single" w:sz="4" w:space="0" w:color="auto"/>
            </w:tcBorders>
          </w:tcPr>
          <w:p w14:paraId="307FF003" w14:textId="77777777" w:rsidR="00A22E4D" w:rsidRPr="005D516A" w:rsidRDefault="00A22E4D" w:rsidP="00DF29AB">
            <w:pPr>
              <w:spacing w:after="0"/>
              <w:jc w:val="left"/>
              <w:rPr>
                <w:color w:val="000000"/>
                <w:sz w:val="18"/>
                <w:szCs w:val="18"/>
              </w:rPr>
            </w:pPr>
            <w:r w:rsidRPr="005D516A">
              <w:rPr>
                <w:color w:val="000000"/>
                <w:sz w:val="18"/>
                <w:szCs w:val="18"/>
              </w:rPr>
              <w:t>The Project will engage with these partners in all key areas</w:t>
            </w:r>
          </w:p>
        </w:tc>
        <w:tc>
          <w:tcPr>
            <w:tcW w:w="540" w:type="dxa"/>
            <w:tcBorders>
              <w:bottom w:val="single" w:sz="4" w:space="0" w:color="auto"/>
            </w:tcBorders>
          </w:tcPr>
          <w:p w14:paraId="3727748A" w14:textId="77777777" w:rsidR="00A22E4D" w:rsidRPr="005D516A" w:rsidRDefault="00A22E4D" w:rsidP="00DF29AB">
            <w:pPr>
              <w:spacing w:after="0"/>
              <w:jc w:val="left"/>
              <w:rPr>
                <w:color w:val="000000"/>
                <w:sz w:val="18"/>
                <w:szCs w:val="18"/>
              </w:rPr>
            </w:pPr>
            <w:r w:rsidRPr="005D516A">
              <w:rPr>
                <w:color w:val="000000"/>
                <w:sz w:val="18"/>
                <w:szCs w:val="18"/>
              </w:rPr>
              <w:t>x</w:t>
            </w:r>
          </w:p>
        </w:tc>
        <w:tc>
          <w:tcPr>
            <w:tcW w:w="540" w:type="dxa"/>
            <w:tcBorders>
              <w:bottom w:val="single" w:sz="4" w:space="0" w:color="auto"/>
            </w:tcBorders>
          </w:tcPr>
          <w:p w14:paraId="7FAE969D" w14:textId="77777777" w:rsidR="00A22E4D" w:rsidRPr="005D516A" w:rsidRDefault="00A22E4D" w:rsidP="00DF29AB">
            <w:pPr>
              <w:spacing w:after="0"/>
              <w:jc w:val="left"/>
              <w:rPr>
                <w:color w:val="000000"/>
                <w:sz w:val="18"/>
                <w:szCs w:val="18"/>
              </w:rPr>
            </w:pPr>
          </w:p>
        </w:tc>
        <w:tc>
          <w:tcPr>
            <w:tcW w:w="630" w:type="dxa"/>
            <w:tcBorders>
              <w:bottom w:val="single" w:sz="4" w:space="0" w:color="auto"/>
            </w:tcBorders>
          </w:tcPr>
          <w:p w14:paraId="67D505FC" w14:textId="3407959A" w:rsidR="00A22E4D" w:rsidRPr="005D516A" w:rsidRDefault="008C5F37" w:rsidP="00DF29AB">
            <w:pPr>
              <w:spacing w:after="0"/>
              <w:jc w:val="left"/>
              <w:rPr>
                <w:color w:val="000000"/>
                <w:sz w:val="18"/>
                <w:szCs w:val="18"/>
              </w:rPr>
            </w:pPr>
            <w:r w:rsidRPr="005D516A">
              <w:rPr>
                <w:color w:val="000000"/>
                <w:sz w:val="18"/>
                <w:szCs w:val="18"/>
              </w:rPr>
              <w:t>X</w:t>
            </w:r>
          </w:p>
        </w:tc>
      </w:tr>
    </w:tbl>
    <w:p w14:paraId="0939B58D" w14:textId="77777777" w:rsidR="00A22E4D" w:rsidRPr="0003763F" w:rsidRDefault="00A22E4D" w:rsidP="00A22E4D">
      <w:pPr>
        <w:pStyle w:val="ListParagraph"/>
        <w:spacing w:after="60"/>
        <w:rPr>
          <w:rFonts w:ascii="Calibri" w:hAnsi="Calibri"/>
          <w:sz w:val="20"/>
          <w:szCs w:val="20"/>
        </w:rPr>
      </w:pPr>
    </w:p>
    <w:p w14:paraId="5FE513FA" w14:textId="77777777" w:rsidR="008C5F37" w:rsidRDefault="008C5F37" w:rsidP="00A22E4D">
      <w:pPr>
        <w:rPr>
          <w:szCs w:val="22"/>
        </w:rPr>
        <w:sectPr w:rsidR="008C5F37" w:rsidSect="001B20F4">
          <w:footerReference w:type="even" r:id="rId33"/>
          <w:footerReference w:type="default" r:id="rId34"/>
          <w:pgSz w:w="12240" w:h="15840" w:code="1"/>
          <w:pgMar w:top="720" w:right="720" w:bottom="720" w:left="720" w:header="720" w:footer="720" w:gutter="0"/>
          <w:cols w:space="720"/>
          <w:docGrid w:linePitch="360"/>
        </w:sectPr>
      </w:pPr>
    </w:p>
    <w:p w14:paraId="31895F19" w14:textId="1381AF8E" w:rsidR="008C5F37" w:rsidRDefault="008C5F37" w:rsidP="001B20F4">
      <w:pPr>
        <w:spacing w:after="0"/>
        <w:jc w:val="right"/>
        <w:rPr>
          <w:rFonts w:asciiTheme="majorHAnsi" w:hAnsiTheme="majorHAnsi" w:cs="Segoe UI"/>
          <w:b/>
          <w:color w:val="000000"/>
          <w:sz w:val="20"/>
          <w:szCs w:val="20"/>
        </w:rPr>
      </w:pPr>
      <w:r>
        <w:rPr>
          <w:rFonts w:asciiTheme="majorHAnsi" w:hAnsiTheme="majorHAnsi" w:cs="Segoe UI"/>
          <w:b/>
          <w:color w:val="000000"/>
          <w:sz w:val="20"/>
          <w:szCs w:val="20"/>
        </w:rPr>
        <w:t>Annex 8</w:t>
      </w:r>
    </w:p>
    <w:p w14:paraId="7E11FF72" w14:textId="77777777" w:rsidR="008C5F37" w:rsidRDefault="008C5F37" w:rsidP="001B20F4">
      <w:pPr>
        <w:spacing w:after="0"/>
        <w:jc w:val="center"/>
        <w:rPr>
          <w:rFonts w:asciiTheme="majorHAnsi" w:hAnsiTheme="majorHAnsi" w:cs="Segoe UI"/>
          <w:b/>
          <w:color w:val="000000"/>
          <w:sz w:val="20"/>
          <w:szCs w:val="20"/>
        </w:rPr>
      </w:pPr>
    </w:p>
    <w:p w14:paraId="723C3F73" w14:textId="77777777" w:rsidR="008C5F37" w:rsidRPr="005722A6" w:rsidRDefault="008C5F37" w:rsidP="001B20F4">
      <w:pPr>
        <w:spacing w:after="0"/>
        <w:jc w:val="center"/>
        <w:rPr>
          <w:rFonts w:asciiTheme="majorHAnsi" w:hAnsiTheme="majorHAnsi" w:cs="Segoe UI"/>
          <w:b/>
          <w:color w:val="000000"/>
          <w:sz w:val="20"/>
          <w:szCs w:val="20"/>
        </w:rPr>
      </w:pPr>
      <w:r w:rsidRPr="005722A6">
        <w:rPr>
          <w:rFonts w:asciiTheme="majorHAnsi" w:hAnsiTheme="majorHAnsi" w:cs="Segoe UI"/>
          <w:b/>
          <w:color w:val="000000"/>
          <w:sz w:val="20"/>
          <w:szCs w:val="20"/>
        </w:rPr>
        <w:t>Grievance Redressal Procedures</w:t>
      </w:r>
    </w:p>
    <w:p w14:paraId="0C5B129F" w14:textId="77777777" w:rsidR="008C5F37" w:rsidRPr="005722A6" w:rsidRDefault="008C5F37" w:rsidP="008C5F37">
      <w:pPr>
        <w:spacing w:after="0"/>
        <w:jc w:val="left"/>
        <w:rPr>
          <w:rFonts w:asciiTheme="majorHAnsi" w:hAnsiTheme="majorHAnsi" w:cs="Segoe UI"/>
          <w:color w:val="000000"/>
          <w:sz w:val="20"/>
          <w:szCs w:val="20"/>
        </w:rPr>
      </w:pPr>
    </w:p>
    <w:p w14:paraId="1CE60A59" w14:textId="21F86B74" w:rsidR="008C5F37" w:rsidRPr="00FB46EB" w:rsidRDefault="008C5F37" w:rsidP="008C5F37">
      <w:pPr>
        <w:pStyle w:val="ListParagraph"/>
        <w:ind w:left="0"/>
        <w:jc w:val="both"/>
        <w:rPr>
          <w:rFonts w:asciiTheme="majorHAnsi" w:hAnsiTheme="majorHAnsi" w:cs="Calibri"/>
          <w:sz w:val="20"/>
          <w:szCs w:val="20"/>
        </w:rPr>
      </w:pPr>
      <w:r w:rsidRPr="00FB46EB">
        <w:rPr>
          <w:rFonts w:asciiTheme="majorHAnsi" w:hAnsiTheme="majorHAnsi" w:cs="Calibri"/>
          <w:sz w:val="20"/>
          <w:szCs w:val="20"/>
        </w:rPr>
        <w:t xml:space="preserve">In line with UNDP standard procedures, the Project will set up and manage a grievance redress mechanism (GRM) as recommended by UNDP (2014) that would address the grievances of various stakeholders of the project. The GRM will be managed and regularly monitored at SMUs/PMU level. GRS strategy will have following key components: </w:t>
      </w:r>
      <w:r>
        <w:rPr>
          <w:rFonts w:asciiTheme="majorHAnsi" w:hAnsiTheme="majorHAnsi" w:cs="Calibri"/>
          <w:sz w:val="20"/>
          <w:szCs w:val="20"/>
        </w:rPr>
        <w:t xml:space="preserve">(i) multiple locations and channels from grassroots level up to State and National levels; (ii) process of informing and registering grievances at various levels; (iii) </w:t>
      </w:r>
      <w:r w:rsidR="006129D8">
        <w:rPr>
          <w:rFonts w:asciiTheme="majorHAnsi" w:hAnsiTheme="majorHAnsi" w:cs="Calibri"/>
          <w:sz w:val="20"/>
          <w:szCs w:val="20"/>
        </w:rPr>
        <w:t xml:space="preserve">complaint </w:t>
      </w:r>
      <w:r>
        <w:rPr>
          <w:rFonts w:asciiTheme="majorHAnsi" w:hAnsiTheme="majorHAnsi" w:cs="Calibri"/>
          <w:sz w:val="20"/>
          <w:szCs w:val="20"/>
        </w:rPr>
        <w:t>resolution system; (iv) repository of grievances and solutions and sharing it on the project website; (v) system for giving feedback on compliance of grievances; and (vi) monitoring an</w:t>
      </w:r>
      <w:r w:rsidR="006129D8">
        <w:rPr>
          <w:rFonts w:asciiTheme="majorHAnsi" w:hAnsiTheme="majorHAnsi" w:cs="Calibri"/>
          <w:sz w:val="20"/>
          <w:szCs w:val="20"/>
        </w:rPr>
        <w:t>d</w:t>
      </w:r>
      <w:r>
        <w:rPr>
          <w:rFonts w:asciiTheme="majorHAnsi" w:hAnsiTheme="majorHAnsi" w:cs="Calibri"/>
          <w:sz w:val="20"/>
          <w:szCs w:val="20"/>
        </w:rPr>
        <w:t xml:space="preserve"> evaluation. </w:t>
      </w:r>
    </w:p>
    <w:p w14:paraId="4027AEBB" w14:textId="77777777" w:rsidR="008C5F37" w:rsidRPr="002F6486" w:rsidRDefault="008C5F37" w:rsidP="008C5F37">
      <w:pPr>
        <w:pStyle w:val="ListParagraph"/>
        <w:ind w:left="0"/>
        <w:jc w:val="both"/>
        <w:rPr>
          <w:rFonts w:asciiTheme="majorHAnsi" w:hAnsiTheme="majorHAnsi" w:cs="Calibri"/>
          <w:sz w:val="20"/>
          <w:szCs w:val="20"/>
        </w:rPr>
      </w:pPr>
      <w:r w:rsidRPr="002F6486">
        <w:rPr>
          <w:rFonts w:asciiTheme="majorHAnsi" w:hAnsiTheme="majorHAnsi" w:cs="Calibri"/>
          <w:sz w:val="20"/>
          <w:szCs w:val="20"/>
        </w:rPr>
        <w:t xml:space="preserve"> </w:t>
      </w:r>
    </w:p>
    <w:p w14:paraId="4D6710D4" w14:textId="0B6E4FCF" w:rsidR="008C5F37" w:rsidRPr="005722A6" w:rsidRDefault="008C5F37" w:rsidP="008C5F37">
      <w:pPr>
        <w:rPr>
          <w:rFonts w:asciiTheme="majorHAnsi" w:hAnsiTheme="majorHAnsi" w:cs="Calibri"/>
          <w:b/>
          <w:sz w:val="20"/>
          <w:szCs w:val="20"/>
        </w:rPr>
      </w:pPr>
      <w:r w:rsidRPr="005722A6">
        <w:rPr>
          <w:rFonts w:asciiTheme="majorHAnsi" w:hAnsiTheme="majorHAnsi" w:cs="Calibri"/>
          <w:i/>
          <w:sz w:val="20"/>
          <w:szCs w:val="20"/>
        </w:rPr>
        <w:t>Multiple locations and channels from grassroots level up to the State and National Level</w:t>
      </w:r>
      <w:r w:rsidRPr="005722A6">
        <w:rPr>
          <w:rFonts w:asciiTheme="majorHAnsi" w:hAnsiTheme="majorHAnsi" w:cs="Calibri"/>
          <w:b/>
          <w:i/>
          <w:sz w:val="20"/>
          <w:szCs w:val="20"/>
        </w:rPr>
        <w:t>:</w:t>
      </w:r>
      <w:r w:rsidRPr="005722A6">
        <w:rPr>
          <w:rFonts w:asciiTheme="majorHAnsi" w:hAnsiTheme="majorHAnsi" w:cs="Calibri"/>
          <w:sz w:val="20"/>
          <w:szCs w:val="20"/>
        </w:rPr>
        <w:t xml:space="preserve"> A simplified system of informing about the grievance redress system and also actual management of grievances will be developed under the project before the Inception Workshop. Multiple ways (manual as well as virtual) of submitting complaints or suggestions at various levels will be provisioned. Grievances and suggestions will reach the </w:t>
      </w:r>
      <w:r w:rsidR="006129D8">
        <w:rPr>
          <w:rFonts w:asciiTheme="majorHAnsi" w:hAnsiTheme="majorHAnsi" w:cs="Calibri"/>
          <w:sz w:val="20"/>
          <w:szCs w:val="20"/>
        </w:rPr>
        <w:t>Project Board</w:t>
      </w:r>
      <w:r w:rsidRPr="005722A6">
        <w:rPr>
          <w:rFonts w:asciiTheme="majorHAnsi" w:hAnsiTheme="majorHAnsi" w:cs="Calibri"/>
          <w:sz w:val="20"/>
          <w:szCs w:val="20"/>
        </w:rPr>
        <w:t xml:space="preserve"> in person, via mail, email, via special page of the Project web-site, and phone. These channels will be locally-appropriate, widely accessible and publicized in written and verbal forms on all project communication materials, and in public locations in the project areas</w:t>
      </w:r>
      <w:r w:rsidR="00194AA1">
        <w:rPr>
          <w:rFonts w:asciiTheme="majorHAnsi" w:hAnsiTheme="majorHAnsi" w:cs="Calibri"/>
          <w:sz w:val="20"/>
          <w:szCs w:val="20"/>
        </w:rPr>
        <w:t xml:space="preserve">. </w:t>
      </w:r>
      <w:r w:rsidRPr="005722A6">
        <w:rPr>
          <w:rFonts w:asciiTheme="majorHAnsi" w:hAnsiTheme="majorHAnsi" w:cs="Calibri"/>
          <w:sz w:val="20"/>
          <w:szCs w:val="20"/>
        </w:rPr>
        <w:t xml:space="preserve">In particular, one or both of the NGO representatives on the </w:t>
      </w:r>
      <w:r w:rsidR="006129D8">
        <w:rPr>
          <w:rFonts w:asciiTheme="majorHAnsi" w:hAnsiTheme="majorHAnsi" w:cs="Calibri"/>
          <w:sz w:val="20"/>
          <w:szCs w:val="20"/>
        </w:rPr>
        <w:t>LCB</w:t>
      </w:r>
      <w:r w:rsidRPr="005722A6">
        <w:rPr>
          <w:rFonts w:asciiTheme="majorHAnsi" w:hAnsiTheme="majorHAnsi" w:cs="Calibri"/>
          <w:sz w:val="20"/>
          <w:szCs w:val="20"/>
        </w:rPr>
        <w:t xml:space="preserve"> will be tasked as being the impartial and objective conduit of grievances among the 4 sectors (National, State, Private, and Nonprofit)</w:t>
      </w:r>
      <w:r w:rsidR="006129D8">
        <w:rPr>
          <w:rFonts w:asciiTheme="majorHAnsi" w:hAnsiTheme="majorHAnsi" w:cs="Calibri"/>
          <w:sz w:val="20"/>
          <w:szCs w:val="20"/>
        </w:rPr>
        <w:t>. Palau’s Gender Division may also facilitate in issues regarding women or vulnerable peoples</w:t>
      </w:r>
      <w:r w:rsidR="006129D8" w:rsidRPr="005722A6">
        <w:rPr>
          <w:rFonts w:asciiTheme="majorHAnsi" w:hAnsiTheme="majorHAnsi" w:cs="Calibri"/>
          <w:sz w:val="20"/>
          <w:szCs w:val="20"/>
        </w:rPr>
        <w:t>.</w:t>
      </w:r>
      <w:r w:rsidRPr="005722A6">
        <w:rPr>
          <w:rFonts w:asciiTheme="majorHAnsi" w:hAnsiTheme="majorHAnsi" w:cs="Calibri"/>
          <w:sz w:val="20"/>
          <w:szCs w:val="20"/>
        </w:rPr>
        <w:t xml:space="preserve"> At no time will the party with the grievance be forced to take a stand in public, but rather will use traditionally-appropriate methods to convey messages (e.g. through women’s group or men’s group).</w:t>
      </w:r>
    </w:p>
    <w:p w14:paraId="05FD6724" w14:textId="77777777" w:rsidR="008C5F37" w:rsidRPr="00FB46EB" w:rsidRDefault="008C5F37" w:rsidP="008C5F37">
      <w:pPr>
        <w:pStyle w:val="ListParagraph"/>
        <w:jc w:val="both"/>
        <w:rPr>
          <w:rFonts w:asciiTheme="majorHAnsi" w:hAnsiTheme="majorHAnsi" w:cs="Calibri"/>
          <w:sz w:val="20"/>
          <w:szCs w:val="20"/>
        </w:rPr>
      </w:pPr>
    </w:p>
    <w:p w14:paraId="656A868D" w14:textId="7F33D575" w:rsidR="008C5F37" w:rsidRPr="005722A6" w:rsidRDefault="008C5F37" w:rsidP="008C5F37">
      <w:pPr>
        <w:spacing w:after="0"/>
        <w:rPr>
          <w:rFonts w:asciiTheme="majorHAnsi" w:hAnsiTheme="majorHAnsi" w:cs="Calibri"/>
          <w:sz w:val="20"/>
          <w:szCs w:val="20"/>
        </w:rPr>
      </w:pPr>
      <w:r w:rsidRPr="005722A6">
        <w:rPr>
          <w:rFonts w:asciiTheme="majorHAnsi" w:hAnsiTheme="majorHAnsi" w:cs="Calibri"/>
          <w:sz w:val="20"/>
          <w:szCs w:val="20"/>
        </w:rPr>
        <w:t xml:space="preserve">Since the project will be dealing with local community members, small entrepreneurs, and producers of non-farm products and services at the state level, they will be facilitated to communicate their problems through their collectives like CBOs and NGOs, who will be linked to the NGO members of the </w:t>
      </w:r>
      <w:r w:rsidR="006129D8">
        <w:rPr>
          <w:rFonts w:asciiTheme="majorHAnsi" w:hAnsiTheme="majorHAnsi" w:cs="Calibri"/>
          <w:sz w:val="20"/>
          <w:szCs w:val="20"/>
        </w:rPr>
        <w:t>JCB</w:t>
      </w:r>
      <w:r w:rsidRPr="005722A6">
        <w:rPr>
          <w:rFonts w:asciiTheme="majorHAnsi" w:hAnsiTheme="majorHAnsi" w:cs="Calibri"/>
          <w:sz w:val="20"/>
          <w:szCs w:val="20"/>
        </w:rPr>
        <w:t xml:space="preserve">. They will also be able to communicate directly to the </w:t>
      </w:r>
      <w:r w:rsidR="006129D8">
        <w:rPr>
          <w:rFonts w:asciiTheme="majorHAnsi" w:hAnsiTheme="majorHAnsi" w:cs="Calibri"/>
          <w:sz w:val="20"/>
          <w:szCs w:val="20"/>
        </w:rPr>
        <w:t xml:space="preserve">State Planning Teams and JCB </w:t>
      </w:r>
      <w:r w:rsidRPr="005722A6">
        <w:rPr>
          <w:rFonts w:asciiTheme="majorHAnsi" w:hAnsiTheme="majorHAnsi" w:cs="Calibri"/>
          <w:sz w:val="20"/>
          <w:szCs w:val="20"/>
        </w:rPr>
        <w:t xml:space="preserve">. These teams will be responsible for the functioning as an interface for the grievance redress mechanism. </w:t>
      </w:r>
    </w:p>
    <w:p w14:paraId="42B8AB16" w14:textId="77777777" w:rsidR="008C5F37" w:rsidRPr="005722A6" w:rsidRDefault="008C5F37" w:rsidP="008C5F37">
      <w:pPr>
        <w:spacing w:after="0"/>
        <w:rPr>
          <w:rFonts w:asciiTheme="majorHAnsi" w:hAnsiTheme="majorHAnsi" w:cs="Calibri"/>
          <w:sz w:val="20"/>
          <w:szCs w:val="20"/>
        </w:rPr>
      </w:pPr>
    </w:p>
    <w:p w14:paraId="418838FE" w14:textId="0968453B" w:rsidR="008C5F37" w:rsidRPr="005722A6" w:rsidRDefault="008C5F37" w:rsidP="008C5F37">
      <w:pPr>
        <w:spacing w:after="0"/>
        <w:rPr>
          <w:rFonts w:asciiTheme="majorHAnsi" w:hAnsiTheme="majorHAnsi" w:cs="Calibri"/>
          <w:b/>
          <w:sz w:val="20"/>
          <w:szCs w:val="20"/>
        </w:rPr>
      </w:pPr>
      <w:r w:rsidRPr="005722A6">
        <w:rPr>
          <w:rFonts w:asciiTheme="majorHAnsi" w:hAnsiTheme="majorHAnsi" w:cs="Calibri"/>
          <w:i/>
          <w:sz w:val="20"/>
          <w:szCs w:val="20"/>
        </w:rPr>
        <w:t>Process of informing and registering grievances at various levels:</w:t>
      </w:r>
      <w:r w:rsidRPr="005722A6">
        <w:rPr>
          <w:rFonts w:asciiTheme="majorHAnsi" w:hAnsiTheme="majorHAnsi" w:cs="Calibri"/>
          <w:b/>
          <w:sz w:val="20"/>
          <w:szCs w:val="20"/>
        </w:rPr>
        <w:t xml:space="preserve"> </w:t>
      </w:r>
      <w:r w:rsidRPr="005722A6">
        <w:rPr>
          <w:rFonts w:asciiTheme="majorHAnsi" w:hAnsiTheme="majorHAnsi" w:cs="Calibri"/>
          <w:sz w:val="20"/>
          <w:szCs w:val="20"/>
        </w:rPr>
        <w:t xml:space="preserve">All the grievances whether received through </w:t>
      </w:r>
      <w:r w:rsidR="006129D8">
        <w:rPr>
          <w:rFonts w:asciiTheme="majorHAnsi" w:hAnsiTheme="majorHAnsi" w:cs="Calibri"/>
          <w:sz w:val="20"/>
          <w:szCs w:val="20"/>
        </w:rPr>
        <w:t>JCB</w:t>
      </w:r>
      <w:r w:rsidRPr="005722A6">
        <w:rPr>
          <w:rFonts w:asciiTheme="majorHAnsi" w:hAnsiTheme="majorHAnsi" w:cs="Calibri"/>
          <w:sz w:val="20"/>
          <w:szCs w:val="20"/>
        </w:rPr>
        <w:t xml:space="preserve"> or other teams will be recorded by MNRET. The complaint will be assigned a unique tracking number upon its submission. MNRET will maintain a digital database with full information on all submitted complaints, responses taken and solutions of the problems. </w:t>
      </w:r>
    </w:p>
    <w:p w14:paraId="21FF457D" w14:textId="77777777" w:rsidR="008C5F37" w:rsidRPr="005722A6" w:rsidRDefault="008C5F37" w:rsidP="008C5F37">
      <w:pPr>
        <w:spacing w:after="0"/>
        <w:rPr>
          <w:rFonts w:asciiTheme="majorHAnsi" w:hAnsiTheme="majorHAnsi" w:cs="Calibri"/>
          <w:b/>
          <w:sz w:val="20"/>
          <w:szCs w:val="20"/>
        </w:rPr>
      </w:pPr>
    </w:p>
    <w:p w14:paraId="59197E63" w14:textId="77777777" w:rsidR="008C5F37" w:rsidRPr="005722A6" w:rsidRDefault="008C5F37" w:rsidP="008C5F37">
      <w:pPr>
        <w:spacing w:after="0"/>
        <w:rPr>
          <w:rFonts w:asciiTheme="majorHAnsi" w:hAnsiTheme="majorHAnsi" w:cs="Calibri"/>
          <w:b/>
          <w:sz w:val="20"/>
          <w:szCs w:val="20"/>
        </w:rPr>
      </w:pPr>
      <w:r w:rsidRPr="005722A6">
        <w:rPr>
          <w:rFonts w:asciiTheme="majorHAnsi" w:hAnsiTheme="majorHAnsi" w:cs="Calibri"/>
          <w:i/>
          <w:sz w:val="20"/>
          <w:szCs w:val="20"/>
        </w:rPr>
        <w:t>Complaint Resolution System:</w:t>
      </w:r>
      <w:r w:rsidRPr="005722A6">
        <w:rPr>
          <w:rFonts w:asciiTheme="majorHAnsi" w:hAnsiTheme="majorHAnsi" w:cs="Calibri"/>
          <w:b/>
          <w:sz w:val="20"/>
          <w:szCs w:val="20"/>
        </w:rPr>
        <w:t xml:space="preserve"> </w:t>
      </w:r>
      <w:r w:rsidRPr="005722A6">
        <w:rPr>
          <w:rFonts w:asciiTheme="majorHAnsi" w:hAnsiTheme="majorHAnsi" w:cs="Calibri"/>
          <w:sz w:val="20"/>
          <w:szCs w:val="20"/>
        </w:rPr>
        <w:t>A clear system of complaint resolution will be developed to ensure timely resolution of grievances of the stakeholders.</w:t>
      </w:r>
      <w:r w:rsidRPr="005722A6">
        <w:rPr>
          <w:rFonts w:asciiTheme="majorHAnsi" w:hAnsiTheme="majorHAnsi" w:cs="Calibri"/>
          <w:b/>
          <w:sz w:val="20"/>
          <w:szCs w:val="20"/>
        </w:rPr>
        <w:t xml:space="preserve"> </w:t>
      </w:r>
      <w:r w:rsidRPr="005722A6">
        <w:rPr>
          <w:rFonts w:asciiTheme="majorHAnsi" w:hAnsiTheme="majorHAnsi" w:cs="Calibri"/>
          <w:sz w:val="20"/>
          <w:szCs w:val="20"/>
        </w:rPr>
        <w:t>The grievances of the stakeholders will be of different types therefore the grievance will be classified into three types -</w:t>
      </w:r>
      <w:r w:rsidRPr="005722A6">
        <w:rPr>
          <w:rFonts w:asciiTheme="majorHAnsi" w:hAnsiTheme="majorHAnsi" w:cs="Calibri"/>
          <w:b/>
          <w:sz w:val="20"/>
          <w:szCs w:val="20"/>
        </w:rPr>
        <w:t xml:space="preserve">  </w:t>
      </w:r>
    </w:p>
    <w:p w14:paraId="42127BB9" w14:textId="77777777" w:rsidR="008C5F37" w:rsidRPr="005722A6" w:rsidRDefault="008C5F37" w:rsidP="00B02352">
      <w:pPr>
        <w:pStyle w:val="ListParagraph"/>
        <w:numPr>
          <w:ilvl w:val="0"/>
          <w:numId w:val="17"/>
        </w:numPr>
        <w:rPr>
          <w:rFonts w:asciiTheme="majorHAnsi" w:hAnsiTheme="majorHAnsi" w:cs="Calibri"/>
          <w:sz w:val="20"/>
          <w:szCs w:val="20"/>
        </w:rPr>
      </w:pPr>
      <w:r w:rsidRPr="005722A6">
        <w:rPr>
          <w:rFonts w:asciiTheme="majorHAnsi" w:hAnsiTheme="majorHAnsi" w:cs="Calibri"/>
          <w:sz w:val="20"/>
          <w:szCs w:val="20"/>
        </w:rPr>
        <w:t xml:space="preserve">Local level problems related to compensation/payments etc. (Landscape/Seascape level) </w:t>
      </w:r>
    </w:p>
    <w:p w14:paraId="5A21474A" w14:textId="77777777" w:rsidR="008C5F37" w:rsidRPr="005722A6" w:rsidRDefault="008C5F37" w:rsidP="00B02352">
      <w:pPr>
        <w:pStyle w:val="ListParagraph"/>
        <w:numPr>
          <w:ilvl w:val="0"/>
          <w:numId w:val="17"/>
        </w:numPr>
        <w:rPr>
          <w:rFonts w:asciiTheme="majorHAnsi" w:hAnsiTheme="majorHAnsi" w:cs="Calibri"/>
          <w:sz w:val="20"/>
          <w:szCs w:val="20"/>
        </w:rPr>
      </w:pPr>
      <w:r w:rsidRPr="005722A6">
        <w:rPr>
          <w:rFonts w:asciiTheme="majorHAnsi" w:hAnsiTheme="majorHAnsi" w:cs="Calibri"/>
          <w:sz w:val="20"/>
          <w:szCs w:val="20"/>
        </w:rPr>
        <w:t xml:space="preserve">Project implementation related problems (State government level) </w:t>
      </w:r>
    </w:p>
    <w:p w14:paraId="49B8CEFA" w14:textId="77777777" w:rsidR="008C5F37" w:rsidRPr="005722A6" w:rsidRDefault="008C5F37" w:rsidP="00B02352">
      <w:pPr>
        <w:pStyle w:val="ListParagraph"/>
        <w:numPr>
          <w:ilvl w:val="0"/>
          <w:numId w:val="17"/>
        </w:numPr>
        <w:rPr>
          <w:rFonts w:asciiTheme="majorHAnsi" w:hAnsiTheme="majorHAnsi" w:cs="Calibri"/>
          <w:sz w:val="20"/>
          <w:szCs w:val="20"/>
        </w:rPr>
      </w:pPr>
      <w:r w:rsidRPr="005722A6">
        <w:rPr>
          <w:rFonts w:asciiTheme="majorHAnsi" w:hAnsiTheme="majorHAnsi" w:cs="Calibri"/>
          <w:sz w:val="20"/>
          <w:szCs w:val="20"/>
        </w:rPr>
        <w:t xml:space="preserve">Grievances / Problems that require policy decisions/ decisions (National Steering Committee)  </w:t>
      </w:r>
    </w:p>
    <w:p w14:paraId="51E938A4" w14:textId="77777777" w:rsidR="008C5F37" w:rsidRPr="005722A6" w:rsidRDefault="008C5F37" w:rsidP="008C5F37">
      <w:pPr>
        <w:spacing w:after="0"/>
        <w:rPr>
          <w:rFonts w:asciiTheme="majorHAnsi" w:hAnsiTheme="majorHAnsi" w:cs="Calibri"/>
          <w:sz w:val="20"/>
          <w:szCs w:val="20"/>
        </w:rPr>
      </w:pPr>
    </w:p>
    <w:p w14:paraId="7B2ED406" w14:textId="33C0E043" w:rsidR="008C5F37" w:rsidRPr="005722A6" w:rsidRDefault="008C5F37" w:rsidP="008C5F37">
      <w:pPr>
        <w:spacing w:after="0"/>
        <w:rPr>
          <w:rFonts w:asciiTheme="majorHAnsi" w:hAnsiTheme="majorHAnsi" w:cs="Calibri"/>
          <w:sz w:val="20"/>
          <w:szCs w:val="20"/>
        </w:rPr>
      </w:pPr>
      <w:r w:rsidRPr="005722A6">
        <w:rPr>
          <w:rFonts w:asciiTheme="majorHAnsi" w:hAnsiTheme="majorHAnsi" w:cs="Calibri"/>
          <w:sz w:val="20"/>
          <w:szCs w:val="20"/>
        </w:rPr>
        <w:t xml:space="preserve">State </w:t>
      </w:r>
      <w:r w:rsidR="006129D8">
        <w:rPr>
          <w:rFonts w:asciiTheme="majorHAnsi" w:hAnsiTheme="majorHAnsi" w:cs="Calibri"/>
          <w:sz w:val="20"/>
          <w:szCs w:val="20"/>
        </w:rPr>
        <w:t xml:space="preserve">Planning Teams </w:t>
      </w:r>
      <w:r w:rsidRPr="005722A6">
        <w:rPr>
          <w:rFonts w:asciiTheme="majorHAnsi" w:hAnsiTheme="majorHAnsi" w:cs="Calibri"/>
          <w:sz w:val="20"/>
          <w:szCs w:val="20"/>
        </w:rPr>
        <w:t xml:space="preserve">will follow nationally developed clear and strict grievance redress procedures, and assign responsibilities. Difficult situations and conflicts will be brought to the attention of </w:t>
      </w:r>
      <w:r w:rsidR="006129D8">
        <w:rPr>
          <w:rFonts w:asciiTheme="majorHAnsi" w:hAnsiTheme="majorHAnsi" w:cs="Calibri"/>
          <w:sz w:val="20"/>
          <w:szCs w:val="20"/>
        </w:rPr>
        <w:t>JCB</w:t>
      </w:r>
      <w:r w:rsidRPr="005722A6">
        <w:rPr>
          <w:rFonts w:asciiTheme="majorHAnsi" w:hAnsiTheme="majorHAnsi" w:cs="Calibri"/>
          <w:sz w:val="20"/>
          <w:szCs w:val="20"/>
        </w:rPr>
        <w:t xml:space="preserve"> and UNDP CO if the State Government is unable to find appropriate solution. </w:t>
      </w:r>
    </w:p>
    <w:p w14:paraId="4E88F253" w14:textId="77777777" w:rsidR="008C5F37" w:rsidRPr="005722A6" w:rsidRDefault="008C5F37" w:rsidP="008C5F37">
      <w:pPr>
        <w:spacing w:after="0"/>
        <w:rPr>
          <w:rFonts w:asciiTheme="majorHAnsi" w:hAnsiTheme="majorHAnsi" w:cs="Calibri"/>
          <w:sz w:val="20"/>
          <w:szCs w:val="20"/>
        </w:rPr>
      </w:pPr>
    </w:p>
    <w:p w14:paraId="76C535A3" w14:textId="485910D9" w:rsidR="008C5F37" w:rsidRPr="005722A6" w:rsidRDefault="008C5F37" w:rsidP="008C5F37">
      <w:pPr>
        <w:spacing w:after="0"/>
        <w:rPr>
          <w:rFonts w:asciiTheme="majorHAnsi" w:hAnsiTheme="majorHAnsi" w:cs="Calibri"/>
          <w:b/>
          <w:sz w:val="20"/>
          <w:szCs w:val="20"/>
        </w:rPr>
      </w:pPr>
      <w:r w:rsidRPr="005722A6">
        <w:rPr>
          <w:rFonts w:asciiTheme="majorHAnsi" w:hAnsiTheme="majorHAnsi" w:cs="Calibri"/>
          <w:i/>
          <w:sz w:val="20"/>
          <w:szCs w:val="20"/>
        </w:rPr>
        <w:t>Repository of grievances and solutions and sharing it on the project website:</w:t>
      </w:r>
      <w:r w:rsidRPr="005722A6">
        <w:rPr>
          <w:rFonts w:asciiTheme="majorHAnsi" w:hAnsiTheme="majorHAnsi" w:cs="Calibri"/>
          <w:b/>
          <w:sz w:val="20"/>
          <w:szCs w:val="20"/>
        </w:rPr>
        <w:t xml:space="preserve"> </w:t>
      </w:r>
      <w:r w:rsidRPr="005722A6">
        <w:rPr>
          <w:rFonts w:asciiTheme="majorHAnsi" w:hAnsiTheme="majorHAnsi" w:cs="Calibri"/>
          <w:sz w:val="20"/>
          <w:szCs w:val="20"/>
        </w:rPr>
        <w:t xml:space="preserve">A repository of all the grievances received from the different stakeholders will be maintained at the </w:t>
      </w:r>
      <w:r w:rsidR="006129D8">
        <w:rPr>
          <w:rFonts w:asciiTheme="majorHAnsi" w:hAnsiTheme="majorHAnsi" w:cs="Calibri"/>
          <w:sz w:val="20"/>
          <w:szCs w:val="20"/>
        </w:rPr>
        <w:t xml:space="preserve">MNRET and managed by the PMU </w:t>
      </w:r>
      <w:r w:rsidRPr="005722A6">
        <w:rPr>
          <w:rFonts w:asciiTheme="majorHAnsi" w:hAnsiTheme="majorHAnsi" w:cs="Calibri"/>
          <w:sz w:val="20"/>
          <w:szCs w:val="20"/>
        </w:rPr>
        <w:t>for monitoring and evaluation purposes and also for learning</w:t>
      </w:r>
      <w:r w:rsidR="00194AA1">
        <w:rPr>
          <w:rFonts w:asciiTheme="majorHAnsi" w:hAnsiTheme="majorHAnsi" w:cs="Calibri"/>
          <w:sz w:val="20"/>
          <w:szCs w:val="20"/>
        </w:rPr>
        <w:t xml:space="preserve">. </w:t>
      </w:r>
      <w:r w:rsidRPr="005722A6">
        <w:rPr>
          <w:rFonts w:asciiTheme="majorHAnsi" w:hAnsiTheme="majorHAnsi" w:cs="Calibri"/>
          <w:sz w:val="20"/>
          <w:szCs w:val="20"/>
        </w:rPr>
        <w:t xml:space="preserve">General information on grievances and their solutions will be shared through the project website so that each state will be able to learn from the other. This aspect will be facilitated through Outcome 4 relating to communication and knowledge sharing. Further, this information will be used to assess trends and patterns of grievances across the project landscapes and for monitoring and evaluation purposes. </w:t>
      </w:r>
    </w:p>
    <w:p w14:paraId="06A7A61B" w14:textId="77777777" w:rsidR="008C5F37" w:rsidRPr="005722A6" w:rsidRDefault="008C5F37" w:rsidP="008C5F37">
      <w:pPr>
        <w:spacing w:after="0"/>
        <w:rPr>
          <w:rFonts w:asciiTheme="majorHAnsi" w:hAnsiTheme="majorHAnsi" w:cs="Calibri"/>
          <w:b/>
          <w:sz w:val="20"/>
          <w:szCs w:val="20"/>
        </w:rPr>
      </w:pPr>
    </w:p>
    <w:p w14:paraId="689BFEE5" w14:textId="2E6B369F" w:rsidR="008C5F37" w:rsidRPr="005722A6" w:rsidRDefault="008C5F37" w:rsidP="008C5F37">
      <w:pPr>
        <w:spacing w:after="0"/>
        <w:rPr>
          <w:rFonts w:asciiTheme="majorHAnsi" w:hAnsiTheme="majorHAnsi" w:cs="Calibri"/>
          <w:b/>
          <w:sz w:val="20"/>
          <w:szCs w:val="20"/>
        </w:rPr>
      </w:pPr>
      <w:r w:rsidRPr="005722A6">
        <w:rPr>
          <w:rFonts w:asciiTheme="majorHAnsi" w:hAnsiTheme="majorHAnsi" w:cs="Calibri"/>
          <w:i/>
          <w:sz w:val="20"/>
          <w:szCs w:val="20"/>
        </w:rPr>
        <w:t>System of giving feedback about the compliance of grievances:</w:t>
      </w:r>
      <w:r w:rsidRPr="005722A6">
        <w:rPr>
          <w:rFonts w:asciiTheme="majorHAnsi" w:hAnsiTheme="majorHAnsi" w:cs="Calibri"/>
          <w:b/>
          <w:i/>
          <w:sz w:val="20"/>
          <w:szCs w:val="20"/>
        </w:rPr>
        <w:t xml:space="preserve"> </w:t>
      </w:r>
      <w:r w:rsidRPr="005722A6">
        <w:rPr>
          <w:rFonts w:asciiTheme="majorHAnsi" w:hAnsiTheme="majorHAnsi" w:cs="Calibri"/>
          <w:sz w:val="20"/>
          <w:szCs w:val="20"/>
        </w:rPr>
        <w:t xml:space="preserve">A system of giving feedback will be developed to give response to all registered grievances. State governments will provide feedback by contacting the complainant directly or their </w:t>
      </w:r>
      <w:r w:rsidR="006129D8">
        <w:rPr>
          <w:rFonts w:asciiTheme="majorHAnsi" w:hAnsiTheme="majorHAnsi" w:cs="Calibri"/>
          <w:sz w:val="20"/>
          <w:szCs w:val="20"/>
        </w:rPr>
        <w:t xml:space="preserve">State Planning Teams </w:t>
      </w:r>
      <w:r w:rsidRPr="005722A6">
        <w:rPr>
          <w:rFonts w:asciiTheme="majorHAnsi" w:hAnsiTheme="majorHAnsi" w:cs="Calibri"/>
          <w:sz w:val="20"/>
          <w:szCs w:val="20"/>
        </w:rPr>
        <w:t xml:space="preserve">so that complainants are aware about the status of their complaint. Once some decisions/actions are taken on the complaint, the complainant will be informed about the same. If complainants are not satisfied with the State response to their grievance, they will be able to appeal </w:t>
      </w:r>
      <w:r w:rsidR="006129D8">
        <w:rPr>
          <w:rFonts w:asciiTheme="majorHAnsi" w:hAnsiTheme="majorHAnsi" w:cs="Calibri"/>
          <w:sz w:val="20"/>
          <w:szCs w:val="20"/>
        </w:rPr>
        <w:t xml:space="preserve">to the JCB </w:t>
      </w:r>
      <w:r w:rsidRPr="005722A6">
        <w:rPr>
          <w:rFonts w:asciiTheme="majorHAnsi" w:hAnsiTheme="majorHAnsi" w:cs="Calibri"/>
          <w:sz w:val="20"/>
          <w:szCs w:val="20"/>
        </w:rPr>
        <w:t xml:space="preserve">UNDP CO via mail, e-mail or the Project website. </w:t>
      </w:r>
    </w:p>
    <w:p w14:paraId="438E9406" w14:textId="77777777" w:rsidR="008C5F37" w:rsidRPr="005722A6" w:rsidRDefault="008C5F37" w:rsidP="008C5F37">
      <w:pPr>
        <w:spacing w:after="0"/>
        <w:rPr>
          <w:rFonts w:asciiTheme="majorHAnsi" w:hAnsiTheme="majorHAnsi" w:cs="Calibri"/>
          <w:b/>
          <w:sz w:val="20"/>
          <w:szCs w:val="20"/>
        </w:rPr>
      </w:pPr>
    </w:p>
    <w:p w14:paraId="4FD1752F" w14:textId="3B2F37BD" w:rsidR="008C5F37" w:rsidRPr="005722A6" w:rsidRDefault="008C5F37" w:rsidP="008C5F37">
      <w:pPr>
        <w:spacing w:after="0"/>
        <w:rPr>
          <w:rFonts w:asciiTheme="majorHAnsi" w:hAnsiTheme="majorHAnsi" w:cs="Calibri"/>
          <w:sz w:val="20"/>
          <w:szCs w:val="20"/>
        </w:rPr>
      </w:pPr>
      <w:r w:rsidRPr="005722A6">
        <w:rPr>
          <w:rFonts w:asciiTheme="majorHAnsi" w:hAnsiTheme="majorHAnsi" w:cs="Calibri"/>
          <w:i/>
          <w:sz w:val="20"/>
          <w:szCs w:val="20"/>
        </w:rPr>
        <w:t>Monitoring and evaluation</w:t>
      </w:r>
      <w:r w:rsidRPr="005722A6">
        <w:rPr>
          <w:rFonts w:asciiTheme="majorHAnsi" w:hAnsiTheme="majorHAnsi" w:cs="Calibri"/>
          <w:b/>
          <w:sz w:val="20"/>
          <w:szCs w:val="20"/>
        </w:rPr>
        <w:t xml:space="preserve">: </w:t>
      </w:r>
      <w:r w:rsidRPr="005722A6">
        <w:rPr>
          <w:rFonts w:asciiTheme="majorHAnsi" w:hAnsiTheme="majorHAnsi" w:cs="Calibri"/>
          <w:sz w:val="20"/>
          <w:szCs w:val="20"/>
        </w:rPr>
        <w:t>The performance of the GRM will be regularly monitored</w:t>
      </w:r>
      <w:r w:rsidR="00194AA1">
        <w:rPr>
          <w:rFonts w:asciiTheme="majorHAnsi" w:hAnsiTheme="majorHAnsi" w:cs="Calibri"/>
          <w:sz w:val="20"/>
          <w:szCs w:val="20"/>
        </w:rPr>
        <w:t xml:space="preserve">. </w:t>
      </w:r>
      <w:r w:rsidRPr="005722A6">
        <w:rPr>
          <w:rFonts w:asciiTheme="majorHAnsi" w:hAnsiTheme="majorHAnsi" w:cs="Calibri"/>
          <w:sz w:val="20"/>
          <w:szCs w:val="20"/>
        </w:rPr>
        <w:t xml:space="preserve">All information about the grievances and their resolution will be recorded and monitored. This data will be used to conduct in-depth analyses of complaint trends and patterns, identify potential weaknesses in the Project implementation, and consider improvements. Environmental and social grievances will be reported to the GEF in the annual PIR. The full SESP screening report is included in </w:t>
      </w:r>
      <w:r w:rsidRPr="005722A6">
        <w:rPr>
          <w:rFonts w:asciiTheme="majorHAnsi" w:hAnsiTheme="majorHAnsi" w:cs="Calibri"/>
          <w:sz w:val="20"/>
          <w:szCs w:val="20"/>
          <w:highlight w:val="yellow"/>
        </w:rPr>
        <w:t xml:space="preserve">Annex </w:t>
      </w:r>
      <w:r>
        <w:rPr>
          <w:rFonts w:asciiTheme="majorHAnsi" w:hAnsiTheme="majorHAnsi" w:cs="Calibri"/>
          <w:sz w:val="20"/>
          <w:szCs w:val="20"/>
          <w:highlight w:val="yellow"/>
        </w:rPr>
        <w:t>9</w:t>
      </w:r>
      <w:r w:rsidRPr="005722A6">
        <w:rPr>
          <w:rFonts w:asciiTheme="majorHAnsi" w:hAnsiTheme="majorHAnsi" w:cs="Calibri"/>
          <w:sz w:val="20"/>
          <w:szCs w:val="20"/>
          <w:highlight w:val="yellow"/>
        </w:rPr>
        <w:t>.</w:t>
      </w:r>
    </w:p>
    <w:p w14:paraId="05F689B7" w14:textId="7A746F77" w:rsidR="00A22E4D" w:rsidRPr="0003763F" w:rsidRDefault="00A22E4D" w:rsidP="00A22E4D">
      <w:pPr>
        <w:rPr>
          <w:szCs w:val="22"/>
        </w:rPr>
      </w:pPr>
    </w:p>
    <w:p w14:paraId="51E4DB9B" w14:textId="77777777" w:rsidR="00AA26FB" w:rsidRDefault="00A22E4D" w:rsidP="00A22E4D">
      <w:pPr>
        <w:spacing w:after="0"/>
        <w:jc w:val="left"/>
        <w:sectPr w:rsidR="00AA26FB" w:rsidSect="001B20F4">
          <w:pgSz w:w="12240" w:h="15840" w:code="1"/>
          <w:pgMar w:top="720" w:right="720" w:bottom="720" w:left="720" w:header="720" w:footer="720" w:gutter="0"/>
          <w:cols w:space="720"/>
          <w:docGrid w:linePitch="360"/>
        </w:sectPr>
      </w:pPr>
      <w:r>
        <w:br w:type="page"/>
      </w:r>
    </w:p>
    <w:p w14:paraId="7062416A" w14:textId="77777777" w:rsidR="0077105D" w:rsidRPr="007867A8" w:rsidRDefault="0077105D" w:rsidP="0077105D">
      <w:pPr>
        <w:pStyle w:val="Heading1"/>
        <w:numPr>
          <w:ilvl w:val="0"/>
          <w:numId w:val="0"/>
        </w:numPr>
        <w:jc w:val="right"/>
        <w:rPr>
          <w:sz w:val="24"/>
          <w:szCs w:val="24"/>
        </w:rPr>
      </w:pPr>
      <w:bookmarkStart w:id="23" w:name="_Toc404528201"/>
      <w:r>
        <w:rPr>
          <w:sz w:val="24"/>
          <w:szCs w:val="24"/>
        </w:rPr>
        <w:t>Annex 9</w:t>
      </w:r>
    </w:p>
    <w:p w14:paraId="04748017" w14:textId="77777777" w:rsidR="0077105D" w:rsidRPr="00C97C18" w:rsidRDefault="0077105D" w:rsidP="0077105D">
      <w:pPr>
        <w:pStyle w:val="Heading1"/>
        <w:numPr>
          <w:ilvl w:val="0"/>
          <w:numId w:val="0"/>
        </w:numPr>
        <w:jc w:val="center"/>
        <w:rPr>
          <w:sz w:val="24"/>
          <w:szCs w:val="24"/>
        </w:rPr>
      </w:pPr>
      <w:r w:rsidRPr="00C97C18">
        <w:rPr>
          <w:sz w:val="24"/>
          <w:szCs w:val="24"/>
        </w:rPr>
        <w:t>Social and Environmental Screening Template</w:t>
      </w:r>
    </w:p>
    <w:p w14:paraId="04629A25" w14:textId="77777777" w:rsidR="0077105D" w:rsidRPr="001A0CAF" w:rsidRDefault="0077105D" w:rsidP="0077105D">
      <w:pPr>
        <w:spacing w:before="200"/>
        <w:rPr>
          <w:b/>
          <w:color w:val="4F81BD" w:themeColor="accent1"/>
        </w:rPr>
      </w:pPr>
      <w:r w:rsidRPr="001A0CAF">
        <w:rPr>
          <w:b/>
          <w:color w:val="4F81BD" w:themeColor="accent1"/>
        </w:rPr>
        <w:t>Project Information</w:t>
      </w:r>
    </w:p>
    <w:tbl>
      <w:tblPr>
        <w:tblW w:w="13248" w:type="dxa"/>
        <w:tblLook w:val="04A0" w:firstRow="1" w:lastRow="0" w:firstColumn="1" w:lastColumn="0" w:noHBand="0" w:noVBand="1"/>
      </w:tblPr>
      <w:tblGrid>
        <w:gridCol w:w="3325"/>
        <w:gridCol w:w="9923"/>
      </w:tblGrid>
      <w:tr w:rsidR="0077105D" w:rsidRPr="00C97C18" w14:paraId="25B70121" w14:textId="77777777" w:rsidTr="00EB71A9">
        <w:tc>
          <w:tcPr>
            <w:tcW w:w="3325" w:type="dxa"/>
            <w:shd w:val="clear" w:color="auto" w:fill="C6D9F1" w:themeFill="text2" w:themeFillTint="33"/>
            <w:vAlign w:val="center"/>
          </w:tcPr>
          <w:p w14:paraId="55C04239" w14:textId="77777777" w:rsidR="0077105D" w:rsidRPr="00C97C18" w:rsidRDefault="0077105D" w:rsidP="00EB71A9">
            <w:pPr>
              <w:tabs>
                <w:tab w:val="left" w:pos="360"/>
              </w:tabs>
              <w:rPr>
                <w:rFonts w:asciiTheme="majorHAnsi" w:hAnsiTheme="majorHAnsi"/>
                <w:b/>
                <w:i/>
                <w:color w:val="000000" w:themeColor="text1"/>
                <w:sz w:val="18"/>
                <w:szCs w:val="18"/>
              </w:rPr>
            </w:pPr>
            <w:r w:rsidRPr="00C97C18">
              <w:rPr>
                <w:rFonts w:asciiTheme="majorHAnsi" w:hAnsiTheme="majorHAnsi"/>
                <w:b/>
                <w:i/>
                <w:color w:val="000000" w:themeColor="text1"/>
                <w:sz w:val="18"/>
                <w:szCs w:val="18"/>
              </w:rPr>
              <w:t xml:space="preserve">Project Information </w:t>
            </w:r>
          </w:p>
        </w:tc>
        <w:tc>
          <w:tcPr>
            <w:tcW w:w="9923" w:type="dxa"/>
            <w:shd w:val="clear" w:color="auto" w:fill="C6D9F1" w:themeFill="text2" w:themeFillTint="33"/>
            <w:vAlign w:val="center"/>
          </w:tcPr>
          <w:p w14:paraId="4BB97B2B" w14:textId="77777777" w:rsidR="0077105D" w:rsidRPr="00C97C18" w:rsidRDefault="0077105D" w:rsidP="00EB71A9">
            <w:pPr>
              <w:rPr>
                <w:rFonts w:asciiTheme="majorHAnsi" w:hAnsiTheme="majorHAnsi"/>
                <w:i/>
                <w:color w:val="000000" w:themeColor="text1"/>
                <w:sz w:val="18"/>
                <w:szCs w:val="18"/>
              </w:rPr>
            </w:pPr>
          </w:p>
        </w:tc>
      </w:tr>
      <w:tr w:rsidR="0077105D" w:rsidRPr="00C97C18" w14:paraId="2336321A" w14:textId="77777777" w:rsidTr="00EB71A9">
        <w:trPr>
          <w:trHeight w:val="288"/>
        </w:trPr>
        <w:tc>
          <w:tcPr>
            <w:tcW w:w="3325" w:type="dxa"/>
            <w:vAlign w:val="center"/>
          </w:tcPr>
          <w:p w14:paraId="78B32707" w14:textId="77777777" w:rsidR="0077105D" w:rsidRPr="00C97C18" w:rsidRDefault="0077105D" w:rsidP="0077105D">
            <w:pPr>
              <w:pStyle w:val="ListParagraph"/>
              <w:numPr>
                <w:ilvl w:val="0"/>
                <w:numId w:val="113"/>
              </w:numPr>
              <w:ind w:left="360"/>
              <w:contextualSpacing/>
              <w:rPr>
                <w:rFonts w:asciiTheme="majorHAnsi" w:hAnsiTheme="majorHAnsi"/>
                <w:sz w:val="18"/>
                <w:szCs w:val="18"/>
              </w:rPr>
            </w:pPr>
            <w:r w:rsidRPr="00C97C18">
              <w:rPr>
                <w:rFonts w:asciiTheme="majorHAnsi" w:hAnsiTheme="majorHAnsi"/>
                <w:sz w:val="18"/>
                <w:szCs w:val="18"/>
              </w:rPr>
              <w:t>Project Title</w:t>
            </w:r>
          </w:p>
        </w:tc>
        <w:tc>
          <w:tcPr>
            <w:tcW w:w="9923" w:type="dxa"/>
            <w:vAlign w:val="center"/>
          </w:tcPr>
          <w:p w14:paraId="0BED21CB" w14:textId="77777777" w:rsidR="0077105D" w:rsidRPr="00C97C18" w:rsidRDefault="0077105D" w:rsidP="00EB71A9">
            <w:pPr>
              <w:rPr>
                <w:rFonts w:asciiTheme="majorHAnsi" w:hAnsiTheme="majorHAnsi"/>
                <w:sz w:val="18"/>
                <w:szCs w:val="18"/>
              </w:rPr>
            </w:pPr>
            <w:r w:rsidRPr="00C97C18">
              <w:rPr>
                <w:rFonts w:asciiTheme="majorHAnsi" w:hAnsiTheme="majorHAnsi"/>
                <w:sz w:val="18"/>
                <w:szCs w:val="18"/>
              </w:rPr>
              <w:t>Integrating biodiversity safeguards and conservation into development in Palau</w:t>
            </w:r>
          </w:p>
        </w:tc>
      </w:tr>
      <w:tr w:rsidR="0077105D" w:rsidRPr="00C97C18" w14:paraId="7E4ECBFE" w14:textId="77777777" w:rsidTr="00EB71A9">
        <w:trPr>
          <w:trHeight w:val="288"/>
        </w:trPr>
        <w:tc>
          <w:tcPr>
            <w:tcW w:w="3325" w:type="dxa"/>
            <w:vAlign w:val="center"/>
          </w:tcPr>
          <w:p w14:paraId="712CE29D" w14:textId="77777777" w:rsidR="0077105D" w:rsidRPr="00C97C18" w:rsidRDefault="0077105D" w:rsidP="0077105D">
            <w:pPr>
              <w:pStyle w:val="ListParagraph"/>
              <w:numPr>
                <w:ilvl w:val="0"/>
                <w:numId w:val="113"/>
              </w:numPr>
              <w:ind w:left="360"/>
              <w:contextualSpacing/>
              <w:rPr>
                <w:rFonts w:asciiTheme="majorHAnsi" w:hAnsiTheme="majorHAnsi"/>
                <w:sz w:val="18"/>
                <w:szCs w:val="18"/>
              </w:rPr>
            </w:pPr>
            <w:r w:rsidRPr="00C97C18">
              <w:rPr>
                <w:rFonts w:asciiTheme="majorHAnsi" w:hAnsiTheme="majorHAnsi"/>
                <w:sz w:val="18"/>
                <w:szCs w:val="18"/>
              </w:rPr>
              <w:t>Project Number</w:t>
            </w:r>
          </w:p>
        </w:tc>
        <w:tc>
          <w:tcPr>
            <w:tcW w:w="9923" w:type="dxa"/>
            <w:vAlign w:val="center"/>
          </w:tcPr>
          <w:p w14:paraId="61FE92B3" w14:textId="77777777" w:rsidR="0077105D" w:rsidRPr="00C97C18" w:rsidRDefault="0077105D" w:rsidP="00EB71A9">
            <w:pPr>
              <w:rPr>
                <w:rFonts w:asciiTheme="majorHAnsi" w:hAnsiTheme="majorHAnsi"/>
                <w:sz w:val="18"/>
                <w:szCs w:val="18"/>
              </w:rPr>
            </w:pPr>
            <w:r w:rsidRPr="00C97C18">
              <w:rPr>
                <w:rFonts w:asciiTheme="majorHAnsi" w:hAnsiTheme="majorHAnsi"/>
                <w:sz w:val="18"/>
                <w:szCs w:val="18"/>
              </w:rPr>
              <w:t>5645</w:t>
            </w:r>
          </w:p>
        </w:tc>
      </w:tr>
      <w:tr w:rsidR="0077105D" w:rsidRPr="00C97C18" w14:paraId="0F9E971F" w14:textId="77777777" w:rsidTr="00EB71A9">
        <w:trPr>
          <w:trHeight w:val="288"/>
        </w:trPr>
        <w:tc>
          <w:tcPr>
            <w:tcW w:w="3325" w:type="dxa"/>
            <w:vAlign w:val="center"/>
          </w:tcPr>
          <w:p w14:paraId="2FF4CFDA" w14:textId="77777777" w:rsidR="0077105D" w:rsidRPr="00C97C18" w:rsidRDefault="0077105D" w:rsidP="0077105D">
            <w:pPr>
              <w:pStyle w:val="ListParagraph"/>
              <w:numPr>
                <w:ilvl w:val="0"/>
                <w:numId w:val="113"/>
              </w:numPr>
              <w:ind w:left="360"/>
              <w:contextualSpacing/>
              <w:rPr>
                <w:rFonts w:asciiTheme="majorHAnsi" w:hAnsiTheme="majorHAnsi"/>
                <w:sz w:val="18"/>
                <w:szCs w:val="18"/>
              </w:rPr>
            </w:pPr>
            <w:r w:rsidRPr="00C97C18">
              <w:rPr>
                <w:rFonts w:asciiTheme="majorHAnsi" w:hAnsiTheme="majorHAnsi"/>
                <w:sz w:val="18"/>
                <w:szCs w:val="18"/>
              </w:rPr>
              <w:t>Location (Global/Region/Country)</w:t>
            </w:r>
          </w:p>
        </w:tc>
        <w:tc>
          <w:tcPr>
            <w:tcW w:w="9923" w:type="dxa"/>
            <w:vAlign w:val="center"/>
          </w:tcPr>
          <w:p w14:paraId="5DD6AC58" w14:textId="77777777" w:rsidR="0077105D" w:rsidRPr="00C97C18" w:rsidRDefault="0077105D" w:rsidP="00EB71A9">
            <w:pPr>
              <w:rPr>
                <w:rFonts w:asciiTheme="majorHAnsi" w:hAnsiTheme="majorHAnsi"/>
                <w:sz w:val="18"/>
                <w:szCs w:val="18"/>
              </w:rPr>
            </w:pPr>
            <w:r w:rsidRPr="00C97C18">
              <w:rPr>
                <w:rFonts w:asciiTheme="majorHAnsi" w:hAnsiTheme="majorHAnsi"/>
                <w:sz w:val="18"/>
                <w:szCs w:val="18"/>
              </w:rPr>
              <w:t>The Republic of Palau</w:t>
            </w:r>
          </w:p>
        </w:tc>
      </w:tr>
    </w:tbl>
    <w:p w14:paraId="521829FF" w14:textId="77777777" w:rsidR="0077105D" w:rsidRPr="00C97C18" w:rsidRDefault="0077105D" w:rsidP="0077105D">
      <w:pPr>
        <w:spacing w:before="200"/>
        <w:ind w:left="360"/>
        <w:rPr>
          <w:b/>
          <w:color w:val="365F91" w:themeColor="accent1" w:themeShade="BF"/>
          <w:sz w:val="18"/>
          <w:szCs w:val="18"/>
        </w:rPr>
      </w:pPr>
      <w:r w:rsidRPr="00C97C18">
        <w:rPr>
          <w:b/>
          <w:color w:val="365F91" w:themeColor="accent1" w:themeShade="BF"/>
          <w:sz w:val="18"/>
          <w:szCs w:val="18"/>
        </w:rPr>
        <w:t>Part A. Integrating Overarching Principles to Strengthen Social and Environmental Sustainability</w:t>
      </w:r>
    </w:p>
    <w:tbl>
      <w:tblPr>
        <w:tblW w:w="13248" w:type="dxa"/>
        <w:tblLook w:val="04A0" w:firstRow="1" w:lastRow="0" w:firstColumn="1" w:lastColumn="0" w:noHBand="0" w:noVBand="1"/>
      </w:tblPr>
      <w:tblGrid>
        <w:gridCol w:w="13248"/>
      </w:tblGrid>
      <w:tr w:rsidR="0077105D" w:rsidRPr="00C97C18" w14:paraId="7448EF7B" w14:textId="77777777" w:rsidTr="00EB71A9">
        <w:trPr>
          <w:trHeight w:val="449"/>
        </w:trPr>
        <w:tc>
          <w:tcPr>
            <w:tcW w:w="13248" w:type="dxa"/>
            <w:shd w:val="clear" w:color="auto" w:fill="0F243E" w:themeFill="text2" w:themeFillShade="80"/>
            <w:vAlign w:val="center"/>
          </w:tcPr>
          <w:p w14:paraId="040FFC26" w14:textId="77777777" w:rsidR="0077105D" w:rsidRPr="00C97C18" w:rsidRDefault="0077105D" w:rsidP="00EB71A9">
            <w:pPr>
              <w:rPr>
                <w:sz w:val="18"/>
                <w:szCs w:val="18"/>
              </w:rPr>
            </w:pPr>
            <w:r w:rsidRPr="00C97C18">
              <w:rPr>
                <w:b/>
                <w:sz w:val="18"/>
                <w:szCs w:val="18"/>
              </w:rPr>
              <w:t>QUESTION 1: How Does the Project Integrate the Overarching Principles in order to Strengthen Social and Environmental Sustainability?</w:t>
            </w:r>
          </w:p>
        </w:tc>
      </w:tr>
      <w:tr w:rsidR="0077105D" w:rsidRPr="00C97C18" w14:paraId="135A392F" w14:textId="77777777" w:rsidTr="00EB71A9">
        <w:tc>
          <w:tcPr>
            <w:tcW w:w="13248" w:type="dxa"/>
            <w:shd w:val="clear" w:color="auto" w:fill="C6D9F1" w:themeFill="text2" w:themeFillTint="33"/>
          </w:tcPr>
          <w:p w14:paraId="2D182BEF" w14:textId="77777777" w:rsidR="0077105D" w:rsidRPr="00C97C18" w:rsidRDefault="0077105D" w:rsidP="00EB71A9">
            <w:pPr>
              <w:tabs>
                <w:tab w:val="left" w:pos="432"/>
              </w:tabs>
              <w:spacing w:before="60"/>
              <w:rPr>
                <w:rFonts w:eastAsia="Times New Roman"/>
                <w:b/>
                <w:i/>
                <w:sz w:val="18"/>
                <w:szCs w:val="18"/>
              </w:rPr>
            </w:pPr>
            <w:r w:rsidRPr="00C97C18">
              <w:rPr>
                <w:rFonts w:eastAsia="Times New Roman"/>
                <w:b/>
                <w:i/>
                <w:sz w:val="18"/>
                <w:szCs w:val="18"/>
              </w:rPr>
              <w:t xml:space="preserve">Briefly describe in the space below how the Project mainstreams the human-rights based approach </w:t>
            </w:r>
          </w:p>
        </w:tc>
      </w:tr>
      <w:tr w:rsidR="0077105D" w:rsidRPr="00C97C18" w14:paraId="0A3F0CD2" w14:textId="77777777" w:rsidTr="00EB71A9">
        <w:tc>
          <w:tcPr>
            <w:tcW w:w="13248" w:type="dxa"/>
          </w:tcPr>
          <w:p w14:paraId="07506CE3" w14:textId="77777777" w:rsidR="0077105D" w:rsidRPr="00C97C18" w:rsidRDefault="0077105D" w:rsidP="0077105D">
            <w:pPr>
              <w:pStyle w:val="ListParagraph"/>
              <w:keepNext/>
              <w:keepLines/>
              <w:numPr>
                <w:ilvl w:val="0"/>
                <w:numId w:val="114"/>
              </w:numPr>
              <w:tabs>
                <w:tab w:val="left" w:pos="432"/>
              </w:tabs>
              <w:spacing w:before="60" w:after="60"/>
              <w:contextualSpacing/>
              <w:outlineLvl w:val="7"/>
              <w:rPr>
                <w:rFonts w:asciiTheme="majorHAnsi" w:hAnsiTheme="majorHAnsi"/>
                <w:sz w:val="18"/>
                <w:szCs w:val="18"/>
              </w:rPr>
            </w:pPr>
            <w:r w:rsidRPr="00C97C18">
              <w:rPr>
                <w:rFonts w:asciiTheme="majorHAnsi" w:hAnsiTheme="majorHAnsi"/>
                <w:sz w:val="18"/>
                <w:szCs w:val="18"/>
              </w:rPr>
              <w:t xml:space="preserve">The project upholds human rights principles, </w:t>
            </w:r>
            <w:r>
              <w:rPr>
                <w:rFonts w:asciiTheme="majorHAnsi" w:hAnsiTheme="majorHAnsi"/>
                <w:sz w:val="18"/>
                <w:szCs w:val="18"/>
              </w:rPr>
              <w:t xml:space="preserve">by ensuring </w:t>
            </w:r>
            <w:r w:rsidRPr="00C97C18">
              <w:rPr>
                <w:rFonts w:asciiTheme="majorHAnsi" w:hAnsiTheme="majorHAnsi"/>
                <w:sz w:val="18"/>
                <w:szCs w:val="18"/>
              </w:rPr>
              <w:t>inclusi</w:t>
            </w:r>
            <w:r>
              <w:rPr>
                <w:rFonts w:asciiTheme="majorHAnsi" w:hAnsiTheme="majorHAnsi"/>
                <w:sz w:val="18"/>
                <w:szCs w:val="18"/>
              </w:rPr>
              <w:t>veness</w:t>
            </w:r>
            <w:r w:rsidRPr="00C97C18">
              <w:rPr>
                <w:rFonts w:asciiTheme="majorHAnsi" w:hAnsiTheme="majorHAnsi"/>
                <w:sz w:val="18"/>
                <w:szCs w:val="18"/>
              </w:rPr>
              <w:t xml:space="preserve"> and equitable distribution of development opportunities and benefits</w:t>
            </w:r>
            <w:r>
              <w:rPr>
                <w:rFonts w:asciiTheme="majorHAnsi" w:hAnsiTheme="majorHAnsi"/>
                <w:sz w:val="18"/>
                <w:szCs w:val="18"/>
              </w:rPr>
              <w:t>, including to women and marginalized groups</w:t>
            </w:r>
            <w:r w:rsidRPr="00C97C18">
              <w:rPr>
                <w:rFonts w:asciiTheme="majorHAnsi" w:hAnsiTheme="majorHAnsi"/>
                <w:sz w:val="18"/>
                <w:szCs w:val="18"/>
              </w:rPr>
              <w:t xml:space="preserve">. </w:t>
            </w:r>
          </w:p>
          <w:p w14:paraId="336DE568" w14:textId="77777777" w:rsidR="0077105D" w:rsidRPr="00C97C18" w:rsidRDefault="0077105D" w:rsidP="0077105D">
            <w:pPr>
              <w:pStyle w:val="ListParagraph"/>
              <w:keepNext/>
              <w:keepLines/>
              <w:numPr>
                <w:ilvl w:val="0"/>
                <w:numId w:val="114"/>
              </w:numPr>
              <w:tabs>
                <w:tab w:val="left" w:pos="432"/>
              </w:tabs>
              <w:spacing w:before="60" w:after="60"/>
              <w:contextualSpacing/>
              <w:outlineLvl w:val="7"/>
              <w:rPr>
                <w:rFonts w:asciiTheme="majorHAnsi" w:hAnsiTheme="majorHAnsi"/>
                <w:sz w:val="18"/>
                <w:szCs w:val="18"/>
              </w:rPr>
            </w:pPr>
            <w:r w:rsidRPr="00C97C18">
              <w:rPr>
                <w:rFonts w:asciiTheme="majorHAnsi" w:hAnsiTheme="majorHAnsi"/>
                <w:sz w:val="18"/>
                <w:szCs w:val="18"/>
              </w:rPr>
              <w:t>The National-State coordination and joint land</w:t>
            </w:r>
            <w:r>
              <w:rPr>
                <w:rFonts w:asciiTheme="majorHAnsi" w:hAnsiTheme="majorHAnsi"/>
                <w:sz w:val="18"/>
                <w:szCs w:val="18"/>
              </w:rPr>
              <w:t>/sea</w:t>
            </w:r>
            <w:r w:rsidRPr="00C97C18">
              <w:rPr>
                <w:rFonts w:asciiTheme="majorHAnsi" w:hAnsiTheme="majorHAnsi"/>
                <w:sz w:val="18"/>
                <w:szCs w:val="18"/>
              </w:rPr>
              <w:t>scape planning platform to be established through the project is specifically aimed at promoting greater participation and inclusion of multiple national and state stakeholders in development planning and natural resource management decisions. This will serve as a key forum for information sharing, engagement, consultation, planning and mobilization on the strategies and decision making tools developed through the project to enhance support to states on these issues and national coordination.</w:t>
            </w:r>
            <w:r>
              <w:rPr>
                <w:rFonts w:asciiTheme="majorHAnsi" w:hAnsiTheme="majorHAnsi"/>
                <w:sz w:val="18"/>
                <w:szCs w:val="18"/>
              </w:rPr>
              <w:t xml:space="preserve">  Through this planning process, the project will ensure that there is meaningful and transparent process to facilitate full and informed participation of all segments of the population.</w:t>
            </w:r>
          </w:p>
          <w:p w14:paraId="1A068F51" w14:textId="77777777" w:rsidR="0077105D" w:rsidRDefault="0077105D" w:rsidP="0077105D">
            <w:pPr>
              <w:pStyle w:val="ListParagraph"/>
              <w:keepNext/>
              <w:keepLines/>
              <w:numPr>
                <w:ilvl w:val="0"/>
                <w:numId w:val="114"/>
              </w:numPr>
              <w:tabs>
                <w:tab w:val="left" w:pos="432"/>
              </w:tabs>
              <w:spacing w:before="60" w:after="60"/>
              <w:contextualSpacing/>
              <w:outlineLvl w:val="7"/>
              <w:rPr>
                <w:rFonts w:asciiTheme="majorHAnsi" w:hAnsiTheme="majorHAnsi"/>
                <w:sz w:val="18"/>
                <w:szCs w:val="18"/>
              </w:rPr>
            </w:pPr>
            <w:r w:rsidRPr="00C97C18">
              <w:rPr>
                <w:rFonts w:asciiTheme="majorHAnsi" w:hAnsiTheme="majorHAnsi"/>
                <w:sz w:val="18"/>
                <w:szCs w:val="18"/>
              </w:rPr>
              <w:t xml:space="preserve">The demonstration activities under components 2 and 3 of the project promote greater participation and inclusion of local communities, sectors and other important stakeholders in management and restoration of forest and marine resources and management of Invasive Alien Species (IAS), for example through community based restoration of degraded areas, sustainable natural resources management and livelihood activities and piloting of private-community partnerships for conservation and restoration. </w:t>
            </w:r>
          </w:p>
          <w:p w14:paraId="08B4C350" w14:textId="77777777" w:rsidR="0077105D" w:rsidRPr="00C97C18" w:rsidRDefault="0077105D" w:rsidP="0077105D">
            <w:pPr>
              <w:pStyle w:val="ListParagraph"/>
              <w:keepNext/>
              <w:keepLines/>
              <w:numPr>
                <w:ilvl w:val="0"/>
                <w:numId w:val="114"/>
              </w:numPr>
              <w:tabs>
                <w:tab w:val="left" w:pos="432"/>
              </w:tabs>
              <w:spacing w:before="60" w:after="60"/>
              <w:contextualSpacing/>
              <w:outlineLvl w:val="7"/>
              <w:rPr>
                <w:rFonts w:asciiTheme="majorHAnsi" w:hAnsiTheme="majorHAnsi"/>
                <w:sz w:val="18"/>
                <w:szCs w:val="18"/>
              </w:rPr>
            </w:pPr>
            <w:r>
              <w:rPr>
                <w:rFonts w:asciiTheme="majorHAnsi" w:hAnsiTheme="majorHAnsi"/>
                <w:sz w:val="18"/>
                <w:szCs w:val="18"/>
              </w:rPr>
              <w:t xml:space="preserve">The project promotes accountability and transparency and includes a grievance redress process (Annex 8) </w:t>
            </w:r>
            <w:r w:rsidRPr="00C97C18">
              <w:rPr>
                <w:rFonts w:asciiTheme="majorHAnsi" w:hAnsiTheme="majorHAnsi"/>
                <w:sz w:val="18"/>
                <w:szCs w:val="18"/>
              </w:rPr>
              <w:t xml:space="preserve">to address any conflicts in resource use or benefit sharing (refer Section IV Part III). The Land/seascape Planning and </w:t>
            </w:r>
            <w:r>
              <w:rPr>
                <w:rFonts w:asciiTheme="majorHAnsi" w:hAnsiTheme="majorHAnsi"/>
                <w:sz w:val="18"/>
                <w:szCs w:val="18"/>
              </w:rPr>
              <w:t xml:space="preserve">Implementation </w:t>
            </w:r>
            <w:r w:rsidRPr="00C97C18">
              <w:rPr>
                <w:rFonts w:asciiTheme="majorHAnsi" w:hAnsiTheme="majorHAnsi"/>
                <w:sz w:val="18"/>
                <w:szCs w:val="18"/>
              </w:rPr>
              <w:t xml:space="preserve">teams will help negotiate any grievances at the local level, and if these are not resolved at this level, then the State </w:t>
            </w:r>
            <w:r>
              <w:rPr>
                <w:rFonts w:asciiTheme="majorHAnsi" w:hAnsiTheme="majorHAnsi"/>
                <w:sz w:val="18"/>
                <w:szCs w:val="18"/>
              </w:rPr>
              <w:t xml:space="preserve">Government and JCB (with independent assistance from NGO partners) </w:t>
            </w:r>
            <w:r w:rsidRPr="00C97C18">
              <w:rPr>
                <w:rFonts w:asciiTheme="majorHAnsi" w:hAnsiTheme="majorHAnsi"/>
                <w:sz w:val="18"/>
                <w:szCs w:val="18"/>
              </w:rPr>
              <w:t xml:space="preserve">would negotiate resolutions. The project will institute specific procedures for grievance redress </w:t>
            </w:r>
            <w:r>
              <w:rPr>
                <w:rFonts w:asciiTheme="majorHAnsi" w:hAnsiTheme="majorHAnsi"/>
                <w:sz w:val="18"/>
                <w:szCs w:val="18"/>
              </w:rPr>
              <w:t xml:space="preserve">(Annex 8) </w:t>
            </w:r>
            <w:r w:rsidRPr="00C97C18">
              <w:rPr>
                <w:rFonts w:asciiTheme="majorHAnsi" w:hAnsiTheme="majorHAnsi"/>
                <w:sz w:val="18"/>
                <w:szCs w:val="18"/>
              </w:rPr>
              <w:t>and publicly make these procedures available through the communication strategy.</w:t>
            </w:r>
          </w:p>
          <w:p w14:paraId="19B57FF9" w14:textId="77777777" w:rsidR="0077105D" w:rsidRPr="00C97C18" w:rsidRDefault="0077105D" w:rsidP="0077105D">
            <w:pPr>
              <w:pStyle w:val="ListParagraph"/>
              <w:keepNext/>
              <w:keepLines/>
              <w:numPr>
                <w:ilvl w:val="0"/>
                <w:numId w:val="114"/>
              </w:numPr>
              <w:tabs>
                <w:tab w:val="left" w:pos="432"/>
              </w:tabs>
              <w:spacing w:before="60" w:after="60"/>
              <w:contextualSpacing/>
              <w:outlineLvl w:val="7"/>
              <w:rPr>
                <w:rFonts w:asciiTheme="majorHAnsi" w:hAnsiTheme="majorHAnsi"/>
                <w:sz w:val="18"/>
                <w:szCs w:val="18"/>
              </w:rPr>
            </w:pPr>
            <w:r w:rsidRPr="00C97C18">
              <w:rPr>
                <w:rFonts w:asciiTheme="majorHAnsi" w:hAnsiTheme="majorHAnsi"/>
                <w:sz w:val="18"/>
                <w:szCs w:val="18"/>
              </w:rPr>
              <w:t>The project interventions would ultimately sustain the livelihood of local communities that would result in poverty alleviation, improvement of living conditions of beneficiaries and sustainable development of natural resources. In this way it will improve the economic and social rights of the local communities and will also t</w:t>
            </w:r>
            <w:r>
              <w:rPr>
                <w:rFonts w:asciiTheme="majorHAnsi" w:hAnsiTheme="majorHAnsi"/>
                <w:sz w:val="18"/>
                <w:szCs w:val="18"/>
              </w:rPr>
              <w:t xml:space="preserve">ake </w:t>
            </w:r>
            <w:r w:rsidRPr="00C97C18">
              <w:rPr>
                <w:rFonts w:asciiTheme="majorHAnsi" w:hAnsiTheme="majorHAnsi"/>
                <w:sz w:val="18"/>
                <w:szCs w:val="18"/>
              </w:rPr>
              <w:t>care of cultural values of the local communities.</w:t>
            </w:r>
          </w:p>
          <w:p w14:paraId="62FB37DD" w14:textId="77777777" w:rsidR="0077105D" w:rsidRPr="00C97C18" w:rsidRDefault="0077105D" w:rsidP="0077105D">
            <w:pPr>
              <w:pStyle w:val="ListParagraph"/>
              <w:keepNext/>
              <w:keepLines/>
              <w:numPr>
                <w:ilvl w:val="0"/>
                <w:numId w:val="114"/>
              </w:numPr>
              <w:tabs>
                <w:tab w:val="left" w:pos="432"/>
              </w:tabs>
              <w:spacing w:before="60" w:after="60"/>
              <w:contextualSpacing/>
              <w:outlineLvl w:val="7"/>
              <w:rPr>
                <w:rFonts w:asciiTheme="majorHAnsi" w:hAnsiTheme="majorHAnsi"/>
                <w:sz w:val="18"/>
                <w:szCs w:val="18"/>
              </w:rPr>
            </w:pPr>
            <w:r w:rsidRPr="00C97C18">
              <w:rPr>
                <w:rFonts w:asciiTheme="majorHAnsi" w:hAnsiTheme="majorHAnsi"/>
                <w:sz w:val="18"/>
                <w:szCs w:val="18"/>
              </w:rPr>
              <w:t xml:space="preserve">By reviewing, developing and strengthening regulations on terrestrial and marine natural resource use and management and by strengthening the capacity of relevant national and state agencies to enhance enforcement of these regulations and standards, the project also upholds principles of accountability and rule of law. </w:t>
            </w:r>
          </w:p>
          <w:p w14:paraId="5A9B1344" w14:textId="77777777" w:rsidR="0077105D" w:rsidRPr="00C97C18" w:rsidRDefault="0077105D" w:rsidP="0077105D">
            <w:pPr>
              <w:pStyle w:val="ListParagraph"/>
              <w:keepNext/>
              <w:keepLines/>
              <w:numPr>
                <w:ilvl w:val="0"/>
                <w:numId w:val="114"/>
              </w:numPr>
              <w:tabs>
                <w:tab w:val="left" w:pos="432"/>
              </w:tabs>
              <w:spacing w:before="60" w:after="60"/>
              <w:contextualSpacing/>
              <w:outlineLvl w:val="7"/>
              <w:rPr>
                <w:rFonts w:asciiTheme="majorHAnsi" w:hAnsiTheme="majorHAnsi"/>
                <w:sz w:val="18"/>
                <w:szCs w:val="18"/>
              </w:rPr>
            </w:pPr>
            <w:r w:rsidRPr="00C97C18">
              <w:rPr>
                <w:rFonts w:asciiTheme="majorHAnsi" w:hAnsiTheme="majorHAnsi"/>
                <w:sz w:val="18"/>
                <w:szCs w:val="18"/>
              </w:rPr>
              <w:t>The project strategy will ensure that women-headed households and lower income groups are given prioritized access to support for demonstration activities in local communities, e.g. support to biodiversity friendly sustainable land, forest and marine resources management practices.</w:t>
            </w:r>
          </w:p>
        </w:tc>
      </w:tr>
      <w:tr w:rsidR="0077105D" w:rsidRPr="00C97C18" w14:paraId="13676237" w14:textId="77777777" w:rsidTr="00EB71A9">
        <w:trPr>
          <w:trHeight w:val="296"/>
        </w:trPr>
        <w:tc>
          <w:tcPr>
            <w:tcW w:w="13248" w:type="dxa"/>
            <w:shd w:val="clear" w:color="auto" w:fill="C6D9F1" w:themeFill="text2" w:themeFillTint="33"/>
          </w:tcPr>
          <w:p w14:paraId="2FDB8418" w14:textId="77777777" w:rsidR="0077105D" w:rsidRPr="00C97C18" w:rsidRDefault="0077105D" w:rsidP="00EB71A9">
            <w:pPr>
              <w:spacing w:after="120"/>
              <w:contextualSpacing/>
              <w:rPr>
                <w:rFonts w:asciiTheme="majorHAnsi" w:hAnsiTheme="majorHAnsi"/>
                <w:b/>
                <w:i/>
                <w:sz w:val="18"/>
                <w:szCs w:val="18"/>
              </w:rPr>
            </w:pPr>
            <w:r w:rsidRPr="00C97C18">
              <w:rPr>
                <w:rFonts w:asciiTheme="majorHAnsi" w:eastAsia="Times New Roman" w:hAnsiTheme="majorHAnsi"/>
                <w:b/>
                <w:i/>
                <w:sz w:val="18"/>
                <w:szCs w:val="18"/>
              </w:rPr>
              <w:t>Briefly describe in the space below  how the Project is likely to improve gender equality and women’s empowerment</w:t>
            </w:r>
          </w:p>
        </w:tc>
      </w:tr>
      <w:tr w:rsidR="0077105D" w:rsidRPr="00C97C18" w14:paraId="0045C876" w14:textId="77777777" w:rsidTr="00EB71A9">
        <w:tc>
          <w:tcPr>
            <w:tcW w:w="13248" w:type="dxa"/>
          </w:tcPr>
          <w:p w14:paraId="002F9520" w14:textId="77777777" w:rsidR="0077105D" w:rsidRDefault="0077105D" w:rsidP="00EB71A9">
            <w:pPr>
              <w:widowControl w:val="0"/>
              <w:autoSpaceDE w:val="0"/>
              <w:autoSpaceDN w:val="0"/>
              <w:adjustRightInd w:val="0"/>
              <w:spacing w:after="0"/>
              <w:rPr>
                <w:rFonts w:asciiTheme="majorHAnsi" w:hAnsiTheme="majorHAnsi"/>
                <w:sz w:val="18"/>
                <w:szCs w:val="18"/>
              </w:rPr>
            </w:pPr>
            <w:r w:rsidRPr="00C97C18">
              <w:rPr>
                <w:rFonts w:asciiTheme="majorHAnsi" w:hAnsiTheme="majorHAnsi"/>
                <w:sz w:val="18"/>
                <w:szCs w:val="18"/>
              </w:rPr>
              <w:t xml:space="preserve">The project incorporates several measures to </w:t>
            </w:r>
            <w:r>
              <w:rPr>
                <w:rFonts w:asciiTheme="majorHAnsi" w:hAnsiTheme="majorHAnsi"/>
                <w:sz w:val="18"/>
                <w:szCs w:val="18"/>
              </w:rPr>
              <w:t xml:space="preserve">promote social inclusion and in particular to </w:t>
            </w:r>
            <w:r w:rsidRPr="00C97C18">
              <w:rPr>
                <w:rFonts w:asciiTheme="majorHAnsi" w:hAnsiTheme="majorHAnsi"/>
                <w:sz w:val="18"/>
                <w:szCs w:val="18"/>
              </w:rPr>
              <w:t xml:space="preserve">enhance </w:t>
            </w:r>
            <w:r>
              <w:rPr>
                <w:rFonts w:asciiTheme="majorHAnsi" w:hAnsiTheme="majorHAnsi"/>
                <w:sz w:val="18"/>
                <w:szCs w:val="18"/>
              </w:rPr>
              <w:t>gender equality and women’s empowerment</w:t>
            </w:r>
            <w:r w:rsidRPr="00C97C18">
              <w:rPr>
                <w:rFonts w:asciiTheme="majorHAnsi" w:hAnsiTheme="majorHAnsi"/>
                <w:sz w:val="18"/>
                <w:szCs w:val="18"/>
              </w:rPr>
              <w:t xml:space="preserve">. Special mechanisms are envisaged under the project to promote the role of women in various activities (see Annex 5 of UNDP Project Document “Gender </w:t>
            </w:r>
            <w:r>
              <w:rPr>
                <w:rFonts w:asciiTheme="majorHAnsi" w:hAnsiTheme="majorHAnsi"/>
                <w:sz w:val="18"/>
                <w:szCs w:val="18"/>
              </w:rPr>
              <w:t xml:space="preserve">Analysis and </w:t>
            </w:r>
            <w:r w:rsidRPr="00C97C18">
              <w:rPr>
                <w:rFonts w:asciiTheme="majorHAnsi" w:hAnsiTheme="majorHAnsi"/>
                <w:sz w:val="18"/>
                <w:szCs w:val="18"/>
              </w:rPr>
              <w:t xml:space="preserve">Mainstreaming and Action Plan”) </w:t>
            </w:r>
          </w:p>
          <w:p w14:paraId="3C78A87E" w14:textId="77777777" w:rsidR="0077105D" w:rsidRPr="00C97C18" w:rsidRDefault="0077105D" w:rsidP="00EB71A9">
            <w:pPr>
              <w:tabs>
                <w:tab w:val="left" w:pos="432"/>
              </w:tabs>
              <w:spacing w:after="0"/>
              <w:rPr>
                <w:rFonts w:asciiTheme="majorHAnsi" w:eastAsia="Times New Roman" w:hAnsiTheme="majorHAnsi"/>
                <w:sz w:val="18"/>
                <w:szCs w:val="18"/>
              </w:rPr>
            </w:pPr>
            <w:r>
              <w:rPr>
                <w:rFonts w:asciiTheme="majorHAnsi" w:hAnsiTheme="majorHAnsi"/>
                <w:sz w:val="18"/>
                <w:szCs w:val="18"/>
              </w:rPr>
              <w:t>Overall, the aim of the project is to promote social inclusion, gender equality and women’s empowerment through the following actions</w:t>
            </w:r>
            <w:r w:rsidRPr="00C97C18">
              <w:rPr>
                <w:rFonts w:asciiTheme="majorHAnsi" w:hAnsiTheme="majorHAnsi"/>
                <w:sz w:val="18"/>
                <w:szCs w:val="18"/>
              </w:rPr>
              <w:t xml:space="preserve">:  </w:t>
            </w:r>
          </w:p>
          <w:p w14:paraId="7BE4C8A1" w14:textId="77777777" w:rsidR="0077105D" w:rsidRPr="00AE45AC" w:rsidRDefault="0077105D" w:rsidP="0077105D">
            <w:pPr>
              <w:pStyle w:val="ListParagraph"/>
              <w:numPr>
                <w:ilvl w:val="0"/>
                <w:numId w:val="116"/>
              </w:numPr>
              <w:tabs>
                <w:tab w:val="left" w:pos="432"/>
              </w:tabs>
              <w:spacing w:before="60" w:after="60"/>
              <w:contextualSpacing/>
              <w:rPr>
                <w:rFonts w:asciiTheme="majorHAnsi" w:eastAsia="Times New Roman" w:hAnsiTheme="majorHAnsi"/>
                <w:sz w:val="18"/>
                <w:szCs w:val="18"/>
              </w:rPr>
            </w:pPr>
            <w:r>
              <w:rPr>
                <w:rFonts w:asciiTheme="majorHAnsi" w:eastAsia="Times New Roman" w:hAnsiTheme="majorHAnsi"/>
                <w:sz w:val="18"/>
                <w:szCs w:val="18"/>
              </w:rPr>
              <w:t>Partnering with the Palau Gender Division and alignment of activities with Palau’s Gender Policy (in development)</w:t>
            </w:r>
          </w:p>
          <w:p w14:paraId="12F1D56E" w14:textId="77777777" w:rsidR="0077105D" w:rsidRDefault="0077105D" w:rsidP="0077105D">
            <w:pPr>
              <w:pStyle w:val="ListParagraph"/>
              <w:numPr>
                <w:ilvl w:val="0"/>
                <w:numId w:val="116"/>
              </w:numPr>
              <w:tabs>
                <w:tab w:val="left" w:pos="432"/>
              </w:tabs>
              <w:spacing w:before="60" w:after="60"/>
              <w:contextualSpacing/>
              <w:rPr>
                <w:rFonts w:asciiTheme="majorHAnsi" w:eastAsia="Times New Roman" w:hAnsiTheme="majorHAnsi"/>
                <w:sz w:val="18"/>
                <w:szCs w:val="18"/>
              </w:rPr>
            </w:pPr>
            <w:r>
              <w:rPr>
                <w:rFonts w:asciiTheme="majorHAnsi" w:eastAsia="Times New Roman" w:hAnsiTheme="majorHAnsi"/>
                <w:sz w:val="18"/>
                <w:szCs w:val="18"/>
              </w:rPr>
              <w:t xml:space="preserve">Gender equality and women’s empowerment through capacity building, outreach, communication and enhanced influence in decision making; </w:t>
            </w:r>
          </w:p>
          <w:p w14:paraId="6295AA0F" w14:textId="77777777" w:rsidR="0077105D" w:rsidRDefault="0077105D" w:rsidP="0077105D">
            <w:pPr>
              <w:pStyle w:val="ListParagraph"/>
              <w:numPr>
                <w:ilvl w:val="0"/>
                <w:numId w:val="116"/>
              </w:numPr>
              <w:tabs>
                <w:tab w:val="left" w:pos="432"/>
              </w:tabs>
              <w:spacing w:before="60" w:after="60"/>
              <w:contextualSpacing/>
              <w:rPr>
                <w:rFonts w:asciiTheme="majorHAnsi" w:eastAsia="Times New Roman" w:hAnsiTheme="majorHAnsi"/>
                <w:sz w:val="18"/>
                <w:szCs w:val="18"/>
              </w:rPr>
            </w:pPr>
            <w:r>
              <w:rPr>
                <w:rFonts w:asciiTheme="majorHAnsi" w:eastAsia="Times New Roman" w:hAnsiTheme="majorHAnsi"/>
                <w:sz w:val="18"/>
                <w:szCs w:val="18"/>
              </w:rPr>
              <w:t>Enhancing and targeting benefits through specific investments that benefit women and marginalized groups;</w:t>
            </w:r>
          </w:p>
          <w:p w14:paraId="22A9FE22" w14:textId="77777777" w:rsidR="0077105D" w:rsidRDefault="0077105D" w:rsidP="0077105D">
            <w:pPr>
              <w:pStyle w:val="ListParagraph"/>
              <w:numPr>
                <w:ilvl w:val="0"/>
                <w:numId w:val="116"/>
              </w:numPr>
              <w:tabs>
                <w:tab w:val="left" w:pos="432"/>
              </w:tabs>
              <w:spacing w:before="60" w:after="60"/>
              <w:contextualSpacing/>
              <w:rPr>
                <w:rFonts w:asciiTheme="majorHAnsi" w:eastAsia="Times New Roman" w:hAnsiTheme="majorHAnsi"/>
                <w:sz w:val="18"/>
                <w:szCs w:val="18"/>
              </w:rPr>
            </w:pPr>
            <w:r>
              <w:rPr>
                <w:rFonts w:asciiTheme="majorHAnsi" w:eastAsia="Times New Roman" w:hAnsiTheme="majorHAnsi"/>
                <w:sz w:val="18"/>
                <w:szCs w:val="18"/>
              </w:rPr>
              <w:t>Specialized training to staff and planning teams on methods, tools and techniques to enhance participation of women and marginalized groups;</w:t>
            </w:r>
          </w:p>
          <w:p w14:paraId="6E871B6A" w14:textId="77777777" w:rsidR="0077105D" w:rsidRDefault="0077105D" w:rsidP="0077105D">
            <w:pPr>
              <w:pStyle w:val="ListParagraph"/>
              <w:numPr>
                <w:ilvl w:val="0"/>
                <w:numId w:val="116"/>
              </w:numPr>
              <w:tabs>
                <w:tab w:val="left" w:pos="432"/>
              </w:tabs>
              <w:spacing w:before="60" w:after="60"/>
              <w:contextualSpacing/>
              <w:rPr>
                <w:rFonts w:asciiTheme="majorHAnsi" w:eastAsia="Times New Roman" w:hAnsiTheme="majorHAnsi"/>
                <w:sz w:val="18"/>
                <w:szCs w:val="18"/>
              </w:rPr>
            </w:pPr>
            <w:r>
              <w:rPr>
                <w:rFonts w:asciiTheme="majorHAnsi" w:eastAsia="Times New Roman" w:hAnsiTheme="majorHAnsi"/>
                <w:sz w:val="18"/>
                <w:szCs w:val="18"/>
              </w:rPr>
              <w:t xml:space="preserve">Prioritization of </w:t>
            </w:r>
            <w:r w:rsidRPr="00C97C18">
              <w:rPr>
                <w:rFonts w:asciiTheme="majorHAnsi" w:eastAsia="Times New Roman" w:hAnsiTheme="majorHAnsi"/>
                <w:sz w:val="18"/>
                <w:szCs w:val="18"/>
              </w:rPr>
              <w:t xml:space="preserve">women-headed households and lower income groups </w:t>
            </w:r>
            <w:r>
              <w:rPr>
                <w:rFonts w:asciiTheme="majorHAnsi" w:eastAsia="Times New Roman" w:hAnsiTheme="majorHAnsi"/>
                <w:sz w:val="18"/>
                <w:szCs w:val="18"/>
              </w:rPr>
              <w:t>in project related investments and benefits;</w:t>
            </w:r>
            <w:r w:rsidRPr="00C97C18">
              <w:rPr>
                <w:rFonts w:asciiTheme="majorHAnsi" w:eastAsia="Times New Roman" w:hAnsiTheme="majorHAnsi"/>
                <w:sz w:val="18"/>
                <w:szCs w:val="18"/>
              </w:rPr>
              <w:t xml:space="preserve"> </w:t>
            </w:r>
          </w:p>
          <w:p w14:paraId="5033B322" w14:textId="77777777" w:rsidR="0077105D" w:rsidRDefault="0077105D" w:rsidP="0077105D">
            <w:pPr>
              <w:pStyle w:val="ListParagraph"/>
              <w:numPr>
                <w:ilvl w:val="0"/>
                <w:numId w:val="116"/>
              </w:numPr>
              <w:tabs>
                <w:tab w:val="left" w:pos="432"/>
              </w:tabs>
              <w:spacing w:before="60" w:after="60"/>
              <w:contextualSpacing/>
              <w:rPr>
                <w:rFonts w:asciiTheme="majorHAnsi" w:eastAsia="Times New Roman" w:hAnsiTheme="majorHAnsi"/>
                <w:sz w:val="18"/>
                <w:szCs w:val="18"/>
              </w:rPr>
            </w:pPr>
            <w:r>
              <w:rPr>
                <w:rFonts w:asciiTheme="majorHAnsi" w:eastAsia="Times New Roman" w:hAnsiTheme="majorHAnsi"/>
                <w:sz w:val="18"/>
                <w:szCs w:val="18"/>
              </w:rPr>
              <w:t xml:space="preserve">Recruitment of local women in planning and outreach teams to enhance participation of women and marginalized groups; </w:t>
            </w:r>
          </w:p>
          <w:p w14:paraId="6A6C027B" w14:textId="77777777" w:rsidR="0077105D" w:rsidRDefault="0077105D" w:rsidP="0077105D">
            <w:pPr>
              <w:pStyle w:val="ListParagraph"/>
              <w:widowControl w:val="0"/>
              <w:numPr>
                <w:ilvl w:val="0"/>
                <w:numId w:val="116"/>
              </w:numPr>
              <w:autoSpaceDE w:val="0"/>
              <w:autoSpaceDN w:val="0"/>
              <w:adjustRightInd w:val="0"/>
              <w:contextualSpacing/>
              <w:jc w:val="both"/>
              <w:rPr>
                <w:rFonts w:asciiTheme="majorHAnsi" w:hAnsiTheme="majorHAnsi"/>
                <w:sz w:val="18"/>
                <w:szCs w:val="18"/>
              </w:rPr>
            </w:pPr>
            <w:r w:rsidRPr="00563DF3">
              <w:rPr>
                <w:rFonts w:asciiTheme="majorHAnsi" w:hAnsiTheme="majorHAnsi"/>
                <w:sz w:val="18"/>
                <w:szCs w:val="18"/>
              </w:rPr>
              <w:t>Promotion of adequate representation and active participation of women in project specific committees, technical workshops, strategic planning events, etc.</w:t>
            </w:r>
          </w:p>
          <w:p w14:paraId="4CA80E70" w14:textId="77777777" w:rsidR="0077105D" w:rsidRPr="00AE45AC" w:rsidRDefault="0077105D" w:rsidP="0077105D">
            <w:pPr>
              <w:pStyle w:val="ListParagraph"/>
              <w:numPr>
                <w:ilvl w:val="0"/>
                <w:numId w:val="116"/>
              </w:numPr>
              <w:tabs>
                <w:tab w:val="left" w:pos="432"/>
              </w:tabs>
              <w:spacing w:before="60" w:after="60"/>
              <w:contextualSpacing/>
              <w:rPr>
                <w:rFonts w:asciiTheme="majorHAnsi" w:eastAsia="Times New Roman" w:hAnsiTheme="majorHAnsi"/>
                <w:sz w:val="18"/>
                <w:szCs w:val="18"/>
              </w:rPr>
            </w:pPr>
            <w:r>
              <w:rPr>
                <w:rFonts w:asciiTheme="majorHAnsi" w:eastAsia="Times New Roman" w:hAnsiTheme="majorHAnsi"/>
                <w:sz w:val="18"/>
                <w:szCs w:val="18"/>
              </w:rPr>
              <w:t>Applying a Gender and Socially Inclusive lens to all project outputs during development (e.g. Land/Seascape Plans)</w:t>
            </w:r>
          </w:p>
          <w:p w14:paraId="663EABC9" w14:textId="77777777" w:rsidR="0077105D" w:rsidRPr="00C97C18" w:rsidRDefault="0077105D" w:rsidP="0077105D">
            <w:pPr>
              <w:pStyle w:val="ListParagraph"/>
              <w:numPr>
                <w:ilvl w:val="0"/>
                <w:numId w:val="116"/>
              </w:numPr>
              <w:tabs>
                <w:tab w:val="left" w:pos="432"/>
              </w:tabs>
              <w:spacing w:before="60" w:after="60"/>
              <w:contextualSpacing/>
              <w:rPr>
                <w:rFonts w:asciiTheme="majorHAnsi" w:eastAsia="Times New Roman" w:hAnsiTheme="majorHAnsi"/>
                <w:sz w:val="18"/>
                <w:szCs w:val="18"/>
              </w:rPr>
            </w:pPr>
            <w:r w:rsidRPr="00C97C18">
              <w:rPr>
                <w:rFonts w:asciiTheme="majorHAnsi" w:hAnsiTheme="majorHAnsi"/>
                <w:sz w:val="18"/>
                <w:szCs w:val="18"/>
              </w:rPr>
              <w:t xml:space="preserve">Implementation of communication </w:t>
            </w:r>
            <w:r>
              <w:rPr>
                <w:rFonts w:asciiTheme="majorHAnsi" w:hAnsiTheme="majorHAnsi"/>
                <w:sz w:val="18"/>
                <w:szCs w:val="18"/>
              </w:rPr>
              <w:t xml:space="preserve">and knowledge management </w:t>
            </w:r>
            <w:r w:rsidRPr="00C97C18">
              <w:rPr>
                <w:rFonts w:asciiTheme="majorHAnsi" w:hAnsiTheme="majorHAnsi"/>
                <w:sz w:val="18"/>
                <w:szCs w:val="18"/>
              </w:rPr>
              <w:t xml:space="preserve">strategy </w:t>
            </w:r>
            <w:r>
              <w:rPr>
                <w:rFonts w:asciiTheme="majorHAnsi" w:hAnsiTheme="majorHAnsi"/>
                <w:sz w:val="18"/>
                <w:szCs w:val="18"/>
              </w:rPr>
              <w:t xml:space="preserve">(Annex 6) to </w:t>
            </w:r>
            <w:r w:rsidRPr="00C97C18">
              <w:rPr>
                <w:rFonts w:asciiTheme="majorHAnsi" w:hAnsiTheme="majorHAnsi"/>
                <w:sz w:val="18"/>
                <w:szCs w:val="18"/>
              </w:rPr>
              <w:t xml:space="preserve">include a specific gender focus and ensure a gender and socially </w:t>
            </w:r>
            <w:r>
              <w:rPr>
                <w:rFonts w:asciiTheme="majorHAnsi" w:hAnsiTheme="majorHAnsi"/>
                <w:sz w:val="18"/>
                <w:szCs w:val="18"/>
              </w:rPr>
              <w:t xml:space="preserve">inclusive </w:t>
            </w:r>
            <w:r w:rsidRPr="00C97C18">
              <w:rPr>
                <w:rFonts w:asciiTheme="majorHAnsi" w:hAnsiTheme="majorHAnsi"/>
                <w:sz w:val="18"/>
                <w:szCs w:val="18"/>
              </w:rPr>
              <w:t>lens to every meeting, plan and activity</w:t>
            </w:r>
            <w:r>
              <w:rPr>
                <w:rFonts w:asciiTheme="majorHAnsi" w:hAnsiTheme="majorHAnsi"/>
                <w:sz w:val="18"/>
                <w:szCs w:val="18"/>
              </w:rPr>
              <w:t>; and</w:t>
            </w:r>
            <w:r w:rsidRPr="00C97C18" w:rsidDel="00563DF3">
              <w:rPr>
                <w:rFonts w:asciiTheme="majorHAnsi" w:eastAsia="Times New Roman" w:hAnsiTheme="majorHAnsi"/>
                <w:sz w:val="18"/>
                <w:szCs w:val="18"/>
              </w:rPr>
              <w:t xml:space="preserve"> </w:t>
            </w:r>
          </w:p>
          <w:p w14:paraId="0D513AB4" w14:textId="77777777" w:rsidR="0077105D" w:rsidRPr="00C97C18" w:rsidRDefault="0077105D" w:rsidP="0077105D">
            <w:pPr>
              <w:pStyle w:val="ListParagraph"/>
              <w:numPr>
                <w:ilvl w:val="0"/>
                <w:numId w:val="116"/>
              </w:numPr>
              <w:tabs>
                <w:tab w:val="left" w:pos="432"/>
              </w:tabs>
              <w:spacing w:before="60" w:after="60"/>
              <w:contextualSpacing/>
              <w:rPr>
                <w:rFonts w:asciiTheme="majorHAnsi" w:eastAsia="Times New Roman" w:hAnsiTheme="majorHAnsi"/>
                <w:sz w:val="18"/>
                <w:szCs w:val="18"/>
              </w:rPr>
            </w:pPr>
            <w:r w:rsidRPr="00C97C18">
              <w:rPr>
                <w:rFonts w:asciiTheme="majorHAnsi" w:eastAsia="Times New Roman" w:hAnsiTheme="majorHAnsi"/>
                <w:sz w:val="18"/>
                <w:szCs w:val="18"/>
              </w:rPr>
              <w:t>Ensur</w:t>
            </w:r>
            <w:r>
              <w:rPr>
                <w:rFonts w:asciiTheme="majorHAnsi" w:eastAsia="Times New Roman" w:hAnsiTheme="majorHAnsi"/>
                <w:sz w:val="18"/>
                <w:szCs w:val="18"/>
              </w:rPr>
              <w:t>ing</w:t>
            </w:r>
            <w:r w:rsidRPr="00C97C18">
              <w:rPr>
                <w:rFonts w:asciiTheme="majorHAnsi" w:eastAsia="Times New Roman" w:hAnsiTheme="majorHAnsi"/>
                <w:sz w:val="18"/>
                <w:szCs w:val="18"/>
              </w:rPr>
              <w:t xml:space="preserve"> that both women and men are offered equal training opportunities supported through this investment, as well as representation of both men and women in the coordination mechanisms and platforms established. </w:t>
            </w:r>
          </w:p>
        </w:tc>
      </w:tr>
      <w:tr w:rsidR="0077105D" w:rsidRPr="00C97C18" w14:paraId="6B58412F" w14:textId="77777777" w:rsidTr="00EB71A9">
        <w:trPr>
          <w:trHeight w:val="305"/>
        </w:trPr>
        <w:tc>
          <w:tcPr>
            <w:tcW w:w="13248" w:type="dxa"/>
            <w:shd w:val="clear" w:color="auto" w:fill="C6D9F1" w:themeFill="text2" w:themeFillTint="33"/>
          </w:tcPr>
          <w:p w14:paraId="10280BC5" w14:textId="77777777" w:rsidR="0077105D" w:rsidRPr="00C97C18" w:rsidRDefault="0077105D" w:rsidP="00EB71A9">
            <w:pPr>
              <w:spacing w:after="120"/>
              <w:contextualSpacing/>
              <w:rPr>
                <w:rFonts w:asciiTheme="majorHAnsi" w:hAnsiTheme="majorHAnsi"/>
                <w:b/>
                <w:i/>
                <w:sz w:val="18"/>
                <w:szCs w:val="18"/>
                <w:u w:val="single"/>
              </w:rPr>
            </w:pPr>
            <w:r w:rsidRPr="00C97C18">
              <w:rPr>
                <w:rFonts w:asciiTheme="majorHAnsi" w:eastAsia="Times New Roman" w:hAnsiTheme="majorHAnsi"/>
                <w:b/>
                <w:i/>
                <w:sz w:val="18"/>
                <w:szCs w:val="18"/>
              </w:rPr>
              <w:t>Briefly describe in the space below how the Project mainstreams environmental sustainability</w:t>
            </w:r>
          </w:p>
        </w:tc>
      </w:tr>
      <w:tr w:rsidR="0077105D" w:rsidRPr="00C97C18" w14:paraId="4D5BAA81" w14:textId="77777777" w:rsidTr="00EB71A9">
        <w:tc>
          <w:tcPr>
            <w:tcW w:w="13248" w:type="dxa"/>
          </w:tcPr>
          <w:p w14:paraId="33C98E42" w14:textId="77777777" w:rsidR="0077105D" w:rsidRPr="00C97C18" w:rsidRDefault="0077105D" w:rsidP="00EB71A9">
            <w:pPr>
              <w:widowControl w:val="0"/>
              <w:autoSpaceDE w:val="0"/>
              <w:autoSpaceDN w:val="0"/>
              <w:adjustRightInd w:val="0"/>
              <w:rPr>
                <w:rFonts w:asciiTheme="majorHAnsi" w:hAnsiTheme="majorHAnsi"/>
                <w:sz w:val="18"/>
                <w:szCs w:val="18"/>
              </w:rPr>
            </w:pPr>
            <w:r w:rsidRPr="00C97C18">
              <w:rPr>
                <w:rFonts w:asciiTheme="majorHAnsi" w:hAnsiTheme="majorHAnsi"/>
                <w:sz w:val="18"/>
                <w:szCs w:val="18"/>
              </w:rPr>
              <w:t>The objective of the project is to mainstream biodiversity conservation into integrated land and seascape governance, planning and management in Palau and enhance the chances of the long-term survival of terrestrial endemic and threatened species in Palau by building national and local capacity to prevent, detect, control and manage Invasive Alien Species. IAS of high risk to biodiversity, food security, livelihoods, health and trade would be prevented from entering Palau. This would be achieved through:</w:t>
            </w:r>
          </w:p>
          <w:p w14:paraId="56635277" w14:textId="77777777" w:rsidR="0077105D" w:rsidRPr="00C97C18" w:rsidRDefault="0077105D" w:rsidP="0077105D">
            <w:pPr>
              <w:pStyle w:val="ListParagraph"/>
              <w:widowControl w:val="0"/>
              <w:numPr>
                <w:ilvl w:val="0"/>
                <w:numId w:val="115"/>
              </w:numPr>
              <w:autoSpaceDE w:val="0"/>
              <w:autoSpaceDN w:val="0"/>
              <w:adjustRightInd w:val="0"/>
              <w:contextualSpacing/>
              <w:rPr>
                <w:rFonts w:asciiTheme="majorHAnsi" w:hAnsiTheme="majorHAnsi"/>
                <w:sz w:val="18"/>
                <w:szCs w:val="18"/>
              </w:rPr>
            </w:pPr>
            <w:r w:rsidRPr="00C97C18">
              <w:rPr>
                <w:rFonts w:asciiTheme="majorHAnsi" w:hAnsiTheme="majorHAnsi"/>
                <w:sz w:val="18"/>
                <w:szCs w:val="18"/>
              </w:rPr>
              <w:t>Increasing awareness of public, state agencies, tourism operators, importers and shipping agents of the risks posed by IAS and the need for biosecurity measures that would reduce the risks of new introductions of IAS, resulting in reduced threats to endemic and threatened species, as well as reduced threats to food security, livelihoods, health and trade.  </w:t>
            </w:r>
          </w:p>
          <w:p w14:paraId="3B5F8CED" w14:textId="77777777" w:rsidR="0077105D" w:rsidRPr="00C97C18" w:rsidRDefault="0077105D" w:rsidP="0077105D">
            <w:pPr>
              <w:pStyle w:val="ListParagraph"/>
              <w:numPr>
                <w:ilvl w:val="0"/>
                <w:numId w:val="115"/>
              </w:numPr>
              <w:tabs>
                <w:tab w:val="left" w:pos="432"/>
              </w:tabs>
              <w:contextualSpacing/>
              <w:rPr>
                <w:rFonts w:asciiTheme="majorHAnsi" w:eastAsia="Times New Roman" w:hAnsiTheme="majorHAnsi"/>
                <w:sz w:val="18"/>
                <w:szCs w:val="18"/>
              </w:rPr>
            </w:pPr>
            <w:r w:rsidRPr="00C97C18">
              <w:rPr>
                <w:rFonts w:asciiTheme="majorHAnsi" w:hAnsiTheme="majorHAnsi"/>
                <w:sz w:val="18"/>
                <w:szCs w:val="18"/>
              </w:rPr>
              <w:t>Increasing awareness of public, national and state entities, decision makers and private sector of the need for integration of biodiversity considerations into national and sector planning and programs to ensure that the biological wealth is safeguarded for ensured economic prosperity.</w:t>
            </w:r>
          </w:p>
          <w:p w14:paraId="5BAE36F0" w14:textId="77777777" w:rsidR="0077105D" w:rsidRPr="00C97C18" w:rsidRDefault="0077105D" w:rsidP="0077105D">
            <w:pPr>
              <w:pStyle w:val="ListParagraph"/>
              <w:numPr>
                <w:ilvl w:val="0"/>
                <w:numId w:val="115"/>
              </w:numPr>
              <w:tabs>
                <w:tab w:val="left" w:pos="432"/>
              </w:tabs>
              <w:contextualSpacing/>
              <w:rPr>
                <w:rFonts w:asciiTheme="majorHAnsi" w:eastAsia="Times New Roman" w:hAnsiTheme="majorHAnsi"/>
                <w:sz w:val="18"/>
                <w:szCs w:val="18"/>
              </w:rPr>
            </w:pPr>
            <w:r w:rsidRPr="00C97C18">
              <w:rPr>
                <w:rFonts w:asciiTheme="majorHAnsi" w:eastAsia="Times New Roman" w:hAnsiTheme="majorHAnsi"/>
                <w:sz w:val="18"/>
                <w:szCs w:val="18"/>
              </w:rPr>
              <w:t>Implementation of national environmental sustainability priorities identified in the UNDAF by strengthening national and local capacity for sustainable management of Palau’s natural resources and to address IAS and the risks they pose to biodiversity. Specifically, the project directly contributes to the following of the UNDAF: Outcome 1. Strengthened n</w:t>
            </w:r>
            <w:r w:rsidRPr="00C97C18">
              <w:rPr>
                <w:rFonts w:asciiTheme="majorHAnsi" w:hAnsiTheme="majorHAnsi"/>
                <w:sz w:val="18"/>
                <w:szCs w:val="18"/>
              </w:rPr>
              <w:t>ational institutional framework for mainstreaming biodiversity conservation into key sectors through improved governance and integrated planning and management of land and seascapes</w:t>
            </w:r>
            <w:r w:rsidRPr="00C97C18">
              <w:rPr>
                <w:rFonts w:asciiTheme="majorHAnsi" w:hAnsiTheme="majorHAnsi"/>
                <w:b/>
                <w:sz w:val="18"/>
                <w:szCs w:val="18"/>
              </w:rPr>
              <w:t>.</w:t>
            </w:r>
          </w:p>
          <w:p w14:paraId="457E8308" w14:textId="77777777" w:rsidR="0077105D" w:rsidRPr="00C97C18" w:rsidRDefault="0077105D" w:rsidP="0077105D">
            <w:pPr>
              <w:pStyle w:val="ListParagraph"/>
              <w:numPr>
                <w:ilvl w:val="0"/>
                <w:numId w:val="115"/>
              </w:numPr>
              <w:tabs>
                <w:tab w:val="left" w:pos="432"/>
              </w:tabs>
              <w:contextualSpacing/>
              <w:rPr>
                <w:rFonts w:asciiTheme="majorHAnsi" w:eastAsia="Times New Roman" w:hAnsiTheme="majorHAnsi"/>
                <w:sz w:val="18"/>
                <w:szCs w:val="18"/>
              </w:rPr>
            </w:pPr>
            <w:r w:rsidRPr="00C97C18">
              <w:rPr>
                <w:rFonts w:asciiTheme="majorHAnsi" w:eastAsia="Times New Roman" w:hAnsiTheme="majorHAnsi"/>
                <w:sz w:val="18"/>
                <w:szCs w:val="18"/>
              </w:rPr>
              <w:t>Applying an integrated approach to planning and</w:t>
            </w:r>
            <w:r>
              <w:rPr>
                <w:rFonts w:asciiTheme="majorHAnsi" w:eastAsia="Times New Roman" w:hAnsiTheme="majorHAnsi"/>
                <w:sz w:val="18"/>
                <w:szCs w:val="18"/>
              </w:rPr>
              <w:t xml:space="preserve"> management of land and sea</w:t>
            </w:r>
            <w:r w:rsidRPr="00C97C18">
              <w:rPr>
                <w:rFonts w:asciiTheme="majorHAnsi" w:eastAsia="Times New Roman" w:hAnsiTheme="majorHAnsi"/>
                <w:sz w:val="18"/>
                <w:szCs w:val="18"/>
              </w:rPr>
              <w:t xml:space="preserve"> resources in the country to ensure balanced and sustainable economic development in Palau</w:t>
            </w:r>
          </w:p>
          <w:p w14:paraId="2175AEB0" w14:textId="77777777" w:rsidR="0077105D" w:rsidRPr="00C97C18" w:rsidRDefault="0077105D" w:rsidP="0077105D">
            <w:pPr>
              <w:numPr>
                <w:ilvl w:val="0"/>
                <w:numId w:val="115"/>
              </w:numPr>
              <w:tabs>
                <w:tab w:val="left" w:pos="432"/>
              </w:tabs>
              <w:spacing w:after="0"/>
              <w:contextualSpacing/>
              <w:jc w:val="left"/>
              <w:rPr>
                <w:rFonts w:asciiTheme="majorHAnsi" w:eastAsia="Times New Roman" w:hAnsiTheme="majorHAnsi"/>
                <w:sz w:val="18"/>
                <w:szCs w:val="18"/>
              </w:rPr>
            </w:pPr>
            <w:r w:rsidRPr="00C97C18">
              <w:rPr>
                <w:rFonts w:asciiTheme="majorHAnsi" w:eastAsia="Times New Roman" w:hAnsiTheme="majorHAnsi"/>
                <w:sz w:val="18"/>
                <w:szCs w:val="18"/>
              </w:rPr>
              <w:t xml:space="preserve">Applying a precautionary approach to natural resource conservation by supporting compilation of a “black list” of IAS species that pose a high risk to native biodiversity and livelihoods in Palau and a “white list” of those that are safe for entry that will be used to support cost-effective measures for improved prevention of high risk IAS from entering the country. </w:t>
            </w:r>
            <w:r w:rsidRPr="00C97C18">
              <w:rPr>
                <w:rFonts w:asciiTheme="majorHAnsi" w:hAnsiTheme="majorHAnsi"/>
                <w:sz w:val="18"/>
                <w:szCs w:val="18"/>
              </w:rPr>
              <w:t> </w:t>
            </w:r>
          </w:p>
          <w:p w14:paraId="3ABB552D" w14:textId="77777777" w:rsidR="0077105D" w:rsidRPr="00C97C18" w:rsidRDefault="0077105D" w:rsidP="0077105D">
            <w:pPr>
              <w:pStyle w:val="ListParagraph"/>
              <w:widowControl w:val="0"/>
              <w:numPr>
                <w:ilvl w:val="0"/>
                <w:numId w:val="115"/>
              </w:numPr>
              <w:autoSpaceDE w:val="0"/>
              <w:autoSpaceDN w:val="0"/>
              <w:adjustRightInd w:val="0"/>
              <w:contextualSpacing/>
              <w:rPr>
                <w:rFonts w:asciiTheme="majorHAnsi" w:hAnsiTheme="majorHAnsi"/>
                <w:sz w:val="18"/>
                <w:szCs w:val="18"/>
              </w:rPr>
            </w:pPr>
            <w:r w:rsidRPr="00C97C18">
              <w:rPr>
                <w:rFonts w:asciiTheme="majorHAnsi" w:hAnsiTheme="majorHAnsi"/>
                <w:sz w:val="18"/>
                <w:szCs w:val="18"/>
              </w:rPr>
              <w:t xml:space="preserve">Building improved recognition on </w:t>
            </w:r>
            <w:r>
              <w:rPr>
                <w:rFonts w:asciiTheme="majorHAnsi" w:hAnsiTheme="majorHAnsi"/>
                <w:sz w:val="18"/>
                <w:szCs w:val="18"/>
              </w:rPr>
              <w:t xml:space="preserve">the </w:t>
            </w:r>
            <w:r w:rsidRPr="00C97C18">
              <w:rPr>
                <w:rFonts w:asciiTheme="majorHAnsi" w:hAnsiTheme="majorHAnsi"/>
                <w:sz w:val="18"/>
                <w:szCs w:val="18"/>
              </w:rPr>
              <w:t xml:space="preserve">importance of biosecurity and control of IAS, including improved funding in Palau that would help further reduce risk of invasive species introductions. </w:t>
            </w:r>
          </w:p>
          <w:p w14:paraId="3FBF84E0" w14:textId="77777777" w:rsidR="0077105D" w:rsidRPr="00C97C18" w:rsidRDefault="0077105D" w:rsidP="0077105D">
            <w:pPr>
              <w:pStyle w:val="ListParagraph"/>
              <w:widowControl w:val="0"/>
              <w:numPr>
                <w:ilvl w:val="0"/>
                <w:numId w:val="115"/>
              </w:numPr>
              <w:autoSpaceDE w:val="0"/>
              <w:autoSpaceDN w:val="0"/>
              <w:adjustRightInd w:val="0"/>
              <w:contextualSpacing/>
              <w:rPr>
                <w:rFonts w:asciiTheme="majorHAnsi" w:hAnsiTheme="majorHAnsi"/>
                <w:sz w:val="18"/>
                <w:szCs w:val="18"/>
              </w:rPr>
            </w:pPr>
            <w:r w:rsidRPr="00C97C18">
              <w:rPr>
                <w:rFonts w:asciiTheme="majorHAnsi" w:hAnsiTheme="majorHAnsi"/>
                <w:sz w:val="18"/>
                <w:szCs w:val="18"/>
              </w:rPr>
              <w:t>Strengthened measures for prevention, detection, and control of entry of IAS of high risk to biodiversity and economic sectors into Palau would also be put in place.  </w:t>
            </w:r>
          </w:p>
          <w:p w14:paraId="315963F0" w14:textId="77777777" w:rsidR="0077105D" w:rsidRPr="00C97C18" w:rsidRDefault="0077105D" w:rsidP="0077105D">
            <w:pPr>
              <w:pStyle w:val="ListParagraph"/>
              <w:widowControl w:val="0"/>
              <w:numPr>
                <w:ilvl w:val="0"/>
                <w:numId w:val="115"/>
              </w:numPr>
              <w:autoSpaceDE w:val="0"/>
              <w:autoSpaceDN w:val="0"/>
              <w:adjustRightInd w:val="0"/>
              <w:contextualSpacing/>
              <w:rPr>
                <w:rFonts w:asciiTheme="majorHAnsi" w:hAnsiTheme="majorHAnsi"/>
                <w:sz w:val="18"/>
                <w:szCs w:val="18"/>
              </w:rPr>
            </w:pPr>
            <w:r w:rsidRPr="00C97C18">
              <w:rPr>
                <w:rFonts w:asciiTheme="majorHAnsi" w:hAnsiTheme="majorHAnsi"/>
                <w:sz w:val="18"/>
                <w:szCs w:val="18"/>
              </w:rPr>
              <w:t>Increased capacity of Enforcement Officers within the country as well as enhanced measures for detection, surveillance, monitoring and control of IAS in the country, all of which would enhance environmental security and sustainability.</w:t>
            </w:r>
          </w:p>
        </w:tc>
      </w:tr>
    </w:tbl>
    <w:p w14:paraId="50A8F92B" w14:textId="77777777" w:rsidR="0077105D" w:rsidRPr="00C97C18" w:rsidRDefault="0077105D" w:rsidP="0077105D">
      <w:pPr>
        <w:rPr>
          <w:b/>
          <w:sz w:val="18"/>
          <w:szCs w:val="18"/>
        </w:rPr>
      </w:pPr>
    </w:p>
    <w:p w14:paraId="7D6BCC72" w14:textId="77777777" w:rsidR="0077105D" w:rsidRPr="00C97C18" w:rsidRDefault="0077105D" w:rsidP="0077105D">
      <w:pPr>
        <w:keepNext/>
        <w:spacing w:before="200"/>
        <w:ind w:left="360"/>
        <w:rPr>
          <w:b/>
          <w:color w:val="365F91" w:themeColor="accent1" w:themeShade="BF"/>
          <w:sz w:val="18"/>
          <w:szCs w:val="18"/>
        </w:rPr>
      </w:pPr>
      <w:r w:rsidRPr="00C97C18">
        <w:rPr>
          <w:b/>
          <w:color w:val="365F91" w:themeColor="accent1" w:themeShade="BF"/>
          <w:sz w:val="18"/>
          <w:szCs w:val="18"/>
        </w:rPr>
        <w:t xml:space="preserve">Part B. Identifying and Managing Social and Environmental </w:t>
      </w:r>
      <w:r w:rsidRPr="00C97C18">
        <w:rPr>
          <w:b/>
          <w:color w:val="365F91" w:themeColor="accent1" w:themeShade="BF"/>
          <w:sz w:val="18"/>
          <w:szCs w:val="18"/>
          <w:u w:val="single"/>
        </w:rPr>
        <w:t>Risks</w:t>
      </w:r>
    </w:p>
    <w:p w14:paraId="2B8F2BD9" w14:textId="77777777" w:rsidR="0077105D" w:rsidRPr="00C97C18" w:rsidRDefault="0077105D" w:rsidP="0077105D">
      <w:pPr>
        <w:keepNext/>
        <w:rPr>
          <w:b/>
          <w:sz w:val="18"/>
          <w:szCs w:val="18"/>
        </w:rPr>
      </w:pPr>
    </w:p>
    <w:tbl>
      <w:tblPr>
        <w:tblW w:w="13140" w:type="dxa"/>
        <w:tblInd w:w="-5" w:type="dxa"/>
        <w:tblLayout w:type="fixed"/>
        <w:tblLook w:val="04A0" w:firstRow="1" w:lastRow="0" w:firstColumn="1" w:lastColumn="0" w:noHBand="0" w:noVBand="1"/>
      </w:tblPr>
      <w:tblGrid>
        <w:gridCol w:w="3510"/>
        <w:gridCol w:w="1080"/>
        <w:gridCol w:w="1170"/>
        <w:gridCol w:w="2093"/>
        <w:gridCol w:w="517"/>
        <w:gridCol w:w="23"/>
        <w:gridCol w:w="4747"/>
      </w:tblGrid>
      <w:tr w:rsidR="0077105D" w:rsidRPr="00C97C18" w14:paraId="7FC3FA97" w14:textId="77777777" w:rsidTr="00EB71A9">
        <w:trPr>
          <w:trHeight w:val="1061"/>
        </w:trPr>
        <w:tc>
          <w:tcPr>
            <w:tcW w:w="3510" w:type="dxa"/>
            <w:shd w:val="clear" w:color="auto" w:fill="0F243E" w:themeFill="text2" w:themeFillShade="80"/>
          </w:tcPr>
          <w:p w14:paraId="2E91F62E" w14:textId="77777777" w:rsidR="0077105D" w:rsidRPr="00C97C18" w:rsidRDefault="0077105D" w:rsidP="00EB71A9">
            <w:pPr>
              <w:keepNext/>
              <w:tabs>
                <w:tab w:val="left" w:pos="101"/>
              </w:tabs>
              <w:ind w:right="252" w:firstLine="11"/>
              <w:rPr>
                <w:b/>
                <w:sz w:val="18"/>
                <w:szCs w:val="18"/>
              </w:rPr>
            </w:pPr>
            <w:r w:rsidRPr="00C97C18">
              <w:rPr>
                <w:b/>
                <w:sz w:val="18"/>
                <w:szCs w:val="18"/>
              </w:rPr>
              <w:t xml:space="preserve">QUESTION 2: What are the Potential Social and Environmental Risks? </w:t>
            </w:r>
          </w:p>
          <w:p w14:paraId="309E0E17" w14:textId="77777777" w:rsidR="0077105D" w:rsidRPr="00C97C18" w:rsidRDefault="0077105D" w:rsidP="00EB71A9">
            <w:pPr>
              <w:keepNext/>
              <w:tabs>
                <w:tab w:val="left" w:pos="101"/>
              </w:tabs>
              <w:ind w:right="252" w:firstLine="11"/>
              <w:rPr>
                <w:b/>
                <w:sz w:val="18"/>
                <w:szCs w:val="18"/>
              </w:rPr>
            </w:pPr>
            <w:r w:rsidRPr="00C97C18">
              <w:rPr>
                <w:i/>
                <w:sz w:val="18"/>
                <w:szCs w:val="18"/>
              </w:rPr>
              <w:t>Note: Describe briefly potential social and environmental risks identified in Attachment 1 – Risk Screening Checklist (based on any “Yes” responses). If no risks have been identified in Attachment 1 then note “No Risks Identified” and skip to Question 4 and Select “Low Risk”. Questions 5 and 6 not required for Low Risk Projects.</w:t>
            </w:r>
          </w:p>
        </w:tc>
        <w:tc>
          <w:tcPr>
            <w:tcW w:w="4860" w:type="dxa"/>
            <w:gridSpan w:val="4"/>
            <w:shd w:val="clear" w:color="auto" w:fill="0F243E" w:themeFill="text2" w:themeFillShade="80"/>
          </w:tcPr>
          <w:p w14:paraId="3A8F57DB" w14:textId="77777777" w:rsidR="0077105D" w:rsidRPr="00C97C18" w:rsidRDefault="0077105D" w:rsidP="00EB71A9">
            <w:pPr>
              <w:keepNext/>
              <w:tabs>
                <w:tab w:val="left" w:pos="101"/>
              </w:tabs>
              <w:ind w:right="252" w:firstLine="11"/>
              <w:rPr>
                <w:b/>
                <w:sz w:val="18"/>
                <w:szCs w:val="18"/>
              </w:rPr>
            </w:pPr>
            <w:r w:rsidRPr="00C97C18">
              <w:rPr>
                <w:b/>
                <w:sz w:val="18"/>
                <w:szCs w:val="18"/>
              </w:rPr>
              <w:t>QUESTION 3: What is the level of significance of the potential social and environmental risks?</w:t>
            </w:r>
          </w:p>
          <w:p w14:paraId="282A3BAF" w14:textId="77777777" w:rsidR="0077105D" w:rsidRPr="00C97C18" w:rsidRDefault="0077105D" w:rsidP="00EB71A9">
            <w:pPr>
              <w:keepNext/>
              <w:tabs>
                <w:tab w:val="left" w:pos="432"/>
              </w:tabs>
              <w:rPr>
                <w:b/>
                <w:sz w:val="18"/>
                <w:szCs w:val="18"/>
              </w:rPr>
            </w:pPr>
            <w:r w:rsidRPr="00C97C18">
              <w:rPr>
                <w:i/>
                <w:sz w:val="18"/>
                <w:szCs w:val="18"/>
              </w:rPr>
              <w:t>Note: Respond to Questions 4 and 5 below before proceeding to Question 6</w:t>
            </w:r>
          </w:p>
        </w:tc>
        <w:tc>
          <w:tcPr>
            <w:tcW w:w="4770" w:type="dxa"/>
            <w:gridSpan w:val="2"/>
            <w:shd w:val="clear" w:color="auto" w:fill="0F243E" w:themeFill="text2" w:themeFillShade="80"/>
          </w:tcPr>
          <w:p w14:paraId="77407B38" w14:textId="77777777" w:rsidR="0077105D" w:rsidRPr="00C97C18" w:rsidRDefault="0077105D" w:rsidP="00EB71A9">
            <w:pPr>
              <w:keepNext/>
              <w:tabs>
                <w:tab w:val="left" w:pos="432"/>
              </w:tabs>
              <w:rPr>
                <w:b/>
                <w:sz w:val="18"/>
                <w:szCs w:val="18"/>
              </w:rPr>
            </w:pPr>
            <w:r w:rsidRPr="00C97C18">
              <w:rPr>
                <w:b/>
                <w:sz w:val="18"/>
                <w:szCs w:val="18"/>
              </w:rPr>
              <w:t>QUESTION 6: What social and environmental assessment and management measures have been conducted and/or are required to address potential risks (for Risks with Moderate and High Significance)?</w:t>
            </w:r>
          </w:p>
        </w:tc>
      </w:tr>
      <w:tr w:rsidR="0077105D" w:rsidRPr="00C97C18" w14:paraId="2439DB2E" w14:textId="77777777" w:rsidTr="00EB71A9">
        <w:tc>
          <w:tcPr>
            <w:tcW w:w="3510" w:type="dxa"/>
            <w:shd w:val="clear" w:color="auto" w:fill="C6D9F1" w:themeFill="text2" w:themeFillTint="33"/>
          </w:tcPr>
          <w:p w14:paraId="1C717EC0" w14:textId="77777777" w:rsidR="0077105D" w:rsidRPr="00C97C18" w:rsidRDefault="0077105D" w:rsidP="00EB71A9">
            <w:pPr>
              <w:rPr>
                <w:b/>
                <w:i/>
                <w:sz w:val="18"/>
                <w:szCs w:val="18"/>
              </w:rPr>
            </w:pPr>
            <w:r w:rsidRPr="00C97C18">
              <w:rPr>
                <w:b/>
                <w:i/>
                <w:sz w:val="18"/>
                <w:szCs w:val="18"/>
              </w:rPr>
              <w:t>Risk Description</w:t>
            </w:r>
          </w:p>
        </w:tc>
        <w:tc>
          <w:tcPr>
            <w:tcW w:w="1080" w:type="dxa"/>
            <w:shd w:val="clear" w:color="auto" w:fill="C6D9F1" w:themeFill="text2" w:themeFillTint="33"/>
          </w:tcPr>
          <w:p w14:paraId="49184405" w14:textId="77777777" w:rsidR="0077105D" w:rsidRPr="00C97C18" w:rsidRDefault="0077105D" w:rsidP="00EB71A9">
            <w:pPr>
              <w:rPr>
                <w:b/>
                <w:i/>
                <w:sz w:val="18"/>
                <w:szCs w:val="18"/>
              </w:rPr>
            </w:pPr>
            <w:r w:rsidRPr="00C97C18">
              <w:rPr>
                <w:b/>
                <w:i/>
                <w:sz w:val="18"/>
                <w:szCs w:val="18"/>
              </w:rPr>
              <w:t>Impact and Probability  (1-5)</w:t>
            </w:r>
          </w:p>
        </w:tc>
        <w:tc>
          <w:tcPr>
            <w:tcW w:w="1170" w:type="dxa"/>
            <w:shd w:val="clear" w:color="auto" w:fill="C6D9F1" w:themeFill="text2" w:themeFillTint="33"/>
          </w:tcPr>
          <w:p w14:paraId="42F65D77" w14:textId="77777777" w:rsidR="0077105D" w:rsidRPr="00C97C18" w:rsidRDefault="0077105D" w:rsidP="00EB71A9">
            <w:pPr>
              <w:rPr>
                <w:b/>
                <w:i/>
                <w:sz w:val="18"/>
                <w:szCs w:val="18"/>
              </w:rPr>
            </w:pPr>
            <w:r w:rsidRPr="00C97C18">
              <w:rPr>
                <w:b/>
                <w:i/>
                <w:sz w:val="18"/>
                <w:szCs w:val="18"/>
              </w:rPr>
              <w:t>Significance</w:t>
            </w:r>
          </w:p>
          <w:p w14:paraId="006C7C6B" w14:textId="77777777" w:rsidR="0077105D" w:rsidRPr="00C97C18" w:rsidRDefault="0077105D" w:rsidP="00EB71A9">
            <w:pPr>
              <w:rPr>
                <w:b/>
                <w:i/>
                <w:sz w:val="18"/>
                <w:szCs w:val="18"/>
              </w:rPr>
            </w:pPr>
            <w:r w:rsidRPr="00C97C18">
              <w:rPr>
                <w:b/>
                <w:i/>
                <w:sz w:val="18"/>
                <w:szCs w:val="18"/>
              </w:rPr>
              <w:t>(Low, Moderate, High)</w:t>
            </w:r>
          </w:p>
        </w:tc>
        <w:tc>
          <w:tcPr>
            <w:tcW w:w="2610" w:type="dxa"/>
            <w:gridSpan w:val="2"/>
            <w:shd w:val="clear" w:color="auto" w:fill="C6D9F1" w:themeFill="text2" w:themeFillTint="33"/>
          </w:tcPr>
          <w:p w14:paraId="5CEDD4B5" w14:textId="77777777" w:rsidR="0077105D" w:rsidRPr="00C97C18" w:rsidRDefault="0077105D" w:rsidP="00EB71A9">
            <w:pPr>
              <w:rPr>
                <w:b/>
                <w:i/>
                <w:sz w:val="18"/>
                <w:szCs w:val="18"/>
              </w:rPr>
            </w:pPr>
            <w:r w:rsidRPr="00C97C18">
              <w:rPr>
                <w:b/>
                <w:i/>
                <w:sz w:val="18"/>
                <w:szCs w:val="18"/>
              </w:rPr>
              <w:t>Comments</w:t>
            </w:r>
          </w:p>
        </w:tc>
        <w:tc>
          <w:tcPr>
            <w:tcW w:w="4770" w:type="dxa"/>
            <w:gridSpan w:val="2"/>
            <w:shd w:val="clear" w:color="auto" w:fill="C6D9F1" w:themeFill="text2" w:themeFillTint="33"/>
          </w:tcPr>
          <w:p w14:paraId="2B061AAB" w14:textId="77777777" w:rsidR="0077105D" w:rsidRPr="00C97C18" w:rsidRDefault="0077105D" w:rsidP="00EB71A9">
            <w:pPr>
              <w:rPr>
                <w:b/>
                <w:i/>
                <w:sz w:val="18"/>
                <w:szCs w:val="18"/>
              </w:rPr>
            </w:pPr>
            <w:r w:rsidRPr="00C97C18">
              <w:rPr>
                <w:b/>
                <w:i/>
                <w:sz w:val="18"/>
                <w:szCs w:val="18"/>
              </w:rPr>
              <w:t>Description of assessment and management measures as reflected in the Project design</w:t>
            </w:r>
            <w:r>
              <w:rPr>
                <w:b/>
                <w:i/>
                <w:sz w:val="18"/>
                <w:szCs w:val="18"/>
              </w:rPr>
              <w:t xml:space="preserve">. </w:t>
            </w:r>
            <w:r w:rsidRPr="00C97C18">
              <w:rPr>
                <w:b/>
                <w:i/>
                <w:sz w:val="18"/>
                <w:szCs w:val="18"/>
              </w:rPr>
              <w:t>If ESIA or SESA is required note that the assessment should consider all potential impacts and risks.</w:t>
            </w:r>
          </w:p>
        </w:tc>
      </w:tr>
      <w:tr w:rsidR="0077105D" w:rsidRPr="00C97C18" w14:paraId="21983335" w14:textId="77777777" w:rsidTr="00EB71A9">
        <w:tc>
          <w:tcPr>
            <w:tcW w:w="3510" w:type="dxa"/>
            <w:vAlign w:val="center"/>
          </w:tcPr>
          <w:p w14:paraId="5A9A2B02" w14:textId="77777777" w:rsidR="0077105D" w:rsidRPr="00C97C18" w:rsidRDefault="0077105D" w:rsidP="00EB71A9">
            <w:pPr>
              <w:rPr>
                <w:sz w:val="18"/>
                <w:szCs w:val="18"/>
              </w:rPr>
            </w:pPr>
            <w:r w:rsidRPr="00C97C18">
              <w:rPr>
                <w:sz w:val="18"/>
                <w:szCs w:val="18"/>
              </w:rPr>
              <w:t>Risk 1: Could the Project potentially restrict availability, quality of and access to resources or basic services, in particular to marginalized individuals or groups?</w:t>
            </w:r>
          </w:p>
        </w:tc>
        <w:tc>
          <w:tcPr>
            <w:tcW w:w="1080" w:type="dxa"/>
          </w:tcPr>
          <w:p w14:paraId="6770C783" w14:textId="77777777" w:rsidR="0077105D" w:rsidRPr="00C97C18" w:rsidRDefault="0077105D" w:rsidP="00EB71A9">
            <w:pPr>
              <w:rPr>
                <w:rFonts w:cs="Minion Pro"/>
                <w:sz w:val="18"/>
                <w:szCs w:val="18"/>
              </w:rPr>
            </w:pPr>
            <w:r w:rsidRPr="00C97C18">
              <w:rPr>
                <w:rFonts w:cs="Minion Pro"/>
                <w:sz w:val="18"/>
                <w:szCs w:val="18"/>
              </w:rPr>
              <w:t>I=</w:t>
            </w:r>
            <w:r>
              <w:rPr>
                <w:rFonts w:cs="Minion Pro"/>
                <w:sz w:val="18"/>
                <w:szCs w:val="18"/>
              </w:rPr>
              <w:t>2</w:t>
            </w:r>
          </w:p>
          <w:p w14:paraId="6CA2D9FC" w14:textId="77777777" w:rsidR="0077105D" w:rsidRPr="00C97C18" w:rsidRDefault="0077105D" w:rsidP="00EB71A9">
            <w:pPr>
              <w:rPr>
                <w:rFonts w:cs="Minion Pro"/>
                <w:sz w:val="18"/>
                <w:szCs w:val="18"/>
              </w:rPr>
            </w:pPr>
            <w:r w:rsidRPr="00C97C18">
              <w:rPr>
                <w:rFonts w:cs="Minion Pro"/>
                <w:sz w:val="18"/>
                <w:szCs w:val="18"/>
              </w:rPr>
              <w:t>P=</w:t>
            </w:r>
            <w:r>
              <w:rPr>
                <w:rFonts w:cs="Minion Pro"/>
                <w:sz w:val="18"/>
                <w:szCs w:val="18"/>
              </w:rPr>
              <w:t>3</w:t>
            </w:r>
          </w:p>
        </w:tc>
        <w:tc>
          <w:tcPr>
            <w:tcW w:w="1170" w:type="dxa"/>
          </w:tcPr>
          <w:p w14:paraId="3E9179E1" w14:textId="77777777" w:rsidR="0077105D" w:rsidRPr="00C97C18" w:rsidRDefault="0077105D" w:rsidP="00EB71A9">
            <w:pPr>
              <w:rPr>
                <w:b/>
                <w:sz w:val="18"/>
                <w:szCs w:val="18"/>
              </w:rPr>
            </w:pPr>
            <w:r>
              <w:rPr>
                <w:b/>
                <w:sz w:val="18"/>
                <w:szCs w:val="18"/>
              </w:rPr>
              <w:t>Moderate</w:t>
            </w:r>
          </w:p>
        </w:tc>
        <w:tc>
          <w:tcPr>
            <w:tcW w:w="2610" w:type="dxa"/>
            <w:gridSpan w:val="2"/>
          </w:tcPr>
          <w:p w14:paraId="6DFD84C7" w14:textId="77777777" w:rsidR="0077105D" w:rsidRDefault="0077105D" w:rsidP="00EB71A9">
            <w:pPr>
              <w:rPr>
                <w:sz w:val="18"/>
                <w:szCs w:val="18"/>
              </w:rPr>
            </w:pPr>
            <w:r w:rsidRPr="00C97C18">
              <w:rPr>
                <w:sz w:val="18"/>
                <w:szCs w:val="18"/>
              </w:rPr>
              <w:t xml:space="preserve">With the creation of new set asides of High Conservation Value Forests on Babeldaob and zoning of the seascape of Southern Lagoon States of Koror and Peleliu for multiple different uses, community rights of access may be restricted in specific areas. </w:t>
            </w:r>
          </w:p>
          <w:p w14:paraId="31DBB08B" w14:textId="77777777" w:rsidR="0077105D" w:rsidRPr="00F8437B" w:rsidRDefault="0077105D" w:rsidP="00EB71A9">
            <w:pPr>
              <w:rPr>
                <w:b/>
                <w:sz w:val="18"/>
                <w:szCs w:val="18"/>
              </w:rPr>
            </w:pPr>
            <w:r w:rsidRPr="00F8437B">
              <w:rPr>
                <w:rFonts w:asciiTheme="majorHAnsi" w:hAnsiTheme="majorHAnsi"/>
                <w:b/>
                <w:sz w:val="18"/>
                <w:szCs w:val="18"/>
              </w:rPr>
              <w:t xml:space="preserve">Referred to SESP Attachment 1: Principle 1. Question </w:t>
            </w:r>
            <w:r>
              <w:rPr>
                <w:rFonts w:asciiTheme="majorHAnsi" w:hAnsiTheme="majorHAnsi"/>
                <w:b/>
                <w:sz w:val="18"/>
                <w:szCs w:val="18"/>
              </w:rPr>
              <w:t>2 and 3; and Principle 3, Standard 5, Question 5.2 and 5.4</w:t>
            </w:r>
          </w:p>
        </w:tc>
        <w:tc>
          <w:tcPr>
            <w:tcW w:w="4770" w:type="dxa"/>
            <w:gridSpan w:val="2"/>
          </w:tcPr>
          <w:p w14:paraId="54108DDA" w14:textId="77777777" w:rsidR="0077105D" w:rsidRDefault="0077105D" w:rsidP="00EB71A9">
            <w:pPr>
              <w:rPr>
                <w:sz w:val="18"/>
                <w:szCs w:val="18"/>
              </w:rPr>
            </w:pPr>
            <w:r>
              <w:rPr>
                <w:sz w:val="18"/>
                <w:szCs w:val="18"/>
              </w:rPr>
              <w:t>The following measures were instituted or are proposed to manage this risk;</w:t>
            </w:r>
          </w:p>
          <w:p w14:paraId="1A1EB75E" w14:textId="77777777" w:rsidR="0077105D" w:rsidRDefault="0077105D" w:rsidP="00EB71A9">
            <w:pPr>
              <w:rPr>
                <w:sz w:val="18"/>
                <w:szCs w:val="18"/>
              </w:rPr>
            </w:pPr>
            <w:r>
              <w:rPr>
                <w:sz w:val="18"/>
                <w:szCs w:val="18"/>
              </w:rPr>
              <w:t xml:space="preserve">(i) A </w:t>
            </w:r>
            <w:r w:rsidRPr="004473B5">
              <w:rPr>
                <w:rFonts w:asciiTheme="majorHAnsi" w:hAnsiTheme="majorHAnsi"/>
                <w:b/>
                <w:sz w:val="18"/>
                <w:szCs w:val="18"/>
              </w:rPr>
              <w:t>Framework for Participatory Land/Seascape Planning and Management</w:t>
            </w:r>
            <w:r>
              <w:rPr>
                <w:rFonts w:asciiTheme="majorHAnsi" w:hAnsiTheme="majorHAnsi"/>
                <w:b/>
                <w:sz w:val="18"/>
                <w:szCs w:val="18"/>
              </w:rPr>
              <w:t xml:space="preserve"> (Annex 4) was designed during PPG stage – </w:t>
            </w:r>
            <w:r w:rsidRPr="004473B5">
              <w:rPr>
                <w:rFonts w:asciiTheme="majorHAnsi" w:hAnsiTheme="majorHAnsi"/>
                <w:sz w:val="18"/>
                <w:szCs w:val="18"/>
              </w:rPr>
              <w:t>This includes s</w:t>
            </w:r>
            <w:r w:rsidRPr="004473B5">
              <w:rPr>
                <w:sz w:val="18"/>
                <w:szCs w:val="18"/>
              </w:rPr>
              <w:t>pecific approaches for consultation and participatory decision making to ensure that project activities are detailed in collaboration with States and local communities, so that extensive consultation including all affected groups is undertaken prior to delineation of areas to be set aside</w:t>
            </w:r>
            <w:r>
              <w:rPr>
                <w:sz w:val="18"/>
                <w:szCs w:val="18"/>
              </w:rPr>
              <w:t xml:space="preserve">s. </w:t>
            </w:r>
          </w:p>
          <w:p w14:paraId="276D5C74" w14:textId="77777777" w:rsidR="0077105D" w:rsidRPr="00337351" w:rsidRDefault="0077105D" w:rsidP="00EB71A9">
            <w:pPr>
              <w:rPr>
                <w:sz w:val="18"/>
                <w:szCs w:val="18"/>
              </w:rPr>
            </w:pPr>
            <w:r>
              <w:rPr>
                <w:sz w:val="18"/>
                <w:szCs w:val="18"/>
              </w:rPr>
              <w:t xml:space="preserve">(ii) </w:t>
            </w:r>
            <w:r w:rsidRPr="00337351">
              <w:rPr>
                <w:b/>
                <w:sz w:val="18"/>
                <w:szCs w:val="18"/>
              </w:rPr>
              <w:t xml:space="preserve">Preparation of a </w:t>
            </w:r>
            <w:r>
              <w:rPr>
                <w:b/>
                <w:sz w:val="18"/>
                <w:szCs w:val="18"/>
              </w:rPr>
              <w:t xml:space="preserve">screening </w:t>
            </w:r>
            <w:r w:rsidRPr="00337351">
              <w:rPr>
                <w:b/>
                <w:sz w:val="18"/>
                <w:szCs w:val="18"/>
              </w:rPr>
              <w:t xml:space="preserve">checklist </w:t>
            </w:r>
            <w:r>
              <w:rPr>
                <w:sz w:val="18"/>
                <w:szCs w:val="18"/>
              </w:rPr>
              <w:t xml:space="preserve">during early project implementation based on eligibility criteria for project investments developed at PPG stage (refer Paragraph 9 of Annex 4) to </w:t>
            </w:r>
            <w:r w:rsidRPr="00337351">
              <w:rPr>
                <w:rFonts w:asciiTheme="majorHAnsi" w:hAnsiTheme="majorHAnsi" w:cs="Calibri"/>
                <w:sz w:val="18"/>
                <w:szCs w:val="18"/>
              </w:rPr>
              <w:t xml:space="preserve">screen </w:t>
            </w:r>
            <w:r>
              <w:rPr>
                <w:rFonts w:asciiTheme="majorHAnsi" w:hAnsiTheme="majorHAnsi" w:cs="Calibri"/>
                <w:sz w:val="18"/>
                <w:szCs w:val="18"/>
              </w:rPr>
              <w:t>all</w:t>
            </w:r>
            <w:r w:rsidRPr="00337351">
              <w:rPr>
                <w:rFonts w:asciiTheme="majorHAnsi" w:hAnsiTheme="majorHAnsi" w:cs="Calibri"/>
                <w:sz w:val="18"/>
                <w:szCs w:val="18"/>
              </w:rPr>
              <w:t xml:space="preserve"> investments </w:t>
            </w:r>
            <w:r>
              <w:rPr>
                <w:rFonts w:asciiTheme="majorHAnsi" w:hAnsiTheme="majorHAnsi" w:cs="Calibri"/>
                <w:sz w:val="18"/>
                <w:szCs w:val="18"/>
              </w:rPr>
              <w:t xml:space="preserve">(including set-asides) to ensure that they </w:t>
            </w:r>
            <w:r w:rsidRPr="00337351">
              <w:rPr>
                <w:rFonts w:asciiTheme="majorHAnsi" w:hAnsiTheme="majorHAnsi" w:cs="Calibri"/>
                <w:sz w:val="18"/>
                <w:szCs w:val="18"/>
              </w:rPr>
              <w:t>comply with sound social and environmental principles and are sustainable</w:t>
            </w:r>
            <w:r>
              <w:rPr>
                <w:rFonts w:asciiTheme="majorHAnsi" w:hAnsiTheme="majorHAnsi" w:cs="Calibri"/>
                <w:sz w:val="18"/>
                <w:szCs w:val="18"/>
              </w:rPr>
              <w:t>, including avoidance of restriction in access to the extent feasible.</w:t>
            </w:r>
          </w:p>
          <w:p w14:paraId="298096AC" w14:textId="77777777" w:rsidR="0077105D" w:rsidRDefault="0077105D" w:rsidP="00EB71A9">
            <w:pPr>
              <w:rPr>
                <w:rFonts w:asciiTheme="majorHAnsi" w:hAnsiTheme="majorHAnsi"/>
                <w:sz w:val="18"/>
                <w:szCs w:val="18"/>
              </w:rPr>
            </w:pPr>
            <w:r w:rsidRPr="00337351">
              <w:rPr>
                <w:rFonts w:asciiTheme="majorHAnsi" w:hAnsiTheme="majorHAnsi"/>
                <w:sz w:val="18"/>
                <w:szCs w:val="18"/>
              </w:rPr>
              <w:t xml:space="preserve">(iii) </w:t>
            </w:r>
            <w:r>
              <w:rPr>
                <w:rFonts w:asciiTheme="majorHAnsi" w:hAnsiTheme="majorHAnsi"/>
                <w:sz w:val="18"/>
                <w:szCs w:val="18"/>
              </w:rPr>
              <w:t>P</w:t>
            </w:r>
            <w:r w:rsidRPr="00337351">
              <w:rPr>
                <w:rFonts w:asciiTheme="majorHAnsi" w:hAnsiTheme="majorHAnsi"/>
                <w:sz w:val="18"/>
                <w:szCs w:val="18"/>
              </w:rPr>
              <w:t>roject planning will ensure that decisions regarding restrictions, if any, on resource use will not be imposed, but will involve through an informed, transparent and consultative community consensus building process</w:t>
            </w:r>
            <w:r>
              <w:rPr>
                <w:rFonts w:asciiTheme="majorHAnsi" w:hAnsiTheme="majorHAnsi"/>
                <w:sz w:val="18"/>
                <w:szCs w:val="18"/>
              </w:rPr>
              <w:t xml:space="preserve"> </w:t>
            </w:r>
            <w:r w:rsidRPr="00337351">
              <w:rPr>
                <w:rFonts w:asciiTheme="majorHAnsi" w:hAnsiTheme="majorHAnsi"/>
                <w:b/>
                <w:sz w:val="18"/>
                <w:szCs w:val="18"/>
              </w:rPr>
              <w:t>(refer Annex 4)</w:t>
            </w:r>
            <w:r w:rsidRPr="00337351">
              <w:rPr>
                <w:rFonts w:asciiTheme="majorHAnsi" w:hAnsiTheme="majorHAnsi"/>
                <w:sz w:val="18"/>
                <w:szCs w:val="18"/>
              </w:rPr>
              <w:t xml:space="preserve">, and any restrictions, if any will be adequately compensated to match or exceed loss of incomes or livelihoods.  </w:t>
            </w:r>
            <w:r>
              <w:rPr>
                <w:rFonts w:asciiTheme="majorHAnsi" w:hAnsiTheme="majorHAnsi"/>
                <w:sz w:val="18"/>
                <w:szCs w:val="18"/>
              </w:rPr>
              <w:t xml:space="preserve">An </w:t>
            </w:r>
            <w:r w:rsidRPr="00337351">
              <w:rPr>
                <w:rFonts w:asciiTheme="majorHAnsi" w:hAnsiTheme="majorHAnsi"/>
                <w:b/>
                <w:sz w:val="18"/>
                <w:szCs w:val="18"/>
              </w:rPr>
              <w:t>alternative livelihood development plan</w:t>
            </w:r>
            <w:r>
              <w:rPr>
                <w:rFonts w:asciiTheme="majorHAnsi" w:hAnsiTheme="majorHAnsi"/>
                <w:sz w:val="18"/>
                <w:szCs w:val="18"/>
              </w:rPr>
              <w:t xml:space="preserve"> will be prepared early in project implementation (Year 1) for any households that are likely to be denied access to resources or current livelihood practice. </w:t>
            </w:r>
          </w:p>
          <w:p w14:paraId="452117BB" w14:textId="77777777" w:rsidR="0077105D" w:rsidRPr="000050D2" w:rsidRDefault="0077105D" w:rsidP="00EB71A9">
            <w:pPr>
              <w:rPr>
                <w:rFonts w:asciiTheme="majorHAnsi" w:hAnsiTheme="majorHAnsi"/>
                <w:sz w:val="18"/>
                <w:szCs w:val="18"/>
              </w:rPr>
            </w:pPr>
            <w:r>
              <w:rPr>
                <w:rFonts w:asciiTheme="majorHAnsi" w:hAnsiTheme="majorHAnsi"/>
                <w:sz w:val="18"/>
                <w:szCs w:val="18"/>
              </w:rPr>
              <w:t xml:space="preserve">(iv) </w:t>
            </w:r>
            <w:r w:rsidRPr="00337351">
              <w:rPr>
                <w:rFonts w:asciiTheme="majorHAnsi" w:hAnsiTheme="majorHAnsi"/>
                <w:sz w:val="18"/>
                <w:szCs w:val="18"/>
              </w:rPr>
              <w:t xml:space="preserve">The project </w:t>
            </w:r>
            <w:r w:rsidRPr="000050D2">
              <w:rPr>
                <w:rFonts w:asciiTheme="majorHAnsi" w:hAnsiTheme="majorHAnsi"/>
                <w:b/>
                <w:sz w:val="18"/>
                <w:szCs w:val="18"/>
              </w:rPr>
              <w:t>grievance redressal system (Annex 8)</w:t>
            </w:r>
            <w:r>
              <w:rPr>
                <w:rFonts w:asciiTheme="majorHAnsi" w:hAnsiTheme="majorHAnsi"/>
                <w:sz w:val="18"/>
                <w:szCs w:val="18"/>
              </w:rPr>
              <w:t xml:space="preserve"> </w:t>
            </w:r>
            <w:r w:rsidRPr="00337351">
              <w:rPr>
                <w:rFonts w:asciiTheme="majorHAnsi" w:hAnsiTheme="majorHAnsi"/>
                <w:sz w:val="18"/>
                <w:szCs w:val="18"/>
              </w:rPr>
              <w:t xml:space="preserve">provides a mechanism to address any specific community concerns. </w:t>
            </w:r>
          </w:p>
        </w:tc>
      </w:tr>
      <w:tr w:rsidR="0077105D" w:rsidRPr="00C97C18" w14:paraId="09D391D5" w14:textId="77777777" w:rsidTr="00EB71A9">
        <w:tc>
          <w:tcPr>
            <w:tcW w:w="3510" w:type="dxa"/>
            <w:vAlign w:val="center"/>
          </w:tcPr>
          <w:p w14:paraId="66F13CA9" w14:textId="77777777" w:rsidR="0077105D" w:rsidRPr="00C97C18" w:rsidRDefault="0077105D" w:rsidP="00EB71A9">
            <w:pPr>
              <w:rPr>
                <w:sz w:val="18"/>
                <w:szCs w:val="18"/>
              </w:rPr>
            </w:pPr>
            <w:r w:rsidRPr="00C97C18">
              <w:rPr>
                <w:sz w:val="18"/>
                <w:szCs w:val="18"/>
              </w:rPr>
              <w:t xml:space="preserve">Risk 2: Project activities (under component 2 and 3) to integrate conservation and biodiversity safeguards into landscape planning and management in Babeldaob and to rehabilitate and implement responsible management of tourism, fisheries, forestry, agriculture and aquaculture and tourism in the Southern Lagoon States of Koror and Peleliu are within or adjacent to critical habitats and/or environmentally sensitive areas, including legally protected areas. </w:t>
            </w:r>
          </w:p>
        </w:tc>
        <w:tc>
          <w:tcPr>
            <w:tcW w:w="1080" w:type="dxa"/>
          </w:tcPr>
          <w:p w14:paraId="4FB11961" w14:textId="77777777" w:rsidR="0077105D" w:rsidRPr="00C97C18" w:rsidRDefault="0077105D" w:rsidP="00EB71A9">
            <w:pPr>
              <w:rPr>
                <w:rFonts w:cs="Minion Pro"/>
                <w:sz w:val="18"/>
                <w:szCs w:val="18"/>
              </w:rPr>
            </w:pPr>
            <w:r w:rsidRPr="00C97C18">
              <w:rPr>
                <w:rFonts w:cs="Minion Pro"/>
                <w:sz w:val="18"/>
                <w:szCs w:val="18"/>
              </w:rPr>
              <w:t>I=3</w:t>
            </w:r>
          </w:p>
          <w:p w14:paraId="58276CFD" w14:textId="77777777" w:rsidR="0077105D" w:rsidRPr="00C97C18" w:rsidRDefault="0077105D" w:rsidP="00EB71A9">
            <w:pPr>
              <w:rPr>
                <w:rFonts w:cs="Minion Pro"/>
                <w:sz w:val="18"/>
                <w:szCs w:val="18"/>
              </w:rPr>
            </w:pPr>
            <w:r w:rsidRPr="00C97C18">
              <w:rPr>
                <w:rFonts w:cs="Minion Pro"/>
                <w:sz w:val="18"/>
                <w:szCs w:val="18"/>
              </w:rPr>
              <w:t>P=2</w:t>
            </w:r>
          </w:p>
        </w:tc>
        <w:tc>
          <w:tcPr>
            <w:tcW w:w="1170" w:type="dxa"/>
          </w:tcPr>
          <w:p w14:paraId="7B8CFC13" w14:textId="77777777" w:rsidR="0077105D" w:rsidRPr="00C97C18" w:rsidRDefault="0077105D" w:rsidP="00EB71A9">
            <w:pPr>
              <w:rPr>
                <w:b/>
                <w:sz w:val="18"/>
                <w:szCs w:val="18"/>
              </w:rPr>
            </w:pPr>
            <w:r>
              <w:rPr>
                <w:b/>
                <w:sz w:val="18"/>
                <w:szCs w:val="18"/>
              </w:rPr>
              <w:t>Low</w:t>
            </w:r>
          </w:p>
        </w:tc>
        <w:tc>
          <w:tcPr>
            <w:tcW w:w="2610" w:type="dxa"/>
            <w:gridSpan w:val="2"/>
          </w:tcPr>
          <w:p w14:paraId="6AAF60C2" w14:textId="77777777" w:rsidR="0077105D" w:rsidRDefault="0077105D" w:rsidP="00EB71A9">
            <w:pPr>
              <w:rPr>
                <w:rFonts w:asciiTheme="majorHAnsi" w:hAnsiTheme="majorHAnsi"/>
                <w:sz w:val="18"/>
                <w:szCs w:val="18"/>
              </w:rPr>
            </w:pPr>
            <w:r w:rsidRPr="0014686D">
              <w:rPr>
                <w:rFonts w:asciiTheme="majorHAnsi" w:hAnsiTheme="majorHAnsi"/>
                <w:sz w:val="18"/>
                <w:szCs w:val="18"/>
              </w:rPr>
              <w:t xml:space="preserve">Project interventions in terms of </w:t>
            </w:r>
            <w:r>
              <w:rPr>
                <w:rFonts w:asciiTheme="majorHAnsi" w:hAnsiTheme="majorHAnsi"/>
                <w:sz w:val="18"/>
                <w:szCs w:val="18"/>
              </w:rPr>
              <w:t xml:space="preserve">best practices for </w:t>
            </w:r>
            <w:r w:rsidRPr="0014686D">
              <w:rPr>
                <w:rFonts w:asciiTheme="majorHAnsi" w:hAnsiTheme="majorHAnsi"/>
                <w:sz w:val="18"/>
                <w:szCs w:val="18"/>
              </w:rPr>
              <w:t xml:space="preserve">biodiversity conservation, sustainable harvest of non-forest products, </w:t>
            </w:r>
            <w:r>
              <w:rPr>
                <w:rFonts w:asciiTheme="majorHAnsi" w:hAnsiTheme="majorHAnsi"/>
                <w:sz w:val="18"/>
                <w:szCs w:val="18"/>
              </w:rPr>
              <w:t xml:space="preserve">agriculture, </w:t>
            </w:r>
            <w:r w:rsidRPr="0014686D">
              <w:rPr>
                <w:rFonts w:asciiTheme="majorHAnsi" w:hAnsiTheme="majorHAnsi"/>
                <w:sz w:val="18"/>
                <w:szCs w:val="18"/>
              </w:rPr>
              <w:t>livelihood improve</w:t>
            </w:r>
            <w:r>
              <w:rPr>
                <w:rFonts w:asciiTheme="majorHAnsi" w:hAnsiTheme="majorHAnsi"/>
                <w:sz w:val="18"/>
                <w:szCs w:val="18"/>
              </w:rPr>
              <w:t>ments</w:t>
            </w:r>
            <w:r w:rsidRPr="0014686D">
              <w:rPr>
                <w:rFonts w:asciiTheme="majorHAnsi" w:hAnsiTheme="majorHAnsi"/>
                <w:sz w:val="18"/>
                <w:szCs w:val="18"/>
              </w:rPr>
              <w:t xml:space="preserve"> and </w:t>
            </w:r>
            <w:r>
              <w:rPr>
                <w:rFonts w:asciiTheme="majorHAnsi" w:hAnsiTheme="majorHAnsi"/>
                <w:sz w:val="18"/>
                <w:szCs w:val="18"/>
              </w:rPr>
              <w:t xml:space="preserve">sustainable </w:t>
            </w:r>
            <w:r w:rsidRPr="0014686D">
              <w:rPr>
                <w:rFonts w:asciiTheme="majorHAnsi" w:hAnsiTheme="majorHAnsi"/>
                <w:sz w:val="18"/>
                <w:szCs w:val="18"/>
              </w:rPr>
              <w:t>tourism are likely to occur within and adjacent to protected areas and critical habitats</w:t>
            </w:r>
            <w:r>
              <w:rPr>
                <w:rFonts w:asciiTheme="majorHAnsi" w:hAnsiTheme="majorHAnsi"/>
                <w:sz w:val="18"/>
                <w:szCs w:val="18"/>
              </w:rPr>
              <w:t xml:space="preserve">. </w:t>
            </w:r>
          </w:p>
          <w:p w14:paraId="651FD60E" w14:textId="77777777" w:rsidR="0077105D" w:rsidRPr="00C97C18" w:rsidRDefault="0077105D" w:rsidP="00EB71A9">
            <w:pPr>
              <w:rPr>
                <w:b/>
                <w:sz w:val="18"/>
                <w:szCs w:val="18"/>
              </w:rPr>
            </w:pPr>
            <w:r w:rsidRPr="00D117C6">
              <w:rPr>
                <w:rFonts w:asciiTheme="majorHAnsi" w:hAnsiTheme="majorHAnsi"/>
                <w:b/>
                <w:sz w:val="18"/>
                <w:szCs w:val="18"/>
              </w:rPr>
              <w:t>Referred to SESP Attachment 1: Principle 3, Standard 1, Question 1.2</w:t>
            </w:r>
            <w:r>
              <w:rPr>
                <w:rFonts w:asciiTheme="majorHAnsi" w:hAnsiTheme="majorHAnsi"/>
                <w:b/>
                <w:sz w:val="18"/>
                <w:szCs w:val="18"/>
              </w:rPr>
              <w:t xml:space="preserve">, </w:t>
            </w:r>
            <w:r w:rsidRPr="00D117C6">
              <w:rPr>
                <w:rFonts w:asciiTheme="majorHAnsi" w:hAnsiTheme="majorHAnsi"/>
                <w:b/>
                <w:sz w:val="18"/>
                <w:szCs w:val="18"/>
              </w:rPr>
              <w:t>1.6</w:t>
            </w:r>
            <w:r>
              <w:rPr>
                <w:rFonts w:asciiTheme="majorHAnsi" w:hAnsiTheme="majorHAnsi"/>
                <w:b/>
                <w:sz w:val="18"/>
                <w:szCs w:val="18"/>
              </w:rPr>
              <w:t xml:space="preserve"> and 1.7</w:t>
            </w:r>
          </w:p>
        </w:tc>
        <w:tc>
          <w:tcPr>
            <w:tcW w:w="4770" w:type="dxa"/>
            <w:gridSpan w:val="2"/>
          </w:tcPr>
          <w:p w14:paraId="1163C04A" w14:textId="77777777" w:rsidR="0077105D" w:rsidRDefault="0077105D" w:rsidP="00EB71A9">
            <w:pPr>
              <w:rPr>
                <w:sz w:val="18"/>
                <w:szCs w:val="18"/>
              </w:rPr>
            </w:pPr>
            <w:r>
              <w:rPr>
                <w:sz w:val="18"/>
                <w:szCs w:val="18"/>
              </w:rPr>
              <w:t>The following measures were instituted or are proposed to manage this risk;</w:t>
            </w:r>
          </w:p>
          <w:p w14:paraId="3AD48B42" w14:textId="77777777" w:rsidR="0077105D" w:rsidRPr="000050D2" w:rsidRDefault="0077105D" w:rsidP="00EB71A9">
            <w:pPr>
              <w:rPr>
                <w:sz w:val="18"/>
                <w:szCs w:val="18"/>
              </w:rPr>
            </w:pPr>
            <w:r>
              <w:rPr>
                <w:b/>
                <w:sz w:val="18"/>
                <w:szCs w:val="18"/>
              </w:rPr>
              <w:t xml:space="preserve">(i) Participatory mapping and consultation exercise (see guidance in Annex 4). </w:t>
            </w:r>
            <w:r>
              <w:rPr>
                <w:sz w:val="18"/>
                <w:szCs w:val="18"/>
              </w:rPr>
              <w:t xml:space="preserve">The </w:t>
            </w:r>
            <w:r w:rsidRPr="00C97C18">
              <w:rPr>
                <w:sz w:val="18"/>
                <w:szCs w:val="18"/>
              </w:rPr>
              <w:t>consultation</w:t>
            </w:r>
            <w:r>
              <w:rPr>
                <w:sz w:val="18"/>
                <w:szCs w:val="18"/>
              </w:rPr>
              <w:t>s</w:t>
            </w:r>
            <w:r w:rsidRPr="00C97C18">
              <w:rPr>
                <w:sz w:val="18"/>
                <w:szCs w:val="18"/>
              </w:rPr>
              <w:t xml:space="preserve"> </w:t>
            </w:r>
            <w:r>
              <w:rPr>
                <w:sz w:val="18"/>
                <w:szCs w:val="18"/>
              </w:rPr>
              <w:t xml:space="preserve">during the land/seascape </w:t>
            </w:r>
            <w:r w:rsidRPr="00C97C18">
              <w:rPr>
                <w:sz w:val="18"/>
                <w:szCs w:val="18"/>
              </w:rPr>
              <w:t xml:space="preserve">planning and zoning process that will follow </w:t>
            </w:r>
            <w:r>
              <w:rPr>
                <w:sz w:val="18"/>
                <w:szCs w:val="18"/>
              </w:rPr>
              <w:t xml:space="preserve">the mapping </w:t>
            </w:r>
            <w:r w:rsidRPr="00C97C18">
              <w:rPr>
                <w:sz w:val="18"/>
                <w:szCs w:val="18"/>
              </w:rPr>
              <w:t>will ensure that activities would be located and planned to ensure that these will not have any negative impacts on protected or environmentally sensitive areas</w:t>
            </w:r>
            <w:r>
              <w:rPr>
                <w:sz w:val="18"/>
                <w:szCs w:val="18"/>
              </w:rPr>
              <w:t>. A 2007 Ecoregional Assessment determined that most High Conservation Value Forests are on state-owned land and thus their conservation would have little impact on land ownership and tenure</w:t>
            </w:r>
          </w:p>
          <w:p w14:paraId="06EF3B8C" w14:textId="77777777" w:rsidR="0077105D" w:rsidRDefault="0077105D" w:rsidP="00EB71A9">
            <w:pPr>
              <w:rPr>
                <w:sz w:val="18"/>
                <w:szCs w:val="18"/>
              </w:rPr>
            </w:pPr>
            <w:r>
              <w:rPr>
                <w:b/>
                <w:sz w:val="18"/>
                <w:szCs w:val="18"/>
              </w:rPr>
              <w:t xml:space="preserve">(ii) The </w:t>
            </w:r>
            <w:r w:rsidRPr="00337351">
              <w:rPr>
                <w:b/>
                <w:sz w:val="18"/>
                <w:szCs w:val="18"/>
              </w:rPr>
              <w:t xml:space="preserve">Preparation of a </w:t>
            </w:r>
            <w:r>
              <w:rPr>
                <w:b/>
                <w:sz w:val="18"/>
                <w:szCs w:val="18"/>
              </w:rPr>
              <w:t xml:space="preserve">screening </w:t>
            </w:r>
            <w:r w:rsidRPr="00337351">
              <w:rPr>
                <w:b/>
                <w:sz w:val="18"/>
                <w:szCs w:val="18"/>
              </w:rPr>
              <w:t xml:space="preserve">checklist </w:t>
            </w:r>
            <w:r>
              <w:rPr>
                <w:sz w:val="18"/>
                <w:szCs w:val="18"/>
              </w:rPr>
              <w:t xml:space="preserve">during early project implementation based on eligibility criteria for project investments developed (refer Paragraph 9 of Annex 4) to </w:t>
            </w:r>
            <w:r w:rsidRPr="00337351">
              <w:rPr>
                <w:rFonts w:asciiTheme="majorHAnsi" w:hAnsiTheme="majorHAnsi" w:cs="Calibri"/>
                <w:sz w:val="18"/>
                <w:szCs w:val="18"/>
              </w:rPr>
              <w:t xml:space="preserve">screen </w:t>
            </w:r>
            <w:r>
              <w:rPr>
                <w:rFonts w:asciiTheme="majorHAnsi" w:hAnsiTheme="majorHAnsi" w:cs="Calibri"/>
                <w:sz w:val="18"/>
                <w:szCs w:val="18"/>
              </w:rPr>
              <w:t>all</w:t>
            </w:r>
            <w:r w:rsidRPr="00337351">
              <w:rPr>
                <w:rFonts w:asciiTheme="majorHAnsi" w:hAnsiTheme="majorHAnsi" w:cs="Calibri"/>
                <w:sz w:val="18"/>
                <w:szCs w:val="18"/>
              </w:rPr>
              <w:t xml:space="preserve"> investments </w:t>
            </w:r>
            <w:r>
              <w:rPr>
                <w:rFonts w:asciiTheme="majorHAnsi" w:hAnsiTheme="majorHAnsi" w:cs="Calibri"/>
                <w:sz w:val="18"/>
                <w:szCs w:val="18"/>
              </w:rPr>
              <w:t xml:space="preserve">to ensure that they </w:t>
            </w:r>
            <w:r w:rsidRPr="00337351">
              <w:rPr>
                <w:rFonts w:asciiTheme="majorHAnsi" w:hAnsiTheme="majorHAnsi" w:cs="Calibri"/>
                <w:sz w:val="18"/>
                <w:szCs w:val="18"/>
              </w:rPr>
              <w:t xml:space="preserve">comply with sound social and environmental principles and </w:t>
            </w:r>
            <w:r>
              <w:rPr>
                <w:rFonts w:asciiTheme="majorHAnsi" w:hAnsiTheme="majorHAnsi" w:cs="Calibri"/>
                <w:sz w:val="18"/>
                <w:szCs w:val="18"/>
              </w:rPr>
              <w:t>is</w:t>
            </w:r>
            <w:r w:rsidRPr="00337351">
              <w:rPr>
                <w:rFonts w:asciiTheme="majorHAnsi" w:hAnsiTheme="majorHAnsi" w:cs="Calibri"/>
                <w:sz w:val="18"/>
                <w:szCs w:val="18"/>
              </w:rPr>
              <w:t xml:space="preserve"> sustainable</w:t>
            </w:r>
            <w:r>
              <w:rPr>
                <w:rFonts w:asciiTheme="majorHAnsi" w:hAnsiTheme="majorHAnsi" w:cs="Calibri"/>
                <w:sz w:val="18"/>
                <w:szCs w:val="18"/>
              </w:rPr>
              <w:t xml:space="preserve">.  Such a checklist would also include potential for introduction of IAS (in particular for the forestry and aquaculture activities) and location in and around protected areas. </w:t>
            </w:r>
          </w:p>
          <w:p w14:paraId="22CC11CC" w14:textId="77777777" w:rsidR="0077105D" w:rsidRPr="00763A6C" w:rsidRDefault="0077105D" w:rsidP="00EB71A9">
            <w:pPr>
              <w:rPr>
                <w:rFonts w:asciiTheme="majorHAnsi" w:hAnsiTheme="majorHAnsi"/>
                <w:sz w:val="18"/>
                <w:szCs w:val="18"/>
              </w:rPr>
            </w:pPr>
            <w:r>
              <w:rPr>
                <w:sz w:val="18"/>
                <w:szCs w:val="18"/>
              </w:rPr>
              <w:t xml:space="preserve">(iii) </w:t>
            </w:r>
            <w:r w:rsidRPr="000050D2">
              <w:rPr>
                <w:b/>
                <w:sz w:val="18"/>
                <w:szCs w:val="18"/>
              </w:rPr>
              <w:t>Support for best practices</w:t>
            </w:r>
            <w:r>
              <w:rPr>
                <w:sz w:val="18"/>
                <w:szCs w:val="18"/>
              </w:rPr>
              <w:t xml:space="preserve"> </w:t>
            </w:r>
            <w:r w:rsidRPr="000050D2">
              <w:rPr>
                <w:b/>
                <w:sz w:val="18"/>
                <w:szCs w:val="18"/>
              </w:rPr>
              <w:t>(see Annex 4, Attachments 1 and 2)</w:t>
            </w:r>
            <w:r>
              <w:rPr>
                <w:sz w:val="18"/>
                <w:szCs w:val="18"/>
              </w:rPr>
              <w:t xml:space="preserve"> In terms of aquaculture, agriculture, fisheries and forestry that involve native species. In the case of aquaculture, the project will support only the following best practices  (rabbitfish and giant clam), so there is no risk of IAS introduction.  Best practices involve open penning in natural settings (no manmade ponds) with little effluent, so aquaculture activities are not anticipated to present any risk.  In terms of harvest of fish species, the project would only support best practices, identify and demarcate “set-aside” areas in consultation with local communities, including harvest limits, and set up monitoring of fish harvest and indicators of the health of the marine fisheries and ecosystems.</w:t>
            </w:r>
          </w:p>
        </w:tc>
      </w:tr>
      <w:tr w:rsidR="0077105D" w:rsidRPr="00C97C18" w14:paraId="261EF1AF" w14:textId="77777777" w:rsidTr="00EB71A9">
        <w:tc>
          <w:tcPr>
            <w:tcW w:w="3510" w:type="dxa"/>
            <w:vAlign w:val="center"/>
          </w:tcPr>
          <w:p w14:paraId="148E603D" w14:textId="77777777" w:rsidR="0077105D" w:rsidRPr="00C97C18" w:rsidRDefault="0077105D" w:rsidP="00EB71A9">
            <w:pPr>
              <w:rPr>
                <w:sz w:val="18"/>
                <w:szCs w:val="18"/>
              </w:rPr>
            </w:pPr>
            <w:r w:rsidRPr="00C97C18">
              <w:rPr>
                <w:sz w:val="18"/>
                <w:szCs w:val="18"/>
              </w:rPr>
              <w:t>Risk 3: The project involves restoration</w:t>
            </w:r>
            <w:r>
              <w:rPr>
                <w:sz w:val="18"/>
                <w:szCs w:val="18"/>
              </w:rPr>
              <w:t>/rehabilitation</w:t>
            </w:r>
            <w:r w:rsidRPr="00C97C18">
              <w:rPr>
                <w:sz w:val="18"/>
                <w:szCs w:val="18"/>
              </w:rPr>
              <w:t xml:space="preserve"> of approximately 1,000ha of degraded forest/savannah to reduce risks from wildfires and IAS.</w:t>
            </w:r>
          </w:p>
        </w:tc>
        <w:tc>
          <w:tcPr>
            <w:tcW w:w="1080" w:type="dxa"/>
          </w:tcPr>
          <w:p w14:paraId="350EBF0E" w14:textId="77777777" w:rsidR="0077105D" w:rsidRPr="00C97C18" w:rsidRDefault="0077105D" w:rsidP="00EB71A9">
            <w:pPr>
              <w:rPr>
                <w:rFonts w:cs="Minion Pro"/>
                <w:sz w:val="18"/>
                <w:szCs w:val="18"/>
              </w:rPr>
            </w:pPr>
            <w:r w:rsidRPr="00C97C18">
              <w:rPr>
                <w:rFonts w:cs="Minion Pro"/>
                <w:sz w:val="18"/>
                <w:szCs w:val="18"/>
              </w:rPr>
              <w:t>I=1</w:t>
            </w:r>
          </w:p>
          <w:p w14:paraId="11C44D16" w14:textId="77777777" w:rsidR="0077105D" w:rsidRPr="00C97C18" w:rsidRDefault="0077105D" w:rsidP="00EB71A9">
            <w:pPr>
              <w:rPr>
                <w:rFonts w:cs="Minion Pro"/>
                <w:sz w:val="18"/>
                <w:szCs w:val="18"/>
              </w:rPr>
            </w:pPr>
            <w:r w:rsidRPr="00C97C18">
              <w:rPr>
                <w:rFonts w:cs="Minion Pro"/>
                <w:sz w:val="18"/>
                <w:szCs w:val="18"/>
              </w:rPr>
              <w:t>P=</w:t>
            </w:r>
            <w:r>
              <w:rPr>
                <w:rFonts w:cs="Minion Pro"/>
                <w:sz w:val="18"/>
                <w:szCs w:val="18"/>
              </w:rPr>
              <w:t>3</w:t>
            </w:r>
          </w:p>
        </w:tc>
        <w:tc>
          <w:tcPr>
            <w:tcW w:w="1170" w:type="dxa"/>
          </w:tcPr>
          <w:p w14:paraId="32CE0608" w14:textId="77777777" w:rsidR="0077105D" w:rsidRPr="00C97C18" w:rsidRDefault="0077105D" w:rsidP="00EB71A9">
            <w:pPr>
              <w:rPr>
                <w:b/>
                <w:sz w:val="18"/>
                <w:szCs w:val="18"/>
              </w:rPr>
            </w:pPr>
            <w:r w:rsidRPr="00C97C18">
              <w:rPr>
                <w:b/>
                <w:sz w:val="18"/>
                <w:szCs w:val="18"/>
              </w:rPr>
              <w:t>Low</w:t>
            </w:r>
          </w:p>
        </w:tc>
        <w:tc>
          <w:tcPr>
            <w:tcW w:w="2610" w:type="dxa"/>
            <w:gridSpan w:val="2"/>
          </w:tcPr>
          <w:p w14:paraId="24CA2DDC" w14:textId="77777777" w:rsidR="0077105D" w:rsidRDefault="0077105D" w:rsidP="00EB71A9">
            <w:pPr>
              <w:rPr>
                <w:rFonts w:asciiTheme="majorHAnsi" w:hAnsiTheme="majorHAnsi"/>
                <w:sz w:val="18"/>
                <w:szCs w:val="18"/>
              </w:rPr>
            </w:pPr>
            <w:r w:rsidRPr="0014686D">
              <w:rPr>
                <w:rFonts w:asciiTheme="majorHAnsi" w:hAnsiTheme="majorHAnsi"/>
                <w:sz w:val="18"/>
                <w:szCs w:val="18"/>
              </w:rPr>
              <w:t xml:space="preserve">Project preparation indicates that </w:t>
            </w:r>
            <w:r>
              <w:rPr>
                <w:rFonts w:asciiTheme="majorHAnsi" w:hAnsiTheme="majorHAnsi"/>
                <w:sz w:val="18"/>
                <w:szCs w:val="18"/>
              </w:rPr>
              <w:t xml:space="preserve">risks related to forest restoration are negligible, but IAS introduction is potentially possible if the activities are not adequately managed. </w:t>
            </w:r>
          </w:p>
          <w:p w14:paraId="7B4E194D" w14:textId="77777777" w:rsidR="0077105D" w:rsidRPr="00C97C18" w:rsidRDefault="0077105D" w:rsidP="00EB71A9">
            <w:pPr>
              <w:rPr>
                <w:b/>
                <w:sz w:val="18"/>
                <w:szCs w:val="18"/>
              </w:rPr>
            </w:pPr>
            <w:r w:rsidRPr="00D117C6">
              <w:rPr>
                <w:rFonts w:asciiTheme="majorHAnsi" w:hAnsiTheme="majorHAnsi"/>
                <w:b/>
                <w:sz w:val="18"/>
                <w:szCs w:val="18"/>
              </w:rPr>
              <w:t>Referred to SESP Attachment 1: Standard 1, Question 1.6</w:t>
            </w:r>
          </w:p>
        </w:tc>
        <w:tc>
          <w:tcPr>
            <w:tcW w:w="4770" w:type="dxa"/>
            <w:gridSpan w:val="2"/>
          </w:tcPr>
          <w:p w14:paraId="7E2D8AA4" w14:textId="77777777" w:rsidR="0077105D" w:rsidRDefault="0077105D" w:rsidP="00EB71A9">
            <w:pPr>
              <w:rPr>
                <w:sz w:val="18"/>
                <w:szCs w:val="18"/>
              </w:rPr>
            </w:pPr>
            <w:r>
              <w:rPr>
                <w:sz w:val="18"/>
                <w:szCs w:val="18"/>
              </w:rPr>
              <w:t>The following measures were instituted or are proposed to manage this risk;</w:t>
            </w:r>
          </w:p>
          <w:p w14:paraId="342CB688" w14:textId="77777777" w:rsidR="0077105D" w:rsidRDefault="0077105D" w:rsidP="00EB71A9">
            <w:pPr>
              <w:rPr>
                <w:sz w:val="18"/>
                <w:szCs w:val="18"/>
              </w:rPr>
            </w:pPr>
            <w:r>
              <w:rPr>
                <w:sz w:val="18"/>
                <w:szCs w:val="18"/>
              </w:rPr>
              <w:t xml:space="preserve">(i) </w:t>
            </w:r>
            <w:r w:rsidRPr="00AD6224">
              <w:rPr>
                <w:rFonts w:asciiTheme="majorHAnsi" w:hAnsiTheme="majorHAnsi"/>
                <w:b/>
                <w:sz w:val="18"/>
                <w:szCs w:val="18"/>
              </w:rPr>
              <w:t>Preparation of rehabilitation and restoration plans</w:t>
            </w:r>
            <w:r w:rsidRPr="00AD6224">
              <w:rPr>
                <w:rFonts w:asciiTheme="majorHAnsi" w:hAnsiTheme="majorHAnsi"/>
                <w:sz w:val="18"/>
                <w:szCs w:val="18"/>
              </w:rPr>
              <w:t xml:space="preserve"> for the identified sites</w:t>
            </w:r>
            <w:r>
              <w:rPr>
                <w:rFonts w:asciiTheme="majorHAnsi" w:hAnsiTheme="majorHAnsi"/>
                <w:sz w:val="18"/>
                <w:szCs w:val="18"/>
              </w:rPr>
              <w:t xml:space="preserve">: </w:t>
            </w:r>
            <w:r w:rsidRPr="00C97C18">
              <w:rPr>
                <w:sz w:val="18"/>
                <w:szCs w:val="18"/>
              </w:rPr>
              <w:t>Rehabilitation</w:t>
            </w:r>
            <w:r>
              <w:rPr>
                <w:sz w:val="18"/>
                <w:szCs w:val="18"/>
              </w:rPr>
              <w:t>/restoration</w:t>
            </w:r>
            <w:r w:rsidRPr="00C97C18">
              <w:rPr>
                <w:sz w:val="18"/>
                <w:szCs w:val="18"/>
              </w:rPr>
              <w:t xml:space="preserve"> activities are planned in areas of degraded forest/savannah</w:t>
            </w:r>
            <w:r>
              <w:rPr>
                <w:sz w:val="18"/>
                <w:szCs w:val="18"/>
              </w:rPr>
              <w:t xml:space="preserve">. </w:t>
            </w:r>
            <w:r w:rsidRPr="00C97C18">
              <w:rPr>
                <w:sz w:val="18"/>
                <w:szCs w:val="18"/>
              </w:rPr>
              <w:t>The proposed mapping exercises will help define areas for rehabilitation</w:t>
            </w:r>
            <w:r>
              <w:rPr>
                <w:sz w:val="18"/>
                <w:szCs w:val="18"/>
              </w:rPr>
              <w:t xml:space="preserve">/restoration and ensure development of </w:t>
            </w:r>
            <w:r w:rsidRPr="00C97C18">
              <w:rPr>
                <w:sz w:val="18"/>
                <w:szCs w:val="18"/>
              </w:rPr>
              <w:t xml:space="preserve">protocols that meet </w:t>
            </w:r>
            <w:r>
              <w:rPr>
                <w:sz w:val="18"/>
                <w:szCs w:val="18"/>
              </w:rPr>
              <w:t xml:space="preserve">local and </w:t>
            </w:r>
            <w:r w:rsidRPr="00C97C18">
              <w:rPr>
                <w:sz w:val="18"/>
                <w:szCs w:val="18"/>
              </w:rPr>
              <w:t>international criteria for ecological restoration and biodiversity conservation and which avoid the use of IAS</w:t>
            </w:r>
            <w:r>
              <w:rPr>
                <w:sz w:val="18"/>
                <w:szCs w:val="18"/>
              </w:rPr>
              <w:t xml:space="preserve">. </w:t>
            </w:r>
            <w:r w:rsidRPr="00AD6224">
              <w:rPr>
                <w:b/>
                <w:sz w:val="18"/>
                <w:szCs w:val="18"/>
              </w:rPr>
              <w:t xml:space="preserve">The restoration and rehabilitation plans </w:t>
            </w:r>
            <w:r w:rsidRPr="00C97C18">
              <w:rPr>
                <w:sz w:val="18"/>
                <w:szCs w:val="18"/>
              </w:rPr>
              <w:t xml:space="preserve">will encourage the use of native species and restoration efforts will focus on assisted natural regeneration rather than on reforestation. </w:t>
            </w:r>
            <w:r>
              <w:rPr>
                <w:sz w:val="18"/>
                <w:szCs w:val="18"/>
              </w:rPr>
              <w:t>The restoration plans will considers findings of a 2010 Statewide Assessment of Forest Resources and Forest Strategy that prioritizes restoration methods based on studies by the Institute of Pacific Island Forestry (also a project partner).</w:t>
            </w:r>
          </w:p>
          <w:p w14:paraId="32634A1C" w14:textId="77777777" w:rsidR="0077105D" w:rsidRPr="00AD6224" w:rsidRDefault="0077105D" w:rsidP="00EB71A9">
            <w:pPr>
              <w:rPr>
                <w:sz w:val="18"/>
                <w:szCs w:val="18"/>
              </w:rPr>
            </w:pPr>
            <w:r>
              <w:rPr>
                <w:rFonts w:asciiTheme="majorHAnsi" w:hAnsiTheme="majorHAnsi"/>
                <w:sz w:val="18"/>
                <w:szCs w:val="18"/>
              </w:rPr>
              <w:t xml:space="preserve">(ii) </w:t>
            </w:r>
            <w:r>
              <w:rPr>
                <w:b/>
                <w:sz w:val="18"/>
                <w:szCs w:val="18"/>
              </w:rPr>
              <w:t xml:space="preserve">The </w:t>
            </w:r>
            <w:r w:rsidRPr="00337351">
              <w:rPr>
                <w:b/>
                <w:sz w:val="18"/>
                <w:szCs w:val="18"/>
              </w:rPr>
              <w:t xml:space="preserve">Preparation of a </w:t>
            </w:r>
            <w:r>
              <w:rPr>
                <w:b/>
                <w:sz w:val="18"/>
                <w:szCs w:val="18"/>
              </w:rPr>
              <w:t xml:space="preserve">screening </w:t>
            </w:r>
            <w:r w:rsidRPr="00337351">
              <w:rPr>
                <w:b/>
                <w:sz w:val="18"/>
                <w:szCs w:val="18"/>
              </w:rPr>
              <w:t xml:space="preserve">checklist </w:t>
            </w:r>
            <w:r>
              <w:rPr>
                <w:sz w:val="18"/>
                <w:szCs w:val="18"/>
              </w:rPr>
              <w:t xml:space="preserve">during early project implementation based on eligibility criteria for project investments developed (refer Paragraph 9 of Annex 4) to </w:t>
            </w:r>
            <w:r w:rsidRPr="00337351">
              <w:rPr>
                <w:rFonts w:asciiTheme="majorHAnsi" w:hAnsiTheme="majorHAnsi" w:cs="Calibri"/>
                <w:sz w:val="18"/>
                <w:szCs w:val="18"/>
              </w:rPr>
              <w:t xml:space="preserve">screen </w:t>
            </w:r>
            <w:r>
              <w:rPr>
                <w:rFonts w:asciiTheme="majorHAnsi" w:hAnsiTheme="majorHAnsi" w:cs="Calibri"/>
                <w:sz w:val="18"/>
                <w:szCs w:val="18"/>
              </w:rPr>
              <w:t>all</w:t>
            </w:r>
            <w:r w:rsidRPr="00337351">
              <w:rPr>
                <w:rFonts w:asciiTheme="majorHAnsi" w:hAnsiTheme="majorHAnsi" w:cs="Calibri"/>
                <w:sz w:val="18"/>
                <w:szCs w:val="18"/>
              </w:rPr>
              <w:t xml:space="preserve"> investments </w:t>
            </w:r>
            <w:r>
              <w:rPr>
                <w:rFonts w:asciiTheme="majorHAnsi" w:hAnsiTheme="majorHAnsi" w:cs="Calibri"/>
                <w:sz w:val="18"/>
                <w:szCs w:val="18"/>
              </w:rPr>
              <w:t xml:space="preserve">to ensure that they </w:t>
            </w:r>
            <w:r w:rsidRPr="00337351">
              <w:rPr>
                <w:rFonts w:asciiTheme="majorHAnsi" w:hAnsiTheme="majorHAnsi" w:cs="Calibri"/>
                <w:sz w:val="18"/>
                <w:szCs w:val="18"/>
              </w:rPr>
              <w:t xml:space="preserve">comply with sound social and environmental principles and </w:t>
            </w:r>
            <w:r>
              <w:rPr>
                <w:rFonts w:asciiTheme="majorHAnsi" w:hAnsiTheme="majorHAnsi" w:cs="Calibri"/>
                <w:sz w:val="18"/>
                <w:szCs w:val="18"/>
              </w:rPr>
              <w:t>is</w:t>
            </w:r>
            <w:r w:rsidRPr="00337351">
              <w:rPr>
                <w:rFonts w:asciiTheme="majorHAnsi" w:hAnsiTheme="majorHAnsi" w:cs="Calibri"/>
                <w:sz w:val="18"/>
                <w:szCs w:val="18"/>
              </w:rPr>
              <w:t xml:space="preserve"> sustainable</w:t>
            </w:r>
            <w:r>
              <w:rPr>
                <w:rFonts w:asciiTheme="majorHAnsi" w:hAnsiTheme="majorHAnsi" w:cs="Calibri"/>
                <w:sz w:val="18"/>
                <w:szCs w:val="18"/>
              </w:rPr>
              <w:t xml:space="preserve">.  Such a checklist would also include potential for introduction of IAS. </w:t>
            </w:r>
            <w:r>
              <w:rPr>
                <w:sz w:val="18"/>
                <w:szCs w:val="18"/>
              </w:rPr>
              <w:t>of Pacific Island Forestry (also a project partner).</w:t>
            </w:r>
          </w:p>
        </w:tc>
      </w:tr>
      <w:tr w:rsidR="0077105D" w:rsidRPr="00C97C18" w14:paraId="4EA4C799" w14:textId="77777777" w:rsidTr="00EB71A9">
        <w:tc>
          <w:tcPr>
            <w:tcW w:w="3510" w:type="dxa"/>
            <w:vAlign w:val="center"/>
          </w:tcPr>
          <w:p w14:paraId="0C2A946E" w14:textId="77777777" w:rsidR="0077105D" w:rsidRPr="00C97C18" w:rsidRDefault="0077105D" w:rsidP="00EB71A9">
            <w:pPr>
              <w:rPr>
                <w:sz w:val="18"/>
                <w:szCs w:val="18"/>
              </w:rPr>
            </w:pPr>
            <w:r w:rsidRPr="00C97C18">
              <w:rPr>
                <w:sz w:val="18"/>
                <w:szCs w:val="18"/>
              </w:rPr>
              <w:t xml:space="preserve">Risk 4: Climate change may increase the threat from IAS by increasing the frequency/severity of extreme events (fires, floods, etc.), thereby decreasing ecosystem resilience and increasing the risk that IAS are more easily established. Climate change may also impact coral reefs and marine habitats within the project’s demonstration areas. </w:t>
            </w:r>
          </w:p>
        </w:tc>
        <w:tc>
          <w:tcPr>
            <w:tcW w:w="1080" w:type="dxa"/>
          </w:tcPr>
          <w:p w14:paraId="588CE8DF" w14:textId="77777777" w:rsidR="0077105D" w:rsidRPr="00C97C18" w:rsidRDefault="0077105D" w:rsidP="00EB71A9">
            <w:pPr>
              <w:rPr>
                <w:rFonts w:cs="Minion Pro"/>
                <w:sz w:val="18"/>
                <w:szCs w:val="18"/>
              </w:rPr>
            </w:pPr>
            <w:r w:rsidRPr="00C97C18">
              <w:rPr>
                <w:rFonts w:cs="Minion Pro"/>
                <w:sz w:val="18"/>
                <w:szCs w:val="18"/>
              </w:rPr>
              <w:t>I = 3</w:t>
            </w:r>
          </w:p>
          <w:p w14:paraId="30CE9398" w14:textId="77777777" w:rsidR="0077105D" w:rsidRPr="00C97C18" w:rsidRDefault="0077105D" w:rsidP="00EB71A9">
            <w:pPr>
              <w:rPr>
                <w:rFonts w:cs="Minion Pro"/>
                <w:sz w:val="18"/>
                <w:szCs w:val="18"/>
              </w:rPr>
            </w:pPr>
            <w:r w:rsidRPr="00C97C18">
              <w:rPr>
                <w:rFonts w:cs="Minion Pro"/>
                <w:sz w:val="18"/>
                <w:szCs w:val="18"/>
              </w:rPr>
              <w:t xml:space="preserve">P = </w:t>
            </w:r>
            <w:r>
              <w:rPr>
                <w:rFonts w:cs="Minion Pro"/>
                <w:sz w:val="18"/>
                <w:szCs w:val="18"/>
              </w:rPr>
              <w:t>2</w:t>
            </w:r>
          </w:p>
        </w:tc>
        <w:tc>
          <w:tcPr>
            <w:tcW w:w="1170" w:type="dxa"/>
          </w:tcPr>
          <w:p w14:paraId="00010D3B" w14:textId="77777777" w:rsidR="0077105D" w:rsidRPr="00C97C18" w:rsidRDefault="0077105D" w:rsidP="00EB71A9">
            <w:pPr>
              <w:rPr>
                <w:b/>
                <w:sz w:val="18"/>
                <w:szCs w:val="18"/>
              </w:rPr>
            </w:pPr>
            <w:r>
              <w:rPr>
                <w:b/>
                <w:sz w:val="18"/>
                <w:szCs w:val="18"/>
              </w:rPr>
              <w:t>Low</w:t>
            </w:r>
          </w:p>
        </w:tc>
        <w:tc>
          <w:tcPr>
            <w:tcW w:w="2610" w:type="dxa"/>
            <w:gridSpan w:val="2"/>
          </w:tcPr>
          <w:p w14:paraId="43655033" w14:textId="77777777" w:rsidR="0077105D" w:rsidRPr="0014686D" w:rsidRDefault="0077105D" w:rsidP="00EB71A9">
            <w:pPr>
              <w:jc w:val="left"/>
              <w:rPr>
                <w:rFonts w:asciiTheme="majorHAnsi" w:hAnsiTheme="majorHAnsi"/>
                <w:sz w:val="18"/>
                <w:szCs w:val="18"/>
              </w:rPr>
            </w:pPr>
            <w:r>
              <w:rPr>
                <w:rFonts w:asciiTheme="majorHAnsi" w:hAnsiTheme="majorHAnsi"/>
                <w:sz w:val="18"/>
                <w:szCs w:val="18"/>
              </w:rPr>
              <w:t xml:space="preserve">The could be potential climate change risks that would require identification and management, including increased forest fires, coral damage etc. </w:t>
            </w:r>
            <w:r w:rsidRPr="0014686D">
              <w:rPr>
                <w:rFonts w:asciiTheme="majorHAnsi" w:hAnsiTheme="majorHAnsi"/>
                <w:sz w:val="18"/>
                <w:szCs w:val="18"/>
              </w:rPr>
              <w:t>. Limited screening would be undertaken during project implementation to ensure that climate change risks a</w:t>
            </w:r>
            <w:r>
              <w:rPr>
                <w:rFonts w:asciiTheme="majorHAnsi" w:hAnsiTheme="majorHAnsi"/>
                <w:sz w:val="18"/>
                <w:szCs w:val="18"/>
              </w:rPr>
              <w:t>re</w:t>
            </w:r>
            <w:r w:rsidRPr="0014686D">
              <w:rPr>
                <w:rFonts w:asciiTheme="majorHAnsi" w:hAnsiTheme="majorHAnsi"/>
                <w:sz w:val="18"/>
                <w:szCs w:val="18"/>
              </w:rPr>
              <w:t xml:space="preserve"> </w:t>
            </w:r>
            <w:r>
              <w:rPr>
                <w:rFonts w:asciiTheme="majorHAnsi" w:hAnsiTheme="majorHAnsi"/>
                <w:sz w:val="18"/>
                <w:szCs w:val="18"/>
              </w:rPr>
              <w:t xml:space="preserve">identified and </w:t>
            </w:r>
            <w:r w:rsidRPr="0014686D">
              <w:rPr>
                <w:rFonts w:asciiTheme="majorHAnsi" w:hAnsiTheme="majorHAnsi"/>
                <w:sz w:val="18"/>
                <w:szCs w:val="18"/>
              </w:rPr>
              <w:t>managed.</w:t>
            </w:r>
          </w:p>
          <w:p w14:paraId="20C27E1C" w14:textId="77777777" w:rsidR="0077105D" w:rsidRPr="00C97C18" w:rsidRDefault="0077105D" w:rsidP="00EB71A9">
            <w:pPr>
              <w:rPr>
                <w:b/>
                <w:sz w:val="18"/>
                <w:szCs w:val="18"/>
              </w:rPr>
            </w:pPr>
            <w:r w:rsidRPr="00D117C6">
              <w:rPr>
                <w:rFonts w:asciiTheme="majorHAnsi" w:hAnsiTheme="majorHAnsi"/>
                <w:b/>
                <w:sz w:val="18"/>
                <w:szCs w:val="18"/>
              </w:rPr>
              <w:t>Referred to SESP Attachment 1: Principle 3, Standard 2, Question 2.2</w:t>
            </w:r>
          </w:p>
        </w:tc>
        <w:tc>
          <w:tcPr>
            <w:tcW w:w="4770" w:type="dxa"/>
            <w:gridSpan w:val="2"/>
          </w:tcPr>
          <w:p w14:paraId="606CC7BE" w14:textId="77777777" w:rsidR="0077105D" w:rsidRDefault="0077105D" w:rsidP="00EB71A9">
            <w:pPr>
              <w:rPr>
                <w:sz w:val="18"/>
                <w:szCs w:val="18"/>
              </w:rPr>
            </w:pPr>
            <w:r>
              <w:rPr>
                <w:sz w:val="18"/>
                <w:szCs w:val="18"/>
              </w:rPr>
              <w:t>The following measures were instituted or are proposed to manage this risk;</w:t>
            </w:r>
          </w:p>
          <w:p w14:paraId="4837C07B" w14:textId="77777777" w:rsidR="0077105D" w:rsidRDefault="0077105D" w:rsidP="00EB71A9">
            <w:pPr>
              <w:rPr>
                <w:sz w:val="18"/>
                <w:szCs w:val="18"/>
              </w:rPr>
            </w:pPr>
            <w:r>
              <w:rPr>
                <w:sz w:val="18"/>
                <w:szCs w:val="18"/>
              </w:rPr>
              <w:t xml:space="preserve">(i) </w:t>
            </w:r>
            <w:r w:rsidRPr="00ED722D">
              <w:rPr>
                <w:b/>
                <w:sz w:val="18"/>
                <w:szCs w:val="18"/>
              </w:rPr>
              <w:t>The IAS risk analyses and blacklist and whitelist</w:t>
            </w:r>
            <w:r w:rsidRPr="00C97C18">
              <w:rPr>
                <w:sz w:val="18"/>
                <w:szCs w:val="18"/>
              </w:rPr>
              <w:t xml:space="preserve"> </w:t>
            </w:r>
            <w:r>
              <w:rPr>
                <w:sz w:val="18"/>
                <w:szCs w:val="18"/>
              </w:rPr>
              <w:t xml:space="preserve">to be </w:t>
            </w:r>
            <w:r w:rsidRPr="00C97C18">
              <w:rPr>
                <w:sz w:val="18"/>
                <w:szCs w:val="18"/>
              </w:rPr>
              <w:t xml:space="preserve">developed under the project will integrate climate considerations to consider risks from IAS under projected climate change. </w:t>
            </w:r>
          </w:p>
          <w:p w14:paraId="1DDFFD36" w14:textId="77777777" w:rsidR="0077105D" w:rsidRDefault="0077105D" w:rsidP="00EB71A9">
            <w:pPr>
              <w:rPr>
                <w:sz w:val="18"/>
                <w:szCs w:val="18"/>
              </w:rPr>
            </w:pPr>
            <w:r>
              <w:rPr>
                <w:sz w:val="18"/>
                <w:szCs w:val="18"/>
              </w:rPr>
              <w:t xml:space="preserve">(ii) </w:t>
            </w:r>
            <w:r w:rsidRPr="00ED722D">
              <w:rPr>
                <w:b/>
                <w:sz w:val="18"/>
                <w:szCs w:val="18"/>
              </w:rPr>
              <w:t>Implementation of Components 2 and 3</w:t>
            </w:r>
            <w:r>
              <w:rPr>
                <w:sz w:val="18"/>
                <w:szCs w:val="18"/>
              </w:rPr>
              <w:t xml:space="preserve"> will be carried out ensuring that land and sea based activities are environmentally sustainable and supporting best practices in terrestrial and marine environments and managed for their climate risks.  These activities will be implemented through community participation that will encourage reduction of fire risk and other land based practices that can cause marine and coral reef degradation. Set-asides and other conservation practices </w:t>
            </w:r>
            <w:r w:rsidRPr="00C97C18">
              <w:rPr>
                <w:sz w:val="18"/>
                <w:szCs w:val="18"/>
              </w:rPr>
              <w:t xml:space="preserve">should improve protection and management of coral reefs within these areas, which should help to increase the overall resilience of the reefs </w:t>
            </w:r>
            <w:r>
              <w:rPr>
                <w:sz w:val="18"/>
                <w:szCs w:val="18"/>
              </w:rPr>
              <w:t xml:space="preserve">to climate risks </w:t>
            </w:r>
            <w:r w:rsidRPr="00C97C18">
              <w:rPr>
                <w:sz w:val="18"/>
                <w:szCs w:val="18"/>
              </w:rPr>
              <w:t>in the areas compared to business as usual.</w:t>
            </w:r>
            <w:r>
              <w:rPr>
                <w:sz w:val="18"/>
                <w:szCs w:val="18"/>
              </w:rPr>
              <w:t xml:space="preserve">  </w:t>
            </w:r>
          </w:p>
          <w:p w14:paraId="3501C1E1" w14:textId="77777777" w:rsidR="0077105D" w:rsidRDefault="0077105D" w:rsidP="00EB71A9">
            <w:pPr>
              <w:rPr>
                <w:sz w:val="18"/>
                <w:szCs w:val="18"/>
              </w:rPr>
            </w:pPr>
            <w:r>
              <w:rPr>
                <w:sz w:val="18"/>
                <w:szCs w:val="18"/>
              </w:rPr>
              <w:t xml:space="preserve">(iii) </w:t>
            </w:r>
            <w:r w:rsidRPr="00ED722D">
              <w:rPr>
                <w:b/>
                <w:sz w:val="18"/>
                <w:szCs w:val="18"/>
              </w:rPr>
              <w:t>Monitoring Plan</w:t>
            </w:r>
            <w:r>
              <w:rPr>
                <w:b/>
                <w:sz w:val="18"/>
                <w:szCs w:val="18"/>
              </w:rPr>
              <w:t xml:space="preserve"> (Annex 12)</w:t>
            </w:r>
            <w:r>
              <w:rPr>
                <w:sz w:val="18"/>
                <w:szCs w:val="18"/>
              </w:rPr>
              <w:t>: The condition of the coral reefs would be monitored to ensure that activities do not damage these sensitive ecosystems so that it is in a better overall situation to manage climate changes.</w:t>
            </w:r>
          </w:p>
          <w:p w14:paraId="1F77B699" w14:textId="77777777" w:rsidR="0077105D" w:rsidRPr="00660265" w:rsidRDefault="0077105D" w:rsidP="00EB71A9">
            <w:pPr>
              <w:rPr>
                <w:rFonts w:asciiTheme="majorHAnsi" w:hAnsiTheme="majorHAnsi"/>
                <w:sz w:val="18"/>
                <w:szCs w:val="18"/>
              </w:rPr>
            </w:pPr>
            <w:r w:rsidRPr="00660265">
              <w:rPr>
                <w:sz w:val="18"/>
                <w:szCs w:val="18"/>
              </w:rPr>
              <w:t xml:space="preserve">(iv) Implementation of </w:t>
            </w:r>
            <w:r w:rsidRPr="00660265">
              <w:rPr>
                <w:rFonts w:asciiTheme="majorHAnsi" w:hAnsiTheme="majorHAnsi"/>
                <w:b/>
                <w:sz w:val="18"/>
                <w:szCs w:val="18"/>
              </w:rPr>
              <w:t>Communications and Knowledge Management Strategy</w:t>
            </w:r>
            <w:r>
              <w:rPr>
                <w:rFonts w:asciiTheme="majorHAnsi" w:hAnsiTheme="majorHAnsi"/>
                <w:b/>
                <w:sz w:val="18"/>
                <w:szCs w:val="18"/>
              </w:rPr>
              <w:t xml:space="preserve"> (Annex 6) </w:t>
            </w:r>
            <w:r>
              <w:rPr>
                <w:rFonts w:asciiTheme="majorHAnsi" w:hAnsiTheme="majorHAnsi"/>
                <w:sz w:val="18"/>
                <w:szCs w:val="18"/>
              </w:rPr>
              <w:t>to improve awareness of climate and IAS risks and ensuring measures to improve climate resilience</w:t>
            </w:r>
          </w:p>
        </w:tc>
      </w:tr>
      <w:tr w:rsidR="0077105D" w:rsidRPr="00C97C18" w14:paraId="2B4A1853" w14:textId="77777777" w:rsidTr="00EB71A9">
        <w:tc>
          <w:tcPr>
            <w:tcW w:w="3510" w:type="dxa"/>
            <w:vAlign w:val="center"/>
          </w:tcPr>
          <w:p w14:paraId="228A2561" w14:textId="77777777" w:rsidR="0077105D" w:rsidRPr="00C97C18" w:rsidRDefault="0077105D" w:rsidP="00EB71A9">
            <w:pPr>
              <w:rPr>
                <w:sz w:val="18"/>
                <w:szCs w:val="18"/>
              </w:rPr>
            </w:pPr>
            <w:r w:rsidRPr="00C97C18">
              <w:rPr>
                <w:sz w:val="18"/>
                <w:szCs w:val="18"/>
              </w:rPr>
              <w:t>Risk 5: Would the proposed Project possibly affect land tenure arrangements and/or community based property rights/customary rights to land, territories and/or resources?</w:t>
            </w:r>
          </w:p>
        </w:tc>
        <w:tc>
          <w:tcPr>
            <w:tcW w:w="1080" w:type="dxa"/>
          </w:tcPr>
          <w:p w14:paraId="28C8CA30" w14:textId="77777777" w:rsidR="0077105D" w:rsidRPr="00C97C18" w:rsidRDefault="0077105D" w:rsidP="00EB71A9">
            <w:pPr>
              <w:rPr>
                <w:rFonts w:cs="Minion Pro"/>
                <w:sz w:val="18"/>
                <w:szCs w:val="18"/>
              </w:rPr>
            </w:pPr>
            <w:r w:rsidRPr="00C97C18">
              <w:rPr>
                <w:rFonts w:cs="Minion Pro"/>
                <w:sz w:val="18"/>
                <w:szCs w:val="18"/>
              </w:rPr>
              <w:t>I=3</w:t>
            </w:r>
          </w:p>
          <w:p w14:paraId="3A016602" w14:textId="77777777" w:rsidR="0077105D" w:rsidRPr="00C97C18" w:rsidRDefault="0077105D" w:rsidP="00EB71A9">
            <w:pPr>
              <w:rPr>
                <w:rFonts w:cs="Minion Pro"/>
                <w:sz w:val="18"/>
                <w:szCs w:val="18"/>
              </w:rPr>
            </w:pPr>
            <w:r w:rsidRPr="00C97C18">
              <w:rPr>
                <w:rFonts w:cs="Minion Pro"/>
                <w:sz w:val="18"/>
                <w:szCs w:val="18"/>
              </w:rPr>
              <w:t>P=</w:t>
            </w:r>
            <w:r>
              <w:rPr>
                <w:rFonts w:cs="Minion Pro"/>
                <w:sz w:val="18"/>
                <w:szCs w:val="18"/>
              </w:rPr>
              <w:t>3</w:t>
            </w:r>
          </w:p>
        </w:tc>
        <w:tc>
          <w:tcPr>
            <w:tcW w:w="1170" w:type="dxa"/>
          </w:tcPr>
          <w:p w14:paraId="62B33B02" w14:textId="77777777" w:rsidR="0077105D" w:rsidRPr="00C97C18" w:rsidRDefault="0077105D" w:rsidP="00EB71A9">
            <w:pPr>
              <w:rPr>
                <w:b/>
                <w:sz w:val="18"/>
                <w:szCs w:val="18"/>
              </w:rPr>
            </w:pPr>
            <w:r w:rsidRPr="00C97C18">
              <w:rPr>
                <w:b/>
                <w:sz w:val="18"/>
                <w:szCs w:val="18"/>
              </w:rPr>
              <w:t>Moderate</w:t>
            </w:r>
          </w:p>
        </w:tc>
        <w:tc>
          <w:tcPr>
            <w:tcW w:w="2610" w:type="dxa"/>
            <w:gridSpan w:val="2"/>
          </w:tcPr>
          <w:p w14:paraId="10EBA53B" w14:textId="77777777" w:rsidR="0077105D" w:rsidRDefault="0077105D" w:rsidP="00EB71A9">
            <w:pPr>
              <w:rPr>
                <w:sz w:val="18"/>
                <w:szCs w:val="18"/>
              </w:rPr>
            </w:pPr>
            <w:r w:rsidRPr="00C97C18">
              <w:rPr>
                <w:sz w:val="18"/>
                <w:szCs w:val="18"/>
              </w:rPr>
              <w:t>Rights of access and tenure will be clarified, affirmed and documented during the integrated management plan and seascape zoning negotiation process.</w:t>
            </w:r>
          </w:p>
          <w:p w14:paraId="3B2E7252" w14:textId="77777777" w:rsidR="0077105D" w:rsidRPr="00C97C18" w:rsidRDefault="0077105D" w:rsidP="00EB71A9">
            <w:pPr>
              <w:rPr>
                <w:sz w:val="18"/>
                <w:szCs w:val="18"/>
              </w:rPr>
            </w:pPr>
            <w:r w:rsidRPr="00F73C3B">
              <w:rPr>
                <w:rFonts w:asciiTheme="majorHAnsi" w:hAnsiTheme="majorHAnsi"/>
                <w:b/>
                <w:sz w:val="18"/>
                <w:szCs w:val="18"/>
              </w:rPr>
              <w:t xml:space="preserve">Referred to SESP Attachment 1: Principle </w:t>
            </w:r>
            <w:r>
              <w:rPr>
                <w:rFonts w:asciiTheme="majorHAnsi" w:hAnsiTheme="majorHAnsi"/>
                <w:b/>
                <w:sz w:val="18"/>
                <w:szCs w:val="18"/>
              </w:rPr>
              <w:t>5</w:t>
            </w:r>
            <w:r w:rsidRPr="00F73C3B">
              <w:rPr>
                <w:rFonts w:asciiTheme="majorHAnsi" w:hAnsiTheme="majorHAnsi"/>
                <w:b/>
                <w:sz w:val="18"/>
                <w:szCs w:val="18"/>
              </w:rPr>
              <w:t xml:space="preserve">. Question </w:t>
            </w:r>
            <w:r>
              <w:rPr>
                <w:rFonts w:asciiTheme="majorHAnsi" w:hAnsiTheme="majorHAnsi"/>
                <w:b/>
                <w:sz w:val="18"/>
                <w:szCs w:val="18"/>
              </w:rPr>
              <w:t>5.4</w:t>
            </w:r>
            <w:r w:rsidRPr="00C97C18">
              <w:rPr>
                <w:sz w:val="18"/>
                <w:szCs w:val="18"/>
              </w:rPr>
              <w:t xml:space="preserve"> </w:t>
            </w:r>
          </w:p>
        </w:tc>
        <w:tc>
          <w:tcPr>
            <w:tcW w:w="4770" w:type="dxa"/>
            <w:gridSpan w:val="2"/>
          </w:tcPr>
          <w:p w14:paraId="7FE47BDE" w14:textId="77777777" w:rsidR="0077105D" w:rsidRDefault="0077105D" w:rsidP="00EB71A9">
            <w:pPr>
              <w:rPr>
                <w:sz w:val="18"/>
                <w:szCs w:val="18"/>
              </w:rPr>
            </w:pPr>
            <w:r>
              <w:rPr>
                <w:sz w:val="18"/>
                <w:szCs w:val="18"/>
              </w:rPr>
              <w:t>The following measures were instituted or are proposed to manage this risk;</w:t>
            </w:r>
          </w:p>
          <w:p w14:paraId="7B70E9CF" w14:textId="77777777" w:rsidR="0077105D" w:rsidRDefault="0077105D" w:rsidP="00EB71A9">
            <w:pPr>
              <w:rPr>
                <w:sz w:val="18"/>
                <w:szCs w:val="18"/>
              </w:rPr>
            </w:pPr>
            <w:r>
              <w:rPr>
                <w:sz w:val="18"/>
                <w:szCs w:val="18"/>
              </w:rPr>
              <w:t xml:space="preserve">(i) A </w:t>
            </w:r>
            <w:r w:rsidRPr="004473B5">
              <w:rPr>
                <w:rFonts w:asciiTheme="majorHAnsi" w:hAnsiTheme="majorHAnsi"/>
                <w:b/>
                <w:sz w:val="18"/>
                <w:szCs w:val="18"/>
              </w:rPr>
              <w:t>Framework for Participatory Land/Seascape Planning and Management</w:t>
            </w:r>
            <w:r>
              <w:rPr>
                <w:rFonts w:asciiTheme="majorHAnsi" w:hAnsiTheme="majorHAnsi"/>
                <w:b/>
                <w:sz w:val="18"/>
                <w:szCs w:val="18"/>
              </w:rPr>
              <w:t xml:space="preserve"> (Annex 4) was designed during PPG stage – </w:t>
            </w:r>
            <w:r>
              <w:rPr>
                <w:rFonts w:asciiTheme="majorHAnsi" w:hAnsiTheme="majorHAnsi"/>
                <w:sz w:val="18"/>
                <w:szCs w:val="18"/>
              </w:rPr>
              <w:t>Ensures that effective consultation takes place prior to defining location and nature of project investments to reduce potential for affecting existing tenure arrangements.</w:t>
            </w:r>
            <w:r>
              <w:rPr>
                <w:sz w:val="18"/>
                <w:szCs w:val="18"/>
              </w:rPr>
              <w:t xml:space="preserve"> </w:t>
            </w:r>
          </w:p>
          <w:p w14:paraId="35C69546" w14:textId="77777777" w:rsidR="0077105D" w:rsidRPr="00337351" w:rsidRDefault="0077105D" w:rsidP="00EB71A9">
            <w:pPr>
              <w:rPr>
                <w:sz w:val="18"/>
                <w:szCs w:val="18"/>
              </w:rPr>
            </w:pPr>
            <w:r>
              <w:rPr>
                <w:sz w:val="18"/>
                <w:szCs w:val="18"/>
              </w:rPr>
              <w:t xml:space="preserve">(ii) </w:t>
            </w:r>
            <w:r w:rsidRPr="00337351">
              <w:rPr>
                <w:b/>
                <w:sz w:val="18"/>
                <w:szCs w:val="18"/>
              </w:rPr>
              <w:t xml:space="preserve">Preparation of a </w:t>
            </w:r>
            <w:r>
              <w:rPr>
                <w:b/>
                <w:sz w:val="18"/>
                <w:szCs w:val="18"/>
              </w:rPr>
              <w:t xml:space="preserve">screening </w:t>
            </w:r>
            <w:r w:rsidRPr="00337351">
              <w:rPr>
                <w:b/>
                <w:sz w:val="18"/>
                <w:szCs w:val="18"/>
              </w:rPr>
              <w:t xml:space="preserve">checklist </w:t>
            </w:r>
            <w:r>
              <w:rPr>
                <w:sz w:val="18"/>
                <w:szCs w:val="18"/>
              </w:rPr>
              <w:t xml:space="preserve">during early project implementation based on eligibility criteria for project investments developed at PPG stage (refer Paragraph 9 of Annex 4) to </w:t>
            </w:r>
            <w:r w:rsidRPr="00337351">
              <w:rPr>
                <w:rFonts w:asciiTheme="majorHAnsi" w:hAnsiTheme="majorHAnsi" w:cs="Calibri"/>
                <w:sz w:val="18"/>
                <w:szCs w:val="18"/>
              </w:rPr>
              <w:t xml:space="preserve">screen </w:t>
            </w:r>
            <w:r>
              <w:rPr>
                <w:rFonts w:asciiTheme="majorHAnsi" w:hAnsiTheme="majorHAnsi" w:cs="Calibri"/>
                <w:sz w:val="18"/>
                <w:szCs w:val="18"/>
              </w:rPr>
              <w:t>all</w:t>
            </w:r>
            <w:r w:rsidRPr="00337351">
              <w:rPr>
                <w:rFonts w:asciiTheme="majorHAnsi" w:hAnsiTheme="majorHAnsi" w:cs="Calibri"/>
                <w:sz w:val="18"/>
                <w:szCs w:val="18"/>
              </w:rPr>
              <w:t xml:space="preserve"> investments </w:t>
            </w:r>
            <w:r>
              <w:rPr>
                <w:rFonts w:asciiTheme="majorHAnsi" w:hAnsiTheme="majorHAnsi" w:cs="Calibri"/>
                <w:sz w:val="18"/>
                <w:szCs w:val="18"/>
              </w:rPr>
              <w:t xml:space="preserve">(including set-asides) to ensure that they </w:t>
            </w:r>
            <w:r w:rsidRPr="00337351">
              <w:rPr>
                <w:rFonts w:asciiTheme="majorHAnsi" w:hAnsiTheme="majorHAnsi" w:cs="Calibri"/>
                <w:sz w:val="18"/>
                <w:szCs w:val="18"/>
              </w:rPr>
              <w:t>comply with sound social and environmental principles and are sustainable</w:t>
            </w:r>
            <w:r>
              <w:rPr>
                <w:rFonts w:asciiTheme="majorHAnsi" w:hAnsiTheme="majorHAnsi" w:cs="Calibri"/>
                <w:sz w:val="18"/>
                <w:szCs w:val="18"/>
              </w:rPr>
              <w:t>, including addressing any potential tenure concerns.</w:t>
            </w:r>
          </w:p>
          <w:p w14:paraId="1E5967A3" w14:textId="77777777" w:rsidR="0077105D" w:rsidRDefault="0077105D" w:rsidP="00EB71A9">
            <w:pPr>
              <w:rPr>
                <w:sz w:val="18"/>
                <w:szCs w:val="18"/>
              </w:rPr>
            </w:pPr>
            <w:r>
              <w:rPr>
                <w:sz w:val="18"/>
                <w:szCs w:val="18"/>
              </w:rPr>
              <w:t xml:space="preserve">(iii) </w:t>
            </w:r>
            <w:r w:rsidRPr="00337351">
              <w:rPr>
                <w:rFonts w:asciiTheme="majorHAnsi" w:hAnsiTheme="majorHAnsi"/>
                <w:sz w:val="18"/>
                <w:szCs w:val="18"/>
              </w:rPr>
              <w:t xml:space="preserve">The project </w:t>
            </w:r>
            <w:r w:rsidRPr="000050D2">
              <w:rPr>
                <w:rFonts w:asciiTheme="majorHAnsi" w:hAnsiTheme="majorHAnsi"/>
                <w:b/>
                <w:sz w:val="18"/>
                <w:szCs w:val="18"/>
              </w:rPr>
              <w:t>grievance redressal system (Annex 8)</w:t>
            </w:r>
            <w:r>
              <w:rPr>
                <w:rFonts w:asciiTheme="majorHAnsi" w:hAnsiTheme="majorHAnsi"/>
                <w:sz w:val="18"/>
                <w:szCs w:val="18"/>
              </w:rPr>
              <w:t xml:space="preserve"> </w:t>
            </w:r>
            <w:r w:rsidRPr="00337351">
              <w:rPr>
                <w:rFonts w:asciiTheme="majorHAnsi" w:hAnsiTheme="majorHAnsi"/>
                <w:sz w:val="18"/>
                <w:szCs w:val="18"/>
              </w:rPr>
              <w:t xml:space="preserve">provides a mechanism to address any specific community </w:t>
            </w:r>
            <w:r>
              <w:rPr>
                <w:rFonts w:asciiTheme="majorHAnsi" w:hAnsiTheme="majorHAnsi"/>
                <w:sz w:val="18"/>
                <w:szCs w:val="18"/>
              </w:rPr>
              <w:t xml:space="preserve">tenure </w:t>
            </w:r>
            <w:r w:rsidRPr="00337351">
              <w:rPr>
                <w:rFonts w:asciiTheme="majorHAnsi" w:hAnsiTheme="majorHAnsi"/>
                <w:sz w:val="18"/>
                <w:szCs w:val="18"/>
              </w:rPr>
              <w:t>concerns.</w:t>
            </w:r>
          </w:p>
          <w:p w14:paraId="66E99D72" w14:textId="77777777" w:rsidR="0077105D" w:rsidRPr="00C97C18" w:rsidRDefault="0077105D" w:rsidP="00EB71A9">
            <w:pPr>
              <w:rPr>
                <w:sz w:val="18"/>
                <w:szCs w:val="18"/>
              </w:rPr>
            </w:pPr>
            <w:r>
              <w:rPr>
                <w:sz w:val="18"/>
                <w:szCs w:val="18"/>
              </w:rPr>
              <w:t>(iv) A gender and socially inclusive lens will be applied to every project activity and output to further analyze impacts on the rights of women and vulnerable peoples (</w:t>
            </w:r>
            <w:r w:rsidRPr="002702AA">
              <w:rPr>
                <w:b/>
                <w:sz w:val="18"/>
                <w:szCs w:val="18"/>
              </w:rPr>
              <w:t>refer Annex 5)</w:t>
            </w:r>
            <w:r>
              <w:rPr>
                <w:b/>
                <w:sz w:val="18"/>
                <w:szCs w:val="18"/>
              </w:rPr>
              <w:t xml:space="preserve">.  </w:t>
            </w:r>
          </w:p>
        </w:tc>
      </w:tr>
      <w:tr w:rsidR="0077105D" w:rsidRPr="00C97C18" w14:paraId="4A0C033B" w14:textId="77777777" w:rsidTr="00EB71A9">
        <w:tc>
          <w:tcPr>
            <w:tcW w:w="3510" w:type="dxa"/>
            <w:vAlign w:val="center"/>
          </w:tcPr>
          <w:p w14:paraId="5493EFEF" w14:textId="77777777" w:rsidR="0077105D" w:rsidRPr="00C97C18" w:rsidRDefault="0077105D" w:rsidP="00EB71A9">
            <w:pPr>
              <w:rPr>
                <w:sz w:val="18"/>
                <w:szCs w:val="18"/>
              </w:rPr>
            </w:pPr>
            <w:r>
              <w:rPr>
                <w:sz w:val="18"/>
                <w:szCs w:val="18"/>
              </w:rPr>
              <w:t xml:space="preserve">Risk 6: </w:t>
            </w:r>
            <w:r>
              <w:rPr>
                <w:rFonts w:asciiTheme="majorHAnsi" w:hAnsiTheme="majorHAnsi"/>
                <w:sz w:val="18"/>
                <w:szCs w:val="18"/>
              </w:rPr>
              <w:t xml:space="preserve">Women and </w:t>
            </w:r>
            <w:r w:rsidRPr="00D117C6">
              <w:rPr>
                <w:rFonts w:asciiTheme="majorHAnsi" w:hAnsiTheme="majorHAnsi"/>
                <w:sz w:val="18"/>
                <w:szCs w:val="18"/>
              </w:rPr>
              <w:t xml:space="preserve">vulnerable groups among the local community may not be fully involved in planning, implementation and monitoring of project interventions and getting benefits from such initiatives, rather </w:t>
            </w:r>
            <w:r>
              <w:rPr>
                <w:rFonts w:asciiTheme="majorHAnsi" w:hAnsiTheme="majorHAnsi"/>
                <w:sz w:val="18"/>
                <w:szCs w:val="18"/>
              </w:rPr>
              <w:t xml:space="preserve">land </w:t>
            </w:r>
            <w:r w:rsidRPr="00D117C6">
              <w:rPr>
                <w:rFonts w:asciiTheme="majorHAnsi" w:hAnsiTheme="majorHAnsi"/>
                <w:sz w:val="18"/>
                <w:szCs w:val="18"/>
              </w:rPr>
              <w:t xml:space="preserve">owners and other influential persons at the local level </w:t>
            </w:r>
            <w:r>
              <w:rPr>
                <w:rFonts w:asciiTheme="majorHAnsi" w:hAnsiTheme="majorHAnsi"/>
                <w:sz w:val="18"/>
                <w:szCs w:val="18"/>
              </w:rPr>
              <w:t xml:space="preserve">may </w:t>
            </w:r>
            <w:r w:rsidRPr="00D117C6">
              <w:rPr>
                <w:rFonts w:asciiTheme="majorHAnsi" w:hAnsiTheme="majorHAnsi"/>
                <w:sz w:val="18"/>
                <w:szCs w:val="18"/>
              </w:rPr>
              <w:t>have more control on local level decision making</w:t>
            </w:r>
          </w:p>
        </w:tc>
        <w:tc>
          <w:tcPr>
            <w:tcW w:w="1080" w:type="dxa"/>
          </w:tcPr>
          <w:p w14:paraId="4A687E1D" w14:textId="77777777" w:rsidR="0077105D" w:rsidRDefault="0077105D" w:rsidP="00EB71A9">
            <w:pPr>
              <w:rPr>
                <w:rFonts w:cs="Minion Pro"/>
                <w:sz w:val="18"/>
                <w:szCs w:val="18"/>
              </w:rPr>
            </w:pPr>
            <w:r>
              <w:rPr>
                <w:rFonts w:cs="Minion Pro"/>
                <w:sz w:val="18"/>
                <w:szCs w:val="18"/>
              </w:rPr>
              <w:t>I -3</w:t>
            </w:r>
          </w:p>
          <w:p w14:paraId="25BAF3A8" w14:textId="77777777" w:rsidR="0077105D" w:rsidRPr="00C97C18" w:rsidRDefault="0077105D" w:rsidP="00EB71A9">
            <w:pPr>
              <w:rPr>
                <w:rFonts w:cs="Minion Pro"/>
                <w:sz w:val="18"/>
                <w:szCs w:val="18"/>
              </w:rPr>
            </w:pPr>
            <w:r>
              <w:rPr>
                <w:rFonts w:cs="Minion Pro"/>
                <w:sz w:val="18"/>
                <w:szCs w:val="18"/>
              </w:rPr>
              <w:t>P-1</w:t>
            </w:r>
          </w:p>
        </w:tc>
        <w:tc>
          <w:tcPr>
            <w:tcW w:w="1170" w:type="dxa"/>
          </w:tcPr>
          <w:p w14:paraId="102234B3" w14:textId="77777777" w:rsidR="0077105D" w:rsidRPr="00C97C18" w:rsidRDefault="0077105D" w:rsidP="00EB71A9">
            <w:pPr>
              <w:rPr>
                <w:b/>
                <w:sz w:val="18"/>
                <w:szCs w:val="18"/>
              </w:rPr>
            </w:pPr>
            <w:r>
              <w:rPr>
                <w:b/>
                <w:sz w:val="18"/>
                <w:szCs w:val="18"/>
              </w:rPr>
              <w:t>Low</w:t>
            </w:r>
          </w:p>
        </w:tc>
        <w:tc>
          <w:tcPr>
            <w:tcW w:w="2610" w:type="dxa"/>
            <w:gridSpan w:val="2"/>
          </w:tcPr>
          <w:p w14:paraId="0B4C6124" w14:textId="77777777" w:rsidR="0077105D" w:rsidRPr="0077105D" w:rsidRDefault="0077105D" w:rsidP="0077105D">
            <w:pPr>
              <w:pStyle w:val="Para"/>
              <w:numPr>
                <w:ilvl w:val="0"/>
                <w:numId w:val="0"/>
              </w:numPr>
              <w:tabs>
                <w:tab w:val="clear" w:pos="360"/>
                <w:tab w:val="left" w:pos="185"/>
              </w:tabs>
              <w:ind w:left="5"/>
            </w:pPr>
            <w:r w:rsidRPr="0077105D">
              <w:t xml:space="preserve">Project preparation suggested the need to ensure that all segments of the local population are adequately engaged and benefit equitably from project interventions. </w:t>
            </w:r>
          </w:p>
          <w:p w14:paraId="0C3758B4" w14:textId="77777777" w:rsidR="0077105D" w:rsidRPr="00F57B79" w:rsidRDefault="0077105D" w:rsidP="00EB71A9">
            <w:pPr>
              <w:rPr>
                <w:rFonts w:asciiTheme="majorHAnsi" w:hAnsiTheme="majorHAnsi"/>
                <w:b/>
                <w:sz w:val="18"/>
                <w:szCs w:val="18"/>
              </w:rPr>
            </w:pPr>
            <w:r w:rsidRPr="00D117C6">
              <w:rPr>
                <w:rFonts w:asciiTheme="majorHAnsi" w:hAnsiTheme="majorHAnsi"/>
                <w:b/>
                <w:sz w:val="18"/>
                <w:szCs w:val="18"/>
              </w:rPr>
              <w:t xml:space="preserve">Referred to SESP Attachment 1: </w:t>
            </w:r>
            <w:r>
              <w:rPr>
                <w:rFonts w:asciiTheme="majorHAnsi" w:hAnsiTheme="majorHAnsi"/>
                <w:b/>
                <w:sz w:val="18"/>
                <w:szCs w:val="18"/>
              </w:rPr>
              <w:t>Principle 2, Question 2.2 and 2.3;</w:t>
            </w:r>
          </w:p>
        </w:tc>
        <w:tc>
          <w:tcPr>
            <w:tcW w:w="4770" w:type="dxa"/>
            <w:gridSpan w:val="2"/>
          </w:tcPr>
          <w:p w14:paraId="4252B4D4" w14:textId="77777777" w:rsidR="0077105D" w:rsidRDefault="0077105D" w:rsidP="00EB71A9">
            <w:pPr>
              <w:rPr>
                <w:sz w:val="18"/>
                <w:szCs w:val="18"/>
              </w:rPr>
            </w:pPr>
            <w:r>
              <w:rPr>
                <w:sz w:val="18"/>
                <w:szCs w:val="18"/>
              </w:rPr>
              <w:t>The following measures were instituted or are proposed to manage this risk;</w:t>
            </w:r>
          </w:p>
          <w:p w14:paraId="79EFEEC5" w14:textId="77777777" w:rsidR="0077105D" w:rsidRDefault="0077105D" w:rsidP="00EB71A9">
            <w:pPr>
              <w:spacing w:after="0"/>
              <w:rPr>
                <w:rFonts w:asciiTheme="majorHAnsi" w:hAnsiTheme="majorHAnsi"/>
                <w:sz w:val="18"/>
                <w:szCs w:val="18"/>
              </w:rPr>
            </w:pPr>
            <w:r>
              <w:rPr>
                <w:rFonts w:asciiTheme="majorHAnsi" w:hAnsiTheme="majorHAnsi"/>
                <w:sz w:val="18"/>
                <w:szCs w:val="18"/>
              </w:rPr>
              <w:t xml:space="preserve">(i) </w:t>
            </w:r>
            <w:r>
              <w:rPr>
                <w:sz w:val="18"/>
                <w:szCs w:val="18"/>
              </w:rPr>
              <w:t xml:space="preserve">A </w:t>
            </w:r>
            <w:r w:rsidRPr="004473B5">
              <w:rPr>
                <w:rFonts w:asciiTheme="majorHAnsi" w:hAnsiTheme="majorHAnsi"/>
                <w:b/>
                <w:sz w:val="18"/>
                <w:szCs w:val="18"/>
              </w:rPr>
              <w:t>Framework for Participatory Land/Seascape Planning and Management</w:t>
            </w:r>
            <w:r>
              <w:rPr>
                <w:rFonts w:asciiTheme="majorHAnsi" w:hAnsiTheme="majorHAnsi"/>
                <w:b/>
                <w:sz w:val="18"/>
                <w:szCs w:val="18"/>
              </w:rPr>
              <w:t xml:space="preserve"> (Annex 4) was designed during PPG stage – </w:t>
            </w:r>
            <w:r>
              <w:rPr>
                <w:rFonts w:asciiTheme="majorHAnsi" w:hAnsiTheme="majorHAnsi"/>
                <w:sz w:val="18"/>
                <w:szCs w:val="18"/>
              </w:rPr>
              <w:t xml:space="preserve">Ensures that effective consultation with all segments of the population. </w:t>
            </w:r>
            <w:r w:rsidRPr="00D438CA">
              <w:rPr>
                <w:rFonts w:asciiTheme="majorHAnsi" w:hAnsiTheme="majorHAnsi"/>
                <w:sz w:val="18"/>
                <w:szCs w:val="18"/>
              </w:rPr>
              <w:t xml:space="preserve">At start up of the project, the landscape planning and implementation teams would be trained on participatory processes and techniques that ensure the participation of vulnerable groups including women, elderly, disabled persons, poorest of the poor, and landless people in the planning process. The landscape planning and implementation team will engage women social mobilizers from the villages who would work directly with the disadvantaged groups to train and build their capacity for participation in investment activities. Training programs would be conducted to enhance the capacity of vulnerable members to take an active part in the planning and decision making process at the state level. The landscape planning and implementation teams would monitor and ensure that there is adequate representation of disadvantaged members in the decision-making and planning process.  </w:t>
            </w:r>
          </w:p>
          <w:p w14:paraId="04A7FFE5" w14:textId="77777777" w:rsidR="0077105D" w:rsidRDefault="0077105D" w:rsidP="00EB71A9">
            <w:pPr>
              <w:spacing w:after="0"/>
              <w:rPr>
                <w:rFonts w:asciiTheme="majorHAnsi" w:hAnsiTheme="majorHAnsi"/>
                <w:sz w:val="18"/>
                <w:szCs w:val="18"/>
              </w:rPr>
            </w:pPr>
          </w:p>
          <w:p w14:paraId="3C109F47" w14:textId="77777777" w:rsidR="0077105D" w:rsidRPr="002702AA" w:rsidRDefault="0077105D" w:rsidP="00EB71A9">
            <w:pPr>
              <w:rPr>
                <w:b/>
                <w:sz w:val="18"/>
                <w:szCs w:val="18"/>
              </w:rPr>
            </w:pPr>
            <w:r>
              <w:rPr>
                <w:rFonts w:asciiTheme="majorHAnsi" w:hAnsiTheme="majorHAnsi"/>
                <w:sz w:val="18"/>
                <w:szCs w:val="18"/>
              </w:rPr>
              <w:t xml:space="preserve">(ii) </w:t>
            </w:r>
            <w:r w:rsidRPr="002702AA">
              <w:rPr>
                <w:rFonts w:asciiTheme="majorHAnsi" w:hAnsiTheme="majorHAnsi"/>
                <w:b/>
                <w:sz w:val="18"/>
                <w:szCs w:val="18"/>
              </w:rPr>
              <w:t xml:space="preserve">Application of </w:t>
            </w:r>
            <w:r w:rsidRPr="002702AA">
              <w:rPr>
                <w:b/>
                <w:sz w:val="18"/>
                <w:szCs w:val="18"/>
              </w:rPr>
              <w:t xml:space="preserve">“Gender Analysis and Mainstreaming Action Plan” </w:t>
            </w:r>
            <w:r>
              <w:rPr>
                <w:sz w:val="18"/>
                <w:szCs w:val="18"/>
              </w:rPr>
              <w:t xml:space="preserve">(Annex 5) </w:t>
            </w:r>
            <w:r w:rsidRPr="00C97C18">
              <w:rPr>
                <w:sz w:val="18"/>
                <w:szCs w:val="18"/>
              </w:rPr>
              <w:t>discuss</w:t>
            </w:r>
            <w:r>
              <w:rPr>
                <w:sz w:val="18"/>
                <w:szCs w:val="18"/>
              </w:rPr>
              <w:t>es</w:t>
            </w:r>
            <w:r w:rsidRPr="00C97C18">
              <w:rPr>
                <w:sz w:val="18"/>
                <w:szCs w:val="18"/>
              </w:rPr>
              <w:t xml:space="preserve"> how </w:t>
            </w:r>
            <w:r>
              <w:rPr>
                <w:sz w:val="18"/>
                <w:szCs w:val="18"/>
              </w:rPr>
              <w:t>women</w:t>
            </w:r>
            <w:r w:rsidRPr="00C97C18">
              <w:rPr>
                <w:sz w:val="18"/>
                <w:szCs w:val="18"/>
              </w:rPr>
              <w:t xml:space="preserve"> and marginalized groups would be consulted</w:t>
            </w:r>
            <w:r>
              <w:rPr>
                <w:sz w:val="18"/>
                <w:szCs w:val="18"/>
              </w:rPr>
              <w:t xml:space="preserve"> and involved in the decision making process.  </w:t>
            </w:r>
            <w:r w:rsidRPr="002702AA">
              <w:rPr>
                <w:sz w:val="18"/>
                <w:szCs w:val="18"/>
              </w:rPr>
              <w:t>This will</w:t>
            </w:r>
            <w:r>
              <w:rPr>
                <w:b/>
                <w:sz w:val="18"/>
                <w:szCs w:val="18"/>
              </w:rPr>
              <w:t xml:space="preserve"> </w:t>
            </w:r>
            <w:r w:rsidRPr="002702AA">
              <w:rPr>
                <w:sz w:val="18"/>
                <w:szCs w:val="18"/>
              </w:rPr>
              <w:t>also facilitate the integration</w:t>
            </w:r>
            <w:r>
              <w:rPr>
                <w:b/>
                <w:sz w:val="18"/>
                <w:szCs w:val="18"/>
              </w:rPr>
              <w:t xml:space="preserve"> </w:t>
            </w:r>
            <w:r>
              <w:rPr>
                <w:sz w:val="18"/>
                <w:szCs w:val="18"/>
              </w:rPr>
              <w:t xml:space="preserve">of </w:t>
            </w:r>
            <w:r w:rsidRPr="00C97C18">
              <w:rPr>
                <w:sz w:val="18"/>
                <w:szCs w:val="18"/>
              </w:rPr>
              <w:t>the rights, concerns and desires of different groups and communities into the management plans developed and implemented.</w:t>
            </w:r>
            <w:r>
              <w:rPr>
                <w:sz w:val="18"/>
                <w:szCs w:val="18"/>
              </w:rPr>
              <w:t xml:space="preserve">  A gender and socially inclusive lens will be applied to every project activity and output to further analyze impacts on the rights of women and vulnerable peoples.</w:t>
            </w:r>
          </w:p>
          <w:p w14:paraId="64BB2B47" w14:textId="77777777" w:rsidR="0077105D" w:rsidRDefault="0077105D" w:rsidP="00EB71A9">
            <w:pPr>
              <w:spacing w:after="0"/>
              <w:rPr>
                <w:sz w:val="18"/>
                <w:szCs w:val="18"/>
              </w:rPr>
            </w:pPr>
          </w:p>
          <w:p w14:paraId="7B781D61" w14:textId="77777777" w:rsidR="0077105D" w:rsidRPr="00D438CA" w:rsidRDefault="0077105D" w:rsidP="00EB71A9">
            <w:pPr>
              <w:spacing w:after="0"/>
              <w:rPr>
                <w:rFonts w:asciiTheme="majorHAnsi" w:hAnsiTheme="majorHAnsi"/>
                <w:sz w:val="18"/>
                <w:szCs w:val="18"/>
              </w:rPr>
            </w:pPr>
            <w:r>
              <w:rPr>
                <w:sz w:val="18"/>
                <w:szCs w:val="18"/>
              </w:rPr>
              <w:t xml:space="preserve">(iii) </w:t>
            </w:r>
            <w:r w:rsidRPr="002702AA">
              <w:rPr>
                <w:b/>
                <w:sz w:val="18"/>
                <w:szCs w:val="18"/>
              </w:rPr>
              <w:t>Monitoring Plan (Annex 12 and RAF)</w:t>
            </w:r>
            <w:r>
              <w:rPr>
                <w:sz w:val="18"/>
                <w:szCs w:val="18"/>
              </w:rPr>
              <w:t xml:space="preserve"> has gender disaggregated indicators to access gender dimensions</w:t>
            </w:r>
          </w:p>
        </w:tc>
      </w:tr>
      <w:tr w:rsidR="0077105D" w14:paraId="187146A6" w14:textId="77777777" w:rsidTr="00EB71A9">
        <w:trPr>
          <w:trHeight w:val="593"/>
        </w:trPr>
        <w:tc>
          <w:tcPr>
            <w:tcW w:w="3510" w:type="dxa"/>
            <w:vMerge w:val="restart"/>
          </w:tcPr>
          <w:p w14:paraId="49E4C4FA" w14:textId="77777777" w:rsidR="0077105D" w:rsidRDefault="0077105D" w:rsidP="00EB71A9">
            <w:pPr>
              <w:rPr>
                <w:b/>
                <w:szCs w:val="20"/>
              </w:rPr>
            </w:pPr>
          </w:p>
        </w:tc>
        <w:tc>
          <w:tcPr>
            <w:tcW w:w="9630" w:type="dxa"/>
            <w:gridSpan w:val="6"/>
            <w:shd w:val="clear" w:color="auto" w:fill="0F243E" w:themeFill="text2" w:themeFillShade="80"/>
          </w:tcPr>
          <w:p w14:paraId="68657CCA" w14:textId="77777777" w:rsidR="0077105D" w:rsidRPr="00587B1B" w:rsidRDefault="0077105D" w:rsidP="00EB71A9">
            <w:pPr>
              <w:rPr>
                <w:b/>
                <w:sz w:val="20"/>
                <w:szCs w:val="20"/>
              </w:rPr>
            </w:pPr>
            <w:r w:rsidRPr="00587B1B">
              <w:rPr>
                <w:b/>
                <w:sz w:val="20"/>
                <w:szCs w:val="20"/>
              </w:rPr>
              <w:t xml:space="preserve">QUESTION 4: What is the overall Project risk categorization? </w:t>
            </w:r>
          </w:p>
        </w:tc>
      </w:tr>
      <w:tr w:rsidR="0077105D" w14:paraId="72B07048" w14:textId="77777777" w:rsidTr="00EB71A9">
        <w:tc>
          <w:tcPr>
            <w:tcW w:w="3510" w:type="dxa"/>
            <w:vMerge/>
          </w:tcPr>
          <w:p w14:paraId="4CB00C0C" w14:textId="77777777" w:rsidR="0077105D" w:rsidRPr="00372083" w:rsidRDefault="0077105D" w:rsidP="00EB71A9">
            <w:pPr>
              <w:rPr>
                <w:sz w:val="18"/>
                <w:szCs w:val="18"/>
                <w:u w:val="single"/>
              </w:rPr>
            </w:pPr>
          </w:p>
        </w:tc>
        <w:tc>
          <w:tcPr>
            <w:tcW w:w="4883" w:type="dxa"/>
            <w:gridSpan w:val="5"/>
          </w:tcPr>
          <w:p w14:paraId="18CAF59D" w14:textId="77777777" w:rsidR="0077105D" w:rsidRPr="00372083" w:rsidRDefault="0077105D" w:rsidP="00EB71A9">
            <w:pPr>
              <w:jc w:val="center"/>
              <w:rPr>
                <w:b/>
                <w:sz w:val="18"/>
                <w:szCs w:val="18"/>
              </w:rPr>
            </w:pPr>
            <w:r>
              <w:rPr>
                <w:b/>
                <w:sz w:val="18"/>
                <w:szCs w:val="18"/>
              </w:rPr>
              <w:t xml:space="preserve">Select one (see </w:t>
            </w:r>
            <w:hyperlink r:id="rId35" w:history="1">
              <w:r w:rsidRPr="00AA456F">
                <w:rPr>
                  <w:rStyle w:val="Hyperlink"/>
                  <w:sz w:val="18"/>
                  <w:szCs w:val="18"/>
                </w:rPr>
                <w:t>SESP</w:t>
              </w:r>
            </w:hyperlink>
            <w:r>
              <w:rPr>
                <w:b/>
                <w:sz w:val="18"/>
                <w:szCs w:val="18"/>
              </w:rPr>
              <w:t xml:space="preserve"> for guidance)</w:t>
            </w:r>
          </w:p>
        </w:tc>
        <w:tc>
          <w:tcPr>
            <w:tcW w:w="4747" w:type="dxa"/>
          </w:tcPr>
          <w:p w14:paraId="3D3D45ED" w14:textId="77777777" w:rsidR="0077105D" w:rsidRPr="00372083" w:rsidRDefault="0077105D" w:rsidP="00EB71A9">
            <w:pPr>
              <w:jc w:val="center"/>
              <w:rPr>
                <w:b/>
                <w:sz w:val="18"/>
                <w:szCs w:val="18"/>
              </w:rPr>
            </w:pPr>
            <w:r>
              <w:rPr>
                <w:b/>
                <w:sz w:val="18"/>
                <w:szCs w:val="18"/>
              </w:rPr>
              <w:t>Comments</w:t>
            </w:r>
          </w:p>
        </w:tc>
      </w:tr>
      <w:tr w:rsidR="0077105D" w14:paraId="78C20765" w14:textId="77777777" w:rsidTr="00EB71A9">
        <w:trPr>
          <w:trHeight w:val="251"/>
        </w:trPr>
        <w:tc>
          <w:tcPr>
            <w:tcW w:w="3510" w:type="dxa"/>
            <w:vMerge/>
          </w:tcPr>
          <w:p w14:paraId="75D07C87" w14:textId="77777777" w:rsidR="0077105D" w:rsidRDefault="0077105D" w:rsidP="00EB71A9">
            <w:pPr>
              <w:rPr>
                <w:rFonts w:cs="Minion Pro"/>
                <w:sz w:val="18"/>
                <w:szCs w:val="18"/>
              </w:rPr>
            </w:pPr>
          </w:p>
        </w:tc>
        <w:tc>
          <w:tcPr>
            <w:tcW w:w="4343" w:type="dxa"/>
            <w:gridSpan w:val="3"/>
            <w:shd w:val="clear" w:color="auto" w:fill="auto"/>
          </w:tcPr>
          <w:p w14:paraId="5A464958" w14:textId="77777777" w:rsidR="0077105D" w:rsidRPr="00C055DB" w:rsidRDefault="0077105D" w:rsidP="00EB71A9">
            <w:pPr>
              <w:jc w:val="right"/>
              <w:rPr>
                <w:rFonts w:cs="Minion Pro"/>
                <w:b/>
                <w:i/>
                <w:sz w:val="18"/>
                <w:szCs w:val="18"/>
              </w:rPr>
            </w:pPr>
            <w:r w:rsidRPr="00C055DB">
              <w:rPr>
                <w:rFonts w:cs="Minion Pro"/>
                <w:b/>
                <w:i/>
                <w:sz w:val="18"/>
                <w:szCs w:val="18"/>
              </w:rPr>
              <w:t>Low Risk</w:t>
            </w:r>
          </w:p>
        </w:tc>
        <w:tc>
          <w:tcPr>
            <w:tcW w:w="540" w:type="dxa"/>
            <w:gridSpan w:val="2"/>
          </w:tcPr>
          <w:p w14:paraId="55788A03" w14:textId="77777777" w:rsidR="0077105D" w:rsidRPr="00372083" w:rsidRDefault="0077105D" w:rsidP="00EB71A9">
            <w:pPr>
              <w:ind w:left="-2230" w:firstLine="2230"/>
              <w:rPr>
                <w:b/>
                <w:sz w:val="18"/>
                <w:szCs w:val="18"/>
              </w:rPr>
            </w:pPr>
            <w:r w:rsidRPr="00372083">
              <w:rPr>
                <w:rFonts w:ascii="Segoe UI Symbol" w:hAnsi="Segoe UI Symbol" w:cs="Segoe UI Symbol"/>
                <w:b/>
                <w:szCs w:val="20"/>
              </w:rPr>
              <w:t>☐</w:t>
            </w:r>
          </w:p>
        </w:tc>
        <w:tc>
          <w:tcPr>
            <w:tcW w:w="4747" w:type="dxa"/>
          </w:tcPr>
          <w:p w14:paraId="0C537527" w14:textId="77777777" w:rsidR="0077105D" w:rsidRPr="00372083" w:rsidRDefault="0077105D" w:rsidP="00EB71A9">
            <w:pPr>
              <w:rPr>
                <w:b/>
                <w:sz w:val="18"/>
                <w:szCs w:val="18"/>
              </w:rPr>
            </w:pPr>
          </w:p>
        </w:tc>
      </w:tr>
      <w:tr w:rsidR="0077105D" w14:paraId="5B7A8A4E" w14:textId="77777777" w:rsidTr="00EB71A9">
        <w:tc>
          <w:tcPr>
            <w:tcW w:w="3510" w:type="dxa"/>
            <w:vMerge/>
          </w:tcPr>
          <w:p w14:paraId="46A2B0AA" w14:textId="77777777" w:rsidR="0077105D" w:rsidRDefault="0077105D" w:rsidP="00EB71A9">
            <w:pPr>
              <w:rPr>
                <w:rFonts w:cs="Minion Pro"/>
                <w:sz w:val="18"/>
                <w:szCs w:val="18"/>
              </w:rPr>
            </w:pPr>
          </w:p>
        </w:tc>
        <w:tc>
          <w:tcPr>
            <w:tcW w:w="4343" w:type="dxa"/>
            <w:gridSpan w:val="3"/>
            <w:shd w:val="clear" w:color="auto" w:fill="auto"/>
          </w:tcPr>
          <w:p w14:paraId="6A605713" w14:textId="77777777" w:rsidR="0077105D" w:rsidRPr="00673A0C" w:rsidRDefault="0077105D" w:rsidP="00EB71A9">
            <w:pPr>
              <w:jc w:val="right"/>
              <w:rPr>
                <w:rFonts w:cs="Minion Pro"/>
                <w:b/>
                <w:i/>
                <w:sz w:val="18"/>
                <w:szCs w:val="18"/>
              </w:rPr>
            </w:pPr>
            <w:r w:rsidRPr="00673A0C">
              <w:rPr>
                <w:rFonts w:cs="Minion Pro"/>
                <w:b/>
                <w:i/>
                <w:sz w:val="18"/>
                <w:szCs w:val="18"/>
              </w:rPr>
              <w:t>Moderate Risk</w:t>
            </w:r>
          </w:p>
        </w:tc>
        <w:tc>
          <w:tcPr>
            <w:tcW w:w="540" w:type="dxa"/>
            <w:gridSpan w:val="2"/>
          </w:tcPr>
          <w:p w14:paraId="0CF974A2" w14:textId="77777777" w:rsidR="0077105D" w:rsidRPr="00587B1B" w:rsidRDefault="0077105D" w:rsidP="00EB71A9">
            <w:pPr>
              <w:ind w:left="-2230" w:firstLine="2230"/>
              <w:rPr>
                <w:rFonts w:asciiTheme="majorHAnsi" w:hAnsiTheme="majorHAnsi"/>
                <w:b/>
                <w:sz w:val="20"/>
                <w:szCs w:val="20"/>
              </w:rPr>
            </w:pPr>
            <w:r w:rsidRPr="00587B1B">
              <w:rPr>
                <w:rFonts w:asciiTheme="majorHAnsi" w:hAnsiTheme="majorHAnsi" w:cs="Segoe UI Symbol"/>
                <w:b/>
                <w:sz w:val="20"/>
                <w:szCs w:val="20"/>
              </w:rPr>
              <w:t>X</w:t>
            </w:r>
          </w:p>
        </w:tc>
        <w:tc>
          <w:tcPr>
            <w:tcW w:w="4747" w:type="dxa"/>
          </w:tcPr>
          <w:p w14:paraId="58FC2093" w14:textId="77777777" w:rsidR="0077105D" w:rsidRPr="00673A0C" w:rsidRDefault="0077105D" w:rsidP="00EB71A9">
            <w:pPr>
              <w:rPr>
                <w:b/>
                <w:sz w:val="18"/>
                <w:szCs w:val="18"/>
              </w:rPr>
            </w:pPr>
            <w:r>
              <w:rPr>
                <w:rFonts w:asciiTheme="majorHAnsi" w:hAnsiTheme="majorHAnsi"/>
                <w:sz w:val="18"/>
                <w:szCs w:val="18"/>
              </w:rPr>
              <w:t xml:space="preserve">Project investments are expected to have low to moderate risks given the nature of investments as well as the planning and oversight arrangements being instituted in Components 2 and 3 will be limited to those identified through the project. On-the-ground investments will largely support best practices that have been tested in Palau. To avoid any potential for any likely impacts, the project will ensure </w:t>
            </w:r>
            <w:r w:rsidRPr="002702AA">
              <w:rPr>
                <w:rFonts w:asciiTheme="majorHAnsi" w:hAnsiTheme="majorHAnsi"/>
                <w:b/>
                <w:sz w:val="18"/>
                <w:szCs w:val="18"/>
              </w:rPr>
              <w:t>Social and environmental screening of all proposed investments</w:t>
            </w:r>
            <w:r>
              <w:rPr>
                <w:rFonts w:asciiTheme="majorHAnsi" w:hAnsiTheme="majorHAnsi"/>
                <w:sz w:val="18"/>
                <w:szCs w:val="18"/>
              </w:rPr>
              <w:t xml:space="preserve"> under the supervision of the JCB and in partnership with the Technical Advisory Group investments will be </w:t>
            </w:r>
            <w:r w:rsidRPr="00D117C6">
              <w:rPr>
                <w:rFonts w:asciiTheme="majorHAnsi" w:hAnsiTheme="majorHAnsi"/>
                <w:sz w:val="18"/>
                <w:szCs w:val="18"/>
              </w:rPr>
              <w:t xml:space="preserve">required to determine </w:t>
            </w:r>
            <w:r>
              <w:rPr>
                <w:rFonts w:asciiTheme="majorHAnsi" w:hAnsiTheme="majorHAnsi"/>
                <w:sz w:val="18"/>
                <w:szCs w:val="18"/>
              </w:rPr>
              <w:t xml:space="preserve">if there are any </w:t>
            </w:r>
            <w:r w:rsidRPr="00D117C6">
              <w:rPr>
                <w:rFonts w:asciiTheme="majorHAnsi" w:hAnsiTheme="majorHAnsi"/>
                <w:sz w:val="18"/>
                <w:szCs w:val="18"/>
              </w:rPr>
              <w:t>impacts</w:t>
            </w:r>
            <w:r>
              <w:rPr>
                <w:rFonts w:asciiTheme="majorHAnsi" w:hAnsiTheme="majorHAnsi"/>
                <w:sz w:val="18"/>
                <w:szCs w:val="18"/>
              </w:rPr>
              <w:t xml:space="preserve">. If the impacts are considered significant or cannot be managed by simple and practical mitigation measures that can be implemented within the capacity of the communities, these activities will </w:t>
            </w:r>
            <w:r w:rsidRPr="00D117C6">
              <w:rPr>
                <w:rFonts w:asciiTheme="majorHAnsi" w:hAnsiTheme="majorHAnsi"/>
                <w:sz w:val="18"/>
                <w:szCs w:val="18"/>
              </w:rPr>
              <w:t>be avoided</w:t>
            </w:r>
            <w:r>
              <w:rPr>
                <w:rFonts w:asciiTheme="majorHAnsi" w:hAnsiTheme="majorHAnsi"/>
                <w:sz w:val="18"/>
                <w:szCs w:val="18"/>
              </w:rPr>
              <w:t>. When impacts are easily manageable, the Integrated Land and Seascape Management Plans (for states) –ILSMPs, would include responsibilities for ensuring oversight for these measures and monitoring of its implementation. The Land/seascape Planning and Teams will oversee and evaluate the ILSMPs to assess if social and environment screening has been adequate. Implementation of any social and environmental mitigation measures will be monitored by the Land/seascape Planning Teams and reported annually, including actions taken.</w:t>
            </w:r>
          </w:p>
        </w:tc>
      </w:tr>
      <w:tr w:rsidR="0077105D" w14:paraId="5328C315" w14:textId="77777777" w:rsidTr="00EB71A9">
        <w:tc>
          <w:tcPr>
            <w:tcW w:w="3510" w:type="dxa"/>
            <w:vMerge/>
          </w:tcPr>
          <w:p w14:paraId="0718C98D" w14:textId="77777777" w:rsidR="0077105D" w:rsidRDefault="0077105D" w:rsidP="00EB71A9">
            <w:pPr>
              <w:rPr>
                <w:rFonts w:cs="Minion Pro"/>
                <w:sz w:val="18"/>
                <w:szCs w:val="18"/>
              </w:rPr>
            </w:pPr>
          </w:p>
        </w:tc>
        <w:tc>
          <w:tcPr>
            <w:tcW w:w="4343" w:type="dxa"/>
            <w:gridSpan w:val="3"/>
            <w:shd w:val="clear" w:color="auto" w:fill="auto"/>
          </w:tcPr>
          <w:p w14:paraId="5CF8D953" w14:textId="77777777" w:rsidR="0077105D" w:rsidRPr="00C055DB" w:rsidRDefault="0077105D" w:rsidP="00EB71A9">
            <w:pPr>
              <w:jc w:val="right"/>
              <w:rPr>
                <w:rFonts w:cs="Minion Pro"/>
                <w:b/>
                <w:i/>
                <w:sz w:val="18"/>
                <w:szCs w:val="18"/>
              </w:rPr>
            </w:pPr>
            <w:r w:rsidRPr="00C055DB">
              <w:rPr>
                <w:rFonts w:cs="Minion Pro"/>
                <w:b/>
                <w:i/>
                <w:sz w:val="18"/>
                <w:szCs w:val="18"/>
              </w:rPr>
              <w:t>High Risk</w:t>
            </w:r>
          </w:p>
        </w:tc>
        <w:tc>
          <w:tcPr>
            <w:tcW w:w="540" w:type="dxa"/>
            <w:gridSpan w:val="2"/>
          </w:tcPr>
          <w:p w14:paraId="51B61A58" w14:textId="77777777" w:rsidR="0077105D" w:rsidRPr="00372083" w:rsidRDefault="0077105D" w:rsidP="00EB71A9">
            <w:pPr>
              <w:ind w:left="-2230" w:firstLine="2230"/>
              <w:rPr>
                <w:b/>
                <w:sz w:val="18"/>
                <w:szCs w:val="18"/>
              </w:rPr>
            </w:pPr>
            <w:r w:rsidRPr="00372083">
              <w:rPr>
                <w:rFonts w:ascii="Segoe UI Symbol" w:hAnsi="Segoe UI Symbol" w:cs="Segoe UI Symbol"/>
                <w:b/>
                <w:szCs w:val="20"/>
              </w:rPr>
              <w:t>☐</w:t>
            </w:r>
          </w:p>
        </w:tc>
        <w:tc>
          <w:tcPr>
            <w:tcW w:w="4747" w:type="dxa"/>
          </w:tcPr>
          <w:p w14:paraId="521D8FF6" w14:textId="77777777" w:rsidR="0077105D" w:rsidRPr="00372083" w:rsidRDefault="0077105D" w:rsidP="00EB71A9">
            <w:pPr>
              <w:rPr>
                <w:b/>
                <w:sz w:val="18"/>
                <w:szCs w:val="18"/>
              </w:rPr>
            </w:pPr>
          </w:p>
        </w:tc>
      </w:tr>
      <w:tr w:rsidR="0077105D" w:rsidRPr="00EA5477" w14:paraId="52B9E579" w14:textId="77777777" w:rsidTr="00EB71A9">
        <w:trPr>
          <w:trHeight w:val="782"/>
        </w:trPr>
        <w:tc>
          <w:tcPr>
            <w:tcW w:w="3510" w:type="dxa"/>
            <w:vMerge w:val="restart"/>
            <w:shd w:val="clear" w:color="auto" w:fill="FFFFFF" w:themeFill="background1"/>
          </w:tcPr>
          <w:p w14:paraId="5DD0D9FD" w14:textId="77777777" w:rsidR="0077105D" w:rsidRDefault="0077105D" w:rsidP="00EB71A9">
            <w:pPr>
              <w:ind w:hanging="18"/>
              <w:rPr>
                <w:b/>
                <w:szCs w:val="20"/>
              </w:rPr>
            </w:pPr>
          </w:p>
        </w:tc>
        <w:tc>
          <w:tcPr>
            <w:tcW w:w="4883" w:type="dxa"/>
            <w:gridSpan w:val="5"/>
            <w:shd w:val="clear" w:color="auto" w:fill="0F243E" w:themeFill="text2" w:themeFillShade="80"/>
            <w:vAlign w:val="center"/>
          </w:tcPr>
          <w:p w14:paraId="3047A530" w14:textId="77777777" w:rsidR="0077105D" w:rsidRPr="00587B1B" w:rsidRDefault="0077105D" w:rsidP="00EB71A9">
            <w:pPr>
              <w:tabs>
                <w:tab w:val="left" w:pos="360"/>
              </w:tabs>
              <w:rPr>
                <w:sz w:val="20"/>
                <w:szCs w:val="20"/>
              </w:rPr>
            </w:pPr>
            <w:r w:rsidRPr="00587B1B">
              <w:rPr>
                <w:b/>
                <w:sz w:val="20"/>
                <w:szCs w:val="20"/>
              </w:rPr>
              <w:t>QUESTION 5: Based on the identified risks and risk categorization, what requirements of the SES are relevant?</w:t>
            </w:r>
          </w:p>
        </w:tc>
        <w:tc>
          <w:tcPr>
            <w:tcW w:w="4747" w:type="dxa"/>
            <w:shd w:val="clear" w:color="auto" w:fill="0F243E" w:themeFill="text2" w:themeFillShade="80"/>
            <w:vAlign w:val="center"/>
          </w:tcPr>
          <w:p w14:paraId="4798F9F4" w14:textId="77777777" w:rsidR="0077105D" w:rsidRPr="00EA5477" w:rsidRDefault="0077105D" w:rsidP="00EB71A9">
            <w:pPr>
              <w:tabs>
                <w:tab w:val="left" w:pos="360"/>
              </w:tabs>
              <w:jc w:val="center"/>
              <w:rPr>
                <w:b/>
                <w:szCs w:val="20"/>
              </w:rPr>
            </w:pPr>
          </w:p>
        </w:tc>
      </w:tr>
      <w:tr w:rsidR="0077105D" w:rsidRPr="00EF0E8F" w14:paraId="3A218CA3" w14:textId="77777777" w:rsidTr="00EB71A9">
        <w:trPr>
          <w:trHeight w:val="296"/>
        </w:trPr>
        <w:tc>
          <w:tcPr>
            <w:tcW w:w="3510" w:type="dxa"/>
            <w:vMerge/>
            <w:shd w:val="clear" w:color="auto" w:fill="FFFFFF" w:themeFill="background1"/>
          </w:tcPr>
          <w:p w14:paraId="40A53902" w14:textId="77777777" w:rsidR="0077105D" w:rsidRPr="00372083" w:rsidRDefault="0077105D" w:rsidP="00EB71A9">
            <w:pPr>
              <w:rPr>
                <w:sz w:val="18"/>
                <w:szCs w:val="18"/>
                <w:u w:val="single"/>
              </w:rPr>
            </w:pPr>
          </w:p>
        </w:tc>
        <w:tc>
          <w:tcPr>
            <w:tcW w:w="4883" w:type="dxa"/>
            <w:gridSpan w:val="5"/>
          </w:tcPr>
          <w:p w14:paraId="1D88EAB4" w14:textId="77777777" w:rsidR="0077105D" w:rsidRPr="00372083" w:rsidRDefault="0077105D" w:rsidP="00EB71A9">
            <w:pPr>
              <w:tabs>
                <w:tab w:val="left" w:pos="360"/>
              </w:tabs>
              <w:jc w:val="center"/>
              <w:rPr>
                <w:rFonts w:ascii="Menlo Bold" w:hAnsi="Menlo Bold" w:cs="Menlo Bold"/>
                <w:b/>
                <w:szCs w:val="20"/>
              </w:rPr>
            </w:pPr>
            <w:r>
              <w:rPr>
                <w:sz w:val="18"/>
                <w:szCs w:val="18"/>
              </w:rPr>
              <w:t>Check all that apply</w:t>
            </w:r>
          </w:p>
        </w:tc>
        <w:tc>
          <w:tcPr>
            <w:tcW w:w="4747" w:type="dxa"/>
          </w:tcPr>
          <w:p w14:paraId="28A0C13A" w14:textId="77777777" w:rsidR="0077105D" w:rsidRPr="00772787" w:rsidRDefault="0077105D" w:rsidP="00EB71A9">
            <w:pPr>
              <w:tabs>
                <w:tab w:val="left" w:pos="360"/>
              </w:tabs>
              <w:jc w:val="center"/>
              <w:rPr>
                <w:b/>
                <w:sz w:val="18"/>
                <w:szCs w:val="18"/>
              </w:rPr>
            </w:pPr>
            <w:r w:rsidRPr="00772787">
              <w:rPr>
                <w:b/>
                <w:sz w:val="18"/>
                <w:szCs w:val="18"/>
              </w:rPr>
              <w:t>Comments</w:t>
            </w:r>
          </w:p>
        </w:tc>
      </w:tr>
      <w:tr w:rsidR="0077105D" w:rsidRPr="00EF0E8F" w14:paraId="3DCA61C5" w14:textId="77777777" w:rsidTr="00EB71A9">
        <w:tc>
          <w:tcPr>
            <w:tcW w:w="3510" w:type="dxa"/>
            <w:vMerge/>
            <w:shd w:val="clear" w:color="auto" w:fill="FFFFFF" w:themeFill="background1"/>
          </w:tcPr>
          <w:p w14:paraId="341D1664" w14:textId="77777777" w:rsidR="0077105D" w:rsidRDefault="0077105D" w:rsidP="00EB71A9">
            <w:pPr>
              <w:tabs>
                <w:tab w:val="left" w:pos="270"/>
              </w:tabs>
              <w:ind w:left="270" w:hanging="270"/>
              <w:rPr>
                <w:sz w:val="18"/>
                <w:szCs w:val="18"/>
              </w:rPr>
            </w:pPr>
          </w:p>
        </w:tc>
        <w:tc>
          <w:tcPr>
            <w:tcW w:w="4343" w:type="dxa"/>
            <w:gridSpan w:val="3"/>
            <w:shd w:val="clear" w:color="auto" w:fill="auto"/>
          </w:tcPr>
          <w:p w14:paraId="5AF0D79D" w14:textId="77777777" w:rsidR="0077105D" w:rsidRPr="00C055DB" w:rsidRDefault="0077105D" w:rsidP="00EB71A9">
            <w:pPr>
              <w:tabs>
                <w:tab w:val="left" w:pos="270"/>
              </w:tabs>
              <w:ind w:left="270" w:hanging="270"/>
              <w:rPr>
                <w:b/>
                <w:i/>
                <w:sz w:val="18"/>
                <w:szCs w:val="18"/>
              </w:rPr>
            </w:pPr>
            <w:r w:rsidRPr="00C055DB">
              <w:rPr>
                <w:b/>
                <w:i/>
                <w:sz w:val="18"/>
                <w:szCs w:val="18"/>
              </w:rPr>
              <w:t>Principle 1: Human Rights</w:t>
            </w:r>
          </w:p>
        </w:tc>
        <w:tc>
          <w:tcPr>
            <w:tcW w:w="540" w:type="dxa"/>
            <w:gridSpan w:val="2"/>
            <w:vAlign w:val="center"/>
          </w:tcPr>
          <w:p w14:paraId="648C8158" w14:textId="77777777" w:rsidR="0077105D" w:rsidRPr="006D4FA7" w:rsidRDefault="0077105D" w:rsidP="00EB71A9">
            <w:pPr>
              <w:tabs>
                <w:tab w:val="left" w:pos="360"/>
              </w:tabs>
              <w:rPr>
                <w:rFonts w:asciiTheme="majorHAnsi" w:hAnsiTheme="majorHAnsi"/>
                <w:sz w:val="18"/>
                <w:szCs w:val="18"/>
              </w:rPr>
            </w:pPr>
            <w:r w:rsidRPr="006D4FA7">
              <w:rPr>
                <w:rFonts w:asciiTheme="majorHAnsi" w:hAnsiTheme="majorHAnsi" w:cs="Segoe UI Symbol"/>
                <w:b/>
                <w:sz w:val="18"/>
                <w:szCs w:val="18"/>
              </w:rPr>
              <w:t>X</w:t>
            </w:r>
          </w:p>
        </w:tc>
        <w:tc>
          <w:tcPr>
            <w:tcW w:w="4747" w:type="dxa"/>
          </w:tcPr>
          <w:p w14:paraId="7D4AE89A" w14:textId="77777777" w:rsidR="0077105D" w:rsidRPr="00000D25" w:rsidRDefault="0077105D" w:rsidP="00EB71A9">
            <w:pPr>
              <w:tabs>
                <w:tab w:val="left" w:pos="360"/>
              </w:tabs>
              <w:rPr>
                <w:sz w:val="18"/>
                <w:szCs w:val="18"/>
                <w:highlight w:val="yellow"/>
              </w:rPr>
            </w:pPr>
            <w:r w:rsidRPr="00000D25">
              <w:rPr>
                <w:rFonts w:asciiTheme="majorHAnsi" w:hAnsiTheme="majorHAnsi"/>
                <w:sz w:val="18"/>
                <w:szCs w:val="18"/>
              </w:rPr>
              <w:t xml:space="preserve">Referred to SESP Attachment 1: Principle 1. Question </w:t>
            </w:r>
            <w:r>
              <w:rPr>
                <w:rFonts w:asciiTheme="majorHAnsi" w:hAnsiTheme="majorHAnsi"/>
                <w:sz w:val="18"/>
                <w:szCs w:val="18"/>
              </w:rPr>
              <w:t xml:space="preserve">2 and 3: </w:t>
            </w:r>
            <w:r w:rsidRPr="00000D25">
              <w:rPr>
                <w:rFonts w:asciiTheme="majorHAnsi" w:hAnsiTheme="majorHAnsi"/>
                <w:sz w:val="18"/>
                <w:szCs w:val="18"/>
              </w:rPr>
              <w:t>and Principle 5, Question 5.2</w:t>
            </w:r>
            <w:r>
              <w:rPr>
                <w:rFonts w:asciiTheme="majorHAnsi" w:hAnsiTheme="majorHAnsi"/>
                <w:sz w:val="18"/>
                <w:szCs w:val="18"/>
              </w:rPr>
              <w:t xml:space="preserve"> and 5.4</w:t>
            </w:r>
          </w:p>
        </w:tc>
      </w:tr>
      <w:tr w:rsidR="0077105D" w:rsidRPr="00EF0E8F" w14:paraId="386A74E8" w14:textId="77777777" w:rsidTr="00EB71A9">
        <w:tc>
          <w:tcPr>
            <w:tcW w:w="3510" w:type="dxa"/>
            <w:vMerge/>
            <w:shd w:val="clear" w:color="auto" w:fill="FFFFFF" w:themeFill="background1"/>
          </w:tcPr>
          <w:p w14:paraId="181585EE" w14:textId="77777777" w:rsidR="0077105D" w:rsidRDefault="0077105D" w:rsidP="00EB71A9">
            <w:pPr>
              <w:tabs>
                <w:tab w:val="left" w:pos="270"/>
              </w:tabs>
              <w:ind w:left="270" w:hanging="270"/>
              <w:rPr>
                <w:sz w:val="18"/>
                <w:szCs w:val="18"/>
              </w:rPr>
            </w:pPr>
          </w:p>
        </w:tc>
        <w:tc>
          <w:tcPr>
            <w:tcW w:w="4343" w:type="dxa"/>
            <w:gridSpan w:val="3"/>
            <w:shd w:val="clear" w:color="auto" w:fill="auto"/>
          </w:tcPr>
          <w:p w14:paraId="0CBFBA41" w14:textId="77777777" w:rsidR="0077105D" w:rsidRPr="00C055DB" w:rsidRDefault="0077105D" w:rsidP="00EB71A9">
            <w:pPr>
              <w:tabs>
                <w:tab w:val="left" w:pos="270"/>
              </w:tabs>
              <w:ind w:left="270" w:hanging="270"/>
              <w:rPr>
                <w:b/>
                <w:i/>
                <w:sz w:val="18"/>
                <w:szCs w:val="18"/>
              </w:rPr>
            </w:pPr>
            <w:r w:rsidRPr="00C055DB">
              <w:rPr>
                <w:b/>
                <w:i/>
                <w:sz w:val="18"/>
                <w:szCs w:val="18"/>
              </w:rPr>
              <w:t>Principle</w:t>
            </w:r>
            <w:r>
              <w:rPr>
                <w:b/>
                <w:i/>
                <w:sz w:val="18"/>
                <w:szCs w:val="18"/>
              </w:rPr>
              <w:t xml:space="preserve"> </w:t>
            </w:r>
            <w:r w:rsidRPr="00C055DB">
              <w:rPr>
                <w:b/>
                <w:i/>
                <w:sz w:val="18"/>
                <w:szCs w:val="18"/>
              </w:rPr>
              <w:t>2: Gender Equality and Women’s Empowerment</w:t>
            </w:r>
          </w:p>
        </w:tc>
        <w:tc>
          <w:tcPr>
            <w:tcW w:w="540" w:type="dxa"/>
            <w:gridSpan w:val="2"/>
            <w:vAlign w:val="center"/>
          </w:tcPr>
          <w:p w14:paraId="32590B55" w14:textId="77777777" w:rsidR="0077105D" w:rsidRPr="006D4FA7" w:rsidRDefault="0077105D" w:rsidP="00EB71A9">
            <w:pPr>
              <w:tabs>
                <w:tab w:val="left" w:pos="360"/>
              </w:tabs>
              <w:rPr>
                <w:rFonts w:asciiTheme="majorHAnsi" w:hAnsiTheme="majorHAnsi"/>
                <w:sz w:val="18"/>
                <w:szCs w:val="18"/>
              </w:rPr>
            </w:pPr>
            <w:r w:rsidRPr="006D4FA7">
              <w:rPr>
                <w:rFonts w:asciiTheme="majorHAnsi" w:hAnsiTheme="majorHAnsi" w:cs="Segoe UI Symbol"/>
                <w:b/>
                <w:sz w:val="18"/>
                <w:szCs w:val="18"/>
              </w:rPr>
              <w:t>X</w:t>
            </w:r>
          </w:p>
        </w:tc>
        <w:tc>
          <w:tcPr>
            <w:tcW w:w="4747" w:type="dxa"/>
          </w:tcPr>
          <w:p w14:paraId="1D148CCE" w14:textId="77777777" w:rsidR="0077105D" w:rsidRPr="00000D25" w:rsidRDefault="0077105D" w:rsidP="00EB71A9">
            <w:pPr>
              <w:tabs>
                <w:tab w:val="left" w:pos="360"/>
              </w:tabs>
              <w:rPr>
                <w:rFonts w:asciiTheme="majorHAnsi" w:hAnsiTheme="majorHAnsi"/>
                <w:sz w:val="18"/>
                <w:szCs w:val="18"/>
              </w:rPr>
            </w:pPr>
            <w:r w:rsidRPr="00D117C6">
              <w:rPr>
                <w:rFonts w:asciiTheme="majorHAnsi" w:hAnsiTheme="majorHAnsi"/>
                <w:sz w:val="18"/>
                <w:szCs w:val="18"/>
              </w:rPr>
              <w:t xml:space="preserve">Referred to SESP Attachment 1: </w:t>
            </w:r>
            <w:r>
              <w:rPr>
                <w:rFonts w:asciiTheme="majorHAnsi" w:hAnsiTheme="majorHAnsi"/>
                <w:sz w:val="18"/>
                <w:szCs w:val="18"/>
              </w:rPr>
              <w:t xml:space="preserve">Principle 2 </w:t>
            </w:r>
            <w:r w:rsidRPr="00000D25">
              <w:rPr>
                <w:rFonts w:asciiTheme="majorHAnsi" w:hAnsiTheme="majorHAnsi"/>
                <w:sz w:val="18"/>
                <w:szCs w:val="18"/>
              </w:rPr>
              <w:t xml:space="preserve">Question </w:t>
            </w:r>
            <w:r>
              <w:rPr>
                <w:rFonts w:asciiTheme="majorHAnsi" w:hAnsiTheme="majorHAnsi"/>
                <w:sz w:val="18"/>
                <w:szCs w:val="18"/>
              </w:rPr>
              <w:t>2 and 3</w:t>
            </w:r>
            <w:r w:rsidRPr="00000D25">
              <w:rPr>
                <w:rFonts w:asciiTheme="majorHAnsi" w:hAnsiTheme="majorHAnsi"/>
                <w:sz w:val="18"/>
                <w:szCs w:val="18"/>
              </w:rPr>
              <w:t xml:space="preserve"> </w:t>
            </w:r>
          </w:p>
        </w:tc>
      </w:tr>
      <w:tr w:rsidR="0077105D" w:rsidRPr="00EF0E8F" w14:paraId="6E6DD4D5" w14:textId="77777777" w:rsidTr="00EB71A9">
        <w:tc>
          <w:tcPr>
            <w:tcW w:w="3510" w:type="dxa"/>
            <w:vMerge/>
            <w:shd w:val="clear" w:color="auto" w:fill="FFFFFF" w:themeFill="background1"/>
          </w:tcPr>
          <w:p w14:paraId="6713B95A" w14:textId="77777777" w:rsidR="0077105D" w:rsidRDefault="0077105D" w:rsidP="00EB71A9">
            <w:pPr>
              <w:tabs>
                <w:tab w:val="left" w:pos="270"/>
              </w:tabs>
              <w:ind w:left="270" w:hanging="270"/>
              <w:rPr>
                <w:sz w:val="18"/>
                <w:szCs w:val="18"/>
              </w:rPr>
            </w:pPr>
          </w:p>
        </w:tc>
        <w:tc>
          <w:tcPr>
            <w:tcW w:w="4343" w:type="dxa"/>
            <w:gridSpan w:val="3"/>
            <w:shd w:val="clear" w:color="auto" w:fill="auto"/>
          </w:tcPr>
          <w:p w14:paraId="7ABAA010" w14:textId="77777777" w:rsidR="0077105D" w:rsidRPr="00C055DB" w:rsidRDefault="0077105D" w:rsidP="00EB71A9">
            <w:pPr>
              <w:tabs>
                <w:tab w:val="left" w:pos="270"/>
              </w:tabs>
              <w:ind w:left="270" w:hanging="270"/>
              <w:rPr>
                <w:b/>
                <w:i/>
                <w:sz w:val="18"/>
                <w:szCs w:val="18"/>
              </w:rPr>
            </w:pPr>
            <w:r>
              <w:rPr>
                <w:b/>
                <w:i/>
                <w:sz w:val="18"/>
                <w:szCs w:val="18"/>
              </w:rPr>
              <w:t>Principle 3</w:t>
            </w:r>
            <w:r w:rsidRPr="00C055DB">
              <w:rPr>
                <w:b/>
                <w:i/>
                <w:sz w:val="18"/>
                <w:szCs w:val="18"/>
              </w:rPr>
              <w:t>:</w:t>
            </w:r>
            <w:r>
              <w:rPr>
                <w:b/>
                <w:i/>
                <w:sz w:val="18"/>
                <w:szCs w:val="18"/>
              </w:rPr>
              <w:t xml:space="preserve">  Environmental Sustainability</w:t>
            </w:r>
          </w:p>
        </w:tc>
        <w:tc>
          <w:tcPr>
            <w:tcW w:w="540" w:type="dxa"/>
            <w:gridSpan w:val="2"/>
            <w:vAlign w:val="center"/>
          </w:tcPr>
          <w:p w14:paraId="649B7501" w14:textId="77777777" w:rsidR="0077105D" w:rsidRPr="006D4FA7" w:rsidRDefault="0077105D" w:rsidP="00EB71A9">
            <w:pPr>
              <w:tabs>
                <w:tab w:val="left" w:pos="360"/>
              </w:tabs>
              <w:rPr>
                <w:rFonts w:asciiTheme="majorHAnsi" w:hAnsiTheme="majorHAnsi" w:cs="Segoe UI Symbol"/>
                <w:b/>
                <w:sz w:val="18"/>
                <w:szCs w:val="18"/>
              </w:rPr>
            </w:pPr>
          </w:p>
        </w:tc>
        <w:tc>
          <w:tcPr>
            <w:tcW w:w="4747" w:type="dxa"/>
          </w:tcPr>
          <w:p w14:paraId="3AE4967C" w14:textId="77777777" w:rsidR="0077105D" w:rsidRPr="00543BE0" w:rsidRDefault="0077105D" w:rsidP="00EB71A9">
            <w:pPr>
              <w:tabs>
                <w:tab w:val="left" w:pos="360"/>
              </w:tabs>
              <w:rPr>
                <w:sz w:val="18"/>
                <w:szCs w:val="18"/>
              </w:rPr>
            </w:pPr>
          </w:p>
        </w:tc>
      </w:tr>
      <w:tr w:rsidR="0077105D" w:rsidRPr="00EF0E8F" w14:paraId="33736265" w14:textId="77777777" w:rsidTr="00EB71A9">
        <w:tc>
          <w:tcPr>
            <w:tcW w:w="3510" w:type="dxa"/>
            <w:vMerge/>
            <w:shd w:val="clear" w:color="auto" w:fill="FFFFFF" w:themeFill="background1"/>
          </w:tcPr>
          <w:p w14:paraId="068ADBA7" w14:textId="77777777" w:rsidR="0077105D" w:rsidRDefault="0077105D" w:rsidP="00EB71A9">
            <w:pPr>
              <w:tabs>
                <w:tab w:val="left" w:pos="270"/>
              </w:tabs>
              <w:ind w:left="270" w:hanging="270"/>
              <w:rPr>
                <w:sz w:val="18"/>
                <w:szCs w:val="18"/>
              </w:rPr>
            </w:pPr>
          </w:p>
        </w:tc>
        <w:tc>
          <w:tcPr>
            <w:tcW w:w="4343" w:type="dxa"/>
            <w:gridSpan w:val="3"/>
            <w:shd w:val="clear" w:color="auto" w:fill="auto"/>
          </w:tcPr>
          <w:p w14:paraId="18195B47" w14:textId="77777777" w:rsidR="0077105D" w:rsidRPr="00C055DB" w:rsidRDefault="0077105D" w:rsidP="00EB71A9">
            <w:pPr>
              <w:tabs>
                <w:tab w:val="left" w:pos="270"/>
              </w:tabs>
              <w:ind w:left="270" w:hanging="270"/>
              <w:rPr>
                <w:b/>
                <w:i/>
                <w:sz w:val="18"/>
                <w:szCs w:val="18"/>
              </w:rPr>
            </w:pPr>
            <w:r w:rsidRPr="00C055DB">
              <w:rPr>
                <w:b/>
                <w:i/>
                <w:sz w:val="18"/>
                <w:szCs w:val="18"/>
              </w:rPr>
              <w:t>1.</w:t>
            </w:r>
            <w:r w:rsidRPr="00C055DB">
              <w:rPr>
                <w:b/>
                <w:i/>
                <w:sz w:val="18"/>
                <w:szCs w:val="18"/>
              </w:rPr>
              <w:tab/>
              <w:t>Biodiversity Conservation and Natural Resource Management</w:t>
            </w:r>
          </w:p>
        </w:tc>
        <w:tc>
          <w:tcPr>
            <w:tcW w:w="540" w:type="dxa"/>
            <w:gridSpan w:val="2"/>
            <w:vAlign w:val="center"/>
          </w:tcPr>
          <w:p w14:paraId="1FCF82D2" w14:textId="77777777" w:rsidR="0077105D" w:rsidRPr="006D4FA7" w:rsidRDefault="0077105D" w:rsidP="00EB71A9">
            <w:pPr>
              <w:tabs>
                <w:tab w:val="left" w:pos="360"/>
              </w:tabs>
              <w:rPr>
                <w:rFonts w:asciiTheme="majorHAnsi" w:hAnsiTheme="majorHAnsi"/>
                <w:sz w:val="18"/>
                <w:szCs w:val="18"/>
              </w:rPr>
            </w:pPr>
            <w:r w:rsidRPr="006D4FA7">
              <w:rPr>
                <w:rFonts w:asciiTheme="majorHAnsi" w:hAnsiTheme="majorHAnsi" w:cs="Segoe UI Symbol"/>
                <w:b/>
                <w:sz w:val="18"/>
                <w:szCs w:val="18"/>
              </w:rPr>
              <w:t>X</w:t>
            </w:r>
          </w:p>
        </w:tc>
        <w:tc>
          <w:tcPr>
            <w:tcW w:w="4747" w:type="dxa"/>
          </w:tcPr>
          <w:p w14:paraId="76DA6576" w14:textId="77777777" w:rsidR="0077105D" w:rsidRPr="00C46472" w:rsidRDefault="0077105D" w:rsidP="00EB71A9">
            <w:pPr>
              <w:tabs>
                <w:tab w:val="left" w:pos="360"/>
              </w:tabs>
              <w:rPr>
                <w:sz w:val="18"/>
                <w:szCs w:val="18"/>
                <w:highlight w:val="yellow"/>
              </w:rPr>
            </w:pPr>
            <w:r w:rsidRPr="00D117C6">
              <w:rPr>
                <w:rFonts w:asciiTheme="majorHAnsi" w:hAnsiTheme="majorHAnsi"/>
                <w:sz w:val="18"/>
                <w:szCs w:val="18"/>
              </w:rPr>
              <w:t>Referred to SESP Attachment 1: Princi</w:t>
            </w:r>
            <w:r>
              <w:rPr>
                <w:rFonts w:asciiTheme="majorHAnsi" w:hAnsiTheme="majorHAnsi"/>
                <w:sz w:val="18"/>
                <w:szCs w:val="18"/>
              </w:rPr>
              <w:t>ple 3. Standard 1, Question 1.2,</w:t>
            </w:r>
            <w:r w:rsidRPr="00D117C6">
              <w:rPr>
                <w:rFonts w:asciiTheme="majorHAnsi" w:hAnsiTheme="majorHAnsi"/>
                <w:sz w:val="18"/>
                <w:szCs w:val="18"/>
              </w:rPr>
              <w:t xml:space="preserve"> 1.6 </w:t>
            </w:r>
            <w:r>
              <w:rPr>
                <w:rFonts w:asciiTheme="majorHAnsi" w:hAnsiTheme="majorHAnsi"/>
                <w:sz w:val="18"/>
                <w:szCs w:val="18"/>
              </w:rPr>
              <w:t>and 1.7</w:t>
            </w:r>
          </w:p>
        </w:tc>
      </w:tr>
      <w:tr w:rsidR="0077105D" w:rsidRPr="00EF0E8F" w14:paraId="4625BA4A" w14:textId="77777777" w:rsidTr="00EB71A9">
        <w:tc>
          <w:tcPr>
            <w:tcW w:w="3510" w:type="dxa"/>
            <w:vMerge/>
            <w:shd w:val="clear" w:color="auto" w:fill="FFFFFF" w:themeFill="background1"/>
          </w:tcPr>
          <w:p w14:paraId="6C928059" w14:textId="77777777" w:rsidR="0077105D" w:rsidRDefault="0077105D" w:rsidP="00EB71A9">
            <w:pPr>
              <w:tabs>
                <w:tab w:val="left" w:pos="270"/>
              </w:tabs>
              <w:ind w:left="270" w:hanging="270"/>
              <w:rPr>
                <w:sz w:val="18"/>
                <w:szCs w:val="18"/>
              </w:rPr>
            </w:pPr>
          </w:p>
        </w:tc>
        <w:tc>
          <w:tcPr>
            <w:tcW w:w="4343" w:type="dxa"/>
            <w:gridSpan w:val="3"/>
            <w:shd w:val="clear" w:color="auto" w:fill="auto"/>
          </w:tcPr>
          <w:p w14:paraId="4B52D75C" w14:textId="77777777" w:rsidR="0077105D" w:rsidRPr="00C055DB" w:rsidRDefault="0077105D" w:rsidP="00EB71A9">
            <w:pPr>
              <w:tabs>
                <w:tab w:val="left" w:pos="270"/>
              </w:tabs>
              <w:ind w:left="270" w:hanging="270"/>
              <w:rPr>
                <w:b/>
                <w:i/>
                <w:sz w:val="18"/>
                <w:szCs w:val="18"/>
              </w:rPr>
            </w:pPr>
            <w:r w:rsidRPr="00C055DB">
              <w:rPr>
                <w:b/>
                <w:i/>
                <w:sz w:val="18"/>
                <w:szCs w:val="18"/>
              </w:rPr>
              <w:t>2.</w:t>
            </w:r>
            <w:r w:rsidRPr="00C055DB">
              <w:rPr>
                <w:b/>
                <w:i/>
                <w:sz w:val="18"/>
                <w:szCs w:val="18"/>
              </w:rPr>
              <w:tab/>
              <w:t>Climate Change Mitigation and Adaptation</w:t>
            </w:r>
          </w:p>
        </w:tc>
        <w:tc>
          <w:tcPr>
            <w:tcW w:w="540" w:type="dxa"/>
            <w:gridSpan w:val="2"/>
            <w:vAlign w:val="center"/>
          </w:tcPr>
          <w:p w14:paraId="441CB62B" w14:textId="77777777" w:rsidR="0077105D" w:rsidRPr="006D4FA7" w:rsidRDefault="0077105D" w:rsidP="00EB71A9">
            <w:pPr>
              <w:tabs>
                <w:tab w:val="left" w:pos="360"/>
              </w:tabs>
              <w:rPr>
                <w:rFonts w:asciiTheme="majorHAnsi" w:hAnsiTheme="majorHAnsi"/>
                <w:sz w:val="18"/>
                <w:szCs w:val="18"/>
              </w:rPr>
            </w:pPr>
            <w:r w:rsidRPr="006D4FA7">
              <w:rPr>
                <w:rFonts w:asciiTheme="majorHAnsi" w:hAnsiTheme="majorHAnsi" w:cs="Segoe UI Symbol"/>
                <w:b/>
                <w:sz w:val="18"/>
                <w:szCs w:val="18"/>
              </w:rPr>
              <w:t>X</w:t>
            </w:r>
          </w:p>
        </w:tc>
        <w:tc>
          <w:tcPr>
            <w:tcW w:w="4747" w:type="dxa"/>
          </w:tcPr>
          <w:p w14:paraId="1C856FFB" w14:textId="77777777" w:rsidR="0077105D" w:rsidRPr="00C46472" w:rsidRDefault="0077105D" w:rsidP="00EB71A9">
            <w:pPr>
              <w:tabs>
                <w:tab w:val="left" w:pos="360"/>
              </w:tabs>
              <w:rPr>
                <w:sz w:val="18"/>
                <w:szCs w:val="18"/>
                <w:highlight w:val="yellow"/>
              </w:rPr>
            </w:pPr>
            <w:r w:rsidRPr="00D117C6">
              <w:rPr>
                <w:rFonts w:asciiTheme="majorHAnsi" w:hAnsiTheme="majorHAnsi"/>
                <w:sz w:val="18"/>
                <w:szCs w:val="18"/>
              </w:rPr>
              <w:t>Referred to SESP Attachment 1: Principle 3: Standard 2, Question 2.2</w:t>
            </w:r>
          </w:p>
        </w:tc>
      </w:tr>
      <w:tr w:rsidR="0077105D" w:rsidRPr="00EF0E8F" w14:paraId="00E58236" w14:textId="77777777" w:rsidTr="00EB71A9">
        <w:tc>
          <w:tcPr>
            <w:tcW w:w="3510" w:type="dxa"/>
            <w:vMerge/>
            <w:shd w:val="clear" w:color="auto" w:fill="FFFFFF" w:themeFill="background1"/>
          </w:tcPr>
          <w:p w14:paraId="30687503" w14:textId="77777777" w:rsidR="0077105D" w:rsidRDefault="0077105D" w:rsidP="00EB71A9">
            <w:pPr>
              <w:tabs>
                <w:tab w:val="left" w:pos="270"/>
              </w:tabs>
              <w:ind w:left="270" w:hanging="270"/>
              <w:rPr>
                <w:sz w:val="18"/>
                <w:szCs w:val="18"/>
              </w:rPr>
            </w:pPr>
          </w:p>
        </w:tc>
        <w:tc>
          <w:tcPr>
            <w:tcW w:w="4343" w:type="dxa"/>
            <w:gridSpan w:val="3"/>
            <w:shd w:val="clear" w:color="auto" w:fill="auto"/>
          </w:tcPr>
          <w:p w14:paraId="325DBC8C" w14:textId="77777777" w:rsidR="0077105D" w:rsidRPr="00C055DB" w:rsidRDefault="0077105D" w:rsidP="00EB71A9">
            <w:pPr>
              <w:tabs>
                <w:tab w:val="left" w:pos="270"/>
              </w:tabs>
              <w:ind w:left="270" w:hanging="270"/>
              <w:rPr>
                <w:b/>
                <w:i/>
                <w:sz w:val="18"/>
                <w:szCs w:val="18"/>
              </w:rPr>
            </w:pPr>
            <w:r w:rsidRPr="00C055DB">
              <w:rPr>
                <w:b/>
                <w:i/>
                <w:sz w:val="18"/>
                <w:szCs w:val="18"/>
              </w:rPr>
              <w:t>3.</w:t>
            </w:r>
            <w:r w:rsidRPr="00C055DB">
              <w:rPr>
                <w:b/>
                <w:i/>
                <w:sz w:val="18"/>
                <w:szCs w:val="18"/>
              </w:rPr>
              <w:tab/>
              <w:t>Community Health, Safety and Working Conditions</w:t>
            </w:r>
          </w:p>
        </w:tc>
        <w:tc>
          <w:tcPr>
            <w:tcW w:w="540" w:type="dxa"/>
            <w:gridSpan w:val="2"/>
            <w:vAlign w:val="center"/>
          </w:tcPr>
          <w:p w14:paraId="51171323" w14:textId="77777777" w:rsidR="0077105D" w:rsidRPr="006D4FA7" w:rsidRDefault="0077105D" w:rsidP="00EB71A9">
            <w:pPr>
              <w:tabs>
                <w:tab w:val="left" w:pos="360"/>
              </w:tabs>
              <w:rPr>
                <w:rFonts w:asciiTheme="majorHAnsi" w:hAnsiTheme="majorHAnsi"/>
                <w:sz w:val="18"/>
                <w:szCs w:val="18"/>
              </w:rPr>
            </w:pPr>
            <w:r w:rsidRPr="006D4FA7">
              <w:rPr>
                <w:rFonts w:ascii="Menlo Bold" w:hAnsi="Menlo Bold" w:cs="Menlo Bold"/>
                <w:b/>
                <w:sz w:val="18"/>
                <w:szCs w:val="18"/>
              </w:rPr>
              <w:t>☐</w:t>
            </w:r>
          </w:p>
        </w:tc>
        <w:tc>
          <w:tcPr>
            <w:tcW w:w="4747" w:type="dxa"/>
          </w:tcPr>
          <w:p w14:paraId="7D45FC1B" w14:textId="77777777" w:rsidR="0077105D" w:rsidRPr="00EF0E8F" w:rsidRDefault="0077105D" w:rsidP="00EB71A9">
            <w:pPr>
              <w:tabs>
                <w:tab w:val="left" w:pos="360"/>
              </w:tabs>
              <w:rPr>
                <w:sz w:val="18"/>
                <w:szCs w:val="18"/>
              </w:rPr>
            </w:pPr>
          </w:p>
        </w:tc>
      </w:tr>
      <w:tr w:rsidR="0077105D" w:rsidRPr="00EF0E8F" w14:paraId="6CB3892B" w14:textId="77777777" w:rsidTr="00EB71A9">
        <w:tc>
          <w:tcPr>
            <w:tcW w:w="3510" w:type="dxa"/>
            <w:vMerge/>
            <w:shd w:val="clear" w:color="auto" w:fill="FFFFFF" w:themeFill="background1"/>
          </w:tcPr>
          <w:p w14:paraId="7FC10264" w14:textId="77777777" w:rsidR="0077105D" w:rsidRDefault="0077105D" w:rsidP="00EB71A9">
            <w:pPr>
              <w:tabs>
                <w:tab w:val="left" w:pos="270"/>
              </w:tabs>
              <w:ind w:left="270" w:hanging="270"/>
              <w:rPr>
                <w:sz w:val="18"/>
                <w:szCs w:val="18"/>
              </w:rPr>
            </w:pPr>
          </w:p>
        </w:tc>
        <w:tc>
          <w:tcPr>
            <w:tcW w:w="4343" w:type="dxa"/>
            <w:gridSpan w:val="3"/>
            <w:shd w:val="clear" w:color="auto" w:fill="auto"/>
          </w:tcPr>
          <w:p w14:paraId="2A85C00D" w14:textId="77777777" w:rsidR="0077105D" w:rsidRPr="00C055DB" w:rsidRDefault="0077105D" w:rsidP="00EB71A9">
            <w:pPr>
              <w:tabs>
                <w:tab w:val="left" w:pos="270"/>
              </w:tabs>
              <w:ind w:left="270" w:hanging="270"/>
              <w:rPr>
                <w:b/>
                <w:i/>
                <w:sz w:val="18"/>
                <w:szCs w:val="18"/>
              </w:rPr>
            </w:pPr>
            <w:r w:rsidRPr="00C055DB">
              <w:rPr>
                <w:b/>
                <w:i/>
                <w:sz w:val="18"/>
                <w:szCs w:val="18"/>
              </w:rPr>
              <w:t>4.</w:t>
            </w:r>
            <w:r w:rsidRPr="00C055DB">
              <w:rPr>
                <w:b/>
                <w:i/>
                <w:sz w:val="18"/>
                <w:szCs w:val="18"/>
              </w:rPr>
              <w:tab/>
              <w:t>Cultural Heritage</w:t>
            </w:r>
          </w:p>
        </w:tc>
        <w:tc>
          <w:tcPr>
            <w:tcW w:w="540" w:type="dxa"/>
            <w:gridSpan w:val="2"/>
            <w:vAlign w:val="center"/>
          </w:tcPr>
          <w:p w14:paraId="68256C31" w14:textId="77777777" w:rsidR="0077105D" w:rsidRPr="006D4FA7" w:rsidRDefault="0077105D" w:rsidP="00EB71A9">
            <w:pPr>
              <w:tabs>
                <w:tab w:val="left" w:pos="360"/>
              </w:tabs>
              <w:rPr>
                <w:rFonts w:asciiTheme="majorHAnsi" w:hAnsiTheme="majorHAnsi"/>
                <w:sz w:val="18"/>
                <w:szCs w:val="18"/>
              </w:rPr>
            </w:pPr>
            <w:r w:rsidRPr="006D4FA7">
              <w:rPr>
                <w:rFonts w:ascii="Menlo Bold" w:hAnsi="Menlo Bold" w:cs="Menlo Bold"/>
                <w:b/>
                <w:sz w:val="18"/>
                <w:szCs w:val="18"/>
              </w:rPr>
              <w:t>☐</w:t>
            </w:r>
          </w:p>
        </w:tc>
        <w:tc>
          <w:tcPr>
            <w:tcW w:w="4747" w:type="dxa"/>
          </w:tcPr>
          <w:p w14:paraId="7EB479DA" w14:textId="77777777" w:rsidR="0077105D" w:rsidRPr="00EF0E8F" w:rsidRDefault="0077105D" w:rsidP="00EB71A9">
            <w:pPr>
              <w:tabs>
                <w:tab w:val="left" w:pos="360"/>
              </w:tabs>
              <w:rPr>
                <w:sz w:val="18"/>
                <w:szCs w:val="18"/>
              </w:rPr>
            </w:pPr>
          </w:p>
        </w:tc>
      </w:tr>
      <w:tr w:rsidR="0077105D" w:rsidRPr="00EF0E8F" w14:paraId="32DE7E03" w14:textId="77777777" w:rsidTr="00EB71A9">
        <w:tc>
          <w:tcPr>
            <w:tcW w:w="3510" w:type="dxa"/>
            <w:vMerge/>
            <w:shd w:val="clear" w:color="auto" w:fill="FFFFFF" w:themeFill="background1"/>
          </w:tcPr>
          <w:p w14:paraId="3EA222E5" w14:textId="77777777" w:rsidR="0077105D" w:rsidRDefault="0077105D" w:rsidP="00EB71A9">
            <w:pPr>
              <w:tabs>
                <w:tab w:val="left" w:pos="270"/>
              </w:tabs>
              <w:ind w:left="270" w:hanging="270"/>
              <w:rPr>
                <w:sz w:val="18"/>
                <w:szCs w:val="18"/>
              </w:rPr>
            </w:pPr>
          </w:p>
        </w:tc>
        <w:tc>
          <w:tcPr>
            <w:tcW w:w="4343" w:type="dxa"/>
            <w:gridSpan w:val="3"/>
            <w:shd w:val="clear" w:color="auto" w:fill="auto"/>
          </w:tcPr>
          <w:p w14:paraId="6D2170CC" w14:textId="77777777" w:rsidR="0077105D" w:rsidRPr="00C055DB" w:rsidRDefault="0077105D" w:rsidP="00EB71A9">
            <w:pPr>
              <w:tabs>
                <w:tab w:val="left" w:pos="270"/>
              </w:tabs>
              <w:ind w:left="270" w:hanging="270"/>
              <w:rPr>
                <w:b/>
                <w:i/>
                <w:sz w:val="18"/>
                <w:szCs w:val="18"/>
              </w:rPr>
            </w:pPr>
            <w:r w:rsidRPr="00C055DB">
              <w:rPr>
                <w:b/>
                <w:i/>
                <w:sz w:val="18"/>
                <w:szCs w:val="18"/>
              </w:rPr>
              <w:t>5.</w:t>
            </w:r>
            <w:r w:rsidRPr="00C055DB">
              <w:rPr>
                <w:b/>
                <w:i/>
                <w:sz w:val="18"/>
                <w:szCs w:val="18"/>
              </w:rPr>
              <w:tab/>
              <w:t>Displacement and Resettlement</w:t>
            </w:r>
          </w:p>
        </w:tc>
        <w:tc>
          <w:tcPr>
            <w:tcW w:w="540" w:type="dxa"/>
            <w:gridSpan w:val="2"/>
            <w:vAlign w:val="center"/>
          </w:tcPr>
          <w:p w14:paraId="36F1387F" w14:textId="77777777" w:rsidR="0077105D" w:rsidRPr="006D4FA7" w:rsidRDefault="0077105D" w:rsidP="00EB71A9">
            <w:pPr>
              <w:tabs>
                <w:tab w:val="left" w:pos="360"/>
              </w:tabs>
              <w:rPr>
                <w:rFonts w:asciiTheme="majorHAnsi" w:hAnsiTheme="majorHAnsi"/>
                <w:sz w:val="18"/>
                <w:szCs w:val="18"/>
              </w:rPr>
            </w:pPr>
            <w:r w:rsidRPr="006D4FA7">
              <w:rPr>
                <w:rFonts w:ascii="Menlo Bold" w:hAnsi="Menlo Bold" w:cs="Menlo Bold"/>
                <w:b/>
                <w:sz w:val="18"/>
                <w:szCs w:val="18"/>
              </w:rPr>
              <w:t>☐</w:t>
            </w:r>
          </w:p>
        </w:tc>
        <w:tc>
          <w:tcPr>
            <w:tcW w:w="4747" w:type="dxa"/>
          </w:tcPr>
          <w:p w14:paraId="5F1139AD" w14:textId="77777777" w:rsidR="0077105D" w:rsidRPr="00EF0E8F" w:rsidRDefault="0077105D" w:rsidP="00EB71A9">
            <w:pPr>
              <w:tabs>
                <w:tab w:val="left" w:pos="360"/>
              </w:tabs>
              <w:rPr>
                <w:sz w:val="18"/>
                <w:szCs w:val="18"/>
              </w:rPr>
            </w:pPr>
          </w:p>
        </w:tc>
      </w:tr>
      <w:tr w:rsidR="0077105D" w:rsidRPr="00EF0E8F" w14:paraId="5E2BD10A" w14:textId="77777777" w:rsidTr="00EB71A9">
        <w:tc>
          <w:tcPr>
            <w:tcW w:w="3510" w:type="dxa"/>
            <w:vMerge/>
            <w:shd w:val="clear" w:color="auto" w:fill="FFFFFF" w:themeFill="background1"/>
          </w:tcPr>
          <w:p w14:paraId="1C94FC9A" w14:textId="77777777" w:rsidR="0077105D" w:rsidRDefault="0077105D" w:rsidP="00EB71A9">
            <w:pPr>
              <w:tabs>
                <w:tab w:val="left" w:pos="270"/>
              </w:tabs>
              <w:ind w:left="270" w:hanging="270"/>
              <w:rPr>
                <w:sz w:val="18"/>
                <w:szCs w:val="18"/>
              </w:rPr>
            </w:pPr>
          </w:p>
        </w:tc>
        <w:tc>
          <w:tcPr>
            <w:tcW w:w="4343" w:type="dxa"/>
            <w:gridSpan w:val="3"/>
            <w:shd w:val="clear" w:color="auto" w:fill="auto"/>
          </w:tcPr>
          <w:p w14:paraId="1AAB6CAD" w14:textId="77777777" w:rsidR="0077105D" w:rsidRPr="00C055DB" w:rsidRDefault="0077105D" w:rsidP="00EB71A9">
            <w:pPr>
              <w:tabs>
                <w:tab w:val="left" w:pos="270"/>
              </w:tabs>
              <w:ind w:left="270" w:hanging="270"/>
              <w:rPr>
                <w:b/>
                <w:i/>
                <w:sz w:val="18"/>
                <w:szCs w:val="18"/>
              </w:rPr>
            </w:pPr>
            <w:r w:rsidRPr="00C055DB">
              <w:rPr>
                <w:b/>
                <w:i/>
                <w:sz w:val="18"/>
                <w:szCs w:val="18"/>
              </w:rPr>
              <w:t>6.</w:t>
            </w:r>
            <w:r w:rsidRPr="00C055DB">
              <w:rPr>
                <w:b/>
                <w:i/>
                <w:sz w:val="18"/>
                <w:szCs w:val="18"/>
              </w:rPr>
              <w:tab/>
              <w:t>Indigenous Peoples</w:t>
            </w:r>
          </w:p>
        </w:tc>
        <w:tc>
          <w:tcPr>
            <w:tcW w:w="540" w:type="dxa"/>
            <w:gridSpan w:val="2"/>
            <w:vAlign w:val="center"/>
          </w:tcPr>
          <w:p w14:paraId="3D74DC53" w14:textId="77777777" w:rsidR="0077105D" w:rsidRPr="006D4FA7" w:rsidRDefault="0077105D" w:rsidP="00EB71A9">
            <w:pPr>
              <w:tabs>
                <w:tab w:val="left" w:pos="360"/>
              </w:tabs>
              <w:rPr>
                <w:rFonts w:asciiTheme="majorHAnsi" w:hAnsiTheme="majorHAnsi"/>
                <w:sz w:val="18"/>
                <w:szCs w:val="18"/>
              </w:rPr>
            </w:pPr>
            <w:r w:rsidRPr="006D4FA7">
              <w:rPr>
                <w:rFonts w:ascii="Menlo Bold" w:hAnsi="Menlo Bold" w:cs="Menlo Bold"/>
                <w:b/>
                <w:sz w:val="18"/>
                <w:szCs w:val="18"/>
              </w:rPr>
              <w:t>☐</w:t>
            </w:r>
          </w:p>
        </w:tc>
        <w:tc>
          <w:tcPr>
            <w:tcW w:w="4747" w:type="dxa"/>
          </w:tcPr>
          <w:p w14:paraId="47352DD3" w14:textId="77777777" w:rsidR="0077105D" w:rsidRPr="00EF0E8F" w:rsidRDefault="0077105D" w:rsidP="00EB71A9">
            <w:pPr>
              <w:tabs>
                <w:tab w:val="left" w:pos="360"/>
              </w:tabs>
              <w:rPr>
                <w:sz w:val="18"/>
                <w:szCs w:val="18"/>
              </w:rPr>
            </w:pPr>
          </w:p>
        </w:tc>
      </w:tr>
      <w:tr w:rsidR="0077105D" w:rsidRPr="00EF0E8F" w14:paraId="6903DD36" w14:textId="77777777" w:rsidTr="00EB71A9">
        <w:tc>
          <w:tcPr>
            <w:tcW w:w="3510" w:type="dxa"/>
            <w:vMerge/>
            <w:shd w:val="clear" w:color="auto" w:fill="FFFFFF" w:themeFill="background1"/>
          </w:tcPr>
          <w:p w14:paraId="51FF6138" w14:textId="77777777" w:rsidR="0077105D" w:rsidRDefault="0077105D" w:rsidP="00EB71A9">
            <w:pPr>
              <w:tabs>
                <w:tab w:val="left" w:pos="270"/>
              </w:tabs>
              <w:ind w:left="270" w:hanging="270"/>
              <w:rPr>
                <w:sz w:val="18"/>
                <w:szCs w:val="18"/>
              </w:rPr>
            </w:pPr>
          </w:p>
        </w:tc>
        <w:tc>
          <w:tcPr>
            <w:tcW w:w="4343" w:type="dxa"/>
            <w:gridSpan w:val="3"/>
            <w:shd w:val="clear" w:color="auto" w:fill="auto"/>
          </w:tcPr>
          <w:p w14:paraId="4D419376" w14:textId="77777777" w:rsidR="0077105D" w:rsidRPr="00C055DB" w:rsidRDefault="0077105D" w:rsidP="00EB71A9">
            <w:pPr>
              <w:tabs>
                <w:tab w:val="left" w:pos="270"/>
              </w:tabs>
              <w:ind w:left="270" w:hanging="270"/>
              <w:rPr>
                <w:b/>
                <w:i/>
                <w:sz w:val="18"/>
                <w:szCs w:val="18"/>
              </w:rPr>
            </w:pPr>
            <w:r w:rsidRPr="00C055DB">
              <w:rPr>
                <w:b/>
                <w:i/>
                <w:sz w:val="18"/>
                <w:szCs w:val="18"/>
              </w:rPr>
              <w:t>7.</w:t>
            </w:r>
            <w:r w:rsidRPr="00C055DB">
              <w:rPr>
                <w:b/>
                <w:i/>
                <w:sz w:val="18"/>
                <w:szCs w:val="18"/>
              </w:rPr>
              <w:tab/>
              <w:t>Pollution Prevention and Resource Efficiency</w:t>
            </w:r>
          </w:p>
        </w:tc>
        <w:tc>
          <w:tcPr>
            <w:tcW w:w="540" w:type="dxa"/>
            <w:gridSpan w:val="2"/>
            <w:vAlign w:val="center"/>
          </w:tcPr>
          <w:p w14:paraId="67C2E1D8" w14:textId="77777777" w:rsidR="0077105D" w:rsidRPr="006D4FA7" w:rsidRDefault="0077105D" w:rsidP="00EB71A9">
            <w:pPr>
              <w:tabs>
                <w:tab w:val="left" w:pos="360"/>
              </w:tabs>
              <w:rPr>
                <w:rFonts w:asciiTheme="majorHAnsi" w:hAnsiTheme="majorHAnsi"/>
                <w:sz w:val="18"/>
                <w:szCs w:val="18"/>
              </w:rPr>
            </w:pPr>
            <w:r w:rsidRPr="006D4FA7">
              <w:rPr>
                <w:rFonts w:ascii="Menlo Bold" w:hAnsi="Menlo Bold" w:cs="Menlo Bold"/>
                <w:b/>
                <w:sz w:val="18"/>
                <w:szCs w:val="18"/>
              </w:rPr>
              <w:t>☐</w:t>
            </w:r>
          </w:p>
        </w:tc>
        <w:tc>
          <w:tcPr>
            <w:tcW w:w="4747" w:type="dxa"/>
          </w:tcPr>
          <w:p w14:paraId="3A5EFC5A" w14:textId="77777777" w:rsidR="0077105D" w:rsidRPr="00EF0E8F" w:rsidRDefault="0077105D" w:rsidP="00EB71A9">
            <w:pPr>
              <w:tabs>
                <w:tab w:val="left" w:pos="360"/>
              </w:tabs>
              <w:rPr>
                <w:sz w:val="18"/>
                <w:szCs w:val="18"/>
              </w:rPr>
            </w:pPr>
          </w:p>
        </w:tc>
      </w:tr>
    </w:tbl>
    <w:p w14:paraId="544A5C9F" w14:textId="77777777" w:rsidR="0077105D" w:rsidRDefault="0077105D" w:rsidP="0077105D">
      <w:pPr>
        <w:tabs>
          <w:tab w:val="left" w:pos="360"/>
        </w:tabs>
        <w:rPr>
          <w:b/>
          <w:i/>
          <w:sz w:val="18"/>
          <w:szCs w:val="18"/>
        </w:rPr>
      </w:pPr>
    </w:p>
    <w:p w14:paraId="43D03134" w14:textId="77777777" w:rsidR="0077105D" w:rsidRPr="003843AE" w:rsidRDefault="0077105D" w:rsidP="0077105D">
      <w:pPr>
        <w:tabs>
          <w:tab w:val="left" w:pos="360"/>
        </w:tabs>
        <w:rPr>
          <w:sz w:val="18"/>
          <w:szCs w:val="18"/>
        </w:rPr>
      </w:pPr>
    </w:p>
    <w:p w14:paraId="24FC71E2" w14:textId="77777777" w:rsidR="0077105D" w:rsidRDefault="0077105D" w:rsidP="0077105D">
      <w:pPr>
        <w:spacing w:before="200"/>
        <w:ind w:left="360"/>
        <w:rPr>
          <w:b/>
          <w:color w:val="4F81BD" w:themeColor="accent1"/>
        </w:rPr>
      </w:pPr>
    </w:p>
    <w:p w14:paraId="03A9A45A" w14:textId="77777777" w:rsidR="0077105D" w:rsidRDefault="0077105D" w:rsidP="0077105D">
      <w:pPr>
        <w:spacing w:before="200"/>
        <w:ind w:left="360"/>
        <w:rPr>
          <w:b/>
          <w:color w:val="4F81BD" w:themeColor="accent1"/>
        </w:rPr>
      </w:pPr>
    </w:p>
    <w:p w14:paraId="1E12BB7B" w14:textId="77777777" w:rsidR="0077105D" w:rsidRDefault="0077105D" w:rsidP="0077105D">
      <w:pPr>
        <w:spacing w:before="200"/>
        <w:ind w:left="360"/>
        <w:rPr>
          <w:b/>
          <w:color w:val="4F81BD" w:themeColor="accent1"/>
        </w:rPr>
      </w:pPr>
    </w:p>
    <w:p w14:paraId="4FAF2CA8" w14:textId="77777777" w:rsidR="0077105D" w:rsidRDefault="0077105D" w:rsidP="0077105D">
      <w:pPr>
        <w:spacing w:before="200"/>
        <w:ind w:left="360"/>
        <w:rPr>
          <w:b/>
          <w:color w:val="4F81BD" w:themeColor="accent1"/>
        </w:rPr>
      </w:pPr>
    </w:p>
    <w:p w14:paraId="0E51141B" w14:textId="77777777" w:rsidR="0077105D" w:rsidRPr="001A0CAF" w:rsidRDefault="0077105D" w:rsidP="0077105D">
      <w:pPr>
        <w:spacing w:before="200"/>
        <w:ind w:left="360"/>
        <w:rPr>
          <w:b/>
          <w:color w:val="4F81BD" w:themeColor="accent1"/>
        </w:rPr>
      </w:pPr>
      <w:r w:rsidRPr="00BD03F6">
        <w:rPr>
          <w:b/>
          <w:color w:val="4F81BD" w:themeColor="accent1"/>
        </w:rPr>
        <w:t>Final Sign Off</w:t>
      </w:r>
      <w:r w:rsidRPr="001A0CAF">
        <w:rPr>
          <w:b/>
          <w:color w:val="4F81BD" w:themeColor="accent1"/>
        </w:rPr>
        <w:t xml:space="preserve"> </w:t>
      </w:r>
    </w:p>
    <w:p w14:paraId="577D18F0" w14:textId="77777777" w:rsidR="0077105D" w:rsidRDefault="0077105D" w:rsidP="0077105D">
      <w:pPr>
        <w:tabs>
          <w:tab w:val="left" w:pos="360"/>
          <w:tab w:val="left" w:pos="4320"/>
        </w:tabs>
        <w:rPr>
          <w:sz w:val="18"/>
          <w:szCs w:val="18"/>
        </w:rPr>
      </w:pPr>
    </w:p>
    <w:tbl>
      <w:tblPr>
        <w:tblW w:w="0" w:type="auto"/>
        <w:tblLook w:val="04A0" w:firstRow="1" w:lastRow="0" w:firstColumn="1" w:lastColumn="0" w:noHBand="0" w:noVBand="1"/>
      </w:tblPr>
      <w:tblGrid>
        <w:gridCol w:w="2875"/>
        <w:gridCol w:w="1350"/>
        <w:gridCol w:w="8725"/>
      </w:tblGrid>
      <w:tr w:rsidR="0077105D" w14:paraId="3AEF3DAD" w14:textId="77777777" w:rsidTr="00EB71A9">
        <w:tc>
          <w:tcPr>
            <w:tcW w:w="2875" w:type="dxa"/>
            <w:shd w:val="clear" w:color="auto" w:fill="C6D9F1" w:themeFill="text2" w:themeFillTint="33"/>
          </w:tcPr>
          <w:p w14:paraId="753293D0" w14:textId="77777777" w:rsidR="0077105D" w:rsidRPr="00F84586" w:rsidRDefault="0077105D" w:rsidP="00EB71A9">
            <w:pPr>
              <w:tabs>
                <w:tab w:val="left" w:pos="360"/>
                <w:tab w:val="left" w:pos="4320"/>
              </w:tabs>
              <w:rPr>
                <w:b/>
                <w:i/>
                <w:sz w:val="18"/>
                <w:szCs w:val="18"/>
              </w:rPr>
            </w:pPr>
            <w:r w:rsidRPr="00F84586">
              <w:rPr>
                <w:b/>
                <w:i/>
                <w:sz w:val="18"/>
                <w:szCs w:val="18"/>
              </w:rPr>
              <w:t>Signature</w:t>
            </w:r>
          </w:p>
        </w:tc>
        <w:tc>
          <w:tcPr>
            <w:tcW w:w="1350" w:type="dxa"/>
            <w:shd w:val="clear" w:color="auto" w:fill="C6D9F1" w:themeFill="text2" w:themeFillTint="33"/>
          </w:tcPr>
          <w:p w14:paraId="305D9098" w14:textId="77777777" w:rsidR="0077105D" w:rsidRPr="00F84586" w:rsidRDefault="0077105D" w:rsidP="00EB71A9">
            <w:pPr>
              <w:tabs>
                <w:tab w:val="left" w:pos="360"/>
                <w:tab w:val="left" w:pos="4320"/>
              </w:tabs>
              <w:rPr>
                <w:b/>
                <w:i/>
                <w:sz w:val="18"/>
                <w:szCs w:val="18"/>
              </w:rPr>
            </w:pPr>
            <w:r w:rsidRPr="00F84586">
              <w:rPr>
                <w:b/>
                <w:i/>
                <w:sz w:val="18"/>
                <w:szCs w:val="18"/>
              </w:rPr>
              <w:t>Date</w:t>
            </w:r>
          </w:p>
        </w:tc>
        <w:tc>
          <w:tcPr>
            <w:tcW w:w="8725" w:type="dxa"/>
            <w:shd w:val="clear" w:color="auto" w:fill="C6D9F1" w:themeFill="text2" w:themeFillTint="33"/>
          </w:tcPr>
          <w:p w14:paraId="1080DEC7" w14:textId="77777777" w:rsidR="0077105D" w:rsidRPr="00F84586" w:rsidRDefault="0077105D" w:rsidP="00EB71A9">
            <w:pPr>
              <w:tabs>
                <w:tab w:val="left" w:pos="360"/>
                <w:tab w:val="left" w:pos="4320"/>
              </w:tabs>
              <w:rPr>
                <w:b/>
                <w:i/>
                <w:sz w:val="18"/>
                <w:szCs w:val="18"/>
              </w:rPr>
            </w:pPr>
            <w:r w:rsidRPr="00F84586">
              <w:rPr>
                <w:b/>
                <w:i/>
                <w:sz w:val="18"/>
                <w:szCs w:val="18"/>
              </w:rPr>
              <w:t>Description</w:t>
            </w:r>
          </w:p>
        </w:tc>
      </w:tr>
      <w:tr w:rsidR="0077105D" w14:paraId="7B7C5EB7" w14:textId="77777777" w:rsidTr="00EB71A9">
        <w:trPr>
          <w:trHeight w:val="629"/>
        </w:trPr>
        <w:tc>
          <w:tcPr>
            <w:tcW w:w="2875" w:type="dxa"/>
          </w:tcPr>
          <w:p w14:paraId="071DF755" w14:textId="77777777" w:rsidR="0077105D" w:rsidRPr="00C97C18" w:rsidRDefault="0077105D" w:rsidP="00EB71A9">
            <w:pPr>
              <w:tabs>
                <w:tab w:val="left" w:pos="360"/>
                <w:tab w:val="left" w:pos="4320"/>
              </w:tabs>
              <w:spacing w:after="120"/>
              <w:rPr>
                <w:sz w:val="20"/>
                <w:szCs w:val="20"/>
              </w:rPr>
            </w:pPr>
            <w:r w:rsidRPr="00C97C18">
              <w:rPr>
                <w:sz w:val="20"/>
                <w:szCs w:val="20"/>
              </w:rPr>
              <w:t>QA Assessor</w:t>
            </w:r>
          </w:p>
        </w:tc>
        <w:tc>
          <w:tcPr>
            <w:tcW w:w="1350" w:type="dxa"/>
          </w:tcPr>
          <w:p w14:paraId="23A6376C" w14:textId="77777777" w:rsidR="0077105D" w:rsidRPr="00C97C18" w:rsidRDefault="0077105D" w:rsidP="00EB71A9">
            <w:pPr>
              <w:tabs>
                <w:tab w:val="left" w:pos="360"/>
                <w:tab w:val="left" w:pos="4320"/>
              </w:tabs>
              <w:spacing w:after="120"/>
              <w:rPr>
                <w:sz w:val="20"/>
                <w:szCs w:val="20"/>
              </w:rPr>
            </w:pPr>
          </w:p>
        </w:tc>
        <w:tc>
          <w:tcPr>
            <w:tcW w:w="8725" w:type="dxa"/>
          </w:tcPr>
          <w:p w14:paraId="3AA8DEE9" w14:textId="77777777" w:rsidR="0077105D" w:rsidRPr="00C97C18" w:rsidRDefault="0077105D" w:rsidP="00EB71A9">
            <w:pPr>
              <w:pStyle w:val="SESPbodynumbered"/>
              <w:numPr>
                <w:ilvl w:val="0"/>
                <w:numId w:val="0"/>
              </w:numPr>
              <w:tabs>
                <w:tab w:val="left" w:pos="0"/>
                <w:tab w:val="left" w:pos="720"/>
              </w:tabs>
              <w:ind w:left="5" w:hanging="5"/>
            </w:pPr>
            <w:r w:rsidRPr="00C97C18">
              <w:t>UNDP staff member responsible for the Project</w:t>
            </w:r>
            <w:r w:rsidRPr="00C97C18">
              <w:rPr>
                <w:lang w:val="en-GB"/>
              </w:rPr>
              <w:t>, typically a UNDP Programme Officer. Final signature confirms they have “checked” to ensure that the SESP is adequately conducted.</w:t>
            </w:r>
          </w:p>
        </w:tc>
      </w:tr>
      <w:tr w:rsidR="0077105D" w14:paraId="0AE456C4" w14:textId="77777777" w:rsidTr="00EB71A9">
        <w:tc>
          <w:tcPr>
            <w:tcW w:w="2875" w:type="dxa"/>
          </w:tcPr>
          <w:p w14:paraId="6D4A9D05" w14:textId="77777777" w:rsidR="0077105D" w:rsidRPr="00C97C18" w:rsidRDefault="0077105D" w:rsidP="00EB71A9">
            <w:pPr>
              <w:tabs>
                <w:tab w:val="left" w:pos="360"/>
                <w:tab w:val="left" w:pos="4320"/>
              </w:tabs>
              <w:spacing w:after="120"/>
              <w:rPr>
                <w:sz w:val="20"/>
                <w:szCs w:val="20"/>
              </w:rPr>
            </w:pPr>
            <w:r w:rsidRPr="00C97C18">
              <w:rPr>
                <w:sz w:val="20"/>
                <w:szCs w:val="20"/>
              </w:rPr>
              <w:t>QA Approver</w:t>
            </w:r>
          </w:p>
        </w:tc>
        <w:tc>
          <w:tcPr>
            <w:tcW w:w="1350" w:type="dxa"/>
          </w:tcPr>
          <w:p w14:paraId="6276C379" w14:textId="77777777" w:rsidR="0077105D" w:rsidRPr="00C97C18" w:rsidRDefault="0077105D" w:rsidP="00EB71A9">
            <w:pPr>
              <w:tabs>
                <w:tab w:val="left" w:pos="360"/>
                <w:tab w:val="left" w:pos="4320"/>
              </w:tabs>
              <w:spacing w:after="120"/>
              <w:rPr>
                <w:sz w:val="20"/>
                <w:szCs w:val="20"/>
              </w:rPr>
            </w:pPr>
          </w:p>
        </w:tc>
        <w:tc>
          <w:tcPr>
            <w:tcW w:w="8725" w:type="dxa"/>
          </w:tcPr>
          <w:p w14:paraId="0135E023" w14:textId="77777777" w:rsidR="0077105D" w:rsidRPr="00C97C18" w:rsidRDefault="0077105D" w:rsidP="00EB71A9">
            <w:pPr>
              <w:tabs>
                <w:tab w:val="left" w:pos="360"/>
                <w:tab w:val="left" w:pos="4320"/>
              </w:tabs>
              <w:spacing w:after="120"/>
              <w:rPr>
                <w:sz w:val="20"/>
                <w:szCs w:val="20"/>
              </w:rPr>
            </w:pPr>
            <w:r w:rsidRPr="00C97C18">
              <w:rPr>
                <w:sz w:val="20"/>
                <w:szCs w:val="20"/>
                <w:lang w:val="en-GB"/>
              </w:rPr>
              <w:t>UNDP senior manager, typically the UNDP Deputy Country Director (DCD), Country Director (CD)</w:t>
            </w:r>
            <w:r w:rsidRPr="00C97C18">
              <w:rPr>
                <w:b/>
                <w:sz w:val="20"/>
                <w:szCs w:val="20"/>
              </w:rPr>
              <w:t xml:space="preserve">, </w:t>
            </w:r>
            <w:r w:rsidRPr="00C97C18">
              <w:rPr>
                <w:sz w:val="20"/>
                <w:szCs w:val="20"/>
              </w:rPr>
              <w:t>Deputy Resident Representative (DRR), or Resident Representative (RR). The QA Approver cannot also be the QA Assessor. Final signature confirms they have “cleared” the SESP prior to submittal to the PAC.</w:t>
            </w:r>
          </w:p>
        </w:tc>
      </w:tr>
      <w:tr w:rsidR="0077105D" w14:paraId="0BFA5F5E" w14:textId="77777777" w:rsidTr="00EB71A9">
        <w:trPr>
          <w:trHeight w:val="63"/>
        </w:trPr>
        <w:tc>
          <w:tcPr>
            <w:tcW w:w="2875" w:type="dxa"/>
          </w:tcPr>
          <w:p w14:paraId="74E14B95" w14:textId="77777777" w:rsidR="0077105D" w:rsidRPr="00C97C18" w:rsidRDefault="0077105D" w:rsidP="00EB71A9">
            <w:pPr>
              <w:tabs>
                <w:tab w:val="left" w:pos="360"/>
                <w:tab w:val="left" w:pos="4320"/>
              </w:tabs>
              <w:spacing w:after="120"/>
              <w:rPr>
                <w:sz w:val="20"/>
                <w:szCs w:val="20"/>
              </w:rPr>
            </w:pPr>
            <w:r w:rsidRPr="00C97C18">
              <w:rPr>
                <w:sz w:val="20"/>
                <w:szCs w:val="20"/>
              </w:rPr>
              <w:t>PAC Chair</w:t>
            </w:r>
          </w:p>
        </w:tc>
        <w:tc>
          <w:tcPr>
            <w:tcW w:w="1350" w:type="dxa"/>
          </w:tcPr>
          <w:p w14:paraId="021D892F" w14:textId="77777777" w:rsidR="0077105D" w:rsidRPr="00C97C18" w:rsidRDefault="0077105D" w:rsidP="00EB71A9">
            <w:pPr>
              <w:tabs>
                <w:tab w:val="left" w:pos="360"/>
                <w:tab w:val="left" w:pos="4320"/>
              </w:tabs>
              <w:spacing w:after="120"/>
              <w:rPr>
                <w:sz w:val="20"/>
                <w:szCs w:val="20"/>
              </w:rPr>
            </w:pPr>
          </w:p>
        </w:tc>
        <w:tc>
          <w:tcPr>
            <w:tcW w:w="8725" w:type="dxa"/>
          </w:tcPr>
          <w:p w14:paraId="4224771D" w14:textId="77777777" w:rsidR="0077105D" w:rsidRPr="00C97C18" w:rsidRDefault="0077105D" w:rsidP="00EB71A9">
            <w:pPr>
              <w:tabs>
                <w:tab w:val="left" w:pos="360"/>
                <w:tab w:val="left" w:pos="4320"/>
              </w:tabs>
              <w:spacing w:after="120"/>
              <w:rPr>
                <w:sz w:val="20"/>
                <w:szCs w:val="20"/>
              </w:rPr>
            </w:pPr>
            <w:r w:rsidRPr="00C97C18">
              <w:rPr>
                <w:sz w:val="20"/>
                <w:szCs w:val="20"/>
              </w:rPr>
              <w:t>UNDP chair of the PAC</w:t>
            </w:r>
            <w:r>
              <w:rPr>
                <w:sz w:val="20"/>
                <w:szCs w:val="20"/>
              </w:rPr>
              <w:t xml:space="preserve">. </w:t>
            </w:r>
            <w:r w:rsidRPr="00C97C18">
              <w:rPr>
                <w:sz w:val="20"/>
                <w:szCs w:val="20"/>
              </w:rPr>
              <w:t xml:space="preserve">In some cases PAC Chair may also be the QA Approver. Final signature confirms that the SESP was considered as part of the project appraisal and considered in recommendations of the PAC. </w:t>
            </w:r>
          </w:p>
        </w:tc>
      </w:tr>
    </w:tbl>
    <w:p w14:paraId="1F295CBC" w14:textId="77777777" w:rsidR="0077105D" w:rsidRDefault="0077105D" w:rsidP="0077105D">
      <w:pPr>
        <w:sectPr w:rsidR="0077105D" w:rsidSect="00EB71A9">
          <w:pgSz w:w="15840" w:h="12240" w:orient="landscape"/>
          <w:pgMar w:top="1440" w:right="1440" w:bottom="1440" w:left="1440" w:header="720" w:footer="720" w:gutter="0"/>
          <w:cols w:space="720"/>
          <w:titlePg/>
          <w:docGrid w:linePitch="360"/>
        </w:sectPr>
      </w:pPr>
    </w:p>
    <w:p w14:paraId="10D76BFF" w14:textId="77777777" w:rsidR="0077105D" w:rsidRPr="00C97C18" w:rsidRDefault="0077105D" w:rsidP="0077105D">
      <w:pPr>
        <w:pStyle w:val="Heading3"/>
        <w:rPr>
          <w:sz w:val="20"/>
        </w:rPr>
      </w:pPr>
      <w:r w:rsidRPr="00C97C18">
        <w:rPr>
          <w:sz w:val="20"/>
        </w:rPr>
        <w:t>SESP Attachment 1. Social and Environmental Risk Screening Checklist</w:t>
      </w:r>
    </w:p>
    <w:p w14:paraId="3356C4FE" w14:textId="77777777" w:rsidR="0077105D" w:rsidRPr="009D2BD0" w:rsidRDefault="0077105D" w:rsidP="0077105D">
      <w:pPr>
        <w:rPr>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gridCol w:w="833"/>
      </w:tblGrid>
      <w:tr w:rsidR="0077105D" w:rsidRPr="009D2BD0" w14:paraId="0D7F9605" w14:textId="77777777" w:rsidTr="00EB71A9">
        <w:tc>
          <w:tcPr>
            <w:tcW w:w="8635" w:type="dxa"/>
            <w:tcBorders>
              <w:bottom w:val="single" w:sz="4" w:space="0" w:color="auto"/>
            </w:tcBorders>
            <w:shd w:val="clear" w:color="auto" w:fill="8DB3E2" w:themeFill="text2" w:themeFillTint="66"/>
          </w:tcPr>
          <w:p w14:paraId="22D01652" w14:textId="77777777" w:rsidR="0077105D" w:rsidRPr="009D2BD0" w:rsidRDefault="0077105D" w:rsidP="00EB71A9">
            <w:pPr>
              <w:tabs>
                <w:tab w:val="left" w:pos="810"/>
              </w:tabs>
              <w:rPr>
                <w:rFonts w:eastAsia="Times New Roman"/>
                <w:sz w:val="22"/>
                <w:szCs w:val="22"/>
                <w:u w:val="single"/>
              </w:rPr>
            </w:pPr>
            <w:r>
              <w:rPr>
                <w:b/>
                <w:sz w:val="22"/>
                <w:szCs w:val="22"/>
              </w:rPr>
              <w:t>Checklist</w:t>
            </w:r>
            <w:r w:rsidRPr="009D2BD0">
              <w:rPr>
                <w:b/>
                <w:sz w:val="22"/>
                <w:szCs w:val="22"/>
              </w:rPr>
              <w:t xml:space="preserve"> Potential Social </w:t>
            </w:r>
            <w:r>
              <w:rPr>
                <w:b/>
                <w:sz w:val="22"/>
                <w:szCs w:val="22"/>
              </w:rPr>
              <w:t>a</w:t>
            </w:r>
            <w:r w:rsidRPr="009D2BD0">
              <w:rPr>
                <w:b/>
                <w:sz w:val="22"/>
                <w:szCs w:val="22"/>
              </w:rPr>
              <w:t xml:space="preserve">nd Environmental </w:t>
            </w:r>
            <w:r w:rsidRPr="003843AE">
              <w:rPr>
                <w:b/>
                <w:sz w:val="22"/>
                <w:szCs w:val="22"/>
                <w:u w:val="single"/>
              </w:rPr>
              <w:t>Risks</w:t>
            </w:r>
          </w:p>
        </w:tc>
        <w:tc>
          <w:tcPr>
            <w:tcW w:w="833" w:type="dxa"/>
            <w:tcBorders>
              <w:bottom w:val="single" w:sz="4" w:space="0" w:color="auto"/>
            </w:tcBorders>
            <w:shd w:val="clear" w:color="auto" w:fill="8DB3E2" w:themeFill="text2" w:themeFillTint="66"/>
          </w:tcPr>
          <w:p w14:paraId="23F51DA9" w14:textId="77777777" w:rsidR="0077105D" w:rsidRPr="009D2BD0" w:rsidRDefault="0077105D" w:rsidP="00EB71A9">
            <w:pPr>
              <w:tabs>
                <w:tab w:val="left" w:pos="810"/>
              </w:tabs>
              <w:rPr>
                <w:rFonts w:eastAsia="Times New Roman"/>
                <w:sz w:val="22"/>
                <w:szCs w:val="22"/>
              </w:rPr>
            </w:pPr>
          </w:p>
        </w:tc>
      </w:tr>
      <w:tr w:rsidR="0077105D" w:rsidRPr="00AF1F3C" w14:paraId="594FF3A8" w14:textId="77777777" w:rsidTr="00EB71A9">
        <w:tc>
          <w:tcPr>
            <w:tcW w:w="8635" w:type="dxa"/>
            <w:tcBorders>
              <w:bottom w:val="single" w:sz="4" w:space="0" w:color="auto"/>
            </w:tcBorders>
            <w:shd w:val="clear" w:color="auto" w:fill="DBE5F1" w:themeFill="accent1" w:themeFillTint="33"/>
          </w:tcPr>
          <w:p w14:paraId="72AAE513" w14:textId="77777777" w:rsidR="0077105D" w:rsidRPr="002E0918" w:rsidRDefault="0077105D" w:rsidP="00EB71A9">
            <w:pPr>
              <w:tabs>
                <w:tab w:val="left" w:pos="810"/>
              </w:tabs>
              <w:spacing w:before="120" w:after="120"/>
              <w:rPr>
                <w:b/>
                <w:sz w:val="18"/>
                <w:szCs w:val="18"/>
              </w:rPr>
            </w:pPr>
            <w:r>
              <w:rPr>
                <w:b/>
                <w:sz w:val="18"/>
                <w:szCs w:val="18"/>
              </w:rPr>
              <w:t xml:space="preserve">Principles 1: </w:t>
            </w:r>
            <w:r w:rsidRPr="002E0918">
              <w:rPr>
                <w:b/>
                <w:sz w:val="18"/>
                <w:szCs w:val="18"/>
              </w:rPr>
              <w:t>Human Rights</w:t>
            </w:r>
          </w:p>
        </w:tc>
        <w:tc>
          <w:tcPr>
            <w:tcW w:w="833" w:type="dxa"/>
            <w:tcBorders>
              <w:bottom w:val="single" w:sz="4" w:space="0" w:color="auto"/>
            </w:tcBorders>
            <w:shd w:val="clear" w:color="auto" w:fill="DBE5F1" w:themeFill="accent1" w:themeFillTint="33"/>
          </w:tcPr>
          <w:p w14:paraId="21231100" w14:textId="77777777" w:rsidR="0077105D" w:rsidRPr="002C0581" w:rsidRDefault="0077105D" w:rsidP="00EB71A9">
            <w:pPr>
              <w:tabs>
                <w:tab w:val="left" w:pos="810"/>
              </w:tabs>
              <w:jc w:val="center"/>
              <w:rPr>
                <w:b/>
                <w:sz w:val="18"/>
                <w:szCs w:val="18"/>
              </w:rPr>
            </w:pPr>
            <w:r w:rsidRPr="002C0581">
              <w:rPr>
                <w:rFonts w:eastAsia="Times New Roman"/>
                <w:b/>
                <w:sz w:val="16"/>
                <w:szCs w:val="16"/>
              </w:rPr>
              <w:t xml:space="preserve">Answer </w:t>
            </w:r>
            <w:r w:rsidRPr="002C0581">
              <w:rPr>
                <w:rFonts w:eastAsia="Times New Roman"/>
                <w:b/>
                <w:sz w:val="16"/>
                <w:szCs w:val="16"/>
              </w:rPr>
              <w:br/>
              <w:t>(Yes/No)</w:t>
            </w:r>
          </w:p>
        </w:tc>
      </w:tr>
      <w:tr w:rsidR="0077105D" w:rsidRPr="002E0918" w14:paraId="04FA21F8" w14:textId="77777777" w:rsidTr="00EB71A9">
        <w:tc>
          <w:tcPr>
            <w:tcW w:w="8635" w:type="dxa"/>
            <w:tcBorders>
              <w:bottom w:val="single" w:sz="4" w:space="0" w:color="auto"/>
            </w:tcBorders>
            <w:shd w:val="clear" w:color="auto" w:fill="auto"/>
          </w:tcPr>
          <w:p w14:paraId="6B4358E2" w14:textId="77777777" w:rsidR="0077105D" w:rsidRDefault="0077105D" w:rsidP="00EB71A9">
            <w:pPr>
              <w:tabs>
                <w:tab w:val="left" w:pos="900"/>
              </w:tabs>
              <w:spacing w:before="60"/>
              <w:ind w:left="567" w:hanging="567"/>
              <w:rPr>
                <w:rFonts w:eastAsia="Times New Roman"/>
                <w:sz w:val="18"/>
                <w:szCs w:val="18"/>
              </w:rPr>
            </w:pPr>
            <w:r>
              <w:rPr>
                <w:rFonts w:eastAsia="Times New Roman"/>
                <w:sz w:val="18"/>
                <w:szCs w:val="18"/>
              </w:rPr>
              <w:t>1.</w:t>
            </w:r>
            <w:r>
              <w:rPr>
                <w:rFonts w:eastAsia="Times New Roman"/>
                <w:sz w:val="18"/>
                <w:szCs w:val="18"/>
              </w:rPr>
              <w:tab/>
              <w:t>C</w:t>
            </w:r>
            <w:r w:rsidRPr="007E7E97">
              <w:rPr>
                <w:rFonts w:eastAsia="Times New Roman"/>
                <w:sz w:val="18"/>
                <w:szCs w:val="18"/>
              </w:rPr>
              <w:t xml:space="preserve">ould the </w:t>
            </w:r>
            <w:r>
              <w:rPr>
                <w:rFonts w:eastAsia="Times New Roman"/>
                <w:sz w:val="18"/>
                <w:szCs w:val="18"/>
              </w:rPr>
              <w:t>P</w:t>
            </w:r>
            <w:r w:rsidRPr="007E7E97">
              <w:rPr>
                <w:rFonts w:eastAsia="Times New Roman"/>
                <w:sz w:val="18"/>
                <w:szCs w:val="18"/>
              </w:rPr>
              <w:t xml:space="preserve">roject </w:t>
            </w:r>
            <w:r>
              <w:rPr>
                <w:rFonts w:eastAsia="Times New Roman"/>
                <w:sz w:val="18"/>
                <w:szCs w:val="18"/>
              </w:rPr>
              <w:t>lead to</w:t>
            </w:r>
            <w:r w:rsidRPr="007E7E97">
              <w:rPr>
                <w:rFonts w:eastAsia="Times New Roman"/>
                <w:sz w:val="18"/>
                <w:szCs w:val="18"/>
              </w:rPr>
              <w:t xml:space="preserve"> adverse impact</w:t>
            </w:r>
            <w:r>
              <w:rPr>
                <w:rFonts w:eastAsia="Times New Roman"/>
                <w:sz w:val="18"/>
                <w:szCs w:val="18"/>
              </w:rPr>
              <w:t>s</w:t>
            </w:r>
            <w:r w:rsidRPr="007E7E97">
              <w:rPr>
                <w:rFonts w:eastAsia="Times New Roman"/>
                <w:sz w:val="18"/>
                <w:szCs w:val="18"/>
              </w:rPr>
              <w:t xml:space="preserve"> on </w:t>
            </w:r>
            <w:r>
              <w:rPr>
                <w:rFonts w:eastAsia="Times New Roman"/>
                <w:sz w:val="18"/>
                <w:szCs w:val="18"/>
              </w:rPr>
              <w:t xml:space="preserve">enjoyment of </w:t>
            </w:r>
            <w:r w:rsidRPr="007E7E97">
              <w:rPr>
                <w:rFonts w:eastAsia="Times New Roman"/>
                <w:sz w:val="18"/>
                <w:szCs w:val="18"/>
              </w:rPr>
              <w:t xml:space="preserve">the human rights (civil, political, economic, social or cultural) of the affected population and particularly </w:t>
            </w:r>
            <w:r>
              <w:rPr>
                <w:rFonts w:eastAsia="Times New Roman"/>
                <w:sz w:val="18"/>
                <w:szCs w:val="18"/>
              </w:rPr>
              <w:t xml:space="preserve">of </w:t>
            </w:r>
            <w:r w:rsidRPr="007E7E97">
              <w:rPr>
                <w:rFonts w:eastAsia="Times New Roman"/>
                <w:sz w:val="18"/>
                <w:szCs w:val="18"/>
              </w:rPr>
              <w:t>marginalized groups</w:t>
            </w:r>
            <w:r>
              <w:rPr>
                <w:rFonts w:eastAsia="Times New Roman"/>
                <w:sz w:val="18"/>
                <w:szCs w:val="18"/>
              </w:rPr>
              <w:t>?</w:t>
            </w:r>
          </w:p>
        </w:tc>
        <w:tc>
          <w:tcPr>
            <w:tcW w:w="833" w:type="dxa"/>
            <w:tcBorders>
              <w:bottom w:val="single" w:sz="4" w:space="0" w:color="auto"/>
            </w:tcBorders>
            <w:shd w:val="clear" w:color="auto" w:fill="auto"/>
          </w:tcPr>
          <w:p w14:paraId="11B5C2AD" w14:textId="77777777" w:rsidR="0077105D" w:rsidRPr="002E0918" w:rsidRDefault="0077105D" w:rsidP="00EB71A9">
            <w:pPr>
              <w:tabs>
                <w:tab w:val="left" w:pos="810"/>
              </w:tabs>
              <w:rPr>
                <w:sz w:val="18"/>
                <w:szCs w:val="18"/>
              </w:rPr>
            </w:pPr>
            <w:r>
              <w:rPr>
                <w:sz w:val="18"/>
                <w:szCs w:val="18"/>
              </w:rPr>
              <w:t>No</w:t>
            </w:r>
          </w:p>
        </w:tc>
      </w:tr>
      <w:tr w:rsidR="0077105D" w:rsidRPr="002E0918" w14:paraId="3A718BE7" w14:textId="77777777" w:rsidTr="00EB71A9">
        <w:tc>
          <w:tcPr>
            <w:tcW w:w="8635" w:type="dxa"/>
            <w:tcBorders>
              <w:bottom w:val="single" w:sz="4" w:space="0" w:color="auto"/>
            </w:tcBorders>
            <w:shd w:val="clear" w:color="auto" w:fill="auto"/>
          </w:tcPr>
          <w:p w14:paraId="0AF5E6A3" w14:textId="77777777" w:rsidR="0077105D" w:rsidRPr="00324075" w:rsidRDefault="0077105D" w:rsidP="00EB71A9">
            <w:pPr>
              <w:tabs>
                <w:tab w:val="left" w:pos="900"/>
              </w:tabs>
              <w:spacing w:before="60"/>
              <w:ind w:left="567" w:hanging="567"/>
              <w:rPr>
                <w:rFonts w:eastAsia="Times New Roman"/>
                <w:sz w:val="18"/>
                <w:szCs w:val="18"/>
              </w:rPr>
            </w:pPr>
            <w:r w:rsidRPr="00324075">
              <w:rPr>
                <w:rFonts w:eastAsia="Times New Roman"/>
                <w:sz w:val="18"/>
                <w:szCs w:val="18"/>
              </w:rPr>
              <w:t xml:space="preserve">2. </w:t>
            </w:r>
            <w:r w:rsidRPr="00324075">
              <w:rPr>
                <w:rFonts w:eastAsia="Times New Roman"/>
                <w:sz w:val="18"/>
                <w:szCs w:val="18"/>
              </w:rPr>
              <w:tab/>
              <w:t>Is there a likelihood that the Project would have inequitable or discriminatory adverse impacts on affected populations, particularly people living in poverty or marginalized or excluded individuals or groups?</w:t>
            </w:r>
            <w:r w:rsidRPr="00324075">
              <w:rPr>
                <w:rStyle w:val="FootnoteReference"/>
                <w:rFonts w:eastAsia="Times New Roman"/>
                <w:szCs w:val="18"/>
              </w:rPr>
              <w:t xml:space="preserve"> </w:t>
            </w:r>
            <w:r w:rsidRPr="00324075">
              <w:rPr>
                <w:rStyle w:val="FootnoteReference"/>
                <w:rFonts w:eastAsia="Times New Roman"/>
                <w:szCs w:val="18"/>
              </w:rPr>
              <w:footnoteReference w:id="44"/>
            </w:r>
            <w:r w:rsidRPr="00324075">
              <w:rPr>
                <w:rFonts w:eastAsia="Times New Roman"/>
                <w:sz w:val="18"/>
                <w:szCs w:val="18"/>
              </w:rPr>
              <w:t xml:space="preserve"> </w:t>
            </w:r>
          </w:p>
        </w:tc>
        <w:tc>
          <w:tcPr>
            <w:tcW w:w="833" w:type="dxa"/>
            <w:tcBorders>
              <w:bottom w:val="single" w:sz="4" w:space="0" w:color="auto"/>
            </w:tcBorders>
            <w:shd w:val="clear" w:color="auto" w:fill="auto"/>
          </w:tcPr>
          <w:p w14:paraId="169DAFE4" w14:textId="77777777" w:rsidR="0077105D" w:rsidRPr="00324075" w:rsidRDefault="0077105D" w:rsidP="00EB71A9">
            <w:pPr>
              <w:tabs>
                <w:tab w:val="left" w:pos="810"/>
              </w:tabs>
              <w:rPr>
                <w:sz w:val="18"/>
                <w:szCs w:val="18"/>
              </w:rPr>
            </w:pPr>
            <w:r w:rsidRPr="00AF1F3C">
              <w:rPr>
                <w:sz w:val="18"/>
                <w:szCs w:val="18"/>
                <w:highlight w:val="yellow"/>
              </w:rPr>
              <w:t>Yes</w:t>
            </w:r>
          </w:p>
        </w:tc>
      </w:tr>
      <w:tr w:rsidR="0077105D" w:rsidRPr="002E0918" w14:paraId="39069A1B" w14:textId="77777777" w:rsidTr="00EB71A9">
        <w:tc>
          <w:tcPr>
            <w:tcW w:w="8635" w:type="dxa"/>
            <w:tcBorders>
              <w:bottom w:val="single" w:sz="4" w:space="0" w:color="auto"/>
            </w:tcBorders>
            <w:shd w:val="clear" w:color="auto" w:fill="auto"/>
          </w:tcPr>
          <w:p w14:paraId="31110119" w14:textId="77777777" w:rsidR="0077105D" w:rsidRPr="00324075" w:rsidRDefault="0077105D" w:rsidP="00EB71A9">
            <w:pPr>
              <w:tabs>
                <w:tab w:val="left" w:pos="900"/>
              </w:tabs>
              <w:spacing w:before="60"/>
              <w:ind w:left="567" w:hanging="567"/>
              <w:rPr>
                <w:rFonts w:eastAsia="Times New Roman"/>
                <w:sz w:val="18"/>
                <w:szCs w:val="18"/>
              </w:rPr>
            </w:pPr>
            <w:r w:rsidRPr="00324075">
              <w:rPr>
                <w:rFonts w:eastAsia="Times New Roman"/>
                <w:sz w:val="18"/>
                <w:szCs w:val="18"/>
              </w:rPr>
              <w:t>3.</w:t>
            </w:r>
            <w:r w:rsidRPr="00324075">
              <w:rPr>
                <w:rFonts w:eastAsia="Times New Roman"/>
                <w:sz w:val="18"/>
                <w:szCs w:val="18"/>
              </w:rPr>
              <w:tab/>
              <w:t>Could the Project potentially restrict availability, quality of and access to resources or basic services, in particular to marginalized individuals or groups?</w:t>
            </w:r>
          </w:p>
        </w:tc>
        <w:tc>
          <w:tcPr>
            <w:tcW w:w="833" w:type="dxa"/>
            <w:tcBorders>
              <w:bottom w:val="single" w:sz="4" w:space="0" w:color="auto"/>
            </w:tcBorders>
            <w:shd w:val="clear" w:color="auto" w:fill="auto"/>
          </w:tcPr>
          <w:p w14:paraId="7463F04C" w14:textId="77777777" w:rsidR="0077105D" w:rsidRPr="00324075" w:rsidRDefault="0077105D" w:rsidP="00EB71A9">
            <w:pPr>
              <w:tabs>
                <w:tab w:val="left" w:pos="810"/>
              </w:tabs>
              <w:rPr>
                <w:sz w:val="18"/>
                <w:szCs w:val="18"/>
              </w:rPr>
            </w:pPr>
            <w:r w:rsidRPr="00324075">
              <w:rPr>
                <w:sz w:val="18"/>
                <w:szCs w:val="18"/>
              </w:rPr>
              <w:t>Yes</w:t>
            </w:r>
          </w:p>
        </w:tc>
      </w:tr>
      <w:tr w:rsidR="0077105D" w:rsidRPr="002E0918" w14:paraId="2E895996" w14:textId="77777777" w:rsidTr="00EB71A9">
        <w:tc>
          <w:tcPr>
            <w:tcW w:w="8635" w:type="dxa"/>
            <w:tcBorders>
              <w:bottom w:val="single" w:sz="4" w:space="0" w:color="auto"/>
            </w:tcBorders>
            <w:shd w:val="clear" w:color="auto" w:fill="auto"/>
          </w:tcPr>
          <w:p w14:paraId="4D52D972" w14:textId="77777777" w:rsidR="0077105D" w:rsidRPr="00324075" w:rsidRDefault="0077105D" w:rsidP="00EB71A9">
            <w:pPr>
              <w:tabs>
                <w:tab w:val="left" w:pos="900"/>
              </w:tabs>
              <w:spacing w:before="60"/>
              <w:ind w:left="567" w:hanging="567"/>
              <w:rPr>
                <w:rFonts w:eastAsia="Times New Roman"/>
                <w:sz w:val="18"/>
                <w:szCs w:val="18"/>
              </w:rPr>
            </w:pPr>
            <w:r w:rsidRPr="00324075">
              <w:rPr>
                <w:rFonts w:eastAsia="Times New Roman"/>
                <w:sz w:val="18"/>
                <w:szCs w:val="18"/>
              </w:rPr>
              <w:t>4.</w:t>
            </w:r>
            <w:r w:rsidRPr="00324075">
              <w:rPr>
                <w:rFonts w:eastAsia="Times New Roman"/>
                <w:sz w:val="18"/>
                <w:szCs w:val="18"/>
              </w:rPr>
              <w:tab/>
              <w:t>Is there a likelihood that the Project would exclude any potentially affected stakeholders, in particular marginalized groups, from fully participating in decisions that may affect them?</w:t>
            </w:r>
          </w:p>
        </w:tc>
        <w:tc>
          <w:tcPr>
            <w:tcW w:w="833" w:type="dxa"/>
            <w:tcBorders>
              <w:bottom w:val="single" w:sz="4" w:space="0" w:color="auto"/>
            </w:tcBorders>
            <w:shd w:val="clear" w:color="auto" w:fill="auto"/>
          </w:tcPr>
          <w:p w14:paraId="7E6CC9DF" w14:textId="77777777" w:rsidR="0077105D" w:rsidRPr="00324075" w:rsidRDefault="0077105D" w:rsidP="00EB71A9">
            <w:pPr>
              <w:tabs>
                <w:tab w:val="left" w:pos="810"/>
              </w:tabs>
              <w:rPr>
                <w:sz w:val="18"/>
                <w:szCs w:val="18"/>
              </w:rPr>
            </w:pPr>
            <w:r>
              <w:rPr>
                <w:sz w:val="18"/>
                <w:szCs w:val="18"/>
              </w:rPr>
              <w:t>No</w:t>
            </w:r>
          </w:p>
        </w:tc>
      </w:tr>
      <w:tr w:rsidR="0077105D" w:rsidRPr="002E0918" w14:paraId="3A1C3155" w14:textId="77777777" w:rsidTr="00EB71A9">
        <w:tc>
          <w:tcPr>
            <w:tcW w:w="8635" w:type="dxa"/>
            <w:tcBorders>
              <w:bottom w:val="single" w:sz="4" w:space="0" w:color="auto"/>
            </w:tcBorders>
            <w:shd w:val="clear" w:color="auto" w:fill="auto"/>
          </w:tcPr>
          <w:p w14:paraId="663EA6C8" w14:textId="77777777" w:rsidR="0077105D" w:rsidDel="00074D34" w:rsidRDefault="0077105D" w:rsidP="00EB71A9">
            <w:pPr>
              <w:tabs>
                <w:tab w:val="left" w:pos="900"/>
              </w:tabs>
              <w:spacing w:before="60"/>
              <w:ind w:left="567" w:hanging="567"/>
              <w:rPr>
                <w:rFonts w:eastAsia="Times New Roman"/>
                <w:sz w:val="18"/>
                <w:szCs w:val="18"/>
              </w:rPr>
            </w:pPr>
            <w:r>
              <w:rPr>
                <w:rFonts w:eastAsia="Times New Roman"/>
                <w:sz w:val="18"/>
                <w:szCs w:val="18"/>
              </w:rPr>
              <w:t>5.</w:t>
            </w:r>
            <w:r>
              <w:rPr>
                <w:rFonts w:eastAsia="Times New Roman"/>
                <w:sz w:val="18"/>
                <w:szCs w:val="18"/>
              </w:rPr>
              <w:tab/>
              <w:t>Is there a risk that duty-bearers do not have the capacity to meet their obligations in the Project?</w:t>
            </w:r>
          </w:p>
        </w:tc>
        <w:tc>
          <w:tcPr>
            <w:tcW w:w="833" w:type="dxa"/>
            <w:tcBorders>
              <w:bottom w:val="single" w:sz="4" w:space="0" w:color="auto"/>
            </w:tcBorders>
            <w:shd w:val="clear" w:color="auto" w:fill="auto"/>
          </w:tcPr>
          <w:p w14:paraId="0C9137F4" w14:textId="77777777" w:rsidR="0077105D" w:rsidRPr="002E0918" w:rsidRDefault="0077105D" w:rsidP="00EB71A9">
            <w:pPr>
              <w:tabs>
                <w:tab w:val="left" w:pos="810"/>
              </w:tabs>
              <w:rPr>
                <w:sz w:val="18"/>
                <w:szCs w:val="18"/>
              </w:rPr>
            </w:pPr>
            <w:r>
              <w:rPr>
                <w:sz w:val="18"/>
                <w:szCs w:val="18"/>
              </w:rPr>
              <w:t>No</w:t>
            </w:r>
          </w:p>
        </w:tc>
      </w:tr>
      <w:tr w:rsidR="0077105D" w:rsidRPr="002E0918" w14:paraId="18EA41E1" w14:textId="77777777" w:rsidTr="00EB71A9">
        <w:tc>
          <w:tcPr>
            <w:tcW w:w="8635" w:type="dxa"/>
            <w:tcBorders>
              <w:bottom w:val="single" w:sz="4" w:space="0" w:color="auto"/>
            </w:tcBorders>
            <w:shd w:val="clear" w:color="auto" w:fill="auto"/>
          </w:tcPr>
          <w:p w14:paraId="669D4B5D" w14:textId="77777777" w:rsidR="0077105D" w:rsidRDefault="0077105D" w:rsidP="00EB71A9">
            <w:pPr>
              <w:tabs>
                <w:tab w:val="left" w:pos="900"/>
              </w:tabs>
              <w:spacing w:before="60"/>
              <w:ind w:left="567" w:hanging="567"/>
              <w:rPr>
                <w:rFonts w:eastAsia="Times New Roman"/>
                <w:sz w:val="18"/>
                <w:szCs w:val="18"/>
              </w:rPr>
            </w:pPr>
            <w:r>
              <w:rPr>
                <w:rFonts w:eastAsia="Times New Roman"/>
                <w:sz w:val="18"/>
                <w:szCs w:val="18"/>
              </w:rPr>
              <w:t>6.</w:t>
            </w:r>
            <w:r>
              <w:rPr>
                <w:rFonts w:eastAsia="Times New Roman"/>
                <w:sz w:val="18"/>
                <w:szCs w:val="18"/>
              </w:rPr>
              <w:tab/>
              <w:t xml:space="preserve">Is there a risk that rights-holders do not have the capacity to claim their rights? </w:t>
            </w:r>
          </w:p>
        </w:tc>
        <w:tc>
          <w:tcPr>
            <w:tcW w:w="833" w:type="dxa"/>
            <w:tcBorders>
              <w:bottom w:val="single" w:sz="4" w:space="0" w:color="auto"/>
            </w:tcBorders>
            <w:shd w:val="clear" w:color="auto" w:fill="auto"/>
          </w:tcPr>
          <w:p w14:paraId="3B61258C" w14:textId="77777777" w:rsidR="0077105D" w:rsidRPr="002E0918" w:rsidRDefault="0077105D" w:rsidP="00EB71A9">
            <w:pPr>
              <w:tabs>
                <w:tab w:val="left" w:pos="810"/>
              </w:tabs>
              <w:rPr>
                <w:sz w:val="18"/>
                <w:szCs w:val="18"/>
              </w:rPr>
            </w:pPr>
            <w:r>
              <w:rPr>
                <w:sz w:val="18"/>
                <w:szCs w:val="18"/>
              </w:rPr>
              <w:t>No</w:t>
            </w:r>
          </w:p>
        </w:tc>
      </w:tr>
      <w:tr w:rsidR="0077105D" w:rsidRPr="002E0918" w14:paraId="078975E9" w14:textId="77777777" w:rsidTr="00EB71A9">
        <w:tc>
          <w:tcPr>
            <w:tcW w:w="8635" w:type="dxa"/>
            <w:tcBorders>
              <w:bottom w:val="single" w:sz="4" w:space="0" w:color="auto"/>
            </w:tcBorders>
            <w:shd w:val="clear" w:color="auto" w:fill="auto"/>
          </w:tcPr>
          <w:p w14:paraId="6DEE1C4B" w14:textId="77777777" w:rsidR="0077105D" w:rsidRDefault="0077105D" w:rsidP="00EB71A9">
            <w:pPr>
              <w:tabs>
                <w:tab w:val="left" w:pos="900"/>
              </w:tabs>
              <w:spacing w:before="60"/>
              <w:ind w:left="567" w:hanging="567"/>
              <w:rPr>
                <w:rFonts w:eastAsia="Times New Roman"/>
                <w:sz w:val="18"/>
                <w:szCs w:val="18"/>
              </w:rPr>
            </w:pPr>
            <w:r>
              <w:rPr>
                <w:rFonts w:eastAsia="Times New Roman"/>
                <w:sz w:val="18"/>
                <w:szCs w:val="18"/>
              </w:rPr>
              <w:t>7.</w:t>
            </w:r>
            <w:r>
              <w:rPr>
                <w:rFonts w:eastAsia="Times New Roman"/>
                <w:sz w:val="18"/>
                <w:szCs w:val="18"/>
              </w:rPr>
              <w:tab/>
            </w:r>
            <w:r w:rsidRPr="002E0918">
              <w:rPr>
                <w:rFonts w:eastAsia="Times New Roman"/>
                <w:sz w:val="18"/>
                <w:szCs w:val="18"/>
              </w:rPr>
              <w:t>Have local communities or individuals</w:t>
            </w:r>
            <w:r>
              <w:rPr>
                <w:rFonts w:eastAsia="Times New Roman"/>
                <w:sz w:val="18"/>
                <w:szCs w:val="18"/>
              </w:rPr>
              <w:t>, given the opportunity,</w:t>
            </w:r>
            <w:r w:rsidRPr="002E0918">
              <w:rPr>
                <w:rFonts w:eastAsia="Times New Roman"/>
                <w:sz w:val="18"/>
                <w:szCs w:val="18"/>
              </w:rPr>
              <w:t xml:space="preserve"> raised human rights concerns regarding the </w:t>
            </w:r>
            <w:r>
              <w:rPr>
                <w:rFonts w:eastAsia="Times New Roman"/>
                <w:sz w:val="18"/>
                <w:szCs w:val="18"/>
              </w:rPr>
              <w:t>Project during the stakeholder engagement process</w:t>
            </w:r>
            <w:r w:rsidRPr="002E0918">
              <w:rPr>
                <w:rFonts w:eastAsia="Times New Roman"/>
                <w:sz w:val="18"/>
                <w:szCs w:val="18"/>
              </w:rPr>
              <w:t>?</w:t>
            </w:r>
          </w:p>
        </w:tc>
        <w:tc>
          <w:tcPr>
            <w:tcW w:w="833" w:type="dxa"/>
            <w:tcBorders>
              <w:bottom w:val="single" w:sz="4" w:space="0" w:color="auto"/>
            </w:tcBorders>
            <w:shd w:val="clear" w:color="auto" w:fill="auto"/>
          </w:tcPr>
          <w:p w14:paraId="62C054FE" w14:textId="77777777" w:rsidR="0077105D" w:rsidRPr="002E0918" w:rsidRDefault="0077105D" w:rsidP="00EB71A9">
            <w:pPr>
              <w:tabs>
                <w:tab w:val="left" w:pos="810"/>
              </w:tabs>
              <w:rPr>
                <w:sz w:val="18"/>
                <w:szCs w:val="18"/>
              </w:rPr>
            </w:pPr>
            <w:r>
              <w:rPr>
                <w:sz w:val="18"/>
                <w:szCs w:val="18"/>
              </w:rPr>
              <w:t>No</w:t>
            </w:r>
          </w:p>
        </w:tc>
      </w:tr>
      <w:tr w:rsidR="0077105D" w:rsidRPr="002E0918" w14:paraId="4ECA9F41" w14:textId="77777777" w:rsidTr="00EB71A9">
        <w:tc>
          <w:tcPr>
            <w:tcW w:w="8635" w:type="dxa"/>
            <w:tcBorders>
              <w:bottom w:val="single" w:sz="4" w:space="0" w:color="auto"/>
            </w:tcBorders>
            <w:shd w:val="clear" w:color="auto" w:fill="auto"/>
          </w:tcPr>
          <w:p w14:paraId="3F7D12C2" w14:textId="77777777" w:rsidR="0077105D" w:rsidRDefault="0077105D" w:rsidP="00EB71A9">
            <w:pPr>
              <w:tabs>
                <w:tab w:val="left" w:pos="900"/>
              </w:tabs>
              <w:spacing w:before="60"/>
              <w:ind w:left="567" w:hanging="567"/>
              <w:rPr>
                <w:rFonts w:eastAsia="Times New Roman"/>
                <w:sz w:val="18"/>
                <w:szCs w:val="18"/>
              </w:rPr>
            </w:pPr>
            <w:r>
              <w:rPr>
                <w:rFonts w:eastAsia="Times New Roman"/>
                <w:sz w:val="18"/>
                <w:szCs w:val="18"/>
              </w:rPr>
              <w:t>8.</w:t>
            </w:r>
            <w:r>
              <w:rPr>
                <w:rFonts w:eastAsia="Times New Roman"/>
                <w:sz w:val="18"/>
                <w:szCs w:val="18"/>
              </w:rPr>
              <w:tab/>
              <w:t>Is there a risk that the Project would exacerbate conflicts among and/or the risk of violence to project-affected communities and individuals?</w:t>
            </w:r>
          </w:p>
        </w:tc>
        <w:tc>
          <w:tcPr>
            <w:tcW w:w="833" w:type="dxa"/>
            <w:tcBorders>
              <w:bottom w:val="single" w:sz="4" w:space="0" w:color="auto"/>
            </w:tcBorders>
            <w:shd w:val="clear" w:color="auto" w:fill="auto"/>
          </w:tcPr>
          <w:p w14:paraId="3C456F46" w14:textId="77777777" w:rsidR="0077105D" w:rsidRPr="002E0918" w:rsidRDefault="0077105D" w:rsidP="00EB71A9">
            <w:pPr>
              <w:tabs>
                <w:tab w:val="left" w:pos="810"/>
              </w:tabs>
              <w:rPr>
                <w:sz w:val="18"/>
                <w:szCs w:val="18"/>
              </w:rPr>
            </w:pPr>
            <w:r>
              <w:rPr>
                <w:sz w:val="18"/>
                <w:szCs w:val="18"/>
              </w:rPr>
              <w:t>No</w:t>
            </w:r>
          </w:p>
        </w:tc>
      </w:tr>
      <w:tr w:rsidR="0077105D" w:rsidRPr="002E0918" w14:paraId="63356924" w14:textId="77777777" w:rsidTr="00EB71A9">
        <w:tc>
          <w:tcPr>
            <w:tcW w:w="8635" w:type="dxa"/>
            <w:tcBorders>
              <w:bottom w:val="single" w:sz="4" w:space="0" w:color="auto"/>
            </w:tcBorders>
            <w:shd w:val="clear" w:color="auto" w:fill="DBE5F1" w:themeFill="accent1" w:themeFillTint="33"/>
          </w:tcPr>
          <w:p w14:paraId="4E4C5DC0" w14:textId="77777777" w:rsidR="0077105D" w:rsidRPr="008E105C" w:rsidRDefault="0077105D" w:rsidP="00EB71A9">
            <w:pPr>
              <w:tabs>
                <w:tab w:val="left" w:pos="810"/>
              </w:tabs>
              <w:spacing w:before="120" w:after="120"/>
              <w:rPr>
                <w:b/>
                <w:sz w:val="18"/>
                <w:szCs w:val="18"/>
              </w:rPr>
            </w:pPr>
            <w:r>
              <w:rPr>
                <w:b/>
                <w:sz w:val="18"/>
                <w:szCs w:val="18"/>
              </w:rPr>
              <w:t xml:space="preserve">Principle 2: </w:t>
            </w:r>
            <w:r w:rsidRPr="002E0918">
              <w:rPr>
                <w:b/>
                <w:sz w:val="18"/>
                <w:szCs w:val="18"/>
              </w:rPr>
              <w:t>Gender Equality</w:t>
            </w:r>
            <w:r>
              <w:rPr>
                <w:b/>
                <w:sz w:val="18"/>
                <w:szCs w:val="18"/>
              </w:rPr>
              <w:t xml:space="preserve"> and Women’s Empowerment</w:t>
            </w:r>
          </w:p>
        </w:tc>
        <w:tc>
          <w:tcPr>
            <w:tcW w:w="833" w:type="dxa"/>
            <w:tcBorders>
              <w:bottom w:val="single" w:sz="4" w:space="0" w:color="auto"/>
            </w:tcBorders>
            <w:shd w:val="clear" w:color="auto" w:fill="DBE5F1" w:themeFill="accent1" w:themeFillTint="33"/>
          </w:tcPr>
          <w:p w14:paraId="62B5601F" w14:textId="77777777" w:rsidR="0077105D" w:rsidRPr="008E105C" w:rsidRDefault="0077105D" w:rsidP="00EB71A9">
            <w:pPr>
              <w:tabs>
                <w:tab w:val="left" w:pos="810"/>
              </w:tabs>
              <w:spacing w:before="120" w:after="120"/>
              <w:rPr>
                <w:b/>
                <w:sz w:val="18"/>
                <w:szCs w:val="18"/>
              </w:rPr>
            </w:pPr>
          </w:p>
        </w:tc>
      </w:tr>
      <w:tr w:rsidR="0077105D" w:rsidRPr="002E0918" w14:paraId="4CE46247" w14:textId="77777777" w:rsidTr="00EB71A9">
        <w:tc>
          <w:tcPr>
            <w:tcW w:w="8635" w:type="dxa"/>
            <w:tcBorders>
              <w:bottom w:val="single" w:sz="4" w:space="0" w:color="auto"/>
            </w:tcBorders>
            <w:shd w:val="clear" w:color="auto" w:fill="auto"/>
          </w:tcPr>
          <w:p w14:paraId="130F68CA" w14:textId="77777777" w:rsidR="0077105D" w:rsidRPr="00423014" w:rsidRDefault="0077105D" w:rsidP="00EB71A9">
            <w:pPr>
              <w:tabs>
                <w:tab w:val="left" w:pos="900"/>
              </w:tabs>
              <w:spacing w:before="60"/>
              <w:ind w:left="567" w:hanging="567"/>
              <w:rPr>
                <w:rFonts w:eastAsia="Times New Roman"/>
                <w:sz w:val="18"/>
                <w:szCs w:val="18"/>
              </w:rPr>
            </w:pPr>
            <w:r>
              <w:rPr>
                <w:rFonts w:eastAsia="Times New Roman"/>
                <w:sz w:val="18"/>
                <w:szCs w:val="18"/>
              </w:rPr>
              <w:t>1.</w:t>
            </w:r>
            <w:r w:rsidRPr="00423014">
              <w:rPr>
                <w:rFonts w:eastAsia="Times New Roman"/>
                <w:sz w:val="18"/>
                <w:szCs w:val="18"/>
              </w:rPr>
              <w:tab/>
            </w:r>
            <w:r>
              <w:rPr>
                <w:rFonts w:eastAsia="Times New Roman"/>
                <w:sz w:val="18"/>
                <w:szCs w:val="18"/>
              </w:rPr>
              <w:t>Is there a likelihood that</w:t>
            </w:r>
            <w:r w:rsidRPr="002E0918">
              <w:rPr>
                <w:rFonts w:eastAsia="Times New Roman"/>
                <w:sz w:val="18"/>
                <w:szCs w:val="18"/>
              </w:rPr>
              <w:t xml:space="preserve"> the proposed </w:t>
            </w:r>
            <w:r>
              <w:rPr>
                <w:rFonts w:eastAsia="Times New Roman"/>
                <w:sz w:val="18"/>
                <w:szCs w:val="18"/>
              </w:rPr>
              <w:t>Project</w:t>
            </w:r>
            <w:r w:rsidRPr="002E0918">
              <w:rPr>
                <w:rFonts w:eastAsia="Times New Roman"/>
                <w:sz w:val="18"/>
                <w:szCs w:val="18"/>
              </w:rPr>
              <w:t xml:space="preserve"> </w:t>
            </w:r>
            <w:r>
              <w:rPr>
                <w:rFonts w:eastAsia="Times New Roman"/>
                <w:sz w:val="18"/>
                <w:szCs w:val="18"/>
              </w:rPr>
              <w:t>would</w:t>
            </w:r>
            <w:r w:rsidRPr="002E0918">
              <w:rPr>
                <w:rFonts w:eastAsia="Times New Roman"/>
                <w:sz w:val="18"/>
                <w:szCs w:val="18"/>
              </w:rPr>
              <w:t xml:space="preserve"> have adverse impacts on </w:t>
            </w:r>
            <w:r>
              <w:rPr>
                <w:rFonts w:eastAsia="Times New Roman"/>
                <w:sz w:val="18"/>
                <w:szCs w:val="18"/>
              </w:rPr>
              <w:t>gender equality</w:t>
            </w:r>
            <w:r w:rsidRPr="002E0918">
              <w:rPr>
                <w:rFonts w:eastAsia="Times New Roman"/>
                <w:sz w:val="18"/>
                <w:szCs w:val="18"/>
              </w:rPr>
              <w:t xml:space="preserve"> </w:t>
            </w:r>
            <w:r>
              <w:rPr>
                <w:rFonts w:eastAsia="Times New Roman"/>
                <w:sz w:val="18"/>
                <w:szCs w:val="18"/>
              </w:rPr>
              <w:t xml:space="preserve">and/or the situation of </w:t>
            </w:r>
            <w:r w:rsidRPr="002E0918">
              <w:rPr>
                <w:rFonts w:eastAsia="Times New Roman"/>
                <w:sz w:val="18"/>
                <w:szCs w:val="18"/>
              </w:rPr>
              <w:t xml:space="preserve">women and </w:t>
            </w:r>
            <w:r>
              <w:rPr>
                <w:rFonts w:eastAsia="Times New Roman"/>
                <w:sz w:val="18"/>
                <w:szCs w:val="18"/>
              </w:rPr>
              <w:t>girls?</w:t>
            </w:r>
            <w:r w:rsidRPr="002E0918">
              <w:rPr>
                <w:rFonts w:eastAsia="Times New Roman"/>
                <w:sz w:val="18"/>
                <w:szCs w:val="18"/>
              </w:rPr>
              <w:t xml:space="preserve"> </w:t>
            </w:r>
          </w:p>
        </w:tc>
        <w:tc>
          <w:tcPr>
            <w:tcW w:w="833" w:type="dxa"/>
            <w:tcBorders>
              <w:bottom w:val="single" w:sz="4" w:space="0" w:color="auto"/>
            </w:tcBorders>
            <w:shd w:val="clear" w:color="auto" w:fill="auto"/>
          </w:tcPr>
          <w:p w14:paraId="5133D7A3" w14:textId="77777777" w:rsidR="0077105D" w:rsidRPr="002E0918" w:rsidRDefault="0077105D" w:rsidP="00EB71A9">
            <w:pPr>
              <w:tabs>
                <w:tab w:val="left" w:pos="810"/>
              </w:tabs>
              <w:rPr>
                <w:sz w:val="18"/>
                <w:szCs w:val="18"/>
              </w:rPr>
            </w:pPr>
            <w:r>
              <w:rPr>
                <w:sz w:val="18"/>
                <w:szCs w:val="18"/>
              </w:rPr>
              <w:t>No</w:t>
            </w:r>
          </w:p>
        </w:tc>
      </w:tr>
      <w:tr w:rsidR="0077105D" w:rsidRPr="002E0918" w14:paraId="46AD067B" w14:textId="77777777" w:rsidTr="00EB71A9">
        <w:tc>
          <w:tcPr>
            <w:tcW w:w="8635" w:type="dxa"/>
            <w:tcBorders>
              <w:bottom w:val="single" w:sz="4" w:space="0" w:color="auto"/>
            </w:tcBorders>
            <w:shd w:val="clear" w:color="auto" w:fill="auto"/>
          </w:tcPr>
          <w:p w14:paraId="709B245E" w14:textId="77777777" w:rsidR="0077105D" w:rsidRPr="00F069F1" w:rsidRDefault="0077105D" w:rsidP="00EB71A9">
            <w:pPr>
              <w:tabs>
                <w:tab w:val="left" w:pos="900"/>
              </w:tabs>
              <w:spacing w:before="60"/>
              <w:ind w:left="567" w:hanging="567"/>
              <w:rPr>
                <w:rFonts w:eastAsia="Times New Roman"/>
                <w:sz w:val="18"/>
                <w:szCs w:val="18"/>
              </w:rPr>
            </w:pPr>
            <w:r>
              <w:rPr>
                <w:rFonts w:eastAsia="Times New Roman"/>
                <w:sz w:val="18"/>
                <w:szCs w:val="18"/>
              </w:rPr>
              <w:t>2.</w:t>
            </w:r>
            <w:r>
              <w:rPr>
                <w:rFonts w:eastAsia="Times New Roman"/>
                <w:sz w:val="18"/>
                <w:szCs w:val="18"/>
              </w:rPr>
              <w:tab/>
              <w:t xml:space="preserve">Would the Project potentially reproduce </w:t>
            </w:r>
            <w:r w:rsidRPr="00F069F1">
              <w:rPr>
                <w:rFonts w:eastAsia="Times New Roman"/>
                <w:sz w:val="18"/>
                <w:szCs w:val="18"/>
              </w:rPr>
              <w:t>discriminat</w:t>
            </w:r>
            <w:r>
              <w:rPr>
                <w:rFonts w:eastAsia="Times New Roman"/>
                <w:sz w:val="18"/>
                <w:szCs w:val="18"/>
              </w:rPr>
              <w:t>ions</w:t>
            </w:r>
            <w:r w:rsidRPr="00F069F1">
              <w:rPr>
                <w:rFonts w:eastAsia="Times New Roman"/>
                <w:sz w:val="18"/>
                <w:szCs w:val="18"/>
              </w:rPr>
              <w:t xml:space="preserve"> against women based on gender, especially regarding participation in design and implementation or access to opportunities and benefits?</w:t>
            </w:r>
          </w:p>
        </w:tc>
        <w:tc>
          <w:tcPr>
            <w:tcW w:w="833" w:type="dxa"/>
            <w:tcBorders>
              <w:bottom w:val="single" w:sz="4" w:space="0" w:color="auto"/>
            </w:tcBorders>
            <w:shd w:val="clear" w:color="auto" w:fill="auto"/>
          </w:tcPr>
          <w:p w14:paraId="0ACF1D8B" w14:textId="77777777" w:rsidR="0077105D" w:rsidRPr="002E0918" w:rsidRDefault="0077105D" w:rsidP="00EB71A9">
            <w:pPr>
              <w:tabs>
                <w:tab w:val="left" w:pos="810"/>
              </w:tabs>
              <w:rPr>
                <w:sz w:val="18"/>
                <w:szCs w:val="18"/>
              </w:rPr>
            </w:pPr>
            <w:r>
              <w:rPr>
                <w:sz w:val="18"/>
                <w:szCs w:val="18"/>
                <w:highlight w:val="yellow"/>
              </w:rPr>
              <w:t>Yes</w:t>
            </w:r>
          </w:p>
        </w:tc>
      </w:tr>
      <w:tr w:rsidR="0077105D" w:rsidRPr="002E0918" w14:paraId="48503C27" w14:textId="77777777" w:rsidTr="00EB71A9">
        <w:tc>
          <w:tcPr>
            <w:tcW w:w="8635" w:type="dxa"/>
            <w:tcBorders>
              <w:bottom w:val="single" w:sz="4" w:space="0" w:color="auto"/>
            </w:tcBorders>
            <w:shd w:val="clear" w:color="auto" w:fill="auto"/>
          </w:tcPr>
          <w:p w14:paraId="76DE843B" w14:textId="77777777" w:rsidR="0077105D" w:rsidRDefault="0077105D" w:rsidP="00EB71A9">
            <w:pPr>
              <w:tabs>
                <w:tab w:val="left" w:pos="900"/>
              </w:tabs>
              <w:spacing w:before="60"/>
              <w:ind w:left="567" w:hanging="567"/>
              <w:rPr>
                <w:rFonts w:eastAsia="Times New Roman"/>
                <w:sz w:val="18"/>
                <w:szCs w:val="18"/>
              </w:rPr>
            </w:pPr>
            <w:r>
              <w:rPr>
                <w:rFonts w:eastAsia="Times New Roman"/>
                <w:sz w:val="18"/>
                <w:szCs w:val="18"/>
              </w:rPr>
              <w:t>3.</w:t>
            </w:r>
            <w:r>
              <w:rPr>
                <w:rFonts w:eastAsia="Times New Roman"/>
                <w:sz w:val="18"/>
                <w:szCs w:val="18"/>
              </w:rPr>
              <w:tab/>
            </w:r>
            <w:r w:rsidRPr="008A7431">
              <w:rPr>
                <w:rFonts w:eastAsia="Times New Roman"/>
                <w:sz w:val="18"/>
                <w:szCs w:val="18"/>
              </w:rPr>
              <w:t xml:space="preserve">Have women’s groups/leaders raised gender equality concerns regarding the Project during the stakeholder engagement process and has this been </w:t>
            </w:r>
            <w:r>
              <w:rPr>
                <w:rFonts w:eastAsia="Times New Roman"/>
                <w:sz w:val="18"/>
                <w:szCs w:val="18"/>
              </w:rPr>
              <w:t>included</w:t>
            </w:r>
            <w:r w:rsidRPr="008A7431">
              <w:rPr>
                <w:rFonts w:eastAsia="Times New Roman"/>
                <w:sz w:val="18"/>
                <w:szCs w:val="18"/>
              </w:rPr>
              <w:t xml:space="preserve"> in the over</w:t>
            </w:r>
            <w:r>
              <w:rPr>
                <w:rFonts w:eastAsia="Times New Roman"/>
                <w:sz w:val="18"/>
                <w:szCs w:val="18"/>
              </w:rPr>
              <w:t>all P</w:t>
            </w:r>
            <w:r w:rsidRPr="008A7431">
              <w:rPr>
                <w:rFonts w:eastAsia="Times New Roman"/>
                <w:sz w:val="18"/>
                <w:szCs w:val="18"/>
              </w:rPr>
              <w:t>roject proposal and in the risk assessment?</w:t>
            </w:r>
          </w:p>
        </w:tc>
        <w:tc>
          <w:tcPr>
            <w:tcW w:w="833" w:type="dxa"/>
            <w:tcBorders>
              <w:bottom w:val="single" w:sz="4" w:space="0" w:color="auto"/>
            </w:tcBorders>
            <w:shd w:val="clear" w:color="auto" w:fill="auto"/>
          </w:tcPr>
          <w:p w14:paraId="5183CCAF" w14:textId="77777777" w:rsidR="0077105D" w:rsidRPr="002E0918" w:rsidRDefault="0077105D" w:rsidP="00EB71A9">
            <w:pPr>
              <w:tabs>
                <w:tab w:val="left" w:pos="810"/>
              </w:tabs>
              <w:rPr>
                <w:sz w:val="18"/>
                <w:szCs w:val="18"/>
              </w:rPr>
            </w:pPr>
            <w:r>
              <w:rPr>
                <w:sz w:val="18"/>
                <w:szCs w:val="18"/>
              </w:rPr>
              <w:t>Yes</w:t>
            </w:r>
          </w:p>
        </w:tc>
      </w:tr>
      <w:tr w:rsidR="0077105D" w:rsidRPr="002E0918" w14:paraId="65EDAF1D" w14:textId="77777777" w:rsidTr="00EB71A9">
        <w:tc>
          <w:tcPr>
            <w:tcW w:w="8635" w:type="dxa"/>
            <w:tcBorders>
              <w:bottom w:val="single" w:sz="4" w:space="0" w:color="auto"/>
            </w:tcBorders>
            <w:shd w:val="clear" w:color="auto" w:fill="auto"/>
          </w:tcPr>
          <w:p w14:paraId="49207132" w14:textId="77777777" w:rsidR="0077105D" w:rsidRDefault="0077105D" w:rsidP="00EB71A9">
            <w:pPr>
              <w:tabs>
                <w:tab w:val="left" w:pos="900"/>
              </w:tabs>
              <w:spacing w:before="60"/>
              <w:ind w:left="567" w:hanging="567"/>
              <w:rPr>
                <w:rFonts w:eastAsia="Times New Roman"/>
                <w:sz w:val="18"/>
                <w:szCs w:val="18"/>
              </w:rPr>
            </w:pPr>
            <w:r>
              <w:rPr>
                <w:rFonts w:eastAsia="Times New Roman"/>
                <w:sz w:val="18"/>
                <w:szCs w:val="18"/>
              </w:rPr>
              <w:t>4.</w:t>
            </w:r>
            <w:r>
              <w:rPr>
                <w:rFonts w:eastAsia="Times New Roman"/>
                <w:sz w:val="18"/>
                <w:szCs w:val="18"/>
              </w:rPr>
              <w:tab/>
            </w:r>
            <w:r w:rsidRPr="00677545">
              <w:rPr>
                <w:rFonts w:eastAsia="Times New Roman"/>
                <w:sz w:val="18"/>
                <w:szCs w:val="18"/>
              </w:rPr>
              <w:t>Would the Project potentially limit women’s ability to use, develop and protect natural resources, taking into account different roles and positions of women and men in accessing environmental goods and services?</w:t>
            </w:r>
          </w:p>
          <w:p w14:paraId="7CA35A82" w14:textId="77777777" w:rsidR="0077105D" w:rsidRPr="003843AE" w:rsidRDefault="0077105D" w:rsidP="00EB71A9">
            <w:pPr>
              <w:tabs>
                <w:tab w:val="left" w:pos="900"/>
              </w:tabs>
              <w:spacing w:before="60"/>
              <w:ind w:left="567" w:hanging="567"/>
              <w:rPr>
                <w:rFonts w:eastAsia="Times New Roman"/>
                <w:i/>
                <w:sz w:val="18"/>
                <w:szCs w:val="18"/>
              </w:rPr>
            </w:pPr>
            <w:r>
              <w:rPr>
                <w:sz w:val="18"/>
                <w:szCs w:val="18"/>
              </w:rPr>
              <w:tab/>
            </w:r>
            <w:r w:rsidRPr="003843AE">
              <w:rPr>
                <w:i/>
                <w:sz w:val="18"/>
                <w:szCs w:val="18"/>
              </w:rPr>
              <w:t>For example, activities that could lead to natural resources degradation or depletion in communities who depend on these resources for their livelihoods and well being</w:t>
            </w:r>
          </w:p>
        </w:tc>
        <w:tc>
          <w:tcPr>
            <w:tcW w:w="833" w:type="dxa"/>
            <w:tcBorders>
              <w:bottom w:val="single" w:sz="4" w:space="0" w:color="auto"/>
            </w:tcBorders>
            <w:shd w:val="clear" w:color="auto" w:fill="auto"/>
          </w:tcPr>
          <w:p w14:paraId="21D43B25" w14:textId="77777777" w:rsidR="0077105D" w:rsidRPr="002E0918" w:rsidRDefault="0077105D" w:rsidP="00EB71A9">
            <w:pPr>
              <w:tabs>
                <w:tab w:val="left" w:pos="810"/>
              </w:tabs>
              <w:rPr>
                <w:sz w:val="18"/>
                <w:szCs w:val="18"/>
              </w:rPr>
            </w:pPr>
            <w:r>
              <w:rPr>
                <w:sz w:val="18"/>
                <w:szCs w:val="18"/>
              </w:rPr>
              <w:t>No</w:t>
            </w:r>
          </w:p>
        </w:tc>
      </w:tr>
      <w:tr w:rsidR="0077105D" w:rsidRPr="002E0918" w14:paraId="15273C70" w14:textId="77777777" w:rsidTr="00EB71A9">
        <w:tc>
          <w:tcPr>
            <w:tcW w:w="8635" w:type="dxa"/>
            <w:tcBorders>
              <w:bottom w:val="single" w:sz="4" w:space="0" w:color="auto"/>
            </w:tcBorders>
            <w:shd w:val="clear" w:color="auto" w:fill="DBE5F1" w:themeFill="accent1" w:themeFillTint="33"/>
          </w:tcPr>
          <w:p w14:paraId="6A63DFF9" w14:textId="77777777" w:rsidR="0077105D" w:rsidRPr="002E0918" w:rsidRDefault="0077105D" w:rsidP="00EB71A9">
            <w:pPr>
              <w:tabs>
                <w:tab w:val="left" w:pos="810"/>
              </w:tabs>
              <w:spacing w:before="120" w:after="120"/>
              <w:rPr>
                <w:rFonts w:eastAsia="Times New Roman"/>
                <w:b/>
                <w:sz w:val="18"/>
                <w:szCs w:val="18"/>
              </w:rPr>
            </w:pPr>
            <w:r>
              <w:rPr>
                <w:b/>
                <w:sz w:val="18"/>
                <w:szCs w:val="18"/>
              </w:rPr>
              <w:t xml:space="preserve">Principle 3:  Environmental Sustainability: </w:t>
            </w:r>
            <w:r w:rsidRPr="00D41717">
              <w:rPr>
                <w:sz w:val="18"/>
                <w:szCs w:val="18"/>
              </w:rPr>
              <w:t>Screening</w:t>
            </w:r>
            <w:r>
              <w:rPr>
                <w:b/>
                <w:sz w:val="18"/>
                <w:szCs w:val="18"/>
              </w:rPr>
              <w:t xml:space="preserve"> </w:t>
            </w:r>
            <w:r w:rsidRPr="00D41717">
              <w:rPr>
                <w:sz w:val="18"/>
                <w:szCs w:val="18"/>
              </w:rPr>
              <w:t>questions regarding</w:t>
            </w:r>
            <w:r>
              <w:rPr>
                <w:sz w:val="18"/>
                <w:szCs w:val="18"/>
              </w:rPr>
              <w:t xml:space="preserve"> environmental risks are encompassed by the specific Standard-related questions below</w:t>
            </w:r>
          </w:p>
        </w:tc>
        <w:tc>
          <w:tcPr>
            <w:tcW w:w="833" w:type="dxa"/>
            <w:tcBorders>
              <w:bottom w:val="single" w:sz="4" w:space="0" w:color="auto"/>
            </w:tcBorders>
            <w:shd w:val="clear" w:color="auto" w:fill="DBE5F1" w:themeFill="accent1" w:themeFillTint="33"/>
          </w:tcPr>
          <w:p w14:paraId="149437A4" w14:textId="77777777" w:rsidR="0077105D" w:rsidRPr="002E0918" w:rsidRDefault="0077105D" w:rsidP="00EB71A9">
            <w:pPr>
              <w:tabs>
                <w:tab w:val="left" w:pos="810"/>
              </w:tabs>
              <w:rPr>
                <w:sz w:val="18"/>
                <w:szCs w:val="18"/>
              </w:rPr>
            </w:pPr>
          </w:p>
        </w:tc>
      </w:tr>
      <w:tr w:rsidR="0077105D" w:rsidRPr="002E0918" w14:paraId="0DBAF6AB" w14:textId="77777777" w:rsidTr="00EB71A9">
        <w:tc>
          <w:tcPr>
            <w:tcW w:w="8635" w:type="dxa"/>
            <w:tcBorders>
              <w:bottom w:val="single" w:sz="4" w:space="0" w:color="auto"/>
            </w:tcBorders>
            <w:shd w:val="clear" w:color="auto" w:fill="auto"/>
          </w:tcPr>
          <w:p w14:paraId="1D464E76" w14:textId="77777777" w:rsidR="0077105D" w:rsidRPr="002E0918" w:rsidRDefault="0077105D" w:rsidP="00EB71A9">
            <w:pPr>
              <w:tabs>
                <w:tab w:val="left" w:pos="810"/>
              </w:tabs>
              <w:rPr>
                <w:rFonts w:eastAsia="Times New Roman"/>
                <w:b/>
                <w:sz w:val="18"/>
                <w:szCs w:val="18"/>
              </w:rPr>
            </w:pPr>
          </w:p>
        </w:tc>
        <w:tc>
          <w:tcPr>
            <w:tcW w:w="833" w:type="dxa"/>
            <w:tcBorders>
              <w:bottom w:val="single" w:sz="4" w:space="0" w:color="auto"/>
            </w:tcBorders>
            <w:shd w:val="clear" w:color="auto" w:fill="auto"/>
          </w:tcPr>
          <w:p w14:paraId="2D3CBA11" w14:textId="77777777" w:rsidR="0077105D" w:rsidRPr="002E0918" w:rsidRDefault="0077105D" w:rsidP="00EB71A9">
            <w:pPr>
              <w:tabs>
                <w:tab w:val="left" w:pos="810"/>
              </w:tabs>
              <w:rPr>
                <w:sz w:val="18"/>
                <w:szCs w:val="18"/>
              </w:rPr>
            </w:pPr>
          </w:p>
        </w:tc>
      </w:tr>
      <w:tr w:rsidR="0077105D" w:rsidRPr="00310835" w14:paraId="0C859008" w14:textId="77777777" w:rsidTr="00EB71A9">
        <w:tc>
          <w:tcPr>
            <w:tcW w:w="8635" w:type="dxa"/>
            <w:tcBorders>
              <w:bottom w:val="single" w:sz="4" w:space="0" w:color="auto"/>
            </w:tcBorders>
            <w:shd w:val="clear" w:color="auto" w:fill="DBE5F1" w:themeFill="accent1" w:themeFillTint="33"/>
            <w:vAlign w:val="center"/>
          </w:tcPr>
          <w:p w14:paraId="5895C574" w14:textId="77777777" w:rsidR="0077105D" w:rsidRPr="00310835" w:rsidRDefault="0077105D" w:rsidP="00EB71A9">
            <w:pPr>
              <w:tabs>
                <w:tab w:val="left" w:pos="570"/>
              </w:tabs>
              <w:spacing w:before="120" w:after="120"/>
              <w:rPr>
                <w:rFonts w:eastAsia="Times New Roman"/>
                <w:b/>
                <w:sz w:val="18"/>
                <w:szCs w:val="18"/>
              </w:rPr>
            </w:pPr>
            <w:r w:rsidRPr="00310835">
              <w:rPr>
                <w:rFonts w:eastAsia="Times New Roman"/>
                <w:b/>
                <w:sz w:val="18"/>
                <w:szCs w:val="18"/>
              </w:rPr>
              <w:t>Standard 1: Biodiversity Conservation and Sustainable</w:t>
            </w:r>
            <w:r w:rsidRPr="00092C90">
              <w:rPr>
                <w:rFonts w:eastAsia="Times New Roman"/>
                <w:b/>
                <w:sz w:val="18"/>
                <w:szCs w:val="18"/>
              </w:rPr>
              <w:t xml:space="preserve"> </w:t>
            </w:r>
            <w:hyperlink w:anchor="SustNatResManGlossary" w:history="1">
              <w:r w:rsidRPr="00092C90">
                <w:rPr>
                  <w:rFonts w:eastAsia="Times New Roman"/>
                  <w:b/>
                  <w:sz w:val="18"/>
                  <w:szCs w:val="18"/>
                </w:rPr>
                <w:t>Natural</w:t>
              </w:r>
            </w:hyperlink>
            <w:r w:rsidRPr="00310835">
              <w:rPr>
                <w:b/>
                <w:sz w:val="18"/>
                <w:szCs w:val="18"/>
              </w:rPr>
              <w:t xml:space="preserve"> Resource Management</w:t>
            </w:r>
          </w:p>
        </w:tc>
        <w:tc>
          <w:tcPr>
            <w:tcW w:w="833" w:type="dxa"/>
            <w:tcBorders>
              <w:bottom w:val="single" w:sz="4" w:space="0" w:color="auto"/>
            </w:tcBorders>
            <w:shd w:val="clear" w:color="auto" w:fill="DBE5F1" w:themeFill="accent1" w:themeFillTint="33"/>
          </w:tcPr>
          <w:p w14:paraId="04C4C9FD" w14:textId="77777777" w:rsidR="0077105D" w:rsidRPr="00310835" w:rsidRDefault="0077105D" w:rsidP="00EB71A9">
            <w:pPr>
              <w:rPr>
                <w:rFonts w:eastAsia="Times New Roman"/>
                <w:b/>
                <w:sz w:val="18"/>
                <w:szCs w:val="18"/>
              </w:rPr>
            </w:pPr>
          </w:p>
        </w:tc>
      </w:tr>
      <w:tr w:rsidR="0077105D" w:rsidRPr="00310835" w14:paraId="4F36FDDB" w14:textId="77777777" w:rsidTr="00EB71A9">
        <w:tc>
          <w:tcPr>
            <w:tcW w:w="8635" w:type="dxa"/>
            <w:shd w:val="clear" w:color="auto" w:fill="auto"/>
          </w:tcPr>
          <w:p w14:paraId="7AF34151" w14:textId="77777777" w:rsidR="0077105D" w:rsidRPr="00310835" w:rsidRDefault="0077105D" w:rsidP="00EB71A9">
            <w:pPr>
              <w:tabs>
                <w:tab w:val="left" w:pos="900"/>
              </w:tabs>
              <w:spacing w:before="60"/>
              <w:ind w:left="567" w:hanging="567"/>
              <w:rPr>
                <w:rFonts w:eastAsia="Times New Roman"/>
                <w:sz w:val="18"/>
                <w:szCs w:val="18"/>
              </w:rPr>
            </w:pPr>
            <w:r w:rsidRPr="00310835">
              <w:rPr>
                <w:rFonts w:eastAsia="Times New Roman"/>
                <w:sz w:val="18"/>
                <w:szCs w:val="18"/>
              </w:rPr>
              <w:t xml:space="preserve">1.1 </w:t>
            </w:r>
            <w:r w:rsidRPr="00310835">
              <w:rPr>
                <w:rFonts w:eastAsia="Times New Roman"/>
                <w:sz w:val="18"/>
                <w:szCs w:val="18"/>
              </w:rPr>
              <w:tab/>
              <w:t xml:space="preserve">Would the </w:t>
            </w:r>
            <w:r>
              <w:rPr>
                <w:rFonts w:eastAsia="Times New Roman"/>
                <w:sz w:val="18"/>
                <w:szCs w:val="18"/>
              </w:rPr>
              <w:t>Project</w:t>
            </w:r>
            <w:r w:rsidRPr="00310835">
              <w:rPr>
                <w:rFonts w:eastAsia="Times New Roman"/>
                <w:sz w:val="18"/>
                <w:szCs w:val="18"/>
              </w:rPr>
              <w:t xml:space="preserve"> potentially </w:t>
            </w:r>
            <w:r>
              <w:rPr>
                <w:rFonts w:eastAsia="Times New Roman"/>
                <w:sz w:val="18"/>
                <w:szCs w:val="18"/>
              </w:rPr>
              <w:t>cause</w:t>
            </w:r>
            <w:r w:rsidRPr="00310835">
              <w:rPr>
                <w:rFonts w:eastAsia="Times New Roman"/>
                <w:sz w:val="18"/>
                <w:szCs w:val="18"/>
              </w:rPr>
              <w:t xml:space="preserve"> adverse impacts </w:t>
            </w:r>
            <w:r>
              <w:rPr>
                <w:rFonts w:eastAsia="Times New Roman"/>
                <w:sz w:val="18"/>
                <w:szCs w:val="18"/>
              </w:rPr>
              <w:t>to habitats (e.g. modified, natural, and critical habitats)</w:t>
            </w:r>
            <w:r w:rsidRPr="00310835">
              <w:rPr>
                <w:rFonts w:eastAsia="Times New Roman"/>
                <w:sz w:val="18"/>
                <w:szCs w:val="18"/>
              </w:rPr>
              <w:t xml:space="preserve"> </w:t>
            </w:r>
            <w:r w:rsidRPr="003843AE">
              <w:rPr>
                <w:rFonts w:eastAsia="Times New Roman"/>
                <w:sz w:val="18"/>
                <w:szCs w:val="18"/>
              </w:rPr>
              <w:t xml:space="preserve">and/or ecosystems and </w:t>
            </w:r>
            <w:r>
              <w:rPr>
                <w:rFonts w:eastAsia="Times New Roman"/>
                <w:sz w:val="18"/>
                <w:szCs w:val="18"/>
              </w:rPr>
              <w:t>ecosystem services</w:t>
            </w:r>
            <w:r w:rsidRPr="00310835">
              <w:rPr>
                <w:rFonts w:eastAsia="Times New Roman"/>
                <w:sz w:val="18"/>
                <w:szCs w:val="18"/>
              </w:rPr>
              <w:t>?</w:t>
            </w:r>
            <w:r>
              <w:rPr>
                <w:rFonts w:eastAsia="Times New Roman"/>
                <w:sz w:val="18"/>
                <w:szCs w:val="18"/>
              </w:rPr>
              <w:br/>
            </w:r>
            <w:r>
              <w:rPr>
                <w:rFonts w:eastAsia="Times New Roman"/>
                <w:sz w:val="18"/>
                <w:szCs w:val="18"/>
              </w:rPr>
              <w:br/>
            </w:r>
            <w:r w:rsidRPr="003843AE">
              <w:rPr>
                <w:rFonts w:eastAsia="Times New Roman"/>
                <w:i/>
                <w:sz w:val="18"/>
                <w:szCs w:val="18"/>
              </w:rPr>
              <w:t xml:space="preserve">For example, </w:t>
            </w:r>
            <w:r>
              <w:rPr>
                <w:rFonts w:eastAsia="Times New Roman"/>
                <w:i/>
                <w:sz w:val="18"/>
                <w:szCs w:val="18"/>
              </w:rPr>
              <w:t xml:space="preserve">through </w:t>
            </w:r>
            <w:r w:rsidRPr="003F130C">
              <w:rPr>
                <w:rFonts w:eastAsia="Times New Roman"/>
                <w:i/>
                <w:sz w:val="18"/>
                <w:szCs w:val="18"/>
              </w:rPr>
              <w:t>habitat loss, conversion</w:t>
            </w:r>
            <w:r w:rsidRPr="003843AE">
              <w:rPr>
                <w:rFonts w:eastAsia="Times New Roman"/>
                <w:i/>
                <w:sz w:val="18"/>
                <w:szCs w:val="18"/>
              </w:rPr>
              <w:t xml:space="preserve"> or degradation, fragmentation, hydrological changes</w:t>
            </w:r>
          </w:p>
        </w:tc>
        <w:tc>
          <w:tcPr>
            <w:tcW w:w="833" w:type="dxa"/>
            <w:shd w:val="clear" w:color="auto" w:fill="auto"/>
          </w:tcPr>
          <w:p w14:paraId="611DCC64" w14:textId="77777777" w:rsidR="0077105D" w:rsidRPr="00310835" w:rsidRDefault="0077105D" w:rsidP="00EB71A9">
            <w:pPr>
              <w:rPr>
                <w:rFonts w:eastAsia="Times New Roman"/>
                <w:sz w:val="18"/>
                <w:szCs w:val="18"/>
              </w:rPr>
            </w:pPr>
            <w:r>
              <w:rPr>
                <w:sz w:val="18"/>
                <w:szCs w:val="18"/>
              </w:rPr>
              <w:t>No</w:t>
            </w:r>
          </w:p>
        </w:tc>
      </w:tr>
      <w:tr w:rsidR="0077105D" w:rsidRPr="00310835" w14:paraId="6F636E12" w14:textId="77777777" w:rsidTr="00EB71A9">
        <w:tc>
          <w:tcPr>
            <w:tcW w:w="8635" w:type="dxa"/>
            <w:tcBorders>
              <w:bottom w:val="single" w:sz="4" w:space="0" w:color="auto"/>
            </w:tcBorders>
            <w:shd w:val="clear" w:color="auto" w:fill="auto"/>
          </w:tcPr>
          <w:p w14:paraId="0BB5991F" w14:textId="77777777" w:rsidR="0077105D" w:rsidRPr="006F4FD5" w:rsidRDefault="0077105D" w:rsidP="00EB71A9">
            <w:pPr>
              <w:tabs>
                <w:tab w:val="left" w:pos="900"/>
              </w:tabs>
              <w:autoSpaceDE w:val="0"/>
              <w:autoSpaceDN w:val="0"/>
              <w:adjustRightInd w:val="0"/>
              <w:spacing w:before="60"/>
              <w:ind w:left="567" w:hanging="567"/>
              <w:rPr>
                <w:rFonts w:eastAsia="Times New Roman"/>
                <w:color w:val="000000"/>
                <w:sz w:val="18"/>
                <w:szCs w:val="18"/>
              </w:rPr>
            </w:pPr>
            <w:r w:rsidRPr="006F4FD5">
              <w:rPr>
                <w:rFonts w:eastAsia="Times New Roman"/>
                <w:bCs/>
                <w:color w:val="000000"/>
                <w:sz w:val="18"/>
                <w:szCs w:val="18"/>
              </w:rPr>
              <w:t xml:space="preserve">1.2 </w:t>
            </w:r>
            <w:r w:rsidRPr="006F4FD5">
              <w:rPr>
                <w:rFonts w:eastAsia="Times New Roman"/>
                <w:bCs/>
                <w:color w:val="000000"/>
                <w:sz w:val="18"/>
                <w:szCs w:val="18"/>
              </w:rPr>
              <w:tab/>
              <w:t>Are any Project activities proposed within or adjacent to critical habitats and/or environmentally sensitive areas, including legally protected areas (e.g. nature reserve, national park), areas proposed for protection, or recognized as such by authoritative sources and/or indigenous peoples or local communities?</w:t>
            </w:r>
          </w:p>
        </w:tc>
        <w:tc>
          <w:tcPr>
            <w:tcW w:w="833" w:type="dxa"/>
            <w:tcBorders>
              <w:bottom w:val="single" w:sz="4" w:space="0" w:color="auto"/>
            </w:tcBorders>
            <w:shd w:val="clear" w:color="auto" w:fill="auto"/>
          </w:tcPr>
          <w:p w14:paraId="50BFF694" w14:textId="77777777" w:rsidR="0077105D" w:rsidRPr="006F4FD5" w:rsidRDefault="0077105D" w:rsidP="00EB71A9">
            <w:pPr>
              <w:rPr>
                <w:rFonts w:eastAsia="Times New Roman"/>
                <w:sz w:val="18"/>
                <w:szCs w:val="18"/>
              </w:rPr>
            </w:pPr>
            <w:r w:rsidRPr="006F4FD5">
              <w:rPr>
                <w:rFonts w:eastAsia="Times New Roman"/>
                <w:sz w:val="18"/>
                <w:szCs w:val="18"/>
              </w:rPr>
              <w:t>Yes</w:t>
            </w:r>
          </w:p>
        </w:tc>
      </w:tr>
      <w:tr w:rsidR="0077105D" w:rsidRPr="00310835" w14:paraId="21F2966A" w14:textId="77777777" w:rsidTr="00EB71A9">
        <w:tc>
          <w:tcPr>
            <w:tcW w:w="8635" w:type="dxa"/>
            <w:tcBorders>
              <w:bottom w:val="single" w:sz="4" w:space="0" w:color="auto"/>
            </w:tcBorders>
            <w:shd w:val="clear" w:color="auto" w:fill="auto"/>
          </w:tcPr>
          <w:p w14:paraId="54828E5E" w14:textId="77777777" w:rsidR="0077105D" w:rsidRPr="006F4FD5" w:rsidRDefault="0077105D" w:rsidP="00EB71A9">
            <w:pPr>
              <w:tabs>
                <w:tab w:val="left" w:pos="900"/>
              </w:tabs>
              <w:spacing w:before="60"/>
              <w:ind w:left="567" w:hanging="567"/>
              <w:rPr>
                <w:rFonts w:eastAsia="Times New Roman"/>
                <w:sz w:val="18"/>
                <w:szCs w:val="18"/>
              </w:rPr>
            </w:pPr>
            <w:r w:rsidRPr="006F4FD5">
              <w:rPr>
                <w:rFonts w:eastAsia="Times New Roman"/>
                <w:sz w:val="18"/>
                <w:szCs w:val="18"/>
              </w:rPr>
              <w:t>1.3</w:t>
            </w:r>
            <w:r w:rsidRPr="006F4FD5">
              <w:rPr>
                <w:rFonts w:eastAsia="Times New Roman"/>
                <w:sz w:val="18"/>
                <w:szCs w:val="18"/>
              </w:rPr>
              <w:tab/>
              <w:t>Does the Project involve changes to the use of lands and resources that may have adverse impacts on habitats, ecosystems, and/or livelihoods? (Note: if restrictions and/or limitations of access to lands would apply, refer to Standard 5)</w:t>
            </w:r>
          </w:p>
        </w:tc>
        <w:tc>
          <w:tcPr>
            <w:tcW w:w="833" w:type="dxa"/>
            <w:tcBorders>
              <w:bottom w:val="single" w:sz="4" w:space="0" w:color="auto"/>
            </w:tcBorders>
            <w:shd w:val="clear" w:color="auto" w:fill="auto"/>
          </w:tcPr>
          <w:p w14:paraId="2F9C804B" w14:textId="77777777" w:rsidR="0077105D" w:rsidRPr="006F4FD5" w:rsidRDefault="0077105D" w:rsidP="00EB71A9">
            <w:pPr>
              <w:rPr>
                <w:rFonts w:eastAsia="Times New Roman"/>
                <w:sz w:val="18"/>
                <w:szCs w:val="18"/>
              </w:rPr>
            </w:pPr>
            <w:r w:rsidRPr="006F4FD5">
              <w:rPr>
                <w:rFonts w:eastAsia="Times New Roman"/>
                <w:sz w:val="18"/>
                <w:szCs w:val="18"/>
              </w:rPr>
              <w:t>No</w:t>
            </w:r>
          </w:p>
        </w:tc>
      </w:tr>
      <w:tr w:rsidR="0077105D" w:rsidRPr="00310835" w14:paraId="77668D34" w14:textId="77777777" w:rsidTr="00EB71A9">
        <w:tc>
          <w:tcPr>
            <w:tcW w:w="8635" w:type="dxa"/>
            <w:tcBorders>
              <w:bottom w:val="single" w:sz="4" w:space="0" w:color="auto"/>
            </w:tcBorders>
            <w:shd w:val="clear" w:color="auto" w:fill="auto"/>
          </w:tcPr>
          <w:p w14:paraId="728119D3" w14:textId="77777777" w:rsidR="0077105D" w:rsidRPr="006F4FD5" w:rsidRDefault="0077105D" w:rsidP="00EB71A9">
            <w:pPr>
              <w:tabs>
                <w:tab w:val="left" w:pos="900"/>
              </w:tabs>
              <w:spacing w:before="60"/>
              <w:ind w:left="567" w:hanging="567"/>
              <w:rPr>
                <w:rFonts w:eastAsia="Times New Roman"/>
                <w:sz w:val="18"/>
                <w:szCs w:val="18"/>
              </w:rPr>
            </w:pPr>
            <w:r w:rsidRPr="006F4FD5">
              <w:rPr>
                <w:rFonts w:eastAsia="Times New Roman"/>
                <w:sz w:val="18"/>
                <w:szCs w:val="18"/>
              </w:rPr>
              <w:t>1.4</w:t>
            </w:r>
            <w:r w:rsidRPr="006F4FD5">
              <w:rPr>
                <w:rFonts w:eastAsia="Times New Roman"/>
                <w:sz w:val="18"/>
                <w:szCs w:val="18"/>
              </w:rPr>
              <w:tab/>
              <w:t>Would Project activities pose risks to endangered species?</w:t>
            </w:r>
          </w:p>
        </w:tc>
        <w:tc>
          <w:tcPr>
            <w:tcW w:w="833" w:type="dxa"/>
            <w:tcBorders>
              <w:bottom w:val="single" w:sz="4" w:space="0" w:color="auto"/>
            </w:tcBorders>
            <w:shd w:val="clear" w:color="auto" w:fill="auto"/>
          </w:tcPr>
          <w:p w14:paraId="5DC8B221" w14:textId="77777777" w:rsidR="0077105D" w:rsidRPr="006F4FD5" w:rsidRDefault="0077105D" w:rsidP="00EB71A9">
            <w:pPr>
              <w:rPr>
                <w:rFonts w:eastAsia="Times New Roman"/>
                <w:sz w:val="18"/>
                <w:szCs w:val="18"/>
              </w:rPr>
            </w:pPr>
            <w:r w:rsidRPr="006F4FD5">
              <w:rPr>
                <w:rFonts w:eastAsia="Times New Roman"/>
                <w:sz w:val="18"/>
                <w:szCs w:val="18"/>
              </w:rPr>
              <w:t>No</w:t>
            </w:r>
          </w:p>
        </w:tc>
      </w:tr>
      <w:tr w:rsidR="0077105D" w:rsidRPr="00310835" w14:paraId="49FEA7BF" w14:textId="77777777" w:rsidTr="00EB71A9">
        <w:tc>
          <w:tcPr>
            <w:tcW w:w="8635" w:type="dxa"/>
            <w:tcBorders>
              <w:bottom w:val="single" w:sz="4" w:space="0" w:color="auto"/>
            </w:tcBorders>
            <w:shd w:val="clear" w:color="auto" w:fill="auto"/>
          </w:tcPr>
          <w:p w14:paraId="3443EF57" w14:textId="77777777" w:rsidR="0077105D" w:rsidRPr="006F4FD5" w:rsidRDefault="0077105D" w:rsidP="00EB71A9">
            <w:pPr>
              <w:tabs>
                <w:tab w:val="left" w:pos="900"/>
              </w:tabs>
              <w:spacing w:before="60"/>
              <w:ind w:left="567" w:hanging="567"/>
              <w:rPr>
                <w:rFonts w:eastAsia="Times New Roman"/>
                <w:sz w:val="18"/>
                <w:szCs w:val="18"/>
              </w:rPr>
            </w:pPr>
            <w:r w:rsidRPr="006F4FD5">
              <w:rPr>
                <w:rFonts w:eastAsia="Times New Roman"/>
                <w:sz w:val="18"/>
                <w:szCs w:val="18"/>
              </w:rPr>
              <w:t xml:space="preserve">1.5 </w:t>
            </w:r>
            <w:r w:rsidRPr="006F4FD5">
              <w:rPr>
                <w:rFonts w:eastAsia="Times New Roman"/>
                <w:sz w:val="18"/>
                <w:szCs w:val="18"/>
              </w:rPr>
              <w:tab/>
              <w:t xml:space="preserve">Would the Project pose a risk of introducing invasive alien species? </w:t>
            </w:r>
          </w:p>
        </w:tc>
        <w:tc>
          <w:tcPr>
            <w:tcW w:w="833" w:type="dxa"/>
            <w:tcBorders>
              <w:bottom w:val="single" w:sz="4" w:space="0" w:color="auto"/>
            </w:tcBorders>
            <w:shd w:val="clear" w:color="auto" w:fill="auto"/>
          </w:tcPr>
          <w:p w14:paraId="2D41A25D" w14:textId="77777777" w:rsidR="0077105D" w:rsidRPr="006F4FD5" w:rsidRDefault="0077105D" w:rsidP="00EB71A9">
            <w:pPr>
              <w:rPr>
                <w:rFonts w:eastAsia="Times New Roman"/>
                <w:sz w:val="18"/>
                <w:szCs w:val="18"/>
              </w:rPr>
            </w:pPr>
            <w:r w:rsidRPr="003015BD">
              <w:rPr>
                <w:rFonts w:eastAsia="Times New Roman"/>
                <w:sz w:val="18"/>
                <w:szCs w:val="18"/>
                <w:highlight w:val="yellow"/>
              </w:rPr>
              <w:t>No</w:t>
            </w:r>
          </w:p>
        </w:tc>
      </w:tr>
      <w:tr w:rsidR="0077105D" w:rsidRPr="00310835" w14:paraId="4A40A8E1" w14:textId="77777777" w:rsidTr="00EB71A9">
        <w:tc>
          <w:tcPr>
            <w:tcW w:w="8635" w:type="dxa"/>
            <w:tcBorders>
              <w:bottom w:val="single" w:sz="4" w:space="0" w:color="auto"/>
            </w:tcBorders>
            <w:shd w:val="clear" w:color="auto" w:fill="auto"/>
          </w:tcPr>
          <w:p w14:paraId="49761BAF" w14:textId="77777777" w:rsidR="0077105D" w:rsidRPr="006F4FD5" w:rsidRDefault="0077105D" w:rsidP="00EB71A9">
            <w:pPr>
              <w:tabs>
                <w:tab w:val="left" w:pos="900"/>
              </w:tabs>
              <w:spacing w:before="60"/>
              <w:ind w:left="567" w:hanging="567"/>
              <w:rPr>
                <w:rFonts w:eastAsia="Times New Roman"/>
                <w:sz w:val="18"/>
                <w:szCs w:val="18"/>
              </w:rPr>
            </w:pPr>
            <w:r w:rsidRPr="006F4FD5">
              <w:rPr>
                <w:rFonts w:eastAsia="Times New Roman"/>
                <w:sz w:val="18"/>
                <w:szCs w:val="18"/>
              </w:rPr>
              <w:t>1.6</w:t>
            </w:r>
            <w:r w:rsidRPr="006F4FD5">
              <w:rPr>
                <w:rFonts w:eastAsia="Times New Roman"/>
                <w:sz w:val="18"/>
                <w:szCs w:val="18"/>
              </w:rPr>
              <w:tab/>
              <w:t>Does the Project involve harvesting of natural forests, plantation development, or reforestation?</w:t>
            </w:r>
          </w:p>
        </w:tc>
        <w:tc>
          <w:tcPr>
            <w:tcW w:w="833" w:type="dxa"/>
            <w:tcBorders>
              <w:bottom w:val="single" w:sz="4" w:space="0" w:color="auto"/>
            </w:tcBorders>
            <w:shd w:val="clear" w:color="auto" w:fill="auto"/>
          </w:tcPr>
          <w:p w14:paraId="5310E57C" w14:textId="77777777" w:rsidR="0077105D" w:rsidRPr="006F4FD5" w:rsidRDefault="0077105D" w:rsidP="00EB71A9">
            <w:pPr>
              <w:rPr>
                <w:rFonts w:eastAsia="Times New Roman"/>
                <w:sz w:val="18"/>
                <w:szCs w:val="18"/>
              </w:rPr>
            </w:pPr>
            <w:r w:rsidRPr="006F4FD5">
              <w:rPr>
                <w:rFonts w:eastAsia="Times New Roman"/>
                <w:sz w:val="18"/>
                <w:szCs w:val="18"/>
              </w:rPr>
              <w:t>Yes</w:t>
            </w:r>
          </w:p>
        </w:tc>
      </w:tr>
      <w:tr w:rsidR="0077105D" w:rsidRPr="00310835" w14:paraId="3E384B5E" w14:textId="77777777" w:rsidTr="00EB71A9">
        <w:tc>
          <w:tcPr>
            <w:tcW w:w="8635" w:type="dxa"/>
            <w:tcBorders>
              <w:bottom w:val="single" w:sz="4" w:space="0" w:color="auto"/>
            </w:tcBorders>
            <w:shd w:val="clear" w:color="auto" w:fill="auto"/>
          </w:tcPr>
          <w:p w14:paraId="2D9B899E" w14:textId="77777777" w:rsidR="0077105D" w:rsidRPr="00310835" w:rsidRDefault="0077105D" w:rsidP="00EB71A9">
            <w:pPr>
              <w:tabs>
                <w:tab w:val="left" w:pos="900"/>
              </w:tabs>
              <w:spacing w:before="60"/>
              <w:ind w:left="567" w:hanging="567"/>
              <w:rPr>
                <w:rFonts w:eastAsia="Times New Roman"/>
                <w:sz w:val="18"/>
                <w:szCs w:val="18"/>
              </w:rPr>
            </w:pPr>
            <w:r w:rsidRPr="00310835">
              <w:rPr>
                <w:rFonts w:eastAsia="Times New Roman"/>
                <w:sz w:val="18"/>
                <w:szCs w:val="18"/>
              </w:rPr>
              <w:t>1.</w:t>
            </w:r>
            <w:r>
              <w:rPr>
                <w:rFonts w:eastAsia="Times New Roman"/>
                <w:sz w:val="18"/>
                <w:szCs w:val="18"/>
              </w:rPr>
              <w:t>7</w:t>
            </w:r>
            <w:r w:rsidRPr="00310835">
              <w:rPr>
                <w:rFonts w:eastAsia="Times New Roman"/>
                <w:sz w:val="18"/>
                <w:szCs w:val="18"/>
              </w:rPr>
              <w:t xml:space="preserve"> </w:t>
            </w:r>
            <w:r w:rsidRPr="00310835">
              <w:rPr>
                <w:rFonts w:eastAsia="Times New Roman"/>
                <w:sz w:val="18"/>
                <w:szCs w:val="18"/>
              </w:rPr>
              <w:tab/>
              <w:t xml:space="preserve">Does the </w:t>
            </w:r>
            <w:r>
              <w:rPr>
                <w:rFonts w:eastAsia="Times New Roman"/>
                <w:sz w:val="18"/>
                <w:szCs w:val="18"/>
              </w:rPr>
              <w:t>Project</w:t>
            </w:r>
            <w:r w:rsidRPr="00310835">
              <w:rPr>
                <w:rFonts w:eastAsia="Times New Roman"/>
                <w:sz w:val="18"/>
                <w:szCs w:val="18"/>
              </w:rPr>
              <w:t xml:space="preserve"> involve the production and/or harvesting of fish populations or other aquatic species?</w:t>
            </w:r>
          </w:p>
        </w:tc>
        <w:tc>
          <w:tcPr>
            <w:tcW w:w="833" w:type="dxa"/>
            <w:tcBorders>
              <w:bottom w:val="single" w:sz="4" w:space="0" w:color="auto"/>
            </w:tcBorders>
            <w:shd w:val="clear" w:color="auto" w:fill="auto"/>
          </w:tcPr>
          <w:p w14:paraId="42FB4FFC" w14:textId="77777777" w:rsidR="0077105D" w:rsidRPr="00310835" w:rsidRDefault="0077105D" w:rsidP="00EB71A9">
            <w:pPr>
              <w:rPr>
                <w:rFonts w:eastAsia="Times New Roman"/>
                <w:sz w:val="18"/>
                <w:szCs w:val="18"/>
              </w:rPr>
            </w:pPr>
            <w:r w:rsidRPr="003015BD">
              <w:rPr>
                <w:rFonts w:eastAsia="Times New Roman"/>
                <w:sz w:val="18"/>
                <w:szCs w:val="18"/>
                <w:highlight w:val="yellow"/>
              </w:rPr>
              <w:t>Yes</w:t>
            </w:r>
          </w:p>
        </w:tc>
      </w:tr>
      <w:tr w:rsidR="0077105D" w:rsidRPr="00310835" w14:paraId="5E6D66CC" w14:textId="77777777" w:rsidTr="00EB71A9">
        <w:tc>
          <w:tcPr>
            <w:tcW w:w="8635" w:type="dxa"/>
            <w:tcBorders>
              <w:bottom w:val="single" w:sz="4" w:space="0" w:color="auto"/>
            </w:tcBorders>
            <w:shd w:val="clear" w:color="auto" w:fill="auto"/>
          </w:tcPr>
          <w:p w14:paraId="10B0204E" w14:textId="77777777" w:rsidR="0077105D" w:rsidRDefault="0077105D" w:rsidP="00EB71A9">
            <w:pPr>
              <w:tabs>
                <w:tab w:val="left" w:pos="900"/>
              </w:tabs>
              <w:spacing w:before="60"/>
              <w:ind w:left="567" w:hanging="567"/>
              <w:rPr>
                <w:rFonts w:eastAsia="Times New Roman"/>
                <w:sz w:val="18"/>
                <w:szCs w:val="18"/>
              </w:rPr>
            </w:pPr>
            <w:r w:rsidRPr="00310835">
              <w:rPr>
                <w:rFonts w:eastAsia="Times New Roman"/>
                <w:sz w:val="18"/>
                <w:szCs w:val="18"/>
              </w:rPr>
              <w:t>1.</w:t>
            </w:r>
            <w:r>
              <w:rPr>
                <w:rFonts w:eastAsia="Times New Roman"/>
                <w:sz w:val="18"/>
                <w:szCs w:val="18"/>
              </w:rPr>
              <w:t>8</w:t>
            </w:r>
            <w:r w:rsidRPr="00310835">
              <w:rPr>
                <w:rFonts w:eastAsia="Times New Roman"/>
                <w:sz w:val="18"/>
                <w:szCs w:val="18"/>
              </w:rPr>
              <w:t xml:space="preserve"> </w:t>
            </w:r>
            <w:r w:rsidRPr="00310835">
              <w:rPr>
                <w:rFonts w:eastAsia="Times New Roman"/>
                <w:sz w:val="18"/>
                <w:szCs w:val="18"/>
              </w:rPr>
              <w:tab/>
              <w:t xml:space="preserve">Does the </w:t>
            </w:r>
            <w:r>
              <w:rPr>
                <w:rFonts w:eastAsia="Times New Roman"/>
                <w:sz w:val="18"/>
                <w:szCs w:val="18"/>
              </w:rPr>
              <w:t>Project</w:t>
            </w:r>
            <w:r w:rsidRPr="00310835">
              <w:rPr>
                <w:rFonts w:eastAsia="Times New Roman"/>
                <w:sz w:val="18"/>
                <w:szCs w:val="18"/>
              </w:rPr>
              <w:t xml:space="preserve"> involve significant extraction, diversion or containm</w:t>
            </w:r>
            <w:r>
              <w:rPr>
                <w:rFonts w:eastAsia="Times New Roman"/>
                <w:sz w:val="18"/>
                <w:szCs w:val="18"/>
              </w:rPr>
              <w:t>ent of surface or ground water?</w:t>
            </w:r>
          </w:p>
          <w:p w14:paraId="4FD40AEE" w14:textId="77777777" w:rsidR="0077105D" w:rsidRPr="003843AE" w:rsidRDefault="0077105D" w:rsidP="00EB71A9">
            <w:pPr>
              <w:tabs>
                <w:tab w:val="left" w:pos="900"/>
              </w:tabs>
              <w:spacing w:before="60"/>
              <w:ind w:left="567" w:hanging="567"/>
              <w:rPr>
                <w:rFonts w:eastAsia="Times New Roman"/>
                <w:i/>
                <w:sz w:val="18"/>
                <w:szCs w:val="18"/>
              </w:rPr>
            </w:pPr>
            <w:r>
              <w:rPr>
                <w:rFonts w:eastAsia="Times New Roman"/>
                <w:sz w:val="18"/>
                <w:szCs w:val="18"/>
              </w:rPr>
              <w:tab/>
            </w:r>
            <w:r w:rsidRPr="003843AE">
              <w:rPr>
                <w:rFonts w:eastAsia="Times New Roman"/>
                <w:i/>
                <w:sz w:val="18"/>
                <w:szCs w:val="18"/>
              </w:rPr>
              <w:t>For example, construction of dams, reservoirs, river basin developments, groundwater extraction</w:t>
            </w:r>
          </w:p>
        </w:tc>
        <w:tc>
          <w:tcPr>
            <w:tcW w:w="833" w:type="dxa"/>
            <w:tcBorders>
              <w:bottom w:val="single" w:sz="4" w:space="0" w:color="auto"/>
            </w:tcBorders>
            <w:shd w:val="clear" w:color="auto" w:fill="auto"/>
          </w:tcPr>
          <w:p w14:paraId="14B427F4" w14:textId="77777777" w:rsidR="0077105D" w:rsidRPr="00310835" w:rsidRDefault="0077105D" w:rsidP="00EB71A9">
            <w:pPr>
              <w:rPr>
                <w:rFonts w:eastAsia="Times New Roman"/>
                <w:sz w:val="18"/>
                <w:szCs w:val="18"/>
              </w:rPr>
            </w:pPr>
            <w:r>
              <w:rPr>
                <w:rFonts w:eastAsia="Times New Roman"/>
                <w:sz w:val="18"/>
                <w:szCs w:val="18"/>
              </w:rPr>
              <w:t>No</w:t>
            </w:r>
          </w:p>
        </w:tc>
      </w:tr>
      <w:tr w:rsidR="0077105D" w:rsidRPr="00310835" w14:paraId="3CC310AE" w14:textId="77777777" w:rsidTr="00EB71A9">
        <w:tc>
          <w:tcPr>
            <w:tcW w:w="8635" w:type="dxa"/>
            <w:tcBorders>
              <w:bottom w:val="single" w:sz="4" w:space="0" w:color="auto"/>
            </w:tcBorders>
            <w:shd w:val="clear" w:color="auto" w:fill="auto"/>
          </w:tcPr>
          <w:p w14:paraId="260D91ED" w14:textId="77777777" w:rsidR="0077105D" w:rsidRPr="00B47C17" w:rsidRDefault="0077105D" w:rsidP="00EB71A9">
            <w:pPr>
              <w:tabs>
                <w:tab w:val="left" w:pos="900"/>
              </w:tabs>
              <w:spacing w:before="60"/>
              <w:ind w:left="567" w:hanging="567"/>
              <w:rPr>
                <w:rFonts w:eastAsia="Times New Roman"/>
                <w:sz w:val="18"/>
                <w:szCs w:val="18"/>
              </w:rPr>
            </w:pPr>
            <w:r w:rsidRPr="00B47C17">
              <w:rPr>
                <w:rFonts w:eastAsia="Times New Roman"/>
                <w:sz w:val="18"/>
                <w:szCs w:val="18"/>
              </w:rPr>
              <w:t>1.9</w:t>
            </w:r>
            <w:r w:rsidRPr="00B47C17">
              <w:rPr>
                <w:rFonts w:eastAsia="Times New Roman"/>
                <w:sz w:val="18"/>
                <w:szCs w:val="18"/>
              </w:rPr>
              <w:tab/>
              <w:t xml:space="preserve">Does the Project involve utilization of genetic resources? (e.g. collection and/or harvesting, commercial development) </w:t>
            </w:r>
          </w:p>
        </w:tc>
        <w:tc>
          <w:tcPr>
            <w:tcW w:w="833" w:type="dxa"/>
            <w:tcBorders>
              <w:bottom w:val="single" w:sz="4" w:space="0" w:color="auto"/>
            </w:tcBorders>
            <w:shd w:val="clear" w:color="auto" w:fill="auto"/>
          </w:tcPr>
          <w:p w14:paraId="71A40790" w14:textId="77777777" w:rsidR="0077105D" w:rsidRPr="00B47C17" w:rsidRDefault="0077105D" w:rsidP="00EB71A9">
            <w:pPr>
              <w:tabs>
                <w:tab w:val="left" w:pos="585"/>
              </w:tabs>
              <w:spacing w:before="60"/>
              <w:ind w:left="567" w:hanging="567"/>
              <w:rPr>
                <w:rFonts w:eastAsia="Times New Roman"/>
                <w:sz w:val="18"/>
                <w:szCs w:val="18"/>
              </w:rPr>
            </w:pPr>
            <w:r w:rsidRPr="00B47C17">
              <w:rPr>
                <w:rFonts w:eastAsia="Times New Roman"/>
                <w:sz w:val="18"/>
                <w:szCs w:val="18"/>
              </w:rPr>
              <w:t>No</w:t>
            </w:r>
          </w:p>
        </w:tc>
      </w:tr>
      <w:tr w:rsidR="0077105D" w:rsidRPr="00310835" w14:paraId="01A85AED" w14:textId="77777777" w:rsidTr="00EB71A9">
        <w:tc>
          <w:tcPr>
            <w:tcW w:w="8635" w:type="dxa"/>
            <w:tcBorders>
              <w:bottom w:val="single" w:sz="4" w:space="0" w:color="auto"/>
            </w:tcBorders>
            <w:shd w:val="clear" w:color="auto" w:fill="auto"/>
          </w:tcPr>
          <w:p w14:paraId="2263B64F" w14:textId="77777777" w:rsidR="0077105D" w:rsidRPr="00310835" w:rsidRDefault="0077105D" w:rsidP="00EB71A9">
            <w:pPr>
              <w:tabs>
                <w:tab w:val="left" w:pos="900"/>
              </w:tabs>
              <w:spacing w:before="60"/>
              <w:ind w:left="567" w:hanging="567"/>
              <w:rPr>
                <w:rFonts w:eastAsia="Times New Roman"/>
                <w:b/>
                <w:sz w:val="18"/>
                <w:szCs w:val="18"/>
              </w:rPr>
            </w:pPr>
            <w:r w:rsidRPr="00310835">
              <w:rPr>
                <w:rFonts w:eastAsia="Times New Roman"/>
                <w:sz w:val="18"/>
                <w:szCs w:val="18"/>
              </w:rPr>
              <w:t>1.1</w:t>
            </w:r>
            <w:r>
              <w:rPr>
                <w:rFonts w:eastAsia="Times New Roman"/>
                <w:sz w:val="18"/>
                <w:szCs w:val="18"/>
              </w:rPr>
              <w:t>0</w:t>
            </w:r>
            <w:r w:rsidRPr="00310835">
              <w:rPr>
                <w:rFonts w:eastAsia="Times New Roman"/>
                <w:sz w:val="18"/>
                <w:szCs w:val="18"/>
              </w:rPr>
              <w:tab/>
              <w:t xml:space="preserve">Would the </w:t>
            </w:r>
            <w:r>
              <w:rPr>
                <w:rFonts w:eastAsia="Times New Roman"/>
                <w:sz w:val="18"/>
                <w:szCs w:val="18"/>
              </w:rPr>
              <w:t>Project</w:t>
            </w:r>
            <w:r w:rsidRPr="00310835">
              <w:rPr>
                <w:rFonts w:eastAsia="Times New Roman"/>
                <w:sz w:val="18"/>
                <w:szCs w:val="18"/>
              </w:rPr>
              <w:t xml:space="preserve"> </w:t>
            </w:r>
            <w:r>
              <w:rPr>
                <w:rFonts w:eastAsia="Times New Roman"/>
                <w:sz w:val="18"/>
                <w:szCs w:val="18"/>
              </w:rPr>
              <w:t>generate</w:t>
            </w:r>
            <w:r w:rsidRPr="00310835">
              <w:rPr>
                <w:rFonts w:eastAsia="Times New Roman"/>
                <w:sz w:val="18"/>
                <w:szCs w:val="18"/>
              </w:rPr>
              <w:t xml:space="preserve"> potential </w:t>
            </w:r>
            <w:r>
              <w:rPr>
                <w:rFonts w:eastAsia="Times New Roman"/>
                <w:sz w:val="18"/>
                <w:szCs w:val="18"/>
              </w:rPr>
              <w:t xml:space="preserve">adverse </w:t>
            </w:r>
            <w:r w:rsidRPr="00310835">
              <w:rPr>
                <w:rFonts w:eastAsia="Times New Roman"/>
                <w:sz w:val="18"/>
                <w:szCs w:val="18"/>
              </w:rPr>
              <w:t>transboundary or global environmental concerns?</w:t>
            </w:r>
          </w:p>
        </w:tc>
        <w:tc>
          <w:tcPr>
            <w:tcW w:w="833" w:type="dxa"/>
            <w:tcBorders>
              <w:bottom w:val="single" w:sz="4" w:space="0" w:color="auto"/>
            </w:tcBorders>
            <w:shd w:val="clear" w:color="auto" w:fill="auto"/>
          </w:tcPr>
          <w:p w14:paraId="6655B908" w14:textId="77777777" w:rsidR="0077105D" w:rsidRPr="00310835" w:rsidRDefault="0077105D" w:rsidP="00EB71A9">
            <w:pPr>
              <w:tabs>
                <w:tab w:val="left" w:pos="585"/>
              </w:tabs>
              <w:spacing w:before="60"/>
              <w:ind w:left="567" w:hanging="567"/>
              <w:rPr>
                <w:rFonts w:eastAsia="Times New Roman"/>
                <w:sz w:val="18"/>
                <w:szCs w:val="18"/>
              </w:rPr>
            </w:pPr>
            <w:r>
              <w:rPr>
                <w:rFonts w:eastAsia="Times New Roman"/>
                <w:sz w:val="18"/>
                <w:szCs w:val="18"/>
              </w:rPr>
              <w:t>No</w:t>
            </w:r>
          </w:p>
        </w:tc>
      </w:tr>
      <w:tr w:rsidR="0077105D" w:rsidRPr="00310835" w14:paraId="6159BCB9" w14:textId="77777777" w:rsidTr="00EB71A9">
        <w:tc>
          <w:tcPr>
            <w:tcW w:w="8635" w:type="dxa"/>
            <w:tcBorders>
              <w:bottom w:val="single" w:sz="4" w:space="0" w:color="auto"/>
            </w:tcBorders>
            <w:shd w:val="clear" w:color="auto" w:fill="auto"/>
          </w:tcPr>
          <w:p w14:paraId="32B4E29B" w14:textId="77777777" w:rsidR="0077105D" w:rsidRDefault="0077105D" w:rsidP="00EB71A9">
            <w:pPr>
              <w:tabs>
                <w:tab w:val="left" w:pos="900"/>
              </w:tabs>
              <w:spacing w:before="60"/>
              <w:ind w:left="567" w:hanging="567"/>
              <w:rPr>
                <w:rFonts w:eastAsia="Times New Roman"/>
                <w:sz w:val="18"/>
                <w:szCs w:val="18"/>
              </w:rPr>
            </w:pPr>
            <w:r w:rsidRPr="007E6F3A">
              <w:rPr>
                <w:rFonts w:eastAsia="Times New Roman"/>
                <w:sz w:val="18"/>
                <w:szCs w:val="18"/>
              </w:rPr>
              <w:t>1.1</w:t>
            </w:r>
            <w:r>
              <w:rPr>
                <w:rFonts w:eastAsia="Times New Roman"/>
                <w:sz w:val="18"/>
                <w:szCs w:val="18"/>
              </w:rPr>
              <w:t>1</w:t>
            </w:r>
            <w:r w:rsidRPr="007E6F3A">
              <w:rPr>
                <w:rFonts w:eastAsia="Times New Roman"/>
                <w:sz w:val="18"/>
                <w:szCs w:val="18"/>
              </w:rPr>
              <w:tab/>
              <w:t xml:space="preserve">Would the </w:t>
            </w:r>
            <w:r>
              <w:rPr>
                <w:rFonts w:eastAsia="Times New Roman"/>
                <w:sz w:val="18"/>
                <w:szCs w:val="18"/>
              </w:rPr>
              <w:t>Project</w:t>
            </w:r>
            <w:r w:rsidRPr="007E6F3A">
              <w:rPr>
                <w:rFonts w:eastAsia="Times New Roman"/>
                <w:sz w:val="18"/>
                <w:szCs w:val="18"/>
              </w:rPr>
              <w:t xml:space="preserve"> result in secondary or consequential development </w:t>
            </w:r>
            <w:r>
              <w:rPr>
                <w:rFonts w:eastAsia="Times New Roman"/>
                <w:sz w:val="18"/>
                <w:szCs w:val="18"/>
              </w:rPr>
              <w:t xml:space="preserve">activities </w:t>
            </w:r>
            <w:r w:rsidRPr="007E6F3A">
              <w:rPr>
                <w:rFonts w:eastAsia="Times New Roman"/>
                <w:sz w:val="18"/>
                <w:szCs w:val="18"/>
              </w:rPr>
              <w:t>which could lead to adverse social and environmental effects, or would it generate cumulative impacts with other known existing or planned activities in the area?</w:t>
            </w:r>
          </w:p>
          <w:p w14:paraId="60662A1A" w14:textId="77777777" w:rsidR="0077105D" w:rsidRPr="003843AE" w:rsidRDefault="0077105D" w:rsidP="00EB71A9">
            <w:pPr>
              <w:tabs>
                <w:tab w:val="left" w:pos="900"/>
              </w:tabs>
              <w:spacing w:before="60"/>
              <w:ind w:left="567" w:hanging="567"/>
              <w:rPr>
                <w:rFonts w:eastAsia="Times New Roman"/>
                <w:i/>
                <w:sz w:val="18"/>
                <w:szCs w:val="18"/>
              </w:rPr>
            </w:pPr>
            <w:r>
              <w:rPr>
                <w:rFonts w:eastAsia="Times New Roman"/>
                <w:sz w:val="18"/>
                <w:szCs w:val="18"/>
              </w:rPr>
              <w:tab/>
            </w:r>
            <w:r w:rsidRPr="003843AE">
              <w:rPr>
                <w:rFonts w:eastAsia="Times New Roman"/>
                <w:i/>
                <w:sz w:val="18"/>
                <w:szCs w:val="18"/>
              </w:rPr>
              <w:t>For example, a new road through forested lands will generate direct environmental and social impacts (e.g. felling</w:t>
            </w:r>
            <w:r>
              <w:rPr>
                <w:rFonts w:eastAsia="Times New Roman"/>
                <w:i/>
                <w:sz w:val="18"/>
                <w:szCs w:val="18"/>
              </w:rPr>
              <w:t xml:space="preserve"> of</w:t>
            </w:r>
            <w:r w:rsidRPr="003843AE">
              <w:rPr>
                <w:rFonts w:eastAsia="Times New Roman"/>
                <w:i/>
                <w:sz w:val="18"/>
                <w:szCs w:val="18"/>
              </w:rPr>
              <w:t xml:space="preserve"> trees, earthworks, potential relocation of inhabitants). </w:t>
            </w:r>
            <w:r w:rsidRPr="000D4E2F">
              <w:rPr>
                <w:rFonts w:eastAsia="Times New Roman"/>
                <w:i/>
                <w:sz w:val="18"/>
                <w:szCs w:val="18"/>
              </w:rPr>
              <w:t>The new r</w:t>
            </w:r>
            <w:r w:rsidRPr="003843AE">
              <w:rPr>
                <w:rFonts w:eastAsia="Times New Roman"/>
                <w:i/>
                <w:sz w:val="18"/>
                <w:szCs w:val="18"/>
              </w:rPr>
              <w:t>o</w:t>
            </w:r>
            <w:r>
              <w:rPr>
                <w:rFonts w:eastAsia="Times New Roman"/>
                <w:i/>
                <w:sz w:val="18"/>
                <w:szCs w:val="18"/>
              </w:rPr>
              <w:t>a</w:t>
            </w:r>
            <w:r w:rsidRPr="003843AE">
              <w:rPr>
                <w:rFonts w:eastAsia="Times New Roman"/>
                <w:i/>
                <w:sz w:val="18"/>
                <w:szCs w:val="18"/>
              </w:rPr>
              <w:t>d may also facilitate encroach</w:t>
            </w:r>
            <w:r w:rsidRPr="000D4E2F">
              <w:rPr>
                <w:rFonts w:eastAsia="Times New Roman"/>
                <w:i/>
                <w:sz w:val="18"/>
                <w:szCs w:val="18"/>
              </w:rPr>
              <w:t>ment on lands by illegal settler</w:t>
            </w:r>
            <w:r w:rsidRPr="003843AE">
              <w:rPr>
                <w:rFonts w:eastAsia="Times New Roman"/>
                <w:i/>
                <w:sz w:val="18"/>
                <w:szCs w:val="18"/>
              </w:rPr>
              <w:t xml:space="preserve">s or generate </w:t>
            </w:r>
            <w:r>
              <w:rPr>
                <w:rFonts w:eastAsia="Times New Roman"/>
                <w:i/>
                <w:sz w:val="18"/>
                <w:szCs w:val="18"/>
              </w:rPr>
              <w:t xml:space="preserve">unplanned </w:t>
            </w:r>
            <w:r w:rsidRPr="003843AE">
              <w:rPr>
                <w:rFonts w:eastAsia="Times New Roman"/>
                <w:i/>
                <w:sz w:val="18"/>
                <w:szCs w:val="18"/>
              </w:rPr>
              <w:t xml:space="preserve">commercial development along the route, potentially in sensitive areas. These are indirect, secondary, or induced impacts that need to be considered. Also, if similar developments in the same forested area are planned, then cumulative impacts of multiple activities </w:t>
            </w:r>
            <w:r>
              <w:rPr>
                <w:rFonts w:eastAsia="Times New Roman"/>
                <w:i/>
                <w:sz w:val="18"/>
                <w:szCs w:val="18"/>
              </w:rPr>
              <w:t xml:space="preserve">(even if not part of the same Project) </w:t>
            </w:r>
            <w:r w:rsidRPr="003843AE">
              <w:rPr>
                <w:rFonts w:eastAsia="Times New Roman"/>
                <w:i/>
                <w:sz w:val="18"/>
                <w:szCs w:val="18"/>
              </w:rPr>
              <w:t>need to be considered.</w:t>
            </w:r>
          </w:p>
        </w:tc>
        <w:tc>
          <w:tcPr>
            <w:tcW w:w="833" w:type="dxa"/>
            <w:tcBorders>
              <w:bottom w:val="single" w:sz="4" w:space="0" w:color="auto"/>
            </w:tcBorders>
            <w:shd w:val="clear" w:color="auto" w:fill="auto"/>
          </w:tcPr>
          <w:p w14:paraId="4A6A0BF6" w14:textId="77777777" w:rsidR="0077105D" w:rsidRPr="00310835" w:rsidRDefault="0077105D" w:rsidP="00EB71A9">
            <w:pPr>
              <w:tabs>
                <w:tab w:val="left" w:pos="585"/>
              </w:tabs>
              <w:spacing w:before="60"/>
              <w:ind w:left="567" w:hanging="567"/>
              <w:rPr>
                <w:rFonts w:eastAsia="Times New Roman"/>
                <w:sz w:val="18"/>
                <w:szCs w:val="18"/>
              </w:rPr>
            </w:pPr>
            <w:r>
              <w:rPr>
                <w:rFonts w:eastAsia="Times New Roman"/>
                <w:sz w:val="18"/>
                <w:szCs w:val="18"/>
              </w:rPr>
              <w:t>No</w:t>
            </w:r>
          </w:p>
        </w:tc>
      </w:tr>
      <w:tr w:rsidR="0077105D" w:rsidRPr="00310835" w14:paraId="1BE57447" w14:textId="77777777" w:rsidTr="00EB71A9">
        <w:trPr>
          <w:trHeight w:val="530"/>
        </w:trPr>
        <w:tc>
          <w:tcPr>
            <w:tcW w:w="8635" w:type="dxa"/>
            <w:tcBorders>
              <w:bottom w:val="single" w:sz="4" w:space="0" w:color="auto"/>
            </w:tcBorders>
            <w:shd w:val="clear" w:color="auto" w:fill="DBE5F1" w:themeFill="accent1" w:themeFillTint="33"/>
            <w:vAlign w:val="center"/>
          </w:tcPr>
          <w:p w14:paraId="4AA9F5AD" w14:textId="77777777" w:rsidR="0077105D" w:rsidRPr="00310835" w:rsidRDefault="0077105D" w:rsidP="00EB71A9">
            <w:pPr>
              <w:tabs>
                <w:tab w:val="left" w:pos="555"/>
              </w:tabs>
              <w:spacing w:before="120" w:after="120"/>
              <w:rPr>
                <w:rFonts w:eastAsia="Times New Roman"/>
                <w:b/>
                <w:sz w:val="18"/>
                <w:szCs w:val="18"/>
              </w:rPr>
            </w:pPr>
            <w:r w:rsidRPr="00310835">
              <w:rPr>
                <w:rFonts w:eastAsia="Times New Roman"/>
                <w:b/>
                <w:sz w:val="18"/>
                <w:szCs w:val="18"/>
              </w:rPr>
              <w:t>Standard 2: Climate Change</w:t>
            </w:r>
            <w:r>
              <w:rPr>
                <w:rFonts w:eastAsia="Times New Roman"/>
                <w:b/>
                <w:sz w:val="18"/>
                <w:szCs w:val="18"/>
              </w:rPr>
              <w:t xml:space="preserve"> Mitigation and Adaptation</w:t>
            </w:r>
          </w:p>
        </w:tc>
        <w:tc>
          <w:tcPr>
            <w:tcW w:w="833" w:type="dxa"/>
            <w:tcBorders>
              <w:bottom w:val="single" w:sz="4" w:space="0" w:color="auto"/>
            </w:tcBorders>
            <w:shd w:val="clear" w:color="auto" w:fill="DBE5F1" w:themeFill="accent1" w:themeFillTint="33"/>
          </w:tcPr>
          <w:p w14:paraId="7542B9F9" w14:textId="77777777" w:rsidR="0077105D" w:rsidRPr="00310835" w:rsidRDefault="0077105D" w:rsidP="00EB71A9">
            <w:pPr>
              <w:tabs>
                <w:tab w:val="left" w:pos="585"/>
              </w:tabs>
              <w:spacing w:before="60"/>
              <w:ind w:left="567" w:hanging="567"/>
              <w:rPr>
                <w:rFonts w:eastAsia="Times New Roman"/>
                <w:sz w:val="18"/>
                <w:szCs w:val="18"/>
              </w:rPr>
            </w:pPr>
          </w:p>
        </w:tc>
      </w:tr>
      <w:tr w:rsidR="0077105D" w:rsidRPr="00310835" w14:paraId="397D9AC0" w14:textId="77777777" w:rsidTr="00EB71A9">
        <w:tc>
          <w:tcPr>
            <w:tcW w:w="8635" w:type="dxa"/>
            <w:tcBorders>
              <w:bottom w:val="single" w:sz="4" w:space="0" w:color="auto"/>
            </w:tcBorders>
            <w:shd w:val="clear" w:color="auto" w:fill="auto"/>
          </w:tcPr>
          <w:p w14:paraId="4CAA9425" w14:textId="77777777" w:rsidR="0077105D" w:rsidRPr="00310835" w:rsidRDefault="0077105D" w:rsidP="00EB71A9">
            <w:pPr>
              <w:tabs>
                <w:tab w:val="left" w:pos="585"/>
              </w:tabs>
              <w:spacing w:before="60"/>
              <w:ind w:left="567" w:hanging="567"/>
              <w:rPr>
                <w:rFonts w:eastAsia="Times New Roman"/>
                <w:sz w:val="18"/>
                <w:szCs w:val="18"/>
              </w:rPr>
            </w:pPr>
            <w:r w:rsidRPr="00310835">
              <w:rPr>
                <w:rFonts w:eastAsia="Times New Roman"/>
                <w:sz w:val="18"/>
                <w:szCs w:val="18"/>
              </w:rPr>
              <w:t xml:space="preserve">2.1 </w:t>
            </w:r>
            <w:r w:rsidRPr="00310835">
              <w:rPr>
                <w:rFonts w:eastAsia="Times New Roman"/>
                <w:sz w:val="18"/>
                <w:szCs w:val="18"/>
              </w:rPr>
              <w:tab/>
              <w:t xml:space="preserve">Will the proposed </w:t>
            </w:r>
            <w:r>
              <w:rPr>
                <w:rFonts w:eastAsia="Times New Roman"/>
                <w:sz w:val="18"/>
                <w:szCs w:val="18"/>
              </w:rPr>
              <w:t>Project</w:t>
            </w:r>
            <w:r w:rsidRPr="00310835">
              <w:rPr>
                <w:rFonts w:eastAsia="Times New Roman"/>
                <w:sz w:val="18"/>
                <w:szCs w:val="18"/>
              </w:rPr>
              <w:t xml:space="preserve"> result in significant</w:t>
            </w:r>
            <w:r w:rsidRPr="00310835">
              <w:rPr>
                <w:sz w:val="18"/>
                <w:szCs w:val="18"/>
                <w:vertAlign w:val="superscript"/>
              </w:rPr>
              <w:footnoteReference w:id="45"/>
            </w:r>
            <w:r w:rsidRPr="00310835">
              <w:rPr>
                <w:rFonts w:eastAsia="Times New Roman"/>
                <w:sz w:val="18"/>
                <w:szCs w:val="18"/>
                <w:vertAlign w:val="superscript"/>
              </w:rPr>
              <w:t xml:space="preserve"> </w:t>
            </w:r>
            <w:r w:rsidRPr="00310835">
              <w:rPr>
                <w:rFonts w:eastAsia="Times New Roman"/>
                <w:sz w:val="18"/>
                <w:szCs w:val="18"/>
              </w:rPr>
              <w:t>greenh</w:t>
            </w:r>
            <w:r>
              <w:rPr>
                <w:rFonts w:eastAsia="Times New Roman"/>
                <w:sz w:val="18"/>
                <w:szCs w:val="18"/>
              </w:rPr>
              <w:t xml:space="preserve">ouse gas emissions or may exacerbate climate change? </w:t>
            </w:r>
          </w:p>
        </w:tc>
        <w:tc>
          <w:tcPr>
            <w:tcW w:w="833" w:type="dxa"/>
            <w:tcBorders>
              <w:bottom w:val="single" w:sz="4" w:space="0" w:color="auto"/>
            </w:tcBorders>
            <w:shd w:val="clear" w:color="auto" w:fill="auto"/>
          </w:tcPr>
          <w:p w14:paraId="47022CCD" w14:textId="77777777" w:rsidR="0077105D" w:rsidRPr="00310835" w:rsidRDefault="0077105D" w:rsidP="00EB71A9">
            <w:pPr>
              <w:tabs>
                <w:tab w:val="left" w:pos="585"/>
              </w:tabs>
              <w:spacing w:before="60"/>
              <w:ind w:left="567" w:hanging="567"/>
              <w:rPr>
                <w:rFonts w:eastAsia="Times New Roman"/>
                <w:sz w:val="18"/>
                <w:szCs w:val="18"/>
              </w:rPr>
            </w:pPr>
            <w:r>
              <w:rPr>
                <w:rFonts w:eastAsia="Times New Roman"/>
                <w:sz w:val="18"/>
                <w:szCs w:val="18"/>
              </w:rPr>
              <w:t>No</w:t>
            </w:r>
          </w:p>
        </w:tc>
      </w:tr>
      <w:tr w:rsidR="0077105D" w:rsidRPr="00310835" w14:paraId="3C3B84D3" w14:textId="77777777" w:rsidTr="00EB71A9">
        <w:tc>
          <w:tcPr>
            <w:tcW w:w="8635" w:type="dxa"/>
            <w:tcBorders>
              <w:bottom w:val="single" w:sz="4" w:space="0" w:color="auto"/>
            </w:tcBorders>
            <w:shd w:val="clear" w:color="auto" w:fill="auto"/>
          </w:tcPr>
          <w:p w14:paraId="22A68F45" w14:textId="77777777" w:rsidR="0077105D" w:rsidRPr="006F4FD5" w:rsidRDefault="0077105D" w:rsidP="00EB71A9">
            <w:pPr>
              <w:tabs>
                <w:tab w:val="left" w:pos="585"/>
              </w:tabs>
              <w:autoSpaceDE w:val="0"/>
              <w:autoSpaceDN w:val="0"/>
              <w:adjustRightInd w:val="0"/>
              <w:spacing w:before="60"/>
              <w:ind w:left="567" w:hanging="567"/>
              <w:rPr>
                <w:rFonts w:eastAsia="Times New Roman"/>
                <w:sz w:val="18"/>
                <w:szCs w:val="18"/>
              </w:rPr>
            </w:pPr>
            <w:r w:rsidRPr="006F4FD5">
              <w:rPr>
                <w:rFonts w:eastAsia="Times New Roman"/>
                <w:sz w:val="18"/>
                <w:szCs w:val="18"/>
              </w:rPr>
              <w:t>2.2</w:t>
            </w:r>
            <w:r w:rsidRPr="006F4FD5">
              <w:rPr>
                <w:rFonts w:eastAsia="Times New Roman"/>
                <w:sz w:val="18"/>
                <w:szCs w:val="18"/>
              </w:rPr>
              <w:tab/>
              <w:t xml:space="preserve">Would the potential outcomes of the Project be sensitive or vulnerable to potential impacts of </w:t>
            </w:r>
            <w:r w:rsidRPr="006F4FD5">
              <w:rPr>
                <w:rFonts w:eastAsia="Times New Roman"/>
                <w:bCs/>
                <w:color w:val="000000"/>
                <w:sz w:val="18"/>
                <w:szCs w:val="18"/>
              </w:rPr>
              <w:t>climate</w:t>
            </w:r>
            <w:r w:rsidRPr="006F4FD5">
              <w:rPr>
                <w:rFonts w:eastAsia="Times New Roman"/>
                <w:sz w:val="18"/>
                <w:szCs w:val="18"/>
              </w:rPr>
              <w:t xml:space="preserve"> change? </w:t>
            </w:r>
          </w:p>
        </w:tc>
        <w:tc>
          <w:tcPr>
            <w:tcW w:w="833" w:type="dxa"/>
            <w:tcBorders>
              <w:bottom w:val="single" w:sz="4" w:space="0" w:color="auto"/>
            </w:tcBorders>
            <w:shd w:val="clear" w:color="auto" w:fill="auto"/>
          </w:tcPr>
          <w:p w14:paraId="6AD30389" w14:textId="77777777" w:rsidR="0077105D" w:rsidRPr="006F4FD5" w:rsidRDefault="0077105D" w:rsidP="00EB71A9">
            <w:pPr>
              <w:tabs>
                <w:tab w:val="left" w:pos="585"/>
              </w:tabs>
              <w:spacing w:before="60"/>
              <w:ind w:left="567" w:hanging="567"/>
              <w:rPr>
                <w:rFonts w:eastAsia="Times New Roman"/>
                <w:sz w:val="18"/>
                <w:szCs w:val="18"/>
              </w:rPr>
            </w:pPr>
            <w:r w:rsidRPr="006F4FD5">
              <w:rPr>
                <w:rFonts w:eastAsia="Times New Roman"/>
                <w:sz w:val="18"/>
                <w:szCs w:val="18"/>
              </w:rPr>
              <w:t>Yes</w:t>
            </w:r>
          </w:p>
        </w:tc>
      </w:tr>
      <w:tr w:rsidR="0077105D" w:rsidRPr="00310835" w14:paraId="7AEA4B9B" w14:textId="77777777" w:rsidTr="00EB71A9">
        <w:tc>
          <w:tcPr>
            <w:tcW w:w="8635" w:type="dxa"/>
            <w:tcBorders>
              <w:bottom w:val="single" w:sz="4" w:space="0" w:color="auto"/>
            </w:tcBorders>
            <w:shd w:val="clear" w:color="auto" w:fill="auto"/>
          </w:tcPr>
          <w:p w14:paraId="5263556A" w14:textId="77777777" w:rsidR="0077105D" w:rsidRDefault="0077105D" w:rsidP="00EB71A9">
            <w:pPr>
              <w:tabs>
                <w:tab w:val="left" w:pos="585"/>
              </w:tabs>
              <w:spacing w:before="60"/>
              <w:ind w:left="567" w:hanging="567"/>
              <w:rPr>
                <w:rFonts w:eastAsia="Times New Roman"/>
                <w:sz w:val="18"/>
                <w:szCs w:val="18"/>
              </w:rPr>
            </w:pPr>
            <w:r w:rsidRPr="00310835">
              <w:rPr>
                <w:rFonts w:eastAsia="Times New Roman"/>
                <w:sz w:val="18"/>
                <w:szCs w:val="18"/>
              </w:rPr>
              <w:t>2.3</w:t>
            </w:r>
            <w:r w:rsidRPr="00310835">
              <w:rPr>
                <w:rFonts w:eastAsia="Times New Roman"/>
                <w:sz w:val="18"/>
                <w:szCs w:val="18"/>
              </w:rPr>
              <w:tab/>
              <w:t xml:space="preserve">Is the proposed </w:t>
            </w:r>
            <w:r>
              <w:rPr>
                <w:rFonts w:eastAsia="Times New Roman"/>
                <w:sz w:val="18"/>
                <w:szCs w:val="18"/>
              </w:rPr>
              <w:t>Project</w:t>
            </w:r>
            <w:r w:rsidRPr="00310835">
              <w:rPr>
                <w:rFonts w:eastAsia="Times New Roman"/>
                <w:sz w:val="18"/>
                <w:szCs w:val="18"/>
              </w:rPr>
              <w:t xml:space="preserve"> likely to directly or indirectly increase </w:t>
            </w:r>
            <w:r w:rsidRPr="009419D6">
              <w:rPr>
                <w:rFonts w:eastAsia="Times New Roman"/>
                <w:sz w:val="18"/>
                <w:szCs w:val="18"/>
              </w:rPr>
              <w:t>social and environmental</w:t>
            </w:r>
            <w:r w:rsidRPr="00310835">
              <w:rPr>
                <w:rFonts w:eastAsia="Times New Roman"/>
                <w:sz w:val="18"/>
                <w:szCs w:val="18"/>
              </w:rPr>
              <w:t xml:space="preserve"> </w:t>
            </w:r>
            <w:hyperlink w:anchor="CCVulnerabilityGlossary" w:history="1">
              <w:r w:rsidRPr="00310835">
                <w:rPr>
                  <w:rFonts w:eastAsia="Times New Roman"/>
                  <w:sz w:val="18"/>
                  <w:szCs w:val="18"/>
                </w:rPr>
                <w:t>vulnerability to climate change</w:t>
              </w:r>
            </w:hyperlink>
            <w:r w:rsidRPr="00310835">
              <w:rPr>
                <w:rFonts w:eastAsia="Times New Roman"/>
                <w:sz w:val="18"/>
                <w:szCs w:val="18"/>
              </w:rPr>
              <w:t xml:space="preserve"> now or in the future (also k</w:t>
            </w:r>
            <w:r>
              <w:rPr>
                <w:rFonts w:eastAsia="Times New Roman"/>
                <w:sz w:val="18"/>
                <w:szCs w:val="18"/>
              </w:rPr>
              <w:t>nown as maladaptive practices)?</w:t>
            </w:r>
          </w:p>
          <w:p w14:paraId="47D09747" w14:textId="77777777" w:rsidR="0077105D" w:rsidRPr="00310835" w:rsidRDefault="0077105D" w:rsidP="00EB71A9">
            <w:pPr>
              <w:tabs>
                <w:tab w:val="left" w:pos="630"/>
              </w:tabs>
              <w:spacing w:before="60"/>
              <w:ind w:left="630"/>
              <w:rPr>
                <w:rFonts w:eastAsia="Times New Roman"/>
                <w:sz w:val="18"/>
                <w:szCs w:val="18"/>
              </w:rPr>
            </w:pPr>
            <w:r w:rsidRPr="00945181">
              <w:rPr>
                <w:rFonts w:eastAsia="Times New Roman"/>
                <w:i/>
                <w:sz w:val="18"/>
                <w:szCs w:val="18"/>
              </w:rPr>
              <w:t>For example, changes to land use planning may encourage further development of floodplains</w:t>
            </w:r>
            <w:r>
              <w:rPr>
                <w:rFonts w:eastAsia="Times New Roman"/>
                <w:i/>
                <w:sz w:val="18"/>
                <w:szCs w:val="18"/>
              </w:rPr>
              <w:t>, potentially</w:t>
            </w:r>
            <w:r w:rsidRPr="00945181">
              <w:rPr>
                <w:rFonts w:eastAsia="Times New Roman"/>
                <w:i/>
                <w:sz w:val="18"/>
                <w:szCs w:val="18"/>
              </w:rPr>
              <w:t xml:space="preserve"> </w:t>
            </w:r>
            <w:r>
              <w:rPr>
                <w:rFonts w:eastAsia="Times New Roman"/>
                <w:i/>
                <w:sz w:val="18"/>
                <w:szCs w:val="18"/>
              </w:rPr>
              <w:t>increasing</w:t>
            </w:r>
            <w:r w:rsidRPr="00945181">
              <w:rPr>
                <w:rFonts w:eastAsia="Times New Roman"/>
                <w:i/>
                <w:sz w:val="18"/>
                <w:szCs w:val="18"/>
              </w:rPr>
              <w:t xml:space="preserve"> the population’s vulnerability to c</w:t>
            </w:r>
            <w:r>
              <w:rPr>
                <w:rFonts w:eastAsia="Times New Roman"/>
                <w:i/>
                <w:sz w:val="18"/>
                <w:szCs w:val="18"/>
              </w:rPr>
              <w:t>l</w:t>
            </w:r>
            <w:r w:rsidRPr="00945181">
              <w:rPr>
                <w:rFonts w:eastAsia="Times New Roman"/>
                <w:i/>
                <w:sz w:val="18"/>
                <w:szCs w:val="18"/>
              </w:rPr>
              <w:t>imate change, specifically flooding</w:t>
            </w:r>
          </w:p>
        </w:tc>
        <w:tc>
          <w:tcPr>
            <w:tcW w:w="833" w:type="dxa"/>
            <w:tcBorders>
              <w:bottom w:val="single" w:sz="4" w:space="0" w:color="auto"/>
            </w:tcBorders>
            <w:shd w:val="clear" w:color="auto" w:fill="auto"/>
          </w:tcPr>
          <w:p w14:paraId="28485B7B" w14:textId="77777777" w:rsidR="0077105D" w:rsidRPr="00310835" w:rsidRDefault="0077105D" w:rsidP="00EB71A9">
            <w:pPr>
              <w:tabs>
                <w:tab w:val="left" w:pos="585"/>
              </w:tabs>
              <w:spacing w:before="60"/>
              <w:ind w:left="567" w:hanging="567"/>
              <w:rPr>
                <w:rFonts w:eastAsia="Times New Roman"/>
                <w:sz w:val="18"/>
                <w:szCs w:val="18"/>
              </w:rPr>
            </w:pPr>
            <w:r>
              <w:rPr>
                <w:rFonts w:eastAsia="Times New Roman"/>
                <w:sz w:val="18"/>
                <w:szCs w:val="18"/>
              </w:rPr>
              <w:t>No</w:t>
            </w:r>
          </w:p>
        </w:tc>
      </w:tr>
      <w:tr w:rsidR="0077105D" w:rsidRPr="00310835" w14:paraId="3030B0D9" w14:textId="77777777" w:rsidTr="00EB71A9">
        <w:trPr>
          <w:trHeight w:val="539"/>
        </w:trPr>
        <w:tc>
          <w:tcPr>
            <w:tcW w:w="8635" w:type="dxa"/>
            <w:tcBorders>
              <w:bottom w:val="single" w:sz="4" w:space="0" w:color="auto"/>
            </w:tcBorders>
            <w:shd w:val="clear" w:color="auto" w:fill="DBE5F1" w:themeFill="accent1" w:themeFillTint="33"/>
            <w:vAlign w:val="center"/>
          </w:tcPr>
          <w:p w14:paraId="096375EB" w14:textId="77777777" w:rsidR="0077105D" w:rsidRPr="00310835" w:rsidRDefault="0077105D" w:rsidP="00EB71A9">
            <w:pPr>
              <w:tabs>
                <w:tab w:val="left" w:pos="0"/>
                <w:tab w:val="left" w:pos="555"/>
              </w:tabs>
              <w:spacing w:before="60"/>
              <w:rPr>
                <w:rFonts w:eastAsia="Times New Roman"/>
                <w:b/>
                <w:sz w:val="18"/>
                <w:szCs w:val="18"/>
              </w:rPr>
            </w:pPr>
            <w:r w:rsidRPr="00310835">
              <w:rPr>
                <w:rFonts w:eastAsia="Times New Roman"/>
                <w:b/>
                <w:sz w:val="18"/>
                <w:szCs w:val="18"/>
              </w:rPr>
              <w:t>S</w:t>
            </w:r>
            <w:r>
              <w:rPr>
                <w:rFonts w:eastAsia="Times New Roman"/>
                <w:b/>
                <w:sz w:val="18"/>
                <w:szCs w:val="18"/>
              </w:rPr>
              <w:t xml:space="preserve">tandard 3: Community Health, </w:t>
            </w:r>
            <w:r w:rsidRPr="00310835">
              <w:rPr>
                <w:rFonts w:eastAsia="Times New Roman"/>
                <w:b/>
                <w:sz w:val="18"/>
                <w:szCs w:val="18"/>
              </w:rPr>
              <w:t>Safety</w:t>
            </w:r>
            <w:r>
              <w:rPr>
                <w:rFonts w:eastAsia="Times New Roman"/>
                <w:b/>
                <w:sz w:val="18"/>
                <w:szCs w:val="18"/>
              </w:rPr>
              <w:t xml:space="preserve"> and Working Conditions</w:t>
            </w:r>
          </w:p>
        </w:tc>
        <w:tc>
          <w:tcPr>
            <w:tcW w:w="833" w:type="dxa"/>
            <w:tcBorders>
              <w:bottom w:val="single" w:sz="4" w:space="0" w:color="auto"/>
            </w:tcBorders>
            <w:shd w:val="clear" w:color="auto" w:fill="DBE5F1" w:themeFill="accent1" w:themeFillTint="33"/>
            <w:vAlign w:val="center"/>
          </w:tcPr>
          <w:p w14:paraId="47AF6E8B" w14:textId="77777777" w:rsidR="0077105D" w:rsidRPr="00310835" w:rsidRDefault="0077105D" w:rsidP="00EB71A9">
            <w:pPr>
              <w:tabs>
                <w:tab w:val="left" w:pos="585"/>
              </w:tabs>
              <w:spacing w:before="60"/>
              <w:ind w:left="567" w:hanging="567"/>
              <w:rPr>
                <w:rFonts w:eastAsia="Times New Roman"/>
                <w:sz w:val="18"/>
                <w:szCs w:val="18"/>
              </w:rPr>
            </w:pPr>
          </w:p>
        </w:tc>
      </w:tr>
      <w:tr w:rsidR="0077105D" w:rsidRPr="00310835" w14:paraId="692DF324" w14:textId="77777777" w:rsidTr="00EB71A9">
        <w:tc>
          <w:tcPr>
            <w:tcW w:w="8635" w:type="dxa"/>
            <w:tcBorders>
              <w:bottom w:val="single" w:sz="4" w:space="0" w:color="auto"/>
            </w:tcBorders>
            <w:shd w:val="clear" w:color="auto" w:fill="auto"/>
          </w:tcPr>
          <w:p w14:paraId="56FD5351" w14:textId="77777777" w:rsidR="0077105D" w:rsidRPr="00310835" w:rsidRDefault="0077105D" w:rsidP="00EB71A9">
            <w:pPr>
              <w:tabs>
                <w:tab w:val="left" w:pos="585"/>
              </w:tabs>
              <w:spacing w:before="60"/>
              <w:ind w:left="567" w:hanging="567"/>
              <w:rPr>
                <w:rFonts w:eastAsia="Times New Roman"/>
                <w:sz w:val="18"/>
                <w:szCs w:val="18"/>
              </w:rPr>
            </w:pPr>
            <w:r w:rsidRPr="00310835">
              <w:rPr>
                <w:rFonts w:eastAsia="Times New Roman"/>
                <w:sz w:val="18"/>
                <w:szCs w:val="18"/>
              </w:rPr>
              <w:t>3.1</w:t>
            </w:r>
            <w:r w:rsidRPr="00310835">
              <w:rPr>
                <w:rFonts w:eastAsia="Times New Roman"/>
                <w:sz w:val="18"/>
                <w:szCs w:val="18"/>
              </w:rPr>
              <w:tab/>
              <w:t xml:space="preserve">Would elements of </w:t>
            </w:r>
            <w:r>
              <w:rPr>
                <w:rFonts w:eastAsia="Times New Roman"/>
                <w:sz w:val="18"/>
                <w:szCs w:val="18"/>
              </w:rPr>
              <w:t>Project</w:t>
            </w:r>
            <w:r w:rsidRPr="00310835">
              <w:rPr>
                <w:rFonts w:eastAsia="Times New Roman"/>
                <w:sz w:val="18"/>
                <w:szCs w:val="18"/>
              </w:rPr>
              <w:t xml:space="preserve"> construction, operation, or decommissioning pose potential safety risks to </w:t>
            </w:r>
            <w:r>
              <w:rPr>
                <w:rFonts w:eastAsia="Times New Roman"/>
                <w:sz w:val="18"/>
                <w:szCs w:val="18"/>
              </w:rPr>
              <w:t xml:space="preserve">local </w:t>
            </w:r>
            <w:r w:rsidRPr="00310835">
              <w:rPr>
                <w:rFonts w:eastAsia="Times New Roman"/>
                <w:sz w:val="18"/>
                <w:szCs w:val="18"/>
              </w:rPr>
              <w:t>communities?</w:t>
            </w:r>
          </w:p>
        </w:tc>
        <w:tc>
          <w:tcPr>
            <w:tcW w:w="833" w:type="dxa"/>
            <w:tcBorders>
              <w:bottom w:val="single" w:sz="4" w:space="0" w:color="auto"/>
            </w:tcBorders>
            <w:shd w:val="clear" w:color="auto" w:fill="auto"/>
          </w:tcPr>
          <w:p w14:paraId="4F722623" w14:textId="77777777" w:rsidR="0077105D" w:rsidRPr="00310835" w:rsidRDefault="0077105D" w:rsidP="00EB71A9">
            <w:pPr>
              <w:tabs>
                <w:tab w:val="left" w:pos="585"/>
              </w:tabs>
              <w:spacing w:before="60"/>
              <w:ind w:left="567" w:hanging="567"/>
              <w:rPr>
                <w:rFonts w:eastAsia="Times New Roman"/>
                <w:sz w:val="18"/>
                <w:szCs w:val="18"/>
              </w:rPr>
            </w:pPr>
            <w:r>
              <w:rPr>
                <w:rFonts w:eastAsia="Times New Roman"/>
                <w:sz w:val="18"/>
                <w:szCs w:val="18"/>
              </w:rPr>
              <w:t>No</w:t>
            </w:r>
          </w:p>
        </w:tc>
      </w:tr>
      <w:tr w:rsidR="0077105D" w:rsidRPr="00310835" w14:paraId="19504E71" w14:textId="77777777" w:rsidTr="00EB71A9">
        <w:tc>
          <w:tcPr>
            <w:tcW w:w="8635" w:type="dxa"/>
            <w:tcBorders>
              <w:bottom w:val="single" w:sz="4" w:space="0" w:color="auto"/>
            </w:tcBorders>
            <w:shd w:val="clear" w:color="auto" w:fill="auto"/>
          </w:tcPr>
          <w:p w14:paraId="22D59188" w14:textId="77777777" w:rsidR="0077105D" w:rsidRPr="00310835" w:rsidRDefault="0077105D" w:rsidP="00EB71A9">
            <w:pPr>
              <w:tabs>
                <w:tab w:val="left" w:pos="585"/>
              </w:tabs>
              <w:spacing w:before="60"/>
              <w:ind w:left="567" w:hanging="567"/>
              <w:rPr>
                <w:rFonts w:eastAsia="Times New Roman"/>
                <w:sz w:val="18"/>
                <w:szCs w:val="18"/>
              </w:rPr>
            </w:pPr>
            <w:r w:rsidRPr="00310835">
              <w:rPr>
                <w:sz w:val="18"/>
                <w:szCs w:val="18"/>
              </w:rPr>
              <w:t>3.2</w:t>
            </w:r>
            <w:r w:rsidRPr="00310835">
              <w:rPr>
                <w:sz w:val="18"/>
                <w:szCs w:val="18"/>
              </w:rPr>
              <w:tab/>
              <w:t xml:space="preserve">Would the </w:t>
            </w:r>
            <w:r>
              <w:rPr>
                <w:sz w:val="18"/>
                <w:szCs w:val="18"/>
              </w:rPr>
              <w:t>Project</w:t>
            </w:r>
            <w:r w:rsidRPr="00310835">
              <w:rPr>
                <w:sz w:val="18"/>
                <w:szCs w:val="18"/>
              </w:rPr>
              <w:t xml:space="preserve"> pose potential risks to community health and safety due to the transport, storage, and use and/or disposal of hazardous or dangerous materials (e.g. explosives, fuel and other chemicals during construction and operation)?</w:t>
            </w:r>
          </w:p>
        </w:tc>
        <w:tc>
          <w:tcPr>
            <w:tcW w:w="833" w:type="dxa"/>
            <w:tcBorders>
              <w:bottom w:val="single" w:sz="4" w:space="0" w:color="auto"/>
            </w:tcBorders>
            <w:shd w:val="clear" w:color="auto" w:fill="auto"/>
          </w:tcPr>
          <w:p w14:paraId="763CE5FF" w14:textId="77777777" w:rsidR="0077105D" w:rsidRPr="00310835" w:rsidRDefault="0077105D" w:rsidP="00EB71A9">
            <w:pPr>
              <w:tabs>
                <w:tab w:val="left" w:pos="585"/>
              </w:tabs>
              <w:spacing w:before="60"/>
              <w:ind w:left="567" w:hanging="567"/>
              <w:rPr>
                <w:rFonts w:eastAsia="Times New Roman"/>
                <w:sz w:val="18"/>
                <w:szCs w:val="18"/>
              </w:rPr>
            </w:pPr>
            <w:r>
              <w:rPr>
                <w:rFonts w:eastAsia="Times New Roman"/>
                <w:sz w:val="18"/>
                <w:szCs w:val="18"/>
              </w:rPr>
              <w:t>No</w:t>
            </w:r>
          </w:p>
        </w:tc>
      </w:tr>
      <w:tr w:rsidR="0077105D" w:rsidRPr="00310835" w14:paraId="7206060F" w14:textId="77777777" w:rsidTr="00EB71A9">
        <w:tc>
          <w:tcPr>
            <w:tcW w:w="8635" w:type="dxa"/>
            <w:tcBorders>
              <w:bottom w:val="single" w:sz="4" w:space="0" w:color="auto"/>
            </w:tcBorders>
            <w:shd w:val="clear" w:color="auto" w:fill="auto"/>
          </w:tcPr>
          <w:p w14:paraId="38DE009F" w14:textId="77777777" w:rsidR="0077105D" w:rsidRPr="00310835" w:rsidRDefault="0077105D" w:rsidP="00EB71A9">
            <w:pPr>
              <w:tabs>
                <w:tab w:val="left" w:pos="585"/>
              </w:tabs>
              <w:spacing w:before="60"/>
              <w:ind w:left="567" w:hanging="567"/>
              <w:rPr>
                <w:rFonts w:eastAsia="Times New Roman"/>
                <w:sz w:val="18"/>
                <w:szCs w:val="18"/>
              </w:rPr>
            </w:pPr>
            <w:r>
              <w:rPr>
                <w:rFonts w:eastAsia="Times New Roman"/>
                <w:sz w:val="18"/>
                <w:szCs w:val="18"/>
              </w:rPr>
              <w:t>3.3</w:t>
            </w:r>
            <w:r>
              <w:rPr>
                <w:rFonts w:eastAsia="Times New Roman"/>
                <w:sz w:val="18"/>
                <w:szCs w:val="18"/>
              </w:rPr>
              <w:tab/>
            </w:r>
            <w:r w:rsidRPr="00310835">
              <w:rPr>
                <w:rFonts w:eastAsia="Times New Roman"/>
                <w:sz w:val="18"/>
                <w:szCs w:val="18"/>
              </w:rPr>
              <w:t xml:space="preserve">Does the </w:t>
            </w:r>
            <w:r>
              <w:rPr>
                <w:rFonts w:eastAsia="Times New Roman"/>
                <w:sz w:val="18"/>
                <w:szCs w:val="18"/>
              </w:rPr>
              <w:t>Project</w:t>
            </w:r>
            <w:r w:rsidRPr="00310835">
              <w:rPr>
                <w:rFonts w:eastAsia="Times New Roman"/>
                <w:sz w:val="18"/>
                <w:szCs w:val="18"/>
              </w:rPr>
              <w:t xml:space="preserve"> involve large-scale infrastructure development (e.g. dams, roads, buildings)?</w:t>
            </w:r>
          </w:p>
        </w:tc>
        <w:tc>
          <w:tcPr>
            <w:tcW w:w="833" w:type="dxa"/>
            <w:tcBorders>
              <w:bottom w:val="single" w:sz="4" w:space="0" w:color="auto"/>
            </w:tcBorders>
            <w:shd w:val="clear" w:color="auto" w:fill="auto"/>
          </w:tcPr>
          <w:p w14:paraId="37CA96C0" w14:textId="77777777" w:rsidR="0077105D" w:rsidRPr="00310835" w:rsidRDefault="0077105D" w:rsidP="00EB71A9">
            <w:pPr>
              <w:tabs>
                <w:tab w:val="left" w:pos="585"/>
              </w:tabs>
              <w:spacing w:before="60"/>
              <w:ind w:left="567" w:hanging="567"/>
              <w:rPr>
                <w:rFonts w:eastAsia="Times New Roman"/>
                <w:sz w:val="18"/>
                <w:szCs w:val="18"/>
              </w:rPr>
            </w:pPr>
            <w:r>
              <w:rPr>
                <w:rFonts w:eastAsia="Times New Roman"/>
                <w:sz w:val="18"/>
                <w:szCs w:val="18"/>
              </w:rPr>
              <w:t>No</w:t>
            </w:r>
          </w:p>
        </w:tc>
      </w:tr>
      <w:tr w:rsidR="0077105D" w:rsidRPr="00310835" w14:paraId="434467F5" w14:textId="77777777" w:rsidTr="00EB71A9">
        <w:tc>
          <w:tcPr>
            <w:tcW w:w="8635" w:type="dxa"/>
            <w:tcBorders>
              <w:bottom w:val="single" w:sz="4" w:space="0" w:color="auto"/>
            </w:tcBorders>
            <w:shd w:val="clear" w:color="auto" w:fill="auto"/>
          </w:tcPr>
          <w:p w14:paraId="6C236422" w14:textId="77777777" w:rsidR="0077105D" w:rsidRPr="00310835" w:rsidRDefault="0077105D" w:rsidP="00EB71A9">
            <w:pPr>
              <w:tabs>
                <w:tab w:val="left" w:pos="585"/>
              </w:tabs>
              <w:spacing w:before="60"/>
              <w:ind w:left="567" w:hanging="567"/>
              <w:rPr>
                <w:rFonts w:eastAsia="Times New Roman"/>
                <w:sz w:val="18"/>
                <w:szCs w:val="18"/>
              </w:rPr>
            </w:pPr>
            <w:r w:rsidRPr="00310835">
              <w:rPr>
                <w:rFonts w:eastAsia="Times New Roman"/>
                <w:sz w:val="18"/>
                <w:szCs w:val="18"/>
              </w:rPr>
              <w:t>3.4</w:t>
            </w:r>
            <w:r w:rsidRPr="00310835">
              <w:rPr>
                <w:rFonts w:eastAsia="Times New Roman"/>
                <w:sz w:val="18"/>
                <w:szCs w:val="18"/>
              </w:rPr>
              <w:tab/>
              <w:t xml:space="preserve">Would failure of structural elements of the </w:t>
            </w:r>
            <w:r>
              <w:rPr>
                <w:rFonts w:eastAsia="Times New Roman"/>
                <w:sz w:val="18"/>
                <w:szCs w:val="18"/>
              </w:rPr>
              <w:t>Project</w:t>
            </w:r>
            <w:r w:rsidRPr="00310835">
              <w:rPr>
                <w:rFonts w:eastAsia="Times New Roman"/>
                <w:sz w:val="18"/>
                <w:szCs w:val="18"/>
              </w:rPr>
              <w:t xml:space="preserve"> pose risks to communities?</w:t>
            </w:r>
            <w:r>
              <w:rPr>
                <w:rFonts w:eastAsia="Times New Roman"/>
                <w:sz w:val="18"/>
                <w:szCs w:val="18"/>
              </w:rPr>
              <w:t xml:space="preserve"> (e.g. collapse of buildings or infrastructure)</w:t>
            </w:r>
          </w:p>
        </w:tc>
        <w:tc>
          <w:tcPr>
            <w:tcW w:w="833" w:type="dxa"/>
            <w:tcBorders>
              <w:bottom w:val="single" w:sz="4" w:space="0" w:color="auto"/>
            </w:tcBorders>
            <w:shd w:val="clear" w:color="auto" w:fill="auto"/>
          </w:tcPr>
          <w:p w14:paraId="24C561C4" w14:textId="77777777" w:rsidR="0077105D" w:rsidRPr="00310835" w:rsidRDefault="0077105D" w:rsidP="00EB71A9">
            <w:pPr>
              <w:tabs>
                <w:tab w:val="left" w:pos="585"/>
              </w:tabs>
              <w:spacing w:before="60"/>
              <w:ind w:left="567" w:hanging="567"/>
              <w:rPr>
                <w:rFonts w:eastAsia="Times New Roman"/>
                <w:sz w:val="18"/>
                <w:szCs w:val="18"/>
              </w:rPr>
            </w:pPr>
            <w:r>
              <w:rPr>
                <w:rFonts w:eastAsia="Times New Roman"/>
                <w:sz w:val="18"/>
                <w:szCs w:val="18"/>
              </w:rPr>
              <w:t>No</w:t>
            </w:r>
          </w:p>
        </w:tc>
      </w:tr>
      <w:tr w:rsidR="0077105D" w:rsidRPr="00310835" w14:paraId="05C23BB3" w14:textId="77777777" w:rsidTr="00EB71A9">
        <w:tc>
          <w:tcPr>
            <w:tcW w:w="8635" w:type="dxa"/>
            <w:tcBorders>
              <w:bottom w:val="single" w:sz="4" w:space="0" w:color="auto"/>
            </w:tcBorders>
            <w:shd w:val="clear" w:color="auto" w:fill="auto"/>
          </w:tcPr>
          <w:p w14:paraId="3254EDFB" w14:textId="77777777" w:rsidR="0077105D" w:rsidRPr="00310835" w:rsidRDefault="0077105D" w:rsidP="00EB71A9">
            <w:pPr>
              <w:tabs>
                <w:tab w:val="left" w:pos="585"/>
              </w:tabs>
              <w:spacing w:before="60"/>
              <w:ind w:left="567" w:hanging="567"/>
              <w:rPr>
                <w:rFonts w:eastAsia="Times New Roman"/>
                <w:sz w:val="18"/>
                <w:szCs w:val="18"/>
              </w:rPr>
            </w:pPr>
            <w:r w:rsidRPr="00310835">
              <w:rPr>
                <w:rFonts w:eastAsia="Times New Roman"/>
                <w:sz w:val="18"/>
                <w:szCs w:val="18"/>
              </w:rPr>
              <w:t>3.5</w:t>
            </w:r>
            <w:r w:rsidRPr="00310835">
              <w:rPr>
                <w:rFonts w:eastAsia="Times New Roman"/>
                <w:sz w:val="18"/>
                <w:szCs w:val="18"/>
              </w:rPr>
              <w:tab/>
              <w:t xml:space="preserve">Would the proposed </w:t>
            </w:r>
            <w:r>
              <w:rPr>
                <w:rFonts w:eastAsia="Times New Roman"/>
                <w:sz w:val="18"/>
                <w:szCs w:val="18"/>
              </w:rPr>
              <w:t>Project</w:t>
            </w:r>
            <w:r w:rsidRPr="00310835">
              <w:rPr>
                <w:rFonts w:eastAsia="Times New Roman"/>
                <w:sz w:val="18"/>
                <w:szCs w:val="18"/>
              </w:rPr>
              <w:t xml:space="preserve"> be susceptible to or lead to increased vulnerability to earthquakes, subsidence, landslides, erosion, flooding </w:t>
            </w:r>
            <w:r>
              <w:rPr>
                <w:rFonts w:eastAsia="Times New Roman"/>
                <w:sz w:val="18"/>
                <w:szCs w:val="18"/>
              </w:rPr>
              <w:t>or extreme climatic conditions?</w:t>
            </w:r>
          </w:p>
        </w:tc>
        <w:tc>
          <w:tcPr>
            <w:tcW w:w="833" w:type="dxa"/>
            <w:tcBorders>
              <w:bottom w:val="single" w:sz="4" w:space="0" w:color="auto"/>
            </w:tcBorders>
            <w:shd w:val="clear" w:color="auto" w:fill="auto"/>
          </w:tcPr>
          <w:p w14:paraId="7F3A9710" w14:textId="77777777" w:rsidR="0077105D" w:rsidRPr="00310835" w:rsidRDefault="0077105D" w:rsidP="00EB71A9">
            <w:pPr>
              <w:tabs>
                <w:tab w:val="left" w:pos="585"/>
              </w:tabs>
              <w:spacing w:before="60"/>
              <w:ind w:left="567" w:hanging="567"/>
              <w:rPr>
                <w:rFonts w:eastAsia="Times New Roman"/>
                <w:sz w:val="18"/>
                <w:szCs w:val="18"/>
              </w:rPr>
            </w:pPr>
            <w:r>
              <w:rPr>
                <w:rFonts w:eastAsia="Times New Roman"/>
                <w:sz w:val="18"/>
                <w:szCs w:val="18"/>
              </w:rPr>
              <w:t>No</w:t>
            </w:r>
          </w:p>
        </w:tc>
      </w:tr>
      <w:tr w:rsidR="0077105D" w:rsidRPr="00310835" w14:paraId="11E56249" w14:textId="77777777" w:rsidTr="00EB71A9">
        <w:tc>
          <w:tcPr>
            <w:tcW w:w="8635" w:type="dxa"/>
            <w:tcBorders>
              <w:bottom w:val="single" w:sz="4" w:space="0" w:color="auto"/>
            </w:tcBorders>
            <w:shd w:val="clear" w:color="auto" w:fill="auto"/>
          </w:tcPr>
          <w:p w14:paraId="0778F150" w14:textId="77777777" w:rsidR="0077105D" w:rsidRPr="00310835" w:rsidRDefault="0077105D" w:rsidP="00EB71A9">
            <w:pPr>
              <w:tabs>
                <w:tab w:val="left" w:pos="585"/>
              </w:tabs>
              <w:spacing w:before="60"/>
              <w:ind w:left="567" w:hanging="567"/>
              <w:rPr>
                <w:rFonts w:eastAsia="Times New Roman"/>
                <w:sz w:val="18"/>
                <w:szCs w:val="18"/>
              </w:rPr>
            </w:pPr>
            <w:r w:rsidRPr="00310835">
              <w:rPr>
                <w:rFonts w:eastAsia="Times New Roman"/>
                <w:sz w:val="18"/>
                <w:szCs w:val="18"/>
              </w:rPr>
              <w:t>3.6</w:t>
            </w:r>
            <w:r w:rsidRPr="00310835">
              <w:rPr>
                <w:rFonts w:eastAsia="Times New Roman"/>
                <w:sz w:val="18"/>
                <w:szCs w:val="18"/>
              </w:rPr>
              <w:tab/>
              <w:t xml:space="preserve">Would the </w:t>
            </w:r>
            <w:r>
              <w:rPr>
                <w:rFonts w:eastAsia="Times New Roman"/>
                <w:sz w:val="18"/>
                <w:szCs w:val="18"/>
              </w:rPr>
              <w:t>Project</w:t>
            </w:r>
            <w:r w:rsidRPr="00310835">
              <w:rPr>
                <w:rFonts w:eastAsia="Times New Roman"/>
                <w:sz w:val="18"/>
                <w:szCs w:val="18"/>
              </w:rPr>
              <w:t xml:space="preserve"> result in potential increased health risks (e.g. from water-borne or other vector-borne diseases or communicable infections such as HIV/AIDS)?</w:t>
            </w:r>
          </w:p>
        </w:tc>
        <w:tc>
          <w:tcPr>
            <w:tcW w:w="833" w:type="dxa"/>
            <w:tcBorders>
              <w:bottom w:val="single" w:sz="4" w:space="0" w:color="auto"/>
            </w:tcBorders>
            <w:shd w:val="clear" w:color="auto" w:fill="auto"/>
          </w:tcPr>
          <w:p w14:paraId="45CE2EC7" w14:textId="77777777" w:rsidR="0077105D" w:rsidRPr="00310835" w:rsidRDefault="0077105D" w:rsidP="00EB71A9">
            <w:pPr>
              <w:tabs>
                <w:tab w:val="left" w:pos="585"/>
              </w:tabs>
              <w:spacing w:before="60"/>
              <w:ind w:left="567" w:hanging="567"/>
              <w:rPr>
                <w:rFonts w:eastAsia="Times New Roman"/>
                <w:sz w:val="18"/>
                <w:szCs w:val="18"/>
              </w:rPr>
            </w:pPr>
            <w:r>
              <w:rPr>
                <w:rFonts w:eastAsia="Times New Roman"/>
                <w:sz w:val="18"/>
                <w:szCs w:val="18"/>
              </w:rPr>
              <w:t>No</w:t>
            </w:r>
          </w:p>
        </w:tc>
      </w:tr>
      <w:tr w:rsidR="0077105D" w:rsidRPr="00310835" w14:paraId="64F156AB" w14:textId="77777777" w:rsidTr="00EB71A9">
        <w:tc>
          <w:tcPr>
            <w:tcW w:w="8635" w:type="dxa"/>
            <w:tcBorders>
              <w:bottom w:val="single" w:sz="4" w:space="0" w:color="auto"/>
            </w:tcBorders>
            <w:shd w:val="clear" w:color="auto" w:fill="auto"/>
          </w:tcPr>
          <w:p w14:paraId="27F843C4" w14:textId="77777777" w:rsidR="0077105D" w:rsidRPr="00310835" w:rsidRDefault="0077105D" w:rsidP="00EB71A9">
            <w:pPr>
              <w:tabs>
                <w:tab w:val="left" w:pos="585"/>
              </w:tabs>
              <w:spacing w:before="60"/>
              <w:ind w:left="567" w:hanging="567"/>
              <w:rPr>
                <w:rFonts w:eastAsia="Times New Roman"/>
                <w:sz w:val="18"/>
                <w:szCs w:val="18"/>
              </w:rPr>
            </w:pPr>
            <w:r w:rsidRPr="00310835">
              <w:rPr>
                <w:rFonts w:eastAsia="Times New Roman"/>
                <w:sz w:val="18"/>
                <w:szCs w:val="18"/>
              </w:rPr>
              <w:t>3.7</w:t>
            </w:r>
            <w:r w:rsidRPr="00310835">
              <w:rPr>
                <w:rFonts w:eastAsia="Times New Roman"/>
                <w:sz w:val="18"/>
                <w:szCs w:val="18"/>
              </w:rPr>
              <w:tab/>
              <w:t xml:space="preserve">Does the </w:t>
            </w:r>
            <w:r>
              <w:rPr>
                <w:rFonts w:eastAsia="Times New Roman"/>
                <w:sz w:val="18"/>
                <w:szCs w:val="18"/>
              </w:rPr>
              <w:t>Project</w:t>
            </w:r>
            <w:r w:rsidRPr="00310835">
              <w:rPr>
                <w:rFonts w:eastAsia="Times New Roman"/>
                <w:sz w:val="18"/>
                <w:szCs w:val="18"/>
              </w:rPr>
              <w:t xml:space="preserve"> pose potential risks and vulnerabilities related to occupational health and safety due to physical, chemical, biological, and radiological hazards during </w:t>
            </w:r>
            <w:r>
              <w:rPr>
                <w:rFonts w:eastAsia="Times New Roman"/>
                <w:sz w:val="18"/>
                <w:szCs w:val="18"/>
              </w:rPr>
              <w:t>Project</w:t>
            </w:r>
            <w:r w:rsidRPr="00310835">
              <w:rPr>
                <w:rFonts w:eastAsia="Times New Roman"/>
                <w:sz w:val="18"/>
                <w:szCs w:val="18"/>
              </w:rPr>
              <w:t xml:space="preserve"> construction, operation, or decommissioning?</w:t>
            </w:r>
          </w:p>
        </w:tc>
        <w:tc>
          <w:tcPr>
            <w:tcW w:w="833" w:type="dxa"/>
            <w:tcBorders>
              <w:bottom w:val="single" w:sz="4" w:space="0" w:color="auto"/>
            </w:tcBorders>
            <w:shd w:val="clear" w:color="auto" w:fill="auto"/>
          </w:tcPr>
          <w:p w14:paraId="7A4C8759" w14:textId="77777777" w:rsidR="0077105D" w:rsidRPr="00310835" w:rsidRDefault="0077105D" w:rsidP="00EB71A9">
            <w:pPr>
              <w:tabs>
                <w:tab w:val="left" w:pos="585"/>
              </w:tabs>
              <w:spacing w:before="60"/>
              <w:ind w:left="567" w:hanging="567"/>
              <w:rPr>
                <w:rFonts w:eastAsia="Times New Roman"/>
                <w:sz w:val="18"/>
                <w:szCs w:val="18"/>
              </w:rPr>
            </w:pPr>
            <w:r>
              <w:rPr>
                <w:rFonts w:eastAsia="Times New Roman"/>
                <w:sz w:val="18"/>
                <w:szCs w:val="18"/>
              </w:rPr>
              <w:t>No</w:t>
            </w:r>
          </w:p>
        </w:tc>
      </w:tr>
      <w:tr w:rsidR="0077105D" w:rsidRPr="00310835" w14:paraId="315591A8" w14:textId="77777777" w:rsidTr="00EB71A9">
        <w:tc>
          <w:tcPr>
            <w:tcW w:w="8635" w:type="dxa"/>
            <w:tcBorders>
              <w:bottom w:val="single" w:sz="4" w:space="0" w:color="auto"/>
            </w:tcBorders>
            <w:shd w:val="clear" w:color="auto" w:fill="auto"/>
          </w:tcPr>
          <w:p w14:paraId="1996C959" w14:textId="77777777" w:rsidR="0077105D" w:rsidRPr="00310835" w:rsidRDefault="0077105D" w:rsidP="00EB71A9">
            <w:pPr>
              <w:tabs>
                <w:tab w:val="left" w:pos="585"/>
              </w:tabs>
              <w:spacing w:before="60"/>
              <w:ind w:left="567" w:hanging="567"/>
              <w:rPr>
                <w:rFonts w:eastAsia="Times New Roman"/>
                <w:sz w:val="18"/>
                <w:szCs w:val="18"/>
              </w:rPr>
            </w:pPr>
            <w:r w:rsidRPr="00310835">
              <w:rPr>
                <w:rFonts w:eastAsia="Times New Roman"/>
                <w:sz w:val="18"/>
                <w:szCs w:val="18"/>
              </w:rPr>
              <w:t>3.8</w:t>
            </w:r>
            <w:r w:rsidRPr="00310835">
              <w:rPr>
                <w:rFonts w:eastAsia="Times New Roman"/>
                <w:sz w:val="18"/>
                <w:szCs w:val="18"/>
              </w:rPr>
              <w:tab/>
              <w:t xml:space="preserve">Does the </w:t>
            </w:r>
            <w:r>
              <w:rPr>
                <w:rFonts w:eastAsia="Times New Roman"/>
                <w:sz w:val="18"/>
                <w:szCs w:val="18"/>
              </w:rPr>
              <w:t>Project</w:t>
            </w:r>
            <w:r w:rsidRPr="00310835">
              <w:rPr>
                <w:rFonts w:eastAsia="Times New Roman"/>
                <w:sz w:val="18"/>
                <w:szCs w:val="18"/>
              </w:rPr>
              <w:t xml:space="preserve"> involve support for employment or livelihoods that may fail to comply with national and international labor standards (i.e. principles and standards of ILO fundamental conventions)?</w:t>
            </w:r>
            <w:r>
              <w:rPr>
                <w:rFonts w:eastAsia="Times New Roman"/>
                <w:sz w:val="18"/>
                <w:szCs w:val="18"/>
              </w:rPr>
              <w:t xml:space="preserve"> </w:t>
            </w:r>
            <w:r w:rsidRPr="00310835">
              <w:rPr>
                <w:rFonts w:eastAsia="Times New Roman"/>
                <w:sz w:val="18"/>
                <w:szCs w:val="18"/>
              </w:rPr>
              <w:t xml:space="preserve"> </w:t>
            </w:r>
          </w:p>
        </w:tc>
        <w:tc>
          <w:tcPr>
            <w:tcW w:w="833" w:type="dxa"/>
            <w:tcBorders>
              <w:bottom w:val="single" w:sz="4" w:space="0" w:color="auto"/>
            </w:tcBorders>
            <w:shd w:val="clear" w:color="auto" w:fill="auto"/>
          </w:tcPr>
          <w:p w14:paraId="48B70C09" w14:textId="77777777" w:rsidR="0077105D" w:rsidRPr="00310835" w:rsidRDefault="0077105D" w:rsidP="00EB71A9">
            <w:pPr>
              <w:tabs>
                <w:tab w:val="left" w:pos="585"/>
              </w:tabs>
              <w:spacing w:before="60"/>
              <w:ind w:left="567" w:hanging="567"/>
              <w:rPr>
                <w:rFonts w:eastAsia="Times New Roman"/>
                <w:sz w:val="18"/>
                <w:szCs w:val="18"/>
              </w:rPr>
            </w:pPr>
            <w:r>
              <w:rPr>
                <w:rFonts w:eastAsia="Times New Roman"/>
                <w:sz w:val="18"/>
                <w:szCs w:val="18"/>
              </w:rPr>
              <w:t>No</w:t>
            </w:r>
          </w:p>
        </w:tc>
      </w:tr>
      <w:tr w:rsidR="0077105D" w:rsidRPr="00310835" w14:paraId="58DD8E0A" w14:textId="77777777" w:rsidTr="00EB71A9">
        <w:tc>
          <w:tcPr>
            <w:tcW w:w="8635" w:type="dxa"/>
            <w:tcBorders>
              <w:bottom w:val="single" w:sz="4" w:space="0" w:color="auto"/>
            </w:tcBorders>
            <w:shd w:val="clear" w:color="auto" w:fill="auto"/>
          </w:tcPr>
          <w:p w14:paraId="3AC1B273" w14:textId="77777777" w:rsidR="0077105D" w:rsidRPr="00310835" w:rsidRDefault="0077105D" w:rsidP="00EB71A9">
            <w:pPr>
              <w:tabs>
                <w:tab w:val="left" w:pos="585"/>
              </w:tabs>
              <w:spacing w:before="60"/>
              <w:ind w:left="567" w:hanging="567"/>
              <w:rPr>
                <w:rFonts w:eastAsia="Times New Roman"/>
                <w:sz w:val="18"/>
                <w:szCs w:val="18"/>
              </w:rPr>
            </w:pPr>
            <w:r w:rsidRPr="00310835">
              <w:rPr>
                <w:rFonts w:eastAsia="Times New Roman"/>
                <w:sz w:val="18"/>
                <w:szCs w:val="18"/>
              </w:rPr>
              <w:t>3.9</w:t>
            </w:r>
            <w:r w:rsidRPr="00310835">
              <w:rPr>
                <w:rFonts w:eastAsia="Times New Roman"/>
                <w:sz w:val="18"/>
                <w:szCs w:val="18"/>
              </w:rPr>
              <w:tab/>
              <w:t xml:space="preserve">Does the </w:t>
            </w:r>
            <w:r>
              <w:rPr>
                <w:rFonts w:eastAsia="Times New Roman"/>
                <w:sz w:val="18"/>
                <w:szCs w:val="18"/>
              </w:rPr>
              <w:t>Project</w:t>
            </w:r>
            <w:r w:rsidRPr="00310835">
              <w:rPr>
                <w:rFonts w:eastAsia="Times New Roman"/>
                <w:sz w:val="18"/>
                <w:szCs w:val="18"/>
              </w:rPr>
              <w:t xml:space="preserve"> engage security personnel that may pose a potential risk to health and safety</w:t>
            </w:r>
            <w:r>
              <w:rPr>
                <w:rFonts w:eastAsia="Times New Roman"/>
                <w:sz w:val="18"/>
                <w:szCs w:val="18"/>
              </w:rPr>
              <w:t xml:space="preserve"> of communities and/or individuals</w:t>
            </w:r>
            <w:r w:rsidRPr="00310835">
              <w:rPr>
                <w:rFonts w:eastAsia="Times New Roman"/>
                <w:sz w:val="18"/>
                <w:szCs w:val="18"/>
              </w:rPr>
              <w:t xml:space="preserve"> (e.g. due to a lack of adequate training or accountability)?</w:t>
            </w:r>
          </w:p>
        </w:tc>
        <w:tc>
          <w:tcPr>
            <w:tcW w:w="833" w:type="dxa"/>
            <w:tcBorders>
              <w:bottom w:val="single" w:sz="4" w:space="0" w:color="auto"/>
            </w:tcBorders>
            <w:shd w:val="clear" w:color="auto" w:fill="auto"/>
          </w:tcPr>
          <w:p w14:paraId="33E7A624" w14:textId="77777777" w:rsidR="0077105D" w:rsidRPr="00310835" w:rsidRDefault="0077105D" w:rsidP="00EB71A9">
            <w:pPr>
              <w:tabs>
                <w:tab w:val="left" w:pos="585"/>
              </w:tabs>
              <w:spacing w:before="60"/>
              <w:ind w:left="567" w:hanging="567"/>
              <w:rPr>
                <w:rFonts w:eastAsia="Times New Roman"/>
                <w:sz w:val="18"/>
                <w:szCs w:val="18"/>
              </w:rPr>
            </w:pPr>
            <w:r>
              <w:rPr>
                <w:rFonts w:eastAsia="Times New Roman"/>
                <w:sz w:val="18"/>
                <w:szCs w:val="18"/>
              </w:rPr>
              <w:t>No</w:t>
            </w:r>
          </w:p>
        </w:tc>
      </w:tr>
      <w:tr w:rsidR="0077105D" w:rsidRPr="00310835" w14:paraId="03C2473C" w14:textId="77777777" w:rsidTr="00EB71A9">
        <w:trPr>
          <w:trHeight w:val="503"/>
        </w:trPr>
        <w:tc>
          <w:tcPr>
            <w:tcW w:w="8635" w:type="dxa"/>
            <w:tcBorders>
              <w:bottom w:val="single" w:sz="4" w:space="0" w:color="auto"/>
            </w:tcBorders>
            <w:shd w:val="clear" w:color="auto" w:fill="DBE5F1" w:themeFill="accent1" w:themeFillTint="33"/>
            <w:vAlign w:val="center"/>
          </w:tcPr>
          <w:p w14:paraId="469F031A" w14:textId="77777777" w:rsidR="0077105D" w:rsidRPr="00310835" w:rsidRDefault="0077105D" w:rsidP="00EB71A9">
            <w:pPr>
              <w:tabs>
                <w:tab w:val="left" w:pos="0"/>
                <w:tab w:val="left" w:pos="555"/>
              </w:tabs>
              <w:spacing w:before="60"/>
              <w:rPr>
                <w:rFonts w:eastAsia="Times New Roman"/>
                <w:b/>
                <w:sz w:val="18"/>
                <w:szCs w:val="18"/>
              </w:rPr>
            </w:pPr>
            <w:r w:rsidRPr="00310835">
              <w:rPr>
                <w:rFonts w:eastAsia="Times New Roman"/>
                <w:b/>
                <w:sz w:val="18"/>
                <w:szCs w:val="18"/>
              </w:rPr>
              <w:t>Standard 4: Cultural Heritage</w:t>
            </w:r>
          </w:p>
        </w:tc>
        <w:tc>
          <w:tcPr>
            <w:tcW w:w="833" w:type="dxa"/>
            <w:tcBorders>
              <w:bottom w:val="single" w:sz="4" w:space="0" w:color="auto"/>
            </w:tcBorders>
            <w:shd w:val="clear" w:color="auto" w:fill="DBE5F1" w:themeFill="accent1" w:themeFillTint="33"/>
            <w:vAlign w:val="center"/>
          </w:tcPr>
          <w:p w14:paraId="5D46E4BE" w14:textId="77777777" w:rsidR="0077105D" w:rsidRPr="00310835" w:rsidRDefault="0077105D" w:rsidP="00EB71A9">
            <w:pPr>
              <w:tabs>
                <w:tab w:val="left" w:pos="585"/>
              </w:tabs>
              <w:spacing w:before="60"/>
              <w:ind w:left="567" w:hanging="567"/>
              <w:rPr>
                <w:rFonts w:eastAsia="Times New Roman"/>
                <w:sz w:val="18"/>
                <w:szCs w:val="18"/>
              </w:rPr>
            </w:pPr>
          </w:p>
        </w:tc>
      </w:tr>
      <w:tr w:rsidR="0077105D" w:rsidRPr="00310835" w14:paraId="0C42FD84" w14:textId="77777777" w:rsidTr="00EB71A9">
        <w:tc>
          <w:tcPr>
            <w:tcW w:w="8635" w:type="dxa"/>
            <w:tcBorders>
              <w:bottom w:val="single" w:sz="4" w:space="0" w:color="auto"/>
            </w:tcBorders>
            <w:shd w:val="clear" w:color="auto" w:fill="auto"/>
          </w:tcPr>
          <w:p w14:paraId="4F338616" w14:textId="77777777" w:rsidR="0077105D" w:rsidRPr="00310835" w:rsidRDefault="0077105D" w:rsidP="00EB71A9">
            <w:pPr>
              <w:tabs>
                <w:tab w:val="left" w:pos="585"/>
              </w:tabs>
              <w:spacing w:before="60"/>
              <w:ind w:left="567" w:hanging="567"/>
              <w:rPr>
                <w:rFonts w:eastAsia="Times New Roman"/>
                <w:sz w:val="18"/>
                <w:szCs w:val="18"/>
              </w:rPr>
            </w:pPr>
            <w:r w:rsidRPr="00310835">
              <w:rPr>
                <w:rFonts w:eastAsia="Times New Roman"/>
                <w:sz w:val="18"/>
                <w:szCs w:val="18"/>
              </w:rPr>
              <w:t>4.1</w:t>
            </w:r>
            <w:r w:rsidRPr="00310835">
              <w:rPr>
                <w:rFonts w:eastAsia="Times New Roman"/>
                <w:sz w:val="18"/>
                <w:szCs w:val="18"/>
              </w:rPr>
              <w:tab/>
              <w:t xml:space="preserve">Will the proposed </w:t>
            </w:r>
            <w:r>
              <w:rPr>
                <w:rFonts w:eastAsia="Times New Roman"/>
                <w:sz w:val="18"/>
                <w:szCs w:val="18"/>
              </w:rPr>
              <w:t>Project</w:t>
            </w:r>
            <w:r w:rsidRPr="00310835">
              <w:rPr>
                <w:rFonts w:eastAsia="Times New Roman"/>
                <w:sz w:val="18"/>
                <w:szCs w:val="18"/>
              </w:rPr>
              <w:t xml:space="preserve"> result in interventions that would potentially </w:t>
            </w:r>
            <w:r>
              <w:rPr>
                <w:rFonts w:eastAsia="Times New Roman"/>
                <w:sz w:val="18"/>
                <w:szCs w:val="18"/>
              </w:rPr>
              <w:t>adversely impact</w:t>
            </w:r>
            <w:r w:rsidRPr="00310835">
              <w:rPr>
                <w:rFonts w:eastAsia="Times New Roman"/>
                <w:sz w:val="18"/>
                <w:szCs w:val="18"/>
              </w:rPr>
              <w:t xml:space="preserve"> sites, structures, or objects with historical, cultural, artistic, </w:t>
            </w:r>
            <w:r>
              <w:rPr>
                <w:rFonts w:eastAsia="Times New Roman"/>
                <w:sz w:val="18"/>
                <w:szCs w:val="18"/>
              </w:rPr>
              <w:t xml:space="preserve">traditional </w:t>
            </w:r>
            <w:r w:rsidRPr="00310835">
              <w:rPr>
                <w:rFonts w:eastAsia="Times New Roman"/>
                <w:sz w:val="18"/>
                <w:szCs w:val="18"/>
              </w:rPr>
              <w:t>or religious values or intangible forms of culture (e.g. knowledge, innovations, practices)?</w:t>
            </w:r>
            <w:r>
              <w:rPr>
                <w:rFonts w:eastAsia="Times New Roman"/>
                <w:sz w:val="18"/>
                <w:szCs w:val="18"/>
              </w:rPr>
              <w:t xml:space="preserve"> (Note: Projects intended to protect and conserve Cultural Heritage may also have inadvertent adverse impacts)</w:t>
            </w:r>
          </w:p>
        </w:tc>
        <w:tc>
          <w:tcPr>
            <w:tcW w:w="833" w:type="dxa"/>
            <w:tcBorders>
              <w:bottom w:val="single" w:sz="4" w:space="0" w:color="auto"/>
            </w:tcBorders>
            <w:shd w:val="clear" w:color="auto" w:fill="auto"/>
          </w:tcPr>
          <w:p w14:paraId="06ABEA2A" w14:textId="77777777" w:rsidR="0077105D" w:rsidRPr="00AF1F3C" w:rsidRDefault="0077105D" w:rsidP="00EB71A9">
            <w:pPr>
              <w:tabs>
                <w:tab w:val="left" w:pos="585"/>
              </w:tabs>
              <w:spacing w:before="60"/>
              <w:ind w:left="567" w:hanging="567"/>
              <w:rPr>
                <w:rFonts w:eastAsia="Times New Roman"/>
                <w:sz w:val="18"/>
                <w:szCs w:val="18"/>
                <w:highlight w:val="yellow"/>
              </w:rPr>
            </w:pPr>
            <w:r w:rsidRPr="00AF1F3C">
              <w:rPr>
                <w:rFonts w:eastAsia="Times New Roman"/>
                <w:sz w:val="18"/>
                <w:szCs w:val="18"/>
                <w:highlight w:val="yellow"/>
              </w:rPr>
              <w:t>No</w:t>
            </w:r>
          </w:p>
        </w:tc>
      </w:tr>
      <w:tr w:rsidR="0077105D" w:rsidRPr="00310835" w14:paraId="4931A68E" w14:textId="77777777" w:rsidTr="00EB71A9">
        <w:tc>
          <w:tcPr>
            <w:tcW w:w="8635" w:type="dxa"/>
            <w:tcBorders>
              <w:bottom w:val="single" w:sz="4" w:space="0" w:color="auto"/>
            </w:tcBorders>
            <w:shd w:val="clear" w:color="auto" w:fill="auto"/>
          </w:tcPr>
          <w:p w14:paraId="01046389" w14:textId="77777777" w:rsidR="0077105D" w:rsidRPr="00310835" w:rsidRDefault="0077105D" w:rsidP="00EB71A9">
            <w:pPr>
              <w:tabs>
                <w:tab w:val="left" w:pos="585"/>
              </w:tabs>
              <w:spacing w:before="60"/>
              <w:ind w:left="567" w:hanging="567"/>
              <w:rPr>
                <w:rFonts w:eastAsia="Times New Roman"/>
                <w:b/>
                <w:sz w:val="18"/>
                <w:szCs w:val="18"/>
              </w:rPr>
            </w:pPr>
            <w:r w:rsidRPr="00310835">
              <w:rPr>
                <w:rFonts w:eastAsia="Times New Roman"/>
                <w:sz w:val="18"/>
                <w:szCs w:val="18"/>
              </w:rPr>
              <w:t>4.2</w:t>
            </w:r>
            <w:r w:rsidRPr="00310835">
              <w:rPr>
                <w:rFonts w:eastAsia="Times New Roman"/>
                <w:sz w:val="18"/>
                <w:szCs w:val="18"/>
              </w:rPr>
              <w:tab/>
              <w:t xml:space="preserve">Does the </w:t>
            </w:r>
            <w:r>
              <w:rPr>
                <w:rFonts w:eastAsia="Times New Roman"/>
                <w:sz w:val="18"/>
                <w:szCs w:val="18"/>
              </w:rPr>
              <w:t>Project</w:t>
            </w:r>
            <w:r w:rsidRPr="00310835">
              <w:rPr>
                <w:rFonts w:eastAsia="Times New Roman"/>
                <w:sz w:val="18"/>
                <w:szCs w:val="18"/>
              </w:rPr>
              <w:t xml:space="preserve"> propose utilizing tangible and/or intangible forms of cultural heritage for commercial or other purposes?</w:t>
            </w:r>
          </w:p>
        </w:tc>
        <w:tc>
          <w:tcPr>
            <w:tcW w:w="833" w:type="dxa"/>
            <w:tcBorders>
              <w:bottom w:val="single" w:sz="4" w:space="0" w:color="auto"/>
            </w:tcBorders>
            <w:shd w:val="clear" w:color="auto" w:fill="auto"/>
          </w:tcPr>
          <w:p w14:paraId="206B2330" w14:textId="77777777" w:rsidR="0077105D" w:rsidRPr="00AF1F3C" w:rsidRDefault="0077105D" w:rsidP="00EB71A9">
            <w:pPr>
              <w:tabs>
                <w:tab w:val="left" w:pos="585"/>
              </w:tabs>
              <w:spacing w:before="60"/>
              <w:ind w:left="567" w:hanging="567"/>
              <w:rPr>
                <w:rFonts w:eastAsia="Times New Roman"/>
                <w:sz w:val="18"/>
                <w:szCs w:val="18"/>
                <w:highlight w:val="yellow"/>
              </w:rPr>
            </w:pPr>
            <w:r w:rsidRPr="00AF1F3C">
              <w:rPr>
                <w:rFonts w:eastAsia="Times New Roman"/>
                <w:sz w:val="18"/>
                <w:szCs w:val="18"/>
                <w:highlight w:val="yellow"/>
              </w:rPr>
              <w:t>No</w:t>
            </w:r>
          </w:p>
        </w:tc>
      </w:tr>
      <w:tr w:rsidR="0077105D" w:rsidRPr="00310835" w14:paraId="735DA23E" w14:textId="77777777" w:rsidTr="00EB71A9">
        <w:trPr>
          <w:trHeight w:val="566"/>
        </w:trPr>
        <w:tc>
          <w:tcPr>
            <w:tcW w:w="8635" w:type="dxa"/>
            <w:tcBorders>
              <w:bottom w:val="single" w:sz="4" w:space="0" w:color="auto"/>
            </w:tcBorders>
            <w:shd w:val="clear" w:color="auto" w:fill="DBE5F1" w:themeFill="accent1" w:themeFillTint="33"/>
            <w:vAlign w:val="center"/>
          </w:tcPr>
          <w:p w14:paraId="10CF6AD2" w14:textId="77777777" w:rsidR="0077105D" w:rsidRPr="00310835" w:rsidRDefault="0077105D" w:rsidP="00EB71A9">
            <w:pPr>
              <w:tabs>
                <w:tab w:val="left" w:pos="0"/>
                <w:tab w:val="left" w:pos="555"/>
              </w:tabs>
              <w:spacing w:before="60"/>
              <w:rPr>
                <w:rFonts w:eastAsia="Times New Roman"/>
                <w:b/>
                <w:sz w:val="18"/>
                <w:szCs w:val="18"/>
              </w:rPr>
            </w:pPr>
            <w:r w:rsidRPr="00310835">
              <w:rPr>
                <w:rFonts w:eastAsia="Times New Roman"/>
                <w:b/>
                <w:sz w:val="18"/>
                <w:szCs w:val="18"/>
              </w:rPr>
              <w:t xml:space="preserve">Standard 5: </w:t>
            </w:r>
            <w:r>
              <w:rPr>
                <w:rFonts w:eastAsia="Times New Roman"/>
                <w:b/>
                <w:sz w:val="18"/>
                <w:szCs w:val="18"/>
              </w:rPr>
              <w:t>Displacement and Resettlement</w:t>
            </w:r>
          </w:p>
        </w:tc>
        <w:tc>
          <w:tcPr>
            <w:tcW w:w="833" w:type="dxa"/>
            <w:tcBorders>
              <w:bottom w:val="single" w:sz="4" w:space="0" w:color="auto"/>
            </w:tcBorders>
            <w:shd w:val="clear" w:color="auto" w:fill="DBE5F1" w:themeFill="accent1" w:themeFillTint="33"/>
            <w:vAlign w:val="center"/>
          </w:tcPr>
          <w:p w14:paraId="0041B231" w14:textId="77777777" w:rsidR="0077105D" w:rsidRPr="00310835" w:rsidRDefault="0077105D" w:rsidP="00EB71A9">
            <w:pPr>
              <w:tabs>
                <w:tab w:val="left" w:pos="585"/>
              </w:tabs>
              <w:spacing w:before="60"/>
              <w:ind w:left="567" w:hanging="567"/>
              <w:rPr>
                <w:rFonts w:eastAsia="Times New Roman"/>
                <w:sz w:val="18"/>
                <w:szCs w:val="18"/>
              </w:rPr>
            </w:pPr>
          </w:p>
        </w:tc>
      </w:tr>
      <w:tr w:rsidR="0077105D" w:rsidRPr="00310835" w14:paraId="469691A7" w14:textId="77777777" w:rsidTr="00EB71A9">
        <w:tc>
          <w:tcPr>
            <w:tcW w:w="8635" w:type="dxa"/>
            <w:tcBorders>
              <w:bottom w:val="single" w:sz="4" w:space="0" w:color="auto"/>
            </w:tcBorders>
            <w:shd w:val="clear" w:color="auto" w:fill="auto"/>
          </w:tcPr>
          <w:p w14:paraId="6A261750" w14:textId="77777777" w:rsidR="0077105D" w:rsidRPr="00310835" w:rsidRDefault="0077105D" w:rsidP="00EB71A9">
            <w:pPr>
              <w:tabs>
                <w:tab w:val="left" w:pos="585"/>
              </w:tabs>
              <w:spacing w:before="60"/>
              <w:ind w:left="567" w:hanging="567"/>
              <w:rPr>
                <w:rFonts w:eastAsia="Times New Roman"/>
                <w:b/>
                <w:sz w:val="18"/>
                <w:szCs w:val="18"/>
              </w:rPr>
            </w:pPr>
            <w:r w:rsidRPr="00310835">
              <w:rPr>
                <w:sz w:val="18"/>
                <w:szCs w:val="18"/>
              </w:rPr>
              <w:t>5.1</w:t>
            </w:r>
            <w:r w:rsidRPr="00310835">
              <w:rPr>
                <w:sz w:val="18"/>
                <w:szCs w:val="18"/>
              </w:rPr>
              <w:tab/>
            </w:r>
            <w:r w:rsidRPr="00310835">
              <w:rPr>
                <w:rFonts w:eastAsia="Times New Roman"/>
                <w:sz w:val="18"/>
                <w:szCs w:val="18"/>
              </w:rPr>
              <w:t>Would</w:t>
            </w:r>
            <w:r w:rsidRPr="00310835">
              <w:rPr>
                <w:sz w:val="18"/>
                <w:szCs w:val="18"/>
              </w:rPr>
              <w:t xml:space="preserve"> the </w:t>
            </w:r>
            <w:r>
              <w:rPr>
                <w:sz w:val="18"/>
                <w:szCs w:val="18"/>
              </w:rPr>
              <w:t>Project</w:t>
            </w:r>
            <w:r w:rsidRPr="00310835">
              <w:rPr>
                <w:sz w:val="18"/>
                <w:szCs w:val="18"/>
              </w:rPr>
              <w:t xml:space="preserve"> potentially involve </w:t>
            </w:r>
            <w:r>
              <w:rPr>
                <w:sz w:val="18"/>
                <w:szCs w:val="18"/>
              </w:rPr>
              <w:t xml:space="preserve">temporary or permanent and </w:t>
            </w:r>
            <w:r w:rsidRPr="00310835">
              <w:rPr>
                <w:sz w:val="18"/>
                <w:szCs w:val="18"/>
              </w:rPr>
              <w:t>full or partial physical displacement?</w:t>
            </w:r>
          </w:p>
        </w:tc>
        <w:tc>
          <w:tcPr>
            <w:tcW w:w="833" w:type="dxa"/>
            <w:tcBorders>
              <w:bottom w:val="single" w:sz="4" w:space="0" w:color="auto"/>
            </w:tcBorders>
            <w:shd w:val="clear" w:color="auto" w:fill="auto"/>
          </w:tcPr>
          <w:p w14:paraId="52594AC7" w14:textId="77777777" w:rsidR="0077105D" w:rsidRPr="00310835" w:rsidRDefault="0077105D" w:rsidP="00EB71A9">
            <w:pPr>
              <w:tabs>
                <w:tab w:val="left" w:pos="585"/>
              </w:tabs>
              <w:spacing w:before="60"/>
              <w:ind w:left="567" w:hanging="567"/>
              <w:rPr>
                <w:rFonts w:eastAsia="Times New Roman"/>
                <w:sz w:val="18"/>
                <w:szCs w:val="18"/>
              </w:rPr>
            </w:pPr>
            <w:r>
              <w:rPr>
                <w:rFonts w:eastAsia="Times New Roman"/>
                <w:sz w:val="18"/>
                <w:szCs w:val="18"/>
              </w:rPr>
              <w:t>No</w:t>
            </w:r>
          </w:p>
        </w:tc>
      </w:tr>
      <w:tr w:rsidR="0077105D" w:rsidRPr="00310835" w14:paraId="2F314BCC" w14:textId="77777777" w:rsidTr="00EB71A9">
        <w:tc>
          <w:tcPr>
            <w:tcW w:w="8635" w:type="dxa"/>
            <w:tcBorders>
              <w:bottom w:val="single" w:sz="4" w:space="0" w:color="auto"/>
            </w:tcBorders>
            <w:shd w:val="clear" w:color="auto" w:fill="auto"/>
          </w:tcPr>
          <w:p w14:paraId="195E99F3" w14:textId="77777777" w:rsidR="0077105D" w:rsidRPr="00310835" w:rsidRDefault="0077105D" w:rsidP="00EB71A9">
            <w:pPr>
              <w:tabs>
                <w:tab w:val="left" w:pos="585"/>
              </w:tabs>
              <w:spacing w:before="60"/>
              <w:ind w:left="567" w:hanging="567"/>
              <w:rPr>
                <w:rFonts w:eastAsia="Times New Roman"/>
                <w:b/>
                <w:sz w:val="18"/>
                <w:szCs w:val="18"/>
              </w:rPr>
            </w:pPr>
            <w:r w:rsidRPr="00310835">
              <w:rPr>
                <w:sz w:val="18"/>
                <w:szCs w:val="18"/>
              </w:rPr>
              <w:t>5.2</w:t>
            </w:r>
            <w:r w:rsidRPr="00310835">
              <w:rPr>
                <w:sz w:val="18"/>
                <w:szCs w:val="18"/>
              </w:rPr>
              <w:tab/>
            </w:r>
            <w:r w:rsidRPr="00310835">
              <w:rPr>
                <w:rFonts w:eastAsia="Times New Roman"/>
                <w:sz w:val="18"/>
                <w:szCs w:val="18"/>
              </w:rPr>
              <w:t>Would</w:t>
            </w:r>
            <w:r w:rsidRPr="00310835">
              <w:rPr>
                <w:sz w:val="18"/>
                <w:szCs w:val="18"/>
              </w:rPr>
              <w:t xml:space="preserve"> the </w:t>
            </w:r>
            <w:r>
              <w:rPr>
                <w:sz w:val="18"/>
                <w:szCs w:val="18"/>
              </w:rPr>
              <w:t>Project</w:t>
            </w:r>
            <w:r w:rsidRPr="00310835">
              <w:rPr>
                <w:sz w:val="18"/>
                <w:szCs w:val="18"/>
              </w:rPr>
              <w:t xml:space="preserve"> possibly result in economic displacement (e.g. loss of assets or access to resources due to land acquisition or access restrictions – even in the absence of physical relocation)?</w:t>
            </w:r>
            <w:r>
              <w:rPr>
                <w:sz w:val="18"/>
                <w:szCs w:val="18"/>
              </w:rPr>
              <w:t xml:space="preserve"> </w:t>
            </w:r>
          </w:p>
        </w:tc>
        <w:tc>
          <w:tcPr>
            <w:tcW w:w="833" w:type="dxa"/>
            <w:tcBorders>
              <w:bottom w:val="single" w:sz="4" w:space="0" w:color="auto"/>
            </w:tcBorders>
            <w:shd w:val="clear" w:color="auto" w:fill="auto"/>
          </w:tcPr>
          <w:p w14:paraId="5D44B06E" w14:textId="77777777" w:rsidR="0077105D" w:rsidRPr="00310835" w:rsidRDefault="0077105D" w:rsidP="00EB71A9">
            <w:pPr>
              <w:tabs>
                <w:tab w:val="left" w:pos="585"/>
              </w:tabs>
              <w:spacing w:before="60"/>
              <w:ind w:left="567" w:hanging="567"/>
              <w:rPr>
                <w:rFonts w:eastAsia="Times New Roman"/>
                <w:sz w:val="18"/>
                <w:szCs w:val="18"/>
              </w:rPr>
            </w:pPr>
            <w:r w:rsidRPr="00AF1F3C">
              <w:rPr>
                <w:rFonts w:eastAsia="Times New Roman"/>
                <w:sz w:val="18"/>
                <w:szCs w:val="18"/>
                <w:highlight w:val="yellow"/>
              </w:rPr>
              <w:t>Yes</w:t>
            </w:r>
          </w:p>
        </w:tc>
      </w:tr>
      <w:tr w:rsidR="0077105D" w:rsidRPr="00310835" w14:paraId="6C7BD0D3" w14:textId="77777777" w:rsidTr="00EB71A9">
        <w:tc>
          <w:tcPr>
            <w:tcW w:w="8635" w:type="dxa"/>
            <w:tcBorders>
              <w:bottom w:val="single" w:sz="4" w:space="0" w:color="auto"/>
            </w:tcBorders>
            <w:shd w:val="clear" w:color="auto" w:fill="auto"/>
          </w:tcPr>
          <w:p w14:paraId="113590CD" w14:textId="77777777" w:rsidR="0077105D" w:rsidRPr="00310835" w:rsidRDefault="0077105D" w:rsidP="00EB71A9">
            <w:pPr>
              <w:tabs>
                <w:tab w:val="left" w:pos="585"/>
              </w:tabs>
              <w:spacing w:before="60"/>
              <w:ind w:left="567" w:hanging="567"/>
              <w:rPr>
                <w:sz w:val="18"/>
                <w:szCs w:val="18"/>
              </w:rPr>
            </w:pPr>
            <w:r w:rsidRPr="00310835">
              <w:rPr>
                <w:rFonts w:eastAsia="Times New Roman"/>
                <w:sz w:val="18"/>
                <w:szCs w:val="18"/>
              </w:rPr>
              <w:t>5.3</w:t>
            </w:r>
            <w:r w:rsidRPr="00310835">
              <w:rPr>
                <w:rFonts w:eastAsia="Times New Roman"/>
                <w:sz w:val="18"/>
                <w:szCs w:val="18"/>
              </w:rPr>
              <w:tab/>
            </w:r>
            <w:r>
              <w:rPr>
                <w:rFonts w:eastAsia="Times New Roman"/>
                <w:sz w:val="18"/>
                <w:szCs w:val="18"/>
              </w:rPr>
              <w:t>Is there a risk that</w:t>
            </w:r>
            <w:r w:rsidRPr="001D5AF4">
              <w:rPr>
                <w:rFonts w:eastAsia="Times New Roman"/>
                <w:sz w:val="18"/>
                <w:szCs w:val="18"/>
              </w:rPr>
              <w:t xml:space="preserve"> the </w:t>
            </w:r>
            <w:r>
              <w:rPr>
                <w:rFonts w:eastAsia="Times New Roman"/>
                <w:sz w:val="18"/>
                <w:szCs w:val="18"/>
              </w:rPr>
              <w:t>Project</w:t>
            </w:r>
            <w:r w:rsidRPr="001D5AF4">
              <w:rPr>
                <w:rFonts w:eastAsia="Times New Roman"/>
                <w:sz w:val="18"/>
                <w:szCs w:val="18"/>
              </w:rPr>
              <w:t xml:space="preserve"> </w:t>
            </w:r>
            <w:r>
              <w:rPr>
                <w:rFonts w:eastAsia="Times New Roman"/>
                <w:sz w:val="18"/>
                <w:szCs w:val="18"/>
              </w:rPr>
              <w:t xml:space="preserve">would lead </w:t>
            </w:r>
            <w:r w:rsidRPr="001D5AF4">
              <w:rPr>
                <w:rFonts w:eastAsia="Times New Roman"/>
                <w:sz w:val="18"/>
                <w:szCs w:val="18"/>
              </w:rPr>
              <w:t>to forced evictions</w:t>
            </w:r>
            <w:r>
              <w:rPr>
                <w:rFonts w:eastAsia="Times New Roman"/>
                <w:sz w:val="18"/>
                <w:szCs w:val="18"/>
              </w:rPr>
              <w:t>?</w:t>
            </w:r>
            <w:r>
              <w:rPr>
                <w:rStyle w:val="FootnoteReference"/>
                <w:rFonts w:eastAsia="Times New Roman"/>
                <w:szCs w:val="18"/>
              </w:rPr>
              <w:footnoteReference w:id="46"/>
            </w:r>
          </w:p>
        </w:tc>
        <w:tc>
          <w:tcPr>
            <w:tcW w:w="833" w:type="dxa"/>
            <w:tcBorders>
              <w:bottom w:val="single" w:sz="4" w:space="0" w:color="auto"/>
            </w:tcBorders>
            <w:shd w:val="clear" w:color="auto" w:fill="auto"/>
          </w:tcPr>
          <w:p w14:paraId="4F00CB15" w14:textId="77777777" w:rsidR="0077105D" w:rsidRPr="00310835" w:rsidRDefault="0077105D" w:rsidP="00EB71A9">
            <w:pPr>
              <w:tabs>
                <w:tab w:val="left" w:pos="585"/>
              </w:tabs>
              <w:spacing w:before="60"/>
              <w:ind w:left="567" w:hanging="567"/>
              <w:rPr>
                <w:rFonts w:eastAsia="Times New Roman"/>
                <w:sz w:val="18"/>
                <w:szCs w:val="18"/>
              </w:rPr>
            </w:pPr>
            <w:r>
              <w:rPr>
                <w:rFonts w:eastAsia="Times New Roman"/>
                <w:sz w:val="18"/>
                <w:szCs w:val="18"/>
              </w:rPr>
              <w:t>No</w:t>
            </w:r>
          </w:p>
        </w:tc>
      </w:tr>
      <w:tr w:rsidR="0077105D" w:rsidRPr="00310835" w14:paraId="6659557E" w14:textId="77777777" w:rsidTr="00EB71A9">
        <w:tc>
          <w:tcPr>
            <w:tcW w:w="8635" w:type="dxa"/>
            <w:tcBorders>
              <w:bottom w:val="single" w:sz="4" w:space="0" w:color="auto"/>
            </w:tcBorders>
            <w:shd w:val="clear" w:color="auto" w:fill="auto"/>
          </w:tcPr>
          <w:p w14:paraId="65071394" w14:textId="77777777" w:rsidR="0077105D" w:rsidRPr="006F4FD5" w:rsidRDefault="0077105D" w:rsidP="00EB71A9">
            <w:pPr>
              <w:tabs>
                <w:tab w:val="left" w:pos="585"/>
              </w:tabs>
              <w:spacing w:before="60"/>
              <w:ind w:left="567" w:hanging="567"/>
              <w:rPr>
                <w:rFonts w:eastAsia="Times New Roman"/>
                <w:sz w:val="18"/>
                <w:szCs w:val="18"/>
              </w:rPr>
            </w:pPr>
            <w:r w:rsidRPr="006F4FD5">
              <w:rPr>
                <w:rFonts w:eastAsia="Times New Roman"/>
                <w:sz w:val="18"/>
                <w:szCs w:val="18"/>
              </w:rPr>
              <w:t>5.4</w:t>
            </w:r>
            <w:r w:rsidRPr="006F4FD5">
              <w:rPr>
                <w:rFonts w:eastAsia="Times New Roman"/>
                <w:sz w:val="18"/>
                <w:szCs w:val="18"/>
              </w:rPr>
              <w:tab/>
              <w:t xml:space="preserve">Would the proposed Project possibly affect land tenure arrangements and/or community based property rights/customary rights to land, territories and/or resources? </w:t>
            </w:r>
          </w:p>
        </w:tc>
        <w:tc>
          <w:tcPr>
            <w:tcW w:w="833" w:type="dxa"/>
            <w:tcBorders>
              <w:bottom w:val="single" w:sz="4" w:space="0" w:color="auto"/>
            </w:tcBorders>
            <w:shd w:val="clear" w:color="auto" w:fill="auto"/>
          </w:tcPr>
          <w:p w14:paraId="5B870861" w14:textId="77777777" w:rsidR="0077105D" w:rsidRPr="00AF1F3C" w:rsidRDefault="0077105D" w:rsidP="00EB71A9">
            <w:pPr>
              <w:tabs>
                <w:tab w:val="left" w:pos="585"/>
              </w:tabs>
              <w:spacing w:before="60"/>
              <w:ind w:left="567" w:hanging="567"/>
              <w:rPr>
                <w:rFonts w:eastAsia="Times New Roman"/>
                <w:sz w:val="18"/>
                <w:szCs w:val="18"/>
                <w:highlight w:val="yellow"/>
              </w:rPr>
            </w:pPr>
            <w:r w:rsidRPr="00AF1F3C">
              <w:rPr>
                <w:rFonts w:eastAsia="Times New Roman"/>
                <w:sz w:val="18"/>
                <w:szCs w:val="18"/>
                <w:highlight w:val="yellow"/>
              </w:rPr>
              <w:t>Yes</w:t>
            </w:r>
          </w:p>
        </w:tc>
      </w:tr>
      <w:tr w:rsidR="0077105D" w:rsidRPr="00310835" w14:paraId="347EDF2D" w14:textId="77777777" w:rsidTr="00EB71A9">
        <w:trPr>
          <w:trHeight w:val="584"/>
        </w:trPr>
        <w:tc>
          <w:tcPr>
            <w:tcW w:w="8635" w:type="dxa"/>
            <w:tcBorders>
              <w:bottom w:val="single" w:sz="4" w:space="0" w:color="auto"/>
            </w:tcBorders>
            <w:shd w:val="clear" w:color="auto" w:fill="DBE5F1" w:themeFill="accent1" w:themeFillTint="33"/>
            <w:vAlign w:val="center"/>
          </w:tcPr>
          <w:p w14:paraId="0C319DF7" w14:textId="77777777" w:rsidR="0077105D" w:rsidRPr="00310835" w:rsidRDefault="0077105D" w:rsidP="00EB71A9">
            <w:pPr>
              <w:tabs>
                <w:tab w:val="left" w:pos="0"/>
                <w:tab w:val="left" w:pos="555"/>
              </w:tabs>
              <w:spacing w:before="60"/>
              <w:rPr>
                <w:rFonts w:eastAsia="Times New Roman"/>
                <w:b/>
                <w:sz w:val="18"/>
                <w:szCs w:val="18"/>
              </w:rPr>
            </w:pPr>
            <w:r w:rsidRPr="00310835">
              <w:rPr>
                <w:rFonts w:eastAsia="Times New Roman"/>
                <w:b/>
                <w:sz w:val="18"/>
                <w:szCs w:val="18"/>
              </w:rPr>
              <w:t>Standard 6: Indigenous Peoples</w:t>
            </w:r>
          </w:p>
        </w:tc>
        <w:tc>
          <w:tcPr>
            <w:tcW w:w="833" w:type="dxa"/>
            <w:tcBorders>
              <w:bottom w:val="single" w:sz="4" w:space="0" w:color="auto"/>
            </w:tcBorders>
            <w:shd w:val="clear" w:color="auto" w:fill="DBE5F1" w:themeFill="accent1" w:themeFillTint="33"/>
            <w:vAlign w:val="center"/>
          </w:tcPr>
          <w:p w14:paraId="6685C261" w14:textId="77777777" w:rsidR="0077105D" w:rsidRPr="00310835" w:rsidRDefault="0077105D" w:rsidP="00EB71A9">
            <w:pPr>
              <w:tabs>
                <w:tab w:val="left" w:pos="585"/>
              </w:tabs>
              <w:spacing w:before="60"/>
              <w:ind w:left="567" w:hanging="567"/>
              <w:rPr>
                <w:rFonts w:eastAsia="Times New Roman"/>
                <w:sz w:val="18"/>
                <w:szCs w:val="18"/>
              </w:rPr>
            </w:pPr>
          </w:p>
        </w:tc>
      </w:tr>
      <w:tr w:rsidR="0077105D" w:rsidRPr="00310835" w14:paraId="7D33F2AB" w14:textId="77777777" w:rsidTr="00EB71A9">
        <w:tc>
          <w:tcPr>
            <w:tcW w:w="8635" w:type="dxa"/>
            <w:tcBorders>
              <w:bottom w:val="single" w:sz="4" w:space="0" w:color="auto"/>
            </w:tcBorders>
            <w:shd w:val="clear" w:color="auto" w:fill="auto"/>
          </w:tcPr>
          <w:p w14:paraId="02449652" w14:textId="77777777" w:rsidR="0077105D" w:rsidRPr="003D3329" w:rsidRDefault="0077105D" w:rsidP="00EB71A9">
            <w:pPr>
              <w:tabs>
                <w:tab w:val="left" w:pos="585"/>
              </w:tabs>
              <w:spacing w:before="60"/>
              <w:ind w:left="567" w:hanging="567"/>
              <w:rPr>
                <w:sz w:val="18"/>
                <w:szCs w:val="18"/>
              </w:rPr>
            </w:pPr>
            <w:r w:rsidRPr="003D3329">
              <w:rPr>
                <w:sz w:val="18"/>
                <w:szCs w:val="18"/>
              </w:rPr>
              <w:t>6.1</w:t>
            </w:r>
            <w:r w:rsidRPr="003D3329">
              <w:rPr>
                <w:sz w:val="18"/>
                <w:szCs w:val="18"/>
              </w:rPr>
              <w:tab/>
              <w:t>Are indigenous peoples present in the Project area (including Project area of influence)?</w:t>
            </w:r>
          </w:p>
        </w:tc>
        <w:tc>
          <w:tcPr>
            <w:tcW w:w="833" w:type="dxa"/>
            <w:tcBorders>
              <w:bottom w:val="single" w:sz="4" w:space="0" w:color="auto"/>
            </w:tcBorders>
            <w:shd w:val="clear" w:color="auto" w:fill="auto"/>
          </w:tcPr>
          <w:p w14:paraId="1C477A85" w14:textId="77777777" w:rsidR="0077105D" w:rsidRPr="003D3329" w:rsidRDefault="0077105D" w:rsidP="00EB71A9">
            <w:pPr>
              <w:tabs>
                <w:tab w:val="left" w:pos="585"/>
              </w:tabs>
              <w:spacing w:before="60"/>
              <w:ind w:left="567" w:hanging="567"/>
              <w:rPr>
                <w:rFonts w:eastAsia="Times New Roman"/>
                <w:sz w:val="18"/>
                <w:szCs w:val="18"/>
              </w:rPr>
            </w:pPr>
            <w:r w:rsidRPr="003D3329">
              <w:rPr>
                <w:rFonts w:eastAsia="Times New Roman"/>
                <w:sz w:val="18"/>
                <w:szCs w:val="18"/>
              </w:rPr>
              <w:t>No</w:t>
            </w:r>
          </w:p>
        </w:tc>
      </w:tr>
      <w:tr w:rsidR="0077105D" w:rsidRPr="00310835" w14:paraId="5FF69FB2" w14:textId="77777777" w:rsidTr="00EB71A9">
        <w:tc>
          <w:tcPr>
            <w:tcW w:w="8635" w:type="dxa"/>
            <w:tcBorders>
              <w:bottom w:val="single" w:sz="4" w:space="0" w:color="auto"/>
            </w:tcBorders>
            <w:shd w:val="clear" w:color="auto" w:fill="auto"/>
          </w:tcPr>
          <w:p w14:paraId="4CF17D5C" w14:textId="77777777" w:rsidR="0077105D" w:rsidRPr="003D3329" w:rsidRDefault="0077105D" w:rsidP="00EB71A9">
            <w:pPr>
              <w:tabs>
                <w:tab w:val="left" w:pos="585"/>
              </w:tabs>
              <w:spacing w:before="60"/>
              <w:ind w:left="567" w:hanging="567"/>
              <w:rPr>
                <w:sz w:val="18"/>
                <w:szCs w:val="18"/>
              </w:rPr>
            </w:pPr>
            <w:r w:rsidRPr="003D3329">
              <w:rPr>
                <w:sz w:val="18"/>
                <w:szCs w:val="18"/>
              </w:rPr>
              <w:t>6.2</w:t>
            </w:r>
            <w:r w:rsidRPr="003D3329">
              <w:rPr>
                <w:sz w:val="18"/>
                <w:szCs w:val="18"/>
              </w:rPr>
              <w:tab/>
              <w:t>Is it likely that the Project or portions of the Project will be located on lands and territories claimed by indigenous peoples?</w:t>
            </w:r>
          </w:p>
        </w:tc>
        <w:tc>
          <w:tcPr>
            <w:tcW w:w="833" w:type="dxa"/>
            <w:tcBorders>
              <w:bottom w:val="single" w:sz="4" w:space="0" w:color="auto"/>
            </w:tcBorders>
            <w:shd w:val="clear" w:color="auto" w:fill="auto"/>
          </w:tcPr>
          <w:p w14:paraId="67631A58" w14:textId="77777777" w:rsidR="0077105D" w:rsidRPr="003D3329" w:rsidRDefault="0077105D" w:rsidP="00EB71A9">
            <w:pPr>
              <w:tabs>
                <w:tab w:val="left" w:pos="585"/>
              </w:tabs>
              <w:spacing w:before="60"/>
              <w:ind w:left="567" w:hanging="567"/>
              <w:rPr>
                <w:rFonts w:eastAsia="Times New Roman"/>
                <w:sz w:val="18"/>
                <w:szCs w:val="18"/>
              </w:rPr>
            </w:pPr>
            <w:r w:rsidRPr="003D3329">
              <w:rPr>
                <w:rFonts w:eastAsia="Times New Roman"/>
                <w:sz w:val="18"/>
                <w:szCs w:val="18"/>
              </w:rPr>
              <w:t>No</w:t>
            </w:r>
          </w:p>
        </w:tc>
      </w:tr>
      <w:tr w:rsidR="0077105D" w:rsidRPr="00310835" w14:paraId="54B2A571" w14:textId="77777777" w:rsidTr="00EB71A9">
        <w:tc>
          <w:tcPr>
            <w:tcW w:w="8635" w:type="dxa"/>
            <w:tcBorders>
              <w:bottom w:val="single" w:sz="4" w:space="0" w:color="auto"/>
            </w:tcBorders>
            <w:shd w:val="clear" w:color="auto" w:fill="auto"/>
          </w:tcPr>
          <w:p w14:paraId="135967ED" w14:textId="77777777" w:rsidR="0077105D" w:rsidRDefault="0077105D" w:rsidP="00EB71A9">
            <w:pPr>
              <w:tabs>
                <w:tab w:val="left" w:pos="585"/>
              </w:tabs>
              <w:spacing w:before="60"/>
              <w:ind w:left="567" w:hanging="567"/>
              <w:rPr>
                <w:sz w:val="18"/>
                <w:szCs w:val="18"/>
              </w:rPr>
            </w:pPr>
            <w:r>
              <w:rPr>
                <w:sz w:val="18"/>
                <w:szCs w:val="18"/>
              </w:rPr>
              <w:t>6.3</w:t>
            </w:r>
            <w:r w:rsidRPr="00310835">
              <w:rPr>
                <w:sz w:val="18"/>
                <w:szCs w:val="18"/>
              </w:rPr>
              <w:tab/>
              <w:t xml:space="preserve">Would the proposed </w:t>
            </w:r>
            <w:r>
              <w:rPr>
                <w:sz w:val="18"/>
                <w:szCs w:val="18"/>
              </w:rPr>
              <w:t>Project</w:t>
            </w:r>
            <w:r w:rsidRPr="00310835">
              <w:rPr>
                <w:sz w:val="18"/>
                <w:szCs w:val="18"/>
              </w:rPr>
              <w:t xml:space="preserve"> potentially affect the</w:t>
            </w:r>
            <w:r>
              <w:rPr>
                <w:sz w:val="18"/>
                <w:szCs w:val="18"/>
              </w:rPr>
              <w:t xml:space="preserve"> human</w:t>
            </w:r>
            <w:r w:rsidRPr="00310835">
              <w:rPr>
                <w:sz w:val="18"/>
                <w:szCs w:val="18"/>
              </w:rPr>
              <w:t xml:space="preserve"> ri</w:t>
            </w:r>
            <w:r>
              <w:rPr>
                <w:sz w:val="18"/>
                <w:szCs w:val="18"/>
              </w:rPr>
              <w:t>ghts, lands, natural resources, territories, and traditional livelihoods of indigenous peoples (regardless of whether indigenous p</w:t>
            </w:r>
            <w:r w:rsidRPr="00310835">
              <w:rPr>
                <w:sz w:val="18"/>
                <w:szCs w:val="18"/>
              </w:rPr>
              <w:t xml:space="preserve">eoples </w:t>
            </w:r>
            <w:r>
              <w:rPr>
                <w:sz w:val="18"/>
                <w:szCs w:val="18"/>
              </w:rPr>
              <w:t>possess the legal titles to such areas, whether the Project is located within or outside of the lands and territories inhabited by the affected peoples, or whether the indigenous peoples are recognized as indigenous peoples by the country in question</w:t>
            </w:r>
            <w:r w:rsidRPr="00310835">
              <w:rPr>
                <w:sz w:val="18"/>
                <w:szCs w:val="18"/>
              </w:rPr>
              <w:t>)?</w:t>
            </w:r>
            <w:r>
              <w:rPr>
                <w:sz w:val="18"/>
                <w:szCs w:val="18"/>
              </w:rPr>
              <w:t xml:space="preserve"> </w:t>
            </w:r>
          </w:p>
          <w:p w14:paraId="67F4B707" w14:textId="77777777" w:rsidR="0077105D" w:rsidRPr="00C01EFE" w:rsidRDefault="0077105D" w:rsidP="00EB71A9">
            <w:pPr>
              <w:tabs>
                <w:tab w:val="left" w:pos="585"/>
              </w:tabs>
              <w:spacing w:before="60"/>
              <w:ind w:left="567" w:firstLine="40"/>
              <w:rPr>
                <w:i/>
                <w:sz w:val="18"/>
                <w:szCs w:val="18"/>
              </w:rPr>
            </w:pPr>
            <w:r w:rsidRPr="00C01EFE">
              <w:rPr>
                <w:i/>
                <w:sz w:val="18"/>
                <w:szCs w:val="18"/>
              </w:rPr>
              <w:t>If the answer to the screening question 6.3 is “yes” the potential risk impacts are considered potentially severe and/or critical and the Project would be categorized as either Moderate or High Risk.</w:t>
            </w:r>
          </w:p>
        </w:tc>
        <w:tc>
          <w:tcPr>
            <w:tcW w:w="833" w:type="dxa"/>
            <w:tcBorders>
              <w:bottom w:val="single" w:sz="4" w:space="0" w:color="auto"/>
            </w:tcBorders>
            <w:shd w:val="clear" w:color="auto" w:fill="auto"/>
          </w:tcPr>
          <w:p w14:paraId="321E6FC5" w14:textId="77777777" w:rsidR="0077105D" w:rsidRPr="00310835" w:rsidRDefault="0077105D" w:rsidP="00EB71A9">
            <w:pPr>
              <w:tabs>
                <w:tab w:val="left" w:pos="585"/>
              </w:tabs>
              <w:spacing w:before="60"/>
              <w:ind w:left="567" w:hanging="567"/>
              <w:rPr>
                <w:rFonts w:eastAsia="Times New Roman"/>
                <w:sz w:val="18"/>
                <w:szCs w:val="18"/>
              </w:rPr>
            </w:pPr>
            <w:r>
              <w:rPr>
                <w:rFonts w:eastAsia="Times New Roman"/>
                <w:sz w:val="18"/>
                <w:szCs w:val="18"/>
              </w:rPr>
              <w:t>No</w:t>
            </w:r>
          </w:p>
        </w:tc>
      </w:tr>
      <w:tr w:rsidR="0077105D" w:rsidRPr="00310835" w14:paraId="4A31C48D" w14:textId="77777777" w:rsidTr="00EB71A9">
        <w:tc>
          <w:tcPr>
            <w:tcW w:w="8635" w:type="dxa"/>
            <w:tcBorders>
              <w:bottom w:val="single" w:sz="4" w:space="0" w:color="auto"/>
            </w:tcBorders>
            <w:shd w:val="clear" w:color="auto" w:fill="auto"/>
          </w:tcPr>
          <w:p w14:paraId="6481C7D3" w14:textId="77777777" w:rsidR="0077105D" w:rsidRDefault="0077105D" w:rsidP="00EB71A9">
            <w:pPr>
              <w:tabs>
                <w:tab w:val="left" w:pos="585"/>
              </w:tabs>
              <w:spacing w:before="60"/>
              <w:ind w:left="567" w:hanging="567"/>
              <w:rPr>
                <w:sz w:val="18"/>
                <w:szCs w:val="18"/>
              </w:rPr>
            </w:pPr>
            <w:r>
              <w:rPr>
                <w:sz w:val="18"/>
                <w:szCs w:val="18"/>
              </w:rPr>
              <w:t>6.4</w:t>
            </w:r>
            <w:r>
              <w:rPr>
                <w:sz w:val="18"/>
                <w:szCs w:val="18"/>
              </w:rPr>
              <w:tab/>
              <w:t>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833" w:type="dxa"/>
            <w:tcBorders>
              <w:bottom w:val="single" w:sz="4" w:space="0" w:color="auto"/>
            </w:tcBorders>
            <w:shd w:val="clear" w:color="auto" w:fill="auto"/>
          </w:tcPr>
          <w:p w14:paraId="61DBD972" w14:textId="77777777" w:rsidR="0077105D" w:rsidRPr="00310835" w:rsidRDefault="0077105D" w:rsidP="00EB71A9">
            <w:pPr>
              <w:tabs>
                <w:tab w:val="left" w:pos="585"/>
              </w:tabs>
              <w:spacing w:before="60"/>
              <w:ind w:left="567" w:hanging="567"/>
              <w:rPr>
                <w:rFonts w:eastAsia="Times New Roman"/>
                <w:sz w:val="18"/>
                <w:szCs w:val="18"/>
              </w:rPr>
            </w:pPr>
            <w:r>
              <w:rPr>
                <w:rFonts w:eastAsia="Times New Roman"/>
                <w:sz w:val="18"/>
                <w:szCs w:val="18"/>
              </w:rPr>
              <w:t>No</w:t>
            </w:r>
          </w:p>
        </w:tc>
      </w:tr>
      <w:tr w:rsidR="0077105D" w:rsidRPr="00310835" w14:paraId="053D19C2" w14:textId="77777777" w:rsidTr="00EB71A9">
        <w:tc>
          <w:tcPr>
            <w:tcW w:w="8635" w:type="dxa"/>
            <w:tcBorders>
              <w:bottom w:val="single" w:sz="4" w:space="0" w:color="auto"/>
            </w:tcBorders>
            <w:shd w:val="clear" w:color="auto" w:fill="auto"/>
          </w:tcPr>
          <w:p w14:paraId="724E42C4" w14:textId="77777777" w:rsidR="0077105D" w:rsidRPr="00310835" w:rsidRDefault="0077105D" w:rsidP="00EB71A9">
            <w:pPr>
              <w:tabs>
                <w:tab w:val="left" w:pos="585"/>
              </w:tabs>
              <w:spacing w:before="60"/>
              <w:ind w:left="567" w:hanging="567"/>
              <w:rPr>
                <w:sz w:val="18"/>
                <w:szCs w:val="18"/>
              </w:rPr>
            </w:pPr>
            <w:r>
              <w:rPr>
                <w:sz w:val="18"/>
                <w:szCs w:val="18"/>
              </w:rPr>
              <w:t>6.5</w:t>
            </w:r>
            <w:r w:rsidRPr="00310835">
              <w:rPr>
                <w:sz w:val="18"/>
                <w:szCs w:val="18"/>
              </w:rPr>
              <w:tab/>
              <w:t xml:space="preserve">Does the proposed </w:t>
            </w:r>
            <w:r>
              <w:rPr>
                <w:sz w:val="18"/>
                <w:szCs w:val="18"/>
              </w:rPr>
              <w:t>Project</w:t>
            </w:r>
            <w:r w:rsidRPr="00310835">
              <w:rPr>
                <w:sz w:val="18"/>
                <w:szCs w:val="18"/>
              </w:rPr>
              <w:t xml:space="preserve"> involve </w:t>
            </w:r>
            <w:r>
              <w:rPr>
                <w:sz w:val="18"/>
                <w:szCs w:val="18"/>
              </w:rPr>
              <w:t xml:space="preserve">the </w:t>
            </w:r>
            <w:r w:rsidRPr="00310835">
              <w:rPr>
                <w:sz w:val="18"/>
                <w:szCs w:val="18"/>
              </w:rPr>
              <w:t xml:space="preserve">utilization and/or commercial development of natural resources on lands and territories claimed by </w:t>
            </w:r>
            <w:r>
              <w:rPr>
                <w:sz w:val="18"/>
                <w:szCs w:val="18"/>
              </w:rPr>
              <w:t>i</w:t>
            </w:r>
            <w:r w:rsidRPr="00310835">
              <w:rPr>
                <w:sz w:val="18"/>
                <w:szCs w:val="18"/>
              </w:rPr>
              <w:t xml:space="preserve">ndigenous </w:t>
            </w:r>
            <w:r>
              <w:rPr>
                <w:sz w:val="18"/>
                <w:szCs w:val="18"/>
              </w:rPr>
              <w:t>p</w:t>
            </w:r>
            <w:r w:rsidRPr="00310835">
              <w:rPr>
                <w:sz w:val="18"/>
                <w:szCs w:val="18"/>
              </w:rPr>
              <w:t>eoples?</w:t>
            </w:r>
          </w:p>
        </w:tc>
        <w:tc>
          <w:tcPr>
            <w:tcW w:w="833" w:type="dxa"/>
            <w:tcBorders>
              <w:bottom w:val="single" w:sz="4" w:space="0" w:color="auto"/>
            </w:tcBorders>
            <w:shd w:val="clear" w:color="auto" w:fill="auto"/>
          </w:tcPr>
          <w:p w14:paraId="3F644879" w14:textId="77777777" w:rsidR="0077105D" w:rsidRPr="00310835" w:rsidRDefault="0077105D" w:rsidP="00EB71A9">
            <w:pPr>
              <w:tabs>
                <w:tab w:val="left" w:pos="585"/>
              </w:tabs>
              <w:spacing w:before="60"/>
              <w:ind w:left="567" w:hanging="567"/>
              <w:rPr>
                <w:rFonts w:eastAsia="Times New Roman"/>
                <w:sz w:val="18"/>
                <w:szCs w:val="18"/>
              </w:rPr>
            </w:pPr>
            <w:r>
              <w:rPr>
                <w:rFonts w:eastAsia="Times New Roman"/>
                <w:sz w:val="18"/>
                <w:szCs w:val="18"/>
              </w:rPr>
              <w:t>No</w:t>
            </w:r>
          </w:p>
        </w:tc>
      </w:tr>
      <w:tr w:rsidR="0077105D" w:rsidRPr="00310835" w14:paraId="0B88536B" w14:textId="77777777" w:rsidTr="00EB71A9">
        <w:tc>
          <w:tcPr>
            <w:tcW w:w="8635" w:type="dxa"/>
            <w:tcBorders>
              <w:bottom w:val="single" w:sz="4" w:space="0" w:color="auto"/>
            </w:tcBorders>
            <w:shd w:val="clear" w:color="auto" w:fill="auto"/>
          </w:tcPr>
          <w:p w14:paraId="1411EC1D" w14:textId="77777777" w:rsidR="0077105D" w:rsidRPr="00310835" w:rsidRDefault="0077105D" w:rsidP="00EB71A9">
            <w:pPr>
              <w:tabs>
                <w:tab w:val="left" w:pos="585"/>
              </w:tabs>
              <w:spacing w:before="60"/>
              <w:ind w:left="567" w:hanging="567"/>
              <w:rPr>
                <w:sz w:val="18"/>
                <w:szCs w:val="18"/>
              </w:rPr>
            </w:pPr>
            <w:r w:rsidRPr="00310835">
              <w:rPr>
                <w:sz w:val="18"/>
                <w:szCs w:val="18"/>
              </w:rPr>
              <w:t>6</w:t>
            </w:r>
            <w:r>
              <w:rPr>
                <w:sz w:val="18"/>
                <w:szCs w:val="18"/>
              </w:rPr>
              <w:t>.6</w:t>
            </w:r>
            <w:r w:rsidRPr="00310835">
              <w:rPr>
                <w:sz w:val="18"/>
                <w:szCs w:val="18"/>
              </w:rPr>
              <w:tab/>
              <w:t xml:space="preserve">Is there a potential for </w:t>
            </w:r>
            <w:r>
              <w:rPr>
                <w:sz w:val="18"/>
                <w:szCs w:val="18"/>
              </w:rPr>
              <w:t xml:space="preserve">forced eviction or </w:t>
            </w:r>
            <w:r w:rsidRPr="00310835">
              <w:rPr>
                <w:sz w:val="18"/>
                <w:szCs w:val="18"/>
              </w:rPr>
              <w:t xml:space="preserve">the whole or partial physical or economic displacement of </w:t>
            </w:r>
            <w:r>
              <w:rPr>
                <w:sz w:val="18"/>
                <w:szCs w:val="18"/>
              </w:rPr>
              <w:t>i</w:t>
            </w:r>
            <w:r w:rsidRPr="00310835">
              <w:rPr>
                <w:sz w:val="18"/>
                <w:szCs w:val="18"/>
              </w:rPr>
              <w:t xml:space="preserve">ndigenous </w:t>
            </w:r>
            <w:r>
              <w:rPr>
                <w:sz w:val="18"/>
                <w:szCs w:val="18"/>
              </w:rPr>
              <w:t>p</w:t>
            </w:r>
            <w:r w:rsidRPr="00310835">
              <w:rPr>
                <w:sz w:val="18"/>
                <w:szCs w:val="18"/>
              </w:rPr>
              <w:t>eoples</w:t>
            </w:r>
            <w:r>
              <w:rPr>
                <w:sz w:val="18"/>
                <w:szCs w:val="18"/>
              </w:rPr>
              <w:t>, including through access restrictions to lands, territories, and resources</w:t>
            </w:r>
            <w:r w:rsidRPr="00310835">
              <w:rPr>
                <w:sz w:val="18"/>
                <w:szCs w:val="18"/>
              </w:rPr>
              <w:t>?</w:t>
            </w:r>
          </w:p>
        </w:tc>
        <w:tc>
          <w:tcPr>
            <w:tcW w:w="833" w:type="dxa"/>
            <w:tcBorders>
              <w:bottom w:val="single" w:sz="4" w:space="0" w:color="auto"/>
            </w:tcBorders>
            <w:shd w:val="clear" w:color="auto" w:fill="auto"/>
          </w:tcPr>
          <w:p w14:paraId="0E9BD6B3" w14:textId="77777777" w:rsidR="0077105D" w:rsidRPr="00310835" w:rsidRDefault="0077105D" w:rsidP="00EB71A9">
            <w:pPr>
              <w:tabs>
                <w:tab w:val="left" w:pos="585"/>
              </w:tabs>
              <w:spacing w:before="60"/>
              <w:ind w:left="567" w:hanging="567"/>
              <w:rPr>
                <w:rFonts w:eastAsia="Times New Roman"/>
                <w:sz w:val="18"/>
                <w:szCs w:val="18"/>
              </w:rPr>
            </w:pPr>
            <w:r>
              <w:rPr>
                <w:rFonts w:eastAsia="Times New Roman"/>
                <w:sz w:val="18"/>
                <w:szCs w:val="18"/>
              </w:rPr>
              <w:t>No</w:t>
            </w:r>
          </w:p>
        </w:tc>
      </w:tr>
      <w:tr w:rsidR="0077105D" w:rsidRPr="00310835" w14:paraId="1800B279" w14:textId="77777777" w:rsidTr="00EB71A9">
        <w:tc>
          <w:tcPr>
            <w:tcW w:w="8635" w:type="dxa"/>
            <w:tcBorders>
              <w:bottom w:val="single" w:sz="4" w:space="0" w:color="auto"/>
            </w:tcBorders>
            <w:shd w:val="clear" w:color="auto" w:fill="auto"/>
          </w:tcPr>
          <w:p w14:paraId="07F4E0CE" w14:textId="77777777" w:rsidR="0077105D" w:rsidRPr="00310835" w:rsidRDefault="0077105D" w:rsidP="00EB71A9">
            <w:pPr>
              <w:tabs>
                <w:tab w:val="left" w:pos="585"/>
              </w:tabs>
              <w:spacing w:before="60"/>
              <w:ind w:left="567" w:hanging="567"/>
              <w:rPr>
                <w:sz w:val="18"/>
                <w:szCs w:val="18"/>
              </w:rPr>
            </w:pPr>
            <w:r>
              <w:rPr>
                <w:sz w:val="18"/>
                <w:szCs w:val="18"/>
              </w:rPr>
              <w:t>6.7</w:t>
            </w:r>
            <w:r w:rsidRPr="00310835">
              <w:rPr>
                <w:sz w:val="18"/>
                <w:szCs w:val="18"/>
              </w:rPr>
              <w:tab/>
            </w:r>
            <w:r>
              <w:rPr>
                <w:sz w:val="18"/>
                <w:szCs w:val="18"/>
              </w:rPr>
              <w:t>Would the</w:t>
            </w:r>
            <w:r w:rsidRPr="00310835">
              <w:rPr>
                <w:sz w:val="18"/>
                <w:szCs w:val="18"/>
              </w:rPr>
              <w:t xml:space="preserve"> </w:t>
            </w:r>
            <w:r>
              <w:rPr>
                <w:sz w:val="18"/>
                <w:szCs w:val="18"/>
              </w:rPr>
              <w:t>Project</w:t>
            </w:r>
            <w:r w:rsidRPr="00310835">
              <w:rPr>
                <w:sz w:val="18"/>
                <w:szCs w:val="18"/>
              </w:rPr>
              <w:t xml:space="preserve"> </w:t>
            </w:r>
            <w:r>
              <w:rPr>
                <w:sz w:val="18"/>
                <w:szCs w:val="18"/>
              </w:rPr>
              <w:t>adversely</w:t>
            </w:r>
            <w:r w:rsidRPr="00310835">
              <w:rPr>
                <w:sz w:val="18"/>
                <w:szCs w:val="18"/>
              </w:rPr>
              <w:t xml:space="preserve"> affect the development priorities of </w:t>
            </w:r>
            <w:r>
              <w:rPr>
                <w:sz w:val="18"/>
                <w:szCs w:val="18"/>
              </w:rPr>
              <w:t>i</w:t>
            </w:r>
            <w:r w:rsidRPr="00310835">
              <w:rPr>
                <w:sz w:val="18"/>
                <w:szCs w:val="18"/>
              </w:rPr>
              <w:t xml:space="preserve">ndigenous </w:t>
            </w:r>
            <w:r>
              <w:rPr>
                <w:sz w:val="18"/>
                <w:szCs w:val="18"/>
              </w:rPr>
              <w:t>p</w:t>
            </w:r>
            <w:r w:rsidRPr="00310835">
              <w:rPr>
                <w:sz w:val="18"/>
                <w:szCs w:val="18"/>
              </w:rPr>
              <w:t>eoples as defined by them?</w:t>
            </w:r>
          </w:p>
        </w:tc>
        <w:tc>
          <w:tcPr>
            <w:tcW w:w="833" w:type="dxa"/>
            <w:tcBorders>
              <w:bottom w:val="single" w:sz="4" w:space="0" w:color="auto"/>
            </w:tcBorders>
            <w:shd w:val="clear" w:color="auto" w:fill="auto"/>
          </w:tcPr>
          <w:p w14:paraId="5860E366" w14:textId="77777777" w:rsidR="0077105D" w:rsidRPr="00310835" w:rsidRDefault="0077105D" w:rsidP="00EB71A9">
            <w:pPr>
              <w:tabs>
                <w:tab w:val="left" w:pos="585"/>
              </w:tabs>
              <w:spacing w:before="60"/>
              <w:ind w:left="567" w:hanging="567"/>
              <w:rPr>
                <w:rFonts w:eastAsia="Times New Roman"/>
                <w:sz w:val="18"/>
                <w:szCs w:val="18"/>
              </w:rPr>
            </w:pPr>
            <w:r>
              <w:rPr>
                <w:rFonts w:eastAsia="Times New Roman"/>
                <w:sz w:val="18"/>
                <w:szCs w:val="18"/>
              </w:rPr>
              <w:t>No</w:t>
            </w:r>
          </w:p>
        </w:tc>
      </w:tr>
      <w:tr w:rsidR="0077105D" w:rsidRPr="00310835" w14:paraId="13F0E7A8" w14:textId="77777777" w:rsidTr="00EB71A9">
        <w:tc>
          <w:tcPr>
            <w:tcW w:w="8635" w:type="dxa"/>
            <w:tcBorders>
              <w:bottom w:val="single" w:sz="4" w:space="0" w:color="auto"/>
            </w:tcBorders>
            <w:shd w:val="clear" w:color="auto" w:fill="auto"/>
          </w:tcPr>
          <w:p w14:paraId="6DCB8D71" w14:textId="77777777" w:rsidR="0077105D" w:rsidRPr="00310835" w:rsidRDefault="0077105D" w:rsidP="00EB71A9">
            <w:pPr>
              <w:tabs>
                <w:tab w:val="left" w:pos="585"/>
              </w:tabs>
              <w:spacing w:before="60"/>
              <w:ind w:left="567" w:hanging="567"/>
              <w:rPr>
                <w:sz w:val="18"/>
                <w:szCs w:val="18"/>
              </w:rPr>
            </w:pPr>
            <w:r>
              <w:rPr>
                <w:sz w:val="18"/>
                <w:szCs w:val="18"/>
              </w:rPr>
              <w:t>6.8</w:t>
            </w:r>
            <w:r w:rsidRPr="00310835">
              <w:rPr>
                <w:sz w:val="18"/>
                <w:szCs w:val="18"/>
              </w:rPr>
              <w:tab/>
              <w:t xml:space="preserve">Would the </w:t>
            </w:r>
            <w:r>
              <w:rPr>
                <w:sz w:val="18"/>
                <w:szCs w:val="18"/>
              </w:rPr>
              <w:t>Project</w:t>
            </w:r>
            <w:r w:rsidRPr="00310835">
              <w:rPr>
                <w:sz w:val="18"/>
                <w:szCs w:val="18"/>
              </w:rPr>
              <w:t xml:space="preserve"> potentially affect the physical and cultural survival of </w:t>
            </w:r>
            <w:r>
              <w:rPr>
                <w:sz w:val="18"/>
                <w:szCs w:val="18"/>
              </w:rPr>
              <w:t>i</w:t>
            </w:r>
            <w:r w:rsidRPr="00310835">
              <w:rPr>
                <w:sz w:val="18"/>
                <w:szCs w:val="18"/>
              </w:rPr>
              <w:t xml:space="preserve">ndigenous </w:t>
            </w:r>
            <w:r>
              <w:rPr>
                <w:sz w:val="18"/>
                <w:szCs w:val="18"/>
              </w:rPr>
              <w:t>p</w:t>
            </w:r>
            <w:r w:rsidRPr="00310835">
              <w:rPr>
                <w:sz w:val="18"/>
                <w:szCs w:val="18"/>
              </w:rPr>
              <w:t>eoples?</w:t>
            </w:r>
          </w:p>
        </w:tc>
        <w:tc>
          <w:tcPr>
            <w:tcW w:w="833" w:type="dxa"/>
            <w:tcBorders>
              <w:bottom w:val="single" w:sz="4" w:space="0" w:color="auto"/>
            </w:tcBorders>
            <w:shd w:val="clear" w:color="auto" w:fill="auto"/>
          </w:tcPr>
          <w:p w14:paraId="34FE1ED0" w14:textId="77777777" w:rsidR="0077105D" w:rsidRPr="00310835" w:rsidRDefault="0077105D" w:rsidP="00EB71A9">
            <w:pPr>
              <w:tabs>
                <w:tab w:val="left" w:pos="585"/>
              </w:tabs>
              <w:spacing w:before="60"/>
              <w:ind w:left="567" w:hanging="567"/>
              <w:rPr>
                <w:rFonts w:eastAsia="Times New Roman"/>
                <w:sz w:val="18"/>
                <w:szCs w:val="18"/>
              </w:rPr>
            </w:pPr>
            <w:r>
              <w:rPr>
                <w:rFonts w:eastAsia="Times New Roman"/>
                <w:sz w:val="18"/>
                <w:szCs w:val="18"/>
              </w:rPr>
              <w:t>No</w:t>
            </w:r>
          </w:p>
        </w:tc>
      </w:tr>
      <w:tr w:rsidR="0077105D" w:rsidRPr="00310835" w14:paraId="26C7A27A" w14:textId="77777777" w:rsidTr="00EB71A9">
        <w:tc>
          <w:tcPr>
            <w:tcW w:w="8635" w:type="dxa"/>
            <w:tcBorders>
              <w:bottom w:val="single" w:sz="4" w:space="0" w:color="auto"/>
            </w:tcBorders>
            <w:shd w:val="clear" w:color="auto" w:fill="auto"/>
          </w:tcPr>
          <w:p w14:paraId="1BF3E68F" w14:textId="77777777" w:rsidR="0077105D" w:rsidRPr="00310835" w:rsidRDefault="0077105D" w:rsidP="00EB71A9">
            <w:pPr>
              <w:tabs>
                <w:tab w:val="left" w:pos="585"/>
              </w:tabs>
              <w:spacing w:before="60"/>
              <w:ind w:left="567" w:hanging="567"/>
              <w:rPr>
                <w:sz w:val="18"/>
                <w:szCs w:val="18"/>
              </w:rPr>
            </w:pPr>
            <w:r>
              <w:rPr>
                <w:sz w:val="18"/>
                <w:szCs w:val="18"/>
              </w:rPr>
              <w:t>6.9</w:t>
            </w:r>
            <w:r w:rsidRPr="00310835">
              <w:rPr>
                <w:sz w:val="18"/>
                <w:szCs w:val="18"/>
              </w:rPr>
              <w:tab/>
              <w:t xml:space="preserve">Would the </w:t>
            </w:r>
            <w:r>
              <w:rPr>
                <w:sz w:val="18"/>
                <w:szCs w:val="18"/>
              </w:rPr>
              <w:t>Project</w:t>
            </w:r>
            <w:r w:rsidRPr="00310835">
              <w:rPr>
                <w:sz w:val="18"/>
                <w:szCs w:val="18"/>
              </w:rPr>
              <w:t xml:space="preserve"> potentially affect the Cultural Heritage of </w:t>
            </w:r>
            <w:r>
              <w:rPr>
                <w:sz w:val="18"/>
                <w:szCs w:val="18"/>
              </w:rPr>
              <w:t>i</w:t>
            </w:r>
            <w:r w:rsidRPr="00310835">
              <w:rPr>
                <w:sz w:val="18"/>
                <w:szCs w:val="18"/>
              </w:rPr>
              <w:t xml:space="preserve">ndigenous </w:t>
            </w:r>
            <w:r>
              <w:rPr>
                <w:sz w:val="18"/>
                <w:szCs w:val="18"/>
              </w:rPr>
              <w:t>p</w:t>
            </w:r>
            <w:r w:rsidRPr="00310835">
              <w:rPr>
                <w:sz w:val="18"/>
                <w:szCs w:val="18"/>
              </w:rPr>
              <w:t>eoples, including through the commercialization or use of their traditional knowledge and practices?</w:t>
            </w:r>
          </w:p>
        </w:tc>
        <w:tc>
          <w:tcPr>
            <w:tcW w:w="833" w:type="dxa"/>
            <w:tcBorders>
              <w:bottom w:val="single" w:sz="4" w:space="0" w:color="auto"/>
            </w:tcBorders>
            <w:shd w:val="clear" w:color="auto" w:fill="auto"/>
          </w:tcPr>
          <w:p w14:paraId="76E0BD35" w14:textId="77777777" w:rsidR="0077105D" w:rsidRPr="00310835" w:rsidRDefault="0077105D" w:rsidP="00EB71A9">
            <w:pPr>
              <w:tabs>
                <w:tab w:val="left" w:pos="585"/>
              </w:tabs>
              <w:spacing w:before="60"/>
              <w:ind w:left="567" w:hanging="567"/>
              <w:rPr>
                <w:rFonts w:eastAsia="Times New Roman"/>
                <w:sz w:val="18"/>
                <w:szCs w:val="18"/>
              </w:rPr>
            </w:pPr>
            <w:r>
              <w:rPr>
                <w:rFonts w:eastAsia="Times New Roman"/>
                <w:sz w:val="18"/>
                <w:szCs w:val="18"/>
              </w:rPr>
              <w:t>No</w:t>
            </w:r>
          </w:p>
        </w:tc>
      </w:tr>
      <w:tr w:rsidR="0077105D" w:rsidRPr="00310835" w14:paraId="10A0015E" w14:textId="77777777" w:rsidTr="00EB71A9">
        <w:trPr>
          <w:trHeight w:val="602"/>
        </w:trPr>
        <w:tc>
          <w:tcPr>
            <w:tcW w:w="8635" w:type="dxa"/>
            <w:tcBorders>
              <w:bottom w:val="single" w:sz="4" w:space="0" w:color="auto"/>
            </w:tcBorders>
            <w:shd w:val="clear" w:color="auto" w:fill="DBE5F1" w:themeFill="accent1" w:themeFillTint="33"/>
            <w:vAlign w:val="center"/>
          </w:tcPr>
          <w:p w14:paraId="53B0DE7D" w14:textId="77777777" w:rsidR="0077105D" w:rsidRPr="00310835" w:rsidRDefault="0077105D" w:rsidP="00EB71A9">
            <w:pPr>
              <w:tabs>
                <w:tab w:val="left" w:pos="570"/>
              </w:tabs>
              <w:spacing w:before="120"/>
              <w:rPr>
                <w:rFonts w:eastAsia="Times New Roman"/>
                <w:b/>
                <w:sz w:val="18"/>
                <w:szCs w:val="18"/>
              </w:rPr>
            </w:pPr>
            <w:r w:rsidRPr="00310835">
              <w:rPr>
                <w:rFonts w:eastAsia="Times New Roman"/>
                <w:b/>
                <w:sz w:val="18"/>
                <w:szCs w:val="18"/>
              </w:rPr>
              <w:t>Standard 7: Pollution Prevention and Resource Efficiency</w:t>
            </w:r>
          </w:p>
        </w:tc>
        <w:tc>
          <w:tcPr>
            <w:tcW w:w="833" w:type="dxa"/>
            <w:tcBorders>
              <w:bottom w:val="single" w:sz="4" w:space="0" w:color="auto"/>
            </w:tcBorders>
            <w:shd w:val="clear" w:color="auto" w:fill="DBE5F1" w:themeFill="accent1" w:themeFillTint="33"/>
            <w:vAlign w:val="center"/>
          </w:tcPr>
          <w:p w14:paraId="435435C8" w14:textId="77777777" w:rsidR="0077105D" w:rsidRPr="00310835" w:rsidRDefault="0077105D" w:rsidP="00EB71A9">
            <w:pPr>
              <w:rPr>
                <w:rFonts w:eastAsia="Times New Roman"/>
                <w:b/>
                <w:i/>
                <w:sz w:val="18"/>
                <w:szCs w:val="18"/>
              </w:rPr>
            </w:pPr>
          </w:p>
        </w:tc>
      </w:tr>
      <w:tr w:rsidR="0077105D" w:rsidRPr="00310835" w14:paraId="20120403" w14:textId="77777777" w:rsidTr="00EB71A9">
        <w:tc>
          <w:tcPr>
            <w:tcW w:w="8635" w:type="dxa"/>
            <w:shd w:val="clear" w:color="auto" w:fill="auto"/>
          </w:tcPr>
          <w:p w14:paraId="6561201A" w14:textId="77777777" w:rsidR="0077105D" w:rsidRPr="006F4FD5" w:rsidRDefault="0077105D" w:rsidP="00EB71A9">
            <w:pPr>
              <w:tabs>
                <w:tab w:val="left" w:pos="585"/>
              </w:tabs>
              <w:spacing w:before="60"/>
              <w:ind w:left="567" w:hanging="567"/>
              <w:rPr>
                <w:rFonts w:eastAsia="Times New Roman"/>
                <w:sz w:val="18"/>
                <w:szCs w:val="18"/>
              </w:rPr>
            </w:pPr>
            <w:r w:rsidRPr="006F4FD5">
              <w:rPr>
                <w:rFonts w:eastAsia="Times New Roman"/>
                <w:sz w:val="18"/>
                <w:szCs w:val="18"/>
              </w:rPr>
              <w:t>7.1</w:t>
            </w:r>
            <w:r w:rsidRPr="006F4FD5">
              <w:rPr>
                <w:rFonts w:eastAsia="Times New Roman"/>
                <w:sz w:val="18"/>
                <w:szCs w:val="18"/>
              </w:rPr>
              <w:tab/>
              <w:t xml:space="preserve">Would the Project potentially result in the release of pollutants to the environment due to routine or non-routine circumstances with the potential for adverse local, regional, and/or </w:t>
            </w:r>
            <w:hyperlink w:anchor="TransboundaryImpactsGlossary" w:history="1">
              <w:r w:rsidRPr="006F4FD5">
                <w:rPr>
                  <w:rFonts w:eastAsia="Times New Roman"/>
                  <w:sz w:val="18"/>
                  <w:szCs w:val="18"/>
                </w:rPr>
                <w:t>transboundary impacts</w:t>
              </w:r>
            </w:hyperlink>
            <w:r w:rsidRPr="006F4FD5">
              <w:rPr>
                <w:rFonts w:eastAsia="Times New Roman"/>
                <w:sz w:val="18"/>
                <w:szCs w:val="18"/>
              </w:rPr>
              <w:t xml:space="preserve">? </w:t>
            </w:r>
          </w:p>
        </w:tc>
        <w:tc>
          <w:tcPr>
            <w:tcW w:w="833" w:type="dxa"/>
            <w:shd w:val="clear" w:color="auto" w:fill="auto"/>
          </w:tcPr>
          <w:p w14:paraId="5A19850C" w14:textId="77777777" w:rsidR="0077105D" w:rsidRPr="006F4FD5" w:rsidRDefault="0077105D" w:rsidP="00EB71A9">
            <w:pPr>
              <w:rPr>
                <w:rFonts w:eastAsia="Times New Roman"/>
                <w:sz w:val="18"/>
                <w:szCs w:val="18"/>
              </w:rPr>
            </w:pPr>
            <w:r>
              <w:rPr>
                <w:rFonts w:eastAsia="Times New Roman"/>
                <w:sz w:val="18"/>
                <w:szCs w:val="18"/>
              </w:rPr>
              <w:t>No</w:t>
            </w:r>
          </w:p>
        </w:tc>
      </w:tr>
      <w:tr w:rsidR="0077105D" w:rsidRPr="00310835" w14:paraId="56A97A45" w14:textId="77777777" w:rsidTr="00EB71A9">
        <w:tc>
          <w:tcPr>
            <w:tcW w:w="8635" w:type="dxa"/>
            <w:tcBorders>
              <w:bottom w:val="single" w:sz="4" w:space="0" w:color="auto"/>
            </w:tcBorders>
            <w:shd w:val="clear" w:color="auto" w:fill="auto"/>
          </w:tcPr>
          <w:p w14:paraId="6E30BB15" w14:textId="77777777" w:rsidR="0077105D" w:rsidRPr="00310835" w:rsidRDefault="0077105D" w:rsidP="00EB71A9">
            <w:pPr>
              <w:tabs>
                <w:tab w:val="left" w:pos="585"/>
              </w:tabs>
              <w:spacing w:before="60"/>
              <w:ind w:left="567" w:hanging="567"/>
              <w:rPr>
                <w:rFonts w:eastAsia="Times New Roman"/>
                <w:sz w:val="18"/>
                <w:szCs w:val="18"/>
              </w:rPr>
            </w:pPr>
            <w:r w:rsidRPr="00310835">
              <w:rPr>
                <w:rFonts w:eastAsia="Times New Roman"/>
                <w:sz w:val="18"/>
                <w:szCs w:val="18"/>
              </w:rPr>
              <w:t>7.2</w:t>
            </w:r>
            <w:r w:rsidRPr="00310835">
              <w:rPr>
                <w:rFonts w:eastAsia="Times New Roman"/>
                <w:sz w:val="18"/>
                <w:szCs w:val="18"/>
              </w:rPr>
              <w:tab/>
              <w:t xml:space="preserve">Would the proposed </w:t>
            </w:r>
            <w:r>
              <w:rPr>
                <w:rFonts w:eastAsia="Times New Roman"/>
                <w:sz w:val="18"/>
                <w:szCs w:val="18"/>
              </w:rPr>
              <w:t>Project</w:t>
            </w:r>
            <w:r w:rsidRPr="00310835">
              <w:rPr>
                <w:rFonts w:eastAsia="Times New Roman"/>
                <w:sz w:val="18"/>
                <w:szCs w:val="18"/>
              </w:rPr>
              <w:t xml:space="preserve"> potentially result in the generation of waste (bot</w:t>
            </w:r>
            <w:r>
              <w:rPr>
                <w:rFonts w:eastAsia="Times New Roman"/>
                <w:sz w:val="18"/>
                <w:szCs w:val="18"/>
              </w:rPr>
              <w:t>h hazardous and non-hazardous)?</w:t>
            </w:r>
          </w:p>
        </w:tc>
        <w:tc>
          <w:tcPr>
            <w:tcW w:w="833" w:type="dxa"/>
            <w:tcBorders>
              <w:bottom w:val="single" w:sz="4" w:space="0" w:color="auto"/>
            </w:tcBorders>
            <w:shd w:val="clear" w:color="auto" w:fill="auto"/>
          </w:tcPr>
          <w:p w14:paraId="5E860638" w14:textId="77777777" w:rsidR="0077105D" w:rsidRPr="00310835" w:rsidRDefault="0077105D" w:rsidP="00EB71A9">
            <w:pPr>
              <w:rPr>
                <w:rFonts w:eastAsia="Times New Roman"/>
                <w:sz w:val="18"/>
                <w:szCs w:val="18"/>
              </w:rPr>
            </w:pPr>
            <w:r>
              <w:rPr>
                <w:rFonts w:eastAsia="Times New Roman"/>
                <w:sz w:val="18"/>
                <w:szCs w:val="18"/>
              </w:rPr>
              <w:t>No</w:t>
            </w:r>
          </w:p>
        </w:tc>
      </w:tr>
      <w:tr w:rsidR="0077105D" w:rsidRPr="00310835" w14:paraId="6EAAB370" w14:textId="77777777" w:rsidTr="00EB71A9">
        <w:trPr>
          <w:trHeight w:val="402"/>
        </w:trPr>
        <w:tc>
          <w:tcPr>
            <w:tcW w:w="8635" w:type="dxa"/>
            <w:tcBorders>
              <w:bottom w:val="single" w:sz="4" w:space="0" w:color="auto"/>
            </w:tcBorders>
            <w:shd w:val="clear" w:color="auto" w:fill="auto"/>
          </w:tcPr>
          <w:p w14:paraId="3EC4806F" w14:textId="77777777" w:rsidR="0077105D" w:rsidRDefault="0077105D" w:rsidP="00EB71A9">
            <w:pPr>
              <w:tabs>
                <w:tab w:val="left" w:pos="585"/>
              </w:tabs>
              <w:spacing w:before="60"/>
              <w:ind w:left="567" w:hanging="567"/>
              <w:rPr>
                <w:rFonts w:eastAsia="Times New Roman"/>
                <w:sz w:val="18"/>
                <w:szCs w:val="18"/>
              </w:rPr>
            </w:pPr>
            <w:r w:rsidRPr="00310835">
              <w:rPr>
                <w:rFonts w:eastAsia="Times New Roman"/>
                <w:sz w:val="18"/>
                <w:szCs w:val="18"/>
              </w:rPr>
              <w:t>7.3</w:t>
            </w:r>
            <w:r w:rsidRPr="00310835">
              <w:rPr>
                <w:rFonts w:eastAsia="Times New Roman"/>
                <w:sz w:val="18"/>
                <w:szCs w:val="18"/>
              </w:rPr>
              <w:tab/>
              <w:t xml:space="preserve">Will the proposed </w:t>
            </w:r>
            <w:r>
              <w:rPr>
                <w:rFonts w:eastAsia="Times New Roman"/>
                <w:sz w:val="18"/>
                <w:szCs w:val="18"/>
              </w:rPr>
              <w:t>Project</w:t>
            </w:r>
            <w:r w:rsidRPr="00310835">
              <w:rPr>
                <w:rFonts w:eastAsia="Times New Roman"/>
                <w:sz w:val="18"/>
                <w:szCs w:val="18"/>
              </w:rPr>
              <w:t xml:space="preserve"> potentially involve the manufacture, trade, release, and/or use of hazardous chemicals and/or materials? Does the </w:t>
            </w:r>
            <w:r>
              <w:rPr>
                <w:rFonts w:eastAsia="Times New Roman"/>
                <w:sz w:val="18"/>
                <w:szCs w:val="18"/>
              </w:rPr>
              <w:t>Project</w:t>
            </w:r>
            <w:r w:rsidRPr="00310835">
              <w:rPr>
                <w:rFonts w:eastAsia="Times New Roman"/>
                <w:sz w:val="18"/>
                <w:szCs w:val="18"/>
              </w:rPr>
              <w:t xml:space="preserve"> propose use of chemicals or materials subject to int</w:t>
            </w:r>
            <w:r>
              <w:rPr>
                <w:rFonts w:eastAsia="Times New Roman"/>
                <w:sz w:val="18"/>
                <w:szCs w:val="18"/>
              </w:rPr>
              <w:t>ernational bans or phase-outs?</w:t>
            </w:r>
          </w:p>
          <w:p w14:paraId="137FF439" w14:textId="77777777" w:rsidR="0077105D" w:rsidRPr="00310835" w:rsidRDefault="0077105D" w:rsidP="00EB71A9">
            <w:pPr>
              <w:tabs>
                <w:tab w:val="left" w:pos="630"/>
              </w:tabs>
              <w:spacing w:before="60"/>
              <w:ind w:left="630"/>
              <w:rPr>
                <w:rFonts w:eastAsia="Times New Roman"/>
                <w:sz w:val="18"/>
                <w:szCs w:val="18"/>
              </w:rPr>
            </w:pPr>
            <w:r w:rsidRPr="00E16A43">
              <w:rPr>
                <w:rFonts w:eastAsia="Times New Roman"/>
                <w:i/>
                <w:sz w:val="18"/>
                <w:szCs w:val="18"/>
              </w:rPr>
              <w:t>For example, DDT, PCBs and other chemicals listed in international conventions such as the Stockholm Conventions on Persistent Organic Pollutants or the Montreal Protocol</w:t>
            </w:r>
            <w:r>
              <w:rPr>
                <w:rFonts w:eastAsia="Times New Roman"/>
                <w:sz w:val="18"/>
                <w:szCs w:val="18"/>
              </w:rPr>
              <w:t xml:space="preserve"> </w:t>
            </w:r>
          </w:p>
        </w:tc>
        <w:tc>
          <w:tcPr>
            <w:tcW w:w="833" w:type="dxa"/>
            <w:tcBorders>
              <w:bottom w:val="single" w:sz="4" w:space="0" w:color="auto"/>
            </w:tcBorders>
            <w:shd w:val="clear" w:color="auto" w:fill="auto"/>
          </w:tcPr>
          <w:p w14:paraId="2EC8F6A4" w14:textId="77777777" w:rsidR="0077105D" w:rsidRPr="00310835" w:rsidRDefault="0077105D" w:rsidP="00EB71A9">
            <w:pPr>
              <w:rPr>
                <w:rFonts w:eastAsia="Times New Roman"/>
                <w:sz w:val="18"/>
                <w:szCs w:val="18"/>
              </w:rPr>
            </w:pPr>
            <w:r>
              <w:rPr>
                <w:rFonts w:eastAsia="Times New Roman"/>
                <w:sz w:val="18"/>
                <w:szCs w:val="18"/>
              </w:rPr>
              <w:t>No</w:t>
            </w:r>
          </w:p>
        </w:tc>
      </w:tr>
      <w:tr w:rsidR="0077105D" w:rsidRPr="00310835" w14:paraId="7C414B8B" w14:textId="77777777" w:rsidTr="00EB71A9">
        <w:tc>
          <w:tcPr>
            <w:tcW w:w="8635" w:type="dxa"/>
            <w:tcBorders>
              <w:bottom w:val="single" w:sz="4" w:space="0" w:color="auto"/>
            </w:tcBorders>
            <w:shd w:val="clear" w:color="auto" w:fill="auto"/>
          </w:tcPr>
          <w:p w14:paraId="25B2C2EE" w14:textId="77777777" w:rsidR="0077105D" w:rsidRPr="00310835" w:rsidRDefault="0077105D" w:rsidP="00EB71A9">
            <w:pPr>
              <w:tabs>
                <w:tab w:val="left" w:pos="585"/>
              </w:tabs>
              <w:spacing w:before="60"/>
              <w:ind w:left="567" w:hanging="567"/>
              <w:rPr>
                <w:rFonts w:eastAsia="Times New Roman"/>
                <w:sz w:val="18"/>
                <w:szCs w:val="18"/>
              </w:rPr>
            </w:pPr>
            <w:r w:rsidRPr="00310835">
              <w:rPr>
                <w:rFonts w:eastAsia="Times New Roman"/>
                <w:sz w:val="18"/>
                <w:szCs w:val="18"/>
              </w:rPr>
              <w:t xml:space="preserve">7.4 </w:t>
            </w:r>
            <w:r w:rsidRPr="00310835">
              <w:rPr>
                <w:rFonts w:eastAsia="Times New Roman"/>
                <w:sz w:val="18"/>
                <w:szCs w:val="18"/>
              </w:rPr>
              <w:tab/>
              <w:t xml:space="preserve">Will the proposed </w:t>
            </w:r>
            <w:r>
              <w:rPr>
                <w:rFonts w:eastAsia="Times New Roman"/>
                <w:sz w:val="18"/>
                <w:szCs w:val="18"/>
              </w:rPr>
              <w:t>Project</w:t>
            </w:r>
            <w:r w:rsidRPr="00310835">
              <w:rPr>
                <w:rFonts w:eastAsia="Times New Roman"/>
                <w:sz w:val="18"/>
                <w:szCs w:val="18"/>
              </w:rPr>
              <w:t xml:space="preserve"> involve the application of pesticides that </w:t>
            </w:r>
            <w:r>
              <w:rPr>
                <w:rFonts w:eastAsia="Times New Roman"/>
                <w:sz w:val="18"/>
                <w:szCs w:val="18"/>
              </w:rPr>
              <w:t xml:space="preserve">may </w:t>
            </w:r>
            <w:r w:rsidRPr="00310835">
              <w:rPr>
                <w:rFonts w:eastAsia="Times New Roman"/>
                <w:sz w:val="18"/>
                <w:szCs w:val="18"/>
              </w:rPr>
              <w:t>have a negative effect on the environment or human health?</w:t>
            </w:r>
          </w:p>
        </w:tc>
        <w:tc>
          <w:tcPr>
            <w:tcW w:w="833" w:type="dxa"/>
            <w:tcBorders>
              <w:bottom w:val="single" w:sz="4" w:space="0" w:color="auto"/>
            </w:tcBorders>
            <w:shd w:val="clear" w:color="auto" w:fill="auto"/>
          </w:tcPr>
          <w:p w14:paraId="55ECE606" w14:textId="77777777" w:rsidR="0077105D" w:rsidRPr="00310835" w:rsidRDefault="0077105D" w:rsidP="00EB71A9">
            <w:pPr>
              <w:tabs>
                <w:tab w:val="left" w:pos="585"/>
              </w:tabs>
              <w:spacing w:before="60"/>
              <w:ind w:left="567" w:hanging="567"/>
              <w:rPr>
                <w:rFonts w:eastAsia="Times New Roman"/>
                <w:sz w:val="18"/>
                <w:szCs w:val="18"/>
              </w:rPr>
            </w:pPr>
            <w:r>
              <w:rPr>
                <w:rFonts w:eastAsia="Times New Roman"/>
                <w:sz w:val="18"/>
                <w:szCs w:val="18"/>
              </w:rPr>
              <w:t>No</w:t>
            </w:r>
          </w:p>
        </w:tc>
      </w:tr>
      <w:tr w:rsidR="0077105D" w:rsidRPr="00310835" w14:paraId="65B332F3" w14:textId="77777777" w:rsidTr="00EB71A9">
        <w:tc>
          <w:tcPr>
            <w:tcW w:w="8635" w:type="dxa"/>
            <w:tcBorders>
              <w:bottom w:val="single" w:sz="4" w:space="0" w:color="auto"/>
            </w:tcBorders>
            <w:shd w:val="clear" w:color="auto" w:fill="auto"/>
          </w:tcPr>
          <w:p w14:paraId="6FFC0BC1" w14:textId="77777777" w:rsidR="0077105D" w:rsidRPr="00310835" w:rsidRDefault="0077105D" w:rsidP="00EB71A9">
            <w:pPr>
              <w:tabs>
                <w:tab w:val="left" w:pos="585"/>
              </w:tabs>
              <w:spacing w:before="60"/>
              <w:ind w:left="567" w:hanging="567"/>
              <w:rPr>
                <w:rFonts w:eastAsia="Times New Roman"/>
                <w:sz w:val="18"/>
                <w:szCs w:val="18"/>
              </w:rPr>
            </w:pPr>
            <w:r w:rsidRPr="00310835">
              <w:rPr>
                <w:rFonts w:eastAsia="Times New Roman"/>
                <w:sz w:val="18"/>
                <w:szCs w:val="18"/>
              </w:rPr>
              <w:t>7.5</w:t>
            </w:r>
            <w:r w:rsidRPr="00310835">
              <w:rPr>
                <w:rFonts w:eastAsia="Times New Roman"/>
                <w:sz w:val="18"/>
                <w:szCs w:val="18"/>
              </w:rPr>
              <w:tab/>
            </w:r>
            <w:r>
              <w:rPr>
                <w:rFonts w:eastAsia="Times New Roman"/>
                <w:sz w:val="18"/>
                <w:szCs w:val="18"/>
              </w:rPr>
              <w:t>Does the Project include</w:t>
            </w:r>
            <w:r w:rsidRPr="00310835">
              <w:rPr>
                <w:rFonts w:eastAsia="Times New Roman"/>
                <w:sz w:val="18"/>
                <w:szCs w:val="18"/>
              </w:rPr>
              <w:t xml:space="preserve"> activities that require significant consumption of raw materials, energy, and/or water</w:t>
            </w:r>
            <w:r>
              <w:rPr>
                <w:rFonts w:eastAsia="Times New Roman"/>
                <w:sz w:val="18"/>
                <w:szCs w:val="18"/>
              </w:rPr>
              <w:t xml:space="preserve">? </w:t>
            </w:r>
          </w:p>
        </w:tc>
        <w:tc>
          <w:tcPr>
            <w:tcW w:w="833" w:type="dxa"/>
            <w:tcBorders>
              <w:bottom w:val="single" w:sz="4" w:space="0" w:color="auto"/>
            </w:tcBorders>
            <w:shd w:val="clear" w:color="auto" w:fill="auto"/>
          </w:tcPr>
          <w:p w14:paraId="335BD97C" w14:textId="77777777" w:rsidR="0077105D" w:rsidRPr="00310835" w:rsidRDefault="0077105D" w:rsidP="00EB71A9">
            <w:pPr>
              <w:tabs>
                <w:tab w:val="left" w:pos="585"/>
              </w:tabs>
              <w:spacing w:before="60"/>
              <w:ind w:left="567" w:hanging="567"/>
              <w:rPr>
                <w:rFonts w:eastAsia="Times New Roman"/>
                <w:sz w:val="18"/>
                <w:szCs w:val="18"/>
              </w:rPr>
            </w:pPr>
            <w:r>
              <w:rPr>
                <w:rFonts w:eastAsia="Times New Roman"/>
                <w:sz w:val="18"/>
                <w:szCs w:val="18"/>
              </w:rPr>
              <w:t>No</w:t>
            </w:r>
          </w:p>
        </w:tc>
      </w:tr>
      <w:bookmarkEnd w:id="23"/>
    </w:tbl>
    <w:p w14:paraId="28B5E360" w14:textId="77777777" w:rsidR="00BD45ED" w:rsidRDefault="00BD45ED" w:rsidP="00FD0662">
      <w:pPr>
        <w:spacing w:before="120" w:after="120"/>
        <w:rPr>
          <w:rFonts w:asciiTheme="majorHAnsi" w:hAnsiTheme="majorHAnsi"/>
          <w:b/>
          <w:szCs w:val="20"/>
        </w:rPr>
        <w:sectPr w:rsidR="00BD45ED" w:rsidSect="00C97C18">
          <w:pgSz w:w="12240" w:h="15840" w:code="1"/>
          <w:pgMar w:top="720" w:right="720" w:bottom="720" w:left="720" w:header="720" w:footer="720" w:gutter="0"/>
          <w:cols w:space="720"/>
          <w:docGrid w:linePitch="360"/>
        </w:sectPr>
      </w:pPr>
    </w:p>
    <w:p w14:paraId="5FC7418E" w14:textId="77777777" w:rsidR="00363608" w:rsidRDefault="00363608" w:rsidP="00363608">
      <w:pPr>
        <w:jc w:val="right"/>
        <w:rPr>
          <w:b/>
          <w:sz w:val="20"/>
          <w:szCs w:val="20"/>
        </w:rPr>
      </w:pPr>
      <w:r>
        <w:rPr>
          <w:b/>
          <w:sz w:val="20"/>
          <w:szCs w:val="20"/>
        </w:rPr>
        <w:t>Annex 10</w:t>
      </w:r>
    </w:p>
    <w:p w14:paraId="7A2AC098" w14:textId="77777777" w:rsidR="00363608" w:rsidRPr="000D745B" w:rsidRDefault="00363608" w:rsidP="00363608">
      <w:pPr>
        <w:jc w:val="center"/>
        <w:rPr>
          <w:rFonts w:asciiTheme="majorHAnsi" w:hAnsiTheme="majorHAnsi"/>
          <w:b/>
          <w:sz w:val="20"/>
          <w:szCs w:val="20"/>
        </w:rPr>
      </w:pPr>
      <w:r w:rsidRPr="000D745B">
        <w:rPr>
          <w:rFonts w:asciiTheme="majorHAnsi" w:hAnsiTheme="majorHAnsi"/>
          <w:b/>
          <w:sz w:val="20"/>
          <w:szCs w:val="20"/>
        </w:rPr>
        <w:t>Terms of Reference of Key Positions</w:t>
      </w:r>
    </w:p>
    <w:p w14:paraId="552B8985" w14:textId="77777777" w:rsidR="00363608" w:rsidRPr="000D745B" w:rsidRDefault="00363608" w:rsidP="00D17561">
      <w:pPr>
        <w:pStyle w:val="ListParagraph"/>
        <w:numPr>
          <w:ilvl w:val="0"/>
          <w:numId w:val="187"/>
        </w:numPr>
        <w:spacing w:after="160" w:line="259" w:lineRule="auto"/>
        <w:contextualSpacing/>
        <w:jc w:val="both"/>
        <w:rPr>
          <w:rFonts w:asciiTheme="majorHAnsi" w:hAnsiTheme="majorHAnsi"/>
          <w:b/>
          <w:sz w:val="20"/>
          <w:szCs w:val="20"/>
        </w:rPr>
      </w:pPr>
      <w:r w:rsidRPr="000D745B">
        <w:rPr>
          <w:rFonts w:asciiTheme="majorHAnsi" w:hAnsiTheme="majorHAnsi"/>
          <w:b/>
          <w:sz w:val="20"/>
          <w:szCs w:val="20"/>
        </w:rPr>
        <w:t xml:space="preserve">Project Board </w:t>
      </w:r>
    </w:p>
    <w:p w14:paraId="0247885D" w14:textId="77777777" w:rsidR="00363608" w:rsidRPr="000D745B" w:rsidRDefault="00363608" w:rsidP="00363608">
      <w:pPr>
        <w:shd w:val="clear" w:color="auto" w:fill="FFFFFF"/>
        <w:spacing w:after="0"/>
        <w:rPr>
          <w:rFonts w:asciiTheme="majorHAnsi" w:hAnsiTheme="majorHAnsi" w:cs="Arial"/>
          <w:noProof/>
          <w:sz w:val="20"/>
          <w:szCs w:val="20"/>
          <w:lang w:eastAsia="zh-CN"/>
        </w:rPr>
      </w:pPr>
      <w:r w:rsidRPr="000D745B">
        <w:rPr>
          <w:rFonts w:asciiTheme="majorHAnsi" w:hAnsiTheme="majorHAnsi" w:cs="Arial"/>
          <w:noProof/>
          <w:sz w:val="20"/>
          <w:szCs w:val="20"/>
          <w:lang w:eastAsia="zh-CN"/>
        </w:rPr>
        <w:t xml:space="preserve">The </w:t>
      </w:r>
      <w:r w:rsidRPr="000D745B">
        <w:rPr>
          <w:rFonts w:asciiTheme="majorHAnsi" w:hAnsiTheme="majorHAnsi" w:cs="Arial"/>
          <w:b/>
          <w:noProof/>
          <w:sz w:val="20"/>
          <w:szCs w:val="20"/>
          <w:lang w:eastAsia="zh-CN"/>
        </w:rPr>
        <w:t xml:space="preserve">Project Board </w:t>
      </w:r>
      <w:r w:rsidRPr="000D745B">
        <w:rPr>
          <w:rFonts w:asciiTheme="majorHAnsi" w:hAnsiTheme="majorHAnsi" w:cs="Arial"/>
          <w:noProof/>
          <w:sz w:val="20"/>
          <w:szCs w:val="20"/>
          <w:lang w:eastAsia="zh-CN"/>
        </w:rPr>
        <w:t xml:space="preserve">is responsible for making management decisions when guidance is required by the Project Manager. In order to ensure UNDP’s ultimate accountability, Project Board decisions should be made in accordance with standards that shall ensure management for development results, best value money, fairness, integrity, transparency and effective international competition. </w:t>
      </w:r>
    </w:p>
    <w:p w14:paraId="0D47117C" w14:textId="77777777" w:rsidR="00363608" w:rsidRPr="000D745B" w:rsidRDefault="00363608" w:rsidP="00363608">
      <w:pPr>
        <w:shd w:val="clear" w:color="auto" w:fill="FFFFFF"/>
        <w:spacing w:after="0"/>
        <w:rPr>
          <w:rFonts w:asciiTheme="majorHAnsi" w:hAnsiTheme="majorHAnsi" w:cs="Arial"/>
          <w:noProof/>
          <w:sz w:val="20"/>
          <w:szCs w:val="20"/>
          <w:lang w:eastAsia="zh-CN"/>
        </w:rPr>
      </w:pPr>
    </w:p>
    <w:p w14:paraId="7A767047" w14:textId="77777777" w:rsidR="00363608" w:rsidRPr="000D745B" w:rsidRDefault="00363608" w:rsidP="00363608">
      <w:pPr>
        <w:shd w:val="clear" w:color="auto" w:fill="FFFFFF"/>
        <w:spacing w:after="0"/>
        <w:rPr>
          <w:rFonts w:asciiTheme="majorHAnsi" w:hAnsiTheme="majorHAnsi" w:cs="Arial"/>
          <w:noProof/>
          <w:sz w:val="20"/>
          <w:szCs w:val="20"/>
          <w:lang w:eastAsia="zh-CN"/>
        </w:rPr>
      </w:pPr>
      <w:r w:rsidRPr="000D745B">
        <w:rPr>
          <w:rFonts w:asciiTheme="majorHAnsi" w:hAnsiTheme="majorHAnsi" w:cs="Arial"/>
          <w:b/>
          <w:noProof/>
          <w:sz w:val="20"/>
          <w:szCs w:val="20"/>
          <w:lang w:eastAsia="zh-CN"/>
        </w:rPr>
        <w:t>Members:</w:t>
      </w:r>
      <w:r w:rsidRPr="000D745B">
        <w:rPr>
          <w:rFonts w:asciiTheme="majorHAnsi" w:hAnsiTheme="majorHAnsi" w:cs="Arial"/>
          <w:noProof/>
          <w:sz w:val="20"/>
          <w:szCs w:val="20"/>
          <w:lang w:eastAsia="zh-CN"/>
        </w:rPr>
        <w:t xml:space="preserve"> The Project Board is comprised of the following members: </w:t>
      </w:r>
    </w:p>
    <w:p w14:paraId="2CBE4766" w14:textId="77777777" w:rsidR="00363608" w:rsidRPr="000D745B" w:rsidRDefault="00363608" w:rsidP="00363608">
      <w:pPr>
        <w:shd w:val="clear" w:color="auto" w:fill="FFFFFF"/>
        <w:spacing w:after="0"/>
        <w:rPr>
          <w:rFonts w:asciiTheme="majorHAnsi" w:hAnsiTheme="majorHAnsi" w:cs="Arial"/>
          <w:noProof/>
          <w:sz w:val="20"/>
          <w:szCs w:val="20"/>
          <w:lang w:eastAsia="zh-CN"/>
        </w:rPr>
      </w:pPr>
    </w:p>
    <w:p w14:paraId="1AC5E91A" w14:textId="77777777" w:rsidR="00363608" w:rsidRPr="000D745B" w:rsidRDefault="00363608" w:rsidP="00D17561">
      <w:pPr>
        <w:pStyle w:val="ListParagraph"/>
        <w:numPr>
          <w:ilvl w:val="0"/>
          <w:numId w:val="197"/>
        </w:numPr>
        <w:shd w:val="clear" w:color="auto" w:fill="FFFFFF"/>
        <w:jc w:val="both"/>
        <w:rPr>
          <w:rFonts w:asciiTheme="majorHAnsi" w:hAnsiTheme="majorHAnsi" w:cs="Arial"/>
          <w:noProof/>
          <w:sz w:val="20"/>
          <w:szCs w:val="20"/>
          <w:lang w:eastAsia="zh-CN"/>
        </w:rPr>
      </w:pPr>
      <w:r w:rsidRPr="000D745B">
        <w:rPr>
          <w:rFonts w:asciiTheme="majorHAnsi" w:hAnsiTheme="majorHAnsi" w:cs="Arial"/>
          <w:noProof/>
          <w:sz w:val="20"/>
          <w:szCs w:val="20"/>
          <w:lang w:eastAsia="zh-CN"/>
        </w:rPr>
        <w:t>The Minister of MNRET</w:t>
      </w:r>
    </w:p>
    <w:p w14:paraId="611EEDAC" w14:textId="77777777" w:rsidR="00363608" w:rsidRPr="000D745B" w:rsidRDefault="00363608" w:rsidP="00D17561">
      <w:pPr>
        <w:pStyle w:val="ListParagraph"/>
        <w:numPr>
          <w:ilvl w:val="0"/>
          <w:numId w:val="197"/>
        </w:numPr>
        <w:shd w:val="clear" w:color="auto" w:fill="FFFFFF"/>
        <w:jc w:val="both"/>
        <w:rPr>
          <w:rFonts w:asciiTheme="majorHAnsi" w:hAnsiTheme="majorHAnsi" w:cs="Arial"/>
          <w:noProof/>
          <w:sz w:val="20"/>
          <w:szCs w:val="20"/>
          <w:lang w:eastAsia="zh-CN"/>
        </w:rPr>
      </w:pPr>
      <w:r w:rsidRPr="000D745B">
        <w:rPr>
          <w:rFonts w:asciiTheme="majorHAnsi" w:hAnsiTheme="majorHAnsi" w:cs="Arial"/>
          <w:noProof/>
          <w:sz w:val="20"/>
          <w:szCs w:val="20"/>
          <w:lang w:eastAsia="zh-CN"/>
        </w:rPr>
        <w:t>MNRET’s Environmental Planning Unit (EPU) Coordinator (eventually to become the Director of the Bureau of Environment)</w:t>
      </w:r>
    </w:p>
    <w:p w14:paraId="7A90BC18" w14:textId="77777777" w:rsidR="00363608" w:rsidRPr="000D745B" w:rsidRDefault="00363608" w:rsidP="00D17561">
      <w:pPr>
        <w:pStyle w:val="ListParagraph"/>
        <w:numPr>
          <w:ilvl w:val="0"/>
          <w:numId w:val="197"/>
        </w:numPr>
        <w:shd w:val="clear" w:color="auto" w:fill="FFFFFF"/>
        <w:jc w:val="both"/>
        <w:rPr>
          <w:rFonts w:asciiTheme="majorHAnsi" w:hAnsiTheme="majorHAnsi" w:cs="Arial"/>
          <w:noProof/>
          <w:sz w:val="20"/>
          <w:szCs w:val="20"/>
          <w:lang w:eastAsia="zh-CN"/>
        </w:rPr>
      </w:pPr>
      <w:r w:rsidRPr="000D745B">
        <w:rPr>
          <w:rFonts w:asciiTheme="majorHAnsi" w:hAnsiTheme="majorHAnsi" w:cs="Arial"/>
          <w:noProof/>
          <w:sz w:val="20"/>
          <w:szCs w:val="20"/>
          <w:lang w:eastAsia="zh-CN"/>
        </w:rPr>
        <w:t>The UNDP Country Program Officer</w:t>
      </w:r>
    </w:p>
    <w:p w14:paraId="1D8CD20B" w14:textId="77777777" w:rsidR="00363608" w:rsidRPr="000D745B" w:rsidRDefault="00363608" w:rsidP="00363608">
      <w:pPr>
        <w:shd w:val="clear" w:color="auto" w:fill="FFFFFF"/>
        <w:spacing w:after="0"/>
        <w:rPr>
          <w:rFonts w:asciiTheme="majorHAnsi" w:hAnsiTheme="majorHAnsi" w:cs="Arial"/>
          <w:noProof/>
          <w:sz w:val="20"/>
          <w:szCs w:val="20"/>
          <w:lang w:eastAsia="zh-CN"/>
        </w:rPr>
      </w:pPr>
    </w:p>
    <w:p w14:paraId="3E62A412" w14:textId="77777777" w:rsidR="00363608" w:rsidRPr="000D745B" w:rsidRDefault="00363608" w:rsidP="00363608">
      <w:pPr>
        <w:rPr>
          <w:rFonts w:asciiTheme="majorHAnsi" w:hAnsiTheme="majorHAnsi" w:cs="Cambria"/>
          <w:color w:val="000000"/>
          <w:sz w:val="20"/>
          <w:szCs w:val="20"/>
        </w:rPr>
      </w:pPr>
      <w:r w:rsidRPr="000D745B">
        <w:rPr>
          <w:rFonts w:asciiTheme="majorHAnsi" w:hAnsiTheme="majorHAnsi" w:cs="Arial"/>
          <w:b/>
          <w:noProof/>
          <w:sz w:val="20"/>
          <w:szCs w:val="20"/>
          <w:lang w:eastAsia="zh-CN"/>
        </w:rPr>
        <w:t xml:space="preserve">Purpose and Tasks: </w:t>
      </w:r>
      <w:r w:rsidRPr="000D745B">
        <w:rPr>
          <w:rFonts w:asciiTheme="majorHAnsi" w:hAnsiTheme="majorHAnsi" w:cs="Arial"/>
          <w:noProof/>
          <w:sz w:val="20"/>
          <w:szCs w:val="20"/>
          <w:lang w:eastAsia="zh-CN"/>
        </w:rPr>
        <w:t xml:space="preserve">At a minimum the Board shall meet at least 2 times per year. The Project Manager shall serve as an assistant to the Project Board to </w:t>
      </w:r>
      <w:r w:rsidRPr="000D745B">
        <w:rPr>
          <w:rFonts w:asciiTheme="majorHAnsi" w:hAnsiTheme="majorHAnsi" w:cs="Cambria"/>
          <w:color w:val="000000"/>
          <w:sz w:val="20"/>
          <w:szCs w:val="20"/>
        </w:rPr>
        <w:t>call meetings, prepare agendas, document and distribute minutes, and ensure that decisions of the Board are implemented in letter and spirit. The Project Manager shall attend meetings and provide input, although will not be a voting member. Changes to the project’s outcomes, outputs, and budget shall be the responsibility of the Board and shall not be made by any one member of the Board. Specific responsibilities of the Project Board would include the following:</w:t>
      </w:r>
    </w:p>
    <w:p w14:paraId="693D2998" w14:textId="77777777" w:rsidR="00363608" w:rsidRPr="000D745B" w:rsidRDefault="00363608" w:rsidP="00EA4043">
      <w:pPr>
        <w:numPr>
          <w:ilvl w:val="0"/>
          <w:numId w:val="101"/>
        </w:numPr>
        <w:spacing w:after="0"/>
        <w:contextualSpacing/>
        <w:rPr>
          <w:rFonts w:asciiTheme="majorHAnsi" w:hAnsiTheme="majorHAnsi" w:cs="Cambria"/>
          <w:color w:val="000000"/>
          <w:sz w:val="20"/>
          <w:szCs w:val="20"/>
        </w:rPr>
      </w:pPr>
      <w:r w:rsidRPr="000D745B">
        <w:rPr>
          <w:rFonts w:asciiTheme="majorHAnsi" w:hAnsiTheme="majorHAnsi" w:cs="Cambria"/>
          <w:color w:val="000000"/>
          <w:sz w:val="20"/>
          <w:szCs w:val="20"/>
        </w:rPr>
        <w:t>Provide stakeholder input and link directly to their representative bodies (NEPC, MNRET Bureaus) to ensure that project partners are fully mainstreaming the project and its national-level goals.</w:t>
      </w:r>
    </w:p>
    <w:p w14:paraId="6A718B00" w14:textId="77777777" w:rsidR="00363608" w:rsidRPr="000D745B" w:rsidRDefault="00363608" w:rsidP="00EA4043">
      <w:pPr>
        <w:numPr>
          <w:ilvl w:val="0"/>
          <w:numId w:val="101"/>
        </w:numPr>
        <w:spacing w:after="0"/>
        <w:rPr>
          <w:rFonts w:asciiTheme="majorHAnsi" w:hAnsiTheme="majorHAnsi" w:cs="Cambria"/>
          <w:color w:val="000000"/>
          <w:sz w:val="20"/>
          <w:szCs w:val="20"/>
        </w:rPr>
      </w:pPr>
      <w:r w:rsidRPr="000D745B">
        <w:rPr>
          <w:rFonts w:asciiTheme="majorHAnsi" w:hAnsiTheme="majorHAnsi" w:cs="Cambria"/>
          <w:color w:val="000000"/>
          <w:sz w:val="20"/>
          <w:szCs w:val="20"/>
        </w:rPr>
        <w:t>Provide strategic direction and guidance for implementation of the project;</w:t>
      </w:r>
    </w:p>
    <w:p w14:paraId="20EE7696" w14:textId="77777777" w:rsidR="00363608" w:rsidRPr="000D745B" w:rsidRDefault="00363608" w:rsidP="00EA4043">
      <w:pPr>
        <w:numPr>
          <w:ilvl w:val="0"/>
          <w:numId w:val="101"/>
        </w:numPr>
        <w:spacing w:after="0"/>
        <w:rPr>
          <w:rFonts w:asciiTheme="majorHAnsi" w:hAnsiTheme="majorHAnsi" w:cs="Cambria"/>
          <w:color w:val="000000"/>
          <w:sz w:val="20"/>
          <w:szCs w:val="20"/>
        </w:rPr>
      </w:pPr>
      <w:r w:rsidRPr="000D745B">
        <w:rPr>
          <w:rFonts w:asciiTheme="majorHAnsi" w:hAnsiTheme="majorHAnsi" w:cs="Cambria"/>
          <w:color w:val="000000"/>
          <w:sz w:val="20"/>
          <w:szCs w:val="20"/>
        </w:rPr>
        <w:t>Review project’s progress, review and evaluation reports and make and ensure for follow-up actions for timely and quality implementation;</w:t>
      </w:r>
    </w:p>
    <w:p w14:paraId="77482E6F" w14:textId="77777777" w:rsidR="00363608" w:rsidRPr="000D745B" w:rsidRDefault="00363608" w:rsidP="00EA4043">
      <w:pPr>
        <w:numPr>
          <w:ilvl w:val="0"/>
          <w:numId w:val="101"/>
        </w:numPr>
        <w:spacing w:after="0"/>
        <w:rPr>
          <w:rFonts w:asciiTheme="majorHAnsi" w:hAnsiTheme="majorHAnsi" w:cs="Cambria"/>
          <w:color w:val="000000"/>
          <w:sz w:val="20"/>
          <w:szCs w:val="20"/>
        </w:rPr>
      </w:pPr>
      <w:r w:rsidRPr="000D745B">
        <w:rPr>
          <w:rFonts w:asciiTheme="majorHAnsi" w:hAnsiTheme="majorHAnsi" w:cs="Cambria"/>
          <w:color w:val="000000"/>
          <w:sz w:val="20"/>
          <w:szCs w:val="20"/>
        </w:rPr>
        <w:t xml:space="preserve">Approve annual work-plans and budgets and any essential deviations (above 50% of budget reduction from one of the four components) from the original plans and budgets; </w:t>
      </w:r>
    </w:p>
    <w:p w14:paraId="272A3F47" w14:textId="77777777" w:rsidR="00363608" w:rsidRPr="000D745B" w:rsidRDefault="00363608" w:rsidP="00EA4043">
      <w:pPr>
        <w:numPr>
          <w:ilvl w:val="0"/>
          <w:numId w:val="101"/>
        </w:numPr>
        <w:spacing w:after="0"/>
        <w:rPr>
          <w:rFonts w:asciiTheme="majorHAnsi" w:hAnsiTheme="majorHAnsi" w:cs="Cambria"/>
          <w:color w:val="000000"/>
          <w:sz w:val="20"/>
          <w:szCs w:val="20"/>
        </w:rPr>
      </w:pPr>
      <w:r w:rsidRPr="000D745B">
        <w:rPr>
          <w:rFonts w:asciiTheme="majorHAnsi" w:hAnsiTheme="majorHAnsi" w:cs="Cambria"/>
          <w:color w:val="000000"/>
          <w:sz w:val="20"/>
          <w:szCs w:val="20"/>
        </w:rPr>
        <w:t xml:space="preserve">Provide coordination guidance for implementing agencies and key stakeholders; </w:t>
      </w:r>
    </w:p>
    <w:p w14:paraId="1ACA5073" w14:textId="77777777" w:rsidR="00363608" w:rsidRPr="000D745B" w:rsidRDefault="00363608" w:rsidP="00EA4043">
      <w:pPr>
        <w:numPr>
          <w:ilvl w:val="0"/>
          <w:numId w:val="101"/>
        </w:numPr>
        <w:spacing w:after="0"/>
        <w:rPr>
          <w:rFonts w:asciiTheme="majorHAnsi" w:hAnsiTheme="majorHAnsi" w:cs="Cambria"/>
          <w:color w:val="000000"/>
          <w:sz w:val="20"/>
          <w:szCs w:val="20"/>
        </w:rPr>
      </w:pPr>
      <w:r w:rsidRPr="000D745B">
        <w:rPr>
          <w:rFonts w:asciiTheme="majorHAnsi" w:hAnsiTheme="majorHAnsi" w:cs="Cambria"/>
          <w:color w:val="000000"/>
          <w:sz w:val="20"/>
          <w:szCs w:val="20"/>
        </w:rPr>
        <w:t xml:space="preserve">Following the </w:t>
      </w:r>
      <w:r w:rsidRPr="000D745B">
        <w:rPr>
          <w:rFonts w:asciiTheme="majorHAnsi" w:hAnsiTheme="majorHAnsi" w:cs="Calibri"/>
          <w:sz w:val="20"/>
          <w:szCs w:val="20"/>
        </w:rPr>
        <w:t xml:space="preserve">grievance redress mechanism </w:t>
      </w:r>
      <w:r w:rsidRPr="000D745B">
        <w:rPr>
          <w:rFonts w:asciiTheme="majorHAnsi" w:hAnsiTheme="majorHAnsi" w:cs="Cambria"/>
          <w:color w:val="000000"/>
          <w:sz w:val="20"/>
          <w:szCs w:val="20"/>
        </w:rPr>
        <w:t xml:space="preserve">provide a conflict resolution forum for implementing agencies and key stakeholders; </w:t>
      </w:r>
    </w:p>
    <w:p w14:paraId="5E7D1475" w14:textId="77777777" w:rsidR="00363608" w:rsidRPr="000D745B" w:rsidRDefault="00363608" w:rsidP="00EA4043">
      <w:pPr>
        <w:numPr>
          <w:ilvl w:val="0"/>
          <w:numId w:val="101"/>
        </w:numPr>
        <w:spacing w:after="0"/>
        <w:rPr>
          <w:rFonts w:asciiTheme="majorHAnsi" w:hAnsiTheme="majorHAnsi" w:cs="Cambria"/>
          <w:color w:val="000000"/>
          <w:sz w:val="20"/>
          <w:szCs w:val="20"/>
        </w:rPr>
      </w:pPr>
      <w:r w:rsidRPr="000D745B">
        <w:rPr>
          <w:rFonts w:asciiTheme="majorHAnsi" w:hAnsiTheme="majorHAnsi" w:cs="Cambria"/>
          <w:color w:val="000000"/>
          <w:sz w:val="20"/>
          <w:szCs w:val="20"/>
        </w:rPr>
        <w:t>Oversee and support the commitment and funding and other support for the project;</w:t>
      </w:r>
    </w:p>
    <w:p w14:paraId="7F86ADAF" w14:textId="77777777" w:rsidR="00363608" w:rsidRPr="000D745B" w:rsidRDefault="00363608" w:rsidP="00EA4043">
      <w:pPr>
        <w:numPr>
          <w:ilvl w:val="0"/>
          <w:numId w:val="101"/>
        </w:numPr>
        <w:spacing w:after="0"/>
        <w:rPr>
          <w:rFonts w:asciiTheme="majorHAnsi" w:hAnsiTheme="majorHAnsi" w:cs="Cambria"/>
          <w:color w:val="000000"/>
          <w:sz w:val="20"/>
          <w:szCs w:val="20"/>
        </w:rPr>
      </w:pPr>
      <w:r w:rsidRPr="000D745B">
        <w:rPr>
          <w:rFonts w:asciiTheme="majorHAnsi" w:hAnsiTheme="majorHAnsi" w:cs="Cambria"/>
          <w:color w:val="000000"/>
          <w:sz w:val="20"/>
          <w:szCs w:val="20"/>
        </w:rPr>
        <w:t>Oversee prudent and efficient use of project budgets and other resources;</w:t>
      </w:r>
    </w:p>
    <w:p w14:paraId="6CC202F7" w14:textId="77777777" w:rsidR="00363608" w:rsidRPr="000D745B" w:rsidRDefault="00363608" w:rsidP="00EA4043">
      <w:pPr>
        <w:numPr>
          <w:ilvl w:val="0"/>
          <w:numId w:val="101"/>
        </w:numPr>
        <w:spacing w:after="0"/>
        <w:rPr>
          <w:rFonts w:asciiTheme="majorHAnsi" w:hAnsiTheme="majorHAnsi" w:cs="Cambria"/>
          <w:color w:val="000000"/>
          <w:sz w:val="20"/>
          <w:szCs w:val="20"/>
        </w:rPr>
      </w:pPr>
      <w:r w:rsidRPr="000D745B">
        <w:rPr>
          <w:rFonts w:asciiTheme="majorHAnsi" w:hAnsiTheme="majorHAnsi" w:cs="Cambria"/>
          <w:color w:val="000000"/>
          <w:sz w:val="20"/>
          <w:szCs w:val="20"/>
        </w:rPr>
        <w:t>Decide on conceptual and design changes and other recommendations of external mid-term review; and</w:t>
      </w:r>
    </w:p>
    <w:p w14:paraId="69F8A940" w14:textId="77777777" w:rsidR="00363608" w:rsidRPr="000D745B" w:rsidRDefault="00363608" w:rsidP="00EA4043">
      <w:pPr>
        <w:numPr>
          <w:ilvl w:val="0"/>
          <w:numId w:val="101"/>
        </w:numPr>
        <w:spacing w:after="0"/>
        <w:contextualSpacing/>
        <w:rPr>
          <w:rFonts w:asciiTheme="majorHAnsi" w:hAnsiTheme="majorHAnsi" w:cs="Cambria"/>
          <w:color w:val="000000"/>
          <w:sz w:val="20"/>
          <w:szCs w:val="20"/>
        </w:rPr>
      </w:pPr>
      <w:r w:rsidRPr="000D745B">
        <w:rPr>
          <w:rFonts w:asciiTheme="majorHAnsi" w:hAnsiTheme="majorHAnsi" w:cs="Cambria"/>
          <w:color w:val="000000"/>
          <w:sz w:val="20"/>
          <w:szCs w:val="20"/>
        </w:rPr>
        <w:t>Provide guidance on post-project sustainability, institutional and financial arrangements, keeping in view the recommendations of external reviews.</w:t>
      </w:r>
    </w:p>
    <w:p w14:paraId="0381EF45" w14:textId="77777777" w:rsidR="00363608" w:rsidRPr="000D745B" w:rsidRDefault="00363608" w:rsidP="00363608">
      <w:pPr>
        <w:spacing w:after="0"/>
        <w:ind w:left="720"/>
        <w:contextualSpacing/>
        <w:rPr>
          <w:rFonts w:asciiTheme="majorHAnsi" w:hAnsiTheme="majorHAnsi" w:cs="Cambria"/>
          <w:color w:val="000000"/>
          <w:sz w:val="20"/>
          <w:szCs w:val="20"/>
        </w:rPr>
      </w:pPr>
    </w:p>
    <w:p w14:paraId="2AC4D693" w14:textId="09F41F21" w:rsidR="00363608" w:rsidRPr="000D745B" w:rsidRDefault="00363608" w:rsidP="00D17561">
      <w:pPr>
        <w:pStyle w:val="ListParagraph"/>
        <w:numPr>
          <w:ilvl w:val="0"/>
          <w:numId w:val="187"/>
        </w:numPr>
        <w:spacing w:after="160" w:line="259" w:lineRule="auto"/>
        <w:contextualSpacing/>
        <w:jc w:val="both"/>
        <w:rPr>
          <w:rFonts w:asciiTheme="majorHAnsi" w:hAnsiTheme="majorHAnsi"/>
          <w:b/>
          <w:sz w:val="20"/>
          <w:szCs w:val="20"/>
        </w:rPr>
      </w:pPr>
      <w:r w:rsidRPr="000D745B">
        <w:rPr>
          <w:rFonts w:asciiTheme="majorHAnsi" w:hAnsiTheme="majorHAnsi"/>
          <w:b/>
          <w:sz w:val="20"/>
          <w:szCs w:val="20"/>
        </w:rPr>
        <w:t>Land/Seascape Planning Joint Coordination Board</w:t>
      </w:r>
    </w:p>
    <w:p w14:paraId="5C689B32" w14:textId="3F510B92" w:rsidR="00363608" w:rsidRPr="000D745B" w:rsidRDefault="00363608" w:rsidP="00363608">
      <w:pPr>
        <w:spacing w:after="180"/>
        <w:rPr>
          <w:rFonts w:asciiTheme="majorHAnsi" w:hAnsiTheme="majorHAnsi"/>
          <w:color w:val="000000"/>
          <w:sz w:val="20"/>
          <w:szCs w:val="20"/>
        </w:rPr>
      </w:pPr>
      <w:r w:rsidRPr="000D745B">
        <w:rPr>
          <w:rFonts w:asciiTheme="majorHAnsi" w:hAnsiTheme="majorHAnsi"/>
          <w:sz w:val="20"/>
          <w:szCs w:val="20"/>
        </w:rPr>
        <w:t xml:space="preserve">The </w:t>
      </w:r>
      <w:r w:rsidRPr="000D745B">
        <w:rPr>
          <w:rFonts w:asciiTheme="majorHAnsi" w:hAnsiTheme="majorHAnsi"/>
          <w:color w:val="000000"/>
          <w:sz w:val="20"/>
          <w:szCs w:val="20"/>
        </w:rPr>
        <w:t xml:space="preserve">Joint Coordination Body (JCB) will have strong representation from states and the private sector (in addition to national government and nonprofits) to implement joint </w:t>
      </w:r>
      <w:r w:rsidR="00D15171">
        <w:rPr>
          <w:rFonts w:asciiTheme="majorHAnsi" w:hAnsiTheme="majorHAnsi"/>
          <w:color w:val="000000"/>
          <w:sz w:val="20"/>
          <w:szCs w:val="20"/>
        </w:rPr>
        <w:t xml:space="preserve">land and </w:t>
      </w:r>
      <w:r w:rsidRPr="000D745B">
        <w:rPr>
          <w:rFonts w:asciiTheme="majorHAnsi" w:hAnsiTheme="majorHAnsi"/>
          <w:color w:val="000000"/>
          <w:sz w:val="20"/>
          <w:szCs w:val="20"/>
        </w:rPr>
        <w:t xml:space="preserve">seascape planning and to ensure that development plans mainstream biodiversity and biosecurity policies. Initially this JCB will be established as an Ad Hoc Committee under the NEPC, and may eventually be institutionalized under the eventual Bureau of Environment. The role of the JCB </w:t>
      </w:r>
      <w:r w:rsidRPr="000D745B">
        <w:rPr>
          <w:rFonts w:asciiTheme="majorHAnsi" w:hAnsiTheme="majorHAnsi" w:cs="Arial"/>
          <w:noProof/>
          <w:sz w:val="20"/>
          <w:szCs w:val="20"/>
          <w:lang w:eastAsia="zh-CN"/>
        </w:rPr>
        <w:t xml:space="preserve">will be to mainstream national-level biodiversity and biosecurity into state </w:t>
      </w:r>
      <w:r w:rsidR="00D15171">
        <w:rPr>
          <w:rFonts w:asciiTheme="majorHAnsi" w:hAnsiTheme="majorHAnsi" w:cs="Arial"/>
          <w:noProof/>
          <w:sz w:val="20"/>
          <w:szCs w:val="20"/>
          <w:lang w:eastAsia="zh-CN"/>
        </w:rPr>
        <w:t xml:space="preserve">integrated </w:t>
      </w:r>
      <w:r w:rsidRPr="000D745B">
        <w:rPr>
          <w:rFonts w:asciiTheme="majorHAnsi" w:hAnsiTheme="majorHAnsi" w:cs="Arial"/>
          <w:noProof/>
          <w:sz w:val="20"/>
          <w:szCs w:val="20"/>
          <w:lang w:eastAsia="zh-CN"/>
        </w:rPr>
        <w:t xml:space="preserve">land and seascape </w:t>
      </w:r>
      <w:r w:rsidR="00D15171">
        <w:rPr>
          <w:rFonts w:asciiTheme="majorHAnsi" w:hAnsiTheme="majorHAnsi" w:cs="Arial"/>
          <w:noProof/>
          <w:sz w:val="20"/>
          <w:szCs w:val="20"/>
          <w:lang w:eastAsia="zh-CN"/>
        </w:rPr>
        <w:t xml:space="preserve">management </w:t>
      </w:r>
      <w:r w:rsidRPr="000D745B">
        <w:rPr>
          <w:rFonts w:asciiTheme="majorHAnsi" w:hAnsiTheme="majorHAnsi" w:cs="Arial"/>
          <w:noProof/>
          <w:sz w:val="20"/>
          <w:szCs w:val="20"/>
          <w:lang w:eastAsia="zh-CN"/>
        </w:rPr>
        <w:t>plans, and to mainstream state plans into development activities</w:t>
      </w:r>
    </w:p>
    <w:p w14:paraId="3416A62E" w14:textId="77777777" w:rsidR="00363608" w:rsidRPr="000D745B" w:rsidRDefault="00363608" w:rsidP="00363608">
      <w:pPr>
        <w:spacing w:after="180"/>
        <w:rPr>
          <w:rFonts w:asciiTheme="majorHAnsi" w:hAnsiTheme="majorHAnsi"/>
          <w:color w:val="000000"/>
          <w:sz w:val="20"/>
          <w:szCs w:val="20"/>
        </w:rPr>
      </w:pPr>
      <w:r w:rsidRPr="000D745B">
        <w:rPr>
          <w:rFonts w:asciiTheme="majorHAnsi" w:hAnsiTheme="majorHAnsi"/>
          <w:b/>
          <w:color w:val="000000"/>
          <w:sz w:val="20"/>
          <w:szCs w:val="20"/>
        </w:rPr>
        <w:t>Members:</w:t>
      </w:r>
      <w:r w:rsidRPr="000D745B">
        <w:rPr>
          <w:rFonts w:asciiTheme="majorHAnsi" w:hAnsiTheme="majorHAnsi"/>
          <w:color w:val="000000"/>
          <w:sz w:val="20"/>
          <w:szCs w:val="20"/>
        </w:rPr>
        <w:t xml:space="preserve"> By the end of Year 1, the JCB shall be composed of:</w:t>
      </w:r>
    </w:p>
    <w:p w14:paraId="63F20475" w14:textId="77777777" w:rsidR="00363608" w:rsidRPr="000D745B" w:rsidRDefault="00363608" w:rsidP="00D17561">
      <w:pPr>
        <w:pStyle w:val="ListParagraph"/>
        <w:numPr>
          <w:ilvl w:val="0"/>
          <w:numId w:val="193"/>
        </w:numPr>
        <w:spacing w:after="180" w:line="259" w:lineRule="auto"/>
        <w:contextualSpacing/>
        <w:jc w:val="both"/>
        <w:rPr>
          <w:rFonts w:asciiTheme="majorHAnsi" w:hAnsiTheme="majorHAnsi"/>
          <w:color w:val="000000"/>
          <w:sz w:val="20"/>
          <w:szCs w:val="20"/>
        </w:rPr>
      </w:pPr>
      <w:r w:rsidRPr="000D745B">
        <w:rPr>
          <w:rFonts w:asciiTheme="majorHAnsi" w:hAnsiTheme="majorHAnsi"/>
          <w:color w:val="000000"/>
          <w:sz w:val="20"/>
          <w:szCs w:val="20"/>
        </w:rPr>
        <w:t>Representatives for key government sector agencies</w:t>
      </w:r>
    </w:p>
    <w:p w14:paraId="56A1DCDC" w14:textId="77777777" w:rsidR="00363608" w:rsidRPr="000D745B" w:rsidRDefault="00363608" w:rsidP="00D17561">
      <w:pPr>
        <w:pStyle w:val="ListParagraph"/>
        <w:numPr>
          <w:ilvl w:val="0"/>
          <w:numId w:val="193"/>
        </w:numPr>
        <w:spacing w:after="180" w:line="259" w:lineRule="auto"/>
        <w:contextualSpacing/>
        <w:jc w:val="both"/>
        <w:rPr>
          <w:rFonts w:asciiTheme="majorHAnsi" w:hAnsiTheme="majorHAnsi"/>
          <w:color w:val="000000"/>
          <w:sz w:val="20"/>
          <w:szCs w:val="20"/>
        </w:rPr>
      </w:pPr>
      <w:r w:rsidRPr="000D745B">
        <w:rPr>
          <w:rFonts w:asciiTheme="majorHAnsi" w:hAnsiTheme="majorHAnsi"/>
          <w:color w:val="000000"/>
          <w:sz w:val="20"/>
          <w:szCs w:val="20"/>
        </w:rPr>
        <w:t>Representatives from the states involved in Integrated Planning</w:t>
      </w:r>
    </w:p>
    <w:p w14:paraId="1AA2D464" w14:textId="77777777" w:rsidR="00363608" w:rsidRPr="000D745B" w:rsidRDefault="00363608" w:rsidP="00D17561">
      <w:pPr>
        <w:pStyle w:val="ListParagraph"/>
        <w:numPr>
          <w:ilvl w:val="0"/>
          <w:numId w:val="193"/>
        </w:numPr>
        <w:spacing w:after="180" w:line="259" w:lineRule="auto"/>
        <w:contextualSpacing/>
        <w:jc w:val="both"/>
        <w:rPr>
          <w:rFonts w:asciiTheme="majorHAnsi" w:hAnsiTheme="majorHAnsi"/>
          <w:color w:val="000000"/>
          <w:sz w:val="20"/>
          <w:szCs w:val="20"/>
        </w:rPr>
      </w:pPr>
      <w:r w:rsidRPr="000D745B">
        <w:rPr>
          <w:rFonts w:asciiTheme="majorHAnsi" w:hAnsiTheme="majorHAnsi"/>
          <w:color w:val="000000"/>
          <w:sz w:val="20"/>
          <w:szCs w:val="20"/>
        </w:rPr>
        <w:t>At least 2 representatives of the business sector, one of who shall represent tourism</w:t>
      </w:r>
    </w:p>
    <w:p w14:paraId="73BACC74" w14:textId="77777777" w:rsidR="00363608" w:rsidRPr="000D745B" w:rsidRDefault="00363608" w:rsidP="00D17561">
      <w:pPr>
        <w:pStyle w:val="ListParagraph"/>
        <w:numPr>
          <w:ilvl w:val="0"/>
          <w:numId w:val="193"/>
        </w:numPr>
        <w:spacing w:after="180" w:line="259" w:lineRule="auto"/>
        <w:contextualSpacing/>
        <w:jc w:val="both"/>
        <w:rPr>
          <w:rFonts w:asciiTheme="majorHAnsi" w:hAnsiTheme="majorHAnsi"/>
          <w:color w:val="000000"/>
          <w:sz w:val="20"/>
          <w:szCs w:val="20"/>
        </w:rPr>
      </w:pPr>
      <w:r w:rsidRPr="000D745B">
        <w:rPr>
          <w:rFonts w:asciiTheme="majorHAnsi" w:hAnsiTheme="majorHAnsi"/>
          <w:color w:val="000000"/>
          <w:sz w:val="20"/>
          <w:szCs w:val="20"/>
        </w:rPr>
        <w:t>At least 2 representatives of nonprofits</w:t>
      </w:r>
    </w:p>
    <w:p w14:paraId="60426CF5" w14:textId="77777777" w:rsidR="00363608" w:rsidRPr="000D745B" w:rsidRDefault="00363608" w:rsidP="00D17561">
      <w:pPr>
        <w:pStyle w:val="ListParagraph"/>
        <w:numPr>
          <w:ilvl w:val="0"/>
          <w:numId w:val="193"/>
        </w:numPr>
        <w:spacing w:after="180" w:line="259" w:lineRule="auto"/>
        <w:contextualSpacing/>
        <w:jc w:val="both"/>
        <w:rPr>
          <w:rFonts w:asciiTheme="majorHAnsi" w:hAnsiTheme="majorHAnsi"/>
          <w:color w:val="000000"/>
          <w:sz w:val="20"/>
          <w:szCs w:val="20"/>
        </w:rPr>
      </w:pPr>
      <w:r w:rsidRPr="000D745B">
        <w:rPr>
          <w:rFonts w:asciiTheme="majorHAnsi" w:hAnsiTheme="majorHAnsi"/>
          <w:color w:val="000000"/>
          <w:sz w:val="20"/>
          <w:szCs w:val="20"/>
        </w:rPr>
        <w:t>The EPU Coordinator from MNRET, who shall also act as Secretariat</w:t>
      </w:r>
    </w:p>
    <w:p w14:paraId="6F5AE5B7" w14:textId="77777777" w:rsidR="00363608" w:rsidRPr="000D745B" w:rsidRDefault="00363608" w:rsidP="00363608">
      <w:pPr>
        <w:spacing w:after="180"/>
        <w:rPr>
          <w:rFonts w:asciiTheme="majorHAnsi" w:hAnsiTheme="majorHAnsi"/>
          <w:color w:val="000000"/>
          <w:sz w:val="20"/>
          <w:szCs w:val="20"/>
        </w:rPr>
      </w:pPr>
      <w:r w:rsidRPr="000D745B">
        <w:rPr>
          <w:rFonts w:asciiTheme="majorHAnsi" w:hAnsiTheme="majorHAnsi"/>
          <w:sz w:val="20"/>
          <w:szCs w:val="20"/>
        </w:rPr>
        <w:t xml:space="preserve">State government representatives will at first come from the 9 states in the GEF6 Project, although by the end of the project the Committee will be open to all states. </w:t>
      </w:r>
      <w:r w:rsidRPr="000D745B">
        <w:rPr>
          <w:rFonts w:asciiTheme="majorHAnsi" w:hAnsiTheme="majorHAnsi"/>
          <w:color w:val="000000"/>
          <w:sz w:val="20"/>
          <w:szCs w:val="20"/>
        </w:rPr>
        <w:t>How members are selected will depend on the individual State Constitutions, as some states will allow the Governor to appoint a designee and some will need State Legislature Approval.</w:t>
      </w:r>
    </w:p>
    <w:p w14:paraId="0D2BA135" w14:textId="77777777" w:rsidR="00363608" w:rsidRPr="000D745B" w:rsidRDefault="00363608" w:rsidP="00363608">
      <w:pPr>
        <w:spacing w:after="180"/>
        <w:rPr>
          <w:rFonts w:asciiTheme="majorHAnsi" w:hAnsiTheme="majorHAnsi"/>
          <w:sz w:val="20"/>
          <w:szCs w:val="20"/>
        </w:rPr>
      </w:pPr>
      <w:r w:rsidRPr="000D745B">
        <w:rPr>
          <w:rFonts w:asciiTheme="majorHAnsi" w:hAnsiTheme="majorHAnsi"/>
          <w:b/>
          <w:color w:val="000000"/>
          <w:sz w:val="20"/>
          <w:szCs w:val="20"/>
        </w:rPr>
        <w:t>Purpose and Tasks:</w:t>
      </w:r>
      <w:r w:rsidRPr="000D745B">
        <w:rPr>
          <w:rFonts w:asciiTheme="majorHAnsi" w:hAnsiTheme="majorHAnsi"/>
          <w:color w:val="000000"/>
          <w:sz w:val="20"/>
          <w:szCs w:val="20"/>
        </w:rPr>
        <w:t xml:space="preserve"> </w:t>
      </w:r>
      <w:r w:rsidRPr="000D745B">
        <w:rPr>
          <w:rFonts w:asciiTheme="majorHAnsi" w:hAnsiTheme="majorHAnsi" w:cs="Arial"/>
          <w:noProof/>
          <w:sz w:val="20"/>
          <w:szCs w:val="20"/>
          <w:lang w:eastAsia="zh-CN"/>
        </w:rPr>
        <w:t xml:space="preserve">The JCB shall meet at least quarterly in the first year of the project. </w:t>
      </w:r>
      <w:r w:rsidRPr="000D745B">
        <w:rPr>
          <w:rFonts w:asciiTheme="majorHAnsi" w:hAnsiTheme="majorHAnsi"/>
          <w:color w:val="000000"/>
          <w:sz w:val="20"/>
          <w:szCs w:val="20"/>
        </w:rPr>
        <w:t>During the first year of the project the JCB will advise and support the drafting and adoption of Standard Operating Protocols, bylaws, regulations, and guidelines to facilitate the mainstreaming of biodiversity into sectoral policy and plans.</w:t>
      </w:r>
      <w:r w:rsidRPr="000D745B">
        <w:rPr>
          <w:rFonts w:asciiTheme="majorHAnsi" w:hAnsiTheme="majorHAnsi"/>
          <w:sz w:val="20"/>
          <w:szCs w:val="20"/>
        </w:rPr>
        <w:t xml:space="preserve"> </w:t>
      </w:r>
    </w:p>
    <w:p w14:paraId="5DD42E51" w14:textId="77777777" w:rsidR="00363608" w:rsidRPr="000D745B" w:rsidRDefault="00363608" w:rsidP="00363608">
      <w:pPr>
        <w:spacing w:after="0"/>
        <w:rPr>
          <w:rFonts w:asciiTheme="majorHAnsi" w:hAnsiTheme="majorHAnsi"/>
          <w:color w:val="000000"/>
          <w:sz w:val="20"/>
          <w:szCs w:val="20"/>
        </w:rPr>
      </w:pPr>
      <w:r w:rsidRPr="000D745B">
        <w:rPr>
          <w:rFonts w:asciiTheme="majorHAnsi" w:hAnsiTheme="majorHAnsi"/>
          <w:sz w:val="20"/>
          <w:szCs w:val="20"/>
        </w:rPr>
        <w:t xml:space="preserve">During project implementation, the Joint Coordination Body will also monitor the implementation of best practices and adaptive feedback through the direct financing/sub-granting scheme to states under Outcomes 2 and 3. </w:t>
      </w:r>
      <w:r w:rsidRPr="000D745B">
        <w:rPr>
          <w:rFonts w:asciiTheme="majorHAnsi" w:hAnsiTheme="majorHAnsi" w:cs="Arial"/>
          <w:noProof/>
          <w:sz w:val="20"/>
          <w:szCs w:val="20"/>
          <w:lang w:eastAsia="zh-CN"/>
        </w:rPr>
        <w:t>The JCB shall report regularly to the NEPC</w:t>
      </w:r>
      <w:r w:rsidRPr="000D745B">
        <w:rPr>
          <w:rFonts w:asciiTheme="majorHAnsi" w:hAnsiTheme="majorHAnsi"/>
          <w:sz w:val="20"/>
          <w:szCs w:val="20"/>
        </w:rPr>
        <w:t xml:space="preserve"> to provide information on recommended </w:t>
      </w:r>
      <w:r w:rsidRPr="000D745B">
        <w:rPr>
          <w:rFonts w:asciiTheme="majorHAnsi" w:hAnsiTheme="majorHAnsi"/>
          <w:color w:val="000000"/>
          <w:sz w:val="20"/>
          <w:szCs w:val="20"/>
        </w:rPr>
        <w:t>policy decisions. The tasks of the JCB would include the following:</w:t>
      </w:r>
    </w:p>
    <w:p w14:paraId="3001BEE1" w14:textId="77777777" w:rsidR="00363608" w:rsidRPr="000D745B" w:rsidRDefault="00363608" w:rsidP="00363608">
      <w:pPr>
        <w:spacing w:after="0"/>
        <w:rPr>
          <w:rFonts w:asciiTheme="majorHAnsi" w:hAnsiTheme="majorHAnsi"/>
          <w:sz w:val="20"/>
          <w:szCs w:val="20"/>
        </w:rPr>
      </w:pPr>
    </w:p>
    <w:p w14:paraId="4E049554" w14:textId="77777777" w:rsidR="00363608" w:rsidRPr="000D745B" w:rsidRDefault="00363608" w:rsidP="00B02352">
      <w:pPr>
        <w:numPr>
          <w:ilvl w:val="0"/>
          <w:numId w:val="19"/>
        </w:numPr>
        <w:spacing w:after="0"/>
        <w:rPr>
          <w:rFonts w:asciiTheme="majorHAnsi" w:hAnsiTheme="majorHAnsi"/>
          <w:sz w:val="20"/>
          <w:szCs w:val="20"/>
        </w:rPr>
      </w:pPr>
      <w:r w:rsidRPr="000D745B">
        <w:rPr>
          <w:rFonts w:asciiTheme="majorHAnsi" w:hAnsiTheme="majorHAnsi"/>
          <w:i/>
          <w:sz w:val="20"/>
          <w:szCs w:val="20"/>
        </w:rPr>
        <w:t>Addressing directives, guidelines, manuals, and standards for land and seascape governance</w:t>
      </w:r>
      <w:r w:rsidRPr="000D745B">
        <w:rPr>
          <w:rFonts w:asciiTheme="majorHAnsi" w:hAnsiTheme="majorHAnsi"/>
          <w:sz w:val="20"/>
          <w:szCs w:val="20"/>
        </w:rPr>
        <w:t>: the Project will support the development of guidelines and standards for landscape and seascape plan elaboration, which will be mainstreamed by the JCB;</w:t>
      </w:r>
    </w:p>
    <w:p w14:paraId="20E19E52" w14:textId="77777777" w:rsidR="00363608" w:rsidRPr="000D745B" w:rsidRDefault="00363608" w:rsidP="00B02352">
      <w:pPr>
        <w:numPr>
          <w:ilvl w:val="0"/>
          <w:numId w:val="19"/>
        </w:numPr>
        <w:spacing w:after="0"/>
        <w:rPr>
          <w:rFonts w:asciiTheme="majorHAnsi" w:hAnsiTheme="majorHAnsi"/>
          <w:sz w:val="20"/>
          <w:szCs w:val="20"/>
        </w:rPr>
      </w:pPr>
      <w:r w:rsidRPr="000D745B">
        <w:rPr>
          <w:rFonts w:asciiTheme="majorHAnsi" w:hAnsiTheme="majorHAnsi"/>
          <w:i/>
          <w:sz w:val="20"/>
          <w:szCs w:val="20"/>
        </w:rPr>
        <w:t>Coordinating development of legislation, regulations and protocols to strengthen national-state land and sea scape planning</w:t>
      </w:r>
      <w:r w:rsidRPr="000D745B">
        <w:rPr>
          <w:rFonts w:asciiTheme="majorHAnsi" w:hAnsiTheme="majorHAnsi"/>
          <w:sz w:val="20"/>
          <w:szCs w:val="20"/>
        </w:rPr>
        <w:t xml:space="preserve">, including: proposing standards, drafting directives, supporting legislative, regulation and protocol development and developing plan review and feedback mechanisms </w:t>
      </w:r>
    </w:p>
    <w:p w14:paraId="0A836B5C" w14:textId="77777777" w:rsidR="00363608" w:rsidRPr="000D745B" w:rsidRDefault="00363608" w:rsidP="00B02352">
      <w:pPr>
        <w:numPr>
          <w:ilvl w:val="0"/>
          <w:numId w:val="19"/>
        </w:numPr>
        <w:spacing w:after="0"/>
        <w:rPr>
          <w:rFonts w:asciiTheme="majorHAnsi" w:hAnsiTheme="majorHAnsi"/>
          <w:sz w:val="20"/>
          <w:szCs w:val="20"/>
        </w:rPr>
      </w:pPr>
      <w:r w:rsidRPr="000D745B">
        <w:rPr>
          <w:rFonts w:asciiTheme="majorHAnsi" w:hAnsiTheme="majorHAnsi"/>
          <w:i/>
          <w:sz w:val="20"/>
          <w:szCs w:val="20"/>
        </w:rPr>
        <w:t>Proposing specific framework policies to mainstream biodiversity conservation</w:t>
      </w:r>
      <w:r w:rsidRPr="000D745B">
        <w:rPr>
          <w:rFonts w:asciiTheme="majorHAnsi" w:hAnsiTheme="majorHAnsi"/>
          <w:sz w:val="20"/>
          <w:szCs w:val="20"/>
        </w:rPr>
        <w:t xml:space="preserve"> into key sectors at the macro level-scale;</w:t>
      </w:r>
    </w:p>
    <w:p w14:paraId="6EBA6B68" w14:textId="77777777" w:rsidR="00363608" w:rsidRPr="000D745B" w:rsidRDefault="00363608" w:rsidP="00B02352">
      <w:pPr>
        <w:numPr>
          <w:ilvl w:val="0"/>
          <w:numId w:val="19"/>
        </w:numPr>
        <w:spacing w:after="0"/>
        <w:rPr>
          <w:rFonts w:asciiTheme="majorHAnsi" w:hAnsiTheme="majorHAnsi"/>
          <w:sz w:val="20"/>
          <w:szCs w:val="20"/>
        </w:rPr>
      </w:pPr>
      <w:r w:rsidRPr="000D745B">
        <w:rPr>
          <w:rFonts w:asciiTheme="majorHAnsi" w:hAnsiTheme="majorHAnsi"/>
          <w:i/>
          <w:sz w:val="20"/>
          <w:szCs w:val="20"/>
        </w:rPr>
        <w:t>Overviewing the baseline information repository</w:t>
      </w:r>
      <w:r w:rsidRPr="000D745B">
        <w:rPr>
          <w:rFonts w:asciiTheme="majorHAnsi" w:hAnsiTheme="majorHAnsi"/>
          <w:sz w:val="20"/>
          <w:szCs w:val="20"/>
        </w:rPr>
        <w:t xml:space="preserve"> and facilitating information flows between entities;</w:t>
      </w:r>
    </w:p>
    <w:p w14:paraId="00B75D76" w14:textId="77777777" w:rsidR="00363608" w:rsidRPr="000D745B" w:rsidRDefault="00363608" w:rsidP="00B02352">
      <w:pPr>
        <w:numPr>
          <w:ilvl w:val="0"/>
          <w:numId w:val="19"/>
        </w:numPr>
        <w:spacing w:after="0"/>
        <w:rPr>
          <w:rFonts w:asciiTheme="majorHAnsi" w:hAnsiTheme="majorHAnsi"/>
          <w:sz w:val="20"/>
          <w:szCs w:val="20"/>
        </w:rPr>
      </w:pPr>
      <w:r w:rsidRPr="000D745B">
        <w:rPr>
          <w:rFonts w:asciiTheme="majorHAnsi" w:hAnsiTheme="majorHAnsi"/>
          <w:i/>
          <w:sz w:val="20"/>
          <w:szCs w:val="20"/>
        </w:rPr>
        <w:t>Encouraging national government and states to adopt management practices</w:t>
      </w:r>
      <w:r w:rsidRPr="000D745B">
        <w:rPr>
          <w:rFonts w:asciiTheme="majorHAnsi" w:hAnsiTheme="majorHAnsi"/>
          <w:sz w:val="20"/>
          <w:szCs w:val="20"/>
        </w:rPr>
        <w:t xml:space="preserve"> to mainstream biodiversity conservation into key sectors, through an holistic approach at the land and seascape level, that also includes IAS prevention and management; </w:t>
      </w:r>
    </w:p>
    <w:p w14:paraId="158921E8" w14:textId="77777777" w:rsidR="00363608" w:rsidRPr="000D745B" w:rsidRDefault="00363608" w:rsidP="00B02352">
      <w:pPr>
        <w:numPr>
          <w:ilvl w:val="0"/>
          <w:numId w:val="19"/>
        </w:numPr>
        <w:spacing w:after="0"/>
        <w:rPr>
          <w:rFonts w:asciiTheme="majorHAnsi" w:hAnsiTheme="majorHAnsi"/>
          <w:sz w:val="20"/>
          <w:szCs w:val="20"/>
        </w:rPr>
      </w:pPr>
      <w:r w:rsidRPr="000D745B">
        <w:rPr>
          <w:rFonts w:asciiTheme="majorHAnsi" w:hAnsiTheme="majorHAnsi"/>
          <w:i/>
          <w:sz w:val="20"/>
          <w:szCs w:val="20"/>
        </w:rPr>
        <w:t xml:space="preserve">Supporting and facilitating the participatory activities </w:t>
      </w:r>
      <w:r w:rsidRPr="000D745B">
        <w:rPr>
          <w:rFonts w:asciiTheme="majorHAnsi" w:hAnsiTheme="majorHAnsi"/>
          <w:sz w:val="20"/>
          <w:szCs w:val="20"/>
        </w:rPr>
        <w:t>during the elaboration of the land and seascape plans, including the Sectoral Environment Assessment (SEA) processes, providing technical and operational support in organizing and facilitating meetings;</w:t>
      </w:r>
    </w:p>
    <w:p w14:paraId="48E670F0" w14:textId="77777777" w:rsidR="00363608" w:rsidRPr="000D745B" w:rsidRDefault="00363608" w:rsidP="00B02352">
      <w:pPr>
        <w:numPr>
          <w:ilvl w:val="0"/>
          <w:numId w:val="19"/>
        </w:numPr>
        <w:spacing w:after="0"/>
        <w:rPr>
          <w:rFonts w:asciiTheme="majorHAnsi" w:hAnsiTheme="majorHAnsi"/>
          <w:sz w:val="20"/>
          <w:szCs w:val="20"/>
        </w:rPr>
      </w:pPr>
      <w:r w:rsidRPr="000D745B">
        <w:rPr>
          <w:rFonts w:asciiTheme="majorHAnsi" w:hAnsiTheme="majorHAnsi"/>
          <w:i/>
          <w:sz w:val="20"/>
          <w:szCs w:val="20"/>
        </w:rPr>
        <w:t>Informing and guiding the Endorsement process for the land and seascape plans</w:t>
      </w:r>
      <w:r w:rsidRPr="000D745B">
        <w:rPr>
          <w:rFonts w:asciiTheme="majorHAnsi" w:hAnsiTheme="majorHAnsi"/>
          <w:sz w:val="20"/>
          <w:szCs w:val="20"/>
        </w:rPr>
        <w:t>, after a technical review of their contents to verify the compliance with operational and legal frameworks;</w:t>
      </w:r>
    </w:p>
    <w:p w14:paraId="4B877A3F" w14:textId="77777777" w:rsidR="00363608" w:rsidRPr="000D745B" w:rsidRDefault="00363608" w:rsidP="00B02352">
      <w:pPr>
        <w:numPr>
          <w:ilvl w:val="0"/>
          <w:numId w:val="19"/>
        </w:numPr>
        <w:spacing w:after="0"/>
        <w:rPr>
          <w:rFonts w:asciiTheme="majorHAnsi" w:hAnsiTheme="majorHAnsi"/>
          <w:sz w:val="20"/>
          <w:szCs w:val="20"/>
        </w:rPr>
      </w:pPr>
      <w:r w:rsidRPr="000D745B">
        <w:rPr>
          <w:rFonts w:asciiTheme="majorHAnsi" w:hAnsiTheme="majorHAnsi"/>
          <w:i/>
          <w:sz w:val="20"/>
          <w:szCs w:val="20"/>
        </w:rPr>
        <w:t>Supporting coordination between land and seascape governance and planning</w:t>
      </w:r>
      <w:r w:rsidRPr="000D745B">
        <w:rPr>
          <w:rFonts w:asciiTheme="majorHAnsi" w:hAnsiTheme="majorHAnsi"/>
          <w:sz w:val="20"/>
          <w:szCs w:val="20"/>
        </w:rPr>
        <w:t xml:space="preserve"> and other potentially related policies, initiatives, and projects </w:t>
      </w:r>
    </w:p>
    <w:p w14:paraId="276996F5" w14:textId="77777777" w:rsidR="00363608" w:rsidRPr="000D745B" w:rsidRDefault="00363608" w:rsidP="00B02352">
      <w:pPr>
        <w:numPr>
          <w:ilvl w:val="0"/>
          <w:numId w:val="19"/>
        </w:numPr>
        <w:spacing w:after="0"/>
        <w:rPr>
          <w:rFonts w:asciiTheme="majorHAnsi" w:hAnsiTheme="majorHAnsi"/>
          <w:sz w:val="20"/>
          <w:szCs w:val="20"/>
        </w:rPr>
      </w:pPr>
      <w:r w:rsidRPr="000D745B">
        <w:rPr>
          <w:rFonts w:asciiTheme="majorHAnsi" w:hAnsiTheme="majorHAnsi"/>
          <w:i/>
          <w:sz w:val="20"/>
          <w:szCs w:val="20"/>
        </w:rPr>
        <w:t>Supporting fund raising to implement policies and plans</w:t>
      </w:r>
      <w:r w:rsidRPr="000D745B">
        <w:rPr>
          <w:rFonts w:asciiTheme="majorHAnsi" w:hAnsiTheme="majorHAnsi"/>
          <w:sz w:val="20"/>
          <w:szCs w:val="20"/>
        </w:rPr>
        <w:t xml:space="preserve"> to mainstream biodiversity conservation into key sectors at a large scale level;</w:t>
      </w:r>
    </w:p>
    <w:p w14:paraId="18D10734" w14:textId="77777777" w:rsidR="00363608" w:rsidRPr="000D745B" w:rsidRDefault="00363608" w:rsidP="00B02352">
      <w:pPr>
        <w:numPr>
          <w:ilvl w:val="0"/>
          <w:numId w:val="19"/>
        </w:numPr>
        <w:spacing w:after="0"/>
        <w:rPr>
          <w:rFonts w:asciiTheme="majorHAnsi" w:hAnsiTheme="majorHAnsi"/>
          <w:i/>
          <w:sz w:val="20"/>
          <w:szCs w:val="20"/>
        </w:rPr>
      </w:pPr>
      <w:r w:rsidRPr="000D745B">
        <w:rPr>
          <w:rFonts w:asciiTheme="majorHAnsi" w:hAnsiTheme="majorHAnsi"/>
          <w:i/>
          <w:sz w:val="20"/>
          <w:szCs w:val="20"/>
        </w:rPr>
        <w:t xml:space="preserve">Coordinating and supporting the development and implementation of a national capacity building program </w:t>
      </w:r>
      <w:r w:rsidRPr="000D745B">
        <w:rPr>
          <w:rFonts w:asciiTheme="majorHAnsi" w:hAnsiTheme="majorHAnsi"/>
          <w:sz w:val="20"/>
          <w:szCs w:val="20"/>
        </w:rPr>
        <w:t>for all stakeholders involved in the landscape and seascape planning and management process</w:t>
      </w:r>
      <w:r w:rsidRPr="000D745B">
        <w:rPr>
          <w:rFonts w:asciiTheme="majorHAnsi" w:hAnsiTheme="majorHAnsi"/>
          <w:i/>
          <w:sz w:val="20"/>
          <w:szCs w:val="20"/>
        </w:rPr>
        <w:t>;</w:t>
      </w:r>
    </w:p>
    <w:p w14:paraId="260E1355" w14:textId="77777777" w:rsidR="00363608" w:rsidRPr="000D745B" w:rsidRDefault="00363608" w:rsidP="00B02352">
      <w:pPr>
        <w:numPr>
          <w:ilvl w:val="0"/>
          <w:numId w:val="19"/>
        </w:numPr>
        <w:spacing w:after="0"/>
        <w:rPr>
          <w:rFonts w:asciiTheme="majorHAnsi" w:hAnsiTheme="majorHAnsi"/>
          <w:i/>
          <w:sz w:val="20"/>
          <w:szCs w:val="20"/>
        </w:rPr>
      </w:pPr>
      <w:r w:rsidRPr="000D745B">
        <w:rPr>
          <w:rFonts w:asciiTheme="majorHAnsi" w:hAnsiTheme="majorHAnsi"/>
          <w:i/>
          <w:sz w:val="20"/>
          <w:szCs w:val="20"/>
        </w:rPr>
        <w:t>Advocacy of landscape/seascape approaches, landscape/seascape integration with socio-economic development priorities and financial planning;</w:t>
      </w:r>
    </w:p>
    <w:p w14:paraId="05087BA0" w14:textId="77777777" w:rsidR="00363608" w:rsidRPr="000D745B" w:rsidRDefault="00363608" w:rsidP="00B02352">
      <w:pPr>
        <w:numPr>
          <w:ilvl w:val="0"/>
          <w:numId w:val="19"/>
        </w:numPr>
        <w:spacing w:after="0"/>
        <w:rPr>
          <w:rFonts w:asciiTheme="majorHAnsi" w:hAnsiTheme="majorHAnsi"/>
          <w:sz w:val="20"/>
          <w:szCs w:val="20"/>
        </w:rPr>
      </w:pPr>
      <w:r w:rsidRPr="000D745B">
        <w:rPr>
          <w:rFonts w:asciiTheme="majorHAnsi" w:hAnsiTheme="majorHAnsi"/>
          <w:i/>
          <w:sz w:val="20"/>
          <w:szCs w:val="20"/>
        </w:rPr>
        <w:t>Supporting development of compensation mechanisms and incentive/disincentive mechanisms</w:t>
      </w:r>
      <w:r w:rsidRPr="000D745B">
        <w:rPr>
          <w:rFonts w:asciiTheme="majorHAnsi" w:hAnsiTheme="majorHAnsi"/>
          <w:sz w:val="20"/>
          <w:szCs w:val="20"/>
        </w:rPr>
        <w:t xml:space="preserve"> (including fiscal measures) to facilitate the mainstreaming of biodiversity conservation into key sectors; and</w:t>
      </w:r>
    </w:p>
    <w:p w14:paraId="317B5123" w14:textId="77777777" w:rsidR="00363608" w:rsidRPr="000D745B" w:rsidRDefault="00363608" w:rsidP="00363608">
      <w:pPr>
        <w:rPr>
          <w:rFonts w:asciiTheme="majorHAnsi" w:hAnsiTheme="majorHAnsi"/>
          <w:sz w:val="20"/>
          <w:szCs w:val="20"/>
        </w:rPr>
      </w:pPr>
    </w:p>
    <w:p w14:paraId="62E48567" w14:textId="77777777" w:rsidR="00363608" w:rsidRPr="000D745B" w:rsidRDefault="00363608" w:rsidP="00363608">
      <w:pPr>
        <w:rPr>
          <w:rFonts w:asciiTheme="majorHAnsi" w:hAnsiTheme="majorHAnsi"/>
          <w:b/>
          <w:sz w:val="20"/>
          <w:szCs w:val="20"/>
        </w:rPr>
      </w:pPr>
      <w:r w:rsidRPr="000D745B">
        <w:rPr>
          <w:rFonts w:asciiTheme="majorHAnsi" w:hAnsiTheme="majorHAnsi"/>
          <w:sz w:val="20"/>
          <w:szCs w:val="20"/>
        </w:rPr>
        <w:t>The Coordinating Body may co-opt external persons or institutional representatives to specific sessions, as observers or to receive opinions.</w:t>
      </w:r>
    </w:p>
    <w:p w14:paraId="73DEAA83" w14:textId="77777777" w:rsidR="00363608" w:rsidRPr="000D745B" w:rsidRDefault="00363608" w:rsidP="00363608">
      <w:pPr>
        <w:rPr>
          <w:rFonts w:asciiTheme="majorHAnsi" w:hAnsiTheme="majorHAnsi"/>
          <w:sz w:val="20"/>
          <w:szCs w:val="20"/>
        </w:rPr>
      </w:pPr>
      <w:r w:rsidRPr="000D745B">
        <w:rPr>
          <w:rFonts w:asciiTheme="majorHAnsi" w:hAnsiTheme="majorHAnsi"/>
          <w:sz w:val="20"/>
          <w:szCs w:val="20"/>
        </w:rPr>
        <w:t xml:space="preserve">Mid-term and terminal evaluations will determine whether the JCB shall be institutionalized as a permanent subcommittee under the NEPC or somehow institutionalized under the then Bureau of Environment. </w:t>
      </w:r>
    </w:p>
    <w:p w14:paraId="40406B96" w14:textId="77777777" w:rsidR="00363608" w:rsidRPr="000D745B" w:rsidRDefault="00363608" w:rsidP="00D17561">
      <w:pPr>
        <w:pStyle w:val="ListParagraph"/>
        <w:numPr>
          <w:ilvl w:val="0"/>
          <w:numId w:val="187"/>
        </w:numPr>
        <w:spacing w:after="160" w:line="259" w:lineRule="auto"/>
        <w:contextualSpacing/>
        <w:jc w:val="both"/>
        <w:rPr>
          <w:rFonts w:asciiTheme="majorHAnsi" w:hAnsiTheme="majorHAnsi"/>
          <w:b/>
          <w:sz w:val="20"/>
          <w:szCs w:val="20"/>
        </w:rPr>
      </w:pPr>
      <w:r w:rsidRPr="000D745B">
        <w:rPr>
          <w:rFonts w:asciiTheme="majorHAnsi" w:hAnsiTheme="majorHAnsi"/>
          <w:b/>
          <w:sz w:val="20"/>
          <w:szCs w:val="20"/>
        </w:rPr>
        <w:t>Technical Advisory Group</w:t>
      </w:r>
    </w:p>
    <w:p w14:paraId="026C270C" w14:textId="77777777" w:rsidR="00363608" w:rsidRPr="000D745B" w:rsidRDefault="00363608" w:rsidP="00363608">
      <w:pPr>
        <w:spacing w:after="180"/>
        <w:rPr>
          <w:rFonts w:asciiTheme="majorHAnsi" w:hAnsiTheme="majorHAnsi"/>
          <w:color w:val="000000"/>
          <w:sz w:val="20"/>
          <w:szCs w:val="20"/>
        </w:rPr>
      </w:pPr>
      <w:r w:rsidRPr="000D745B">
        <w:rPr>
          <w:rFonts w:asciiTheme="majorHAnsi" w:hAnsiTheme="majorHAnsi"/>
          <w:sz w:val="20"/>
          <w:szCs w:val="20"/>
        </w:rPr>
        <w:t>The JCB will be supported by a Technical Advisory Group that shall meet at the needs of the JCB.</w:t>
      </w:r>
    </w:p>
    <w:p w14:paraId="0A22AAC4" w14:textId="77777777" w:rsidR="00363608" w:rsidRPr="000D745B" w:rsidRDefault="00363608" w:rsidP="00363608">
      <w:pPr>
        <w:spacing w:after="180"/>
        <w:rPr>
          <w:rFonts w:asciiTheme="majorHAnsi" w:hAnsiTheme="majorHAnsi"/>
          <w:color w:val="000000"/>
          <w:sz w:val="20"/>
          <w:szCs w:val="20"/>
        </w:rPr>
      </w:pPr>
      <w:r w:rsidRPr="000D745B">
        <w:rPr>
          <w:rFonts w:asciiTheme="majorHAnsi" w:hAnsiTheme="majorHAnsi"/>
          <w:b/>
          <w:color w:val="000000"/>
          <w:sz w:val="20"/>
          <w:szCs w:val="20"/>
        </w:rPr>
        <w:t>Members:</w:t>
      </w:r>
      <w:r w:rsidRPr="000D745B">
        <w:rPr>
          <w:rFonts w:asciiTheme="majorHAnsi" w:hAnsiTheme="majorHAnsi"/>
          <w:color w:val="000000"/>
          <w:sz w:val="20"/>
          <w:szCs w:val="20"/>
        </w:rPr>
        <w:t xml:space="preserve"> Membership may vary based on the Annual Work Plan, but should include experts who can assist with planning and/or best practice implementation.</w:t>
      </w:r>
    </w:p>
    <w:p w14:paraId="6EFDC58B" w14:textId="77777777" w:rsidR="00363608" w:rsidRPr="000D745B" w:rsidRDefault="00363608" w:rsidP="00D17561">
      <w:pPr>
        <w:pStyle w:val="ListParagraph"/>
        <w:numPr>
          <w:ilvl w:val="0"/>
          <w:numId w:val="194"/>
        </w:numPr>
        <w:spacing w:after="180" w:line="259" w:lineRule="auto"/>
        <w:contextualSpacing/>
        <w:jc w:val="both"/>
        <w:rPr>
          <w:rFonts w:asciiTheme="majorHAnsi" w:hAnsiTheme="majorHAnsi"/>
          <w:color w:val="000000"/>
          <w:sz w:val="20"/>
          <w:szCs w:val="20"/>
        </w:rPr>
      </w:pPr>
      <w:r w:rsidRPr="000D745B">
        <w:rPr>
          <w:rFonts w:asciiTheme="majorHAnsi" w:hAnsiTheme="majorHAnsi"/>
          <w:sz w:val="20"/>
          <w:szCs w:val="20"/>
        </w:rPr>
        <w:t xml:space="preserve">MNRET (Bureaus of Agriculture, Tourism, and Marine Resources; PAN Office; Forestry Division, and Biosecurity Division), </w:t>
      </w:r>
    </w:p>
    <w:p w14:paraId="18905A01" w14:textId="77777777" w:rsidR="00363608" w:rsidRPr="000D745B" w:rsidRDefault="00363608" w:rsidP="00D17561">
      <w:pPr>
        <w:pStyle w:val="ListParagraph"/>
        <w:numPr>
          <w:ilvl w:val="0"/>
          <w:numId w:val="194"/>
        </w:numPr>
        <w:spacing w:after="180" w:line="259" w:lineRule="auto"/>
        <w:contextualSpacing/>
        <w:jc w:val="both"/>
        <w:rPr>
          <w:rFonts w:asciiTheme="majorHAnsi" w:hAnsiTheme="majorHAnsi"/>
          <w:color w:val="000000"/>
          <w:sz w:val="20"/>
          <w:szCs w:val="20"/>
        </w:rPr>
      </w:pPr>
      <w:r w:rsidRPr="000D745B">
        <w:rPr>
          <w:rFonts w:asciiTheme="majorHAnsi" w:hAnsiTheme="majorHAnsi"/>
          <w:sz w:val="20"/>
          <w:szCs w:val="20"/>
        </w:rPr>
        <w:t>Division of Fish and Wildlife Protection and Marine Law Enforcement</w:t>
      </w:r>
    </w:p>
    <w:p w14:paraId="74D98DEF" w14:textId="77777777" w:rsidR="00363608" w:rsidRPr="000D745B" w:rsidRDefault="00363608" w:rsidP="00D17561">
      <w:pPr>
        <w:pStyle w:val="ListParagraph"/>
        <w:numPr>
          <w:ilvl w:val="0"/>
          <w:numId w:val="194"/>
        </w:numPr>
        <w:spacing w:after="180" w:line="259" w:lineRule="auto"/>
        <w:contextualSpacing/>
        <w:jc w:val="both"/>
        <w:rPr>
          <w:rFonts w:asciiTheme="majorHAnsi" w:hAnsiTheme="majorHAnsi"/>
          <w:color w:val="000000"/>
          <w:sz w:val="20"/>
          <w:szCs w:val="20"/>
        </w:rPr>
      </w:pPr>
      <w:r w:rsidRPr="000D745B">
        <w:rPr>
          <w:rFonts w:asciiTheme="majorHAnsi" w:hAnsiTheme="majorHAnsi"/>
          <w:sz w:val="20"/>
          <w:szCs w:val="20"/>
        </w:rPr>
        <w:t>EQPB</w:t>
      </w:r>
    </w:p>
    <w:p w14:paraId="59270528" w14:textId="77777777" w:rsidR="00363608" w:rsidRPr="000D745B" w:rsidRDefault="00363608" w:rsidP="00D17561">
      <w:pPr>
        <w:pStyle w:val="ListParagraph"/>
        <w:numPr>
          <w:ilvl w:val="0"/>
          <w:numId w:val="194"/>
        </w:numPr>
        <w:spacing w:after="180" w:line="259" w:lineRule="auto"/>
        <w:contextualSpacing/>
        <w:jc w:val="both"/>
        <w:rPr>
          <w:rFonts w:asciiTheme="majorHAnsi" w:hAnsiTheme="majorHAnsi"/>
          <w:color w:val="000000"/>
          <w:sz w:val="20"/>
          <w:szCs w:val="20"/>
        </w:rPr>
      </w:pPr>
      <w:r w:rsidRPr="000D745B">
        <w:rPr>
          <w:rFonts w:asciiTheme="majorHAnsi" w:hAnsiTheme="majorHAnsi"/>
          <w:sz w:val="20"/>
          <w:szCs w:val="20"/>
        </w:rPr>
        <w:t>NISC</w:t>
      </w:r>
    </w:p>
    <w:p w14:paraId="48FDA8C5" w14:textId="77777777" w:rsidR="00363608" w:rsidRPr="000D745B" w:rsidRDefault="00363608" w:rsidP="00D17561">
      <w:pPr>
        <w:pStyle w:val="ListParagraph"/>
        <w:numPr>
          <w:ilvl w:val="0"/>
          <w:numId w:val="194"/>
        </w:numPr>
        <w:spacing w:after="180" w:line="259" w:lineRule="auto"/>
        <w:contextualSpacing/>
        <w:jc w:val="both"/>
        <w:rPr>
          <w:rFonts w:asciiTheme="majorHAnsi" w:hAnsiTheme="majorHAnsi"/>
          <w:color w:val="000000"/>
          <w:sz w:val="20"/>
          <w:szCs w:val="20"/>
        </w:rPr>
      </w:pPr>
      <w:r w:rsidRPr="000D745B">
        <w:rPr>
          <w:rFonts w:asciiTheme="majorHAnsi" w:hAnsiTheme="majorHAnsi"/>
          <w:sz w:val="20"/>
          <w:szCs w:val="20"/>
        </w:rPr>
        <w:t>Nonprofits representing the 5 project sectors</w:t>
      </w:r>
    </w:p>
    <w:p w14:paraId="46407438" w14:textId="77777777" w:rsidR="00363608" w:rsidRPr="000D745B" w:rsidRDefault="00363608" w:rsidP="00D17561">
      <w:pPr>
        <w:pStyle w:val="ListParagraph"/>
        <w:numPr>
          <w:ilvl w:val="0"/>
          <w:numId w:val="194"/>
        </w:numPr>
        <w:spacing w:after="180" w:line="259" w:lineRule="auto"/>
        <w:contextualSpacing/>
        <w:jc w:val="both"/>
        <w:rPr>
          <w:rFonts w:asciiTheme="majorHAnsi" w:hAnsiTheme="majorHAnsi"/>
          <w:color w:val="000000"/>
          <w:sz w:val="20"/>
          <w:szCs w:val="20"/>
        </w:rPr>
      </w:pPr>
      <w:r w:rsidRPr="000D745B">
        <w:rPr>
          <w:rFonts w:asciiTheme="majorHAnsi" w:hAnsiTheme="majorHAnsi"/>
          <w:sz w:val="20"/>
          <w:szCs w:val="20"/>
        </w:rPr>
        <w:t>Private sector partners as needed</w:t>
      </w:r>
    </w:p>
    <w:p w14:paraId="31B75C57" w14:textId="77777777" w:rsidR="00363608" w:rsidRPr="000D745B" w:rsidRDefault="00363608" w:rsidP="00363608">
      <w:pPr>
        <w:spacing w:after="180"/>
        <w:rPr>
          <w:rFonts w:asciiTheme="majorHAnsi" w:hAnsiTheme="majorHAnsi"/>
          <w:b/>
          <w:color w:val="000000"/>
          <w:sz w:val="20"/>
          <w:szCs w:val="20"/>
        </w:rPr>
      </w:pPr>
      <w:r w:rsidRPr="000D745B">
        <w:rPr>
          <w:rFonts w:asciiTheme="majorHAnsi" w:hAnsiTheme="majorHAnsi"/>
          <w:b/>
          <w:color w:val="000000"/>
          <w:sz w:val="20"/>
          <w:szCs w:val="20"/>
        </w:rPr>
        <w:t>Purpose and Tasks:</w:t>
      </w:r>
      <w:r w:rsidRPr="000D745B">
        <w:rPr>
          <w:rFonts w:asciiTheme="majorHAnsi" w:hAnsiTheme="majorHAnsi"/>
          <w:color w:val="000000"/>
          <w:sz w:val="20"/>
          <w:szCs w:val="20"/>
        </w:rPr>
        <w:t xml:space="preserve"> </w:t>
      </w:r>
      <w:r w:rsidRPr="000D745B">
        <w:rPr>
          <w:rFonts w:asciiTheme="majorHAnsi" w:hAnsiTheme="majorHAnsi" w:cs="Arial"/>
          <w:noProof/>
          <w:sz w:val="20"/>
          <w:szCs w:val="20"/>
          <w:lang w:eastAsia="zh-CN"/>
        </w:rPr>
        <w:t>The Technical Advisory Group will provide advice on selected questions as they arise to the JCB.</w:t>
      </w:r>
    </w:p>
    <w:p w14:paraId="625E40D5" w14:textId="77777777" w:rsidR="00363608" w:rsidRPr="000D745B" w:rsidRDefault="00363608" w:rsidP="00D17561">
      <w:pPr>
        <w:pStyle w:val="ListParagraph"/>
        <w:numPr>
          <w:ilvl w:val="0"/>
          <w:numId w:val="187"/>
        </w:numPr>
        <w:spacing w:line="259" w:lineRule="auto"/>
        <w:contextualSpacing/>
        <w:jc w:val="both"/>
        <w:rPr>
          <w:rFonts w:asciiTheme="majorHAnsi" w:hAnsiTheme="majorHAnsi"/>
          <w:sz w:val="20"/>
          <w:szCs w:val="20"/>
          <w:u w:val="single"/>
        </w:rPr>
      </w:pPr>
      <w:r w:rsidRPr="000D745B">
        <w:rPr>
          <w:rFonts w:asciiTheme="majorHAnsi" w:hAnsiTheme="majorHAnsi"/>
          <w:b/>
          <w:bCs/>
          <w:sz w:val="20"/>
          <w:szCs w:val="20"/>
        </w:rPr>
        <w:t>Individual State Planning and Best Practice Teams</w:t>
      </w:r>
      <w:r w:rsidRPr="000D745B">
        <w:rPr>
          <w:rFonts w:asciiTheme="majorHAnsi" w:hAnsiTheme="majorHAnsi"/>
          <w:sz w:val="20"/>
          <w:szCs w:val="20"/>
        </w:rPr>
        <w:t xml:space="preserve"> </w:t>
      </w:r>
    </w:p>
    <w:p w14:paraId="54EA134E" w14:textId="77777777" w:rsidR="00363608" w:rsidRPr="000D745B" w:rsidRDefault="00363608" w:rsidP="00363608">
      <w:pPr>
        <w:pStyle w:val="ListParagraph"/>
        <w:ind w:left="360"/>
        <w:jc w:val="both"/>
        <w:rPr>
          <w:rFonts w:asciiTheme="majorHAnsi" w:hAnsiTheme="majorHAnsi"/>
          <w:sz w:val="20"/>
          <w:szCs w:val="20"/>
          <w:u w:val="single"/>
        </w:rPr>
      </w:pPr>
    </w:p>
    <w:p w14:paraId="32F36EB4" w14:textId="3C4C213A" w:rsidR="00363608" w:rsidRPr="000D745B" w:rsidRDefault="00363608" w:rsidP="00363608">
      <w:pPr>
        <w:spacing w:after="0"/>
        <w:rPr>
          <w:rFonts w:asciiTheme="majorHAnsi" w:hAnsiTheme="majorHAnsi"/>
          <w:sz w:val="20"/>
          <w:szCs w:val="20"/>
        </w:rPr>
      </w:pPr>
      <w:r w:rsidRPr="000D745B">
        <w:rPr>
          <w:rFonts w:asciiTheme="majorHAnsi" w:hAnsiTheme="majorHAnsi"/>
          <w:sz w:val="20"/>
          <w:szCs w:val="20"/>
        </w:rPr>
        <w:t xml:space="preserve">Each of the 9 States actively engaged in Outcomes 2 and 3 will be supported to form and maintain an Individual State Planning Team for the duration of the project. These teams will lead land/seascape planning within their state, put forward proposals for direct financing of best practices, and oversee actions on the ground, with assistance from the JCB, EPU Coordinator, and Technical Advisory Group. </w:t>
      </w:r>
    </w:p>
    <w:p w14:paraId="3FEAC14A" w14:textId="77777777" w:rsidR="00363608" w:rsidRPr="000D745B" w:rsidRDefault="00363608" w:rsidP="00363608">
      <w:pPr>
        <w:spacing w:after="0"/>
        <w:rPr>
          <w:rFonts w:asciiTheme="majorHAnsi" w:hAnsiTheme="majorHAnsi"/>
          <w:sz w:val="20"/>
          <w:szCs w:val="20"/>
        </w:rPr>
      </w:pPr>
    </w:p>
    <w:p w14:paraId="2C05FBD1" w14:textId="77777777" w:rsidR="00363608" w:rsidRPr="000D745B" w:rsidRDefault="00363608" w:rsidP="00363608">
      <w:pPr>
        <w:spacing w:after="0"/>
        <w:rPr>
          <w:rFonts w:asciiTheme="majorHAnsi" w:hAnsiTheme="majorHAnsi"/>
          <w:color w:val="000000"/>
          <w:sz w:val="20"/>
          <w:szCs w:val="20"/>
        </w:rPr>
      </w:pPr>
      <w:r w:rsidRPr="000D745B">
        <w:rPr>
          <w:rFonts w:asciiTheme="majorHAnsi" w:hAnsiTheme="majorHAnsi"/>
          <w:b/>
          <w:sz w:val="20"/>
          <w:szCs w:val="20"/>
        </w:rPr>
        <w:t>Members</w:t>
      </w:r>
      <w:r w:rsidRPr="000D745B">
        <w:rPr>
          <w:rFonts w:asciiTheme="majorHAnsi" w:hAnsiTheme="majorHAnsi"/>
          <w:sz w:val="20"/>
          <w:szCs w:val="20"/>
        </w:rPr>
        <w:t xml:space="preserve">: Membership shall vary by state, but should follow protocols established under the PAN for determination of membership (e.g. by appointment or traditional decree). Each team shall be a minimum of 5 individuals who offer inclusive representation (e.g. of genders and social groups). They may include </w:t>
      </w:r>
      <w:r w:rsidRPr="000D745B">
        <w:rPr>
          <w:rFonts w:asciiTheme="majorHAnsi" w:hAnsiTheme="majorHAnsi"/>
          <w:color w:val="000000"/>
          <w:sz w:val="20"/>
          <w:szCs w:val="20"/>
        </w:rPr>
        <w:t>sectoral staff, NGO representatives and local community members.</w:t>
      </w:r>
    </w:p>
    <w:p w14:paraId="7C9A42C9" w14:textId="77777777" w:rsidR="00363608" w:rsidRPr="000D745B" w:rsidRDefault="00363608" w:rsidP="00363608">
      <w:pPr>
        <w:spacing w:after="0"/>
        <w:rPr>
          <w:rFonts w:asciiTheme="majorHAnsi" w:hAnsiTheme="majorHAnsi"/>
          <w:color w:val="000000"/>
          <w:sz w:val="20"/>
          <w:szCs w:val="20"/>
        </w:rPr>
      </w:pPr>
    </w:p>
    <w:p w14:paraId="45010C42" w14:textId="77777777" w:rsidR="00363608" w:rsidRPr="000D745B" w:rsidRDefault="00363608" w:rsidP="00363608">
      <w:pPr>
        <w:spacing w:after="0"/>
        <w:rPr>
          <w:rFonts w:asciiTheme="majorHAnsi" w:hAnsiTheme="majorHAnsi"/>
          <w:color w:val="000000"/>
          <w:sz w:val="20"/>
          <w:szCs w:val="20"/>
        </w:rPr>
      </w:pPr>
      <w:r w:rsidRPr="000D745B">
        <w:rPr>
          <w:rFonts w:asciiTheme="majorHAnsi" w:hAnsiTheme="majorHAnsi"/>
          <w:color w:val="000000"/>
          <w:sz w:val="20"/>
          <w:szCs w:val="20"/>
        </w:rPr>
        <w:t>Each team will nominate one member to serve on the JCB.</w:t>
      </w:r>
    </w:p>
    <w:p w14:paraId="544027E7" w14:textId="77777777" w:rsidR="00363608" w:rsidRPr="000D745B" w:rsidRDefault="00363608" w:rsidP="00363608">
      <w:pPr>
        <w:spacing w:after="0"/>
        <w:rPr>
          <w:rFonts w:asciiTheme="majorHAnsi" w:hAnsiTheme="majorHAnsi"/>
          <w:color w:val="000000"/>
          <w:sz w:val="20"/>
          <w:szCs w:val="20"/>
        </w:rPr>
      </w:pPr>
    </w:p>
    <w:p w14:paraId="3C47A049" w14:textId="77777777" w:rsidR="00363608" w:rsidRPr="000D745B" w:rsidRDefault="00363608" w:rsidP="00363608">
      <w:pPr>
        <w:spacing w:after="0"/>
        <w:rPr>
          <w:rFonts w:asciiTheme="majorHAnsi" w:hAnsiTheme="majorHAnsi"/>
          <w:color w:val="000000"/>
          <w:sz w:val="20"/>
          <w:szCs w:val="20"/>
        </w:rPr>
      </w:pPr>
      <w:r w:rsidRPr="000D745B">
        <w:rPr>
          <w:rFonts w:asciiTheme="majorHAnsi" w:hAnsiTheme="majorHAnsi"/>
          <w:b/>
          <w:color w:val="000000"/>
          <w:sz w:val="20"/>
          <w:szCs w:val="20"/>
        </w:rPr>
        <w:t>Purpose and Tasks:</w:t>
      </w:r>
      <w:r w:rsidRPr="000D745B">
        <w:rPr>
          <w:rFonts w:asciiTheme="majorHAnsi" w:hAnsiTheme="majorHAnsi"/>
          <w:color w:val="000000"/>
          <w:sz w:val="20"/>
          <w:szCs w:val="20"/>
        </w:rPr>
        <w:t xml:space="preserve"> The primary task of these State Planning Teams will be to participate in Integrated Landscape/Seascape Management Planning (ILSMP). Tasks include:</w:t>
      </w:r>
    </w:p>
    <w:p w14:paraId="22DCE26B" w14:textId="77777777" w:rsidR="00363608" w:rsidRPr="000D745B" w:rsidRDefault="00363608" w:rsidP="00D17561">
      <w:pPr>
        <w:pStyle w:val="ListParagraph"/>
        <w:numPr>
          <w:ilvl w:val="0"/>
          <w:numId w:val="195"/>
        </w:numPr>
        <w:spacing w:line="259" w:lineRule="auto"/>
        <w:contextualSpacing/>
        <w:jc w:val="both"/>
        <w:rPr>
          <w:rFonts w:asciiTheme="majorHAnsi" w:hAnsiTheme="majorHAnsi"/>
          <w:color w:val="000000"/>
          <w:sz w:val="20"/>
          <w:szCs w:val="20"/>
        </w:rPr>
      </w:pPr>
      <w:r w:rsidRPr="000D745B">
        <w:rPr>
          <w:rFonts w:asciiTheme="majorHAnsi" w:hAnsiTheme="majorHAnsi"/>
          <w:color w:val="000000"/>
          <w:sz w:val="20"/>
          <w:szCs w:val="20"/>
        </w:rPr>
        <w:t>Providing representation and input into state level land/seascape planning</w:t>
      </w:r>
    </w:p>
    <w:p w14:paraId="0EE6EACE" w14:textId="77777777" w:rsidR="00363608" w:rsidRPr="000D745B" w:rsidRDefault="00363608" w:rsidP="00D17561">
      <w:pPr>
        <w:pStyle w:val="ListParagraph"/>
        <w:numPr>
          <w:ilvl w:val="0"/>
          <w:numId w:val="195"/>
        </w:numPr>
        <w:spacing w:line="259" w:lineRule="auto"/>
        <w:contextualSpacing/>
        <w:jc w:val="both"/>
        <w:rPr>
          <w:rFonts w:asciiTheme="majorHAnsi" w:hAnsiTheme="majorHAnsi"/>
          <w:color w:val="000000"/>
          <w:sz w:val="20"/>
          <w:szCs w:val="20"/>
        </w:rPr>
      </w:pPr>
      <w:r w:rsidRPr="000D745B">
        <w:rPr>
          <w:rFonts w:asciiTheme="majorHAnsi" w:hAnsiTheme="majorHAnsi"/>
          <w:color w:val="000000"/>
          <w:sz w:val="20"/>
          <w:szCs w:val="20"/>
        </w:rPr>
        <w:t xml:space="preserve">Identifying appropriate initiatives for sustainable agriculture, forestry, fisheries, aquaculture, tourism and IAS prevention and management efforts, </w:t>
      </w:r>
    </w:p>
    <w:p w14:paraId="4BCAA2B3" w14:textId="77777777" w:rsidR="00363608" w:rsidRPr="000D745B" w:rsidRDefault="00363608" w:rsidP="00D17561">
      <w:pPr>
        <w:pStyle w:val="ListParagraph"/>
        <w:numPr>
          <w:ilvl w:val="0"/>
          <w:numId w:val="195"/>
        </w:numPr>
        <w:spacing w:line="259" w:lineRule="auto"/>
        <w:contextualSpacing/>
        <w:jc w:val="both"/>
        <w:rPr>
          <w:rFonts w:asciiTheme="majorHAnsi" w:hAnsiTheme="majorHAnsi"/>
          <w:color w:val="000000"/>
          <w:sz w:val="20"/>
          <w:szCs w:val="20"/>
        </w:rPr>
      </w:pPr>
      <w:r w:rsidRPr="000D745B">
        <w:rPr>
          <w:rFonts w:asciiTheme="majorHAnsi" w:hAnsiTheme="majorHAnsi"/>
          <w:color w:val="000000"/>
          <w:sz w:val="20"/>
          <w:szCs w:val="20"/>
        </w:rPr>
        <w:t>Facilitating biodiversity-mainstreaming and biosecurity monitoring and surveillance at the state level and on the ground,</w:t>
      </w:r>
    </w:p>
    <w:p w14:paraId="37D079E8" w14:textId="77777777" w:rsidR="00363608" w:rsidRPr="000D745B" w:rsidRDefault="00363608" w:rsidP="00D17561">
      <w:pPr>
        <w:pStyle w:val="ListParagraph"/>
        <w:numPr>
          <w:ilvl w:val="0"/>
          <w:numId w:val="195"/>
        </w:numPr>
        <w:spacing w:line="259" w:lineRule="auto"/>
        <w:contextualSpacing/>
        <w:jc w:val="both"/>
        <w:rPr>
          <w:rFonts w:asciiTheme="majorHAnsi" w:hAnsiTheme="majorHAnsi"/>
          <w:color w:val="000000"/>
          <w:sz w:val="20"/>
          <w:szCs w:val="20"/>
        </w:rPr>
      </w:pPr>
      <w:r w:rsidRPr="000D745B">
        <w:rPr>
          <w:rFonts w:asciiTheme="majorHAnsi" w:hAnsiTheme="majorHAnsi"/>
          <w:color w:val="000000"/>
          <w:sz w:val="20"/>
          <w:szCs w:val="20"/>
        </w:rPr>
        <w:t>Facilitating outreach activities by the project within the state,</w:t>
      </w:r>
    </w:p>
    <w:p w14:paraId="53E17AB1" w14:textId="77777777" w:rsidR="00363608" w:rsidRPr="000D745B" w:rsidRDefault="00363608" w:rsidP="00D17561">
      <w:pPr>
        <w:pStyle w:val="ListParagraph"/>
        <w:numPr>
          <w:ilvl w:val="0"/>
          <w:numId w:val="195"/>
        </w:numPr>
        <w:spacing w:line="259" w:lineRule="auto"/>
        <w:contextualSpacing/>
        <w:jc w:val="both"/>
        <w:rPr>
          <w:rFonts w:asciiTheme="majorHAnsi" w:hAnsiTheme="majorHAnsi"/>
          <w:color w:val="000000"/>
          <w:sz w:val="20"/>
          <w:szCs w:val="20"/>
        </w:rPr>
      </w:pPr>
      <w:r w:rsidRPr="000D745B">
        <w:rPr>
          <w:rFonts w:asciiTheme="majorHAnsi" w:hAnsiTheme="majorHAnsi"/>
          <w:color w:val="000000"/>
          <w:sz w:val="20"/>
          <w:szCs w:val="20"/>
        </w:rPr>
        <w:t>Coordinating local and cross-training activities</w:t>
      </w:r>
    </w:p>
    <w:p w14:paraId="0C2CC819" w14:textId="77777777" w:rsidR="00363608" w:rsidRPr="000D745B" w:rsidRDefault="00363608" w:rsidP="00D17561">
      <w:pPr>
        <w:pStyle w:val="ListParagraph"/>
        <w:numPr>
          <w:ilvl w:val="0"/>
          <w:numId w:val="195"/>
        </w:numPr>
        <w:spacing w:line="259" w:lineRule="auto"/>
        <w:contextualSpacing/>
        <w:jc w:val="both"/>
        <w:rPr>
          <w:rFonts w:asciiTheme="majorHAnsi" w:hAnsiTheme="majorHAnsi"/>
          <w:color w:val="000000"/>
          <w:sz w:val="20"/>
          <w:szCs w:val="20"/>
        </w:rPr>
      </w:pPr>
      <w:r w:rsidRPr="000D745B">
        <w:rPr>
          <w:rFonts w:asciiTheme="majorHAnsi" w:hAnsiTheme="majorHAnsi"/>
          <w:color w:val="000000"/>
          <w:sz w:val="20"/>
          <w:szCs w:val="20"/>
        </w:rPr>
        <w:t xml:space="preserve">Facilitating coordination with resort owners and tour operators in the state, and </w:t>
      </w:r>
    </w:p>
    <w:p w14:paraId="2D051ADC" w14:textId="77777777" w:rsidR="00363608" w:rsidRPr="000D745B" w:rsidRDefault="00363608" w:rsidP="00D17561">
      <w:pPr>
        <w:pStyle w:val="ListParagraph"/>
        <w:numPr>
          <w:ilvl w:val="0"/>
          <w:numId w:val="195"/>
        </w:numPr>
        <w:spacing w:line="259" w:lineRule="auto"/>
        <w:contextualSpacing/>
        <w:jc w:val="both"/>
        <w:rPr>
          <w:rFonts w:asciiTheme="majorHAnsi" w:hAnsiTheme="majorHAnsi"/>
          <w:color w:val="000000"/>
          <w:sz w:val="20"/>
          <w:szCs w:val="20"/>
        </w:rPr>
      </w:pPr>
      <w:r w:rsidRPr="000D745B">
        <w:rPr>
          <w:rFonts w:asciiTheme="majorHAnsi" w:hAnsiTheme="majorHAnsi"/>
          <w:color w:val="000000"/>
          <w:sz w:val="20"/>
          <w:szCs w:val="20"/>
        </w:rPr>
        <w:t xml:space="preserve">Supporting efforts for coordination of resource mobilization and manpower for eradication and biosecurity activities. </w:t>
      </w:r>
    </w:p>
    <w:p w14:paraId="37E4311B" w14:textId="77777777" w:rsidR="00363608" w:rsidRPr="000D745B" w:rsidRDefault="00363608" w:rsidP="00363608">
      <w:pPr>
        <w:spacing w:after="0"/>
        <w:rPr>
          <w:rFonts w:asciiTheme="majorHAnsi" w:hAnsiTheme="majorHAnsi"/>
          <w:color w:val="000000"/>
          <w:sz w:val="20"/>
          <w:szCs w:val="20"/>
        </w:rPr>
      </w:pPr>
    </w:p>
    <w:p w14:paraId="483CA1B7" w14:textId="77777777" w:rsidR="00363608" w:rsidRPr="000D745B" w:rsidRDefault="00363608" w:rsidP="00363608">
      <w:pPr>
        <w:spacing w:after="0"/>
        <w:rPr>
          <w:rFonts w:asciiTheme="majorHAnsi" w:hAnsiTheme="majorHAnsi"/>
          <w:color w:val="000000"/>
          <w:sz w:val="20"/>
          <w:szCs w:val="20"/>
        </w:rPr>
      </w:pPr>
      <w:r w:rsidRPr="000D745B">
        <w:rPr>
          <w:rFonts w:asciiTheme="majorHAnsi" w:hAnsiTheme="majorHAnsi"/>
          <w:color w:val="000000"/>
          <w:sz w:val="20"/>
          <w:szCs w:val="20"/>
        </w:rPr>
        <w:t>Planning teams will report to the JCB and will be supported by the JCB, EPU Coordinator, and Technical Advisory Group.</w:t>
      </w:r>
    </w:p>
    <w:p w14:paraId="5914B934" w14:textId="77777777" w:rsidR="00363608" w:rsidRPr="000D745B" w:rsidRDefault="00363608" w:rsidP="00363608">
      <w:pPr>
        <w:spacing w:after="0"/>
        <w:rPr>
          <w:rFonts w:asciiTheme="majorHAnsi" w:hAnsiTheme="majorHAnsi"/>
          <w:sz w:val="20"/>
          <w:szCs w:val="20"/>
          <w:u w:val="single"/>
        </w:rPr>
      </w:pPr>
    </w:p>
    <w:p w14:paraId="0B11E3EC" w14:textId="77777777" w:rsidR="00363608" w:rsidRPr="000D745B" w:rsidRDefault="00363608" w:rsidP="00363608">
      <w:pPr>
        <w:spacing w:after="0"/>
        <w:rPr>
          <w:rFonts w:asciiTheme="majorHAnsi" w:hAnsiTheme="majorHAnsi"/>
          <w:sz w:val="20"/>
          <w:szCs w:val="20"/>
        </w:rPr>
      </w:pPr>
    </w:p>
    <w:p w14:paraId="48619B04" w14:textId="77777777" w:rsidR="00363608" w:rsidRPr="000D745B" w:rsidRDefault="00363608" w:rsidP="00D17561">
      <w:pPr>
        <w:pStyle w:val="ListParagraph"/>
        <w:numPr>
          <w:ilvl w:val="0"/>
          <w:numId w:val="187"/>
        </w:numPr>
        <w:spacing w:line="259" w:lineRule="auto"/>
        <w:contextualSpacing/>
        <w:jc w:val="both"/>
        <w:rPr>
          <w:rFonts w:asciiTheme="majorHAnsi" w:hAnsiTheme="majorHAnsi"/>
          <w:b/>
          <w:sz w:val="20"/>
          <w:szCs w:val="20"/>
        </w:rPr>
      </w:pPr>
      <w:r w:rsidRPr="000D745B">
        <w:rPr>
          <w:rFonts w:asciiTheme="majorHAnsi" w:hAnsiTheme="majorHAnsi"/>
          <w:b/>
          <w:sz w:val="20"/>
          <w:szCs w:val="20"/>
        </w:rPr>
        <w:t>Project Manager</w:t>
      </w:r>
    </w:p>
    <w:p w14:paraId="6384D0D4" w14:textId="77777777" w:rsidR="00363608" w:rsidRPr="000D745B" w:rsidRDefault="00363608" w:rsidP="00363608">
      <w:pPr>
        <w:pStyle w:val="ListParagraph"/>
        <w:ind w:left="360"/>
        <w:jc w:val="both"/>
        <w:rPr>
          <w:rFonts w:asciiTheme="majorHAnsi" w:hAnsiTheme="majorHAnsi"/>
          <w:b/>
          <w:sz w:val="20"/>
          <w:szCs w:val="20"/>
        </w:rPr>
      </w:pPr>
    </w:p>
    <w:p w14:paraId="794C2FD3" w14:textId="77777777" w:rsidR="00363608" w:rsidRPr="000D745B" w:rsidRDefault="00363608" w:rsidP="00363608">
      <w:pPr>
        <w:pStyle w:val="Default"/>
        <w:jc w:val="both"/>
        <w:rPr>
          <w:rFonts w:asciiTheme="majorHAnsi" w:hAnsiTheme="majorHAnsi" w:cs="Times New Roman"/>
          <w:sz w:val="20"/>
          <w:szCs w:val="20"/>
        </w:rPr>
      </w:pPr>
      <w:r w:rsidRPr="000D745B">
        <w:rPr>
          <w:rFonts w:asciiTheme="majorHAnsi" w:hAnsiTheme="majorHAnsi" w:cs="Times New Roman"/>
          <w:sz w:val="20"/>
          <w:szCs w:val="20"/>
        </w:rPr>
        <w:t xml:space="preserve">The Project Manager will work under the supervision and guidance of the Minister of MNRET, until such time that an EPU Coordinator is hired. The Project Manager shall also work closely with the Project Board. </w:t>
      </w:r>
    </w:p>
    <w:p w14:paraId="7AD3B78C" w14:textId="77777777" w:rsidR="00363608" w:rsidRPr="000D745B" w:rsidRDefault="00363608" w:rsidP="00363608">
      <w:pPr>
        <w:pStyle w:val="Default"/>
        <w:jc w:val="both"/>
        <w:rPr>
          <w:rFonts w:asciiTheme="majorHAnsi" w:hAnsiTheme="majorHAnsi" w:cs="Times New Roman"/>
          <w:sz w:val="20"/>
          <w:szCs w:val="20"/>
        </w:rPr>
      </w:pPr>
    </w:p>
    <w:p w14:paraId="2735667A" w14:textId="77777777" w:rsidR="00363608" w:rsidRPr="000D745B" w:rsidRDefault="00363608" w:rsidP="00363608">
      <w:pPr>
        <w:pStyle w:val="Default"/>
        <w:jc w:val="both"/>
        <w:rPr>
          <w:rFonts w:asciiTheme="majorHAnsi" w:hAnsiTheme="majorHAnsi" w:cs="Times New Roman"/>
          <w:sz w:val="20"/>
          <w:szCs w:val="20"/>
        </w:rPr>
      </w:pPr>
      <w:r w:rsidRPr="000D745B">
        <w:rPr>
          <w:rFonts w:asciiTheme="majorHAnsi" w:hAnsiTheme="majorHAnsi" w:cs="Times New Roman"/>
          <w:sz w:val="20"/>
          <w:szCs w:val="20"/>
        </w:rPr>
        <w:t xml:space="preserve">The Project Manager shall look after day to day management of National Project Management Unit, its staff and consultants; including general and financial administration, work planning, progress reporting, monitoring and quality control of Project inputs and delivery of its outputs. The Project Manager will be responsible for the following technical, administrative and managerial tasks: </w:t>
      </w:r>
    </w:p>
    <w:p w14:paraId="46A93075" w14:textId="77777777" w:rsidR="00363608" w:rsidRPr="000D745B" w:rsidRDefault="00363608" w:rsidP="00363608">
      <w:pPr>
        <w:pStyle w:val="Default"/>
        <w:jc w:val="both"/>
        <w:rPr>
          <w:rFonts w:asciiTheme="majorHAnsi" w:hAnsiTheme="majorHAnsi" w:cs="Times New Roman"/>
          <w:sz w:val="20"/>
          <w:szCs w:val="20"/>
        </w:rPr>
      </w:pPr>
    </w:p>
    <w:p w14:paraId="63B4E60C" w14:textId="77777777" w:rsidR="00363608" w:rsidRPr="000D745B" w:rsidRDefault="00363608" w:rsidP="00363608">
      <w:pPr>
        <w:rPr>
          <w:rFonts w:asciiTheme="majorHAnsi" w:hAnsiTheme="majorHAnsi"/>
          <w:sz w:val="20"/>
          <w:szCs w:val="20"/>
        </w:rPr>
      </w:pPr>
      <w:r w:rsidRPr="000D745B">
        <w:rPr>
          <w:rFonts w:asciiTheme="majorHAnsi" w:hAnsiTheme="majorHAnsi"/>
          <w:sz w:val="20"/>
          <w:szCs w:val="20"/>
        </w:rPr>
        <w:t>Operational project management in accordance with the Project Document and the UNDP guidelines and procedures for implementation of project activities, including:</w:t>
      </w:r>
    </w:p>
    <w:p w14:paraId="2DEA49A1" w14:textId="77777777" w:rsidR="00363608" w:rsidRPr="000D745B" w:rsidRDefault="00363608" w:rsidP="00D17561">
      <w:pPr>
        <w:numPr>
          <w:ilvl w:val="0"/>
          <w:numId w:val="188"/>
        </w:numPr>
        <w:spacing w:after="0"/>
        <w:rPr>
          <w:rFonts w:asciiTheme="majorHAnsi" w:hAnsiTheme="majorHAnsi"/>
          <w:sz w:val="20"/>
          <w:szCs w:val="20"/>
          <w:lang w:val="en-GB"/>
        </w:rPr>
      </w:pPr>
      <w:r w:rsidRPr="000D745B">
        <w:rPr>
          <w:rFonts w:asciiTheme="majorHAnsi" w:hAnsiTheme="majorHAnsi"/>
          <w:sz w:val="20"/>
          <w:szCs w:val="20"/>
          <w:lang w:val="en-GB"/>
        </w:rPr>
        <w:t>Management and supervision of project implementation and evaluation across all components. Assurance of successful completion of the project in accordance with the stated outcomes and performance indicators summarized in the Project Results Framework.</w:t>
      </w:r>
    </w:p>
    <w:p w14:paraId="10177537" w14:textId="77777777" w:rsidR="00363608" w:rsidRPr="000D745B" w:rsidRDefault="00363608" w:rsidP="00D17561">
      <w:pPr>
        <w:numPr>
          <w:ilvl w:val="0"/>
          <w:numId w:val="188"/>
        </w:numPr>
        <w:spacing w:after="0"/>
        <w:rPr>
          <w:rFonts w:asciiTheme="majorHAnsi" w:hAnsiTheme="majorHAnsi"/>
          <w:sz w:val="20"/>
          <w:szCs w:val="20"/>
          <w:lang w:val="en-GB"/>
        </w:rPr>
      </w:pPr>
      <w:r w:rsidRPr="000D745B">
        <w:rPr>
          <w:rFonts w:asciiTheme="majorHAnsi" w:hAnsiTheme="majorHAnsi"/>
          <w:sz w:val="20"/>
          <w:szCs w:val="20"/>
          <w:lang w:val="en-GB"/>
        </w:rPr>
        <w:t>Regular communication and coordination with the National Implementing Partner, members of the Project Board, and all other partners and interested stakeholders, with regard to all project activity. Organization of Project Board meetings at least twice per year, subject to availability of members.</w:t>
      </w:r>
    </w:p>
    <w:p w14:paraId="6EF87CA5" w14:textId="77777777" w:rsidR="00363608" w:rsidRPr="000D745B" w:rsidRDefault="00363608" w:rsidP="00D17561">
      <w:pPr>
        <w:numPr>
          <w:ilvl w:val="0"/>
          <w:numId w:val="188"/>
        </w:numPr>
        <w:spacing w:after="0"/>
        <w:rPr>
          <w:rFonts w:asciiTheme="majorHAnsi" w:hAnsiTheme="majorHAnsi"/>
          <w:sz w:val="20"/>
          <w:szCs w:val="20"/>
          <w:lang w:val="en-GB"/>
        </w:rPr>
      </w:pPr>
      <w:r w:rsidRPr="000D745B">
        <w:rPr>
          <w:rFonts w:asciiTheme="majorHAnsi" w:hAnsiTheme="majorHAnsi"/>
          <w:sz w:val="20"/>
          <w:szCs w:val="20"/>
          <w:lang w:val="en-GB"/>
        </w:rPr>
        <w:t>Regular communication with senior UNDP management with regard to all project activity. Assurance of coordination with other UNDP projects and broad strategic initiatives.</w:t>
      </w:r>
    </w:p>
    <w:p w14:paraId="4DD2B296" w14:textId="77777777" w:rsidR="00363608" w:rsidRPr="000D745B" w:rsidRDefault="00363608" w:rsidP="00D17561">
      <w:pPr>
        <w:numPr>
          <w:ilvl w:val="0"/>
          <w:numId w:val="188"/>
        </w:numPr>
        <w:spacing w:after="0"/>
        <w:rPr>
          <w:rFonts w:asciiTheme="majorHAnsi" w:hAnsiTheme="majorHAnsi"/>
          <w:sz w:val="20"/>
          <w:szCs w:val="20"/>
          <w:lang w:val="en-GB"/>
        </w:rPr>
      </w:pPr>
      <w:r w:rsidRPr="000D745B">
        <w:rPr>
          <w:rFonts w:asciiTheme="majorHAnsi" w:hAnsiTheme="majorHAnsi"/>
          <w:sz w:val="20"/>
          <w:szCs w:val="20"/>
          <w:lang w:val="en-GB"/>
        </w:rPr>
        <w:t>Preparation of Annual Work Plans, including monthly targets and deliverables as well as annual spending targets in accordance with the Project Document. Tracking of work outputs throughout the year in light of these Annual Work Plans.</w:t>
      </w:r>
    </w:p>
    <w:p w14:paraId="271A0D05" w14:textId="77777777" w:rsidR="00363608" w:rsidRPr="000D745B" w:rsidRDefault="00363608" w:rsidP="00D17561">
      <w:pPr>
        <w:numPr>
          <w:ilvl w:val="0"/>
          <w:numId w:val="188"/>
        </w:numPr>
        <w:spacing w:after="0"/>
        <w:rPr>
          <w:rFonts w:asciiTheme="majorHAnsi" w:hAnsiTheme="majorHAnsi"/>
          <w:sz w:val="20"/>
          <w:szCs w:val="20"/>
          <w:lang w:val="en-GB"/>
        </w:rPr>
      </w:pPr>
      <w:r w:rsidRPr="000D745B">
        <w:rPr>
          <w:rFonts w:asciiTheme="majorHAnsi" w:hAnsiTheme="majorHAnsi"/>
          <w:sz w:val="20"/>
          <w:szCs w:val="20"/>
          <w:lang w:val="en-GB"/>
        </w:rPr>
        <w:t>Tracking and managing of project spending in accordance with the project budget, as well as UNDP rules and procedures, to ensure transparency, responsibility, and timely fulfilment of both program targets and budget targets.</w:t>
      </w:r>
    </w:p>
    <w:p w14:paraId="2D723B34" w14:textId="77777777" w:rsidR="00363608" w:rsidRPr="000D745B" w:rsidRDefault="00363608" w:rsidP="00D17561">
      <w:pPr>
        <w:numPr>
          <w:ilvl w:val="0"/>
          <w:numId w:val="188"/>
        </w:numPr>
        <w:spacing w:after="0"/>
        <w:rPr>
          <w:rFonts w:asciiTheme="majorHAnsi" w:hAnsiTheme="majorHAnsi"/>
          <w:sz w:val="20"/>
          <w:szCs w:val="20"/>
          <w:lang w:val="en-GB"/>
        </w:rPr>
      </w:pPr>
      <w:r w:rsidRPr="000D745B">
        <w:rPr>
          <w:rFonts w:asciiTheme="majorHAnsi" w:hAnsiTheme="majorHAnsi"/>
          <w:sz w:val="20"/>
          <w:szCs w:val="20"/>
          <w:lang w:val="en-GB"/>
        </w:rPr>
        <w:t>Preparation and submittal of annual Project Implementation Reviews and other required progress reports to the Project Board, UNDP, and GEF in accordance with applicable requirements.</w:t>
      </w:r>
    </w:p>
    <w:p w14:paraId="1256112F" w14:textId="77777777" w:rsidR="00363608" w:rsidRPr="000D745B" w:rsidRDefault="00363608" w:rsidP="00D17561">
      <w:pPr>
        <w:numPr>
          <w:ilvl w:val="0"/>
          <w:numId w:val="188"/>
        </w:numPr>
        <w:spacing w:after="0"/>
        <w:rPr>
          <w:rFonts w:asciiTheme="majorHAnsi" w:hAnsiTheme="majorHAnsi"/>
          <w:sz w:val="20"/>
          <w:szCs w:val="20"/>
          <w:lang w:val="en-GB"/>
        </w:rPr>
      </w:pPr>
      <w:r w:rsidRPr="000D745B">
        <w:rPr>
          <w:rFonts w:asciiTheme="majorHAnsi" w:hAnsiTheme="majorHAnsi"/>
          <w:sz w:val="20"/>
          <w:szCs w:val="20"/>
          <w:lang w:val="en-GB"/>
        </w:rPr>
        <w:t>Supervision of the experts working for the project, including both Project Specialists as well as international and national consultants.</w:t>
      </w:r>
    </w:p>
    <w:p w14:paraId="0ADE0302" w14:textId="77777777" w:rsidR="00363608" w:rsidRPr="000D745B" w:rsidRDefault="00363608" w:rsidP="00D17561">
      <w:pPr>
        <w:numPr>
          <w:ilvl w:val="0"/>
          <w:numId w:val="188"/>
        </w:numPr>
        <w:spacing w:after="0"/>
        <w:rPr>
          <w:rFonts w:asciiTheme="majorHAnsi" w:hAnsiTheme="majorHAnsi"/>
          <w:sz w:val="20"/>
          <w:szCs w:val="20"/>
          <w:lang w:val="en-GB"/>
        </w:rPr>
      </w:pPr>
      <w:r w:rsidRPr="000D745B">
        <w:rPr>
          <w:rFonts w:asciiTheme="majorHAnsi" w:hAnsiTheme="majorHAnsi"/>
          <w:sz w:val="20"/>
          <w:szCs w:val="20"/>
          <w:lang w:val="en-GB"/>
        </w:rPr>
        <w:t>Supervision of regular data collection and analysis, as well as reporting and public outreach via the mass media, events, and other means, to disseminate the results of the project and to promote water use efficiency, sustainable water and agriculture management, and sustainable pasture management as part of a national strategy to address climate risks in India.</w:t>
      </w:r>
    </w:p>
    <w:p w14:paraId="0226096B" w14:textId="77777777" w:rsidR="00363608" w:rsidRPr="000D745B" w:rsidRDefault="00363608" w:rsidP="00D17561">
      <w:pPr>
        <w:numPr>
          <w:ilvl w:val="0"/>
          <w:numId w:val="188"/>
        </w:numPr>
        <w:spacing w:after="0"/>
        <w:rPr>
          <w:rFonts w:asciiTheme="majorHAnsi" w:hAnsiTheme="majorHAnsi"/>
          <w:sz w:val="20"/>
          <w:szCs w:val="20"/>
          <w:lang w:val="en-GB"/>
        </w:rPr>
      </w:pPr>
      <w:r w:rsidRPr="000D745B">
        <w:rPr>
          <w:rFonts w:asciiTheme="majorHAnsi" w:hAnsiTheme="majorHAnsi"/>
          <w:sz w:val="20"/>
          <w:szCs w:val="20"/>
          <w:lang w:val="en-GB"/>
        </w:rPr>
        <w:t>Oversight of the overall administration of the project office.</w:t>
      </w:r>
    </w:p>
    <w:p w14:paraId="08440F5D" w14:textId="77777777" w:rsidR="00363608" w:rsidRPr="000D745B" w:rsidRDefault="00363608" w:rsidP="00D17561">
      <w:pPr>
        <w:numPr>
          <w:ilvl w:val="0"/>
          <w:numId w:val="188"/>
        </w:numPr>
        <w:spacing w:after="0"/>
        <w:rPr>
          <w:rFonts w:asciiTheme="majorHAnsi" w:hAnsiTheme="majorHAnsi"/>
          <w:sz w:val="20"/>
          <w:szCs w:val="20"/>
          <w:lang w:val="en-GB"/>
        </w:rPr>
      </w:pPr>
      <w:r w:rsidRPr="000D745B">
        <w:rPr>
          <w:rFonts w:asciiTheme="majorHAnsi" w:hAnsiTheme="majorHAnsi"/>
          <w:sz w:val="20"/>
          <w:szCs w:val="20"/>
          <w:lang w:val="en-GB"/>
        </w:rPr>
        <w:t>Regular travel within Palau to organize and monitor project activity; possible travel outside the country for participation in directly relevant international meetings.</w:t>
      </w:r>
    </w:p>
    <w:p w14:paraId="360E0CD3" w14:textId="77777777" w:rsidR="00363608" w:rsidRPr="000D745B" w:rsidRDefault="00363608" w:rsidP="00D17561">
      <w:pPr>
        <w:numPr>
          <w:ilvl w:val="0"/>
          <w:numId w:val="188"/>
        </w:numPr>
        <w:spacing w:after="0"/>
        <w:rPr>
          <w:rFonts w:asciiTheme="majorHAnsi" w:hAnsiTheme="majorHAnsi"/>
          <w:sz w:val="20"/>
          <w:szCs w:val="20"/>
          <w:lang w:val="en-GB"/>
        </w:rPr>
      </w:pPr>
      <w:r w:rsidRPr="000D745B">
        <w:rPr>
          <w:rFonts w:asciiTheme="majorHAnsi" w:hAnsiTheme="majorHAnsi"/>
          <w:sz w:val="20"/>
          <w:szCs w:val="20"/>
          <w:lang w:val="en-GB"/>
        </w:rPr>
        <w:t>Support of independent Midterm and Terminal Evaluations of the project.</w:t>
      </w:r>
    </w:p>
    <w:p w14:paraId="540EC14D" w14:textId="77777777" w:rsidR="00363608" w:rsidRPr="000D745B" w:rsidRDefault="00363608" w:rsidP="00363608">
      <w:pPr>
        <w:rPr>
          <w:rFonts w:asciiTheme="majorHAnsi" w:hAnsiTheme="majorHAnsi"/>
          <w:b/>
          <w:bCs/>
          <w:sz w:val="20"/>
          <w:szCs w:val="20"/>
          <w:u w:val="single"/>
        </w:rPr>
      </w:pPr>
    </w:p>
    <w:p w14:paraId="551A7C8A" w14:textId="77777777" w:rsidR="00363608" w:rsidRPr="000D745B" w:rsidRDefault="00363608" w:rsidP="00363608">
      <w:pPr>
        <w:rPr>
          <w:rFonts w:asciiTheme="majorHAnsi" w:hAnsiTheme="majorHAnsi"/>
          <w:bCs/>
          <w:sz w:val="20"/>
          <w:szCs w:val="20"/>
          <w:u w:val="single"/>
        </w:rPr>
      </w:pPr>
      <w:r w:rsidRPr="000D745B">
        <w:rPr>
          <w:rFonts w:asciiTheme="majorHAnsi" w:hAnsiTheme="majorHAnsi"/>
          <w:bCs/>
          <w:sz w:val="20"/>
          <w:szCs w:val="20"/>
          <w:u w:val="single"/>
        </w:rPr>
        <w:t>Expected Qualifications:</w:t>
      </w:r>
    </w:p>
    <w:p w14:paraId="7428A49A" w14:textId="77777777" w:rsidR="00363608" w:rsidRPr="000D745B" w:rsidRDefault="00363608" w:rsidP="00D17561">
      <w:pPr>
        <w:numPr>
          <w:ilvl w:val="0"/>
          <w:numId w:val="189"/>
        </w:numPr>
        <w:spacing w:after="0"/>
        <w:rPr>
          <w:rFonts w:asciiTheme="majorHAnsi" w:hAnsiTheme="majorHAnsi"/>
          <w:bCs/>
          <w:sz w:val="20"/>
          <w:szCs w:val="20"/>
        </w:rPr>
      </w:pPr>
      <w:r w:rsidRPr="000D745B">
        <w:rPr>
          <w:rFonts w:asciiTheme="majorHAnsi" w:hAnsiTheme="majorHAnsi"/>
          <w:bCs/>
          <w:sz w:val="20"/>
          <w:szCs w:val="20"/>
        </w:rPr>
        <w:t>Bachelor’s degree in natural resource management, biodiversity conservation or another field with direct relevance to the project</w:t>
      </w:r>
    </w:p>
    <w:p w14:paraId="563FAC6B" w14:textId="77777777" w:rsidR="00363608" w:rsidRPr="000D745B" w:rsidRDefault="00363608" w:rsidP="00D17561">
      <w:pPr>
        <w:numPr>
          <w:ilvl w:val="0"/>
          <w:numId w:val="189"/>
        </w:numPr>
        <w:spacing w:after="0"/>
        <w:rPr>
          <w:rFonts w:asciiTheme="majorHAnsi" w:hAnsiTheme="majorHAnsi"/>
          <w:bCs/>
          <w:sz w:val="20"/>
          <w:szCs w:val="20"/>
        </w:rPr>
      </w:pPr>
      <w:r w:rsidRPr="000D745B">
        <w:rPr>
          <w:rFonts w:asciiTheme="majorHAnsi" w:hAnsiTheme="majorHAnsi"/>
          <w:bCs/>
          <w:sz w:val="20"/>
          <w:szCs w:val="20"/>
        </w:rPr>
        <w:t>At least 5 years of experience in managing large-scale projects on natural resource management, biodiversity conservation or social development, preferably in Palau</w:t>
      </w:r>
    </w:p>
    <w:p w14:paraId="63C6641A" w14:textId="77777777" w:rsidR="00363608" w:rsidRPr="000D745B" w:rsidRDefault="00363608" w:rsidP="00D17561">
      <w:pPr>
        <w:numPr>
          <w:ilvl w:val="0"/>
          <w:numId w:val="189"/>
        </w:numPr>
        <w:spacing w:after="0"/>
        <w:rPr>
          <w:rFonts w:asciiTheme="majorHAnsi" w:hAnsiTheme="majorHAnsi"/>
          <w:bCs/>
          <w:sz w:val="20"/>
          <w:szCs w:val="20"/>
        </w:rPr>
      </w:pPr>
      <w:r w:rsidRPr="000D745B">
        <w:rPr>
          <w:rFonts w:asciiTheme="majorHAnsi" w:hAnsiTheme="majorHAnsi"/>
          <w:bCs/>
          <w:sz w:val="20"/>
          <w:szCs w:val="20"/>
        </w:rPr>
        <w:t>Close familiarity with the roles, activities, and priorities of the Government of Palau, and particularly MNRET and other national partners, with regard to natural resource management, biodiversity conservation, agriculture, sustainable land management and/or wildlife management</w:t>
      </w:r>
    </w:p>
    <w:p w14:paraId="4CFB347A" w14:textId="77777777" w:rsidR="00363608" w:rsidRPr="000D745B" w:rsidRDefault="00363608" w:rsidP="00D17561">
      <w:pPr>
        <w:numPr>
          <w:ilvl w:val="0"/>
          <w:numId w:val="189"/>
        </w:numPr>
        <w:spacing w:after="0"/>
        <w:rPr>
          <w:rFonts w:asciiTheme="majorHAnsi" w:hAnsiTheme="majorHAnsi"/>
          <w:bCs/>
          <w:sz w:val="20"/>
          <w:szCs w:val="20"/>
        </w:rPr>
      </w:pPr>
      <w:r w:rsidRPr="000D745B">
        <w:rPr>
          <w:rFonts w:asciiTheme="majorHAnsi" w:hAnsiTheme="majorHAnsi"/>
          <w:bCs/>
          <w:sz w:val="20"/>
          <w:szCs w:val="20"/>
        </w:rPr>
        <w:t xml:space="preserve">Basic technical understanding of natural resources management </w:t>
      </w:r>
    </w:p>
    <w:p w14:paraId="5C190FE6" w14:textId="77777777" w:rsidR="00363608" w:rsidRPr="000D745B" w:rsidRDefault="00363608" w:rsidP="00D17561">
      <w:pPr>
        <w:numPr>
          <w:ilvl w:val="0"/>
          <w:numId w:val="189"/>
        </w:numPr>
        <w:spacing w:after="0"/>
        <w:rPr>
          <w:rFonts w:asciiTheme="majorHAnsi" w:hAnsiTheme="majorHAnsi"/>
          <w:bCs/>
          <w:sz w:val="20"/>
          <w:szCs w:val="20"/>
        </w:rPr>
      </w:pPr>
      <w:r w:rsidRPr="000D745B">
        <w:rPr>
          <w:rFonts w:asciiTheme="majorHAnsi" w:hAnsiTheme="majorHAnsi"/>
          <w:bCs/>
          <w:sz w:val="20"/>
          <w:szCs w:val="20"/>
        </w:rPr>
        <w:t>Demonstrated ability to work effectively with a broad range of stakeholders</w:t>
      </w:r>
    </w:p>
    <w:p w14:paraId="4883D3C1" w14:textId="77777777" w:rsidR="00363608" w:rsidRPr="000D745B" w:rsidRDefault="00363608" w:rsidP="00D17561">
      <w:pPr>
        <w:numPr>
          <w:ilvl w:val="0"/>
          <w:numId w:val="189"/>
        </w:numPr>
        <w:spacing w:after="0"/>
        <w:rPr>
          <w:rFonts w:asciiTheme="majorHAnsi" w:hAnsiTheme="majorHAnsi"/>
          <w:bCs/>
          <w:sz w:val="20"/>
          <w:szCs w:val="20"/>
        </w:rPr>
      </w:pPr>
      <w:r w:rsidRPr="000D745B">
        <w:rPr>
          <w:rFonts w:asciiTheme="majorHAnsi" w:hAnsiTheme="majorHAnsi"/>
          <w:bCs/>
          <w:sz w:val="20"/>
          <w:szCs w:val="20"/>
        </w:rPr>
        <w:t>Demonstrated ability to work effectively under close supervision, as well as under minimal supervision</w:t>
      </w:r>
    </w:p>
    <w:p w14:paraId="045F6DDB" w14:textId="77777777" w:rsidR="00363608" w:rsidRPr="000D745B" w:rsidRDefault="00363608" w:rsidP="00D17561">
      <w:pPr>
        <w:numPr>
          <w:ilvl w:val="0"/>
          <w:numId w:val="189"/>
        </w:numPr>
        <w:spacing w:after="0"/>
        <w:rPr>
          <w:rFonts w:asciiTheme="majorHAnsi" w:hAnsiTheme="majorHAnsi"/>
          <w:bCs/>
          <w:sz w:val="20"/>
          <w:szCs w:val="20"/>
        </w:rPr>
      </w:pPr>
      <w:r w:rsidRPr="000D745B">
        <w:rPr>
          <w:rFonts w:asciiTheme="majorHAnsi" w:hAnsiTheme="majorHAnsi"/>
          <w:bCs/>
          <w:sz w:val="20"/>
          <w:szCs w:val="20"/>
        </w:rPr>
        <w:t>Superior skills in organization and management, including past experience with planning, tracking, evaluation, and supervision of consultants and/or employees</w:t>
      </w:r>
    </w:p>
    <w:p w14:paraId="5C061CC2" w14:textId="77777777" w:rsidR="00363608" w:rsidRPr="000D745B" w:rsidRDefault="00363608" w:rsidP="00D17561">
      <w:pPr>
        <w:numPr>
          <w:ilvl w:val="0"/>
          <w:numId w:val="189"/>
        </w:numPr>
        <w:spacing w:after="0"/>
        <w:rPr>
          <w:rFonts w:asciiTheme="majorHAnsi" w:hAnsiTheme="majorHAnsi"/>
          <w:bCs/>
          <w:sz w:val="20"/>
          <w:szCs w:val="20"/>
        </w:rPr>
      </w:pPr>
      <w:r w:rsidRPr="000D745B">
        <w:rPr>
          <w:rFonts w:asciiTheme="majorHAnsi" w:hAnsiTheme="majorHAnsi"/>
          <w:bCs/>
          <w:sz w:val="20"/>
          <w:szCs w:val="20"/>
        </w:rPr>
        <w:t>Strong skills in financial tracking and budget management</w:t>
      </w:r>
    </w:p>
    <w:p w14:paraId="718A3323" w14:textId="77777777" w:rsidR="00363608" w:rsidRPr="000D745B" w:rsidRDefault="00363608" w:rsidP="00D17561">
      <w:pPr>
        <w:numPr>
          <w:ilvl w:val="0"/>
          <w:numId w:val="189"/>
        </w:numPr>
        <w:spacing w:after="0"/>
        <w:rPr>
          <w:rFonts w:asciiTheme="majorHAnsi" w:hAnsiTheme="majorHAnsi"/>
          <w:bCs/>
          <w:sz w:val="20"/>
          <w:szCs w:val="20"/>
        </w:rPr>
      </w:pPr>
      <w:r w:rsidRPr="000D745B">
        <w:rPr>
          <w:rFonts w:asciiTheme="majorHAnsi" w:hAnsiTheme="majorHAnsi"/>
          <w:bCs/>
          <w:sz w:val="20"/>
          <w:szCs w:val="20"/>
        </w:rPr>
        <w:t>Close familiarity with the operations and rules of UNDP is not a requirement but will be viewed with favor</w:t>
      </w:r>
    </w:p>
    <w:p w14:paraId="5DD8BECC" w14:textId="77777777" w:rsidR="00363608" w:rsidRPr="000D745B" w:rsidRDefault="00363608" w:rsidP="00D17561">
      <w:pPr>
        <w:numPr>
          <w:ilvl w:val="0"/>
          <w:numId w:val="189"/>
        </w:numPr>
        <w:spacing w:after="0"/>
        <w:rPr>
          <w:rFonts w:asciiTheme="majorHAnsi" w:hAnsiTheme="majorHAnsi"/>
          <w:b/>
          <w:bCs/>
          <w:sz w:val="20"/>
          <w:szCs w:val="20"/>
          <w:u w:val="single"/>
        </w:rPr>
      </w:pPr>
      <w:r w:rsidRPr="000D745B">
        <w:rPr>
          <w:rFonts w:asciiTheme="majorHAnsi" w:hAnsiTheme="majorHAnsi"/>
          <w:bCs/>
          <w:sz w:val="20"/>
          <w:szCs w:val="20"/>
        </w:rPr>
        <w:t>Fluency in English, in reading, writing, and speaking, and preferably in Palauan as well.</w:t>
      </w:r>
    </w:p>
    <w:p w14:paraId="5F1C8654" w14:textId="77777777" w:rsidR="00363608" w:rsidRPr="000D745B" w:rsidRDefault="00363608" w:rsidP="00363608">
      <w:pPr>
        <w:spacing w:after="0"/>
        <w:rPr>
          <w:rFonts w:asciiTheme="majorHAnsi" w:hAnsiTheme="majorHAnsi"/>
          <w:sz w:val="20"/>
          <w:szCs w:val="20"/>
          <w:u w:val="single"/>
        </w:rPr>
      </w:pPr>
    </w:p>
    <w:p w14:paraId="645A25C5" w14:textId="77777777" w:rsidR="00363608" w:rsidRPr="000D745B" w:rsidRDefault="00363608" w:rsidP="00363608">
      <w:pPr>
        <w:spacing w:after="0"/>
        <w:rPr>
          <w:rFonts w:asciiTheme="majorHAnsi" w:hAnsiTheme="majorHAnsi"/>
          <w:b/>
          <w:sz w:val="20"/>
          <w:szCs w:val="20"/>
        </w:rPr>
      </w:pPr>
      <w:r w:rsidRPr="000D745B">
        <w:rPr>
          <w:rFonts w:asciiTheme="majorHAnsi" w:hAnsiTheme="majorHAnsi"/>
          <w:b/>
          <w:sz w:val="20"/>
          <w:szCs w:val="20"/>
        </w:rPr>
        <w:t>2. Environmental Planning Unit Coordinator</w:t>
      </w:r>
    </w:p>
    <w:p w14:paraId="7167EDED" w14:textId="77777777" w:rsidR="00363608" w:rsidRPr="000D745B" w:rsidRDefault="00363608" w:rsidP="00363608">
      <w:pPr>
        <w:spacing w:after="0"/>
        <w:rPr>
          <w:rFonts w:asciiTheme="majorHAnsi" w:hAnsiTheme="majorHAnsi"/>
          <w:b/>
          <w:sz w:val="20"/>
          <w:szCs w:val="20"/>
        </w:rPr>
      </w:pPr>
    </w:p>
    <w:p w14:paraId="3B1F8480" w14:textId="77777777" w:rsidR="00363608" w:rsidRPr="000D745B" w:rsidRDefault="00363608" w:rsidP="00363608">
      <w:pPr>
        <w:rPr>
          <w:rFonts w:asciiTheme="majorHAnsi" w:hAnsiTheme="majorHAnsi"/>
          <w:sz w:val="20"/>
          <w:szCs w:val="20"/>
        </w:rPr>
      </w:pPr>
      <w:r w:rsidRPr="000D745B">
        <w:rPr>
          <w:rFonts w:asciiTheme="majorHAnsi" w:hAnsiTheme="majorHAnsi"/>
          <w:sz w:val="20"/>
          <w:szCs w:val="20"/>
        </w:rPr>
        <w:t xml:space="preserve">This is a new, high level position to sit directly under the Minister and be equivalent to other Bureau of Directors. The EPU Coordinator shall create and oversee the Environmental Planning Unit until such time that it is institutionalized as the Bureau of Environment. </w:t>
      </w:r>
    </w:p>
    <w:p w14:paraId="432AEF74" w14:textId="7FABDDC8" w:rsidR="00363608" w:rsidRPr="000D745B" w:rsidRDefault="00363608" w:rsidP="00363608">
      <w:pPr>
        <w:shd w:val="clear" w:color="auto" w:fill="FFFFFF"/>
        <w:spacing w:after="0"/>
        <w:rPr>
          <w:rFonts w:asciiTheme="majorHAnsi" w:hAnsiTheme="majorHAnsi" w:cs="Arial"/>
          <w:noProof/>
          <w:sz w:val="20"/>
          <w:szCs w:val="20"/>
          <w:lang w:eastAsia="zh-CN"/>
        </w:rPr>
      </w:pPr>
      <w:r w:rsidRPr="000D745B">
        <w:rPr>
          <w:rFonts w:asciiTheme="majorHAnsi" w:hAnsiTheme="majorHAnsi" w:cs="Arial"/>
          <w:noProof/>
          <w:sz w:val="20"/>
          <w:szCs w:val="20"/>
          <w:lang w:eastAsia="zh-CN"/>
        </w:rPr>
        <w:t xml:space="preserve">The EPU Coordinator shall be supervised directly by the Minister and sit on the Project Board as a full member. The EPU Coordinator shall also be a member of the Land/Seascape Planning Joint Coordination Body (JCB). The EPU Coordinator may act as an Assistant Secretariat of the JCB (in partnership with the NEPC Secretariat) during the initial years of the project. As a member of these committees the EPU Coordinator shall ensure that national-level biodiversity and biosecurity policies are streamlined into the activities of MNRET. Within MNRET, the EPU Coordinator shall be responsible for providing high-level coordination and oversight for GEF5, GEF6, and other cross-sector projects housed at MNRET. The EPU Coordinator shall function more as a strategic thinker and partnership-builder than an on-the-ground project implementer. The EPU Coordinator shall work closely with the Directors of BMR, BOT, BOA, and PAN within MNRET. </w:t>
      </w:r>
    </w:p>
    <w:p w14:paraId="6130FD85" w14:textId="77777777" w:rsidR="00363608" w:rsidRPr="000D745B" w:rsidRDefault="00363608" w:rsidP="00363608">
      <w:pPr>
        <w:shd w:val="clear" w:color="auto" w:fill="FFFFFF"/>
        <w:spacing w:after="0"/>
        <w:rPr>
          <w:rFonts w:asciiTheme="majorHAnsi" w:hAnsiTheme="majorHAnsi" w:cs="Arial"/>
          <w:noProof/>
          <w:sz w:val="20"/>
          <w:szCs w:val="20"/>
          <w:lang w:eastAsia="zh-CN"/>
        </w:rPr>
      </w:pPr>
    </w:p>
    <w:p w14:paraId="2F7AC2FD" w14:textId="77777777" w:rsidR="00363608" w:rsidRPr="000D745B" w:rsidRDefault="00363608" w:rsidP="00363608">
      <w:pPr>
        <w:rPr>
          <w:rFonts w:asciiTheme="majorHAnsi" w:hAnsiTheme="majorHAnsi"/>
          <w:sz w:val="20"/>
          <w:szCs w:val="20"/>
        </w:rPr>
      </w:pPr>
      <w:r w:rsidRPr="000D745B">
        <w:rPr>
          <w:rFonts w:asciiTheme="majorHAnsi" w:hAnsiTheme="majorHAnsi"/>
          <w:sz w:val="20"/>
          <w:szCs w:val="20"/>
        </w:rPr>
        <w:t>The EPU Coordinator shall act as a Planning Advisor and as such lead the coordination of technical and scientific support for the implementation of MNRET’s Planning and Biodiversity Conservation strategies. The EPU Coordinator shall provide scientific advice on integrated planning across marine and terrestrial ecosystems, as well as climate adaptation. The EPU Coordinator shall supervise the Project Manager and other EPU staff, including building their capacity. The Coordinator shall work to build planning and coordination/science capacity within MNRET and within partner, and provide scientific support to local jurisdictions planning, best practices management, implementation, planning and evaluation. The Coordinator should apply diversified knowledge of scientific principles and practices to a broad variety of assessments and related fields. The Coordinator may represent MNRET in planning and science forums, and develops and maintains external partnerships. The Coordinator assists in fundraising, including the development of grant proposals and programs reports.</w:t>
      </w:r>
    </w:p>
    <w:p w14:paraId="13973E6D" w14:textId="77777777" w:rsidR="00363608" w:rsidRPr="000D745B" w:rsidRDefault="00363608" w:rsidP="00363608">
      <w:pPr>
        <w:spacing w:before="100" w:beforeAutospacing="1" w:after="100" w:afterAutospacing="1"/>
        <w:rPr>
          <w:rFonts w:asciiTheme="majorHAnsi" w:eastAsia="Times New Roman" w:hAnsiTheme="majorHAnsi"/>
          <w:sz w:val="20"/>
          <w:szCs w:val="20"/>
        </w:rPr>
      </w:pPr>
      <w:r w:rsidRPr="000D745B">
        <w:rPr>
          <w:rFonts w:asciiTheme="majorHAnsi" w:eastAsia="Times New Roman" w:hAnsiTheme="majorHAnsi"/>
          <w:b/>
          <w:bCs/>
          <w:sz w:val="20"/>
          <w:szCs w:val="20"/>
        </w:rPr>
        <w:t>RESPONSIBILITIES AND SCOPE</w:t>
      </w:r>
    </w:p>
    <w:p w14:paraId="2C429F42" w14:textId="77777777" w:rsidR="00363608" w:rsidRPr="000D745B" w:rsidRDefault="00363608" w:rsidP="00D17561">
      <w:pPr>
        <w:numPr>
          <w:ilvl w:val="0"/>
          <w:numId w:val="190"/>
        </w:numPr>
        <w:spacing w:before="100" w:beforeAutospacing="1" w:after="100" w:afterAutospacing="1"/>
        <w:rPr>
          <w:rFonts w:asciiTheme="majorHAnsi" w:eastAsia="Times New Roman" w:hAnsiTheme="majorHAnsi"/>
          <w:sz w:val="20"/>
          <w:szCs w:val="20"/>
        </w:rPr>
      </w:pPr>
      <w:r w:rsidRPr="000D745B">
        <w:rPr>
          <w:rFonts w:asciiTheme="majorHAnsi" w:eastAsia="Times New Roman" w:hAnsiTheme="majorHAnsi"/>
          <w:sz w:val="20"/>
          <w:szCs w:val="20"/>
        </w:rPr>
        <w:t>With thorough documentation and rationale, set up the Environmental Planning Unit, including annual strategy, work plan, and proposed organizational staffing and budget.</w:t>
      </w:r>
    </w:p>
    <w:p w14:paraId="12E481A5" w14:textId="77777777" w:rsidR="00363608" w:rsidRPr="000D745B" w:rsidRDefault="00363608" w:rsidP="00D17561">
      <w:pPr>
        <w:numPr>
          <w:ilvl w:val="0"/>
          <w:numId w:val="190"/>
        </w:numPr>
        <w:spacing w:before="100" w:beforeAutospacing="1" w:after="100" w:afterAutospacing="1"/>
        <w:rPr>
          <w:rFonts w:asciiTheme="majorHAnsi" w:eastAsia="Times New Roman" w:hAnsiTheme="majorHAnsi"/>
          <w:sz w:val="20"/>
          <w:szCs w:val="20"/>
        </w:rPr>
      </w:pPr>
      <w:r w:rsidRPr="000D745B">
        <w:rPr>
          <w:rFonts w:asciiTheme="majorHAnsi" w:eastAsia="Times New Roman" w:hAnsiTheme="majorHAnsi"/>
          <w:sz w:val="20"/>
          <w:szCs w:val="20"/>
        </w:rPr>
        <w:t>Work closely with other MNRET bureaus, the NEPC, and JCB to mainstream biodiversity into on-the-ground activities.</w:t>
      </w:r>
    </w:p>
    <w:p w14:paraId="634E422C" w14:textId="77777777" w:rsidR="00363608" w:rsidRPr="000D745B" w:rsidRDefault="00363608" w:rsidP="00D17561">
      <w:pPr>
        <w:numPr>
          <w:ilvl w:val="0"/>
          <w:numId w:val="190"/>
        </w:numPr>
        <w:spacing w:before="100" w:beforeAutospacing="1" w:after="100" w:afterAutospacing="1"/>
        <w:rPr>
          <w:rFonts w:asciiTheme="majorHAnsi" w:eastAsia="Times New Roman" w:hAnsiTheme="majorHAnsi"/>
          <w:sz w:val="20"/>
          <w:szCs w:val="20"/>
        </w:rPr>
      </w:pPr>
      <w:r w:rsidRPr="000D745B">
        <w:rPr>
          <w:rFonts w:asciiTheme="majorHAnsi" w:eastAsia="Times New Roman" w:hAnsiTheme="majorHAnsi"/>
          <w:sz w:val="20"/>
          <w:szCs w:val="20"/>
        </w:rPr>
        <w:t>Manage multi-disciplinary administrative and professional staff, with responsibility for performance management, training and career development.</w:t>
      </w:r>
    </w:p>
    <w:p w14:paraId="4C4D8AC5" w14:textId="77777777" w:rsidR="00363608" w:rsidRPr="000D745B" w:rsidRDefault="00363608" w:rsidP="00D17561">
      <w:pPr>
        <w:numPr>
          <w:ilvl w:val="0"/>
          <w:numId w:val="190"/>
        </w:numPr>
        <w:spacing w:before="100" w:beforeAutospacing="1" w:after="100" w:afterAutospacing="1"/>
        <w:rPr>
          <w:rFonts w:asciiTheme="majorHAnsi" w:eastAsia="Times New Roman" w:hAnsiTheme="majorHAnsi"/>
          <w:sz w:val="20"/>
          <w:szCs w:val="20"/>
        </w:rPr>
      </w:pPr>
      <w:r w:rsidRPr="000D745B">
        <w:rPr>
          <w:rFonts w:asciiTheme="majorHAnsi" w:eastAsia="Times New Roman" w:hAnsiTheme="majorHAnsi"/>
          <w:sz w:val="20"/>
          <w:szCs w:val="20"/>
        </w:rPr>
        <w:t>Gain cooperation from outside parties to accomplish Planning program goals.</w:t>
      </w:r>
    </w:p>
    <w:p w14:paraId="55D179E9" w14:textId="77777777" w:rsidR="00363608" w:rsidRPr="000D745B" w:rsidRDefault="00363608" w:rsidP="00D17561">
      <w:pPr>
        <w:numPr>
          <w:ilvl w:val="0"/>
          <w:numId w:val="190"/>
        </w:numPr>
        <w:spacing w:before="100" w:beforeAutospacing="1" w:after="100" w:afterAutospacing="1"/>
        <w:rPr>
          <w:rFonts w:asciiTheme="majorHAnsi" w:eastAsia="Times New Roman" w:hAnsiTheme="majorHAnsi"/>
          <w:sz w:val="20"/>
          <w:szCs w:val="20"/>
        </w:rPr>
      </w:pPr>
      <w:r w:rsidRPr="000D745B">
        <w:rPr>
          <w:rFonts w:asciiTheme="majorHAnsi" w:eastAsia="Times New Roman" w:hAnsiTheme="majorHAnsi"/>
          <w:sz w:val="20"/>
          <w:szCs w:val="20"/>
        </w:rPr>
        <w:t>Financial responsibility may include working within/managing a budget to complete projects, negotiating and contracting with vendors, assisting with budget development, and meeting fundraising targets.</w:t>
      </w:r>
    </w:p>
    <w:p w14:paraId="603ED162" w14:textId="77777777" w:rsidR="00363608" w:rsidRPr="000D745B" w:rsidRDefault="00363608" w:rsidP="00D17561">
      <w:pPr>
        <w:numPr>
          <w:ilvl w:val="0"/>
          <w:numId w:val="190"/>
        </w:numPr>
        <w:spacing w:before="100" w:beforeAutospacing="1" w:after="100" w:afterAutospacing="1"/>
        <w:rPr>
          <w:rFonts w:asciiTheme="majorHAnsi" w:eastAsia="Times New Roman" w:hAnsiTheme="majorHAnsi"/>
          <w:sz w:val="20"/>
          <w:szCs w:val="20"/>
        </w:rPr>
      </w:pPr>
      <w:r w:rsidRPr="000D745B">
        <w:rPr>
          <w:rFonts w:asciiTheme="majorHAnsi" w:eastAsia="Times New Roman" w:hAnsiTheme="majorHAnsi"/>
          <w:sz w:val="20"/>
          <w:szCs w:val="20"/>
        </w:rPr>
        <w:t>Ensures program compliance with internal policies and external requirements.</w:t>
      </w:r>
    </w:p>
    <w:p w14:paraId="64F39276" w14:textId="77777777" w:rsidR="00363608" w:rsidRPr="000D745B" w:rsidRDefault="00363608" w:rsidP="00D17561">
      <w:pPr>
        <w:numPr>
          <w:ilvl w:val="0"/>
          <w:numId w:val="190"/>
        </w:numPr>
        <w:spacing w:before="100" w:beforeAutospacing="1" w:after="100" w:afterAutospacing="1"/>
        <w:rPr>
          <w:rFonts w:asciiTheme="majorHAnsi" w:eastAsia="Times New Roman" w:hAnsiTheme="majorHAnsi"/>
          <w:sz w:val="20"/>
          <w:szCs w:val="20"/>
        </w:rPr>
      </w:pPr>
      <w:r w:rsidRPr="000D745B">
        <w:rPr>
          <w:rFonts w:asciiTheme="majorHAnsi" w:eastAsia="Times New Roman" w:hAnsiTheme="majorHAnsi"/>
          <w:sz w:val="20"/>
          <w:szCs w:val="20"/>
        </w:rPr>
        <w:t>Under minimal supervision, makes independent decisions based on analysis, experience and context.</w:t>
      </w:r>
    </w:p>
    <w:p w14:paraId="6F46AE5A" w14:textId="77777777" w:rsidR="00363608" w:rsidRPr="000D745B" w:rsidRDefault="00363608" w:rsidP="00D17561">
      <w:pPr>
        <w:numPr>
          <w:ilvl w:val="0"/>
          <w:numId w:val="190"/>
        </w:numPr>
        <w:spacing w:before="100" w:beforeAutospacing="1" w:after="100" w:afterAutospacing="1"/>
        <w:rPr>
          <w:rFonts w:asciiTheme="majorHAnsi" w:eastAsia="Times New Roman" w:hAnsiTheme="majorHAnsi"/>
          <w:sz w:val="20"/>
          <w:szCs w:val="20"/>
        </w:rPr>
      </w:pPr>
      <w:r w:rsidRPr="000D745B">
        <w:rPr>
          <w:rFonts w:asciiTheme="majorHAnsi" w:hAnsiTheme="majorHAnsi"/>
          <w:sz w:val="20"/>
          <w:szCs w:val="20"/>
        </w:rPr>
        <w:t>Assists National/State governments in coordinating the review and/or response to development proposals</w:t>
      </w:r>
    </w:p>
    <w:p w14:paraId="059BABB5" w14:textId="77777777" w:rsidR="00363608" w:rsidRPr="000D745B" w:rsidRDefault="00363608" w:rsidP="00D17561">
      <w:pPr>
        <w:numPr>
          <w:ilvl w:val="0"/>
          <w:numId w:val="190"/>
        </w:numPr>
        <w:spacing w:before="100" w:beforeAutospacing="1" w:after="100" w:afterAutospacing="1"/>
        <w:rPr>
          <w:rFonts w:asciiTheme="majorHAnsi" w:eastAsia="Times New Roman" w:hAnsiTheme="majorHAnsi"/>
          <w:sz w:val="20"/>
          <w:szCs w:val="20"/>
        </w:rPr>
      </w:pPr>
      <w:r w:rsidRPr="000D745B">
        <w:rPr>
          <w:rFonts w:asciiTheme="majorHAnsi" w:hAnsiTheme="majorHAnsi"/>
          <w:sz w:val="20"/>
          <w:szCs w:val="20"/>
        </w:rPr>
        <w:t xml:space="preserve">Develops environmental protection and preservation program, including overseeing the identification and preservation of environmentally sensitive sites. </w:t>
      </w:r>
    </w:p>
    <w:p w14:paraId="4016FFB8" w14:textId="77777777" w:rsidR="00363608" w:rsidRPr="000D745B" w:rsidRDefault="00363608" w:rsidP="00D17561">
      <w:pPr>
        <w:numPr>
          <w:ilvl w:val="0"/>
          <w:numId w:val="190"/>
        </w:numPr>
        <w:spacing w:before="100" w:beforeAutospacing="1" w:after="100" w:afterAutospacing="1"/>
        <w:rPr>
          <w:rFonts w:asciiTheme="majorHAnsi" w:eastAsia="Times New Roman" w:hAnsiTheme="majorHAnsi"/>
          <w:sz w:val="20"/>
          <w:szCs w:val="20"/>
        </w:rPr>
      </w:pPr>
      <w:r w:rsidRPr="000D745B">
        <w:rPr>
          <w:rFonts w:asciiTheme="majorHAnsi" w:hAnsiTheme="majorHAnsi"/>
          <w:sz w:val="20"/>
          <w:szCs w:val="20"/>
        </w:rPr>
        <w:t>Provide information to the Minister and support to other conservation agencies</w:t>
      </w:r>
    </w:p>
    <w:p w14:paraId="4D5CFBD4" w14:textId="77777777" w:rsidR="00363608" w:rsidRPr="000D745B" w:rsidRDefault="00363608" w:rsidP="00D17561">
      <w:pPr>
        <w:numPr>
          <w:ilvl w:val="0"/>
          <w:numId w:val="190"/>
        </w:numPr>
        <w:spacing w:before="100" w:beforeAutospacing="1" w:after="100" w:afterAutospacing="1"/>
        <w:rPr>
          <w:rFonts w:asciiTheme="majorHAnsi" w:eastAsia="Times New Roman" w:hAnsiTheme="majorHAnsi"/>
          <w:sz w:val="20"/>
          <w:szCs w:val="20"/>
        </w:rPr>
      </w:pPr>
      <w:r w:rsidRPr="000D745B">
        <w:rPr>
          <w:rFonts w:asciiTheme="majorHAnsi" w:hAnsiTheme="majorHAnsi"/>
          <w:sz w:val="20"/>
          <w:szCs w:val="20"/>
        </w:rPr>
        <w:t>Coordinate review procedures for planning, zoning and State Environmental Quality Protection Act regulations.</w:t>
      </w:r>
    </w:p>
    <w:p w14:paraId="0335C085" w14:textId="77777777" w:rsidR="00363608" w:rsidRPr="000D745B" w:rsidRDefault="00363608" w:rsidP="00D17561">
      <w:pPr>
        <w:numPr>
          <w:ilvl w:val="0"/>
          <w:numId w:val="190"/>
        </w:numPr>
        <w:spacing w:before="100" w:beforeAutospacing="1" w:after="100" w:afterAutospacing="1"/>
        <w:rPr>
          <w:rFonts w:asciiTheme="majorHAnsi" w:eastAsia="Times New Roman" w:hAnsiTheme="majorHAnsi"/>
          <w:sz w:val="20"/>
          <w:szCs w:val="20"/>
        </w:rPr>
      </w:pPr>
      <w:r w:rsidRPr="000D745B">
        <w:rPr>
          <w:rFonts w:asciiTheme="majorHAnsi" w:hAnsiTheme="majorHAnsi"/>
          <w:sz w:val="20"/>
          <w:szCs w:val="20"/>
        </w:rPr>
        <w:t>Participate in hearings, conferences and meetings</w:t>
      </w:r>
    </w:p>
    <w:p w14:paraId="40277340" w14:textId="77777777" w:rsidR="00363608" w:rsidRPr="000D745B" w:rsidRDefault="00363608" w:rsidP="00D17561">
      <w:pPr>
        <w:numPr>
          <w:ilvl w:val="0"/>
          <w:numId w:val="190"/>
        </w:numPr>
        <w:spacing w:before="100" w:beforeAutospacing="1" w:after="100" w:afterAutospacing="1"/>
        <w:rPr>
          <w:rFonts w:asciiTheme="majorHAnsi" w:eastAsia="Times New Roman" w:hAnsiTheme="majorHAnsi"/>
          <w:sz w:val="20"/>
          <w:szCs w:val="20"/>
        </w:rPr>
      </w:pPr>
      <w:r w:rsidRPr="000D745B">
        <w:rPr>
          <w:rFonts w:asciiTheme="majorHAnsi" w:hAnsiTheme="majorHAnsi"/>
          <w:sz w:val="20"/>
          <w:szCs w:val="20"/>
        </w:rPr>
        <w:t xml:space="preserve">Conduct public speaking, grant writing and contract negotiations. </w:t>
      </w:r>
    </w:p>
    <w:p w14:paraId="447D3C4A" w14:textId="77777777" w:rsidR="00363608" w:rsidRPr="000D745B" w:rsidRDefault="00363608" w:rsidP="00D17561">
      <w:pPr>
        <w:pStyle w:val="ListParagraph"/>
        <w:numPr>
          <w:ilvl w:val="0"/>
          <w:numId w:val="190"/>
        </w:numPr>
        <w:spacing w:after="160" w:line="259" w:lineRule="auto"/>
        <w:contextualSpacing/>
        <w:jc w:val="both"/>
        <w:rPr>
          <w:rFonts w:asciiTheme="majorHAnsi" w:eastAsia="Times New Roman" w:hAnsiTheme="majorHAnsi" w:cs="Arial"/>
          <w:sz w:val="20"/>
          <w:szCs w:val="20"/>
        </w:rPr>
      </w:pPr>
      <w:r w:rsidRPr="000D745B">
        <w:rPr>
          <w:rFonts w:asciiTheme="majorHAnsi" w:eastAsia="Times New Roman" w:hAnsiTheme="majorHAnsi" w:cs="Arial"/>
          <w:sz w:val="20"/>
          <w:szCs w:val="20"/>
        </w:rPr>
        <w:t xml:space="preserve">Assist resource users with designing and implementing Best Management Practices (BMPs) </w:t>
      </w:r>
    </w:p>
    <w:p w14:paraId="137EABCB" w14:textId="77777777" w:rsidR="00363608" w:rsidRPr="000D745B" w:rsidRDefault="00363608" w:rsidP="00363608">
      <w:pPr>
        <w:spacing w:before="100" w:beforeAutospacing="1" w:after="100" w:afterAutospacing="1"/>
        <w:rPr>
          <w:rFonts w:asciiTheme="majorHAnsi" w:eastAsia="Times New Roman" w:hAnsiTheme="majorHAnsi"/>
          <w:sz w:val="20"/>
          <w:szCs w:val="20"/>
        </w:rPr>
      </w:pPr>
      <w:r w:rsidRPr="000D745B">
        <w:rPr>
          <w:rFonts w:asciiTheme="majorHAnsi" w:eastAsia="Times New Roman" w:hAnsiTheme="majorHAnsi"/>
          <w:b/>
          <w:bCs/>
          <w:sz w:val="20"/>
          <w:szCs w:val="20"/>
        </w:rPr>
        <w:t>MINIMUM QUALIFICATIONS</w:t>
      </w:r>
    </w:p>
    <w:p w14:paraId="7D91341A" w14:textId="77777777" w:rsidR="00363608" w:rsidRPr="000D745B" w:rsidRDefault="00363608" w:rsidP="00D17561">
      <w:pPr>
        <w:numPr>
          <w:ilvl w:val="0"/>
          <w:numId w:val="191"/>
        </w:numPr>
        <w:spacing w:before="100" w:beforeAutospacing="1" w:after="100" w:afterAutospacing="1"/>
        <w:rPr>
          <w:rFonts w:asciiTheme="majorHAnsi" w:eastAsia="Times New Roman" w:hAnsiTheme="majorHAnsi"/>
          <w:sz w:val="20"/>
          <w:szCs w:val="20"/>
        </w:rPr>
      </w:pPr>
      <w:r w:rsidRPr="000D745B">
        <w:rPr>
          <w:rFonts w:asciiTheme="majorHAnsi" w:eastAsia="Times New Roman" w:hAnsiTheme="majorHAnsi"/>
          <w:sz w:val="20"/>
          <w:szCs w:val="20"/>
        </w:rPr>
        <w:t>BA/BS in Planning, Land Use Planning, Environmental Management, or related and 5 years' experience in environmental science or related field or equivalent combination of education and experience.</w:t>
      </w:r>
    </w:p>
    <w:p w14:paraId="4688D3D6" w14:textId="77777777" w:rsidR="00363608" w:rsidRPr="000D745B" w:rsidRDefault="00363608" w:rsidP="00D17561">
      <w:pPr>
        <w:numPr>
          <w:ilvl w:val="0"/>
          <w:numId w:val="191"/>
        </w:numPr>
        <w:spacing w:before="100" w:beforeAutospacing="1" w:after="100" w:afterAutospacing="1"/>
        <w:rPr>
          <w:rFonts w:asciiTheme="majorHAnsi" w:eastAsia="Times New Roman" w:hAnsiTheme="majorHAnsi"/>
          <w:sz w:val="20"/>
          <w:szCs w:val="20"/>
        </w:rPr>
      </w:pPr>
      <w:r w:rsidRPr="000D745B">
        <w:rPr>
          <w:rFonts w:asciiTheme="majorHAnsi" w:eastAsia="Times New Roman" w:hAnsiTheme="majorHAnsi"/>
          <w:sz w:val="20"/>
          <w:szCs w:val="20"/>
        </w:rPr>
        <w:t>Experience negotiating complex agreements.</w:t>
      </w:r>
    </w:p>
    <w:p w14:paraId="0A33A577" w14:textId="77777777" w:rsidR="00363608" w:rsidRPr="000D745B" w:rsidRDefault="00363608" w:rsidP="00D17561">
      <w:pPr>
        <w:numPr>
          <w:ilvl w:val="0"/>
          <w:numId w:val="191"/>
        </w:numPr>
        <w:spacing w:before="100" w:beforeAutospacing="1" w:after="100" w:afterAutospacing="1"/>
        <w:rPr>
          <w:rFonts w:asciiTheme="majorHAnsi" w:eastAsia="Times New Roman" w:hAnsiTheme="majorHAnsi"/>
          <w:sz w:val="20"/>
          <w:szCs w:val="20"/>
        </w:rPr>
      </w:pPr>
      <w:r w:rsidRPr="000D745B">
        <w:rPr>
          <w:rFonts w:asciiTheme="majorHAnsi" w:eastAsia="Times New Roman" w:hAnsiTheme="majorHAnsi"/>
          <w:sz w:val="20"/>
          <w:szCs w:val="20"/>
        </w:rPr>
        <w:t>Supervisory experience.</w:t>
      </w:r>
    </w:p>
    <w:p w14:paraId="7A5F8F35" w14:textId="77777777" w:rsidR="00363608" w:rsidRPr="000D745B" w:rsidRDefault="00363608" w:rsidP="00D17561">
      <w:pPr>
        <w:numPr>
          <w:ilvl w:val="0"/>
          <w:numId w:val="191"/>
        </w:numPr>
        <w:spacing w:before="100" w:beforeAutospacing="1" w:after="100" w:afterAutospacing="1"/>
        <w:rPr>
          <w:rFonts w:asciiTheme="majorHAnsi" w:eastAsia="Times New Roman" w:hAnsiTheme="majorHAnsi"/>
          <w:sz w:val="20"/>
          <w:szCs w:val="20"/>
        </w:rPr>
      </w:pPr>
      <w:r w:rsidRPr="000D745B">
        <w:rPr>
          <w:rFonts w:asciiTheme="majorHAnsi" w:eastAsia="Times New Roman" w:hAnsiTheme="majorHAnsi"/>
          <w:sz w:val="20"/>
          <w:szCs w:val="20"/>
        </w:rPr>
        <w:t>Experience communicating with the public and/or media both in writing and verbally.</w:t>
      </w:r>
    </w:p>
    <w:p w14:paraId="3F05E14F" w14:textId="77777777" w:rsidR="00363608" w:rsidRPr="000D745B" w:rsidRDefault="00363608" w:rsidP="00D17561">
      <w:pPr>
        <w:numPr>
          <w:ilvl w:val="0"/>
          <w:numId w:val="191"/>
        </w:numPr>
        <w:spacing w:before="100" w:beforeAutospacing="1" w:after="100" w:afterAutospacing="1"/>
        <w:rPr>
          <w:rFonts w:asciiTheme="majorHAnsi" w:eastAsia="Times New Roman" w:hAnsiTheme="majorHAnsi"/>
          <w:sz w:val="20"/>
          <w:szCs w:val="20"/>
        </w:rPr>
      </w:pPr>
      <w:r w:rsidRPr="000D745B">
        <w:rPr>
          <w:rFonts w:asciiTheme="majorHAnsi" w:eastAsia="Times New Roman" w:hAnsiTheme="majorHAnsi"/>
          <w:sz w:val="20"/>
          <w:szCs w:val="20"/>
        </w:rPr>
        <w:t>Experience using applications such as Microsoft Word, Excel, and Web Browsers.</w:t>
      </w:r>
    </w:p>
    <w:p w14:paraId="5FA173AE" w14:textId="77777777" w:rsidR="00363608" w:rsidRPr="000D745B" w:rsidRDefault="00363608" w:rsidP="00D17561">
      <w:pPr>
        <w:numPr>
          <w:ilvl w:val="0"/>
          <w:numId w:val="191"/>
        </w:numPr>
        <w:spacing w:before="100" w:beforeAutospacing="1" w:after="100" w:afterAutospacing="1"/>
        <w:rPr>
          <w:rFonts w:asciiTheme="majorHAnsi" w:eastAsia="Times New Roman" w:hAnsiTheme="majorHAnsi"/>
          <w:sz w:val="20"/>
          <w:szCs w:val="20"/>
        </w:rPr>
      </w:pPr>
      <w:r w:rsidRPr="000D745B">
        <w:rPr>
          <w:rFonts w:asciiTheme="majorHAnsi" w:eastAsia="Times New Roman" w:hAnsiTheme="majorHAnsi"/>
          <w:sz w:val="20"/>
          <w:szCs w:val="20"/>
        </w:rPr>
        <w:t>Experience with principles of integrated planning, science, and management</w:t>
      </w:r>
    </w:p>
    <w:p w14:paraId="4FDFCE33" w14:textId="77777777" w:rsidR="00363608" w:rsidRPr="000D745B" w:rsidRDefault="00363608" w:rsidP="00D17561">
      <w:pPr>
        <w:numPr>
          <w:ilvl w:val="0"/>
          <w:numId w:val="191"/>
        </w:numPr>
        <w:spacing w:before="100" w:beforeAutospacing="1" w:after="100" w:afterAutospacing="1"/>
        <w:rPr>
          <w:rFonts w:asciiTheme="majorHAnsi" w:eastAsia="Times New Roman" w:hAnsiTheme="majorHAnsi"/>
          <w:sz w:val="20"/>
          <w:szCs w:val="20"/>
        </w:rPr>
      </w:pPr>
      <w:r w:rsidRPr="000D745B">
        <w:rPr>
          <w:rFonts w:asciiTheme="majorHAnsi" w:eastAsia="Times New Roman" w:hAnsiTheme="majorHAnsi"/>
          <w:sz w:val="20"/>
          <w:szCs w:val="20"/>
        </w:rPr>
        <w:t>Experience in training and capacity building for staff</w:t>
      </w:r>
    </w:p>
    <w:p w14:paraId="57F65B42" w14:textId="77777777" w:rsidR="00363608" w:rsidRPr="000D745B" w:rsidRDefault="00363608" w:rsidP="00D17561">
      <w:pPr>
        <w:numPr>
          <w:ilvl w:val="0"/>
          <w:numId w:val="191"/>
        </w:numPr>
        <w:spacing w:before="100" w:beforeAutospacing="1" w:after="100" w:afterAutospacing="1"/>
        <w:rPr>
          <w:rFonts w:asciiTheme="majorHAnsi" w:eastAsia="Times New Roman" w:hAnsiTheme="majorHAnsi"/>
          <w:sz w:val="20"/>
          <w:szCs w:val="20"/>
        </w:rPr>
      </w:pPr>
      <w:r w:rsidRPr="000D745B">
        <w:rPr>
          <w:rFonts w:asciiTheme="majorHAnsi" w:eastAsia="Times New Roman" w:hAnsiTheme="majorHAnsi"/>
          <w:sz w:val="20"/>
          <w:szCs w:val="20"/>
        </w:rPr>
        <w:t>Ability to complete tasks independently with respect to timeline(s).</w:t>
      </w:r>
    </w:p>
    <w:p w14:paraId="2117DFED" w14:textId="77777777" w:rsidR="00363608" w:rsidRPr="000D745B" w:rsidRDefault="00363608" w:rsidP="00D17561">
      <w:pPr>
        <w:numPr>
          <w:ilvl w:val="0"/>
          <w:numId w:val="191"/>
        </w:numPr>
        <w:spacing w:before="100" w:beforeAutospacing="1" w:after="100" w:afterAutospacing="1"/>
        <w:rPr>
          <w:rFonts w:asciiTheme="majorHAnsi" w:eastAsia="Times New Roman" w:hAnsiTheme="majorHAnsi"/>
          <w:sz w:val="20"/>
          <w:szCs w:val="20"/>
        </w:rPr>
      </w:pPr>
      <w:r w:rsidRPr="000D745B">
        <w:rPr>
          <w:rFonts w:asciiTheme="majorHAnsi" w:hAnsiTheme="majorHAnsi"/>
          <w:sz w:val="20"/>
          <w:szCs w:val="20"/>
        </w:rPr>
        <w:t xml:space="preserve">This position requires tact and discretion in dealing with the public and other governmental agencies. </w:t>
      </w:r>
    </w:p>
    <w:p w14:paraId="2BF63E9F" w14:textId="77777777" w:rsidR="00363608" w:rsidRPr="000D745B" w:rsidRDefault="00363608" w:rsidP="00363608">
      <w:pPr>
        <w:spacing w:before="100" w:beforeAutospacing="1" w:after="100" w:afterAutospacing="1"/>
        <w:rPr>
          <w:rFonts w:asciiTheme="majorHAnsi" w:eastAsia="Times New Roman" w:hAnsiTheme="majorHAnsi"/>
          <w:sz w:val="20"/>
          <w:szCs w:val="20"/>
        </w:rPr>
      </w:pPr>
      <w:r w:rsidRPr="000D745B">
        <w:rPr>
          <w:rFonts w:asciiTheme="majorHAnsi" w:eastAsia="Times New Roman" w:hAnsiTheme="majorHAnsi"/>
          <w:b/>
          <w:bCs/>
          <w:sz w:val="20"/>
          <w:szCs w:val="20"/>
        </w:rPr>
        <w:t>PREFERRED QUALIFICATIONS</w:t>
      </w:r>
    </w:p>
    <w:p w14:paraId="20CD2418" w14:textId="77777777" w:rsidR="00363608" w:rsidRPr="000D745B" w:rsidRDefault="00363608" w:rsidP="00D17561">
      <w:pPr>
        <w:numPr>
          <w:ilvl w:val="0"/>
          <w:numId w:val="192"/>
        </w:numPr>
        <w:spacing w:before="100" w:beforeAutospacing="1" w:after="100" w:afterAutospacing="1"/>
        <w:rPr>
          <w:rFonts w:asciiTheme="majorHAnsi" w:eastAsia="Times New Roman" w:hAnsiTheme="majorHAnsi"/>
          <w:sz w:val="20"/>
          <w:szCs w:val="20"/>
        </w:rPr>
      </w:pPr>
      <w:r w:rsidRPr="000D745B">
        <w:rPr>
          <w:rFonts w:asciiTheme="majorHAnsi" w:eastAsia="Times New Roman" w:hAnsiTheme="majorHAnsi"/>
          <w:sz w:val="20"/>
          <w:szCs w:val="20"/>
        </w:rPr>
        <w:t>Knowledge of environmental management and conservation practices/policies in the Pacific and Palau</w:t>
      </w:r>
    </w:p>
    <w:p w14:paraId="78EE6762" w14:textId="77777777" w:rsidR="00363608" w:rsidRPr="000D745B" w:rsidRDefault="00363608" w:rsidP="00D17561">
      <w:pPr>
        <w:numPr>
          <w:ilvl w:val="0"/>
          <w:numId w:val="192"/>
        </w:numPr>
        <w:spacing w:before="100" w:beforeAutospacing="1" w:after="100" w:afterAutospacing="1"/>
        <w:rPr>
          <w:rFonts w:asciiTheme="majorHAnsi" w:eastAsia="Times New Roman" w:hAnsiTheme="majorHAnsi"/>
          <w:sz w:val="20"/>
          <w:szCs w:val="20"/>
        </w:rPr>
      </w:pPr>
      <w:r w:rsidRPr="000D745B">
        <w:rPr>
          <w:rFonts w:asciiTheme="majorHAnsi" w:eastAsia="Times New Roman" w:hAnsiTheme="majorHAnsi"/>
          <w:sz w:val="20"/>
          <w:szCs w:val="20"/>
        </w:rPr>
        <w:t>Demonstrated technical expertise in integrated spatial planning</w:t>
      </w:r>
    </w:p>
    <w:p w14:paraId="6D01236B" w14:textId="77777777" w:rsidR="00363608" w:rsidRPr="000D745B" w:rsidRDefault="00363608" w:rsidP="00D17561">
      <w:pPr>
        <w:numPr>
          <w:ilvl w:val="0"/>
          <w:numId w:val="192"/>
        </w:numPr>
        <w:spacing w:before="100" w:beforeAutospacing="1" w:after="100" w:afterAutospacing="1"/>
        <w:rPr>
          <w:rFonts w:asciiTheme="majorHAnsi" w:eastAsia="Times New Roman" w:hAnsiTheme="majorHAnsi"/>
          <w:sz w:val="20"/>
          <w:szCs w:val="20"/>
        </w:rPr>
      </w:pPr>
      <w:r w:rsidRPr="000D745B">
        <w:rPr>
          <w:rFonts w:asciiTheme="majorHAnsi" w:eastAsia="Times New Roman" w:hAnsiTheme="majorHAnsi"/>
          <w:sz w:val="20"/>
          <w:szCs w:val="20"/>
        </w:rPr>
        <w:t>Ability to explain conservation practices to technical and non-technical audiences</w:t>
      </w:r>
    </w:p>
    <w:p w14:paraId="5FB8B3C9" w14:textId="77777777" w:rsidR="00363608" w:rsidRPr="000D745B" w:rsidRDefault="00363608" w:rsidP="00D17561">
      <w:pPr>
        <w:numPr>
          <w:ilvl w:val="0"/>
          <w:numId w:val="192"/>
        </w:numPr>
        <w:spacing w:before="100" w:beforeAutospacing="1" w:after="100" w:afterAutospacing="1"/>
        <w:rPr>
          <w:rFonts w:asciiTheme="majorHAnsi" w:eastAsia="Times New Roman" w:hAnsiTheme="majorHAnsi"/>
          <w:sz w:val="20"/>
          <w:szCs w:val="20"/>
        </w:rPr>
      </w:pPr>
      <w:r w:rsidRPr="000D745B">
        <w:rPr>
          <w:rFonts w:asciiTheme="majorHAnsi" w:eastAsia="Times New Roman" w:hAnsiTheme="majorHAnsi"/>
          <w:sz w:val="20"/>
          <w:szCs w:val="20"/>
        </w:rPr>
        <w:t>Practical knowledge of social and political environments in Micronesia</w:t>
      </w:r>
    </w:p>
    <w:p w14:paraId="4BD5FFDC" w14:textId="77777777" w:rsidR="00363608" w:rsidRPr="000D745B" w:rsidRDefault="00363608" w:rsidP="00D17561">
      <w:pPr>
        <w:numPr>
          <w:ilvl w:val="0"/>
          <w:numId w:val="192"/>
        </w:numPr>
        <w:spacing w:before="100" w:beforeAutospacing="1" w:after="100" w:afterAutospacing="1"/>
        <w:rPr>
          <w:rFonts w:asciiTheme="majorHAnsi" w:eastAsia="Times New Roman" w:hAnsiTheme="majorHAnsi"/>
          <w:sz w:val="20"/>
          <w:szCs w:val="20"/>
        </w:rPr>
      </w:pPr>
      <w:r w:rsidRPr="000D745B">
        <w:rPr>
          <w:rFonts w:asciiTheme="majorHAnsi" w:eastAsia="Times New Roman" w:hAnsiTheme="majorHAnsi"/>
          <w:sz w:val="20"/>
          <w:szCs w:val="20"/>
        </w:rPr>
        <w:t>Knowledge of current trends and practices management and science</w:t>
      </w:r>
    </w:p>
    <w:p w14:paraId="6BC56C97" w14:textId="77777777" w:rsidR="00363608" w:rsidRPr="000D745B" w:rsidRDefault="00363608" w:rsidP="00D17561">
      <w:pPr>
        <w:numPr>
          <w:ilvl w:val="0"/>
          <w:numId w:val="192"/>
        </w:numPr>
        <w:spacing w:before="100" w:beforeAutospacing="1" w:after="100" w:afterAutospacing="1"/>
        <w:rPr>
          <w:rFonts w:asciiTheme="majorHAnsi" w:eastAsia="Times New Roman" w:hAnsiTheme="majorHAnsi"/>
          <w:sz w:val="20"/>
          <w:szCs w:val="20"/>
        </w:rPr>
      </w:pPr>
      <w:r w:rsidRPr="000D745B">
        <w:rPr>
          <w:rFonts w:asciiTheme="majorHAnsi" w:eastAsia="Times New Roman" w:hAnsiTheme="majorHAnsi" w:cs="Arial"/>
          <w:sz w:val="20"/>
          <w:szCs w:val="20"/>
        </w:rPr>
        <w:t>Experience in land and water related resource management, knowledge of potential environmental risks relating to agriculture, sustainable tourism, aquaculture, fisheries, and forestry, and corrective measures used to reduce these risks related to surface and ground water</w:t>
      </w:r>
    </w:p>
    <w:p w14:paraId="39D80179" w14:textId="77777777" w:rsidR="00BD45ED" w:rsidRDefault="00BD45ED" w:rsidP="00BD45ED">
      <w:pPr>
        <w:spacing w:before="120" w:after="120"/>
        <w:jc w:val="right"/>
        <w:rPr>
          <w:rFonts w:asciiTheme="majorHAnsi" w:hAnsiTheme="majorHAnsi"/>
          <w:b/>
          <w:szCs w:val="20"/>
        </w:rPr>
        <w:sectPr w:rsidR="00BD45ED" w:rsidSect="00C97C18">
          <w:pgSz w:w="12240" w:h="15840" w:code="1"/>
          <w:pgMar w:top="720" w:right="720" w:bottom="720" w:left="720" w:header="720" w:footer="720" w:gutter="0"/>
          <w:cols w:space="720"/>
          <w:docGrid w:linePitch="360"/>
        </w:sectPr>
      </w:pPr>
    </w:p>
    <w:p w14:paraId="6C7D53F4" w14:textId="24B0CE6C" w:rsidR="00A22E4D" w:rsidRDefault="00A22E4D" w:rsidP="00FD0662">
      <w:pPr>
        <w:spacing w:before="120" w:after="120"/>
        <w:rPr>
          <w:rFonts w:asciiTheme="majorHAnsi" w:hAnsiTheme="majorHAnsi"/>
          <w:b/>
          <w:szCs w:val="20"/>
        </w:rPr>
      </w:pPr>
    </w:p>
    <w:p w14:paraId="32716B5C" w14:textId="41402AFB" w:rsidR="00BD45ED" w:rsidRPr="00BD45ED" w:rsidRDefault="00BD45ED" w:rsidP="00BD45ED">
      <w:pPr>
        <w:jc w:val="right"/>
        <w:rPr>
          <w:b/>
          <w:sz w:val="20"/>
          <w:szCs w:val="20"/>
        </w:rPr>
      </w:pPr>
      <w:r>
        <w:rPr>
          <w:b/>
          <w:sz w:val="20"/>
          <w:szCs w:val="20"/>
        </w:rPr>
        <w:t>Annex 11</w:t>
      </w:r>
    </w:p>
    <w:p w14:paraId="1AA9A646" w14:textId="77777777" w:rsidR="009750B4" w:rsidRDefault="003E3ABA" w:rsidP="003B2A79">
      <w:pPr>
        <w:rPr>
          <w:b/>
          <w:szCs w:val="22"/>
        </w:rPr>
      </w:pPr>
      <w:r w:rsidRPr="0003763F">
        <w:rPr>
          <w:b/>
          <w:szCs w:val="22"/>
        </w:rPr>
        <w:t>Multi Year Work Plan</w:t>
      </w:r>
      <w:r w:rsidR="007B7928">
        <w:rPr>
          <w:b/>
          <w:szCs w:val="22"/>
        </w:rPr>
        <w:t xml:space="preserve">:  </w:t>
      </w:r>
    </w:p>
    <w:p w14:paraId="795C8A4B" w14:textId="098A0200" w:rsidR="00072CB3" w:rsidRDefault="00072CB3" w:rsidP="003B2A79">
      <w:pPr>
        <w:rPr>
          <w:szCs w:val="22"/>
        </w:rPr>
      </w:pPr>
    </w:p>
    <w:tbl>
      <w:tblPr>
        <w:tblStyle w:val="TableGrid"/>
        <w:tblW w:w="0" w:type="auto"/>
        <w:tblLayout w:type="fixed"/>
        <w:tblLook w:val="04A0" w:firstRow="1" w:lastRow="0" w:firstColumn="1" w:lastColumn="0" w:noHBand="0" w:noVBand="1"/>
      </w:tblPr>
      <w:tblGrid>
        <w:gridCol w:w="1441"/>
        <w:gridCol w:w="1367"/>
        <w:gridCol w:w="2414"/>
        <w:gridCol w:w="1309"/>
        <w:gridCol w:w="610"/>
        <w:gridCol w:w="645"/>
        <w:gridCol w:w="690"/>
        <w:gridCol w:w="587"/>
        <w:gridCol w:w="690"/>
        <w:gridCol w:w="540"/>
        <w:gridCol w:w="690"/>
        <w:gridCol w:w="534"/>
        <w:gridCol w:w="690"/>
        <w:gridCol w:w="516"/>
        <w:gridCol w:w="690"/>
        <w:gridCol w:w="513"/>
        <w:gridCol w:w="690"/>
      </w:tblGrid>
      <w:tr w:rsidR="0049324B" w14:paraId="2524FF9B" w14:textId="77777777" w:rsidTr="00043FA1">
        <w:tc>
          <w:tcPr>
            <w:tcW w:w="1441" w:type="dxa"/>
            <w:vMerge w:val="restart"/>
            <w:shd w:val="clear" w:color="auto" w:fill="D9D9D9" w:themeFill="background1" w:themeFillShade="D9"/>
          </w:tcPr>
          <w:p w14:paraId="222BC68E" w14:textId="2EA96970" w:rsidR="0049324B" w:rsidRPr="008B2872" w:rsidRDefault="0049324B" w:rsidP="0049324B">
            <w:pPr>
              <w:jc w:val="center"/>
              <w:rPr>
                <w:sz w:val="16"/>
                <w:szCs w:val="16"/>
              </w:rPr>
            </w:pPr>
            <w:r>
              <w:rPr>
                <w:sz w:val="16"/>
                <w:szCs w:val="16"/>
              </w:rPr>
              <w:t>Outcome/Output</w:t>
            </w:r>
          </w:p>
        </w:tc>
        <w:tc>
          <w:tcPr>
            <w:tcW w:w="1367" w:type="dxa"/>
            <w:vMerge w:val="restart"/>
            <w:shd w:val="clear" w:color="auto" w:fill="D9D9D9" w:themeFill="background1" w:themeFillShade="D9"/>
          </w:tcPr>
          <w:p w14:paraId="046D029E" w14:textId="343EAD01" w:rsidR="0049324B" w:rsidRPr="008B2872" w:rsidRDefault="0049324B" w:rsidP="0049324B">
            <w:pPr>
              <w:jc w:val="center"/>
              <w:rPr>
                <w:sz w:val="16"/>
                <w:szCs w:val="16"/>
              </w:rPr>
            </w:pPr>
            <w:r>
              <w:rPr>
                <w:sz w:val="16"/>
                <w:szCs w:val="16"/>
              </w:rPr>
              <w:t>Key Intervention</w:t>
            </w:r>
          </w:p>
        </w:tc>
        <w:tc>
          <w:tcPr>
            <w:tcW w:w="2414" w:type="dxa"/>
            <w:vMerge w:val="restart"/>
            <w:shd w:val="clear" w:color="auto" w:fill="D9D9D9" w:themeFill="background1" w:themeFillShade="D9"/>
          </w:tcPr>
          <w:p w14:paraId="4A88787A" w14:textId="25EF3209" w:rsidR="0049324B" w:rsidRPr="008B2872" w:rsidRDefault="0049324B" w:rsidP="0049324B">
            <w:pPr>
              <w:jc w:val="center"/>
              <w:rPr>
                <w:sz w:val="16"/>
                <w:szCs w:val="16"/>
              </w:rPr>
            </w:pPr>
            <w:r>
              <w:rPr>
                <w:sz w:val="16"/>
                <w:szCs w:val="16"/>
              </w:rPr>
              <w:t>Activity</w:t>
            </w:r>
          </w:p>
        </w:tc>
        <w:tc>
          <w:tcPr>
            <w:tcW w:w="1309" w:type="dxa"/>
            <w:vMerge w:val="restart"/>
            <w:shd w:val="clear" w:color="auto" w:fill="D9D9D9" w:themeFill="background1" w:themeFillShade="D9"/>
          </w:tcPr>
          <w:p w14:paraId="4E236727" w14:textId="2006B176" w:rsidR="0049324B" w:rsidRPr="008B2872" w:rsidRDefault="0049324B" w:rsidP="0049324B">
            <w:pPr>
              <w:jc w:val="center"/>
              <w:rPr>
                <w:sz w:val="16"/>
                <w:szCs w:val="16"/>
              </w:rPr>
            </w:pPr>
            <w:r>
              <w:rPr>
                <w:sz w:val="16"/>
                <w:szCs w:val="16"/>
              </w:rPr>
              <w:t>Responsible Party</w:t>
            </w:r>
          </w:p>
        </w:tc>
        <w:tc>
          <w:tcPr>
            <w:tcW w:w="610" w:type="dxa"/>
            <w:vMerge w:val="restart"/>
            <w:shd w:val="clear" w:color="auto" w:fill="D9D9D9" w:themeFill="background1" w:themeFillShade="D9"/>
          </w:tcPr>
          <w:p w14:paraId="3F391E0E" w14:textId="4C75B6B3" w:rsidR="0049324B" w:rsidRPr="008B2872" w:rsidRDefault="0049324B" w:rsidP="0049324B">
            <w:pPr>
              <w:jc w:val="center"/>
              <w:rPr>
                <w:sz w:val="16"/>
                <w:szCs w:val="16"/>
              </w:rPr>
            </w:pPr>
            <w:r>
              <w:rPr>
                <w:sz w:val="16"/>
                <w:szCs w:val="16"/>
              </w:rPr>
              <w:t>Year 0</w:t>
            </w:r>
          </w:p>
        </w:tc>
        <w:tc>
          <w:tcPr>
            <w:tcW w:w="1335" w:type="dxa"/>
            <w:gridSpan w:val="2"/>
            <w:shd w:val="clear" w:color="auto" w:fill="D9D9D9" w:themeFill="background1" w:themeFillShade="D9"/>
          </w:tcPr>
          <w:p w14:paraId="0D42E597" w14:textId="5AEED13C" w:rsidR="0049324B" w:rsidRPr="008B2872" w:rsidRDefault="0049324B" w:rsidP="0049324B">
            <w:pPr>
              <w:jc w:val="center"/>
              <w:rPr>
                <w:sz w:val="16"/>
                <w:szCs w:val="16"/>
              </w:rPr>
            </w:pPr>
            <w:r>
              <w:rPr>
                <w:sz w:val="16"/>
                <w:szCs w:val="16"/>
              </w:rPr>
              <w:t>Year 1</w:t>
            </w:r>
          </w:p>
        </w:tc>
        <w:tc>
          <w:tcPr>
            <w:tcW w:w="1277" w:type="dxa"/>
            <w:gridSpan w:val="2"/>
            <w:shd w:val="clear" w:color="auto" w:fill="D9D9D9" w:themeFill="background1" w:themeFillShade="D9"/>
          </w:tcPr>
          <w:p w14:paraId="5A6E97EA" w14:textId="16DDCD55" w:rsidR="0049324B" w:rsidRPr="008B2872" w:rsidRDefault="0049324B" w:rsidP="0049324B">
            <w:pPr>
              <w:jc w:val="center"/>
              <w:rPr>
                <w:sz w:val="16"/>
                <w:szCs w:val="16"/>
              </w:rPr>
            </w:pPr>
            <w:r>
              <w:rPr>
                <w:sz w:val="16"/>
                <w:szCs w:val="16"/>
              </w:rPr>
              <w:t>Year 2</w:t>
            </w:r>
          </w:p>
        </w:tc>
        <w:tc>
          <w:tcPr>
            <w:tcW w:w="1230" w:type="dxa"/>
            <w:gridSpan w:val="2"/>
            <w:shd w:val="clear" w:color="auto" w:fill="D9D9D9" w:themeFill="background1" w:themeFillShade="D9"/>
          </w:tcPr>
          <w:p w14:paraId="7BDABDF6" w14:textId="561AE3E2" w:rsidR="0049324B" w:rsidRPr="008B2872" w:rsidRDefault="0049324B" w:rsidP="0049324B">
            <w:pPr>
              <w:jc w:val="center"/>
              <w:rPr>
                <w:sz w:val="16"/>
                <w:szCs w:val="16"/>
              </w:rPr>
            </w:pPr>
            <w:r>
              <w:rPr>
                <w:sz w:val="16"/>
                <w:szCs w:val="16"/>
              </w:rPr>
              <w:t>Year 3</w:t>
            </w:r>
          </w:p>
        </w:tc>
        <w:tc>
          <w:tcPr>
            <w:tcW w:w="1224" w:type="dxa"/>
            <w:gridSpan w:val="2"/>
            <w:shd w:val="clear" w:color="auto" w:fill="D9D9D9" w:themeFill="background1" w:themeFillShade="D9"/>
          </w:tcPr>
          <w:p w14:paraId="5FC6BF7A" w14:textId="60A5432B" w:rsidR="0049324B" w:rsidRPr="008B2872" w:rsidRDefault="0049324B" w:rsidP="0049324B">
            <w:pPr>
              <w:jc w:val="center"/>
              <w:rPr>
                <w:sz w:val="16"/>
                <w:szCs w:val="16"/>
              </w:rPr>
            </w:pPr>
            <w:r>
              <w:rPr>
                <w:sz w:val="16"/>
                <w:szCs w:val="16"/>
              </w:rPr>
              <w:t>Year 4</w:t>
            </w:r>
          </w:p>
        </w:tc>
        <w:tc>
          <w:tcPr>
            <w:tcW w:w="1206" w:type="dxa"/>
            <w:gridSpan w:val="2"/>
            <w:shd w:val="clear" w:color="auto" w:fill="D9D9D9" w:themeFill="background1" w:themeFillShade="D9"/>
          </w:tcPr>
          <w:p w14:paraId="66AC927F" w14:textId="3F0EC24E" w:rsidR="0049324B" w:rsidRPr="008B2872" w:rsidRDefault="0049324B" w:rsidP="0049324B">
            <w:pPr>
              <w:jc w:val="center"/>
              <w:rPr>
                <w:sz w:val="16"/>
                <w:szCs w:val="16"/>
              </w:rPr>
            </w:pPr>
            <w:r>
              <w:rPr>
                <w:sz w:val="16"/>
                <w:szCs w:val="16"/>
              </w:rPr>
              <w:t>Year 5</w:t>
            </w:r>
          </w:p>
        </w:tc>
        <w:tc>
          <w:tcPr>
            <w:tcW w:w="1203" w:type="dxa"/>
            <w:gridSpan w:val="2"/>
            <w:shd w:val="clear" w:color="auto" w:fill="D9D9D9" w:themeFill="background1" w:themeFillShade="D9"/>
          </w:tcPr>
          <w:p w14:paraId="057CF08D" w14:textId="34410394" w:rsidR="0049324B" w:rsidRPr="008B2872" w:rsidRDefault="0049324B" w:rsidP="0049324B">
            <w:pPr>
              <w:jc w:val="center"/>
              <w:rPr>
                <w:sz w:val="16"/>
                <w:szCs w:val="16"/>
              </w:rPr>
            </w:pPr>
            <w:r>
              <w:rPr>
                <w:sz w:val="16"/>
                <w:szCs w:val="16"/>
              </w:rPr>
              <w:t>Year 6</w:t>
            </w:r>
          </w:p>
        </w:tc>
      </w:tr>
      <w:tr w:rsidR="0049324B" w14:paraId="387E00A6" w14:textId="77777777" w:rsidTr="00043FA1">
        <w:tc>
          <w:tcPr>
            <w:tcW w:w="1441" w:type="dxa"/>
            <w:vMerge/>
            <w:shd w:val="clear" w:color="auto" w:fill="D9D9D9" w:themeFill="background1" w:themeFillShade="D9"/>
          </w:tcPr>
          <w:p w14:paraId="176EA17F" w14:textId="77777777" w:rsidR="0049324B" w:rsidRPr="008B2872" w:rsidRDefault="0049324B" w:rsidP="0049324B">
            <w:pPr>
              <w:jc w:val="center"/>
              <w:rPr>
                <w:sz w:val="16"/>
                <w:szCs w:val="16"/>
              </w:rPr>
            </w:pPr>
          </w:p>
        </w:tc>
        <w:tc>
          <w:tcPr>
            <w:tcW w:w="1367" w:type="dxa"/>
            <w:vMerge/>
            <w:shd w:val="clear" w:color="auto" w:fill="D9D9D9" w:themeFill="background1" w:themeFillShade="D9"/>
          </w:tcPr>
          <w:p w14:paraId="0A3643DB" w14:textId="77777777" w:rsidR="0049324B" w:rsidRPr="008B2872" w:rsidRDefault="0049324B" w:rsidP="0049324B">
            <w:pPr>
              <w:jc w:val="center"/>
              <w:rPr>
                <w:sz w:val="16"/>
                <w:szCs w:val="16"/>
              </w:rPr>
            </w:pPr>
          </w:p>
        </w:tc>
        <w:tc>
          <w:tcPr>
            <w:tcW w:w="2414" w:type="dxa"/>
            <w:vMerge/>
            <w:shd w:val="clear" w:color="auto" w:fill="D9D9D9" w:themeFill="background1" w:themeFillShade="D9"/>
          </w:tcPr>
          <w:p w14:paraId="4E605AA2" w14:textId="77777777" w:rsidR="0049324B" w:rsidRPr="008B2872" w:rsidRDefault="0049324B" w:rsidP="0049324B">
            <w:pPr>
              <w:jc w:val="center"/>
              <w:rPr>
                <w:sz w:val="16"/>
                <w:szCs w:val="16"/>
              </w:rPr>
            </w:pPr>
          </w:p>
        </w:tc>
        <w:tc>
          <w:tcPr>
            <w:tcW w:w="1309" w:type="dxa"/>
            <w:vMerge/>
            <w:shd w:val="clear" w:color="auto" w:fill="D9D9D9" w:themeFill="background1" w:themeFillShade="D9"/>
          </w:tcPr>
          <w:p w14:paraId="4D97F4BE" w14:textId="4ADE5499" w:rsidR="0049324B" w:rsidRPr="008B2872" w:rsidRDefault="0049324B" w:rsidP="0049324B">
            <w:pPr>
              <w:jc w:val="center"/>
              <w:rPr>
                <w:sz w:val="16"/>
                <w:szCs w:val="16"/>
              </w:rPr>
            </w:pPr>
          </w:p>
        </w:tc>
        <w:tc>
          <w:tcPr>
            <w:tcW w:w="610" w:type="dxa"/>
            <w:vMerge/>
            <w:shd w:val="clear" w:color="auto" w:fill="D9D9D9" w:themeFill="background1" w:themeFillShade="D9"/>
          </w:tcPr>
          <w:p w14:paraId="5994FD15" w14:textId="77777777" w:rsidR="0049324B" w:rsidRPr="008B2872" w:rsidRDefault="0049324B" w:rsidP="0049324B">
            <w:pPr>
              <w:jc w:val="center"/>
              <w:rPr>
                <w:sz w:val="16"/>
                <w:szCs w:val="16"/>
              </w:rPr>
            </w:pPr>
          </w:p>
        </w:tc>
        <w:tc>
          <w:tcPr>
            <w:tcW w:w="645" w:type="dxa"/>
            <w:shd w:val="clear" w:color="auto" w:fill="D9D9D9" w:themeFill="background1" w:themeFillShade="D9"/>
          </w:tcPr>
          <w:p w14:paraId="489EA4C8" w14:textId="3D33050E" w:rsidR="0049324B" w:rsidRPr="008B2872" w:rsidRDefault="0049324B" w:rsidP="0049324B">
            <w:pPr>
              <w:jc w:val="center"/>
              <w:rPr>
                <w:sz w:val="16"/>
                <w:szCs w:val="16"/>
              </w:rPr>
            </w:pPr>
            <w:r>
              <w:rPr>
                <w:sz w:val="16"/>
                <w:szCs w:val="16"/>
              </w:rPr>
              <w:t>First Half</w:t>
            </w:r>
          </w:p>
        </w:tc>
        <w:tc>
          <w:tcPr>
            <w:tcW w:w="690" w:type="dxa"/>
            <w:shd w:val="clear" w:color="auto" w:fill="D9D9D9" w:themeFill="background1" w:themeFillShade="D9"/>
          </w:tcPr>
          <w:p w14:paraId="43BDE339" w14:textId="6955BE14" w:rsidR="0049324B" w:rsidRPr="008B2872" w:rsidRDefault="0049324B" w:rsidP="0049324B">
            <w:pPr>
              <w:jc w:val="center"/>
              <w:rPr>
                <w:sz w:val="16"/>
                <w:szCs w:val="16"/>
              </w:rPr>
            </w:pPr>
            <w:r>
              <w:rPr>
                <w:sz w:val="16"/>
                <w:szCs w:val="16"/>
              </w:rPr>
              <w:t>Second Half</w:t>
            </w:r>
          </w:p>
        </w:tc>
        <w:tc>
          <w:tcPr>
            <w:tcW w:w="587" w:type="dxa"/>
            <w:shd w:val="clear" w:color="auto" w:fill="D9D9D9" w:themeFill="background1" w:themeFillShade="D9"/>
          </w:tcPr>
          <w:p w14:paraId="6261A6D1" w14:textId="269200CA" w:rsidR="0049324B" w:rsidRPr="008B2872" w:rsidRDefault="0049324B" w:rsidP="0049324B">
            <w:pPr>
              <w:jc w:val="center"/>
              <w:rPr>
                <w:sz w:val="16"/>
                <w:szCs w:val="16"/>
              </w:rPr>
            </w:pPr>
            <w:r>
              <w:rPr>
                <w:sz w:val="16"/>
                <w:szCs w:val="16"/>
              </w:rPr>
              <w:t>First Half</w:t>
            </w:r>
          </w:p>
        </w:tc>
        <w:tc>
          <w:tcPr>
            <w:tcW w:w="690" w:type="dxa"/>
            <w:shd w:val="clear" w:color="auto" w:fill="D9D9D9" w:themeFill="background1" w:themeFillShade="D9"/>
          </w:tcPr>
          <w:p w14:paraId="66C2DE51" w14:textId="4A350E36" w:rsidR="0049324B" w:rsidRPr="008B2872" w:rsidRDefault="0049324B" w:rsidP="0049324B">
            <w:pPr>
              <w:jc w:val="center"/>
              <w:rPr>
                <w:sz w:val="16"/>
                <w:szCs w:val="16"/>
              </w:rPr>
            </w:pPr>
            <w:r>
              <w:rPr>
                <w:sz w:val="16"/>
                <w:szCs w:val="16"/>
              </w:rPr>
              <w:t>Second Half</w:t>
            </w:r>
          </w:p>
        </w:tc>
        <w:tc>
          <w:tcPr>
            <w:tcW w:w="540" w:type="dxa"/>
            <w:shd w:val="clear" w:color="auto" w:fill="D9D9D9" w:themeFill="background1" w:themeFillShade="D9"/>
          </w:tcPr>
          <w:p w14:paraId="20F21E6A" w14:textId="6F1818A9" w:rsidR="0049324B" w:rsidRPr="008B2872" w:rsidRDefault="0049324B" w:rsidP="0049324B">
            <w:pPr>
              <w:jc w:val="center"/>
              <w:rPr>
                <w:sz w:val="16"/>
                <w:szCs w:val="16"/>
              </w:rPr>
            </w:pPr>
            <w:r>
              <w:rPr>
                <w:sz w:val="16"/>
                <w:szCs w:val="16"/>
              </w:rPr>
              <w:t>First Half</w:t>
            </w:r>
          </w:p>
        </w:tc>
        <w:tc>
          <w:tcPr>
            <w:tcW w:w="690" w:type="dxa"/>
            <w:shd w:val="clear" w:color="auto" w:fill="D9D9D9" w:themeFill="background1" w:themeFillShade="D9"/>
          </w:tcPr>
          <w:p w14:paraId="25920053" w14:textId="0A770C0D" w:rsidR="0049324B" w:rsidRPr="008B2872" w:rsidRDefault="0049324B" w:rsidP="0049324B">
            <w:pPr>
              <w:jc w:val="center"/>
              <w:rPr>
                <w:sz w:val="16"/>
                <w:szCs w:val="16"/>
              </w:rPr>
            </w:pPr>
            <w:r>
              <w:rPr>
                <w:sz w:val="16"/>
                <w:szCs w:val="16"/>
              </w:rPr>
              <w:t>Second Half</w:t>
            </w:r>
          </w:p>
        </w:tc>
        <w:tc>
          <w:tcPr>
            <w:tcW w:w="534" w:type="dxa"/>
            <w:shd w:val="clear" w:color="auto" w:fill="D9D9D9" w:themeFill="background1" w:themeFillShade="D9"/>
          </w:tcPr>
          <w:p w14:paraId="09E4B0A8" w14:textId="6E1A7674" w:rsidR="0049324B" w:rsidRPr="008B2872" w:rsidRDefault="0049324B" w:rsidP="0049324B">
            <w:pPr>
              <w:jc w:val="center"/>
              <w:rPr>
                <w:sz w:val="16"/>
                <w:szCs w:val="16"/>
              </w:rPr>
            </w:pPr>
            <w:r>
              <w:rPr>
                <w:sz w:val="16"/>
                <w:szCs w:val="16"/>
              </w:rPr>
              <w:t>First Half</w:t>
            </w:r>
          </w:p>
        </w:tc>
        <w:tc>
          <w:tcPr>
            <w:tcW w:w="690" w:type="dxa"/>
            <w:shd w:val="clear" w:color="auto" w:fill="D9D9D9" w:themeFill="background1" w:themeFillShade="D9"/>
          </w:tcPr>
          <w:p w14:paraId="5CD7B6BF" w14:textId="083F3E06" w:rsidR="0049324B" w:rsidRPr="008B2872" w:rsidRDefault="0049324B" w:rsidP="0049324B">
            <w:pPr>
              <w:jc w:val="center"/>
              <w:rPr>
                <w:sz w:val="16"/>
                <w:szCs w:val="16"/>
              </w:rPr>
            </w:pPr>
            <w:r>
              <w:rPr>
                <w:sz w:val="16"/>
                <w:szCs w:val="16"/>
              </w:rPr>
              <w:t>Second Half</w:t>
            </w:r>
          </w:p>
        </w:tc>
        <w:tc>
          <w:tcPr>
            <w:tcW w:w="516" w:type="dxa"/>
            <w:shd w:val="clear" w:color="auto" w:fill="D9D9D9" w:themeFill="background1" w:themeFillShade="D9"/>
          </w:tcPr>
          <w:p w14:paraId="038CE4FF" w14:textId="1F25E028" w:rsidR="0049324B" w:rsidRPr="008B2872" w:rsidRDefault="0049324B" w:rsidP="0049324B">
            <w:pPr>
              <w:jc w:val="center"/>
              <w:rPr>
                <w:sz w:val="16"/>
                <w:szCs w:val="16"/>
              </w:rPr>
            </w:pPr>
            <w:r>
              <w:rPr>
                <w:sz w:val="16"/>
                <w:szCs w:val="16"/>
              </w:rPr>
              <w:t>First Half</w:t>
            </w:r>
          </w:p>
        </w:tc>
        <w:tc>
          <w:tcPr>
            <w:tcW w:w="690" w:type="dxa"/>
            <w:shd w:val="clear" w:color="auto" w:fill="D9D9D9" w:themeFill="background1" w:themeFillShade="D9"/>
          </w:tcPr>
          <w:p w14:paraId="5A8A97C0" w14:textId="0B152C89" w:rsidR="0049324B" w:rsidRPr="008B2872" w:rsidRDefault="0049324B" w:rsidP="0049324B">
            <w:pPr>
              <w:jc w:val="center"/>
              <w:rPr>
                <w:sz w:val="16"/>
                <w:szCs w:val="16"/>
              </w:rPr>
            </w:pPr>
            <w:r>
              <w:rPr>
                <w:sz w:val="16"/>
                <w:szCs w:val="16"/>
              </w:rPr>
              <w:t>Second Half</w:t>
            </w:r>
          </w:p>
        </w:tc>
        <w:tc>
          <w:tcPr>
            <w:tcW w:w="513" w:type="dxa"/>
            <w:shd w:val="clear" w:color="auto" w:fill="D9D9D9" w:themeFill="background1" w:themeFillShade="D9"/>
          </w:tcPr>
          <w:p w14:paraId="7C084C75" w14:textId="75DB9DBC" w:rsidR="0049324B" w:rsidRPr="008B2872" w:rsidRDefault="0049324B" w:rsidP="0049324B">
            <w:pPr>
              <w:jc w:val="center"/>
              <w:rPr>
                <w:sz w:val="16"/>
                <w:szCs w:val="16"/>
              </w:rPr>
            </w:pPr>
            <w:r>
              <w:rPr>
                <w:sz w:val="16"/>
                <w:szCs w:val="16"/>
              </w:rPr>
              <w:t>First Half</w:t>
            </w:r>
          </w:p>
        </w:tc>
        <w:tc>
          <w:tcPr>
            <w:tcW w:w="690" w:type="dxa"/>
            <w:shd w:val="clear" w:color="auto" w:fill="D9D9D9" w:themeFill="background1" w:themeFillShade="D9"/>
          </w:tcPr>
          <w:p w14:paraId="11EC7CD7" w14:textId="053F3820" w:rsidR="0049324B" w:rsidRPr="008B2872" w:rsidRDefault="0049324B" w:rsidP="0049324B">
            <w:pPr>
              <w:jc w:val="center"/>
              <w:rPr>
                <w:sz w:val="16"/>
                <w:szCs w:val="16"/>
              </w:rPr>
            </w:pPr>
            <w:r>
              <w:rPr>
                <w:sz w:val="16"/>
                <w:szCs w:val="16"/>
              </w:rPr>
              <w:t>Second Half</w:t>
            </w:r>
          </w:p>
        </w:tc>
      </w:tr>
      <w:tr w:rsidR="0049324B" w14:paraId="734930E1" w14:textId="77777777" w:rsidTr="002E23EB">
        <w:tc>
          <w:tcPr>
            <w:tcW w:w="14616" w:type="dxa"/>
            <w:gridSpan w:val="17"/>
            <w:shd w:val="clear" w:color="auto" w:fill="D6E3BC" w:themeFill="accent3" w:themeFillTint="66"/>
          </w:tcPr>
          <w:p w14:paraId="0452B07C" w14:textId="746750F7" w:rsidR="0049324B" w:rsidRPr="008B2872" w:rsidRDefault="0049324B" w:rsidP="009A7D6A">
            <w:pPr>
              <w:jc w:val="left"/>
              <w:rPr>
                <w:sz w:val="16"/>
                <w:szCs w:val="16"/>
              </w:rPr>
            </w:pPr>
            <w:r>
              <w:rPr>
                <w:sz w:val="16"/>
                <w:szCs w:val="16"/>
              </w:rPr>
              <w:t>Pre-Project Activities</w:t>
            </w:r>
          </w:p>
        </w:tc>
      </w:tr>
      <w:tr w:rsidR="0049324B" w14:paraId="3C3E81BA" w14:textId="77777777" w:rsidTr="00043FA1">
        <w:tc>
          <w:tcPr>
            <w:tcW w:w="1441" w:type="dxa"/>
          </w:tcPr>
          <w:p w14:paraId="59E50B8B" w14:textId="3A9A0CF7" w:rsidR="0049324B" w:rsidRPr="008B2872" w:rsidRDefault="0049324B" w:rsidP="0049324B">
            <w:pPr>
              <w:jc w:val="center"/>
              <w:rPr>
                <w:sz w:val="16"/>
                <w:szCs w:val="16"/>
              </w:rPr>
            </w:pPr>
            <w:r>
              <w:rPr>
                <w:sz w:val="16"/>
                <w:szCs w:val="16"/>
              </w:rPr>
              <w:t>Constitution of Project Board</w:t>
            </w:r>
          </w:p>
        </w:tc>
        <w:tc>
          <w:tcPr>
            <w:tcW w:w="1367" w:type="dxa"/>
          </w:tcPr>
          <w:p w14:paraId="42F8AB3D" w14:textId="0D82947B" w:rsidR="0049324B" w:rsidRPr="008B2872" w:rsidRDefault="003903A5" w:rsidP="0049324B">
            <w:pPr>
              <w:jc w:val="center"/>
              <w:rPr>
                <w:sz w:val="16"/>
                <w:szCs w:val="16"/>
              </w:rPr>
            </w:pPr>
            <w:r>
              <w:rPr>
                <w:sz w:val="16"/>
                <w:szCs w:val="16"/>
              </w:rPr>
              <w:t>Project Management</w:t>
            </w:r>
          </w:p>
        </w:tc>
        <w:tc>
          <w:tcPr>
            <w:tcW w:w="2414" w:type="dxa"/>
          </w:tcPr>
          <w:p w14:paraId="5C6779FD" w14:textId="6586FB70" w:rsidR="0049324B" w:rsidRPr="008B2872" w:rsidRDefault="003903A5" w:rsidP="0049324B">
            <w:pPr>
              <w:jc w:val="center"/>
              <w:rPr>
                <w:sz w:val="16"/>
                <w:szCs w:val="16"/>
              </w:rPr>
            </w:pPr>
            <w:r>
              <w:rPr>
                <w:sz w:val="16"/>
                <w:szCs w:val="16"/>
              </w:rPr>
              <w:t>Draft and send letters from the MNRET to Board Members, sign MOUs with non-MNRET agencies</w:t>
            </w:r>
          </w:p>
        </w:tc>
        <w:tc>
          <w:tcPr>
            <w:tcW w:w="1309" w:type="dxa"/>
          </w:tcPr>
          <w:p w14:paraId="74838E75" w14:textId="3E7EE21C" w:rsidR="0049324B" w:rsidRPr="008B2872" w:rsidRDefault="0049324B" w:rsidP="0049324B">
            <w:pPr>
              <w:jc w:val="center"/>
              <w:rPr>
                <w:sz w:val="16"/>
                <w:szCs w:val="16"/>
              </w:rPr>
            </w:pPr>
            <w:r>
              <w:rPr>
                <w:sz w:val="16"/>
                <w:szCs w:val="16"/>
              </w:rPr>
              <w:t>MNRET &amp; UNDP</w:t>
            </w:r>
          </w:p>
        </w:tc>
        <w:tc>
          <w:tcPr>
            <w:tcW w:w="610" w:type="dxa"/>
            <w:shd w:val="clear" w:color="auto" w:fill="FBD4B4" w:themeFill="accent6" w:themeFillTint="66"/>
          </w:tcPr>
          <w:p w14:paraId="75FD0899" w14:textId="77777777" w:rsidR="0049324B" w:rsidRPr="008B2872" w:rsidRDefault="0049324B" w:rsidP="0049324B">
            <w:pPr>
              <w:jc w:val="center"/>
              <w:rPr>
                <w:sz w:val="16"/>
                <w:szCs w:val="16"/>
              </w:rPr>
            </w:pPr>
          </w:p>
        </w:tc>
        <w:tc>
          <w:tcPr>
            <w:tcW w:w="645" w:type="dxa"/>
          </w:tcPr>
          <w:p w14:paraId="157D88E2" w14:textId="77777777" w:rsidR="0049324B" w:rsidRPr="008B2872" w:rsidRDefault="0049324B" w:rsidP="0049324B">
            <w:pPr>
              <w:jc w:val="center"/>
              <w:rPr>
                <w:sz w:val="16"/>
                <w:szCs w:val="16"/>
              </w:rPr>
            </w:pPr>
          </w:p>
        </w:tc>
        <w:tc>
          <w:tcPr>
            <w:tcW w:w="690" w:type="dxa"/>
          </w:tcPr>
          <w:p w14:paraId="073FDD95" w14:textId="213F53C6" w:rsidR="0049324B" w:rsidRPr="008B2872" w:rsidRDefault="0049324B" w:rsidP="0049324B">
            <w:pPr>
              <w:jc w:val="center"/>
              <w:rPr>
                <w:sz w:val="16"/>
                <w:szCs w:val="16"/>
              </w:rPr>
            </w:pPr>
          </w:p>
        </w:tc>
        <w:tc>
          <w:tcPr>
            <w:tcW w:w="587" w:type="dxa"/>
          </w:tcPr>
          <w:p w14:paraId="610973F6" w14:textId="77777777" w:rsidR="0049324B" w:rsidRPr="008B2872" w:rsidRDefault="0049324B" w:rsidP="0049324B">
            <w:pPr>
              <w:jc w:val="center"/>
              <w:rPr>
                <w:sz w:val="16"/>
                <w:szCs w:val="16"/>
              </w:rPr>
            </w:pPr>
          </w:p>
        </w:tc>
        <w:tc>
          <w:tcPr>
            <w:tcW w:w="690" w:type="dxa"/>
          </w:tcPr>
          <w:p w14:paraId="38244451" w14:textId="1EACAA2E" w:rsidR="0049324B" w:rsidRPr="008B2872" w:rsidRDefault="0049324B" w:rsidP="0049324B">
            <w:pPr>
              <w:jc w:val="center"/>
              <w:rPr>
                <w:sz w:val="16"/>
                <w:szCs w:val="16"/>
              </w:rPr>
            </w:pPr>
          </w:p>
        </w:tc>
        <w:tc>
          <w:tcPr>
            <w:tcW w:w="540" w:type="dxa"/>
          </w:tcPr>
          <w:p w14:paraId="62C19FA7" w14:textId="77777777" w:rsidR="0049324B" w:rsidRPr="008B2872" w:rsidRDefault="0049324B" w:rsidP="0049324B">
            <w:pPr>
              <w:jc w:val="center"/>
              <w:rPr>
                <w:sz w:val="16"/>
                <w:szCs w:val="16"/>
              </w:rPr>
            </w:pPr>
          </w:p>
        </w:tc>
        <w:tc>
          <w:tcPr>
            <w:tcW w:w="690" w:type="dxa"/>
          </w:tcPr>
          <w:p w14:paraId="6F1483EC" w14:textId="544128A8" w:rsidR="0049324B" w:rsidRPr="008B2872" w:rsidRDefault="0049324B" w:rsidP="0049324B">
            <w:pPr>
              <w:jc w:val="center"/>
              <w:rPr>
                <w:sz w:val="16"/>
                <w:szCs w:val="16"/>
              </w:rPr>
            </w:pPr>
          </w:p>
        </w:tc>
        <w:tc>
          <w:tcPr>
            <w:tcW w:w="534" w:type="dxa"/>
          </w:tcPr>
          <w:p w14:paraId="52A7A2A4" w14:textId="77777777" w:rsidR="0049324B" w:rsidRPr="008B2872" w:rsidRDefault="0049324B" w:rsidP="0049324B">
            <w:pPr>
              <w:jc w:val="center"/>
              <w:rPr>
                <w:sz w:val="16"/>
                <w:szCs w:val="16"/>
              </w:rPr>
            </w:pPr>
          </w:p>
        </w:tc>
        <w:tc>
          <w:tcPr>
            <w:tcW w:w="690" w:type="dxa"/>
          </w:tcPr>
          <w:p w14:paraId="625DB130" w14:textId="2BBB7C98" w:rsidR="0049324B" w:rsidRPr="008B2872" w:rsidRDefault="0049324B" w:rsidP="0049324B">
            <w:pPr>
              <w:jc w:val="center"/>
              <w:rPr>
                <w:sz w:val="16"/>
                <w:szCs w:val="16"/>
              </w:rPr>
            </w:pPr>
          </w:p>
        </w:tc>
        <w:tc>
          <w:tcPr>
            <w:tcW w:w="516" w:type="dxa"/>
          </w:tcPr>
          <w:p w14:paraId="7FE32288" w14:textId="77777777" w:rsidR="0049324B" w:rsidRPr="008B2872" w:rsidRDefault="0049324B" w:rsidP="0049324B">
            <w:pPr>
              <w:jc w:val="center"/>
              <w:rPr>
                <w:sz w:val="16"/>
                <w:szCs w:val="16"/>
              </w:rPr>
            </w:pPr>
          </w:p>
        </w:tc>
        <w:tc>
          <w:tcPr>
            <w:tcW w:w="690" w:type="dxa"/>
          </w:tcPr>
          <w:p w14:paraId="3F636F81" w14:textId="6C9DE18F" w:rsidR="0049324B" w:rsidRPr="008B2872" w:rsidRDefault="0049324B" w:rsidP="0049324B">
            <w:pPr>
              <w:jc w:val="center"/>
              <w:rPr>
                <w:sz w:val="16"/>
                <w:szCs w:val="16"/>
              </w:rPr>
            </w:pPr>
          </w:p>
        </w:tc>
        <w:tc>
          <w:tcPr>
            <w:tcW w:w="513" w:type="dxa"/>
          </w:tcPr>
          <w:p w14:paraId="5477B587" w14:textId="77777777" w:rsidR="0049324B" w:rsidRPr="008B2872" w:rsidRDefault="0049324B" w:rsidP="0049324B">
            <w:pPr>
              <w:jc w:val="center"/>
              <w:rPr>
                <w:sz w:val="16"/>
                <w:szCs w:val="16"/>
              </w:rPr>
            </w:pPr>
          </w:p>
        </w:tc>
        <w:tc>
          <w:tcPr>
            <w:tcW w:w="690" w:type="dxa"/>
          </w:tcPr>
          <w:p w14:paraId="64B9855F" w14:textId="273FC510" w:rsidR="0049324B" w:rsidRPr="008B2872" w:rsidRDefault="0049324B" w:rsidP="0049324B">
            <w:pPr>
              <w:jc w:val="center"/>
              <w:rPr>
                <w:sz w:val="16"/>
                <w:szCs w:val="16"/>
              </w:rPr>
            </w:pPr>
          </w:p>
        </w:tc>
      </w:tr>
      <w:tr w:rsidR="003903A5" w14:paraId="58F1A11C" w14:textId="77777777" w:rsidTr="00043FA1">
        <w:tc>
          <w:tcPr>
            <w:tcW w:w="1441" w:type="dxa"/>
          </w:tcPr>
          <w:p w14:paraId="45038BD8" w14:textId="42F035AC" w:rsidR="003903A5" w:rsidRPr="008B2872" w:rsidRDefault="003903A5" w:rsidP="0049324B">
            <w:pPr>
              <w:jc w:val="center"/>
              <w:rPr>
                <w:sz w:val="16"/>
                <w:szCs w:val="16"/>
              </w:rPr>
            </w:pPr>
            <w:r>
              <w:rPr>
                <w:sz w:val="16"/>
                <w:szCs w:val="16"/>
              </w:rPr>
              <w:t>Initiation of Project Management Staff Hiring</w:t>
            </w:r>
          </w:p>
        </w:tc>
        <w:tc>
          <w:tcPr>
            <w:tcW w:w="1367" w:type="dxa"/>
          </w:tcPr>
          <w:p w14:paraId="3418BE0D" w14:textId="16956CDB" w:rsidR="003903A5" w:rsidRPr="008B2872" w:rsidRDefault="003903A5" w:rsidP="0049324B">
            <w:pPr>
              <w:jc w:val="center"/>
              <w:rPr>
                <w:sz w:val="16"/>
                <w:szCs w:val="16"/>
              </w:rPr>
            </w:pPr>
            <w:r>
              <w:rPr>
                <w:sz w:val="16"/>
                <w:szCs w:val="16"/>
              </w:rPr>
              <w:t>Project Management</w:t>
            </w:r>
          </w:p>
        </w:tc>
        <w:tc>
          <w:tcPr>
            <w:tcW w:w="2414" w:type="dxa"/>
          </w:tcPr>
          <w:p w14:paraId="05EB9BAA" w14:textId="18EC8201" w:rsidR="003903A5" w:rsidRPr="008B2872" w:rsidRDefault="003903A5" w:rsidP="0049324B">
            <w:pPr>
              <w:jc w:val="center"/>
              <w:rPr>
                <w:sz w:val="16"/>
                <w:szCs w:val="16"/>
              </w:rPr>
            </w:pPr>
            <w:r>
              <w:rPr>
                <w:sz w:val="16"/>
                <w:szCs w:val="16"/>
              </w:rPr>
              <w:t>Open hiring process through Central Government</w:t>
            </w:r>
          </w:p>
        </w:tc>
        <w:tc>
          <w:tcPr>
            <w:tcW w:w="1309" w:type="dxa"/>
          </w:tcPr>
          <w:p w14:paraId="10440710" w14:textId="40314DB5" w:rsidR="003903A5" w:rsidRPr="008B2872" w:rsidRDefault="003903A5" w:rsidP="0049324B">
            <w:pPr>
              <w:jc w:val="center"/>
              <w:rPr>
                <w:sz w:val="16"/>
                <w:szCs w:val="16"/>
              </w:rPr>
            </w:pPr>
            <w:r>
              <w:rPr>
                <w:sz w:val="16"/>
                <w:szCs w:val="16"/>
              </w:rPr>
              <w:t>MNRET</w:t>
            </w:r>
          </w:p>
        </w:tc>
        <w:tc>
          <w:tcPr>
            <w:tcW w:w="610" w:type="dxa"/>
            <w:shd w:val="clear" w:color="auto" w:fill="FBD4B4" w:themeFill="accent6" w:themeFillTint="66"/>
          </w:tcPr>
          <w:p w14:paraId="1CCFBA65" w14:textId="77777777" w:rsidR="003903A5" w:rsidRPr="008B2872" w:rsidRDefault="003903A5" w:rsidP="0049324B">
            <w:pPr>
              <w:jc w:val="center"/>
              <w:rPr>
                <w:sz w:val="16"/>
                <w:szCs w:val="16"/>
              </w:rPr>
            </w:pPr>
          </w:p>
        </w:tc>
        <w:tc>
          <w:tcPr>
            <w:tcW w:w="645" w:type="dxa"/>
          </w:tcPr>
          <w:p w14:paraId="5702CB55" w14:textId="77777777" w:rsidR="003903A5" w:rsidRPr="008B2872" w:rsidRDefault="003903A5" w:rsidP="0049324B">
            <w:pPr>
              <w:jc w:val="center"/>
              <w:rPr>
                <w:sz w:val="16"/>
                <w:szCs w:val="16"/>
              </w:rPr>
            </w:pPr>
          </w:p>
        </w:tc>
        <w:tc>
          <w:tcPr>
            <w:tcW w:w="690" w:type="dxa"/>
          </w:tcPr>
          <w:p w14:paraId="682E7667" w14:textId="34310111" w:rsidR="003903A5" w:rsidRPr="008B2872" w:rsidRDefault="003903A5" w:rsidP="0049324B">
            <w:pPr>
              <w:jc w:val="center"/>
              <w:rPr>
                <w:sz w:val="16"/>
                <w:szCs w:val="16"/>
              </w:rPr>
            </w:pPr>
          </w:p>
        </w:tc>
        <w:tc>
          <w:tcPr>
            <w:tcW w:w="587" w:type="dxa"/>
          </w:tcPr>
          <w:p w14:paraId="2599F730" w14:textId="77777777" w:rsidR="003903A5" w:rsidRPr="008B2872" w:rsidRDefault="003903A5" w:rsidP="0049324B">
            <w:pPr>
              <w:jc w:val="center"/>
              <w:rPr>
                <w:sz w:val="16"/>
                <w:szCs w:val="16"/>
              </w:rPr>
            </w:pPr>
          </w:p>
        </w:tc>
        <w:tc>
          <w:tcPr>
            <w:tcW w:w="690" w:type="dxa"/>
          </w:tcPr>
          <w:p w14:paraId="598132B8" w14:textId="080792DE" w:rsidR="003903A5" w:rsidRPr="008B2872" w:rsidRDefault="003903A5" w:rsidP="0049324B">
            <w:pPr>
              <w:jc w:val="center"/>
              <w:rPr>
                <w:sz w:val="16"/>
                <w:szCs w:val="16"/>
              </w:rPr>
            </w:pPr>
          </w:p>
        </w:tc>
        <w:tc>
          <w:tcPr>
            <w:tcW w:w="540" w:type="dxa"/>
          </w:tcPr>
          <w:p w14:paraId="2D5941E1" w14:textId="77777777" w:rsidR="003903A5" w:rsidRPr="008B2872" w:rsidRDefault="003903A5" w:rsidP="0049324B">
            <w:pPr>
              <w:jc w:val="center"/>
              <w:rPr>
                <w:sz w:val="16"/>
                <w:szCs w:val="16"/>
              </w:rPr>
            </w:pPr>
          </w:p>
        </w:tc>
        <w:tc>
          <w:tcPr>
            <w:tcW w:w="690" w:type="dxa"/>
          </w:tcPr>
          <w:p w14:paraId="194DC125" w14:textId="46A46F93" w:rsidR="003903A5" w:rsidRPr="008B2872" w:rsidRDefault="003903A5" w:rsidP="0049324B">
            <w:pPr>
              <w:jc w:val="center"/>
              <w:rPr>
                <w:sz w:val="16"/>
                <w:szCs w:val="16"/>
              </w:rPr>
            </w:pPr>
          </w:p>
        </w:tc>
        <w:tc>
          <w:tcPr>
            <w:tcW w:w="534" w:type="dxa"/>
          </w:tcPr>
          <w:p w14:paraId="395923B4" w14:textId="77777777" w:rsidR="003903A5" w:rsidRPr="008B2872" w:rsidRDefault="003903A5" w:rsidP="0049324B">
            <w:pPr>
              <w:jc w:val="center"/>
              <w:rPr>
                <w:sz w:val="16"/>
                <w:szCs w:val="16"/>
              </w:rPr>
            </w:pPr>
          </w:p>
        </w:tc>
        <w:tc>
          <w:tcPr>
            <w:tcW w:w="690" w:type="dxa"/>
          </w:tcPr>
          <w:p w14:paraId="4C83ACDC" w14:textId="660DC55B" w:rsidR="003903A5" w:rsidRPr="008B2872" w:rsidRDefault="003903A5" w:rsidP="0049324B">
            <w:pPr>
              <w:jc w:val="center"/>
              <w:rPr>
                <w:sz w:val="16"/>
                <w:szCs w:val="16"/>
              </w:rPr>
            </w:pPr>
          </w:p>
        </w:tc>
        <w:tc>
          <w:tcPr>
            <w:tcW w:w="516" w:type="dxa"/>
          </w:tcPr>
          <w:p w14:paraId="35147373" w14:textId="77777777" w:rsidR="003903A5" w:rsidRPr="008B2872" w:rsidRDefault="003903A5" w:rsidP="0049324B">
            <w:pPr>
              <w:jc w:val="center"/>
              <w:rPr>
                <w:sz w:val="16"/>
                <w:szCs w:val="16"/>
              </w:rPr>
            </w:pPr>
          </w:p>
        </w:tc>
        <w:tc>
          <w:tcPr>
            <w:tcW w:w="690" w:type="dxa"/>
          </w:tcPr>
          <w:p w14:paraId="728B62F6" w14:textId="18A961AA" w:rsidR="003903A5" w:rsidRPr="008B2872" w:rsidRDefault="003903A5" w:rsidP="0049324B">
            <w:pPr>
              <w:jc w:val="center"/>
              <w:rPr>
                <w:sz w:val="16"/>
                <w:szCs w:val="16"/>
              </w:rPr>
            </w:pPr>
          </w:p>
        </w:tc>
        <w:tc>
          <w:tcPr>
            <w:tcW w:w="513" w:type="dxa"/>
          </w:tcPr>
          <w:p w14:paraId="76474570" w14:textId="77777777" w:rsidR="003903A5" w:rsidRPr="008B2872" w:rsidRDefault="003903A5" w:rsidP="0049324B">
            <w:pPr>
              <w:jc w:val="center"/>
              <w:rPr>
                <w:sz w:val="16"/>
                <w:szCs w:val="16"/>
              </w:rPr>
            </w:pPr>
          </w:p>
        </w:tc>
        <w:tc>
          <w:tcPr>
            <w:tcW w:w="690" w:type="dxa"/>
          </w:tcPr>
          <w:p w14:paraId="68607EE9" w14:textId="0776DEA0" w:rsidR="003903A5" w:rsidRPr="008B2872" w:rsidRDefault="003903A5" w:rsidP="0049324B">
            <w:pPr>
              <w:jc w:val="center"/>
              <w:rPr>
                <w:sz w:val="16"/>
                <w:szCs w:val="16"/>
              </w:rPr>
            </w:pPr>
          </w:p>
        </w:tc>
      </w:tr>
      <w:tr w:rsidR="003903A5" w14:paraId="6E9CB916" w14:textId="77777777" w:rsidTr="00043FA1">
        <w:tc>
          <w:tcPr>
            <w:tcW w:w="1441" w:type="dxa"/>
          </w:tcPr>
          <w:p w14:paraId="48BEA1A9" w14:textId="1447EE70" w:rsidR="003903A5" w:rsidRPr="008B2872" w:rsidRDefault="003903A5" w:rsidP="0049324B">
            <w:pPr>
              <w:jc w:val="center"/>
              <w:rPr>
                <w:sz w:val="16"/>
                <w:szCs w:val="16"/>
              </w:rPr>
            </w:pPr>
            <w:r>
              <w:rPr>
                <w:sz w:val="16"/>
                <w:szCs w:val="16"/>
              </w:rPr>
              <w:t>Establishment of Special Account and Fund Flow</w:t>
            </w:r>
          </w:p>
        </w:tc>
        <w:tc>
          <w:tcPr>
            <w:tcW w:w="1367" w:type="dxa"/>
          </w:tcPr>
          <w:p w14:paraId="544CBF36" w14:textId="521733E5" w:rsidR="003903A5" w:rsidRPr="008B2872" w:rsidRDefault="003903A5" w:rsidP="0049324B">
            <w:pPr>
              <w:jc w:val="center"/>
              <w:rPr>
                <w:sz w:val="16"/>
                <w:szCs w:val="16"/>
              </w:rPr>
            </w:pPr>
            <w:r>
              <w:rPr>
                <w:sz w:val="16"/>
                <w:szCs w:val="16"/>
              </w:rPr>
              <w:t>Project Management</w:t>
            </w:r>
          </w:p>
        </w:tc>
        <w:tc>
          <w:tcPr>
            <w:tcW w:w="2414" w:type="dxa"/>
          </w:tcPr>
          <w:p w14:paraId="6C0DF921" w14:textId="77777777" w:rsidR="003903A5" w:rsidRPr="008B2872" w:rsidRDefault="003903A5" w:rsidP="0049324B">
            <w:pPr>
              <w:jc w:val="center"/>
              <w:rPr>
                <w:sz w:val="16"/>
                <w:szCs w:val="16"/>
              </w:rPr>
            </w:pPr>
          </w:p>
        </w:tc>
        <w:tc>
          <w:tcPr>
            <w:tcW w:w="1309" w:type="dxa"/>
          </w:tcPr>
          <w:p w14:paraId="6B7C535E" w14:textId="24B51F58" w:rsidR="003903A5" w:rsidRPr="008B2872" w:rsidRDefault="003903A5" w:rsidP="0049324B">
            <w:pPr>
              <w:jc w:val="center"/>
              <w:rPr>
                <w:sz w:val="16"/>
                <w:szCs w:val="16"/>
              </w:rPr>
            </w:pPr>
            <w:r>
              <w:rPr>
                <w:sz w:val="16"/>
                <w:szCs w:val="16"/>
              </w:rPr>
              <w:t>MNRET, MOF &amp; UNDP</w:t>
            </w:r>
          </w:p>
        </w:tc>
        <w:tc>
          <w:tcPr>
            <w:tcW w:w="610" w:type="dxa"/>
            <w:shd w:val="clear" w:color="auto" w:fill="FBD4B4" w:themeFill="accent6" w:themeFillTint="66"/>
          </w:tcPr>
          <w:p w14:paraId="1B97278D" w14:textId="77777777" w:rsidR="003903A5" w:rsidRPr="008B2872" w:rsidRDefault="003903A5" w:rsidP="0049324B">
            <w:pPr>
              <w:jc w:val="center"/>
              <w:rPr>
                <w:sz w:val="16"/>
                <w:szCs w:val="16"/>
              </w:rPr>
            </w:pPr>
          </w:p>
        </w:tc>
        <w:tc>
          <w:tcPr>
            <w:tcW w:w="645" w:type="dxa"/>
          </w:tcPr>
          <w:p w14:paraId="457BA9E1" w14:textId="77777777" w:rsidR="003903A5" w:rsidRPr="008B2872" w:rsidRDefault="003903A5" w:rsidP="0049324B">
            <w:pPr>
              <w:jc w:val="center"/>
              <w:rPr>
                <w:sz w:val="16"/>
                <w:szCs w:val="16"/>
              </w:rPr>
            </w:pPr>
          </w:p>
        </w:tc>
        <w:tc>
          <w:tcPr>
            <w:tcW w:w="690" w:type="dxa"/>
          </w:tcPr>
          <w:p w14:paraId="10D4FD01" w14:textId="6D112314" w:rsidR="003903A5" w:rsidRPr="008B2872" w:rsidRDefault="003903A5" w:rsidP="0049324B">
            <w:pPr>
              <w:jc w:val="center"/>
              <w:rPr>
                <w:sz w:val="16"/>
                <w:szCs w:val="16"/>
              </w:rPr>
            </w:pPr>
          </w:p>
        </w:tc>
        <w:tc>
          <w:tcPr>
            <w:tcW w:w="587" w:type="dxa"/>
          </w:tcPr>
          <w:p w14:paraId="38E36E34" w14:textId="77777777" w:rsidR="003903A5" w:rsidRPr="008B2872" w:rsidRDefault="003903A5" w:rsidP="0049324B">
            <w:pPr>
              <w:jc w:val="center"/>
              <w:rPr>
                <w:sz w:val="16"/>
                <w:szCs w:val="16"/>
              </w:rPr>
            </w:pPr>
          </w:p>
        </w:tc>
        <w:tc>
          <w:tcPr>
            <w:tcW w:w="690" w:type="dxa"/>
          </w:tcPr>
          <w:p w14:paraId="55FACC5B" w14:textId="65D509BC" w:rsidR="003903A5" w:rsidRPr="008B2872" w:rsidRDefault="003903A5" w:rsidP="0049324B">
            <w:pPr>
              <w:jc w:val="center"/>
              <w:rPr>
                <w:sz w:val="16"/>
                <w:szCs w:val="16"/>
              </w:rPr>
            </w:pPr>
          </w:p>
        </w:tc>
        <w:tc>
          <w:tcPr>
            <w:tcW w:w="540" w:type="dxa"/>
          </w:tcPr>
          <w:p w14:paraId="781487A3" w14:textId="77777777" w:rsidR="003903A5" w:rsidRPr="008B2872" w:rsidRDefault="003903A5" w:rsidP="0049324B">
            <w:pPr>
              <w:jc w:val="center"/>
              <w:rPr>
                <w:sz w:val="16"/>
                <w:szCs w:val="16"/>
              </w:rPr>
            </w:pPr>
          </w:p>
        </w:tc>
        <w:tc>
          <w:tcPr>
            <w:tcW w:w="690" w:type="dxa"/>
          </w:tcPr>
          <w:p w14:paraId="1286FDD6" w14:textId="2516D5CB" w:rsidR="003903A5" w:rsidRPr="008B2872" w:rsidRDefault="003903A5" w:rsidP="0049324B">
            <w:pPr>
              <w:jc w:val="center"/>
              <w:rPr>
                <w:sz w:val="16"/>
                <w:szCs w:val="16"/>
              </w:rPr>
            </w:pPr>
          </w:p>
        </w:tc>
        <w:tc>
          <w:tcPr>
            <w:tcW w:w="534" w:type="dxa"/>
          </w:tcPr>
          <w:p w14:paraId="4FBECEBB" w14:textId="77777777" w:rsidR="003903A5" w:rsidRPr="008B2872" w:rsidRDefault="003903A5" w:rsidP="0049324B">
            <w:pPr>
              <w:jc w:val="center"/>
              <w:rPr>
                <w:sz w:val="16"/>
                <w:szCs w:val="16"/>
              </w:rPr>
            </w:pPr>
          </w:p>
        </w:tc>
        <w:tc>
          <w:tcPr>
            <w:tcW w:w="690" w:type="dxa"/>
          </w:tcPr>
          <w:p w14:paraId="117E935B" w14:textId="7BB7A841" w:rsidR="003903A5" w:rsidRPr="008B2872" w:rsidRDefault="003903A5" w:rsidP="0049324B">
            <w:pPr>
              <w:jc w:val="center"/>
              <w:rPr>
                <w:sz w:val="16"/>
                <w:szCs w:val="16"/>
              </w:rPr>
            </w:pPr>
          </w:p>
        </w:tc>
        <w:tc>
          <w:tcPr>
            <w:tcW w:w="516" w:type="dxa"/>
          </w:tcPr>
          <w:p w14:paraId="2BA29E8D" w14:textId="77777777" w:rsidR="003903A5" w:rsidRPr="008B2872" w:rsidRDefault="003903A5" w:rsidP="0049324B">
            <w:pPr>
              <w:jc w:val="center"/>
              <w:rPr>
                <w:sz w:val="16"/>
                <w:szCs w:val="16"/>
              </w:rPr>
            </w:pPr>
          </w:p>
        </w:tc>
        <w:tc>
          <w:tcPr>
            <w:tcW w:w="690" w:type="dxa"/>
          </w:tcPr>
          <w:p w14:paraId="3FE7CACC" w14:textId="7F1D8C77" w:rsidR="003903A5" w:rsidRPr="008B2872" w:rsidRDefault="003903A5" w:rsidP="0049324B">
            <w:pPr>
              <w:jc w:val="center"/>
              <w:rPr>
                <w:sz w:val="16"/>
                <w:szCs w:val="16"/>
              </w:rPr>
            </w:pPr>
          </w:p>
        </w:tc>
        <w:tc>
          <w:tcPr>
            <w:tcW w:w="513" w:type="dxa"/>
          </w:tcPr>
          <w:p w14:paraId="5643F0B9" w14:textId="77777777" w:rsidR="003903A5" w:rsidRPr="008B2872" w:rsidRDefault="003903A5" w:rsidP="0049324B">
            <w:pPr>
              <w:jc w:val="center"/>
              <w:rPr>
                <w:sz w:val="16"/>
                <w:szCs w:val="16"/>
              </w:rPr>
            </w:pPr>
          </w:p>
        </w:tc>
        <w:tc>
          <w:tcPr>
            <w:tcW w:w="690" w:type="dxa"/>
          </w:tcPr>
          <w:p w14:paraId="3A5BCB8D" w14:textId="7F17FCA3" w:rsidR="003903A5" w:rsidRPr="008B2872" w:rsidRDefault="003903A5" w:rsidP="0049324B">
            <w:pPr>
              <w:jc w:val="center"/>
              <w:rPr>
                <w:sz w:val="16"/>
                <w:szCs w:val="16"/>
              </w:rPr>
            </w:pPr>
          </w:p>
        </w:tc>
      </w:tr>
      <w:tr w:rsidR="003903A5" w14:paraId="66209C49" w14:textId="77777777" w:rsidTr="00043FA1">
        <w:tc>
          <w:tcPr>
            <w:tcW w:w="1441" w:type="dxa"/>
          </w:tcPr>
          <w:p w14:paraId="0D756B2B" w14:textId="26930832" w:rsidR="003903A5" w:rsidRPr="008B2872" w:rsidRDefault="003903A5" w:rsidP="0049324B">
            <w:pPr>
              <w:jc w:val="center"/>
              <w:rPr>
                <w:sz w:val="16"/>
                <w:szCs w:val="16"/>
              </w:rPr>
            </w:pPr>
            <w:r>
              <w:rPr>
                <w:sz w:val="16"/>
                <w:szCs w:val="16"/>
              </w:rPr>
              <w:t>Establishment of JCB</w:t>
            </w:r>
          </w:p>
        </w:tc>
        <w:tc>
          <w:tcPr>
            <w:tcW w:w="1367" w:type="dxa"/>
          </w:tcPr>
          <w:p w14:paraId="6C9D12EE" w14:textId="5F2EC1FD" w:rsidR="003903A5" w:rsidRPr="008B2872" w:rsidRDefault="003903A5" w:rsidP="0049324B">
            <w:pPr>
              <w:jc w:val="center"/>
              <w:rPr>
                <w:sz w:val="16"/>
                <w:szCs w:val="16"/>
              </w:rPr>
            </w:pPr>
            <w:r>
              <w:rPr>
                <w:sz w:val="16"/>
                <w:szCs w:val="16"/>
              </w:rPr>
              <w:t>Project Management</w:t>
            </w:r>
          </w:p>
        </w:tc>
        <w:tc>
          <w:tcPr>
            <w:tcW w:w="2414" w:type="dxa"/>
          </w:tcPr>
          <w:p w14:paraId="24173AD7" w14:textId="1FD4F309" w:rsidR="003903A5" w:rsidRPr="008B2872" w:rsidRDefault="003903A5" w:rsidP="0049324B">
            <w:pPr>
              <w:jc w:val="center"/>
              <w:rPr>
                <w:sz w:val="16"/>
                <w:szCs w:val="16"/>
              </w:rPr>
            </w:pPr>
            <w:r>
              <w:rPr>
                <w:sz w:val="16"/>
                <w:szCs w:val="16"/>
              </w:rPr>
              <w:t>Draft and send letters from the MNRET to Board Members, sign MOUs with non-MNRET agencies and individuals</w:t>
            </w:r>
          </w:p>
        </w:tc>
        <w:tc>
          <w:tcPr>
            <w:tcW w:w="1309" w:type="dxa"/>
          </w:tcPr>
          <w:p w14:paraId="5F401FDA" w14:textId="1A685E7D" w:rsidR="003903A5" w:rsidRPr="008B2872" w:rsidRDefault="003903A5" w:rsidP="003903A5">
            <w:pPr>
              <w:jc w:val="center"/>
              <w:rPr>
                <w:sz w:val="16"/>
                <w:szCs w:val="16"/>
              </w:rPr>
            </w:pPr>
            <w:r>
              <w:rPr>
                <w:sz w:val="16"/>
                <w:szCs w:val="16"/>
              </w:rPr>
              <w:t>NEPC &amp; MNRET</w:t>
            </w:r>
          </w:p>
        </w:tc>
        <w:tc>
          <w:tcPr>
            <w:tcW w:w="610" w:type="dxa"/>
            <w:shd w:val="clear" w:color="auto" w:fill="FBD4B4" w:themeFill="accent6" w:themeFillTint="66"/>
          </w:tcPr>
          <w:p w14:paraId="3A12E03D" w14:textId="77777777" w:rsidR="003903A5" w:rsidRPr="008B2872" w:rsidRDefault="003903A5" w:rsidP="0049324B">
            <w:pPr>
              <w:jc w:val="center"/>
              <w:rPr>
                <w:sz w:val="16"/>
                <w:szCs w:val="16"/>
              </w:rPr>
            </w:pPr>
          </w:p>
        </w:tc>
        <w:tc>
          <w:tcPr>
            <w:tcW w:w="645" w:type="dxa"/>
          </w:tcPr>
          <w:p w14:paraId="6CFE2653" w14:textId="77777777" w:rsidR="003903A5" w:rsidRPr="008B2872" w:rsidRDefault="003903A5" w:rsidP="0049324B">
            <w:pPr>
              <w:jc w:val="center"/>
              <w:rPr>
                <w:sz w:val="16"/>
                <w:szCs w:val="16"/>
              </w:rPr>
            </w:pPr>
          </w:p>
        </w:tc>
        <w:tc>
          <w:tcPr>
            <w:tcW w:w="690" w:type="dxa"/>
          </w:tcPr>
          <w:p w14:paraId="0131492C" w14:textId="750C1E95" w:rsidR="003903A5" w:rsidRPr="008B2872" w:rsidRDefault="003903A5" w:rsidP="0049324B">
            <w:pPr>
              <w:jc w:val="center"/>
              <w:rPr>
                <w:sz w:val="16"/>
                <w:szCs w:val="16"/>
              </w:rPr>
            </w:pPr>
          </w:p>
        </w:tc>
        <w:tc>
          <w:tcPr>
            <w:tcW w:w="587" w:type="dxa"/>
          </w:tcPr>
          <w:p w14:paraId="7BBB91CB" w14:textId="77777777" w:rsidR="003903A5" w:rsidRPr="008B2872" w:rsidRDefault="003903A5" w:rsidP="0049324B">
            <w:pPr>
              <w:jc w:val="center"/>
              <w:rPr>
                <w:sz w:val="16"/>
                <w:szCs w:val="16"/>
              </w:rPr>
            </w:pPr>
          </w:p>
        </w:tc>
        <w:tc>
          <w:tcPr>
            <w:tcW w:w="690" w:type="dxa"/>
          </w:tcPr>
          <w:p w14:paraId="5AD0DBA0" w14:textId="0FF316BA" w:rsidR="003903A5" w:rsidRPr="008B2872" w:rsidRDefault="003903A5" w:rsidP="0049324B">
            <w:pPr>
              <w:jc w:val="center"/>
              <w:rPr>
                <w:sz w:val="16"/>
                <w:szCs w:val="16"/>
              </w:rPr>
            </w:pPr>
          </w:p>
        </w:tc>
        <w:tc>
          <w:tcPr>
            <w:tcW w:w="540" w:type="dxa"/>
          </w:tcPr>
          <w:p w14:paraId="05B5A8BC" w14:textId="77777777" w:rsidR="003903A5" w:rsidRPr="008B2872" w:rsidRDefault="003903A5" w:rsidP="0049324B">
            <w:pPr>
              <w:jc w:val="center"/>
              <w:rPr>
                <w:sz w:val="16"/>
                <w:szCs w:val="16"/>
              </w:rPr>
            </w:pPr>
          </w:p>
        </w:tc>
        <w:tc>
          <w:tcPr>
            <w:tcW w:w="690" w:type="dxa"/>
          </w:tcPr>
          <w:p w14:paraId="5BE87F4A" w14:textId="6EEC98FA" w:rsidR="003903A5" w:rsidRPr="008B2872" w:rsidRDefault="003903A5" w:rsidP="0049324B">
            <w:pPr>
              <w:jc w:val="center"/>
              <w:rPr>
                <w:sz w:val="16"/>
                <w:szCs w:val="16"/>
              </w:rPr>
            </w:pPr>
          </w:p>
        </w:tc>
        <w:tc>
          <w:tcPr>
            <w:tcW w:w="534" w:type="dxa"/>
          </w:tcPr>
          <w:p w14:paraId="660F803E" w14:textId="77777777" w:rsidR="003903A5" w:rsidRPr="008B2872" w:rsidRDefault="003903A5" w:rsidP="0049324B">
            <w:pPr>
              <w:jc w:val="center"/>
              <w:rPr>
                <w:sz w:val="16"/>
                <w:szCs w:val="16"/>
              </w:rPr>
            </w:pPr>
          </w:p>
        </w:tc>
        <w:tc>
          <w:tcPr>
            <w:tcW w:w="690" w:type="dxa"/>
          </w:tcPr>
          <w:p w14:paraId="19865D46" w14:textId="5617B1DE" w:rsidR="003903A5" w:rsidRPr="008B2872" w:rsidRDefault="003903A5" w:rsidP="0049324B">
            <w:pPr>
              <w:jc w:val="center"/>
              <w:rPr>
                <w:sz w:val="16"/>
                <w:szCs w:val="16"/>
              </w:rPr>
            </w:pPr>
          </w:p>
        </w:tc>
        <w:tc>
          <w:tcPr>
            <w:tcW w:w="516" w:type="dxa"/>
          </w:tcPr>
          <w:p w14:paraId="3C435B97" w14:textId="77777777" w:rsidR="003903A5" w:rsidRPr="008B2872" w:rsidRDefault="003903A5" w:rsidP="0049324B">
            <w:pPr>
              <w:jc w:val="center"/>
              <w:rPr>
                <w:sz w:val="16"/>
                <w:szCs w:val="16"/>
              </w:rPr>
            </w:pPr>
          </w:p>
        </w:tc>
        <w:tc>
          <w:tcPr>
            <w:tcW w:w="690" w:type="dxa"/>
          </w:tcPr>
          <w:p w14:paraId="52B504B2" w14:textId="2ED8550B" w:rsidR="003903A5" w:rsidRPr="008B2872" w:rsidRDefault="003903A5" w:rsidP="0049324B">
            <w:pPr>
              <w:jc w:val="center"/>
              <w:rPr>
                <w:sz w:val="16"/>
                <w:szCs w:val="16"/>
              </w:rPr>
            </w:pPr>
          </w:p>
        </w:tc>
        <w:tc>
          <w:tcPr>
            <w:tcW w:w="513" w:type="dxa"/>
          </w:tcPr>
          <w:p w14:paraId="72BAB0A7" w14:textId="77777777" w:rsidR="003903A5" w:rsidRPr="008B2872" w:rsidRDefault="003903A5" w:rsidP="0049324B">
            <w:pPr>
              <w:jc w:val="center"/>
              <w:rPr>
                <w:sz w:val="16"/>
                <w:szCs w:val="16"/>
              </w:rPr>
            </w:pPr>
          </w:p>
        </w:tc>
        <w:tc>
          <w:tcPr>
            <w:tcW w:w="690" w:type="dxa"/>
          </w:tcPr>
          <w:p w14:paraId="0581F856" w14:textId="18FB10A8" w:rsidR="003903A5" w:rsidRPr="008B2872" w:rsidRDefault="003903A5" w:rsidP="0049324B">
            <w:pPr>
              <w:jc w:val="center"/>
              <w:rPr>
                <w:sz w:val="16"/>
                <w:szCs w:val="16"/>
              </w:rPr>
            </w:pPr>
          </w:p>
        </w:tc>
      </w:tr>
      <w:tr w:rsidR="0049324B" w14:paraId="334697E6" w14:textId="77777777" w:rsidTr="002E23EB">
        <w:tc>
          <w:tcPr>
            <w:tcW w:w="14616" w:type="dxa"/>
            <w:gridSpan w:val="17"/>
            <w:shd w:val="clear" w:color="auto" w:fill="D6E3BC" w:themeFill="accent3" w:themeFillTint="66"/>
          </w:tcPr>
          <w:p w14:paraId="5FCC14CB" w14:textId="08DBF474" w:rsidR="0049324B" w:rsidRPr="008B2872" w:rsidRDefault="0049324B" w:rsidP="009A7D6A">
            <w:pPr>
              <w:jc w:val="left"/>
              <w:rPr>
                <w:sz w:val="16"/>
                <w:szCs w:val="16"/>
              </w:rPr>
            </w:pPr>
            <w:r>
              <w:rPr>
                <w:sz w:val="16"/>
                <w:szCs w:val="16"/>
              </w:rPr>
              <w:t>Planning and Implementation Phase (National Level Activities)</w:t>
            </w:r>
          </w:p>
        </w:tc>
      </w:tr>
      <w:tr w:rsidR="009A7D6A" w14:paraId="70FE15A9" w14:textId="77777777" w:rsidTr="00043FA1">
        <w:tc>
          <w:tcPr>
            <w:tcW w:w="1441" w:type="dxa"/>
            <w:vMerge w:val="restart"/>
          </w:tcPr>
          <w:p w14:paraId="64C7F55F" w14:textId="793DA9A7" w:rsidR="009A7D6A" w:rsidRPr="008B2872" w:rsidRDefault="009A7D6A" w:rsidP="0049324B">
            <w:pPr>
              <w:jc w:val="center"/>
              <w:rPr>
                <w:sz w:val="16"/>
                <w:szCs w:val="16"/>
              </w:rPr>
            </w:pPr>
            <w:r>
              <w:rPr>
                <w:sz w:val="16"/>
                <w:szCs w:val="16"/>
              </w:rPr>
              <w:t xml:space="preserve">Functional Governance and Coordination Mechanism </w:t>
            </w:r>
          </w:p>
        </w:tc>
        <w:tc>
          <w:tcPr>
            <w:tcW w:w="1367" w:type="dxa"/>
            <w:vMerge w:val="restart"/>
          </w:tcPr>
          <w:p w14:paraId="661D3B77" w14:textId="4DA26F9E" w:rsidR="009A7D6A" w:rsidRPr="008B2872" w:rsidRDefault="009A7D6A" w:rsidP="0049324B">
            <w:pPr>
              <w:jc w:val="center"/>
              <w:rPr>
                <w:sz w:val="16"/>
                <w:szCs w:val="16"/>
              </w:rPr>
            </w:pPr>
            <w:r>
              <w:rPr>
                <w:sz w:val="16"/>
                <w:szCs w:val="16"/>
              </w:rPr>
              <w:t>Establishment of Land/Seascape Planning Joint Coordination Body (JCB)</w:t>
            </w:r>
          </w:p>
        </w:tc>
        <w:tc>
          <w:tcPr>
            <w:tcW w:w="2414" w:type="dxa"/>
          </w:tcPr>
          <w:p w14:paraId="0A7F2B09" w14:textId="1F1D7F26" w:rsidR="009A7D6A" w:rsidRPr="008B2872" w:rsidRDefault="009A7D6A" w:rsidP="0049324B">
            <w:pPr>
              <w:jc w:val="center"/>
              <w:rPr>
                <w:sz w:val="16"/>
                <w:szCs w:val="16"/>
              </w:rPr>
            </w:pPr>
            <w:r>
              <w:rPr>
                <w:sz w:val="16"/>
                <w:szCs w:val="16"/>
              </w:rPr>
              <w:t>Set Up JCB as Ad-Hoc committee under NEPC with MOU or Executive Order and nominate members</w:t>
            </w:r>
          </w:p>
        </w:tc>
        <w:tc>
          <w:tcPr>
            <w:tcW w:w="1309" w:type="dxa"/>
          </w:tcPr>
          <w:p w14:paraId="4BA2B3D6" w14:textId="30FDAFB6" w:rsidR="009A7D6A" w:rsidRPr="008B2872" w:rsidRDefault="009A7D6A" w:rsidP="0049324B">
            <w:pPr>
              <w:jc w:val="center"/>
              <w:rPr>
                <w:sz w:val="16"/>
                <w:szCs w:val="16"/>
              </w:rPr>
            </w:pPr>
            <w:r>
              <w:rPr>
                <w:sz w:val="16"/>
                <w:szCs w:val="16"/>
              </w:rPr>
              <w:t>NEPC</w:t>
            </w:r>
            <w:r w:rsidR="003903A5">
              <w:rPr>
                <w:sz w:val="16"/>
                <w:szCs w:val="16"/>
              </w:rPr>
              <w:t xml:space="preserve"> and MNRET</w:t>
            </w:r>
          </w:p>
        </w:tc>
        <w:tc>
          <w:tcPr>
            <w:tcW w:w="610" w:type="dxa"/>
            <w:shd w:val="clear" w:color="auto" w:fill="auto"/>
          </w:tcPr>
          <w:p w14:paraId="3BDA0218" w14:textId="77777777" w:rsidR="009A7D6A" w:rsidRPr="008B2872" w:rsidRDefault="009A7D6A" w:rsidP="0049324B">
            <w:pPr>
              <w:jc w:val="center"/>
              <w:rPr>
                <w:sz w:val="16"/>
                <w:szCs w:val="16"/>
              </w:rPr>
            </w:pPr>
          </w:p>
        </w:tc>
        <w:tc>
          <w:tcPr>
            <w:tcW w:w="645" w:type="dxa"/>
            <w:shd w:val="clear" w:color="auto" w:fill="FBD4B4" w:themeFill="accent6" w:themeFillTint="66"/>
          </w:tcPr>
          <w:p w14:paraId="358F1508" w14:textId="77777777" w:rsidR="009A7D6A" w:rsidRPr="008B2872" w:rsidRDefault="009A7D6A" w:rsidP="0049324B">
            <w:pPr>
              <w:jc w:val="center"/>
              <w:rPr>
                <w:sz w:val="16"/>
                <w:szCs w:val="16"/>
              </w:rPr>
            </w:pPr>
          </w:p>
        </w:tc>
        <w:tc>
          <w:tcPr>
            <w:tcW w:w="690" w:type="dxa"/>
          </w:tcPr>
          <w:p w14:paraId="4D26A43B" w14:textId="77777777" w:rsidR="009A7D6A" w:rsidRPr="008B2872" w:rsidRDefault="009A7D6A" w:rsidP="0049324B">
            <w:pPr>
              <w:jc w:val="center"/>
              <w:rPr>
                <w:sz w:val="16"/>
                <w:szCs w:val="16"/>
              </w:rPr>
            </w:pPr>
          </w:p>
        </w:tc>
        <w:tc>
          <w:tcPr>
            <w:tcW w:w="587" w:type="dxa"/>
          </w:tcPr>
          <w:p w14:paraId="5E773A7B" w14:textId="77777777" w:rsidR="009A7D6A" w:rsidRPr="008B2872" w:rsidRDefault="009A7D6A" w:rsidP="0049324B">
            <w:pPr>
              <w:jc w:val="center"/>
              <w:rPr>
                <w:sz w:val="16"/>
                <w:szCs w:val="16"/>
              </w:rPr>
            </w:pPr>
          </w:p>
        </w:tc>
        <w:tc>
          <w:tcPr>
            <w:tcW w:w="690" w:type="dxa"/>
          </w:tcPr>
          <w:p w14:paraId="1F0B72BA" w14:textId="77777777" w:rsidR="009A7D6A" w:rsidRPr="008B2872" w:rsidRDefault="009A7D6A" w:rsidP="0049324B">
            <w:pPr>
              <w:jc w:val="center"/>
              <w:rPr>
                <w:sz w:val="16"/>
                <w:szCs w:val="16"/>
              </w:rPr>
            </w:pPr>
          </w:p>
        </w:tc>
        <w:tc>
          <w:tcPr>
            <w:tcW w:w="540" w:type="dxa"/>
          </w:tcPr>
          <w:p w14:paraId="153D0E95" w14:textId="77777777" w:rsidR="009A7D6A" w:rsidRPr="008B2872" w:rsidRDefault="009A7D6A" w:rsidP="0049324B">
            <w:pPr>
              <w:jc w:val="center"/>
              <w:rPr>
                <w:sz w:val="16"/>
                <w:szCs w:val="16"/>
              </w:rPr>
            </w:pPr>
          </w:p>
        </w:tc>
        <w:tc>
          <w:tcPr>
            <w:tcW w:w="690" w:type="dxa"/>
          </w:tcPr>
          <w:p w14:paraId="626528C4" w14:textId="77777777" w:rsidR="009A7D6A" w:rsidRPr="008B2872" w:rsidRDefault="009A7D6A" w:rsidP="0049324B">
            <w:pPr>
              <w:jc w:val="center"/>
              <w:rPr>
                <w:sz w:val="16"/>
                <w:szCs w:val="16"/>
              </w:rPr>
            </w:pPr>
          </w:p>
        </w:tc>
        <w:tc>
          <w:tcPr>
            <w:tcW w:w="534" w:type="dxa"/>
          </w:tcPr>
          <w:p w14:paraId="5DD9E1B6" w14:textId="77777777" w:rsidR="009A7D6A" w:rsidRPr="008B2872" w:rsidRDefault="009A7D6A" w:rsidP="0049324B">
            <w:pPr>
              <w:jc w:val="center"/>
              <w:rPr>
                <w:sz w:val="16"/>
                <w:szCs w:val="16"/>
              </w:rPr>
            </w:pPr>
          </w:p>
        </w:tc>
        <w:tc>
          <w:tcPr>
            <w:tcW w:w="690" w:type="dxa"/>
          </w:tcPr>
          <w:p w14:paraId="0AB4DC49" w14:textId="77777777" w:rsidR="009A7D6A" w:rsidRPr="008B2872" w:rsidRDefault="009A7D6A" w:rsidP="0049324B">
            <w:pPr>
              <w:jc w:val="center"/>
              <w:rPr>
                <w:sz w:val="16"/>
                <w:szCs w:val="16"/>
              </w:rPr>
            </w:pPr>
          </w:p>
        </w:tc>
        <w:tc>
          <w:tcPr>
            <w:tcW w:w="516" w:type="dxa"/>
          </w:tcPr>
          <w:p w14:paraId="577395D7" w14:textId="77777777" w:rsidR="009A7D6A" w:rsidRPr="008B2872" w:rsidRDefault="009A7D6A" w:rsidP="0049324B">
            <w:pPr>
              <w:jc w:val="center"/>
              <w:rPr>
                <w:sz w:val="16"/>
                <w:szCs w:val="16"/>
              </w:rPr>
            </w:pPr>
          </w:p>
        </w:tc>
        <w:tc>
          <w:tcPr>
            <w:tcW w:w="690" w:type="dxa"/>
          </w:tcPr>
          <w:p w14:paraId="0848313A" w14:textId="77777777" w:rsidR="009A7D6A" w:rsidRPr="008B2872" w:rsidRDefault="009A7D6A" w:rsidP="0049324B">
            <w:pPr>
              <w:jc w:val="center"/>
              <w:rPr>
                <w:sz w:val="16"/>
                <w:szCs w:val="16"/>
              </w:rPr>
            </w:pPr>
          </w:p>
        </w:tc>
        <w:tc>
          <w:tcPr>
            <w:tcW w:w="513" w:type="dxa"/>
          </w:tcPr>
          <w:p w14:paraId="5495228F" w14:textId="77777777" w:rsidR="009A7D6A" w:rsidRPr="008B2872" w:rsidRDefault="009A7D6A" w:rsidP="0049324B">
            <w:pPr>
              <w:jc w:val="center"/>
              <w:rPr>
                <w:sz w:val="16"/>
                <w:szCs w:val="16"/>
              </w:rPr>
            </w:pPr>
          </w:p>
        </w:tc>
        <w:tc>
          <w:tcPr>
            <w:tcW w:w="690" w:type="dxa"/>
          </w:tcPr>
          <w:p w14:paraId="785BB365" w14:textId="77777777" w:rsidR="009A7D6A" w:rsidRPr="008B2872" w:rsidRDefault="009A7D6A" w:rsidP="0049324B">
            <w:pPr>
              <w:jc w:val="center"/>
              <w:rPr>
                <w:sz w:val="16"/>
                <w:szCs w:val="16"/>
              </w:rPr>
            </w:pPr>
          </w:p>
        </w:tc>
      </w:tr>
      <w:tr w:rsidR="009A7D6A" w14:paraId="5CBA1584" w14:textId="77777777" w:rsidTr="00043FA1">
        <w:tc>
          <w:tcPr>
            <w:tcW w:w="1441" w:type="dxa"/>
            <w:vMerge/>
          </w:tcPr>
          <w:p w14:paraId="5E91EADB" w14:textId="77777777" w:rsidR="009A7D6A" w:rsidRPr="008B2872" w:rsidRDefault="009A7D6A" w:rsidP="0049324B">
            <w:pPr>
              <w:jc w:val="center"/>
              <w:rPr>
                <w:sz w:val="16"/>
                <w:szCs w:val="16"/>
              </w:rPr>
            </w:pPr>
          </w:p>
        </w:tc>
        <w:tc>
          <w:tcPr>
            <w:tcW w:w="1367" w:type="dxa"/>
            <w:vMerge/>
          </w:tcPr>
          <w:p w14:paraId="1EEBB425" w14:textId="77777777" w:rsidR="009A7D6A" w:rsidRPr="008B2872" w:rsidRDefault="009A7D6A" w:rsidP="0049324B">
            <w:pPr>
              <w:jc w:val="center"/>
              <w:rPr>
                <w:sz w:val="16"/>
                <w:szCs w:val="16"/>
              </w:rPr>
            </w:pPr>
          </w:p>
        </w:tc>
        <w:tc>
          <w:tcPr>
            <w:tcW w:w="2414" w:type="dxa"/>
          </w:tcPr>
          <w:p w14:paraId="536AA816" w14:textId="0B126923" w:rsidR="009A7D6A" w:rsidRPr="008B2872" w:rsidRDefault="009A7D6A" w:rsidP="009A7D6A">
            <w:pPr>
              <w:jc w:val="center"/>
              <w:rPr>
                <w:sz w:val="16"/>
                <w:szCs w:val="16"/>
              </w:rPr>
            </w:pPr>
            <w:r>
              <w:rPr>
                <w:sz w:val="16"/>
                <w:szCs w:val="16"/>
              </w:rPr>
              <w:t>Quarterly meetings in Year 1/2 and bi-annual meetings thereafter</w:t>
            </w:r>
          </w:p>
        </w:tc>
        <w:tc>
          <w:tcPr>
            <w:tcW w:w="1309" w:type="dxa"/>
          </w:tcPr>
          <w:p w14:paraId="3DBF3A1F" w14:textId="68B0633F" w:rsidR="009A7D6A" w:rsidRPr="008B2872" w:rsidRDefault="009A7D6A" w:rsidP="0049324B">
            <w:pPr>
              <w:jc w:val="center"/>
              <w:rPr>
                <w:sz w:val="16"/>
                <w:szCs w:val="16"/>
              </w:rPr>
            </w:pPr>
            <w:r>
              <w:rPr>
                <w:sz w:val="16"/>
                <w:szCs w:val="16"/>
              </w:rPr>
              <w:t>JCB</w:t>
            </w:r>
            <w:r w:rsidR="003903A5">
              <w:rPr>
                <w:sz w:val="16"/>
                <w:szCs w:val="16"/>
              </w:rPr>
              <w:t xml:space="preserve"> (under NEPC)</w:t>
            </w:r>
          </w:p>
        </w:tc>
        <w:tc>
          <w:tcPr>
            <w:tcW w:w="610" w:type="dxa"/>
          </w:tcPr>
          <w:p w14:paraId="6C2580D7" w14:textId="77777777" w:rsidR="009A7D6A" w:rsidRPr="008B2872" w:rsidRDefault="009A7D6A" w:rsidP="0049324B">
            <w:pPr>
              <w:jc w:val="center"/>
              <w:rPr>
                <w:sz w:val="16"/>
                <w:szCs w:val="16"/>
              </w:rPr>
            </w:pPr>
          </w:p>
        </w:tc>
        <w:tc>
          <w:tcPr>
            <w:tcW w:w="645" w:type="dxa"/>
            <w:shd w:val="clear" w:color="auto" w:fill="FBD4B4" w:themeFill="accent6" w:themeFillTint="66"/>
          </w:tcPr>
          <w:p w14:paraId="75CCA02E" w14:textId="77777777" w:rsidR="009A7D6A" w:rsidRPr="008B2872" w:rsidRDefault="009A7D6A" w:rsidP="0049324B">
            <w:pPr>
              <w:jc w:val="center"/>
              <w:rPr>
                <w:sz w:val="16"/>
                <w:szCs w:val="16"/>
              </w:rPr>
            </w:pPr>
          </w:p>
        </w:tc>
        <w:tc>
          <w:tcPr>
            <w:tcW w:w="690" w:type="dxa"/>
            <w:shd w:val="clear" w:color="auto" w:fill="FBD4B4" w:themeFill="accent6" w:themeFillTint="66"/>
          </w:tcPr>
          <w:p w14:paraId="4629EA17" w14:textId="77777777" w:rsidR="009A7D6A" w:rsidRPr="008B2872" w:rsidRDefault="009A7D6A" w:rsidP="0049324B">
            <w:pPr>
              <w:jc w:val="center"/>
              <w:rPr>
                <w:sz w:val="16"/>
                <w:szCs w:val="16"/>
              </w:rPr>
            </w:pPr>
          </w:p>
        </w:tc>
        <w:tc>
          <w:tcPr>
            <w:tcW w:w="587" w:type="dxa"/>
            <w:shd w:val="clear" w:color="auto" w:fill="FBD4B4" w:themeFill="accent6" w:themeFillTint="66"/>
          </w:tcPr>
          <w:p w14:paraId="5106450D" w14:textId="77777777" w:rsidR="009A7D6A" w:rsidRPr="008B2872" w:rsidRDefault="009A7D6A" w:rsidP="0049324B">
            <w:pPr>
              <w:jc w:val="center"/>
              <w:rPr>
                <w:sz w:val="16"/>
                <w:szCs w:val="16"/>
              </w:rPr>
            </w:pPr>
          </w:p>
        </w:tc>
        <w:tc>
          <w:tcPr>
            <w:tcW w:w="690" w:type="dxa"/>
            <w:shd w:val="clear" w:color="auto" w:fill="FBD4B4" w:themeFill="accent6" w:themeFillTint="66"/>
          </w:tcPr>
          <w:p w14:paraId="7893F59C" w14:textId="77777777" w:rsidR="009A7D6A" w:rsidRPr="008B2872" w:rsidRDefault="009A7D6A" w:rsidP="0049324B">
            <w:pPr>
              <w:jc w:val="center"/>
              <w:rPr>
                <w:sz w:val="16"/>
                <w:szCs w:val="16"/>
              </w:rPr>
            </w:pPr>
          </w:p>
        </w:tc>
        <w:tc>
          <w:tcPr>
            <w:tcW w:w="540" w:type="dxa"/>
            <w:shd w:val="clear" w:color="auto" w:fill="FBD4B4" w:themeFill="accent6" w:themeFillTint="66"/>
          </w:tcPr>
          <w:p w14:paraId="5F426578" w14:textId="77777777" w:rsidR="009A7D6A" w:rsidRPr="008B2872" w:rsidRDefault="009A7D6A" w:rsidP="0049324B">
            <w:pPr>
              <w:jc w:val="center"/>
              <w:rPr>
                <w:sz w:val="16"/>
                <w:szCs w:val="16"/>
              </w:rPr>
            </w:pPr>
          </w:p>
        </w:tc>
        <w:tc>
          <w:tcPr>
            <w:tcW w:w="690" w:type="dxa"/>
            <w:shd w:val="clear" w:color="auto" w:fill="FBD4B4" w:themeFill="accent6" w:themeFillTint="66"/>
          </w:tcPr>
          <w:p w14:paraId="113B99EB" w14:textId="77777777" w:rsidR="009A7D6A" w:rsidRPr="008B2872" w:rsidRDefault="009A7D6A" w:rsidP="0049324B">
            <w:pPr>
              <w:jc w:val="center"/>
              <w:rPr>
                <w:sz w:val="16"/>
                <w:szCs w:val="16"/>
              </w:rPr>
            </w:pPr>
          </w:p>
        </w:tc>
        <w:tc>
          <w:tcPr>
            <w:tcW w:w="534" w:type="dxa"/>
            <w:shd w:val="clear" w:color="auto" w:fill="FBD4B4" w:themeFill="accent6" w:themeFillTint="66"/>
          </w:tcPr>
          <w:p w14:paraId="368C805F" w14:textId="77777777" w:rsidR="009A7D6A" w:rsidRPr="008B2872" w:rsidRDefault="009A7D6A" w:rsidP="0049324B">
            <w:pPr>
              <w:jc w:val="center"/>
              <w:rPr>
                <w:sz w:val="16"/>
                <w:szCs w:val="16"/>
              </w:rPr>
            </w:pPr>
          </w:p>
        </w:tc>
        <w:tc>
          <w:tcPr>
            <w:tcW w:w="690" w:type="dxa"/>
            <w:shd w:val="clear" w:color="auto" w:fill="FBD4B4" w:themeFill="accent6" w:themeFillTint="66"/>
          </w:tcPr>
          <w:p w14:paraId="47259899" w14:textId="77777777" w:rsidR="009A7D6A" w:rsidRPr="008B2872" w:rsidRDefault="009A7D6A" w:rsidP="0049324B">
            <w:pPr>
              <w:jc w:val="center"/>
              <w:rPr>
                <w:sz w:val="16"/>
                <w:szCs w:val="16"/>
              </w:rPr>
            </w:pPr>
          </w:p>
        </w:tc>
        <w:tc>
          <w:tcPr>
            <w:tcW w:w="516" w:type="dxa"/>
            <w:shd w:val="clear" w:color="auto" w:fill="FBD4B4" w:themeFill="accent6" w:themeFillTint="66"/>
          </w:tcPr>
          <w:p w14:paraId="085C087E" w14:textId="77777777" w:rsidR="009A7D6A" w:rsidRPr="008B2872" w:rsidRDefault="009A7D6A" w:rsidP="0049324B">
            <w:pPr>
              <w:jc w:val="center"/>
              <w:rPr>
                <w:sz w:val="16"/>
                <w:szCs w:val="16"/>
              </w:rPr>
            </w:pPr>
          </w:p>
        </w:tc>
        <w:tc>
          <w:tcPr>
            <w:tcW w:w="690" w:type="dxa"/>
            <w:shd w:val="clear" w:color="auto" w:fill="FBD4B4" w:themeFill="accent6" w:themeFillTint="66"/>
          </w:tcPr>
          <w:p w14:paraId="4DBE7442" w14:textId="77777777" w:rsidR="009A7D6A" w:rsidRPr="008B2872" w:rsidRDefault="009A7D6A" w:rsidP="0049324B">
            <w:pPr>
              <w:jc w:val="center"/>
              <w:rPr>
                <w:sz w:val="16"/>
                <w:szCs w:val="16"/>
              </w:rPr>
            </w:pPr>
          </w:p>
        </w:tc>
        <w:tc>
          <w:tcPr>
            <w:tcW w:w="513" w:type="dxa"/>
            <w:shd w:val="clear" w:color="auto" w:fill="FBD4B4" w:themeFill="accent6" w:themeFillTint="66"/>
          </w:tcPr>
          <w:p w14:paraId="1E7EE171" w14:textId="77777777" w:rsidR="009A7D6A" w:rsidRPr="008B2872" w:rsidRDefault="009A7D6A" w:rsidP="0049324B">
            <w:pPr>
              <w:jc w:val="center"/>
              <w:rPr>
                <w:sz w:val="16"/>
                <w:szCs w:val="16"/>
              </w:rPr>
            </w:pPr>
          </w:p>
        </w:tc>
        <w:tc>
          <w:tcPr>
            <w:tcW w:w="690" w:type="dxa"/>
            <w:shd w:val="clear" w:color="auto" w:fill="FBD4B4" w:themeFill="accent6" w:themeFillTint="66"/>
          </w:tcPr>
          <w:p w14:paraId="049B8140" w14:textId="77777777" w:rsidR="009A7D6A" w:rsidRPr="008B2872" w:rsidRDefault="009A7D6A" w:rsidP="0049324B">
            <w:pPr>
              <w:jc w:val="center"/>
              <w:rPr>
                <w:sz w:val="16"/>
                <w:szCs w:val="16"/>
              </w:rPr>
            </w:pPr>
          </w:p>
        </w:tc>
      </w:tr>
      <w:tr w:rsidR="009A7D6A" w14:paraId="4254CBA2" w14:textId="77777777" w:rsidTr="00043FA1">
        <w:tc>
          <w:tcPr>
            <w:tcW w:w="1441" w:type="dxa"/>
            <w:vMerge/>
          </w:tcPr>
          <w:p w14:paraId="69D85BAB" w14:textId="77777777" w:rsidR="009A7D6A" w:rsidRPr="008B2872" w:rsidRDefault="009A7D6A" w:rsidP="0049324B">
            <w:pPr>
              <w:jc w:val="center"/>
              <w:rPr>
                <w:sz w:val="16"/>
                <w:szCs w:val="16"/>
              </w:rPr>
            </w:pPr>
          </w:p>
        </w:tc>
        <w:tc>
          <w:tcPr>
            <w:tcW w:w="1367" w:type="dxa"/>
            <w:vMerge/>
          </w:tcPr>
          <w:p w14:paraId="2C418C7C" w14:textId="77777777" w:rsidR="009A7D6A" w:rsidRPr="008B2872" w:rsidRDefault="009A7D6A" w:rsidP="0049324B">
            <w:pPr>
              <w:jc w:val="center"/>
              <w:rPr>
                <w:sz w:val="16"/>
                <w:szCs w:val="16"/>
              </w:rPr>
            </w:pPr>
          </w:p>
        </w:tc>
        <w:tc>
          <w:tcPr>
            <w:tcW w:w="2414" w:type="dxa"/>
          </w:tcPr>
          <w:p w14:paraId="69B730F5" w14:textId="6F8897BE" w:rsidR="00D76E9D" w:rsidRPr="008B2872" w:rsidRDefault="009A7D6A" w:rsidP="00D76E9D">
            <w:pPr>
              <w:jc w:val="center"/>
              <w:rPr>
                <w:sz w:val="16"/>
                <w:szCs w:val="16"/>
              </w:rPr>
            </w:pPr>
            <w:r>
              <w:rPr>
                <w:sz w:val="16"/>
                <w:szCs w:val="16"/>
              </w:rPr>
              <w:t xml:space="preserve">Drafting and adoption of standard operating </w:t>
            </w:r>
            <w:r w:rsidR="00D76E9D">
              <w:rPr>
                <w:sz w:val="16"/>
                <w:szCs w:val="16"/>
              </w:rPr>
              <w:t>procedures and bylaws for JCB</w:t>
            </w:r>
          </w:p>
        </w:tc>
        <w:tc>
          <w:tcPr>
            <w:tcW w:w="1309" w:type="dxa"/>
          </w:tcPr>
          <w:p w14:paraId="33DE24E2" w14:textId="276A91F1" w:rsidR="009A7D6A" w:rsidRPr="008B2872" w:rsidRDefault="009A7D6A" w:rsidP="0049324B">
            <w:pPr>
              <w:jc w:val="center"/>
              <w:rPr>
                <w:sz w:val="16"/>
                <w:szCs w:val="16"/>
              </w:rPr>
            </w:pPr>
            <w:r>
              <w:rPr>
                <w:sz w:val="16"/>
                <w:szCs w:val="16"/>
              </w:rPr>
              <w:t>NEPC</w:t>
            </w:r>
          </w:p>
        </w:tc>
        <w:tc>
          <w:tcPr>
            <w:tcW w:w="610" w:type="dxa"/>
          </w:tcPr>
          <w:p w14:paraId="6C39D1EF" w14:textId="77777777" w:rsidR="009A7D6A" w:rsidRPr="008B2872" w:rsidRDefault="009A7D6A" w:rsidP="0049324B">
            <w:pPr>
              <w:jc w:val="center"/>
              <w:rPr>
                <w:sz w:val="16"/>
                <w:szCs w:val="16"/>
              </w:rPr>
            </w:pPr>
          </w:p>
        </w:tc>
        <w:tc>
          <w:tcPr>
            <w:tcW w:w="645" w:type="dxa"/>
            <w:shd w:val="clear" w:color="auto" w:fill="FBD4B4" w:themeFill="accent6" w:themeFillTint="66"/>
          </w:tcPr>
          <w:p w14:paraId="0137A3E1" w14:textId="77777777" w:rsidR="009A7D6A" w:rsidRPr="008B2872" w:rsidRDefault="009A7D6A" w:rsidP="0049324B">
            <w:pPr>
              <w:jc w:val="center"/>
              <w:rPr>
                <w:sz w:val="16"/>
                <w:szCs w:val="16"/>
              </w:rPr>
            </w:pPr>
          </w:p>
        </w:tc>
        <w:tc>
          <w:tcPr>
            <w:tcW w:w="690" w:type="dxa"/>
          </w:tcPr>
          <w:p w14:paraId="4E96B180" w14:textId="77777777" w:rsidR="009A7D6A" w:rsidRPr="008B2872" w:rsidRDefault="009A7D6A" w:rsidP="0049324B">
            <w:pPr>
              <w:jc w:val="center"/>
              <w:rPr>
                <w:sz w:val="16"/>
                <w:szCs w:val="16"/>
              </w:rPr>
            </w:pPr>
          </w:p>
        </w:tc>
        <w:tc>
          <w:tcPr>
            <w:tcW w:w="587" w:type="dxa"/>
          </w:tcPr>
          <w:p w14:paraId="06244F46" w14:textId="77777777" w:rsidR="009A7D6A" w:rsidRPr="008B2872" w:rsidRDefault="009A7D6A" w:rsidP="0049324B">
            <w:pPr>
              <w:jc w:val="center"/>
              <w:rPr>
                <w:sz w:val="16"/>
                <w:szCs w:val="16"/>
              </w:rPr>
            </w:pPr>
          </w:p>
        </w:tc>
        <w:tc>
          <w:tcPr>
            <w:tcW w:w="690" w:type="dxa"/>
          </w:tcPr>
          <w:p w14:paraId="3A01F238" w14:textId="77777777" w:rsidR="009A7D6A" w:rsidRPr="008B2872" w:rsidRDefault="009A7D6A" w:rsidP="0049324B">
            <w:pPr>
              <w:jc w:val="center"/>
              <w:rPr>
                <w:sz w:val="16"/>
                <w:szCs w:val="16"/>
              </w:rPr>
            </w:pPr>
          </w:p>
        </w:tc>
        <w:tc>
          <w:tcPr>
            <w:tcW w:w="540" w:type="dxa"/>
          </w:tcPr>
          <w:p w14:paraId="77B61440" w14:textId="77777777" w:rsidR="009A7D6A" w:rsidRPr="008B2872" w:rsidRDefault="009A7D6A" w:rsidP="0049324B">
            <w:pPr>
              <w:jc w:val="center"/>
              <w:rPr>
                <w:sz w:val="16"/>
                <w:szCs w:val="16"/>
              </w:rPr>
            </w:pPr>
          </w:p>
        </w:tc>
        <w:tc>
          <w:tcPr>
            <w:tcW w:w="690" w:type="dxa"/>
          </w:tcPr>
          <w:p w14:paraId="1F33C726" w14:textId="77777777" w:rsidR="009A7D6A" w:rsidRPr="008B2872" w:rsidRDefault="009A7D6A" w:rsidP="0049324B">
            <w:pPr>
              <w:jc w:val="center"/>
              <w:rPr>
                <w:sz w:val="16"/>
                <w:szCs w:val="16"/>
              </w:rPr>
            </w:pPr>
          </w:p>
        </w:tc>
        <w:tc>
          <w:tcPr>
            <w:tcW w:w="534" w:type="dxa"/>
          </w:tcPr>
          <w:p w14:paraId="206BC5DD" w14:textId="77777777" w:rsidR="009A7D6A" w:rsidRPr="008B2872" w:rsidRDefault="009A7D6A" w:rsidP="0049324B">
            <w:pPr>
              <w:jc w:val="center"/>
              <w:rPr>
                <w:sz w:val="16"/>
                <w:szCs w:val="16"/>
              </w:rPr>
            </w:pPr>
          </w:p>
        </w:tc>
        <w:tc>
          <w:tcPr>
            <w:tcW w:w="690" w:type="dxa"/>
          </w:tcPr>
          <w:p w14:paraId="61926695" w14:textId="77777777" w:rsidR="009A7D6A" w:rsidRPr="008B2872" w:rsidRDefault="009A7D6A" w:rsidP="0049324B">
            <w:pPr>
              <w:jc w:val="center"/>
              <w:rPr>
                <w:sz w:val="16"/>
                <w:szCs w:val="16"/>
              </w:rPr>
            </w:pPr>
          </w:p>
        </w:tc>
        <w:tc>
          <w:tcPr>
            <w:tcW w:w="516" w:type="dxa"/>
          </w:tcPr>
          <w:p w14:paraId="48763DEA" w14:textId="77777777" w:rsidR="009A7D6A" w:rsidRPr="008B2872" w:rsidRDefault="009A7D6A" w:rsidP="0049324B">
            <w:pPr>
              <w:jc w:val="center"/>
              <w:rPr>
                <w:sz w:val="16"/>
                <w:szCs w:val="16"/>
              </w:rPr>
            </w:pPr>
          </w:p>
        </w:tc>
        <w:tc>
          <w:tcPr>
            <w:tcW w:w="690" w:type="dxa"/>
          </w:tcPr>
          <w:p w14:paraId="7B322766" w14:textId="77777777" w:rsidR="009A7D6A" w:rsidRPr="008B2872" w:rsidRDefault="009A7D6A" w:rsidP="0049324B">
            <w:pPr>
              <w:jc w:val="center"/>
              <w:rPr>
                <w:sz w:val="16"/>
                <w:szCs w:val="16"/>
              </w:rPr>
            </w:pPr>
          </w:p>
        </w:tc>
        <w:tc>
          <w:tcPr>
            <w:tcW w:w="513" w:type="dxa"/>
          </w:tcPr>
          <w:p w14:paraId="4E1E7BC0" w14:textId="77777777" w:rsidR="009A7D6A" w:rsidRPr="008B2872" w:rsidRDefault="009A7D6A" w:rsidP="0049324B">
            <w:pPr>
              <w:jc w:val="center"/>
              <w:rPr>
                <w:sz w:val="16"/>
                <w:szCs w:val="16"/>
              </w:rPr>
            </w:pPr>
          </w:p>
        </w:tc>
        <w:tc>
          <w:tcPr>
            <w:tcW w:w="690" w:type="dxa"/>
          </w:tcPr>
          <w:p w14:paraId="027E4CCB" w14:textId="77777777" w:rsidR="009A7D6A" w:rsidRPr="008B2872" w:rsidRDefault="009A7D6A" w:rsidP="0049324B">
            <w:pPr>
              <w:jc w:val="center"/>
              <w:rPr>
                <w:sz w:val="16"/>
                <w:szCs w:val="16"/>
              </w:rPr>
            </w:pPr>
          </w:p>
        </w:tc>
      </w:tr>
      <w:tr w:rsidR="00D76E9D" w14:paraId="481ECF5D" w14:textId="77777777" w:rsidTr="00043FA1">
        <w:tc>
          <w:tcPr>
            <w:tcW w:w="1441" w:type="dxa"/>
            <w:vMerge w:val="restart"/>
          </w:tcPr>
          <w:p w14:paraId="4A14CF0F" w14:textId="3CAB05E7" w:rsidR="00D76E9D" w:rsidRPr="008B2872" w:rsidRDefault="00D76E9D" w:rsidP="0049324B">
            <w:pPr>
              <w:jc w:val="center"/>
              <w:rPr>
                <w:sz w:val="16"/>
                <w:szCs w:val="16"/>
              </w:rPr>
            </w:pPr>
            <w:r>
              <w:rPr>
                <w:sz w:val="16"/>
                <w:szCs w:val="16"/>
              </w:rPr>
              <w:t>Biodiversity mainstreamed into key sector planning systems</w:t>
            </w:r>
          </w:p>
        </w:tc>
        <w:tc>
          <w:tcPr>
            <w:tcW w:w="1367" w:type="dxa"/>
            <w:vMerge w:val="restart"/>
          </w:tcPr>
          <w:p w14:paraId="1B584EB0" w14:textId="1B6699CD" w:rsidR="00D76E9D" w:rsidRPr="008B2872" w:rsidRDefault="00D76E9D" w:rsidP="0049324B">
            <w:pPr>
              <w:jc w:val="center"/>
              <w:rPr>
                <w:sz w:val="16"/>
                <w:szCs w:val="16"/>
              </w:rPr>
            </w:pPr>
            <w:r>
              <w:rPr>
                <w:sz w:val="16"/>
                <w:szCs w:val="16"/>
              </w:rPr>
              <w:t>Development of legal and policy tools, procedures, standards and guidelines for drafting, approval, implementation and mainstreaming land/seascape plans and best practices across sectors</w:t>
            </w:r>
          </w:p>
        </w:tc>
        <w:tc>
          <w:tcPr>
            <w:tcW w:w="2414" w:type="dxa"/>
          </w:tcPr>
          <w:p w14:paraId="25CF806B" w14:textId="4D50921F" w:rsidR="00D76E9D" w:rsidRPr="008B2872" w:rsidRDefault="00D76E9D" w:rsidP="009A7D6A">
            <w:pPr>
              <w:jc w:val="center"/>
              <w:rPr>
                <w:sz w:val="16"/>
                <w:szCs w:val="16"/>
              </w:rPr>
            </w:pPr>
            <w:r>
              <w:rPr>
                <w:sz w:val="16"/>
                <w:szCs w:val="16"/>
              </w:rPr>
              <w:t>Review of national and state legislation and policies to identify gaps and inconsistencies for effective biodiversity mainstreaming</w:t>
            </w:r>
          </w:p>
        </w:tc>
        <w:tc>
          <w:tcPr>
            <w:tcW w:w="1309" w:type="dxa"/>
          </w:tcPr>
          <w:p w14:paraId="247E517B" w14:textId="2702A008" w:rsidR="00D76E9D" w:rsidRPr="008B2872" w:rsidRDefault="00D76E9D" w:rsidP="0049324B">
            <w:pPr>
              <w:jc w:val="center"/>
              <w:rPr>
                <w:sz w:val="16"/>
                <w:szCs w:val="16"/>
              </w:rPr>
            </w:pPr>
            <w:r>
              <w:rPr>
                <w:sz w:val="16"/>
                <w:szCs w:val="16"/>
              </w:rPr>
              <w:t>MNRET</w:t>
            </w:r>
          </w:p>
        </w:tc>
        <w:tc>
          <w:tcPr>
            <w:tcW w:w="610" w:type="dxa"/>
          </w:tcPr>
          <w:p w14:paraId="1D088F89" w14:textId="77777777" w:rsidR="00D76E9D" w:rsidRPr="008B2872" w:rsidRDefault="00D76E9D" w:rsidP="0049324B">
            <w:pPr>
              <w:jc w:val="center"/>
              <w:rPr>
                <w:sz w:val="16"/>
                <w:szCs w:val="16"/>
              </w:rPr>
            </w:pPr>
          </w:p>
        </w:tc>
        <w:tc>
          <w:tcPr>
            <w:tcW w:w="645" w:type="dxa"/>
            <w:shd w:val="clear" w:color="auto" w:fill="FBD4B4" w:themeFill="accent6" w:themeFillTint="66"/>
          </w:tcPr>
          <w:p w14:paraId="6C7748EB" w14:textId="77777777" w:rsidR="00D76E9D" w:rsidRPr="008B2872" w:rsidRDefault="00D76E9D" w:rsidP="0049324B">
            <w:pPr>
              <w:jc w:val="center"/>
              <w:rPr>
                <w:sz w:val="16"/>
                <w:szCs w:val="16"/>
              </w:rPr>
            </w:pPr>
          </w:p>
        </w:tc>
        <w:tc>
          <w:tcPr>
            <w:tcW w:w="690" w:type="dxa"/>
            <w:shd w:val="clear" w:color="auto" w:fill="FBD4B4" w:themeFill="accent6" w:themeFillTint="66"/>
          </w:tcPr>
          <w:p w14:paraId="37354A85" w14:textId="77777777" w:rsidR="00D76E9D" w:rsidRPr="008B2872" w:rsidRDefault="00D76E9D" w:rsidP="0049324B">
            <w:pPr>
              <w:jc w:val="center"/>
              <w:rPr>
                <w:sz w:val="16"/>
                <w:szCs w:val="16"/>
              </w:rPr>
            </w:pPr>
          </w:p>
        </w:tc>
        <w:tc>
          <w:tcPr>
            <w:tcW w:w="587" w:type="dxa"/>
          </w:tcPr>
          <w:p w14:paraId="1278A091" w14:textId="77777777" w:rsidR="00D76E9D" w:rsidRPr="008B2872" w:rsidRDefault="00D76E9D" w:rsidP="0049324B">
            <w:pPr>
              <w:jc w:val="center"/>
              <w:rPr>
                <w:sz w:val="16"/>
                <w:szCs w:val="16"/>
              </w:rPr>
            </w:pPr>
          </w:p>
        </w:tc>
        <w:tc>
          <w:tcPr>
            <w:tcW w:w="690" w:type="dxa"/>
          </w:tcPr>
          <w:p w14:paraId="38B4A2C2" w14:textId="77777777" w:rsidR="00D76E9D" w:rsidRPr="008B2872" w:rsidRDefault="00D76E9D" w:rsidP="0049324B">
            <w:pPr>
              <w:jc w:val="center"/>
              <w:rPr>
                <w:sz w:val="16"/>
                <w:szCs w:val="16"/>
              </w:rPr>
            </w:pPr>
          </w:p>
        </w:tc>
        <w:tc>
          <w:tcPr>
            <w:tcW w:w="540" w:type="dxa"/>
          </w:tcPr>
          <w:p w14:paraId="04D4BC47" w14:textId="77777777" w:rsidR="00D76E9D" w:rsidRPr="008B2872" w:rsidRDefault="00D76E9D" w:rsidP="0049324B">
            <w:pPr>
              <w:jc w:val="center"/>
              <w:rPr>
                <w:sz w:val="16"/>
                <w:szCs w:val="16"/>
              </w:rPr>
            </w:pPr>
          </w:p>
        </w:tc>
        <w:tc>
          <w:tcPr>
            <w:tcW w:w="690" w:type="dxa"/>
          </w:tcPr>
          <w:p w14:paraId="7047B46D" w14:textId="77777777" w:rsidR="00D76E9D" w:rsidRPr="008B2872" w:rsidRDefault="00D76E9D" w:rsidP="0049324B">
            <w:pPr>
              <w:jc w:val="center"/>
              <w:rPr>
                <w:sz w:val="16"/>
                <w:szCs w:val="16"/>
              </w:rPr>
            </w:pPr>
          </w:p>
        </w:tc>
        <w:tc>
          <w:tcPr>
            <w:tcW w:w="534" w:type="dxa"/>
          </w:tcPr>
          <w:p w14:paraId="09E1A220" w14:textId="77777777" w:rsidR="00D76E9D" w:rsidRPr="008B2872" w:rsidRDefault="00D76E9D" w:rsidP="0049324B">
            <w:pPr>
              <w:jc w:val="center"/>
              <w:rPr>
                <w:sz w:val="16"/>
                <w:szCs w:val="16"/>
              </w:rPr>
            </w:pPr>
          </w:p>
        </w:tc>
        <w:tc>
          <w:tcPr>
            <w:tcW w:w="690" w:type="dxa"/>
          </w:tcPr>
          <w:p w14:paraId="30156816" w14:textId="77777777" w:rsidR="00D76E9D" w:rsidRPr="008B2872" w:rsidRDefault="00D76E9D" w:rsidP="0049324B">
            <w:pPr>
              <w:jc w:val="center"/>
              <w:rPr>
                <w:sz w:val="16"/>
                <w:szCs w:val="16"/>
              </w:rPr>
            </w:pPr>
          </w:p>
        </w:tc>
        <w:tc>
          <w:tcPr>
            <w:tcW w:w="516" w:type="dxa"/>
          </w:tcPr>
          <w:p w14:paraId="4046F241" w14:textId="77777777" w:rsidR="00D76E9D" w:rsidRPr="008B2872" w:rsidRDefault="00D76E9D" w:rsidP="0049324B">
            <w:pPr>
              <w:jc w:val="center"/>
              <w:rPr>
                <w:sz w:val="16"/>
                <w:szCs w:val="16"/>
              </w:rPr>
            </w:pPr>
          </w:p>
        </w:tc>
        <w:tc>
          <w:tcPr>
            <w:tcW w:w="690" w:type="dxa"/>
          </w:tcPr>
          <w:p w14:paraId="7CC86E6B" w14:textId="77777777" w:rsidR="00D76E9D" w:rsidRPr="008B2872" w:rsidRDefault="00D76E9D" w:rsidP="0049324B">
            <w:pPr>
              <w:jc w:val="center"/>
              <w:rPr>
                <w:sz w:val="16"/>
                <w:szCs w:val="16"/>
              </w:rPr>
            </w:pPr>
          </w:p>
        </w:tc>
        <w:tc>
          <w:tcPr>
            <w:tcW w:w="513" w:type="dxa"/>
          </w:tcPr>
          <w:p w14:paraId="3040F1AA" w14:textId="77777777" w:rsidR="00D76E9D" w:rsidRPr="008B2872" w:rsidRDefault="00D76E9D" w:rsidP="0049324B">
            <w:pPr>
              <w:jc w:val="center"/>
              <w:rPr>
                <w:sz w:val="16"/>
                <w:szCs w:val="16"/>
              </w:rPr>
            </w:pPr>
          </w:p>
        </w:tc>
        <w:tc>
          <w:tcPr>
            <w:tcW w:w="690" w:type="dxa"/>
          </w:tcPr>
          <w:p w14:paraId="4683C4B9" w14:textId="77777777" w:rsidR="00D76E9D" w:rsidRPr="008B2872" w:rsidRDefault="00D76E9D" w:rsidP="0049324B">
            <w:pPr>
              <w:jc w:val="center"/>
              <w:rPr>
                <w:sz w:val="16"/>
                <w:szCs w:val="16"/>
              </w:rPr>
            </w:pPr>
          </w:p>
        </w:tc>
      </w:tr>
      <w:tr w:rsidR="00D76E9D" w14:paraId="595A97C4" w14:textId="77777777" w:rsidTr="00043FA1">
        <w:tc>
          <w:tcPr>
            <w:tcW w:w="1441" w:type="dxa"/>
            <w:vMerge/>
          </w:tcPr>
          <w:p w14:paraId="6105FAAD" w14:textId="77777777" w:rsidR="00D76E9D" w:rsidRPr="008B2872" w:rsidRDefault="00D76E9D" w:rsidP="0049324B">
            <w:pPr>
              <w:jc w:val="center"/>
              <w:rPr>
                <w:sz w:val="16"/>
                <w:szCs w:val="16"/>
              </w:rPr>
            </w:pPr>
          </w:p>
        </w:tc>
        <w:tc>
          <w:tcPr>
            <w:tcW w:w="1367" w:type="dxa"/>
            <w:vMerge/>
          </w:tcPr>
          <w:p w14:paraId="3D6E9B29" w14:textId="77777777" w:rsidR="00D76E9D" w:rsidRPr="008B2872" w:rsidRDefault="00D76E9D" w:rsidP="0049324B">
            <w:pPr>
              <w:jc w:val="center"/>
              <w:rPr>
                <w:sz w:val="16"/>
                <w:szCs w:val="16"/>
              </w:rPr>
            </w:pPr>
          </w:p>
        </w:tc>
        <w:tc>
          <w:tcPr>
            <w:tcW w:w="2414" w:type="dxa"/>
          </w:tcPr>
          <w:p w14:paraId="57434557" w14:textId="2B51B330" w:rsidR="00D76E9D" w:rsidRPr="008B2872" w:rsidRDefault="00D76E9D" w:rsidP="0049324B">
            <w:pPr>
              <w:jc w:val="center"/>
              <w:rPr>
                <w:sz w:val="16"/>
                <w:szCs w:val="16"/>
              </w:rPr>
            </w:pPr>
            <w:r>
              <w:rPr>
                <w:sz w:val="16"/>
                <w:szCs w:val="16"/>
              </w:rPr>
              <w:t>Updating laws, policies and regulations on fisheries, aquaculture, agriculture, forestry and tourism to mainstream biodiversity and biosecurity (e.g. leasing, permitting, FIB approval, business licensing, import and export, etc.)</w:t>
            </w:r>
          </w:p>
        </w:tc>
        <w:tc>
          <w:tcPr>
            <w:tcW w:w="1309" w:type="dxa"/>
          </w:tcPr>
          <w:p w14:paraId="4AC80574" w14:textId="0679E1D6" w:rsidR="00D76E9D" w:rsidRPr="008B2872" w:rsidRDefault="00AD7C51" w:rsidP="0049324B">
            <w:pPr>
              <w:jc w:val="center"/>
              <w:rPr>
                <w:sz w:val="16"/>
                <w:szCs w:val="16"/>
              </w:rPr>
            </w:pPr>
            <w:r>
              <w:rPr>
                <w:sz w:val="16"/>
                <w:szCs w:val="16"/>
              </w:rPr>
              <w:t>MNRET and sector agencies</w:t>
            </w:r>
          </w:p>
        </w:tc>
        <w:tc>
          <w:tcPr>
            <w:tcW w:w="610" w:type="dxa"/>
          </w:tcPr>
          <w:p w14:paraId="76860DBA" w14:textId="77777777" w:rsidR="00D76E9D" w:rsidRPr="008B2872" w:rsidRDefault="00D76E9D" w:rsidP="0049324B">
            <w:pPr>
              <w:jc w:val="center"/>
              <w:rPr>
                <w:sz w:val="16"/>
                <w:szCs w:val="16"/>
              </w:rPr>
            </w:pPr>
          </w:p>
        </w:tc>
        <w:tc>
          <w:tcPr>
            <w:tcW w:w="645" w:type="dxa"/>
          </w:tcPr>
          <w:p w14:paraId="0FC98991" w14:textId="77777777" w:rsidR="00D76E9D" w:rsidRPr="008B2872" w:rsidRDefault="00D76E9D" w:rsidP="0049324B">
            <w:pPr>
              <w:jc w:val="center"/>
              <w:rPr>
                <w:sz w:val="16"/>
                <w:szCs w:val="16"/>
              </w:rPr>
            </w:pPr>
          </w:p>
        </w:tc>
        <w:tc>
          <w:tcPr>
            <w:tcW w:w="690" w:type="dxa"/>
            <w:shd w:val="clear" w:color="auto" w:fill="FBD4B4" w:themeFill="accent6" w:themeFillTint="66"/>
          </w:tcPr>
          <w:p w14:paraId="41AF2FDB" w14:textId="77777777" w:rsidR="00D76E9D" w:rsidRPr="008B2872" w:rsidRDefault="00D76E9D" w:rsidP="0049324B">
            <w:pPr>
              <w:jc w:val="center"/>
              <w:rPr>
                <w:sz w:val="16"/>
                <w:szCs w:val="16"/>
              </w:rPr>
            </w:pPr>
          </w:p>
        </w:tc>
        <w:tc>
          <w:tcPr>
            <w:tcW w:w="587" w:type="dxa"/>
            <w:shd w:val="clear" w:color="auto" w:fill="FBD4B4" w:themeFill="accent6" w:themeFillTint="66"/>
          </w:tcPr>
          <w:p w14:paraId="78CBB687" w14:textId="77777777" w:rsidR="00D76E9D" w:rsidRPr="008B2872" w:rsidRDefault="00D76E9D" w:rsidP="0049324B">
            <w:pPr>
              <w:jc w:val="center"/>
              <w:rPr>
                <w:sz w:val="16"/>
                <w:szCs w:val="16"/>
              </w:rPr>
            </w:pPr>
          </w:p>
        </w:tc>
        <w:tc>
          <w:tcPr>
            <w:tcW w:w="690" w:type="dxa"/>
            <w:shd w:val="clear" w:color="auto" w:fill="FBD4B4" w:themeFill="accent6" w:themeFillTint="66"/>
          </w:tcPr>
          <w:p w14:paraId="3A264E4E" w14:textId="77777777" w:rsidR="00D76E9D" w:rsidRPr="008B2872" w:rsidRDefault="00D76E9D" w:rsidP="0049324B">
            <w:pPr>
              <w:jc w:val="center"/>
              <w:rPr>
                <w:sz w:val="16"/>
                <w:szCs w:val="16"/>
              </w:rPr>
            </w:pPr>
          </w:p>
        </w:tc>
        <w:tc>
          <w:tcPr>
            <w:tcW w:w="540" w:type="dxa"/>
          </w:tcPr>
          <w:p w14:paraId="6A96EA83" w14:textId="77777777" w:rsidR="00D76E9D" w:rsidRPr="008B2872" w:rsidRDefault="00D76E9D" w:rsidP="0049324B">
            <w:pPr>
              <w:jc w:val="center"/>
              <w:rPr>
                <w:sz w:val="16"/>
                <w:szCs w:val="16"/>
              </w:rPr>
            </w:pPr>
          </w:p>
        </w:tc>
        <w:tc>
          <w:tcPr>
            <w:tcW w:w="690" w:type="dxa"/>
          </w:tcPr>
          <w:p w14:paraId="3AAF9E2C" w14:textId="77777777" w:rsidR="00D76E9D" w:rsidRPr="008B2872" w:rsidRDefault="00D76E9D" w:rsidP="0049324B">
            <w:pPr>
              <w:jc w:val="center"/>
              <w:rPr>
                <w:sz w:val="16"/>
                <w:szCs w:val="16"/>
              </w:rPr>
            </w:pPr>
          </w:p>
        </w:tc>
        <w:tc>
          <w:tcPr>
            <w:tcW w:w="534" w:type="dxa"/>
          </w:tcPr>
          <w:p w14:paraId="7E53DE1D" w14:textId="77777777" w:rsidR="00D76E9D" w:rsidRPr="008B2872" w:rsidRDefault="00D76E9D" w:rsidP="0049324B">
            <w:pPr>
              <w:jc w:val="center"/>
              <w:rPr>
                <w:sz w:val="16"/>
                <w:szCs w:val="16"/>
              </w:rPr>
            </w:pPr>
          </w:p>
        </w:tc>
        <w:tc>
          <w:tcPr>
            <w:tcW w:w="690" w:type="dxa"/>
          </w:tcPr>
          <w:p w14:paraId="727D0075" w14:textId="77777777" w:rsidR="00D76E9D" w:rsidRPr="008B2872" w:rsidRDefault="00D76E9D" w:rsidP="0049324B">
            <w:pPr>
              <w:jc w:val="center"/>
              <w:rPr>
                <w:sz w:val="16"/>
                <w:szCs w:val="16"/>
              </w:rPr>
            </w:pPr>
          </w:p>
        </w:tc>
        <w:tc>
          <w:tcPr>
            <w:tcW w:w="516" w:type="dxa"/>
          </w:tcPr>
          <w:p w14:paraId="40878782" w14:textId="77777777" w:rsidR="00D76E9D" w:rsidRPr="008B2872" w:rsidRDefault="00D76E9D" w:rsidP="0049324B">
            <w:pPr>
              <w:jc w:val="center"/>
              <w:rPr>
                <w:sz w:val="16"/>
                <w:szCs w:val="16"/>
              </w:rPr>
            </w:pPr>
          </w:p>
        </w:tc>
        <w:tc>
          <w:tcPr>
            <w:tcW w:w="690" w:type="dxa"/>
          </w:tcPr>
          <w:p w14:paraId="2A665B92" w14:textId="77777777" w:rsidR="00D76E9D" w:rsidRPr="008B2872" w:rsidRDefault="00D76E9D" w:rsidP="0049324B">
            <w:pPr>
              <w:jc w:val="center"/>
              <w:rPr>
                <w:sz w:val="16"/>
                <w:szCs w:val="16"/>
              </w:rPr>
            </w:pPr>
          </w:p>
        </w:tc>
        <w:tc>
          <w:tcPr>
            <w:tcW w:w="513" w:type="dxa"/>
          </w:tcPr>
          <w:p w14:paraId="33D3C59C" w14:textId="77777777" w:rsidR="00D76E9D" w:rsidRPr="008B2872" w:rsidRDefault="00D76E9D" w:rsidP="0049324B">
            <w:pPr>
              <w:jc w:val="center"/>
              <w:rPr>
                <w:sz w:val="16"/>
                <w:szCs w:val="16"/>
              </w:rPr>
            </w:pPr>
          </w:p>
        </w:tc>
        <w:tc>
          <w:tcPr>
            <w:tcW w:w="690" w:type="dxa"/>
          </w:tcPr>
          <w:p w14:paraId="5E50B5C8" w14:textId="77777777" w:rsidR="00D76E9D" w:rsidRPr="008B2872" w:rsidRDefault="00D76E9D" w:rsidP="0049324B">
            <w:pPr>
              <w:jc w:val="center"/>
              <w:rPr>
                <w:sz w:val="16"/>
                <w:szCs w:val="16"/>
              </w:rPr>
            </w:pPr>
          </w:p>
        </w:tc>
      </w:tr>
      <w:tr w:rsidR="00D76E9D" w14:paraId="5BB29578" w14:textId="77777777" w:rsidTr="00043FA1">
        <w:tc>
          <w:tcPr>
            <w:tcW w:w="1441" w:type="dxa"/>
            <w:vMerge/>
          </w:tcPr>
          <w:p w14:paraId="037D1971" w14:textId="77777777" w:rsidR="00D76E9D" w:rsidRPr="008B2872" w:rsidRDefault="00D76E9D" w:rsidP="0049324B">
            <w:pPr>
              <w:jc w:val="center"/>
              <w:rPr>
                <w:sz w:val="16"/>
                <w:szCs w:val="16"/>
              </w:rPr>
            </w:pPr>
          </w:p>
        </w:tc>
        <w:tc>
          <w:tcPr>
            <w:tcW w:w="1367" w:type="dxa"/>
            <w:vMerge/>
          </w:tcPr>
          <w:p w14:paraId="7145B25B" w14:textId="77777777" w:rsidR="00D76E9D" w:rsidRPr="008B2872" w:rsidRDefault="00D76E9D" w:rsidP="0049324B">
            <w:pPr>
              <w:jc w:val="center"/>
              <w:rPr>
                <w:sz w:val="16"/>
                <w:szCs w:val="16"/>
              </w:rPr>
            </w:pPr>
          </w:p>
        </w:tc>
        <w:tc>
          <w:tcPr>
            <w:tcW w:w="2414" w:type="dxa"/>
          </w:tcPr>
          <w:p w14:paraId="19D830A4" w14:textId="717EFF09" w:rsidR="00D76E9D" w:rsidRPr="008B2872" w:rsidRDefault="00D76E9D" w:rsidP="0049324B">
            <w:pPr>
              <w:jc w:val="center"/>
              <w:rPr>
                <w:sz w:val="16"/>
                <w:szCs w:val="16"/>
              </w:rPr>
            </w:pPr>
            <w:r>
              <w:rPr>
                <w:sz w:val="16"/>
                <w:szCs w:val="16"/>
              </w:rPr>
              <w:t>Develop framework and legal procedure for discussing and approving land/seascape plans at inter-institutional level</w:t>
            </w:r>
          </w:p>
        </w:tc>
        <w:tc>
          <w:tcPr>
            <w:tcW w:w="1309" w:type="dxa"/>
          </w:tcPr>
          <w:p w14:paraId="15CEC67E" w14:textId="0CD98751" w:rsidR="00D76E9D" w:rsidRPr="008B2872" w:rsidRDefault="00AD7C51" w:rsidP="0049324B">
            <w:pPr>
              <w:jc w:val="center"/>
              <w:rPr>
                <w:sz w:val="16"/>
                <w:szCs w:val="16"/>
              </w:rPr>
            </w:pPr>
            <w:r>
              <w:rPr>
                <w:sz w:val="16"/>
                <w:szCs w:val="16"/>
              </w:rPr>
              <w:t>MNRET</w:t>
            </w:r>
          </w:p>
        </w:tc>
        <w:tc>
          <w:tcPr>
            <w:tcW w:w="610" w:type="dxa"/>
          </w:tcPr>
          <w:p w14:paraId="38A18B1E" w14:textId="77777777" w:rsidR="00D76E9D" w:rsidRPr="008B2872" w:rsidRDefault="00D76E9D" w:rsidP="0049324B">
            <w:pPr>
              <w:jc w:val="center"/>
              <w:rPr>
                <w:sz w:val="16"/>
                <w:szCs w:val="16"/>
              </w:rPr>
            </w:pPr>
          </w:p>
        </w:tc>
        <w:tc>
          <w:tcPr>
            <w:tcW w:w="645" w:type="dxa"/>
          </w:tcPr>
          <w:p w14:paraId="2862D258" w14:textId="77777777" w:rsidR="00D76E9D" w:rsidRPr="008B2872" w:rsidRDefault="00D76E9D" w:rsidP="0049324B">
            <w:pPr>
              <w:jc w:val="center"/>
              <w:rPr>
                <w:sz w:val="16"/>
                <w:szCs w:val="16"/>
              </w:rPr>
            </w:pPr>
          </w:p>
        </w:tc>
        <w:tc>
          <w:tcPr>
            <w:tcW w:w="690" w:type="dxa"/>
          </w:tcPr>
          <w:p w14:paraId="722C48A4" w14:textId="77777777" w:rsidR="00D76E9D" w:rsidRPr="008B2872" w:rsidRDefault="00D76E9D" w:rsidP="0049324B">
            <w:pPr>
              <w:jc w:val="center"/>
              <w:rPr>
                <w:sz w:val="16"/>
                <w:szCs w:val="16"/>
              </w:rPr>
            </w:pPr>
          </w:p>
        </w:tc>
        <w:tc>
          <w:tcPr>
            <w:tcW w:w="587" w:type="dxa"/>
            <w:shd w:val="clear" w:color="auto" w:fill="FBD4B4" w:themeFill="accent6" w:themeFillTint="66"/>
          </w:tcPr>
          <w:p w14:paraId="27EBB124" w14:textId="77777777" w:rsidR="00D76E9D" w:rsidRPr="008B2872" w:rsidRDefault="00D76E9D" w:rsidP="0049324B">
            <w:pPr>
              <w:jc w:val="center"/>
              <w:rPr>
                <w:sz w:val="16"/>
                <w:szCs w:val="16"/>
              </w:rPr>
            </w:pPr>
          </w:p>
        </w:tc>
        <w:tc>
          <w:tcPr>
            <w:tcW w:w="690" w:type="dxa"/>
            <w:shd w:val="clear" w:color="auto" w:fill="FBD4B4" w:themeFill="accent6" w:themeFillTint="66"/>
          </w:tcPr>
          <w:p w14:paraId="17F78BC5" w14:textId="77777777" w:rsidR="00D76E9D" w:rsidRPr="008B2872" w:rsidRDefault="00D76E9D" w:rsidP="0049324B">
            <w:pPr>
              <w:jc w:val="center"/>
              <w:rPr>
                <w:sz w:val="16"/>
                <w:szCs w:val="16"/>
              </w:rPr>
            </w:pPr>
          </w:p>
        </w:tc>
        <w:tc>
          <w:tcPr>
            <w:tcW w:w="540" w:type="dxa"/>
          </w:tcPr>
          <w:p w14:paraId="0EB9C84E" w14:textId="77777777" w:rsidR="00D76E9D" w:rsidRPr="008B2872" w:rsidRDefault="00D76E9D" w:rsidP="0049324B">
            <w:pPr>
              <w:jc w:val="center"/>
              <w:rPr>
                <w:sz w:val="16"/>
                <w:szCs w:val="16"/>
              </w:rPr>
            </w:pPr>
          </w:p>
        </w:tc>
        <w:tc>
          <w:tcPr>
            <w:tcW w:w="690" w:type="dxa"/>
          </w:tcPr>
          <w:p w14:paraId="0846139C" w14:textId="77777777" w:rsidR="00D76E9D" w:rsidRPr="008B2872" w:rsidRDefault="00D76E9D" w:rsidP="0049324B">
            <w:pPr>
              <w:jc w:val="center"/>
              <w:rPr>
                <w:sz w:val="16"/>
                <w:szCs w:val="16"/>
              </w:rPr>
            </w:pPr>
          </w:p>
        </w:tc>
        <w:tc>
          <w:tcPr>
            <w:tcW w:w="534" w:type="dxa"/>
          </w:tcPr>
          <w:p w14:paraId="036AEECA" w14:textId="77777777" w:rsidR="00D76E9D" w:rsidRPr="008B2872" w:rsidRDefault="00D76E9D" w:rsidP="0049324B">
            <w:pPr>
              <w:jc w:val="center"/>
              <w:rPr>
                <w:sz w:val="16"/>
                <w:szCs w:val="16"/>
              </w:rPr>
            </w:pPr>
          </w:p>
        </w:tc>
        <w:tc>
          <w:tcPr>
            <w:tcW w:w="690" w:type="dxa"/>
          </w:tcPr>
          <w:p w14:paraId="385767D1" w14:textId="77777777" w:rsidR="00D76E9D" w:rsidRPr="008B2872" w:rsidRDefault="00D76E9D" w:rsidP="0049324B">
            <w:pPr>
              <w:jc w:val="center"/>
              <w:rPr>
                <w:sz w:val="16"/>
                <w:szCs w:val="16"/>
              </w:rPr>
            </w:pPr>
          </w:p>
        </w:tc>
        <w:tc>
          <w:tcPr>
            <w:tcW w:w="516" w:type="dxa"/>
          </w:tcPr>
          <w:p w14:paraId="0C368BC1" w14:textId="77777777" w:rsidR="00D76E9D" w:rsidRPr="008B2872" w:rsidRDefault="00D76E9D" w:rsidP="0049324B">
            <w:pPr>
              <w:jc w:val="center"/>
              <w:rPr>
                <w:sz w:val="16"/>
                <w:szCs w:val="16"/>
              </w:rPr>
            </w:pPr>
          </w:p>
        </w:tc>
        <w:tc>
          <w:tcPr>
            <w:tcW w:w="690" w:type="dxa"/>
          </w:tcPr>
          <w:p w14:paraId="239C21E3" w14:textId="77777777" w:rsidR="00D76E9D" w:rsidRPr="008B2872" w:rsidRDefault="00D76E9D" w:rsidP="0049324B">
            <w:pPr>
              <w:jc w:val="center"/>
              <w:rPr>
                <w:sz w:val="16"/>
                <w:szCs w:val="16"/>
              </w:rPr>
            </w:pPr>
          </w:p>
        </w:tc>
        <w:tc>
          <w:tcPr>
            <w:tcW w:w="513" w:type="dxa"/>
          </w:tcPr>
          <w:p w14:paraId="37CCD2D6" w14:textId="77777777" w:rsidR="00D76E9D" w:rsidRPr="008B2872" w:rsidRDefault="00D76E9D" w:rsidP="0049324B">
            <w:pPr>
              <w:jc w:val="center"/>
              <w:rPr>
                <w:sz w:val="16"/>
                <w:szCs w:val="16"/>
              </w:rPr>
            </w:pPr>
          </w:p>
        </w:tc>
        <w:tc>
          <w:tcPr>
            <w:tcW w:w="690" w:type="dxa"/>
          </w:tcPr>
          <w:p w14:paraId="47C13F9F" w14:textId="77777777" w:rsidR="00D76E9D" w:rsidRPr="008B2872" w:rsidRDefault="00D76E9D" w:rsidP="0049324B">
            <w:pPr>
              <w:jc w:val="center"/>
              <w:rPr>
                <w:sz w:val="16"/>
                <w:szCs w:val="16"/>
              </w:rPr>
            </w:pPr>
          </w:p>
        </w:tc>
      </w:tr>
      <w:tr w:rsidR="00D76E9D" w14:paraId="15894E7A" w14:textId="77777777" w:rsidTr="00043FA1">
        <w:tc>
          <w:tcPr>
            <w:tcW w:w="1441" w:type="dxa"/>
            <w:vMerge/>
          </w:tcPr>
          <w:p w14:paraId="26746756" w14:textId="77777777" w:rsidR="00D76E9D" w:rsidRPr="008B2872" w:rsidRDefault="00D76E9D" w:rsidP="0049324B">
            <w:pPr>
              <w:jc w:val="center"/>
              <w:rPr>
                <w:sz w:val="16"/>
                <w:szCs w:val="16"/>
              </w:rPr>
            </w:pPr>
          </w:p>
        </w:tc>
        <w:tc>
          <w:tcPr>
            <w:tcW w:w="1367" w:type="dxa"/>
            <w:vMerge/>
          </w:tcPr>
          <w:p w14:paraId="5AAD05EA" w14:textId="77777777" w:rsidR="00D76E9D" w:rsidRPr="008B2872" w:rsidRDefault="00D76E9D" w:rsidP="0049324B">
            <w:pPr>
              <w:jc w:val="center"/>
              <w:rPr>
                <w:sz w:val="16"/>
                <w:szCs w:val="16"/>
              </w:rPr>
            </w:pPr>
          </w:p>
        </w:tc>
        <w:tc>
          <w:tcPr>
            <w:tcW w:w="2414" w:type="dxa"/>
          </w:tcPr>
          <w:p w14:paraId="3AC8BA46" w14:textId="300AFA13" w:rsidR="00D76E9D" w:rsidRPr="008B2872" w:rsidRDefault="00D76E9D" w:rsidP="0049324B">
            <w:pPr>
              <w:jc w:val="center"/>
              <w:rPr>
                <w:sz w:val="16"/>
                <w:szCs w:val="16"/>
              </w:rPr>
            </w:pPr>
            <w:r>
              <w:rPr>
                <w:sz w:val="16"/>
                <w:szCs w:val="16"/>
              </w:rPr>
              <w:t>SEA developed and integrated with EA/EIS process</w:t>
            </w:r>
          </w:p>
        </w:tc>
        <w:tc>
          <w:tcPr>
            <w:tcW w:w="1309" w:type="dxa"/>
          </w:tcPr>
          <w:p w14:paraId="419EE838" w14:textId="5895D47B" w:rsidR="00D76E9D" w:rsidRPr="008B2872" w:rsidRDefault="00AD7C51" w:rsidP="0049324B">
            <w:pPr>
              <w:jc w:val="center"/>
              <w:rPr>
                <w:sz w:val="16"/>
                <w:szCs w:val="16"/>
              </w:rPr>
            </w:pPr>
            <w:r>
              <w:rPr>
                <w:sz w:val="16"/>
                <w:szCs w:val="16"/>
              </w:rPr>
              <w:t>EQPB</w:t>
            </w:r>
          </w:p>
        </w:tc>
        <w:tc>
          <w:tcPr>
            <w:tcW w:w="610" w:type="dxa"/>
          </w:tcPr>
          <w:p w14:paraId="083F8F8D" w14:textId="77777777" w:rsidR="00D76E9D" w:rsidRPr="008B2872" w:rsidRDefault="00D76E9D" w:rsidP="0049324B">
            <w:pPr>
              <w:jc w:val="center"/>
              <w:rPr>
                <w:sz w:val="16"/>
                <w:szCs w:val="16"/>
              </w:rPr>
            </w:pPr>
          </w:p>
        </w:tc>
        <w:tc>
          <w:tcPr>
            <w:tcW w:w="645" w:type="dxa"/>
          </w:tcPr>
          <w:p w14:paraId="0972DA95" w14:textId="77777777" w:rsidR="00D76E9D" w:rsidRPr="008B2872" w:rsidRDefault="00D76E9D" w:rsidP="0049324B">
            <w:pPr>
              <w:jc w:val="center"/>
              <w:rPr>
                <w:sz w:val="16"/>
                <w:szCs w:val="16"/>
              </w:rPr>
            </w:pPr>
          </w:p>
        </w:tc>
        <w:tc>
          <w:tcPr>
            <w:tcW w:w="690" w:type="dxa"/>
          </w:tcPr>
          <w:p w14:paraId="16384F1D" w14:textId="77777777" w:rsidR="00D76E9D" w:rsidRPr="008B2872" w:rsidRDefault="00D76E9D" w:rsidP="0049324B">
            <w:pPr>
              <w:jc w:val="center"/>
              <w:rPr>
                <w:sz w:val="16"/>
                <w:szCs w:val="16"/>
              </w:rPr>
            </w:pPr>
          </w:p>
        </w:tc>
        <w:tc>
          <w:tcPr>
            <w:tcW w:w="587" w:type="dxa"/>
          </w:tcPr>
          <w:p w14:paraId="093FBBDE" w14:textId="77777777" w:rsidR="00D76E9D" w:rsidRPr="008B2872" w:rsidRDefault="00D76E9D" w:rsidP="0049324B">
            <w:pPr>
              <w:jc w:val="center"/>
              <w:rPr>
                <w:sz w:val="16"/>
                <w:szCs w:val="16"/>
              </w:rPr>
            </w:pPr>
          </w:p>
        </w:tc>
        <w:tc>
          <w:tcPr>
            <w:tcW w:w="690" w:type="dxa"/>
            <w:shd w:val="clear" w:color="auto" w:fill="FBD4B4" w:themeFill="accent6" w:themeFillTint="66"/>
          </w:tcPr>
          <w:p w14:paraId="6D16ED31" w14:textId="77777777" w:rsidR="00D76E9D" w:rsidRPr="008B2872" w:rsidRDefault="00D76E9D" w:rsidP="0049324B">
            <w:pPr>
              <w:jc w:val="center"/>
              <w:rPr>
                <w:sz w:val="16"/>
                <w:szCs w:val="16"/>
              </w:rPr>
            </w:pPr>
          </w:p>
        </w:tc>
        <w:tc>
          <w:tcPr>
            <w:tcW w:w="540" w:type="dxa"/>
            <w:shd w:val="clear" w:color="auto" w:fill="FBD4B4" w:themeFill="accent6" w:themeFillTint="66"/>
          </w:tcPr>
          <w:p w14:paraId="23965DD3" w14:textId="77777777" w:rsidR="00D76E9D" w:rsidRPr="008B2872" w:rsidRDefault="00D76E9D" w:rsidP="0049324B">
            <w:pPr>
              <w:jc w:val="center"/>
              <w:rPr>
                <w:sz w:val="16"/>
                <w:szCs w:val="16"/>
              </w:rPr>
            </w:pPr>
          </w:p>
        </w:tc>
        <w:tc>
          <w:tcPr>
            <w:tcW w:w="690" w:type="dxa"/>
            <w:shd w:val="clear" w:color="auto" w:fill="FBD4B4" w:themeFill="accent6" w:themeFillTint="66"/>
          </w:tcPr>
          <w:p w14:paraId="5A9A2637" w14:textId="77777777" w:rsidR="00D76E9D" w:rsidRPr="008B2872" w:rsidRDefault="00D76E9D" w:rsidP="0049324B">
            <w:pPr>
              <w:jc w:val="center"/>
              <w:rPr>
                <w:sz w:val="16"/>
                <w:szCs w:val="16"/>
              </w:rPr>
            </w:pPr>
          </w:p>
        </w:tc>
        <w:tc>
          <w:tcPr>
            <w:tcW w:w="534" w:type="dxa"/>
          </w:tcPr>
          <w:p w14:paraId="66B8FF85" w14:textId="77777777" w:rsidR="00D76E9D" w:rsidRPr="008B2872" w:rsidRDefault="00D76E9D" w:rsidP="0049324B">
            <w:pPr>
              <w:jc w:val="center"/>
              <w:rPr>
                <w:sz w:val="16"/>
                <w:szCs w:val="16"/>
              </w:rPr>
            </w:pPr>
          </w:p>
        </w:tc>
        <w:tc>
          <w:tcPr>
            <w:tcW w:w="690" w:type="dxa"/>
          </w:tcPr>
          <w:p w14:paraId="622F6E9A" w14:textId="77777777" w:rsidR="00D76E9D" w:rsidRPr="008B2872" w:rsidRDefault="00D76E9D" w:rsidP="0049324B">
            <w:pPr>
              <w:jc w:val="center"/>
              <w:rPr>
                <w:sz w:val="16"/>
                <w:szCs w:val="16"/>
              </w:rPr>
            </w:pPr>
          </w:p>
        </w:tc>
        <w:tc>
          <w:tcPr>
            <w:tcW w:w="516" w:type="dxa"/>
          </w:tcPr>
          <w:p w14:paraId="50B2E941" w14:textId="77777777" w:rsidR="00D76E9D" w:rsidRPr="008B2872" w:rsidRDefault="00D76E9D" w:rsidP="0049324B">
            <w:pPr>
              <w:jc w:val="center"/>
              <w:rPr>
                <w:sz w:val="16"/>
                <w:szCs w:val="16"/>
              </w:rPr>
            </w:pPr>
          </w:p>
        </w:tc>
        <w:tc>
          <w:tcPr>
            <w:tcW w:w="690" w:type="dxa"/>
          </w:tcPr>
          <w:p w14:paraId="7AAB3E3F" w14:textId="77777777" w:rsidR="00D76E9D" w:rsidRPr="008B2872" w:rsidRDefault="00D76E9D" w:rsidP="0049324B">
            <w:pPr>
              <w:jc w:val="center"/>
              <w:rPr>
                <w:sz w:val="16"/>
                <w:szCs w:val="16"/>
              </w:rPr>
            </w:pPr>
          </w:p>
        </w:tc>
        <w:tc>
          <w:tcPr>
            <w:tcW w:w="513" w:type="dxa"/>
          </w:tcPr>
          <w:p w14:paraId="167FFCB6" w14:textId="77777777" w:rsidR="00D76E9D" w:rsidRPr="008B2872" w:rsidRDefault="00D76E9D" w:rsidP="0049324B">
            <w:pPr>
              <w:jc w:val="center"/>
              <w:rPr>
                <w:sz w:val="16"/>
                <w:szCs w:val="16"/>
              </w:rPr>
            </w:pPr>
          </w:p>
        </w:tc>
        <w:tc>
          <w:tcPr>
            <w:tcW w:w="690" w:type="dxa"/>
          </w:tcPr>
          <w:p w14:paraId="470E957A" w14:textId="77777777" w:rsidR="00D76E9D" w:rsidRPr="008B2872" w:rsidRDefault="00D76E9D" w:rsidP="0049324B">
            <w:pPr>
              <w:jc w:val="center"/>
              <w:rPr>
                <w:sz w:val="16"/>
                <w:szCs w:val="16"/>
              </w:rPr>
            </w:pPr>
          </w:p>
        </w:tc>
      </w:tr>
      <w:tr w:rsidR="00D76E9D" w14:paraId="532A3193" w14:textId="77777777" w:rsidTr="00043FA1">
        <w:tc>
          <w:tcPr>
            <w:tcW w:w="1441" w:type="dxa"/>
            <w:vMerge/>
          </w:tcPr>
          <w:p w14:paraId="4F945A0A" w14:textId="77777777" w:rsidR="00D76E9D" w:rsidRPr="008B2872" w:rsidRDefault="00D76E9D" w:rsidP="0049324B">
            <w:pPr>
              <w:jc w:val="center"/>
              <w:rPr>
                <w:sz w:val="16"/>
                <w:szCs w:val="16"/>
              </w:rPr>
            </w:pPr>
          </w:p>
        </w:tc>
        <w:tc>
          <w:tcPr>
            <w:tcW w:w="1367" w:type="dxa"/>
            <w:vMerge/>
          </w:tcPr>
          <w:p w14:paraId="094F028F" w14:textId="77777777" w:rsidR="00D76E9D" w:rsidRPr="008B2872" w:rsidRDefault="00D76E9D" w:rsidP="0049324B">
            <w:pPr>
              <w:jc w:val="center"/>
              <w:rPr>
                <w:sz w:val="16"/>
                <w:szCs w:val="16"/>
              </w:rPr>
            </w:pPr>
          </w:p>
        </w:tc>
        <w:tc>
          <w:tcPr>
            <w:tcW w:w="2414" w:type="dxa"/>
          </w:tcPr>
          <w:p w14:paraId="3721E205" w14:textId="167D97EB" w:rsidR="00D76E9D" w:rsidRPr="008B2872" w:rsidRDefault="00D76E9D" w:rsidP="00281D56">
            <w:pPr>
              <w:jc w:val="center"/>
              <w:rPr>
                <w:sz w:val="16"/>
                <w:szCs w:val="16"/>
              </w:rPr>
            </w:pPr>
            <w:r>
              <w:rPr>
                <w:sz w:val="16"/>
                <w:szCs w:val="16"/>
              </w:rPr>
              <w:t>Integration of EQPB activities (monitoring and permitting) for compliance at site level into land/seascape governance</w:t>
            </w:r>
          </w:p>
        </w:tc>
        <w:tc>
          <w:tcPr>
            <w:tcW w:w="1309" w:type="dxa"/>
          </w:tcPr>
          <w:p w14:paraId="29E8AAE4" w14:textId="07055B83" w:rsidR="00D76E9D" w:rsidRPr="008B2872" w:rsidRDefault="00AD7C51" w:rsidP="0049324B">
            <w:pPr>
              <w:jc w:val="center"/>
              <w:rPr>
                <w:sz w:val="16"/>
                <w:szCs w:val="16"/>
              </w:rPr>
            </w:pPr>
            <w:r>
              <w:rPr>
                <w:sz w:val="16"/>
                <w:szCs w:val="16"/>
              </w:rPr>
              <w:t>EQPB</w:t>
            </w:r>
          </w:p>
        </w:tc>
        <w:tc>
          <w:tcPr>
            <w:tcW w:w="610" w:type="dxa"/>
          </w:tcPr>
          <w:p w14:paraId="5DF0B4D5" w14:textId="77777777" w:rsidR="00D76E9D" w:rsidRPr="008B2872" w:rsidRDefault="00D76E9D" w:rsidP="0049324B">
            <w:pPr>
              <w:jc w:val="center"/>
              <w:rPr>
                <w:sz w:val="16"/>
                <w:szCs w:val="16"/>
              </w:rPr>
            </w:pPr>
          </w:p>
        </w:tc>
        <w:tc>
          <w:tcPr>
            <w:tcW w:w="645" w:type="dxa"/>
          </w:tcPr>
          <w:p w14:paraId="76563E92" w14:textId="77777777" w:rsidR="00D76E9D" w:rsidRPr="008B2872" w:rsidRDefault="00D76E9D" w:rsidP="0049324B">
            <w:pPr>
              <w:jc w:val="center"/>
              <w:rPr>
                <w:sz w:val="16"/>
                <w:szCs w:val="16"/>
              </w:rPr>
            </w:pPr>
          </w:p>
        </w:tc>
        <w:tc>
          <w:tcPr>
            <w:tcW w:w="690" w:type="dxa"/>
          </w:tcPr>
          <w:p w14:paraId="65AB5628" w14:textId="77777777" w:rsidR="00D76E9D" w:rsidRPr="008B2872" w:rsidRDefault="00D76E9D" w:rsidP="0049324B">
            <w:pPr>
              <w:jc w:val="center"/>
              <w:rPr>
                <w:sz w:val="16"/>
                <w:szCs w:val="16"/>
              </w:rPr>
            </w:pPr>
          </w:p>
        </w:tc>
        <w:tc>
          <w:tcPr>
            <w:tcW w:w="587" w:type="dxa"/>
            <w:shd w:val="clear" w:color="auto" w:fill="FBD4B4" w:themeFill="accent6" w:themeFillTint="66"/>
          </w:tcPr>
          <w:p w14:paraId="791524C1" w14:textId="77777777" w:rsidR="00D76E9D" w:rsidRPr="008B2872" w:rsidRDefault="00D76E9D" w:rsidP="0049324B">
            <w:pPr>
              <w:jc w:val="center"/>
              <w:rPr>
                <w:sz w:val="16"/>
                <w:szCs w:val="16"/>
              </w:rPr>
            </w:pPr>
          </w:p>
        </w:tc>
        <w:tc>
          <w:tcPr>
            <w:tcW w:w="690" w:type="dxa"/>
            <w:shd w:val="clear" w:color="auto" w:fill="FBD4B4" w:themeFill="accent6" w:themeFillTint="66"/>
          </w:tcPr>
          <w:p w14:paraId="3B2FF35B" w14:textId="77777777" w:rsidR="00D76E9D" w:rsidRPr="008B2872" w:rsidRDefault="00D76E9D" w:rsidP="0049324B">
            <w:pPr>
              <w:jc w:val="center"/>
              <w:rPr>
                <w:sz w:val="16"/>
                <w:szCs w:val="16"/>
              </w:rPr>
            </w:pPr>
          </w:p>
        </w:tc>
        <w:tc>
          <w:tcPr>
            <w:tcW w:w="540" w:type="dxa"/>
            <w:shd w:val="clear" w:color="auto" w:fill="FBD4B4" w:themeFill="accent6" w:themeFillTint="66"/>
          </w:tcPr>
          <w:p w14:paraId="3997AB9F" w14:textId="77777777" w:rsidR="00D76E9D" w:rsidRPr="008B2872" w:rsidRDefault="00D76E9D" w:rsidP="0049324B">
            <w:pPr>
              <w:jc w:val="center"/>
              <w:rPr>
                <w:sz w:val="16"/>
                <w:szCs w:val="16"/>
              </w:rPr>
            </w:pPr>
          </w:p>
        </w:tc>
        <w:tc>
          <w:tcPr>
            <w:tcW w:w="690" w:type="dxa"/>
          </w:tcPr>
          <w:p w14:paraId="0A9FCA22" w14:textId="77777777" w:rsidR="00D76E9D" w:rsidRPr="008B2872" w:rsidRDefault="00D76E9D" w:rsidP="0049324B">
            <w:pPr>
              <w:jc w:val="center"/>
              <w:rPr>
                <w:sz w:val="16"/>
                <w:szCs w:val="16"/>
              </w:rPr>
            </w:pPr>
          </w:p>
        </w:tc>
        <w:tc>
          <w:tcPr>
            <w:tcW w:w="534" w:type="dxa"/>
          </w:tcPr>
          <w:p w14:paraId="2F1A25E3" w14:textId="77777777" w:rsidR="00D76E9D" w:rsidRPr="008B2872" w:rsidRDefault="00D76E9D" w:rsidP="0049324B">
            <w:pPr>
              <w:jc w:val="center"/>
              <w:rPr>
                <w:sz w:val="16"/>
                <w:szCs w:val="16"/>
              </w:rPr>
            </w:pPr>
          </w:p>
        </w:tc>
        <w:tc>
          <w:tcPr>
            <w:tcW w:w="690" w:type="dxa"/>
          </w:tcPr>
          <w:p w14:paraId="192C3D66" w14:textId="77777777" w:rsidR="00D76E9D" w:rsidRPr="008B2872" w:rsidRDefault="00D76E9D" w:rsidP="0049324B">
            <w:pPr>
              <w:jc w:val="center"/>
              <w:rPr>
                <w:sz w:val="16"/>
                <w:szCs w:val="16"/>
              </w:rPr>
            </w:pPr>
          </w:p>
        </w:tc>
        <w:tc>
          <w:tcPr>
            <w:tcW w:w="516" w:type="dxa"/>
          </w:tcPr>
          <w:p w14:paraId="513C33EA" w14:textId="77777777" w:rsidR="00D76E9D" w:rsidRPr="008B2872" w:rsidRDefault="00D76E9D" w:rsidP="0049324B">
            <w:pPr>
              <w:jc w:val="center"/>
              <w:rPr>
                <w:sz w:val="16"/>
                <w:szCs w:val="16"/>
              </w:rPr>
            </w:pPr>
          </w:p>
        </w:tc>
        <w:tc>
          <w:tcPr>
            <w:tcW w:w="690" w:type="dxa"/>
          </w:tcPr>
          <w:p w14:paraId="0DA08B40" w14:textId="77777777" w:rsidR="00D76E9D" w:rsidRPr="008B2872" w:rsidRDefault="00D76E9D" w:rsidP="0049324B">
            <w:pPr>
              <w:jc w:val="center"/>
              <w:rPr>
                <w:sz w:val="16"/>
                <w:szCs w:val="16"/>
              </w:rPr>
            </w:pPr>
          </w:p>
        </w:tc>
        <w:tc>
          <w:tcPr>
            <w:tcW w:w="513" w:type="dxa"/>
          </w:tcPr>
          <w:p w14:paraId="630AD7A9" w14:textId="77777777" w:rsidR="00D76E9D" w:rsidRPr="008B2872" w:rsidRDefault="00D76E9D" w:rsidP="0049324B">
            <w:pPr>
              <w:jc w:val="center"/>
              <w:rPr>
                <w:sz w:val="16"/>
                <w:szCs w:val="16"/>
              </w:rPr>
            </w:pPr>
          </w:p>
        </w:tc>
        <w:tc>
          <w:tcPr>
            <w:tcW w:w="690" w:type="dxa"/>
          </w:tcPr>
          <w:p w14:paraId="32005E30" w14:textId="77777777" w:rsidR="00D76E9D" w:rsidRPr="008B2872" w:rsidRDefault="00D76E9D" w:rsidP="0049324B">
            <w:pPr>
              <w:jc w:val="center"/>
              <w:rPr>
                <w:sz w:val="16"/>
                <w:szCs w:val="16"/>
              </w:rPr>
            </w:pPr>
          </w:p>
        </w:tc>
      </w:tr>
      <w:tr w:rsidR="00D76E9D" w14:paraId="34346F03" w14:textId="77777777" w:rsidTr="00043FA1">
        <w:tc>
          <w:tcPr>
            <w:tcW w:w="1441" w:type="dxa"/>
            <w:vMerge/>
          </w:tcPr>
          <w:p w14:paraId="14BCC1F3" w14:textId="77777777" w:rsidR="00D76E9D" w:rsidRPr="008B2872" w:rsidRDefault="00D76E9D" w:rsidP="0049324B">
            <w:pPr>
              <w:jc w:val="center"/>
              <w:rPr>
                <w:sz w:val="16"/>
                <w:szCs w:val="16"/>
              </w:rPr>
            </w:pPr>
          </w:p>
        </w:tc>
        <w:tc>
          <w:tcPr>
            <w:tcW w:w="1367" w:type="dxa"/>
            <w:vMerge/>
          </w:tcPr>
          <w:p w14:paraId="2869502F" w14:textId="77777777" w:rsidR="00D76E9D" w:rsidRPr="008B2872" w:rsidRDefault="00D76E9D" w:rsidP="0049324B">
            <w:pPr>
              <w:jc w:val="center"/>
              <w:rPr>
                <w:sz w:val="16"/>
                <w:szCs w:val="16"/>
              </w:rPr>
            </w:pPr>
          </w:p>
        </w:tc>
        <w:tc>
          <w:tcPr>
            <w:tcW w:w="2414" w:type="dxa"/>
          </w:tcPr>
          <w:p w14:paraId="6B35EACC" w14:textId="6B39CA57" w:rsidR="00D76E9D" w:rsidRPr="008B2872" w:rsidRDefault="00D76E9D" w:rsidP="0049324B">
            <w:pPr>
              <w:jc w:val="center"/>
              <w:rPr>
                <w:sz w:val="16"/>
                <w:szCs w:val="16"/>
              </w:rPr>
            </w:pPr>
            <w:r>
              <w:rPr>
                <w:sz w:val="16"/>
                <w:szCs w:val="16"/>
              </w:rPr>
              <w:t xml:space="preserve">Development of Green Certification Program criteria </w:t>
            </w:r>
          </w:p>
        </w:tc>
        <w:tc>
          <w:tcPr>
            <w:tcW w:w="1309" w:type="dxa"/>
          </w:tcPr>
          <w:p w14:paraId="0E7D7824" w14:textId="7394687C" w:rsidR="00D76E9D" w:rsidRPr="008B2872" w:rsidRDefault="00AD7C51" w:rsidP="0049324B">
            <w:pPr>
              <w:jc w:val="center"/>
              <w:rPr>
                <w:sz w:val="16"/>
                <w:szCs w:val="16"/>
              </w:rPr>
            </w:pPr>
            <w:r>
              <w:rPr>
                <w:sz w:val="16"/>
                <w:szCs w:val="16"/>
              </w:rPr>
              <w:t>MNRET</w:t>
            </w:r>
          </w:p>
        </w:tc>
        <w:tc>
          <w:tcPr>
            <w:tcW w:w="610" w:type="dxa"/>
          </w:tcPr>
          <w:p w14:paraId="7E76C36F" w14:textId="77777777" w:rsidR="00D76E9D" w:rsidRPr="008B2872" w:rsidRDefault="00D76E9D" w:rsidP="0049324B">
            <w:pPr>
              <w:jc w:val="center"/>
              <w:rPr>
                <w:sz w:val="16"/>
                <w:szCs w:val="16"/>
              </w:rPr>
            </w:pPr>
          </w:p>
        </w:tc>
        <w:tc>
          <w:tcPr>
            <w:tcW w:w="645" w:type="dxa"/>
            <w:shd w:val="clear" w:color="auto" w:fill="FBD4B4" w:themeFill="accent6" w:themeFillTint="66"/>
          </w:tcPr>
          <w:p w14:paraId="2D3468AB" w14:textId="77777777" w:rsidR="00D76E9D" w:rsidRPr="008B2872" w:rsidRDefault="00D76E9D" w:rsidP="0049324B">
            <w:pPr>
              <w:jc w:val="center"/>
              <w:rPr>
                <w:sz w:val="16"/>
                <w:szCs w:val="16"/>
              </w:rPr>
            </w:pPr>
          </w:p>
        </w:tc>
        <w:tc>
          <w:tcPr>
            <w:tcW w:w="690" w:type="dxa"/>
            <w:shd w:val="clear" w:color="auto" w:fill="FBD4B4" w:themeFill="accent6" w:themeFillTint="66"/>
          </w:tcPr>
          <w:p w14:paraId="4EA03EF6" w14:textId="77777777" w:rsidR="00D76E9D" w:rsidRPr="008B2872" w:rsidRDefault="00D76E9D" w:rsidP="0049324B">
            <w:pPr>
              <w:jc w:val="center"/>
              <w:rPr>
                <w:sz w:val="16"/>
                <w:szCs w:val="16"/>
              </w:rPr>
            </w:pPr>
          </w:p>
        </w:tc>
        <w:tc>
          <w:tcPr>
            <w:tcW w:w="587" w:type="dxa"/>
          </w:tcPr>
          <w:p w14:paraId="749C5136" w14:textId="77777777" w:rsidR="00D76E9D" w:rsidRPr="008B2872" w:rsidRDefault="00D76E9D" w:rsidP="0049324B">
            <w:pPr>
              <w:jc w:val="center"/>
              <w:rPr>
                <w:sz w:val="16"/>
                <w:szCs w:val="16"/>
              </w:rPr>
            </w:pPr>
          </w:p>
        </w:tc>
        <w:tc>
          <w:tcPr>
            <w:tcW w:w="690" w:type="dxa"/>
          </w:tcPr>
          <w:p w14:paraId="2BE46966" w14:textId="77777777" w:rsidR="00D76E9D" w:rsidRPr="008B2872" w:rsidRDefault="00D76E9D" w:rsidP="0049324B">
            <w:pPr>
              <w:jc w:val="center"/>
              <w:rPr>
                <w:sz w:val="16"/>
                <w:szCs w:val="16"/>
              </w:rPr>
            </w:pPr>
          </w:p>
        </w:tc>
        <w:tc>
          <w:tcPr>
            <w:tcW w:w="540" w:type="dxa"/>
          </w:tcPr>
          <w:p w14:paraId="74AC2D5E" w14:textId="77777777" w:rsidR="00D76E9D" w:rsidRPr="008B2872" w:rsidRDefault="00D76E9D" w:rsidP="0049324B">
            <w:pPr>
              <w:jc w:val="center"/>
              <w:rPr>
                <w:sz w:val="16"/>
                <w:szCs w:val="16"/>
              </w:rPr>
            </w:pPr>
          </w:p>
        </w:tc>
        <w:tc>
          <w:tcPr>
            <w:tcW w:w="690" w:type="dxa"/>
          </w:tcPr>
          <w:p w14:paraId="0C555BA6" w14:textId="77777777" w:rsidR="00D76E9D" w:rsidRPr="008B2872" w:rsidRDefault="00D76E9D" w:rsidP="0049324B">
            <w:pPr>
              <w:jc w:val="center"/>
              <w:rPr>
                <w:sz w:val="16"/>
                <w:szCs w:val="16"/>
              </w:rPr>
            </w:pPr>
          </w:p>
        </w:tc>
        <w:tc>
          <w:tcPr>
            <w:tcW w:w="534" w:type="dxa"/>
          </w:tcPr>
          <w:p w14:paraId="41A9A361" w14:textId="77777777" w:rsidR="00D76E9D" w:rsidRPr="008B2872" w:rsidRDefault="00D76E9D" w:rsidP="0049324B">
            <w:pPr>
              <w:jc w:val="center"/>
              <w:rPr>
                <w:sz w:val="16"/>
                <w:szCs w:val="16"/>
              </w:rPr>
            </w:pPr>
          </w:p>
        </w:tc>
        <w:tc>
          <w:tcPr>
            <w:tcW w:w="690" w:type="dxa"/>
          </w:tcPr>
          <w:p w14:paraId="23EDA34C" w14:textId="77777777" w:rsidR="00D76E9D" w:rsidRPr="008B2872" w:rsidRDefault="00D76E9D" w:rsidP="0049324B">
            <w:pPr>
              <w:jc w:val="center"/>
              <w:rPr>
                <w:sz w:val="16"/>
                <w:szCs w:val="16"/>
              </w:rPr>
            </w:pPr>
          </w:p>
        </w:tc>
        <w:tc>
          <w:tcPr>
            <w:tcW w:w="516" w:type="dxa"/>
          </w:tcPr>
          <w:p w14:paraId="6E9E5307" w14:textId="77777777" w:rsidR="00D76E9D" w:rsidRPr="008B2872" w:rsidRDefault="00D76E9D" w:rsidP="0049324B">
            <w:pPr>
              <w:jc w:val="center"/>
              <w:rPr>
                <w:sz w:val="16"/>
                <w:szCs w:val="16"/>
              </w:rPr>
            </w:pPr>
          </w:p>
        </w:tc>
        <w:tc>
          <w:tcPr>
            <w:tcW w:w="690" w:type="dxa"/>
          </w:tcPr>
          <w:p w14:paraId="4AE42B21" w14:textId="77777777" w:rsidR="00D76E9D" w:rsidRPr="008B2872" w:rsidRDefault="00D76E9D" w:rsidP="0049324B">
            <w:pPr>
              <w:jc w:val="center"/>
              <w:rPr>
                <w:sz w:val="16"/>
                <w:szCs w:val="16"/>
              </w:rPr>
            </w:pPr>
          </w:p>
        </w:tc>
        <w:tc>
          <w:tcPr>
            <w:tcW w:w="513" w:type="dxa"/>
          </w:tcPr>
          <w:p w14:paraId="2E5766EF" w14:textId="77777777" w:rsidR="00D76E9D" w:rsidRPr="008B2872" w:rsidRDefault="00D76E9D" w:rsidP="0049324B">
            <w:pPr>
              <w:jc w:val="center"/>
              <w:rPr>
                <w:sz w:val="16"/>
                <w:szCs w:val="16"/>
              </w:rPr>
            </w:pPr>
          </w:p>
        </w:tc>
        <w:tc>
          <w:tcPr>
            <w:tcW w:w="690" w:type="dxa"/>
          </w:tcPr>
          <w:p w14:paraId="6A149F69" w14:textId="77777777" w:rsidR="00D76E9D" w:rsidRPr="008B2872" w:rsidRDefault="00D76E9D" w:rsidP="0049324B">
            <w:pPr>
              <w:jc w:val="center"/>
              <w:rPr>
                <w:sz w:val="16"/>
                <w:szCs w:val="16"/>
              </w:rPr>
            </w:pPr>
          </w:p>
        </w:tc>
      </w:tr>
      <w:tr w:rsidR="00D76E9D" w14:paraId="264832E3" w14:textId="77777777" w:rsidTr="00043FA1">
        <w:tc>
          <w:tcPr>
            <w:tcW w:w="1441" w:type="dxa"/>
            <w:vMerge/>
          </w:tcPr>
          <w:p w14:paraId="5A93A732" w14:textId="77777777" w:rsidR="00D76E9D" w:rsidRPr="008B2872" w:rsidRDefault="00D76E9D" w:rsidP="0049324B">
            <w:pPr>
              <w:jc w:val="center"/>
              <w:rPr>
                <w:sz w:val="16"/>
                <w:szCs w:val="16"/>
              </w:rPr>
            </w:pPr>
          </w:p>
        </w:tc>
        <w:tc>
          <w:tcPr>
            <w:tcW w:w="1367" w:type="dxa"/>
          </w:tcPr>
          <w:p w14:paraId="6D821296" w14:textId="24894421" w:rsidR="00D76E9D" w:rsidRPr="008B2872" w:rsidRDefault="00D76E9D" w:rsidP="0049324B">
            <w:pPr>
              <w:jc w:val="center"/>
              <w:rPr>
                <w:sz w:val="16"/>
                <w:szCs w:val="16"/>
              </w:rPr>
            </w:pPr>
            <w:r>
              <w:rPr>
                <w:sz w:val="16"/>
                <w:szCs w:val="16"/>
              </w:rPr>
              <w:t>Design of participatory land/seascape planning approach</w:t>
            </w:r>
          </w:p>
        </w:tc>
        <w:tc>
          <w:tcPr>
            <w:tcW w:w="2414" w:type="dxa"/>
          </w:tcPr>
          <w:p w14:paraId="320FF423" w14:textId="30BC81D7" w:rsidR="00D76E9D" w:rsidRPr="008B2872" w:rsidRDefault="00D76E9D" w:rsidP="0049324B">
            <w:pPr>
              <w:jc w:val="center"/>
              <w:rPr>
                <w:sz w:val="16"/>
                <w:szCs w:val="16"/>
              </w:rPr>
            </w:pPr>
            <w:r>
              <w:rPr>
                <w:sz w:val="16"/>
                <w:szCs w:val="16"/>
              </w:rPr>
              <w:t>Development of Guidelines, procedures and templates for elaboration of land/seascape plans as well as integration of biodiversity aspects into the five key NRM sectors (international consultant)</w:t>
            </w:r>
          </w:p>
        </w:tc>
        <w:tc>
          <w:tcPr>
            <w:tcW w:w="1309" w:type="dxa"/>
          </w:tcPr>
          <w:p w14:paraId="2915AF12" w14:textId="67B31868" w:rsidR="00D76E9D" w:rsidRPr="008B2872" w:rsidRDefault="00AD7C51" w:rsidP="003903A5">
            <w:pPr>
              <w:jc w:val="center"/>
              <w:rPr>
                <w:sz w:val="16"/>
                <w:szCs w:val="16"/>
              </w:rPr>
            </w:pPr>
            <w:r>
              <w:rPr>
                <w:sz w:val="16"/>
                <w:szCs w:val="16"/>
              </w:rPr>
              <w:t>MNRET</w:t>
            </w:r>
            <w:r w:rsidR="003903A5">
              <w:rPr>
                <w:sz w:val="16"/>
                <w:szCs w:val="16"/>
              </w:rPr>
              <w:t xml:space="preserve"> and JCB</w:t>
            </w:r>
          </w:p>
        </w:tc>
        <w:tc>
          <w:tcPr>
            <w:tcW w:w="610" w:type="dxa"/>
          </w:tcPr>
          <w:p w14:paraId="3FE9FC89" w14:textId="77777777" w:rsidR="00D76E9D" w:rsidRPr="008B2872" w:rsidRDefault="00D76E9D" w:rsidP="0049324B">
            <w:pPr>
              <w:jc w:val="center"/>
              <w:rPr>
                <w:sz w:val="16"/>
                <w:szCs w:val="16"/>
              </w:rPr>
            </w:pPr>
          </w:p>
        </w:tc>
        <w:tc>
          <w:tcPr>
            <w:tcW w:w="645" w:type="dxa"/>
            <w:shd w:val="clear" w:color="auto" w:fill="FBD4B4" w:themeFill="accent6" w:themeFillTint="66"/>
          </w:tcPr>
          <w:p w14:paraId="0E89FA0D" w14:textId="77777777" w:rsidR="00D76E9D" w:rsidRPr="008B2872" w:rsidRDefault="00D76E9D" w:rsidP="0049324B">
            <w:pPr>
              <w:jc w:val="center"/>
              <w:rPr>
                <w:sz w:val="16"/>
                <w:szCs w:val="16"/>
              </w:rPr>
            </w:pPr>
          </w:p>
        </w:tc>
        <w:tc>
          <w:tcPr>
            <w:tcW w:w="690" w:type="dxa"/>
            <w:shd w:val="clear" w:color="auto" w:fill="FBD4B4" w:themeFill="accent6" w:themeFillTint="66"/>
          </w:tcPr>
          <w:p w14:paraId="5E4A75E0" w14:textId="77777777" w:rsidR="00D76E9D" w:rsidRPr="008B2872" w:rsidRDefault="00D76E9D" w:rsidP="0049324B">
            <w:pPr>
              <w:jc w:val="center"/>
              <w:rPr>
                <w:sz w:val="16"/>
                <w:szCs w:val="16"/>
              </w:rPr>
            </w:pPr>
          </w:p>
        </w:tc>
        <w:tc>
          <w:tcPr>
            <w:tcW w:w="587" w:type="dxa"/>
            <w:shd w:val="clear" w:color="auto" w:fill="FBD4B4" w:themeFill="accent6" w:themeFillTint="66"/>
          </w:tcPr>
          <w:p w14:paraId="6998F235" w14:textId="77777777" w:rsidR="00D76E9D" w:rsidRPr="008B2872" w:rsidRDefault="00D76E9D" w:rsidP="0049324B">
            <w:pPr>
              <w:jc w:val="center"/>
              <w:rPr>
                <w:sz w:val="16"/>
                <w:szCs w:val="16"/>
              </w:rPr>
            </w:pPr>
          </w:p>
        </w:tc>
        <w:tc>
          <w:tcPr>
            <w:tcW w:w="690" w:type="dxa"/>
            <w:shd w:val="clear" w:color="auto" w:fill="FBD4B4" w:themeFill="accent6" w:themeFillTint="66"/>
          </w:tcPr>
          <w:p w14:paraId="2B90C14F" w14:textId="77777777" w:rsidR="00D76E9D" w:rsidRPr="008B2872" w:rsidRDefault="00D76E9D" w:rsidP="0049324B">
            <w:pPr>
              <w:jc w:val="center"/>
              <w:rPr>
                <w:sz w:val="16"/>
                <w:szCs w:val="16"/>
              </w:rPr>
            </w:pPr>
          </w:p>
        </w:tc>
        <w:tc>
          <w:tcPr>
            <w:tcW w:w="540" w:type="dxa"/>
            <w:shd w:val="clear" w:color="auto" w:fill="FBD4B4" w:themeFill="accent6" w:themeFillTint="66"/>
          </w:tcPr>
          <w:p w14:paraId="6B54B64F" w14:textId="77777777" w:rsidR="00D76E9D" w:rsidRPr="008B2872" w:rsidRDefault="00D76E9D" w:rsidP="0049324B">
            <w:pPr>
              <w:jc w:val="center"/>
              <w:rPr>
                <w:sz w:val="16"/>
                <w:szCs w:val="16"/>
              </w:rPr>
            </w:pPr>
          </w:p>
        </w:tc>
        <w:tc>
          <w:tcPr>
            <w:tcW w:w="690" w:type="dxa"/>
            <w:shd w:val="clear" w:color="auto" w:fill="FBD4B4" w:themeFill="accent6" w:themeFillTint="66"/>
          </w:tcPr>
          <w:p w14:paraId="2BE2E0E6" w14:textId="77777777" w:rsidR="00D76E9D" w:rsidRPr="008B2872" w:rsidRDefault="00D76E9D" w:rsidP="0049324B">
            <w:pPr>
              <w:jc w:val="center"/>
              <w:rPr>
                <w:sz w:val="16"/>
                <w:szCs w:val="16"/>
              </w:rPr>
            </w:pPr>
          </w:p>
        </w:tc>
        <w:tc>
          <w:tcPr>
            <w:tcW w:w="534" w:type="dxa"/>
          </w:tcPr>
          <w:p w14:paraId="39DA961F" w14:textId="77777777" w:rsidR="00D76E9D" w:rsidRPr="008B2872" w:rsidRDefault="00D76E9D" w:rsidP="0049324B">
            <w:pPr>
              <w:jc w:val="center"/>
              <w:rPr>
                <w:sz w:val="16"/>
                <w:szCs w:val="16"/>
              </w:rPr>
            </w:pPr>
          </w:p>
        </w:tc>
        <w:tc>
          <w:tcPr>
            <w:tcW w:w="690" w:type="dxa"/>
          </w:tcPr>
          <w:p w14:paraId="11BDF071" w14:textId="77777777" w:rsidR="00D76E9D" w:rsidRPr="008B2872" w:rsidRDefault="00D76E9D" w:rsidP="0049324B">
            <w:pPr>
              <w:jc w:val="center"/>
              <w:rPr>
                <w:sz w:val="16"/>
                <w:szCs w:val="16"/>
              </w:rPr>
            </w:pPr>
          </w:p>
        </w:tc>
        <w:tc>
          <w:tcPr>
            <w:tcW w:w="516" w:type="dxa"/>
          </w:tcPr>
          <w:p w14:paraId="3EBDD5F9" w14:textId="77777777" w:rsidR="00D76E9D" w:rsidRPr="008B2872" w:rsidRDefault="00D76E9D" w:rsidP="0049324B">
            <w:pPr>
              <w:jc w:val="center"/>
              <w:rPr>
                <w:sz w:val="16"/>
                <w:szCs w:val="16"/>
              </w:rPr>
            </w:pPr>
          </w:p>
        </w:tc>
        <w:tc>
          <w:tcPr>
            <w:tcW w:w="690" w:type="dxa"/>
          </w:tcPr>
          <w:p w14:paraId="13C690C5" w14:textId="77777777" w:rsidR="00D76E9D" w:rsidRPr="008B2872" w:rsidRDefault="00D76E9D" w:rsidP="0049324B">
            <w:pPr>
              <w:jc w:val="center"/>
              <w:rPr>
                <w:sz w:val="16"/>
                <w:szCs w:val="16"/>
              </w:rPr>
            </w:pPr>
          </w:p>
        </w:tc>
        <w:tc>
          <w:tcPr>
            <w:tcW w:w="513" w:type="dxa"/>
          </w:tcPr>
          <w:p w14:paraId="43AC8AD7" w14:textId="77777777" w:rsidR="00D76E9D" w:rsidRPr="008B2872" w:rsidRDefault="00D76E9D" w:rsidP="0049324B">
            <w:pPr>
              <w:jc w:val="center"/>
              <w:rPr>
                <w:sz w:val="16"/>
                <w:szCs w:val="16"/>
              </w:rPr>
            </w:pPr>
          </w:p>
        </w:tc>
        <w:tc>
          <w:tcPr>
            <w:tcW w:w="690" w:type="dxa"/>
          </w:tcPr>
          <w:p w14:paraId="4D573990" w14:textId="77777777" w:rsidR="00D76E9D" w:rsidRPr="008B2872" w:rsidRDefault="00D76E9D" w:rsidP="0049324B">
            <w:pPr>
              <w:jc w:val="center"/>
              <w:rPr>
                <w:sz w:val="16"/>
                <w:szCs w:val="16"/>
              </w:rPr>
            </w:pPr>
          </w:p>
        </w:tc>
      </w:tr>
      <w:tr w:rsidR="00D76E9D" w14:paraId="45B76E1D" w14:textId="77777777" w:rsidTr="00043FA1">
        <w:tc>
          <w:tcPr>
            <w:tcW w:w="1441" w:type="dxa"/>
            <w:vMerge/>
          </w:tcPr>
          <w:p w14:paraId="3AD505AF" w14:textId="77777777" w:rsidR="00D76E9D" w:rsidRPr="008B2872" w:rsidRDefault="00D76E9D" w:rsidP="0049324B">
            <w:pPr>
              <w:jc w:val="center"/>
              <w:rPr>
                <w:sz w:val="16"/>
                <w:szCs w:val="16"/>
              </w:rPr>
            </w:pPr>
          </w:p>
        </w:tc>
        <w:tc>
          <w:tcPr>
            <w:tcW w:w="1367" w:type="dxa"/>
            <w:vMerge w:val="restart"/>
          </w:tcPr>
          <w:p w14:paraId="1947CE89" w14:textId="57C7DD6F" w:rsidR="00D76E9D" w:rsidRPr="008B2872" w:rsidRDefault="00D76E9D" w:rsidP="0049324B">
            <w:pPr>
              <w:jc w:val="center"/>
              <w:rPr>
                <w:sz w:val="16"/>
                <w:szCs w:val="16"/>
              </w:rPr>
            </w:pPr>
            <w:r>
              <w:rPr>
                <w:sz w:val="16"/>
                <w:szCs w:val="16"/>
              </w:rPr>
              <w:t>Identification of baseline information needs, criteria and methods for data collection for preparing land/seascape plans</w:t>
            </w:r>
          </w:p>
        </w:tc>
        <w:tc>
          <w:tcPr>
            <w:tcW w:w="2414" w:type="dxa"/>
          </w:tcPr>
          <w:p w14:paraId="72CB2DF1" w14:textId="3132BA59" w:rsidR="00D76E9D" w:rsidRPr="008B2872" w:rsidRDefault="00D76E9D" w:rsidP="0049324B">
            <w:pPr>
              <w:jc w:val="center"/>
              <w:rPr>
                <w:sz w:val="16"/>
                <w:szCs w:val="16"/>
              </w:rPr>
            </w:pPr>
            <w:r>
              <w:rPr>
                <w:sz w:val="16"/>
                <w:szCs w:val="16"/>
              </w:rPr>
              <w:t>Develop protocols to improve PALARIS database based on land/seascape planning needs</w:t>
            </w:r>
          </w:p>
        </w:tc>
        <w:tc>
          <w:tcPr>
            <w:tcW w:w="1309" w:type="dxa"/>
          </w:tcPr>
          <w:p w14:paraId="77AE5E06" w14:textId="3EAF1EF6" w:rsidR="00D76E9D" w:rsidRPr="008B2872" w:rsidRDefault="003903A5" w:rsidP="003903A5">
            <w:pPr>
              <w:jc w:val="center"/>
              <w:rPr>
                <w:sz w:val="16"/>
                <w:szCs w:val="16"/>
              </w:rPr>
            </w:pPr>
            <w:r>
              <w:rPr>
                <w:sz w:val="16"/>
                <w:szCs w:val="16"/>
              </w:rPr>
              <w:t>PALARIS and MNRET</w:t>
            </w:r>
          </w:p>
        </w:tc>
        <w:tc>
          <w:tcPr>
            <w:tcW w:w="610" w:type="dxa"/>
          </w:tcPr>
          <w:p w14:paraId="775A0689" w14:textId="77777777" w:rsidR="00D76E9D" w:rsidRPr="008B2872" w:rsidRDefault="00D76E9D" w:rsidP="0049324B">
            <w:pPr>
              <w:jc w:val="center"/>
              <w:rPr>
                <w:sz w:val="16"/>
                <w:szCs w:val="16"/>
              </w:rPr>
            </w:pPr>
          </w:p>
        </w:tc>
        <w:tc>
          <w:tcPr>
            <w:tcW w:w="645" w:type="dxa"/>
          </w:tcPr>
          <w:p w14:paraId="53B9A76F" w14:textId="77777777" w:rsidR="00D76E9D" w:rsidRPr="008B2872" w:rsidRDefault="00D76E9D" w:rsidP="0049324B">
            <w:pPr>
              <w:jc w:val="center"/>
              <w:rPr>
                <w:sz w:val="16"/>
                <w:szCs w:val="16"/>
              </w:rPr>
            </w:pPr>
          </w:p>
        </w:tc>
        <w:tc>
          <w:tcPr>
            <w:tcW w:w="690" w:type="dxa"/>
          </w:tcPr>
          <w:p w14:paraId="14593C4C" w14:textId="77777777" w:rsidR="00D76E9D" w:rsidRPr="008B2872" w:rsidRDefault="00D76E9D" w:rsidP="0049324B">
            <w:pPr>
              <w:jc w:val="center"/>
              <w:rPr>
                <w:sz w:val="16"/>
                <w:szCs w:val="16"/>
              </w:rPr>
            </w:pPr>
          </w:p>
        </w:tc>
        <w:tc>
          <w:tcPr>
            <w:tcW w:w="587" w:type="dxa"/>
            <w:shd w:val="clear" w:color="auto" w:fill="FBD4B4" w:themeFill="accent6" w:themeFillTint="66"/>
          </w:tcPr>
          <w:p w14:paraId="3E6AE376" w14:textId="77777777" w:rsidR="00D76E9D" w:rsidRPr="008B2872" w:rsidRDefault="00D76E9D" w:rsidP="0049324B">
            <w:pPr>
              <w:jc w:val="center"/>
              <w:rPr>
                <w:sz w:val="16"/>
                <w:szCs w:val="16"/>
              </w:rPr>
            </w:pPr>
          </w:p>
        </w:tc>
        <w:tc>
          <w:tcPr>
            <w:tcW w:w="690" w:type="dxa"/>
            <w:shd w:val="clear" w:color="auto" w:fill="FBD4B4" w:themeFill="accent6" w:themeFillTint="66"/>
          </w:tcPr>
          <w:p w14:paraId="25A4F405" w14:textId="77777777" w:rsidR="00D76E9D" w:rsidRPr="008B2872" w:rsidRDefault="00D76E9D" w:rsidP="0049324B">
            <w:pPr>
              <w:jc w:val="center"/>
              <w:rPr>
                <w:sz w:val="16"/>
                <w:szCs w:val="16"/>
              </w:rPr>
            </w:pPr>
          </w:p>
        </w:tc>
        <w:tc>
          <w:tcPr>
            <w:tcW w:w="540" w:type="dxa"/>
          </w:tcPr>
          <w:p w14:paraId="4432289A" w14:textId="77777777" w:rsidR="00D76E9D" w:rsidRPr="008B2872" w:rsidRDefault="00D76E9D" w:rsidP="0049324B">
            <w:pPr>
              <w:jc w:val="center"/>
              <w:rPr>
                <w:sz w:val="16"/>
                <w:szCs w:val="16"/>
              </w:rPr>
            </w:pPr>
          </w:p>
        </w:tc>
        <w:tc>
          <w:tcPr>
            <w:tcW w:w="690" w:type="dxa"/>
          </w:tcPr>
          <w:p w14:paraId="534C6C0B" w14:textId="77777777" w:rsidR="00D76E9D" w:rsidRPr="008B2872" w:rsidRDefault="00D76E9D" w:rsidP="0049324B">
            <w:pPr>
              <w:jc w:val="center"/>
              <w:rPr>
                <w:sz w:val="16"/>
                <w:szCs w:val="16"/>
              </w:rPr>
            </w:pPr>
          </w:p>
        </w:tc>
        <w:tc>
          <w:tcPr>
            <w:tcW w:w="534" w:type="dxa"/>
          </w:tcPr>
          <w:p w14:paraId="35D9C281" w14:textId="77777777" w:rsidR="00D76E9D" w:rsidRPr="008B2872" w:rsidRDefault="00D76E9D" w:rsidP="0049324B">
            <w:pPr>
              <w:jc w:val="center"/>
              <w:rPr>
                <w:sz w:val="16"/>
                <w:szCs w:val="16"/>
              </w:rPr>
            </w:pPr>
          </w:p>
        </w:tc>
        <w:tc>
          <w:tcPr>
            <w:tcW w:w="690" w:type="dxa"/>
          </w:tcPr>
          <w:p w14:paraId="7E07A6E7" w14:textId="77777777" w:rsidR="00D76E9D" w:rsidRPr="008B2872" w:rsidRDefault="00D76E9D" w:rsidP="0049324B">
            <w:pPr>
              <w:jc w:val="center"/>
              <w:rPr>
                <w:sz w:val="16"/>
                <w:szCs w:val="16"/>
              </w:rPr>
            </w:pPr>
          </w:p>
        </w:tc>
        <w:tc>
          <w:tcPr>
            <w:tcW w:w="516" w:type="dxa"/>
          </w:tcPr>
          <w:p w14:paraId="069AD62C" w14:textId="77777777" w:rsidR="00D76E9D" w:rsidRPr="008B2872" w:rsidRDefault="00D76E9D" w:rsidP="0049324B">
            <w:pPr>
              <w:jc w:val="center"/>
              <w:rPr>
                <w:sz w:val="16"/>
                <w:szCs w:val="16"/>
              </w:rPr>
            </w:pPr>
          </w:p>
        </w:tc>
        <w:tc>
          <w:tcPr>
            <w:tcW w:w="690" w:type="dxa"/>
          </w:tcPr>
          <w:p w14:paraId="7D16F8F9" w14:textId="77777777" w:rsidR="00D76E9D" w:rsidRPr="008B2872" w:rsidRDefault="00D76E9D" w:rsidP="0049324B">
            <w:pPr>
              <w:jc w:val="center"/>
              <w:rPr>
                <w:sz w:val="16"/>
                <w:szCs w:val="16"/>
              </w:rPr>
            </w:pPr>
          </w:p>
        </w:tc>
        <w:tc>
          <w:tcPr>
            <w:tcW w:w="513" w:type="dxa"/>
          </w:tcPr>
          <w:p w14:paraId="755A61FD" w14:textId="77777777" w:rsidR="00D76E9D" w:rsidRPr="008B2872" w:rsidRDefault="00D76E9D" w:rsidP="0049324B">
            <w:pPr>
              <w:jc w:val="center"/>
              <w:rPr>
                <w:sz w:val="16"/>
                <w:szCs w:val="16"/>
              </w:rPr>
            </w:pPr>
          </w:p>
        </w:tc>
        <w:tc>
          <w:tcPr>
            <w:tcW w:w="690" w:type="dxa"/>
          </w:tcPr>
          <w:p w14:paraId="276E18BA" w14:textId="77777777" w:rsidR="00D76E9D" w:rsidRPr="008B2872" w:rsidRDefault="00D76E9D" w:rsidP="0049324B">
            <w:pPr>
              <w:jc w:val="center"/>
              <w:rPr>
                <w:sz w:val="16"/>
                <w:szCs w:val="16"/>
              </w:rPr>
            </w:pPr>
          </w:p>
        </w:tc>
      </w:tr>
      <w:tr w:rsidR="00D76E9D" w14:paraId="09784DB1" w14:textId="77777777" w:rsidTr="00043FA1">
        <w:tc>
          <w:tcPr>
            <w:tcW w:w="1441" w:type="dxa"/>
            <w:vMerge/>
          </w:tcPr>
          <w:p w14:paraId="29082082" w14:textId="77777777" w:rsidR="00D76E9D" w:rsidRPr="008B2872" w:rsidRDefault="00D76E9D" w:rsidP="0049324B">
            <w:pPr>
              <w:jc w:val="center"/>
              <w:rPr>
                <w:sz w:val="16"/>
                <w:szCs w:val="16"/>
              </w:rPr>
            </w:pPr>
          </w:p>
        </w:tc>
        <w:tc>
          <w:tcPr>
            <w:tcW w:w="1367" w:type="dxa"/>
            <w:vMerge/>
          </w:tcPr>
          <w:p w14:paraId="37D3EA20" w14:textId="77777777" w:rsidR="00D76E9D" w:rsidRPr="008B2872" w:rsidRDefault="00D76E9D" w:rsidP="0049324B">
            <w:pPr>
              <w:jc w:val="center"/>
              <w:rPr>
                <w:sz w:val="16"/>
                <w:szCs w:val="16"/>
              </w:rPr>
            </w:pPr>
          </w:p>
        </w:tc>
        <w:tc>
          <w:tcPr>
            <w:tcW w:w="2414" w:type="dxa"/>
          </w:tcPr>
          <w:p w14:paraId="57C9B1BA" w14:textId="7CAAD2E3" w:rsidR="00D76E9D" w:rsidRPr="008B2872" w:rsidRDefault="00D76E9D" w:rsidP="0049324B">
            <w:pPr>
              <w:jc w:val="center"/>
              <w:rPr>
                <w:sz w:val="16"/>
                <w:szCs w:val="16"/>
              </w:rPr>
            </w:pPr>
            <w:r>
              <w:rPr>
                <w:sz w:val="16"/>
                <w:szCs w:val="16"/>
              </w:rPr>
              <w:t xml:space="preserve">Develop GIS-based monitoring protocols that fits into PALARIS database </w:t>
            </w:r>
          </w:p>
        </w:tc>
        <w:tc>
          <w:tcPr>
            <w:tcW w:w="1309" w:type="dxa"/>
          </w:tcPr>
          <w:p w14:paraId="6FB4202F" w14:textId="78DC6C66" w:rsidR="00D76E9D" w:rsidRPr="008B2872" w:rsidRDefault="00AD7C51" w:rsidP="003903A5">
            <w:pPr>
              <w:jc w:val="center"/>
              <w:rPr>
                <w:sz w:val="16"/>
                <w:szCs w:val="16"/>
              </w:rPr>
            </w:pPr>
            <w:r>
              <w:rPr>
                <w:sz w:val="16"/>
                <w:szCs w:val="16"/>
              </w:rPr>
              <w:t>PALARIS</w:t>
            </w:r>
            <w:r w:rsidR="003903A5">
              <w:rPr>
                <w:sz w:val="16"/>
                <w:szCs w:val="16"/>
              </w:rPr>
              <w:t xml:space="preserve"> </w:t>
            </w:r>
          </w:p>
        </w:tc>
        <w:tc>
          <w:tcPr>
            <w:tcW w:w="610" w:type="dxa"/>
          </w:tcPr>
          <w:p w14:paraId="6C438F53" w14:textId="77777777" w:rsidR="00D76E9D" w:rsidRPr="008B2872" w:rsidRDefault="00D76E9D" w:rsidP="0049324B">
            <w:pPr>
              <w:jc w:val="center"/>
              <w:rPr>
                <w:sz w:val="16"/>
                <w:szCs w:val="16"/>
              </w:rPr>
            </w:pPr>
          </w:p>
        </w:tc>
        <w:tc>
          <w:tcPr>
            <w:tcW w:w="645" w:type="dxa"/>
          </w:tcPr>
          <w:p w14:paraId="76DE64DA" w14:textId="77777777" w:rsidR="00D76E9D" w:rsidRPr="008B2872" w:rsidRDefault="00D76E9D" w:rsidP="0049324B">
            <w:pPr>
              <w:jc w:val="center"/>
              <w:rPr>
                <w:sz w:val="16"/>
                <w:szCs w:val="16"/>
              </w:rPr>
            </w:pPr>
          </w:p>
        </w:tc>
        <w:tc>
          <w:tcPr>
            <w:tcW w:w="690" w:type="dxa"/>
          </w:tcPr>
          <w:p w14:paraId="4CCFE938" w14:textId="77777777" w:rsidR="00D76E9D" w:rsidRPr="008B2872" w:rsidRDefault="00D76E9D" w:rsidP="0049324B">
            <w:pPr>
              <w:jc w:val="center"/>
              <w:rPr>
                <w:sz w:val="16"/>
                <w:szCs w:val="16"/>
              </w:rPr>
            </w:pPr>
          </w:p>
        </w:tc>
        <w:tc>
          <w:tcPr>
            <w:tcW w:w="587" w:type="dxa"/>
          </w:tcPr>
          <w:p w14:paraId="5F32E415" w14:textId="77777777" w:rsidR="00D76E9D" w:rsidRPr="008B2872" w:rsidRDefault="00D76E9D" w:rsidP="0049324B">
            <w:pPr>
              <w:jc w:val="center"/>
              <w:rPr>
                <w:sz w:val="16"/>
                <w:szCs w:val="16"/>
              </w:rPr>
            </w:pPr>
          </w:p>
        </w:tc>
        <w:tc>
          <w:tcPr>
            <w:tcW w:w="690" w:type="dxa"/>
          </w:tcPr>
          <w:p w14:paraId="3E64D232" w14:textId="77777777" w:rsidR="00D76E9D" w:rsidRPr="008B2872" w:rsidRDefault="00D76E9D" w:rsidP="0049324B">
            <w:pPr>
              <w:jc w:val="center"/>
              <w:rPr>
                <w:sz w:val="16"/>
                <w:szCs w:val="16"/>
              </w:rPr>
            </w:pPr>
          </w:p>
        </w:tc>
        <w:tc>
          <w:tcPr>
            <w:tcW w:w="540" w:type="dxa"/>
            <w:shd w:val="clear" w:color="auto" w:fill="FBD4B4" w:themeFill="accent6" w:themeFillTint="66"/>
          </w:tcPr>
          <w:p w14:paraId="3CE09677" w14:textId="77777777" w:rsidR="00D76E9D" w:rsidRPr="008B2872" w:rsidRDefault="00D76E9D" w:rsidP="0049324B">
            <w:pPr>
              <w:jc w:val="center"/>
              <w:rPr>
                <w:sz w:val="16"/>
                <w:szCs w:val="16"/>
              </w:rPr>
            </w:pPr>
          </w:p>
        </w:tc>
        <w:tc>
          <w:tcPr>
            <w:tcW w:w="690" w:type="dxa"/>
            <w:shd w:val="clear" w:color="auto" w:fill="FBD4B4" w:themeFill="accent6" w:themeFillTint="66"/>
          </w:tcPr>
          <w:p w14:paraId="0EF925F4" w14:textId="77777777" w:rsidR="00D76E9D" w:rsidRPr="008B2872" w:rsidRDefault="00D76E9D" w:rsidP="0049324B">
            <w:pPr>
              <w:jc w:val="center"/>
              <w:rPr>
                <w:sz w:val="16"/>
                <w:szCs w:val="16"/>
              </w:rPr>
            </w:pPr>
          </w:p>
        </w:tc>
        <w:tc>
          <w:tcPr>
            <w:tcW w:w="534" w:type="dxa"/>
          </w:tcPr>
          <w:p w14:paraId="0731C980" w14:textId="77777777" w:rsidR="00D76E9D" w:rsidRPr="008B2872" w:rsidRDefault="00D76E9D" w:rsidP="0049324B">
            <w:pPr>
              <w:jc w:val="center"/>
              <w:rPr>
                <w:sz w:val="16"/>
                <w:szCs w:val="16"/>
              </w:rPr>
            </w:pPr>
          </w:p>
        </w:tc>
        <w:tc>
          <w:tcPr>
            <w:tcW w:w="690" w:type="dxa"/>
          </w:tcPr>
          <w:p w14:paraId="1C0BEE65" w14:textId="77777777" w:rsidR="00D76E9D" w:rsidRPr="008B2872" w:rsidRDefault="00D76E9D" w:rsidP="0049324B">
            <w:pPr>
              <w:jc w:val="center"/>
              <w:rPr>
                <w:sz w:val="16"/>
                <w:szCs w:val="16"/>
              </w:rPr>
            </w:pPr>
          </w:p>
        </w:tc>
        <w:tc>
          <w:tcPr>
            <w:tcW w:w="516" w:type="dxa"/>
          </w:tcPr>
          <w:p w14:paraId="10C569B1" w14:textId="77777777" w:rsidR="00D76E9D" w:rsidRPr="008B2872" w:rsidRDefault="00D76E9D" w:rsidP="0049324B">
            <w:pPr>
              <w:jc w:val="center"/>
              <w:rPr>
                <w:sz w:val="16"/>
                <w:szCs w:val="16"/>
              </w:rPr>
            </w:pPr>
          </w:p>
        </w:tc>
        <w:tc>
          <w:tcPr>
            <w:tcW w:w="690" w:type="dxa"/>
          </w:tcPr>
          <w:p w14:paraId="00746C58" w14:textId="77777777" w:rsidR="00D76E9D" w:rsidRPr="008B2872" w:rsidRDefault="00D76E9D" w:rsidP="0049324B">
            <w:pPr>
              <w:jc w:val="center"/>
              <w:rPr>
                <w:sz w:val="16"/>
                <w:szCs w:val="16"/>
              </w:rPr>
            </w:pPr>
          </w:p>
        </w:tc>
        <w:tc>
          <w:tcPr>
            <w:tcW w:w="513" w:type="dxa"/>
          </w:tcPr>
          <w:p w14:paraId="0D6D128F" w14:textId="77777777" w:rsidR="00D76E9D" w:rsidRPr="008B2872" w:rsidRDefault="00D76E9D" w:rsidP="0049324B">
            <w:pPr>
              <w:jc w:val="center"/>
              <w:rPr>
                <w:sz w:val="16"/>
                <w:szCs w:val="16"/>
              </w:rPr>
            </w:pPr>
          </w:p>
        </w:tc>
        <w:tc>
          <w:tcPr>
            <w:tcW w:w="690" w:type="dxa"/>
          </w:tcPr>
          <w:p w14:paraId="2C6DC055" w14:textId="77777777" w:rsidR="00D76E9D" w:rsidRPr="008B2872" w:rsidRDefault="00D76E9D" w:rsidP="0049324B">
            <w:pPr>
              <w:jc w:val="center"/>
              <w:rPr>
                <w:sz w:val="16"/>
                <w:szCs w:val="16"/>
              </w:rPr>
            </w:pPr>
          </w:p>
        </w:tc>
      </w:tr>
      <w:tr w:rsidR="00D76E9D" w14:paraId="2D3D0785" w14:textId="77777777" w:rsidTr="00043FA1">
        <w:tc>
          <w:tcPr>
            <w:tcW w:w="1441" w:type="dxa"/>
            <w:vMerge/>
          </w:tcPr>
          <w:p w14:paraId="2C07DF58" w14:textId="77777777" w:rsidR="00D76E9D" w:rsidRPr="008B2872" w:rsidRDefault="00D76E9D" w:rsidP="0049324B">
            <w:pPr>
              <w:jc w:val="center"/>
              <w:rPr>
                <w:sz w:val="16"/>
                <w:szCs w:val="16"/>
              </w:rPr>
            </w:pPr>
          </w:p>
        </w:tc>
        <w:tc>
          <w:tcPr>
            <w:tcW w:w="1367" w:type="dxa"/>
            <w:vMerge/>
          </w:tcPr>
          <w:p w14:paraId="45100DB5" w14:textId="77777777" w:rsidR="00D76E9D" w:rsidRPr="008B2872" w:rsidRDefault="00D76E9D" w:rsidP="0049324B">
            <w:pPr>
              <w:jc w:val="center"/>
              <w:rPr>
                <w:sz w:val="16"/>
                <w:szCs w:val="16"/>
              </w:rPr>
            </w:pPr>
          </w:p>
        </w:tc>
        <w:tc>
          <w:tcPr>
            <w:tcW w:w="2414" w:type="dxa"/>
          </w:tcPr>
          <w:p w14:paraId="13EAB152" w14:textId="1FC53331" w:rsidR="00C36F18" w:rsidRPr="008B2872" w:rsidRDefault="00D76E9D" w:rsidP="00C36F18">
            <w:pPr>
              <w:jc w:val="center"/>
              <w:rPr>
                <w:sz w:val="16"/>
                <w:szCs w:val="16"/>
              </w:rPr>
            </w:pPr>
            <w:r>
              <w:rPr>
                <w:sz w:val="16"/>
                <w:szCs w:val="16"/>
              </w:rPr>
              <w:t>Implement capacity building program to broaden number of GIS users in public administrations</w:t>
            </w:r>
          </w:p>
        </w:tc>
        <w:tc>
          <w:tcPr>
            <w:tcW w:w="1309" w:type="dxa"/>
          </w:tcPr>
          <w:p w14:paraId="2DA16517" w14:textId="48B4E43D" w:rsidR="00D76E9D" w:rsidRPr="008B2872" w:rsidRDefault="00AD7C51" w:rsidP="0049324B">
            <w:pPr>
              <w:jc w:val="center"/>
              <w:rPr>
                <w:sz w:val="16"/>
                <w:szCs w:val="16"/>
              </w:rPr>
            </w:pPr>
            <w:r>
              <w:rPr>
                <w:sz w:val="16"/>
                <w:szCs w:val="16"/>
              </w:rPr>
              <w:t>PALARIS</w:t>
            </w:r>
          </w:p>
        </w:tc>
        <w:tc>
          <w:tcPr>
            <w:tcW w:w="610" w:type="dxa"/>
          </w:tcPr>
          <w:p w14:paraId="23AFF614" w14:textId="77777777" w:rsidR="00D76E9D" w:rsidRPr="008B2872" w:rsidRDefault="00D76E9D" w:rsidP="0049324B">
            <w:pPr>
              <w:jc w:val="center"/>
              <w:rPr>
                <w:sz w:val="16"/>
                <w:szCs w:val="16"/>
              </w:rPr>
            </w:pPr>
          </w:p>
        </w:tc>
        <w:tc>
          <w:tcPr>
            <w:tcW w:w="645" w:type="dxa"/>
          </w:tcPr>
          <w:p w14:paraId="30802520" w14:textId="77777777" w:rsidR="00D76E9D" w:rsidRPr="008B2872" w:rsidRDefault="00D76E9D" w:rsidP="0049324B">
            <w:pPr>
              <w:jc w:val="center"/>
              <w:rPr>
                <w:sz w:val="16"/>
                <w:szCs w:val="16"/>
              </w:rPr>
            </w:pPr>
          </w:p>
        </w:tc>
        <w:tc>
          <w:tcPr>
            <w:tcW w:w="690" w:type="dxa"/>
          </w:tcPr>
          <w:p w14:paraId="3F1CF785" w14:textId="77777777" w:rsidR="00D76E9D" w:rsidRPr="008B2872" w:rsidRDefault="00D76E9D" w:rsidP="0049324B">
            <w:pPr>
              <w:jc w:val="center"/>
              <w:rPr>
                <w:sz w:val="16"/>
                <w:szCs w:val="16"/>
              </w:rPr>
            </w:pPr>
          </w:p>
        </w:tc>
        <w:tc>
          <w:tcPr>
            <w:tcW w:w="587" w:type="dxa"/>
          </w:tcPr>
          <w:p w14:paraId="55507A50" w14:textId="77777777" w:rsidR="00D76E9D" w:rsidRPr="008B2872" w:rsidRDefault="00D76E9D" w:rsidP="0049324B">
            <w:pPr>
              <w:jc w:val="center"/>
              <w:rPr>
                <w:sz w:val="16"/>
                <w:szCs w:val="16"/>
              </w:rPr>
            </w:pPr>
          </w:p>
        </w:tc>
        <w:tc>
          <w:tcPr>
            <w:tcW w:w="690" w:type="dxa"/>
          </w:tcPr>
          <w:p w14:paraId="0B713678" w14:textId="77777777" w:rsidR="00D76E9D" w:rsidRPr="008B2872" w:rsidRDefault="00D76E9D" w:rsidP="0049324B">
            <w:pPr>
              <w:jc w:val="center"/>
              <w:rPr>
                <w:sz w:val="16"/>
                <w:szCs w:val="16"/>
              </w:rPr>
            </w:pPr>
          </w:p>
        </w:tc>
        <w:tc>
          <w:tcPr>
            <w:tcW w:w="540" w:type="dxa"/>
            <w:shd w:val="clear" w:color="auto" w:fill="FBD4B4" w:themeFill="accent6" w:themeFillTint="66"/>
          </w:tcPr>
          <w:p w14:paraId="1143402F" w14:textId="77777777" w:rsidR="00D76E9D" w:rsidRPr="008B2872" w:rsidRDefault="00D76E9D" w:rsidP="0049324B">
            <w:pPr>
              <w:jc w:val="center"/>
              <w:rPr>
                <w:sz w:val="16"/>
                <w:szCs w:val="16"/>
              </w:rPr>
            </w:pPr>
          </w:p>
        </w:tc>
        <w:tc>
          <w:tcPr>
            <w:tcW w:w="690" w:type="dxa"/>
            <w:shd w:val="clear" w:color="auto" w:fill="FBD4B4" w:themeFill="accent6" w:themeFillTint="66"/>
          </w:tcPr>
          <w:p w14:paraId="5C021374" w14:textId="77777777" w:rsidR="00D76E9D" w:rsidRPr="008B2872" w:rsidRDefault="00D76E9D" w:rsidP="0049324B">
            <w:pPr>
              <w:jc w:val="center"/>
              <w:rPr>
                <w:sz w:val="16"/>
                <w:szCs w:val="16"/>
              </w:rPr>
            </w:pPr>
          </w:p>
        </w:tc>
        <w:tc>
          <w:tcPr>
            <w:tcW w:w="534" w:type="dxa"/>
            <w:shd w:val="clear" w:color="auto" w:fill="FBD4B4" w:themeFill="accent6" w:themeFillTint="66"/>
          </w:tcPr>
          <w:p w14:paraId="56B134D0" w14:textId="77777777" w:rsidR="00D76E9D" w:rsidRPr="008B2872" w:rsidRDefault="00D76E9D" w:rsidP="0049324B">
            <w:pPr>
              <w:jc w:val="center"/>
              <w:rPr>
                <w:sz w:val="16"/>
                <w:szCs w:val="16"/>
              </w:rPr>
            </w:pPr>
          </w:p>
        </w:tc>
        <w:tc>
          <w:tcPr>
            <w:tcW w:w="690" w:type="dxa"/>
            <w:shd w:val="clear" w:color="auto" w:fill="FBD4B4" w:themeFill="accent6" w:themeFillTint="66"/>
          </w:tcPr>
          <w:p w14:paraId="6743EA13" w14:textId="77777777" w:rsidR="00D76E9D" w:rsidRPr="008B2872" w:rsidRDefault="00D76E9D" w:rsidP="0049324B">
            <w:pPr>
              <w:jc w:val="center"/>
              <w:rPr>
                <w:sz w:val="16"/>
                <w:szCs w:val="16"/>
              </w:rPr>
            </w:pPr>
          </w:p>
        </w:tc>
        <w:tc>
          <w:tcPr>
            <w:tcW w:w="516" w:type="dxa"/>
            <w:shd w:val="clear" w:color="auto" w:fill="FBD4B4" w:themeFill="accent6" w:themeFillTint="66"/>
          </w:tcPr>
          <w:p w14:paraId="3377C4ED" w14:textId="77777777" w:rsidR="00D76E9D" w:rsidRPr="008B2872" w:rsidRDefault="00D76E9D" w:rsidP="0049324B">
            <w:pPr>
              <w:jc w:val="center"/>
              <w:rPr>
                <w:sz w:val="16"/>
                <w:szCs w:val="16"/>
              </w:rPr>
            </w:pPr>
          </w:p>
        </w:tc>
        <w:tc>
          <w:tcPr>
            <w:tcW w:w="690" w:type="dxa"/>
            <w:shd w:val="clear" w:color="auto" w:fill="FBD4B4" w:themeFill="accent6" w:themeFillTint="66"/>
          </w:tcPr>
          <w:p w14:paraId="14CA92C4" w14:textId="77777777" w:rsidR="00D76E9D" w:rsidRPr="008B2872" w:rsidRDefault="00D76E9D" w:rsidP="0049324B">
            <w:pPr>
              <w:jc w:val="center"/>
              <w:rPr>
                <w:sz w:val="16"/>
                <w:szCs w:val="16"/>
              </w:rPr>
            </w:pPr>
          </w:p>
        </w:tc>
        <w:tc>
          <w:tcPr>
            <w:tcW w:w="513" w:type="dxa"/>
            <w:shd w:val="clear" w:color="auto" w:fill="FBD4B4" w:themeFill="accent6" w:themeFillTint="66"/>
          </w:tcPr>
          <w:p w14:paraId="3A6D1470" w14:textId="77777777" w:rsidR="00D76E9D" w:rsidRPr="008B2872" w:rsidRDefault="00D76E9D" w:rsidP="0049324B">
            <w:pPr>
              <w:jc w:val="center"/>
              <w:rPr>
                <w:sz w:val="16"/>
                <w:szCs w:val="16"/>
              </w:rPr>
            </w:pPr>
          </w:p>
        </w:tc>
        <w:tc>
          <w:tcPr>
            <w:tcW w:w="690" w:type="dxa"/>
            <w:shd w:val="clear" w:color="auto" w:fill="FBD4B4" w:themeFill="accent6" w:themeFillTint="66"/>
          </w:tcPr>
          <w:p w14:paraId="05B5DF1D" w14:textId="77777777" w:rsidR="00D76E9D" w:rsidRPr="008B2872" w:rsidRDefault="00D76E9D" w:rsidP="0049324B">
            <w:pPr>
              <w:jc w:val="center"/>
              <w:rPr>
                <w:sz w:val="16"/>
                <w:szCs w:val="16"/>
              </w:rPr>
            </w:pPr>
          </w:p>
        </w:tc>
      </w:tr>
      <w:tr w:rsidR="00C36F18" w14:paraId="6A07E897" w14:textId="77777777" w:rsidTr="00043FA1">
        <w:tc>
          <w:tcPr>
            <w:tcW w:w="1441" w:type="dxa"/>
            <w:vMerge w:val="restart"/>
          </w:tcPr>
          <w:p w14:paraId="195644B2" w14:textId="3AA685C5" w:rsidR="00C36F18" w:rsidRPr="008B2872" w:rsidRDefault="00C36F18" w:rsidP="005A2FF0">
            <w:pPr>
              <w:jc w:val="center"/>
              <w:rPr>
                <w:sz w:val="16"/>
                <w:szCs w:val="16"/>
              </w:rPr>
            </w:pPr>
            <w:r>
              <w:rPr>
                <w:sz w:val="16"/>
                <w:szCs w:val="16"/>
              </w:rPr>
              <w:t>Strengthened national framework for IAS prevention and management</w:t>
            </w:r>
          </w:p>
        </w:tc>
        <w:tc>
          <w:tcPr>
            <w:tcW w:w="1367" w:type="dxa"/>
            <w:vMerge w:val="restart"/>
          </w:tcPr>
          <w:p w14:paraId="1D96302A" w14:textId="77D5C221" w:rsidR="00C36F18" w:rsidRPr="008B2872" w:rsidRDefault="00C36F18" w:rsidP="0049324B">
            <w:pPr>
              <w:jc w:val="center"/>
              <w:rPr>
                <w:sz w:val="16"/>
                <w:szCs w:val="16"/>
              </w:rPr>
            </w:pPr>
            <w:r>
              <w:rPr>
                <w:sz w:val="16"/>
                <w:szCs w:val="16"/>
              </w:rPr>
              <w:t>Strengthened Biosecurity Office</w:t>
            </w:r>
          </w:p>
        </w:tc>
        <w:tc>
          <w:tcPr>
            <w:tcW w:w="2414" w:type="dxa"/>
          </w:tcPr>
          <w:p w14:paraId="25C28A62" w14:textId="2BD16BB5" w:rsidR="00C36F18" w:rsidRPr="008B2872" w:rsidRDefault="00C36F18" w:rsidP="0049324B">
            <w:pPr>
              <w:jc w:val="center"/>
              <w:rPr>
                <w:sz w:val="16"/>
                <w:szCs w:val="16"/>
              </w:rPr>
            </w:pPr>
            <w:r>
              <w:rPr>
                <w:sz w:val="16"/>
                <w:szCs w:val="16"/>
              </w:rPr>
              <w:t>Hire additional staff by BD (by Year 3 salaries of staff to be covered by cost recovery)</w:t>
            </w:r>
          </w:p>
        </w:tc>
        <w:tc>
          <w:tcPr>
            <w:tcW w:w="1309" w:type="dxa"/>
          </w:tcPr>
          <w:p w14:paraId="3343A440" w14:textId="3F63880B" w:rsidR="00C36F18" w:rsidRPr="008B2872" w:rsidRDefault="00AD7C51" w:rsidP="0049324B">
            <w:pPr>
              <w:jc w:val="center"/>
              <w:rPr>
                <w:sz w:val="16"/>
                <w:szCs w:val="16"/>
              </w:rPr>
            </w:pPr>
            <w:r>
              <w:rPr>
                <w:sz w:val="16"/>
                <w:szCs w:val="16"/>
              </w:rPr>
              <w:t>BD</w:t>
            </w:r>
            <w:r w:rsidR="00375AE8">
              <w:rPr>
                <w:sz w:val="16"/>
                <w:szCs w:val="16"/>
              </w:rPr>
              <w:t xml:space="preserve"> (in BOA in MNRET)</w:t>
            </w:r>
          </w:p>
        </w:tc>
        <w:tc>
          <w:tcPr>
            <w:tcW w:w="610" w:type="dxa"/>
          </w:tcPr>
          <w:p w14:paraId="4500EC23" w14:textId="77777777" w:rsidR="00C36F18" w:rsidRPr="008B2872" w:rsidRDefault="00C36F18" w:rsidP="0049324B">
            <w:pPr>
              <w:jc w:val="center"/>
              <w:rPr>
                <w:sz w:val="16"/>
                <w:szCs w:val="16"/>
              </w:rPr>
            </w:pPr>
          </w:p>
        </w:tc>
        <w:tc>
          <w:tcPr>
            <w:tcW w:w="645" w:type="dxa"/>
            <w:shd w:val="clear" w:color="auto" w:fill="FBD4B4" w:themeFill="accent6" w:themeFillTint="66"/>
          </w:tcPr>
          <w:p w14:paraId="4F6FE018" w14:textId="77777777" w:rsidR="00C36F18" w:rsidRPr="008B2872" w:rsidRDefault="00C36F18" w:rsidP="0049324B">
            <w:pPr>
              <w:jc w:val="center"/>
              <w:rPr>
                <w:sz w:val="16"/>
                <w:szCs w:val="16"/>
              </w:rPr>
            </w:pPr>
          </w:p>
        </w:tc>
        <w:tc>
          <w:tcPr>
            <w:tcW w:w="690" w:type="dxa"/>
            <w:shd w:val="clear" w:color="auto" w:fill="FBD4B4" w:themeFill="accent6" w:themeFillTint="66"/>
          </w:tcPr>
          <w:p w14:paraId="11F4C958" w14:textId="77777777" w:rsidR="00C36F18" w:rsidRPr="008B2872" w:rsidRDefault="00C36F18" w:rsidP="0049324B">
            <w:pPr>
              <w:jc w:val="center"/>
              <w:rPr>
                <w:sz w:val="16"/>
                <w:szCs w:val="16"/>
              </w:rPr>
            </w:pPr>
          </w:p>
        </w:tc>
        <w:tc>
          <w:tcPr>
            <w:tcW w:w="587" w:type="dxa"/>
            <w:shd w:val="clear" w:color="auto" w:fill="FBD4B4" w:themeFill="accent6" w:themeFillTint="66"/>
          </w:tcPr>
          <w:p w14:paraId="76DCF986" w14:textId="77777777" w:rsidR="00C36F18" w:rsidRPr="008B2872" w:rsidRDefault="00C36F18" w:rsidP="0049324B">
            <w:pPr>
              <w:jc w:val="center"/>
              <w:rPr>
                <w:sz w:val="16"/>
                <w:szCs w:val="16"/>
              </w:rPr>
            </w:pPr>
          </w:p>
        </w:tc>
        <w:tc>
          <w:tcPr>
            <w:tcW w:w="690" w:type="dxa"/>
            <w:shd w:val="clear" w:color="auto" w:fill="FBD4B4" w:themeFill="accent6" w:themeFillTint="66"/>
          </w:tcPr>
          <w:p w14:paraId="165D919A" w14:textId="77777777" w:rsidR="00C36F18" w:rsidRPr="008B2872" w:rsidRDefault="00C36F18" w:rsidP="0049324B">
            <w:pPr>
              <w:jc w:val="center"/>
              <w:rPr>
                <w:sz w:val="16"/>
                <w:szCs w:val="16"/>
              </w:rPr>
            </w:pPr>
          </w:p>
        </w:tc>
        <w:tc>
          <w:tcPr>
            <w:tcW w:w="540" w:type="dxa"/>
            <w:shd w:val="clear" w:color="auto" w:fill="FBD4B4" w:themeFill="accent6" w:themeFillTint="66"/>
          </w:tcPr>
          <w:p w14:paraId="1EA7879B" w14:textId="77777777" w:rsidR="00C36F18" w:rsidRPr="008B2872" w:rsidRDefault="00C36F18" w:rsidP="0049324B">
            <w:pPr>
              <w:jc w:val="center"/>
              <w:rPr>
                <w:sz w:val="16"/>
                <w:szCs w:val="16"/>
              </w:rPr>
            </w:pPr>
          </w:p>
        </w:tc>
        <w:tc>
          <w:tcPr>
            <w:tcW w:w="690" w:type="dxa"/>
          </w:tcPr>
          <w:p w14:paraId="1C0A03CD" w14:textId="77777777" w:rsidR="00C36F18" w:rsidRPr="008B2872" w:rsidRDefault="00C36F18" w:rsidP="0049324B">
            <w:pPr>
              <w:jc w:val="center"/>
              <w:rPr>
                <w:sz w:val="16"/>
                <w:szCs w:val="16"/>
              </w:rPr>
            </w:pPr>
          </w:p>
        </w:tc>
        <w:tc>
          <w:tcPr>
            <w:tcW w:w="534" w:type="dxa"/>
          </w:tcPr>
          <w:p w14:paraId="474095AE" w14:textId="77777777" w:rsidR="00C36F18" w:rsidRPr="008B2872" w:rsidRDefault="00C36F18" w:rsidP="0049324B">
            <w:pPr>
              <w:jc w:val="center"/>
              <w:rPr>
                <w:sz w:val="16"/>
                <w:szCs w:val="16"/>
              </w:rPr>
            </w:pPr>
          </w:p>
        </w:tc>
        <w:tc>
          <w:tcPr>
            <w:tcW w:w="690" w:type="dxa"/>
          </w:tcPr>
          <w:p w14:paraId="13BB159F" w14:textId="77777777" w:rsidR="00C36F18" w:rsidRPr="008B2872" w:rsidRDefault="00C36F18" w:rsidP="0049324B">
            <w:pPr>
              <w:jc w:val="center"/>
              <w:rPr>
                <w:sz w:val="16"/>
                <w:szCs w:val="16"/>
              </w:rPr>
            </w:pPr>
          </w:p>
        </w:tc>
        <w:tc>
          <w:tcPr>
            <w:tcW w:w="516" w:type="dxa"/>
          </w:tcPr>
          <w:p w14:paraId="0B392D56" w14:textId="77777777" w:rsidR="00C36F18" w:rsidRPr="008B2872" w:rsidRDefault="00C36F18" w:rsidP="0049324B">
            <w:pPr>
              <w:jc w:val="center"/>
              <w:rPr>
                <w:sz w:val="16"/>
                <w:szCs w:val="16"/>
              </w:rPr>
            </w:pPr>
          </w:p>
        </w:tc>
        <w:tc>
          <w:tcPr>
            <w:tcW w:w="690" w:type="dxa"/>
          </w:tcPr>
          <w:p w14:paraId="2B8CF50A" w14:textId="77777777" w:rsidR="00C36F18" w:rsidRPr="008B2872" w:rsidRDefault="00C36F18" w:rsidP="0049324B">
            <w:pPr>
              <w:jc w:val="center"/>
              <w:rPr>
                <w:sz w:val="16"/>
                <w:szCs w:val="16"/>
              </w:rPr>
            </w:pPr>
          </w:p>
        </w:tc>
        <w:tc>
          <w:tcPr>
            <w:tcW w:w="513" w:type="dxa"/>
          </w:tcPr>
          <w:p w14:paraId="59A14E55" w14:textId="77777777" w:rsidR="00C36F18" w:rsidRPr="008B2872" w:rsidRDefault="00C36F18" w:rsidP="0049324B">
            <w:pPr>
              <w:jc w:val="center"/>
              <w:rPr>
                <w:sz w:val="16"/>
                <w:szCs w:val="16"/>
              </w:rPr>
            </w:pPr>
          </w:p>
        </w:tc>
        <w:tc>
          <w:tcPr>
            <w:tcW w:w="690" w:type="dxa"/>
          </w:tcPr>
          <w:p w14:paraId="1C46FA95" w14:textId="77777777" w:rsidR="00C36F18" w:rsidRPr="008B2872" w:rsidRDefault="00C36F18" w:rsidP="0049324B">
            <w:pPr>
              <w:jc w:val="center"/>
              <w:rPr>
                <w:sz w:val="16"/>
                <w:szCs w:val="16"/>
              </w:rPr>
            </w:pPr>
          </w:p>
        </w:tc>
      </w:tr>
      <w:tr w:rsidR="00C36F18" w14:paraId="3DA061CB" w14:textId="77777777" w:rsidTr="00043FA1">
        <w:tc>
          <w:tcPr>
            <w:tcW w:w="1441" w:type="dxa"/>
            <w:vMerge/>
          </w:tcPr>
          <w:p w14:paraId="4C72C71D" w14:textId="77777777" w:rsidR="00C36F18" w:rsidRPr="008B2872" w:rsidRDefault="00C36F18" w:rsidP="0049324B">
            <w:pPr>
              <w:jc w:val="center"/>
              <w:rPr>
                <w:sz w:val="16"/>
                <w:szCs w:val="16"/>
              </w:rPr>
            </w:pPr>
          </w:p>
        </w:tc>
        <w:tc>
          <w:tcPr>
            <w:tcW w:w="1367" w:type="dxa"/>
            <w:vMerge/>
          </w:tcPr>
          <w:p w14:paraId="6A4D90B4" w14:textId="77777777" w:rsidR="00C36F18" w:rsidRPr="008B2872" w:rsidRDefault="00C36F18" w:rsidP="0049324B">
            <w:pPr>
              <w:jc w:val="center"/>
              <w:rPr>
                <w:sz w:val="16"/>
                <w:szCs w:val="16"/>
              </w:rPr>
            </w:pPr>
          </w:p>
        </w:tc>
        <w:tc>
          <w:tcPr>
            <w:tcW w:w="2414" w:type="dxa"/>
          </w:tcPr>
          <w:p w14:paraId="3CB53C2E" w14:textId="1C1DD00E" w:rsidR="00C36F18" w:rsidRPr="008B2872" w:rsidRDefault="00C36F18" w:rsidP="0049324B">
            <w:pPr>
              <w:jc w:val="center"/>
              <w:rPr>
                <w:sz w:val="16"/>
                <w:szCs w:val="16"/>
              </w:rPr>
            </w:pPr>
            <w:r>
              <w:rPr>
                <w:sz w:val="16"/>
                <w:szCs w:val="16"/>
              </w:rPr>
              <w:t>Develop plans for biosecurity office, storage, quarantine, treatment and inspection areas</w:t>
            </w:r>
          </w:p>
        </w:tc>
        <w:tc>
          <w:tcPr>
            <w:tcW w:w="1309" w:type="dxa"/>
          </w:tcPr>
          <w:p w14:paraId="0FD2950B" w14:textId="73DCBE63" w:rsidR="00C36F18" w:rsidRPr="008B2872" w:rsidRDefault="00AD7C51" w:rsidP="0049324B">
            <w:pPr>
              <w:jc w:val="center"/>
              <w:rPr>
                <w:sz w:val="16"/>
                <w:szCs w:val="16"/>
              </w:rPr>
            </w:pPr>
            <w:r>
              <w:rPr>
                <w:sz w:val="16"/>
                <w:szCs w:val="16"/>
              </w:rPr>
              <w:t>BD</w:t>
            </w:r>
          </w:p>
        </w:tc>
        <w:tc>
          <w:tcPr>
            <w:tcW w:w="610" w:type="dxa"/>
          </w:tcPr>
          <w:p w14:paraId="1CAC82CB" w14:textId="77777777" w:rsidR="00C36F18" w:rsidRPr="008B2872" w:rsidRDefault="00C36F18" w:rsidP="0049324B">
            <w:pPr>
              <w:jc w:val="center"/>
              <w:rPr>
                <w:sz w:val="16"/>
                <w:szCs w:val="16"/>
              </w:rPr>
            </w:pPr>
          </w:p>
        </w:tc>
        <w:tc>
          <w:tcPr>
            <w:tcW w:w="645" w:type="dxa"/>
            <w:shd w:val="clear" w:color="auto" w:fill="FBD4B4" w:themeFill="accent6" w:themeFillTint="66"/>
          </w:tcPr>
          <w:p w14:paraId="21225747" w14:textId="77777777" w:rsidR="00C36F18" w:rsidRPr="008B2872" w:rsidRDefault="00C36F18" w:rsidP="0049324B">
            <w:pPr>
              <w:jc w:val="center"/>
              <w:rPr>
                <w:sz w:val="16"/>
                <w:szCs w:val="16"/>
              </w:rPr>
            </w:pPr>
          </w:p>
        </w:tc>
        <w:tc>
          <w:tcPr>
            <w:tcW w:w="690" w:type="dxa"/>
            <w:shd w:val="clear" w:color="auto" w:fill="FBD4B4" w:themeFill="accent6" w:themeFillTint="66"/>
          </w:tcPr>
          <w:p w14:paraId="3D7AF4BE" w14:textId="77777777" w:rsidR="00C36F18" w:rsidRPr="008B2872" w:rsidRDefault="00C36F18" w:rsidP="0049324B">
            <w:pPr>
              <w:jc w:val="center"/>
              <w:rPr>
                <w:sz w:val="16"/>
                <w:szCs w:val="16"/>
              </w:rPr>
            </w:pPr>
          </w:p>
        </w:tc>
        <w:tc>
          <w:tcPr>
            <w:tcW w:w="587" w:type="dxa"/>
          </w:tcPr>
          <w:p w14:paraId="310BEE79" w14:textId="77777777" w:rsidR="00C36F18" w:rsidRPr="008B2872" w:rsidRDefault="00C36F18" w:rsidP="0049324B">
            <w:pPr>
              <w:jc w:val="center"/>
              <w:rPr>
                <w:sz w:val="16"/>
                <w:szCs w:val="16"/>
              </w:rPr>
            </w:pPr>
          </w:p>
        </w:tc>
        <w:tc>
          <w:tcPr>
            <w:tcW w:w="690" w:type="dxa"/>
          </w:tcPr>
          <w:p w14:paraId="31C85C71" w14:textId="77777777" w:rsidR="00C36F18" w:rsidRPr="008B2872" w:rsidRDefault="00C36F18" w:rsidP="0049324B">
            <w:pPr>
              <w:jc w:val="center"/>
              <w:rPr>
                <w:sz w:val="16"/>
                <w:szCs w:val="16"/>
              </w:rPr>
            </w:pPr>
          </w:p>
        </w:tc>
        <w:tc>
          <w:tcPr>
            <w:tcW w:w="540" w:type="dxa"/>
          </w:tcPr>
          <w:p w14:paraId="6E8F35A3" w14:textId="77777777" w:rsidR="00C36F18" w:rsidRPr="008B2872" w:rsidRDefault="00C36F18" w:rsidP="0049324B">
            <w:pPr>
              <w:jc w:val="center"/>
              <w:rPr>
                <w:sz w:val="16"/>
                <w:szCs w:val="16"/>
              </w:rPr>
            </w:pPr>
          </w:p>
        </w:tc>
        <w:tc>
          <w:tcPr>
            <w:tcW w:w="690" w:type="dxa"/>
          </w:tcPr>
          <w:p w14:paraId="07099F36" w14:textId="77777777" w:rsidR="00C36F18" w:rsidRPr="008B2872" w:rsidRDefault="00C36F18" w:rsidP="0049324B">
            <w:pPr>
              <w:jc w:val="center"/>
              <w:rPr>
                <w:sz w:val="16"/>
                <w:szCs w:val="16"/>
              </w:rPr>
            </w:pPr>
          </w:p>
        </w:tc>
        <w:tc>
          <w:tcPr>
            <w:tcW w:w="534" w:type="dxa"/>
          </w:tcPr>
          <w:p w14:paraId="172D8ACD" w14:textId="77777777" w:rsidR="00C36F18" w:rsidRPr="008B2872" w:rsidRDefault="00C36F18" w:rsidP="0049324B">
            <w:pPr>
              <w:jc w:val="center"/>
              <w:rPr>
                <w:sz w:val="16"/>
                <w:szCs w:val="16"/>
              </w:rPr>
            </w:pPr>
          </w:p>
        </w:tc>
        <w:tc>
          <w:tcPr>
            <w:tcW w:w="690" w:type="dxa"/>
          </w:tcPr>
          <w:p w14:paraId="49328615" w14:textId="77777777" w:rsidR="00C36F18" w:rsidRPr="008B2872" w:rsidRDefault="00C36F18" w:rsidP="0049324B">
            <w:pPr>
              <w:jc w:val="center"/>
              <w:rPr>
                <w:sz w:val="16"/>
                <w:szCs w:val="16"/>
              </w:rPr>
            </w:pPr>
          </w:p>
        </w:tc>
        <w:tc>
          <w:tcPr>
            <w:tcW w:w="516" w:type="dxa"/>
          </w:tcPr>
          <w:p w14:paraId="324EA288" w14:textId="77777777" w:rsidR="00C36F18" w:rsidRPr="008B2872" w:rsidRDefault="00C36F18" w:rsidP="0049324B">
            <w:pPr>
              <w:jc w:val="center"/>
              <w:rPr>
                <w:sz w:val="16"/>
                <w:szCs w:val="16"/>
              </w:rPr>
            </w:pPr>
          </w:p>
        </w:tc>
        <w:tc>
          <w:tcPr>
            <w:tcW w:w="690" w:type="dxa"/>
          </w:tcPr>
          <w:p w14:paraId="0DBDF927" w14:textId="77777777" w:rsidR="00C36F18" w:rsidRPr="008B2872" w:rsidRDefault="00C36F18" w:rsidP="0049324B">
            <w:pPr>
              <w:jc w:val="center"/>
              <w:rPr>
                <w:sz w:val="16"/>
                <w:szCs w:val="16"/>
              </w:rPr>
            </w:pPr>
          </w:p>
        </w:tc>
        <w:tc>
          <w:tcPr>
            <w:tcW w:w="513" w:type="dxa"/>
          </w:tcPr>
          <w:p w14:paraId="4C0BF40E" w14:textId="77777777" w:rsidR="00C36F18" w:rsidRPr="008B2872" w:rsidRDefault="00C36F18" w:rsidP="0049324B">
            <w:pPr>
              <w:jc w:val="center"/>
              <w:rPr>
                <w:sz w:val="16"/>
                <w:szCs w:val="16"/>
              </w:rPr>
            </w:pPr>
          </w:p>
        </w:tc>
        <w:tc>
          <w:tcPr>
            <w:tcW w:w="690" w:type="dxa"/>
          </w:tcPr>
          <w:p w14:paraId="019EA158" w14:textId="77777777" w:rsidR="00C36F18" w:rsidRPr="008B2872" w:rsidRDefault="00C36F18" w:rsidP="0049324B">
            <w:pPr>
              <w:jc w:val="center"/>
              <w:rPr>
                <w:sz w:val="16"/>
                <w:szCs w:val="16"/>
              </w:rPr>
            </w:pPr>
          </w:p>
        </w:tc>
      </w:tr>
      <w:tr w:rsidR="00C36F18" w14:paraId="58D3665C" w14:textId="77777777" w:rsidTr="00043FA1">
        <w:tc>
          <w:tcPr>
            <w:tcW w:w="1441" w:type="dxa"/>
            <w:vMerge/>
          </w:tcPr>
          <w:p w14:paraId="4CD484C2" w14:textId="77777777" w:rsidR="00C36F18" w:rsidRPr="008B2872" w:rsidRDefault="00C36F18" w:rsidP="0049324B">
            <w:pPr>
              <w:jc w:val="center"/>
              <w:rPr>
                <w:sz w:val="16"/>
                <w:szCs w:val="16"/>
              </w:rPr>
            </w:pPr>
          </w:p>
        </w:tc>
        <w:tc>
          <w:tcPr>
            <w:tcW w:w="1367" w:type="dxa"/>
            <w:vMerge/>
          </w:tcPr>
          <w:p w14:paraId="0FF5EDE2" w14:textId="77777777" w:rsidR="00C36F18" w:rsidRPr="008B2872" w:rsidRDefault="00C36F18" w:rsidP="0049324B">
            <w:pPr>
              <w:jc w:val="center"/>
              <w:rPr>
                <w:sz w:val="16"/>
                <w:szCs w:val="16"/>
              </w:rPr>
            </w:pPr>
          </w:p>
        </w:tc>
        <w:tc>
          <w:tcPr>
            <w:tcW w:w="2414" w:type="dxa"/>
          </w:tcPr>
          <w:p w14:paraId="68B39DB0" w14:textId="423762BA" w:rsidR="00C36F18" w:rsidRPr="008B2872" w:rsidRDefault="00C36F18" w:rsidP="005A2FF0">
            <w:pPr>
              <w:jc w:val="center"/>
              <w:rPr>
                <w:sz w:val="16"/>
                <w:szCs w:val="16"/>
              </w:rPr>
            </w:pPr>
            <w:r>
              <w:rPr>
                <w:sz w:val="16"/>
                <w:szCs w:val="16"/>
              </w:rPr>
              <w:t>Develop site according to plans (prefabricated office/storage, wash-down and treatment areas, incinerator, quarantine and inspection zones</w:t>
            </w:r>
          </w:p>
        </w:tc>
        <w:tc>
          <w:tcPr>
            <w:tcW w:w="1309" w:type="dxa"/>
          </w:tcPr>
          <w:p w14:paraId="4DB557AE" w14:textId="7680BF2B" w:rsidR="00C36F18" w:rsidRPr="008B2872" w:rsidRDefault="00AD7C51" w:rsidP="0049324B">
            <w:pPr>
              <w:jc w:val="center"/>
              <w:rPr>
                <w:sz w:val="16"/>
                <w:szCs w:val="16"/>
              </w:rPr>
            </w:pPr>
            <w:r>
              <w:rPr>
                <w:sz w:val="16"/>
                <w:szCs w:val="16"/>
              </w:rPr>
              <w:t>BD</w:t>
            </w:r>
          </w:p>
        </w:tc>
        <w:tc>
          <w:tcPr>
            <w:tcW w:w="610" w:type="dxa"/>
          </w:tcPr>
          <w:p w14:paraId="40F199E2" w14:textId="77777777" w:rsidR="00C36F18" w:rsidRPr="008B2872" w:rsidRDefault="00C36F18" w:rsidP="0049324B">
            <w:pPr>
              <w:jc w:val="center"/>
              <w:rPr>
                <w:sz w:val="16"/>
                <w:szCs w:val="16"/>
              </w:rPr>
            </w:pPr>
          </w:p>
        </w:tc>
        <w:tc>
          <w:tcPr>
            <w:tcW w:w="645" w:type="dxa"/>
            <w:shd w:val="clear" w:color="auto" w:fill="FBD4B4" w:themeFill="accent6" w:themeFillTint="66"/>
          </w:tcPr>
          <w:p w14:paraId="0FA94D9E" w14:textId="77777777" w:rsidR="00C36F18" w:rsidRPr="008B2872" w:rsidRDefault="00C36F18" w:rsidP="0049324B">
            <w:pPr>
              <w:jc w:val="center"/>
              <w:rPr>
                <w:sz w:val="16"/>
                <w:szCs w:val="16"/>
              </w:rPr>
            </w:pPr>
          </w:p>
        </w:tc>
        <w:tc>
          <w:tcPr>
            <w:tcW w:w="690" w:type="dxa"/>
            <w:shd w:val="clear" w:color="auto" w:fill="FBD4B4" w:themeFill="accent6" w:themeFillTint="66"/>
          </w:tcPr>
          <w:p w14:paraId="6D136A0E" w14:textId="77777777" w:rsidR="00C36F18" w:rsidRPr="008B2872" w:rsidRDefault="00C36F18" w:rsidP="0049324B">
            <w:pPr>
              <w:jc w:val="center"/>
              <w:rPr>
                <w:sz w:val="16"/>
                <w:szCs w:val="16"/>
              </w:rPr>
            </w:pPr>
          </w:p>
        </w:tc>
        <w:tc>
          <w:tcPr>
            <w:tcW w:w="587" w:type="dxa"/>
          </w:tcPr>
          <w:p w14:paraId="1CD89C1D" w14:textId="77777777" w:rsidR="00C36F18" w:rsidRPr="008B2872" w:rsidRDefault="00C36F18" w:rsidP="0049324B">
            <w:pPr>
              <w:jc w:val="center"/>
              <w:rPr>
                <w:sz w:val="16"/>
                <w:szCs w:val="16"/>
              </w:rPr>
            </w:pPr>
          </w:p>
        </w:tc>
        <w:tc>
          <w:tcPr>
            <w:tcW w:w="690" w:type="dxa"/>
          </w:tcPr>
          <w:p w14:paraId="3CE9D648" w14:textId="77777777" w:rsidR="00C36F18" w:rsidRPr="008B2872" w:rsidRDefault="00C36F18" w:rsidP="0049324B">
            <w:pPr>
              <w:jc w:val="center"/>
              <w:rPr>
                <w:sz w:val="16"/>
                <w:szCs w:val="16"/>
              </w:rPr>
            </w:pPr>
          </w:p>
        </w:tc>
        <w:tc>
          <w:tcPr>
            <w:tcW w:w="540" w:type="dxa"/>
          </w:tcPr>
          <w:p w14:paraId="71CE6883" w14:textId="77777777" w:rsidR="00C36F18" w:rsidRPr="008B2872" w:rsidRDefault="00C36F18" w:rsidP="0049324B">
            <w:pPr>
              <w:jc w:val="center"/>
              <w:rPr>
                <w:sz w:val="16"/>
                <w:szCs w:val="16"/>
              </w:rPr>
            </w:pPr>
          </w:p>
        </w:tc>
        <w:tc>
          <w:tcPr>
            <w:tcW w:w="690" w:type="dxa"/>
          </w:tcPr>
          <w:p w14:paraId="168C5A0F" w14:textId="77777777" w:rsidR="00C36F18" w:rsidRPr="008B2872" w:rsidRDefault="00C36F18" w:rsidP="0049324B">
            <w:pPr>
              <w:jc w:val="center"/>
              <w:rPr>
                <w:sz w:val="16"/>
                <w:szCs w:val="16"/>
              </w:rPr>
            </w:pPr>
          </w:p>
        </w:tc>
        <w:tc>
          <w:tcPr>
            <w:tcW w:w="534" w:type="dxa"/>
          </w:tcPr>
          <w:p w14:paraId="2167BDA7" w14:textId="77777777" w:rsidR="00C36F18" w:rsidRPr="008B2872" w:rsidRDefault="00C36F18" w:rsidP="0049324B">
            <w:pPr>
              <w:jc w:val="center"/>
              <w:rPr>
                <w:sz w:val="16"/>
                <w:szCs w:val="16"/>
              </w:rPr>
            </w:pPr>
          </w:p>
        </w:tc>
        <w:tc>
          <w:tcPr>
            <w:tcW w:w="690" w:type="dxa"/>
          </w:tcPr>
          <w:p w14:paraId="23E37F18" w14:textId="77777777" w:rsidR="00C36F18" w:rsidRPr="008B2872" w:rsidRDefault="00C36F18" w:rsidP="0049324B">
            <w:pPr>
              <w:jc w:val="center"/>
              <w:rPr>
                <w:sz w:val="16"/>
                <w:szCs w:val="16"/>
              </w:rPr>
            </w:pPr>
          </w:p>
        </w:tc>
        <w:tc>
          <w:tcPr>
            <w:tcW w:w="516" w:type="dxa"/>
          </w:tcPr>
          <w:p w14:paraId="698F83DF" w14:textId="77777777" w:rsidR="00C36F18" w:rsidRPr="008B2872" w:rsidRDefault="00C36F18" w:rsidP="0049324B">
            <w:pPr>
              <w:jc w:val="center"/>
              <w:rPr>
                <w:sz w:val="16"/>
                <w:szCs w:val="16"/>
              </w:rPr>
            </w:pPr>
          </w:p>
        </w:tc>
        <w:tc>
          <w:tcPr>
            <w:tcW w:w="690" w:type="dxa"/>
          </w:tcPr>
          <w:p w14:paraId="41C2FF24" w14:textId="77777777" w:rsidR="00C36F18" w:rsidRPr="008B2872" w:rsidRDefault="00C36F18" w:rsidP="0049324B">
            <w:pPr>
              <w:jc w:val="center"/>
              <w:rPr>
                <w:sz w:val="16"/>
                <w:szCs w:val="16"/>
              </w:rPr>
            </w:pPr>
          </w:p>
        </w:tc>
        <w:tc>
          <w:tcPr>
            <w:tcW w:w="513" w:type="dxa"/>
          </w:tcPr>
          <w:p w14:paraId="70C2EEF4" w14:textId="77777777" w:rsidR="00C36F18" w:rsidRPr="008B2872" w:rsidRDefault="00C36F18" w:rsidP="0049324B">
            <w:pPr>
              <w:jc w:val="center"/>
              <w:rPr>
                <w:sz w:val="16"/>
                <w:szCs w:val="16"/>
              </w:rPr>
            </w:pPr>
          </w:p>
        </w:tc>
        <w:tc>
          <w:tcPr>
            <w:tcW w:w="690" w:type="dxa"/>
          </w:tcPr>
          <w:p w14:paraId="0155EF8B" w14:textId="77777777" w:rsidR="00C36F18" w:rsidRPr="008B2872" w:rsidRDefault="00C36F18" w:rsidP="0049324B">
            <w:pPr>
              <w:jc w:val="center"/>
              <w:rPr>
                <w:sz w:val="16"/>
                <w:szCs w:val="16"/>
              </w:rPr>
            </w:pPr>
          </w:p>
        </w:tc>
      </w:tr>
      <w:tr w:rsidR="00C36F18" w14:paraId="3DED51E7" w14:textId="77777777" w:rsidTr="00043FA1">
        <w:tc>
          <w:tcPr>
            <w:tcW w:w="1441" w:type="dxa"/>
            <w:vMerge/>
          </w:tcPr>
          <w:p w14:paraId="410AC079" w14:textId="77777777" w:rsidR="00C36F18" w:rsidRPr="008B2872" w:rsidRDefault="00C36F18" w:rsidP="0049324B">
            <w:pPr>
              <w:jc w:val="center"/>
              <w:rPr>
                <w:sz w:val="16"/>
                <w:szCs w:val="16"/>
              </w:rPr>
            </w:pPr>
          </w:p>
        </w:tc>
        <w:tc>
          <w:tcPr>
            <w:tcW w:w="1367" w:type="dxa"/>
            <w:vMerge/>
          </w:tcPr>
          <w:p w14:paraId="5486BA39" w14:textId="77777777" w:rsidR="00C36F18" w:rsidRPr="008B2872" w:rsidRDefault="00C36F18" w:rsidP="0049324B">
            <w:pPr>
              <w:jc w:val="center"/>
              <w:rPr>
                <w:sz w:val="16"/>
                <w:szCs w:val="16"/>
              </w:rPr>
            </w:pPr>
          </w:p>
        </w:tc>
        <w:tc>
          <w:tcPr>
            <w:tcW w:w="2414" w:type="dxa"/>
          </w:tcPr>
          <w:p w14:paraId="4FA2F57F" w14:textId="02731D7C" w:rsidR="00C36F18" w:rsidRPr="008B2872" w:rsidRDefault="00C36F18" w:rsidP="0049324B">
            <w:pPr>
              <w:jc w:val="center"/>
              <w:rPr>
                <w:sz w:val="16"/>
                <w:szCs w:val="16"/>
              </w:rPr>
            </w:pPr>
            <w:r>
              <w:rPr>
                <w:sz w:val="16"/>
                <w:szCs w:val="16"/>
              </w:rPr>
              <w:t>Provide basic tools like PPE, Headlamps, snake handing equipment, mobile sprayer, treatment tarps and equipment for marine inspections</w:t>
            </w:r>
          </w:p>
        </w:tc>
        <w:tc>
          <w:tcPr>
            <w:tcW w:w="1309" w:type="dxa"/>
          </w:tcPr>
          <w:p w14:paraId="39B0EC58" w14:textId="4432C158" w:rsidR="00C36F18" w:rsidRPr="008B2872" w:rsidRDefault="00AD7C51" w:rsidP="0049324B">
            <w:pPr>
              <w:jc w:val="center"/>
              <w:rPr>
                <w:sz w:val="16"/>
                <w:szCs w:val="16"/>
              </w:rPr>
            </w:pPr>
            <w:r>
              <w:rPr>
                <w:sz w:val="16"/>
                <w:szCs w:val="16"/>
              </w:rPr>
              <w:t>BD</w:t>
            </w:r>
          </w:p>
        </w:tc>
        <w:tc>
          <w:tcPr>
            <w:tcW w:w="610" w:type="dxa"/>
          </w:tcPr>
          <w:p w14:paraId="5367B253" w14:textId="77777777" w:rsidR="00C36F18" w:rsidRPr="008B2872" w:rsidRDefault="00C36F18" w:rsidP="0049324B">
            <w:pPr>
              <w:jc w:val="center"/>
              <w:rPr>
                <w:sz w:val="16"/>
                <w:szCs w:val="16"/>
              </w:rPr>
            </w:pPr>
          </w:p>
        </w:tc>
        <w:tc>
          <w:tcPr>
            <w:tcW w:w="645" w:type="dxa"/>
            <w:shd w:val="clear" w:color="auto" w:fill="FBD4B4" w:themeFill="accent6" w:themeFillTint="66"/>
          </w:tcPr>
          <w:p w14:paraId="4C31097F" w14:textId="77777777" w:rsidR="00C36F18" w:rsidRPr="008B2872" w:rsidRDefault="00C36F18" w:rsidP="0049324B">
            <w:pPr>
              <w:jc w:val="center"/>
              <w:rPr>
                <w:sz w:val="16"/>
                <w:szCs w:val="16"/>
              </w:rPr>
            </w:pPr>
          </w:p>
        </w:tc>
        <w:tc>
          <w:tcPr>
            <w:tcW w:w="690" w:type="dxa"/>
            <w:shd w:val="clear" w:color="auto" w:fill="FBD4B4" w:themeFill="accent6" w:themeFillTint="66"/>
          </w:tcPr>
          <w:p w14:paraId="104623D5" w14:textId="77777777" w:rsidR="00C36F18" w:rsidRPr="008B2872" w:rsidRDefault="00C36F18" w:rsidP="0049324B">
            <w:pPr>
              <w:jc w:val="center"/>
              <w:rPr>
                <w:sz w:val="16"/>
                <w:szCs w:val="16"/>
              </w:rPr>
            </w:pPr>
          </w:p>
        </w:tc>
        <w:tc>
          <w:tcPr>
            <w:tcW w:w="587" w:type="dxa"/>
            <w:shd w:val="clear" w:color="auto" w:fill="FBD4B4" w:themeFill="accent6" w:themeFillTint="66"/>
          </w:tcPr>
          <w:p w14:paraId="6DD95BEC" w14:textId="77777777" w:rsidR="00C36F18" w:rsidRPr="008B2872" w:rsidRDefault="00C36F18" w:rsidP="0049324B">
            <w:pPr>
              <w:jc w:val="center"/>
              <w:rPr>
                <w:sz w:val="16"/>
                <w:szCs w:val="16"/>
              </w:rPr>
            </w:pPr>
          </w:p>
        </w:tc>
        <w:tc>
          <w:tcPr>
            <w:tcW w:w="690" w:type="dxa"/>
            <w:shd w:val="clear" w:color="auto" w:fill="FBD4B4" w:themeFill="accent6" w:themeFillTint="66"/>
          </w:tcPr>
          <w:p w14:paraId="46A859C1" w14:textId="77777777" w:rsidR="00C36F18" w:rsidRPr="008B2872" w:rsidRDefault="00C36F18" w:rsidP="0049324B">
            <w:pPr>
              <w:jc w:val="center"/>
              <w:rPr>
                <w:sz w:val="16"/>
                <w:szCs w:val="16"/>
              </w:rPr>
            </w:pPr>
          </w:p>
        </w:tc>
        <w:tc>
          <w:tcPr>
            <w:tcW w:w="540" w:type="dxa"/>
            <w:shd w:val="clear" w:color="auto" w:fill="FBD4B4" w:themeFill="accent6" w:themeFillTint="66"/>
          </w:tcPr>
          <w:p w14:paraId="4388260B" w14:textId="77777777" w:rsidR="00C36F18" w:rsidRPr="008B2872" w:rsidRDefault="00C36F18" w:rsidP="0049324B">
            <w:pPr>
              <w:jc w:val="center"/>
              <w:rPr>
                <w:sz w:val="16"/>
                <w:szCs w:val="16"/>
              </w:rPr>
            </w:pPr>
          </w:p>
        </w:tc>
        <w:tc>
          <w:tcPr>
            <w:tcW w:w="690" w:type="dxa"/>
            <w:shd w:val="clear" w:color="auto" w:fill="FBD4B4" w:themeFill="accent6" w:themeFillTint="66"/>
          </w:tcPr>
          <w:p w14:paraId="5928412C" w14:textId="77777777" w:rsidR="00C36F18" w:rsidRPr="008B2872" w:rsidRDefault="00C36F18" w:rsidP="0049324B">
            <w:pPr>
              <w:jc w:val="center"/>
              <w:rPr>
                <w:sz w:val="16"/>
                <w:szCs w:val="16"/>
              </w:rPr>
            </w:pPr>
          </w:p>
        </w:tc>
        <w:tc>
          <w:tcPr>
            <w:tcW w:w="534" w:type="dxa"/>
          </w:tcPr>
          <w:p w14:paraId="78591244" w14:textId="77777777" w:rsidR="00C36F18" w:rsidRPr="008B2872" w:rsidRDefault="00C36F18" w:rsidP="0049324B">
            <w:pPr>
              <w:jc w:val="center"/>
              <w:rPr>
                <w:sz w:val="16"/>
                <w:szCs w:val="16"/>
              </w:rPr>
            </w:pPr>
          </w:p>
        </w:tc>
        <w:tc>
          <w:tcPr>
            <w:tcW w:w="690" w:type="dxa"/>
          </w:tcPr>
          <w:p w14:paraId="0C1EC061" w14:textId="77777777" w:rsidR="00C36F18" w:rsidRPr="008B2872" w:rsidRDefault="00C36F18" w:rsidP="0049324B">
            <w:pPr>
              <w:jc w:val="center"/>
              <w:rPr>
                <w:sz w:val="16"/>
                <w:szCs w:val="16"/>
              </w:rPr>
            </w:pPr>
          </w:p>
        </w:tc>
        <w:tc>
          <w:tcPr>
            <w:tcW w:w="516" w:type="dxa"/>
          </w:tcPr>
          <w:p w14:paraId="12C6FE84" w14:textId="77777777" w:rsidR="00C36F18" w:rsidRPr="008B2872" w:rsidRDefault="00C36F18" w:rsidP="0049324B">
            <w:pPr>
              <w:jc w:val="center"/>
              <w:rPr>
                <w:sz w:val="16"/>
                <w:szCs w:val="16"/>
              </w:rPr>
            </w:pPr>
          </w:p>
        </w:tc>
        <w:tc>
          <w:tcPr>
            <w:tcW w:w="690" w:type="dxa"/>
          </w:tcPr>
          <w:p w14:paraId="771EC70C" w14:textId="77777777" w:rsidR="00C36F18" w:rsidRPr="008B2872" w:rsidRDefault="00C36F18" w:rsidP="0049324B">
            <w:pPr>
              <w:jc w:val="center"/>
              <w:rPr>
                <w:sz w:val="16"/>
                <w:szCs w:val="16"/>
              </w:rPr>
            </w:pPr>
          </w:p>
        </w:tc>
        <w:tc>
          <w:tcPr>
            <w:tcW w:w="513" w:type="dxa"/>
          </w:tcPr>
          <w:p w14:paraId="72C700EE" w14:textId="77777777" w:rsidR="00C36F18" w:rsidRPr="008B2872" w:rsidRDefault="00C36F18" w:rsidP="0049324B">
            <w:pPr>
              <w:jc w:val="center"/>
              <w:rPr>
                <w:sz w:val="16"/>
                <w:szCs w:val="16"/>
              </w:rPr>
            </w:pPr>
          </w:p>
        </w:tc>
        <w:tc>
          <w:tcPr>
            <w:tcW w:w="690" w:type="dxa"/>
          </w:tcPr>
          <w:p w14:paraId="577BA81D" w14:textId="77777777" w:rsidR="00C36F18" w:rsidRPr="008B2872" w:rsidRDefault="00C36F18" w:rsidP="0049324B">
            <w:pPr>
              <w:jc w:val="center"/>
              <w:rPr>
                <w:sz w:val="16"/>
                <w:szCs w:val="16"/>
              </w:rPr>
            </w:pPr>
          </w:p>
        </w:tc>
      </w:tr>
      <w:tr w:rsidR="00C36F18" w14:paraId="6729DFA5" w14:textId="77777777" w:rsidTr="00043FA1">
        <w:tc>
          <w:tcPr>
            <w:tcW w:w="1441" w:type="dxa"/>
            <w:vMerge/>
          </w:tcPr>
          <w:p w14:paraId="546BDDF0" w14:textId="77777777" w:rsidR="00C36F18" w:rsidRPr="008B2872" w:rsidRDefault="00C36F18" w:rsidP="0049324B">
            <w:pPr>
              <w:jc w:val="center"/>
              <w:rPr>
                <w:sz w:val="16"/>
                <w:szCs w:val="16"/>
              </w:rPr>
            </w:pPr>
          </w:p>
        </w:tc>
        <w:tc>
          <w:tcPr>
            <w:tcW w:w="1367" w:type="dxa"/>
            <w:vMerge w:val="restart"/>
          </w:tcPr>
          <w:p w14:paraId="492E23EB" w14:textId="2C1FF76A" w:rsidR="00C36F18" w:rsidRPr="008B2872" w:rsidRDefault="00C36F18" w:rsidP="0049324B">
            <w:pPr>
              <w:jc w:val="center"/>
              <w:rPr>
                <w:sz w:val="16"/>
                <w:szCs w:val="16"/>
              </w:rPr>
            </w:pPr>
            <w:r>
              <w:rPr>
                <w:sz w:val="16"/>
                <w:szCs w:val="16"/>
              </w:rPr>
              <w:t>Strengthen the National Invasive Species Council</w:t>
            </w:r>
          </w:p>
        </w:tc>
        <w:tc>
          <w:tcPr>
            <w:tcW w:w="2414" w:type="dxa"/>
          </w:tcPr>
          <w:p w14:paraId="0A24BF26" w14:textId="355C53DC" w:rsidR="00C36F18" w:rsidRPr="008B2872" w:rsidRDefault="00C36F18" w:rsidP="00C36F18">
            <w:pPr>
              <w:jc w:val="center"/>
              <w:rPr>
                <w:sz w:val="16"/>
                <w:szCs w:val="16"/>
              </w:rPr>
            </w:pPr>
            <w:r>
              <w:rPr>
                <w:sz w:val="16"/>
                <w:szCs w:val="16"/>
              </w:rPr>
              <w:t>Develop capacity by establishing a National Invasive Species Coordination Office (NISCO) and hiring of resource staffer to support coordinator (by Year 3 position supported by internal mechanism</w:t>
            </w:r>
          </w:p>
        </w:tc>
        <w:tc>
          <w:tcPr>
            <w:tcW w:w="1309" w:type="dxa"/>
          </w:tcPr>
          <w:p w14:paraId="3EC5C0F0" w14:textId="6A301606" w:rsidR="00C36F18" w:rsidRPr="008B2872" w:rsidRDefault="00AD7C51" w:rsidP="0049324B">
            <w:pPr>
              <w:jc w:val="center"/>
              <w:rPr>
                <w:sz w:val="16"/>
                <w:szCs w:val="16"/>
              </w:rPr>
            </w:pPr>
            <w:r>
              <w:rPr>
                <w:sz w:val="16"/>
                <w:szCs w:val="16"/>
              </w:rPr>
              <w:t>NISCO</w:t>
            </w:r>
          </w:p>
        </w:tc>
        <w:tc>
          <w:tcPr>
            <w:tcW w:w="610" w:type="dxa"/>
          </w:tcPr>
          <w:p w14:paraId="43879081" w14:textId="77777777" w:rsidR="00C36F18" w:rsidRPr="008B2872" w:rsidRDefault="00C36F18" w:rsidP="0049324B">
            <w:pPr>
              <w:jc w:val="center"/>
              <w:rPr>
                <w:sz w:val="16"/>
                <w:szCs w:val="16"/>
              </w:rPr>
            </w:pPr>
          </w:p>
        </w:tc>
        <w:tc>
          <w:tcPr>
            <w:tcW w:w="645" w:type="dxa"/>
            <w:shd w:val="clear" w:color="auto" w:fill="FBD4B4" w:themeFill="accent6" w:themeFillTint="66"/>
          </w:tcPr>
          <w:p w14:paraId="42BF6C1F" w14:textId="77777777" w:rsidR="00C36F18" w:rsidRPr="008B2872" w:rsidRDefault="00C36F18" w:rsidP="0049324B">
            <w:pPr>
              <w:jc w:val="center"/>
              <w:rPr>
                <w:sz w:val="16"/>
                <w:szCs w:val="16"/>
              </w:rPr>
            </w:pPr>
          </w:p>
        </w:tc>
        <w:tc>
          <w:tcPr>
            <w:tcW w:w="690" w:type="dxa"/>
            <w:shd w:val="clear" w:color="auto" w:fill="FBD4B4" w:themeFill="accent6" w:themeFillTint="66"/>
          </w:tcPr>
          <w:p w14:paraId="44A3B123" w14:textId="77777777" w:rsidR="00C36F18" w:rsidRPr="008B2872" w:rsidRDefault="00C36F18" w:rsidP="0049324B">
            <w:pPr>
              <w:jc w:val="center"/>
              <w:rPr>
                <w:sz w:val="16"/>
                <w:szCs w:val="16"/>
              </w:rPr>
            </w:pPr>
          </w:p>
        </w:tc>
        <w:tc>
          <w:tcPr>
            <w:tcW w:w="587" w:type="dxa"/>
            <w:shd w:val="clear" w:color="auto" w:fill="FBD4B4" w:themeFill="accent6" w:themeFillTint="66"/>
          </w:tcPr>
          <w:p w14:paraId="56CF5751" w14:textId="77777777" w:rsidR="00C36F18" w:rsidRPr="008B2872" w:rsidRDefault="00C36F18" w:rsidP="0049324B">
            <w:pPr>
              <w:jc w:val="center"/>
              <w:rPr>
                <w:sz w:val="16"/>
                <w:szCs w:val="16"/>
              </w:rPr>
            </w:pPr>
          </w:p>
        </w:tc>
        <w:tc>
          <w:tcPr>
            <w:tcW w:w="690" w:type="dxa"/>
            <w:shd w:val="clear" w:color="auto" w:fill="FBD4B4" w:themeFill="accent6" w:themeFillTint="66"/>
          </w:tcPr>
          <w:p w14:paraId="6B55A2D4" w14:textId="77777777" w:rsidR="00C36F18" w:rsidRPr="008B2872" w:rsidRDefault="00C36F18" w:rsidP="0049324B">
            <w:pPr>
              <w:jc w:val="center"/>
              <w:rPr>
                <w:sz w:val="16"/>
                <w:szCs w:val="16"/>
              </w:rPr>
            </w:pPr>
          </w:p>
        </w:tc>
        <w:tc>
          <w:tcPr>
            <w:tcW w:w="540" w:type="dxa"/>
          </w:tcPr>
          <w:p w14:paraId="4F548824" w14:textId="77777777" w:rsidR="00C36F18" w:rsidRPr="008B2872" w:rsidRDefault="00C36F18" w:rsidP="0049324B">
            <w:pPr>
              <w:jc w:val="center"/>
              <w:rPr>
                <w:sz w:val="16"/>
                <w:szCs w:val="16"/>
              </w:rPr>
            </w:pPr>
          </w:p>
        </w:tc>
        <w:tc>
          <w:tcPr>
            <w:tcW w:w="690" w:type="dxa"/>
          </w:tcPr>
          <w:p w14:paraId="78F7A0EB" w14:textId="77777777" w:rsidR="00C36F18" w:rsidRPr="008B2872" w:rsidRDefault="00C36F18" w:rsidP="0049324B">
            <w:pPr>
              <w:jc w:val="center"/>
              <w:rPr>
                <w:sz w:val="16"/>
                <w:szCs w:val="16"/>
              </w:rPr>
            </w:pPr>
          </w:p>
        </w:tc>
        <w:tc>
          <w:tcPr>
            <w:tcW w:w="534" w:type="dxa"/>
          </w:tcPr>
          <w:p w14:paraId="4EE56163" w14:textId="77777777" w:rsidR="00C36F18" w:rsidRPr="008B2872" w:rsidRDefault="00C36F18" w:rsidP="0049324B">
            <w:pPr>
              <w:jc w:val="center"/>
              <w:rPr>
                <w:sz w:val="16"/>
                <w:szCs w:val="16"/>
              </w:rPr>
            </w:pPr>
          </w:p>
        </w:tc>
        <w:tc>
          <w:tcPr>
            <w:tcW w:w="690" w:type="dxa"/>
          </w:tcPr>
          <w:p w14:paraId="50D60348" w14:textId="77777777" w:rsidR="00C36F18" w:rsidRPr="008B2872" w:rsidRDefault="00C36F18" w:rsidP="0049324B">
            <w:pPr>
              <w:jc w:val="center"/>
              <w:rPr>
                <w:sz w:val="16"/>
                <w:szCs w:val="16"/>
              </w:rPr>
            </w:pPr>
          </w:p>
        </w:tc>
        <w:tc>
          <w:tcPr>
            <w:tcW w:w="516" w:type="dxa"/>
          </w:tcPr>
          <w:p w14:paraId="3D48C5B6" w14:textId="77777777" w:rsidR="00C36F18" w:rsidRPr="008B2872" w:rsidRDefault="00C36F18" w:rsidP="0049324B">
            <w:pPr>
              <w:jc w:val="center"/>
              <w:rPr>
                <w:sz w:val="16"/>
                <w:szCs w:val="16"/>
              </w:rPr>
            </w:pPr>
          </w:p>
        </w:tc>
        <w:tc>
          <w:tcPr>
            <w:tcW w:w="690" w:type="dxa"/>
          </w:tcPr>
          <w:p w14:paraId="2BD5A7D1" w14:textId="77777777" w:rsidR="00C36F18" w:rsidRPr="008B2872" w:rsidRDefault="00C36F18" w:rsidP="0049324B">
            <w:pPr>
              <w:jc w:val="center"/>
              <w:rPr>
                <w:sz w:val="16"/>
                <w:szCs w:val="16"/>
              </w:rPr>
            </w:pPr>
          </w:p>
        </w:tc>
        <w:tc>
          <w:tcPr>
            <w:tcW w:w="513" w:type="dxa"/>
          </w:tcPr>
          <w:p w14:paraId="3E93C874" w14:textId="77777777" w:rsidR="00C36F18" w:rsidRPr="008B2872" w:rsidRDefault="00C36F18" w:rsidP="0049324B">
            <w:pPr>
              <w:jc w:val="center"/>
              <w:rPr>
                <w:sz w:val="16"/>
                <w:szCs w:val="16"/>
              </w:rPr>
            </w:pPr>
          </w:p>
        </w:tc>
        <w:tc>
          <w:tcPr>
            <w:tcW w:w="690" w:type="dxa"/>
          </w:tcPr>
          <w:p w14:paraId="467DE793" w14:textId="77777777" w:rsidR="00C36F18" w:rsidRPr="008B2872" w:rsidRDefault="00C36F18" w:rsidP="0049324B">
            <w:pPr>
              <w:jc w:val="center"/>
              <w:rPr>
                <w:sz w:val="16"/>
                <w:szCs w:val="16"/>
              </w:rPr>
            </w:pPr>
          </w:p>
        </w:tc>
      </w:tr>
      <w:tr w:rsidR="00C36F18" w14:paraId="5BC90592" w14:textId="77777777" w:rsidTr="00043FA1">
        <w:tc>
          <w:tcPr>
            <w:tcW w:w="1441" w:type="dxa"/>
            <w:vMerge/>
          </w:tcPr>
          <w:p w14:paraId="74CC08DD" w14:textId="77777777" w:rsidR="00C36F18" w:rsidRPr="008B2872" w:rsidRDefault="00C36F18" w:rsidP="0049324B">
            <w:pPr>
              <w:jc w:val="center"/>
              <w:rPr>
                <w:sz w:val="16"/>
                <w:szCs w:val="16"/>
              </w:rPr>
            </w:pPr>
          </w:p>
        </w:tc>
        <w:tc>
          <w:tcPr>
            <w:tcW w:w="1367" w:type="dxa"/>
            <w:vMerge/>
          </w:tcPr>
          <w:p w14:paraId="527CFB9F" w14:textId="77777777" w:rsidR="00C36F18" w:rsidRPr="008B2872" w:rsidRDefault="00C36F18" w:rsidP="0049324B">
            <w:pPr>
              <w:jc w:val="center"/>
              <w:rPr>
                <w:sz w:val="16"/>
                <w:szCs w:val="16"/>
              </w:rPr>
            </w:pPr>
          </w:p>
        </w:tc>
        <w:tc>
          <w:tcPr>
            <w:tcW w:w="2414" w:type="dxa"/>
          </w:tcPr>
          <w:p w14:paraId="1FCDEDFD" w14:textId="3209F46B" w:rsidR="00C36F18" w:rsidRPr="008B2872" w:rsidRDefault="00C36F18" w:rsidP="0049324B">
            <w:pPr>
              <w:jc w:val="center"/>
              <w:rPr>
                <w:sz w:val="16"/>
                <w:szCs w:val="16"/>
              </w:rPr>
            </w:pPr>
            <w:r>
              <w:rPr>
                <w:sz w:val="16"/>
                <w:szCs w:val="16"/>
              </w:rPr>
              <w:t xml:space="preserve">Develop national framework for inter-state/inter-island biosecurity </w:t>
            </w:r>
          </w:p>
        </w:tc>
        <w:tc>
          <w:tcPr>
            <w:tcW w:w="1309" w:type="dxa"/>
          </w:tcPr>
          <w:p w14:paraId="3A2FB39D" w14:textId="51C9C1D7" w:rsidR="00C36F18" w:rsidRPr="008B2872" w:rsidRDefault="00AD7C51" w:rsidP="0049324B">
            <w:pPr>
              <w:jc w:val="center"/>
              <w:rPr>
                <w:sz w:val="16"/>
                <w:szCs w:val="16"/>
              </w:rPr>
            </w:pPr>
            <w:r>
              <w:rPr>
                <w:sz w:val="16"/>
                <w:szCs w:val="16"/>
              </w:rPr>
              <w:t>NISCO</w:t>
            </w:r>
          </w:p>
        </w:tc>
        <w:tc>
          <w:tcPr>
            <w:tcW w:w="610" w:type="dxa"/>
          </w:tcPr>
          <w:p w14:paraId="530A6A6C" w14:textId="77777777" w:rsidR="00C36F18" w:rsidRPr="008B2872" w:rsidRDefault="00C36F18" w:rsidP="0049324B">
            <w:pPr>
              <w:jc w:val="center"/>
              <w:rPr>
                <w:sz w:val="16"/>
                <w:szCs w:val="16"/>
              </w:rPr>
            </w:pPr>
          </w:p>
        </w:tc>
        <w:tc>
          <w:tcPr>
            <w:tcW w:w="645" w:type="dxa"/>
          </w:tcPr>
          <w:p w14:paraId="51A189A6" w14:textId="77777777" w:rsidR="00C36F18" w:rsidRPr="008B2872" w:rsidRDefault="00C36F18" w:rsidP="0049324B">
            <w:pPr>
              <w:jc w:val="center"/>
              <w:rPr>
                <w:sz w:val="16"/>
                <w:szCs w:val="16"/>
              </w:rPr>
            </w:pPr>
          </w:p>
        </w:tc>
        <w:tc>
          <w:tcPr>
            <w:tcW w:w="690" w:type="dxa"/>
          </w:tcPr>
          <w:p w14:paraId="3D2A8C08" w14:textId="77777777" w:rsidR="00C36F18" w:rsidRPr="008B2872" w:rsidRDefault="00C36F18" w:rsidP="0049324B">
            <w:pPr>
              <w:jc w:val="center"/>
              <w:rPr>
                <w:sz w:val="16"/>
                <w:szCs w:val="16"/>
              </w:rPr>
            </w:pPr>
          </w:p>
        </w:tc>
        <w:tc>
          <w:tcPr>
            <w:tcW w:w="587" w:type="dxa"/>
            <w:shd w:val="clear" w:color="auto" w:fill="FBD4B4" w:themeFill="accent6" w:themeFillTint="66"/>
          </w:tcPr>
          <w:p w14:paraId="244AE9DF" w14:textId="77777777" w:rsidR="00C36F18" w:rsidRPr="008B2872" w:rsidRDefault="00C36F18" w:rsidP="0049324B">
            <w:pPr>
              <w:jc w:val="center"/>
              <w:rPr>
                <w:sz w:val="16"/>
                <w:szCs w:val="16"/>
              </w:rPr>
            </w:pPr>
          </w:p>
        </w:tc>
        <w:tc>
          <w:tcPr>
            <w:tcW w:w="690" w:type="dxa"/>
            <w:shd w:val="clear" w:color="auto" w:fill="FBD4B4" w:themeFill="accent6" w:themeFillTint="66"/>
          </w:tcPr>
          <w:p w14:paraId="68FAD71E" w14:textId="77777777" w:rsidR="00C36F18" w:rsidRPr="008B2872" w:rsidRDefault="00C36F18" w:rsidP="0049324B">
            <w:pPr>
              <w:jc w:val="center"/>
              <w:rPr>
                <w:sz w:val="16"/>
                <w:szCs w:val="16"/>
              </w:rPr>
            </w:pPr>
          </w:p>
        </w:tc>
        <w:tc>
          <w:tcPr>
            <w:tcW w:w="540" w:type="dxa"/>
          </w:tcPr>
          <w:p w14:paraId="7A1B8232" w14:textId="77777777" w:rsidR="00C36F18" w:rsidRPr="008B2872" w:rsidRDefault="00C36F18" w:rsidP="0049324B">
            <w:pPr>
              <w:jc w:val="center"/>
              <w:rPr>
                <w:sz w:val="16"/>
                <w:szCs w:val="16"/>
              </w:rPr>
            </w:pPr>
          </w:p>
        </w:tc>
        <w:tc>
          <w:tcPr>
            <w:tcW w:w="690" w:type="dxa"/>
          </w:tcPr>
          <w:p w14:paraId="0C5EB260" w14:textId="77777777" w:rsidR="00C36F18" w:rsidRPr="008B2872" w:rsidRDefault="00C36F18" w:rsidP="0049324B">
            <w:pPr>
              <w:jc w:val="center"/>
              <w:rPr>
                <w:sz w:val="16"/>
                <w:szCs w:val="16"/>
              </w:rPr>
            </w:pPr>
          </w:p>
        </w:tc>
        <w:tc>
          <w:tcPr>
            <w:tcW w:w="534" w:type="dxa"/>
          </w:tcPr>
          <w:p w14:paraId="27EDCA3E" w14:textId="77777777" w:rsidR="00C36F18" w:rsidRPr="008B2872" w:rsidRDefault="00C36F18" w:rsidP="0049324B">
            <w:pPr>
              <w:jc w:val="center"/>
              <w:rPr>
                <w:sz w:val="16"/>
                <w:szCs w:val="16"/>
              </w:rPr>
            </w:pPr>
          </w:p>
        </w:tc>
        <w:tc>
          <w:tcPr>
            <w:tcW w:w="690" w:type="dxa"/>
          </w:tcPr>
          <w:p w14:paraId="68747D4B" w14:textId="77777777" w:rsidR="00C36F18" w:rsidRPr="008B2872" w:rsidRDefault="00C36F18" w:rsidP="0049324B">
            <w:pPr>
              <w:jc w:val="center"/>
              <w:rPr>
                <w:sz w:val="16"/>
                <w:szCs w:val="16"/>
              </w:rPr>
            </w:pPr>
          </w:p>
        </w:tc>
        <w:tc>
          <w:tcPr>
            <w:tcW w:w="516" w:type="dxa"/>
          </w:tcPr>
          <w:p w14:paraId="57F79F1B" w14:textId="77777777" w:rsidR="00C36F18" w:rsidRPr="008B2872" w:rsidRDefault="00C36F18" w:rsidP="0049324B">
            <w:pPr>
              <w:jc w:val="center"/>
              <w:rPr>
                <w:sz w:val="16"/>
                <w:szCs w:val="16"/>
              </w:rPr>
            </w:pPr>
          </w:p>
        </w:tc>
        <w:tc>
          <w:tcPr>
            <w:tcW w:w="690" w:type="dxa"/>
          </w:tcPr>
          <w:p w14:paraId="519FA81F" w14:textId="77777777" w:rsidR="00C36F18" w:rsidRPr="008B2872" w:rsidRDefault="00C36F18" w:rsidP="0049324B">
            <w:pPr>
              <w:jc w:val="center"/>
              <w:rPr>
                <w:sz w:val="16"/>
                <w:szCs w:val="16"/>
              </w:rPr>
            </w:pPr>
          </w:p>
        </w:tc>
        <w:tc>
          <w:tcPr>
            <w:tcW w:w="513" w:type="dxa"/>
          </w:tcPr>
          <w:p w14:paraId="75019AE1" w14:textId="77777777" w:rsidR="00C36F18" w:rsidRPr="008B2872" w:rsidRDefault="00C36F18" w:rsidP="0049324B">
            <w:pPr>
              <w:jc w:val="center"/>
              <w:rPr>
                <w:sz w:val="16"/>
                <w:szCs w:val="16"/>
              </w:rPr>
            </w:pPr>
          </w:p>
        </w:tc>
        <w:tc>
          <w:tcPr>
            <w:tcW w:w="690" w:type="dxa"/>
          </w:tcPr>
          <w:p w14:paraId="599F9FF9" w14:textId="77777777" w:rsidR="00C36F18" w:rsidRPr="008B2872" w:rsidRDefault="00C36F18" w:rsidP="0049324B">
            <w:pPr>
              <w:jc w:val="center"/>
              <w:rPr>
                <w:sz w:val="16"/>
                <w:szCs w:val="16"/>
              </w:rPr>
            </w:pPr>
          </w:p>
        </w:tc>
      </w:tr>
      <w:tr w:rsidR="00D70466" w14:paraId="1C4DBAC4" w14:textId="77777777" w:rsidTr="00043FA1">
        <w:tc>
          <w:tcPr>
            <w:tcW w:w="1441" w:type="dxa"/>
            <w:vMerge/>
          </w:tcPr>
          <w:p w14:paraId="0DDBB921" w14:textId="77777777" w:rsidR="00D70466" w:rsidRPr="008B2872" w:rsidRDefault="00D70466" w:rsidP="0049324B">
            <w:pPr>
              <w:jc w:val="center"/>
              <w:rPr>
                <w:sz w:val="16"/>
                <w:szCs w:val="16"/>
              </w:rPr>
            </w:pPr>
          </w:p>
        </w:tc>
        <w:tc>
          <w:tcPr>
            <w:tcW w:w="1367" w:type="dxa"/>
            <w:vMerge w:val="restart"/>
          </w:tcPr>
          <w:p w14:paraId="4159DDD6" w14:textId="46B27182" w:rsidR="00D70466" w:rsidRPr="008B2872" w:rsidRDefault="00D70466" w:rsidP="0049324B">
            <w:pPr>
              <w:jc w:val="center"/>
              <w:rPr>
                <w:sz w:val="16"/>
                <w:szCs w:val="16"/>
              </w:rPr>
            </w:pPr>
            <w:r>
              <w:rPr>
                <w:sz w:val="16"/>
                <w:szCs w:val="16"/>
              </w:rPr>
              <w:t>Develop NISSAP (including collection of baseline information)</w:t>
            </w:r>
          </w:p>
        </w:tc>
        <w:tc>
          <w:tcPr>
            <w:tcW w:w="2414" w:type="dxa"/>
          </w:tcPr>
          <w:p w14:paraId="2FA03315" w14:textId="7B7F9CF8" w:rsidR="00D70466" w:rsidRPr="008B2872" w:rsidRDefault="00D70466" w:rsidP="0049324B">
            <w:pPr>
              <w:jc w:val="center"/>
              <w:rPr>
                <w:sz w:val="16"/>
                <w:szCs w:val="16"/>
              </w:rPr>
            </w:pPr>
            <w:r>
              <w:rPr>
                <w:sz w:val="16"/>
                <w:szCs w:val="16"/>
              </w:rPr>
              <w:t>Participatory input and evaluation in Year 1 and end-of-project</w:t>
            </w:r>
          </w:p>
        </w:tc>
        <w:tc>
          <w:tcPr>
            <w:tcW w:w="1309" w:type="dxa"/>
          </w:tcPr>
          <w:p w14:paraId="2FD48C63" w14:textId="6866D600" w:rsidR="00D70466" w:rsidRPr="008B2872" w:rsidRDefault="00AD7C51" w:rsidP="0049324B">
            <w:pPr>
              <w:jc w:val="center"/>
              <w:rPr>
                <w:sz w:val="16"/>
                <w:szCs w:val="16"/>
              </w:rPr>
            </w:pPr>
            <w:r>
              <w:rPr>
                <w:sz w:val="16"/>
                <w:szCs w:val="16"/>
              </w:rPr>
              <w:t>NISCO, NISC</w:t>
            </w:r>
            <w:r w:rsidR="00375AE8">
              <w:rPr>
                <w:sz w:val="16"/>
                <w:szCs w:val="16"/>
              </w:rPr>
              <w:t>, BD and BOA</w:t>
            </w:r>
          </w:p>
        </w:tc>
        <w:tc>
          <w:tcPr>
            <w:tcW w:w="610" w:type="dxa"/>
          </w:tcPr>
          <w:p w14:paraId="081A910D" w14:textId="77777777" w:rsidR="00D70466" w:rsidRPr="008B2872" w:rsidRDefault="00D70466" w:rsidP="0049324B">
            <w:pPr>
              <w:jc w:val="center"/>
              <w:rPr>
                <w:sz w:val="16"/>
                <w:szCs w:val="16"/>
              </w:rPr>
            </w:pPr>
          </w:p>
        </w:tc>
        <w:tc>
          <w:tcPr>
            <w:tcW w:w="645" w:type="dxa"/>
            <w:shd w:val="clear" w:color="auto" w:fill="FBD4B4" w:themeFill="accent6" w:themeFillTint="66"/>
          </w:tcPr>
          <w:p w14:paraId="7E3B6674" w14:textId="77777777" w:rsidR="00D70466" w:rsidRPr="008B2872" w:rsidRDefault="00D70466" w:rsidP="0049324B">
            <w:pPr>
              <w:jc w:val="center"/>
              <w:rPr>
                <w:sz w:val="16"/>
                <w:szCs w:val="16"/>
              </w:rPr>
            </w:pPr>
          </w:p>
        </w:tc>
        <w:tc>
          <w:tcPr>
            <w:tcW w:w="690" w:type="dxa"/>
            <w:shd w:val="clear" w:color="auto" w:fill="FBD4B4" w:themeFill="accent6" w:themeFillTint="66"/>
          </w:tcPr>
          <w:p w14:paraId="47D65BF6" w14:textId="77777777" w:rsidR="00D70466" w:rsidRPr="008B2872" w:rsidRDefault="00D70466" w:rsidP="0049324B">
            <w:pPr>
              <w:jc w:val="center"/>
              <w:rPr>
                <w:sz w:val="16"/>
                <w:szCs w:val="16"/>
              </w:rPr>
            </w:pPr>
          </w:p>
        </w:tc>
        <w:tc>
          <w:tcPr>
            <w:tcW w:w="587" w:type="dxa"/>
          </w:tcPr>
          <w:p w14:paraId="0592D4E5" w14:textId="77777777" w:rsidR="00D70466" w:rsidRPr="008B2872" w:rsidRDefault="00D70466" w:rsidP="0049324B">
            <w:pPr>
              <w:jc w:val="center"/>
              <w:rPr>
                <w:sz w:val="16"/>
                <w:szCs w:val="16"/>
              </w:rPr>
            </w:pPr>
          </w:p>
        </w:tc>
        <w:tc>
          <w:tcPr>
            <w:tcW w:w="690" w:type="dxa"/>
          </w:tcPr>
          <w:p w14:paraId="6CFE1793" w14:textId="77777777" w:rsidR="00D70466" w:rsidRPr="008B2872" w:rsidRDefault="00D70466" w:rsidP="0049324B">
            <w:pPr>
              <w:jc w:val="center"/>
              <w:rPr>
                <w:sz w:val="16"/>
                <w:szCs w:val="16"/>
              </w:rPr>
            </w:pPr>
          </w:p>
        </w:tc>
        <w:tc>
          <w:tcPr>
            <w:tcW w:w="540" w:type="dxa"/>
          </w:tcPr>
          <w:p w14:paraId="6ADB600E" w14:textId="77777777" w:rsidR="00D70466" w:rsidRPr="008B2872" w:rsidRDefault="00D70466" w:rsidP="0049324B">
            <w:pPr>
              <w:jc w:val="center"/>
              <w:rPr>
                <w:sz w:val="16"/>
                <w:szCs w:val="16"/>
              </w:rPr>
            </w:pPr>
          </w:p>
        </w:tc>
        <w:tc>
          <w:tcPr>
            <w:tcW w:w="690" w:type="dxa"/>
          </w:tcPr>
          <w:p w14:paraId="7D00EA73" w14:textId="77777777" w:rsidR="00D70466" w:rsidRPr="008B2872" w:rsidRDefault="00D70466" w:rsidP="0049324B">
            <w:pPr>
              <w:jc w:val="center"/>
              <w:rPr>
                <w:sz w:val="16"/>
                <w:szCs w:val="16"/>
              </w:rPr>
            </w:pPr>
          </w:p>
        </w:tc>
        <w:tc>
          <w:tcPr>
            <w:tcW w:w="534" w:type="dxa"/>
          </w:tcPr>
          <w:p w14:paraId="272F373D" w14:textId="77777777" w:rsidR="00D70466" w:rsidRPr="008B2872" w:rsidRDefault="00D70466" w:rsidP="0049324B">
            <w:pPr>
              <w:jc w:val="center"/>
              <w:rPr>
                <w:sz w:val="16"/>
                <w:szCs w:val="16"/>
              </w:rPr>
            </w:pPr>
          </w:p>
        </w:tc>
        <w:tc>
          <w:tcPr>
            <w:tcW w:w="690" w:type="dxa"/>
          </w:tcPr>
          <w:p w14:paraId="5966E392" w14:textId="77777777" w:rsidR="00D70466" w:rsidRPr="008B2872" w:rsidRDefault="00D70466" w:rsidP="0049324B">
            <w:pPr>
              <w:jc w:val="center"/>
              <w:rPr>
                <w:sz w:val="16"/>
                <w:szCs w:val="16"/>
              </w:rPr>
            </w:pPr>
          </w:p>
        </w:tc>
        <w:tc>
          <w:tcPr>
            <w:tcW w:w="516" w:type="dxa"/>
          </w:tcPr>
          <w:p w14:paraId="5B352BA8" w14:textId="77777777" w:rsidR="00D70466" w:rsidRPr="008B2872" w:rsidRDefault="00D70466" w:rsidP="0049324B">
            <w:pPr>
              <w:jc w:val="center"/>
              <w:rPr>
                <w:sz w:val="16"/>
                <w:szCs w:val="16"/>
              </w:rPr>
            </w:pPr>
          </w:p>
        </w:tc>
        <w:tc>
          <w:tcPr>
            <w:tcW w:w="690" w:type="dxa"/>
          </w:tcPr>
          <w:p w14:paraId="21D8C125" w14:textId="77777777" w:rsidR="00D70466" w:rsidRPr="008B2872" w:rsidRDefault="00D70466" w:rsidP="0049324B">
            <w:pPr>
              <w:jc w:val="center"/>
              <w:rPr>
                <w:sz w:val="16"/>
                <w:szCs w:val="16"/>
              </w:rPr>
            </w:pPr>
          </w:p>
        </w:tc>
        <w:tc>
          <w:tcPr>
            <w:tcW w:w="513" w:type="dxa"/>
            <w:shd w:val="clear" w:color="auto" w:fill="FBD4B4" w:themeFill="accent6" w:themeFillTint="66"/>
          </w:tcPr>
          <w:p w14:paraId="13767E9D" w14:textId="77777777" w:rsidR="00D70466" w:rsidRPr="008B2872" w:rsidRDefault="00D70466" w:rsidP="0049324B">
            <w:pPr>
              <w:jc w:val="center"/>
              <w:rPr>
                <w:sz w:val="16"/>
                <w:szCs w:val="16"/>
              </w:rPr>
            </w:pPr>
          </w:p>
        </w:tc>
        <w:tc>
          <w:tcPr>
            <w:tcW w:w="690" w:type="dxa"/>
            <w:shd w:val="clear" w:color="auto" w:fill="FBD4B4" w:themeFill="accent6" w:themeFillTint="66"/>
          </w:tcPr>
          <w:p w14:paraId="43E3FC2A" w14:textId="77777777" w:rsidR="00D70466" w:rsidRPr="008B2872" w:rsidRDefault="00D70466" w:rsidP="0049324B">
            <w:pPr>
              <w:jc w:val="center"/>
              <w:rPr>
                <w:sz w:val="16"/>
                <w:szCs w:val="16"/>
              </w:rPr>
            </w:pPr>
          </w:p>
        </w:tc>
      </w:tr>
      <w:tr w:rsidR="00D70466" w14:paraId="606A8A0A" w14:textId="77777777" w:rsidTr="00043FA1">
        <w:tc>
          <w:tcPr>
            <w:tcW w:w="1441" w:type="dxa"/>
            <w:vMerge/>
          </w:tcPr>
          <w:p w14:paraId="3BB73256" w14:textId="77777777" w:rsidR="00D70466" w:rsidRPr="008B2872" w:rsidRDefault="00D70466" w:rsidP="0049324B">
            <w:pPr>
              <w:jc w:val="center"/>
              <w:rPr>
                <w:sz w:val="16"/>
                <w:szCs w:val="16"/>
              </w:rPr>
            </w:pPr>
          </w:p>
        </w:tc>
        <w:tc>
          <w:tcPr>
            <w:tcW w:w="1367" w:type="dxa"/>
            <w:vMerge/>
          </w:tcPr>
          <w:p w14:paraId="7E12DD30" w14:textId="77777777" w:rsidR="00D70466" w:rsidRPr="008B2872" w:rsidRDefault="00D70466" w:rsidP="0049324B">
            <w:pPr>
              <w:jc w:val="center"/>
              <w:rPr>
                <w:sz w:val="16"/>
                <w:szCs w:val="16"/>
              </w:rPr>
            </w:pPr>
          </w:p>
        </w:tc>
        <w:tc>
          <w:tcPr>
            <w:tcW w:w="2414" w:type="dxa"/>
          </w:tcPr>
          <w:p w14:paraId="34BC735F" w14:textId="69B5C788" w:rsidR="00D70466" w:rsidRPr="008B2872" w:rsidRDefault="00D70466" w:rsidP="0049324B">
            <w:pPr>
              <w:jc w:val="center"/>
              <w:rPr>
                <w:sz w:val="16"/>
                <w:szCs w:val="16"/>
              </w:rPr>
            </w:pPr>
            <w:r>
              <w:rPr>
                <w:sz w:val="16"/>
                <w:szCs w:val="16"/>
              </w:rPr>
              <w:t>Drafting and approval of NISSAP</w:t>
            </w:r>
          </w:p>
        </w:tc>
        <w:tc>
          <w:tcPr>
            <w:tcW w:w="1309" w:type="dxa"/>
          </w:tcPr>
          <w:p w14:paraId="3CA2E3F2" w14:textId="55468839" w:rsidR="00D70466" w:rsidRPr="008B2872" w:rsidRDefault="00AD7C51" w:rsidP="0049324B">
            <w:pPr>
              <w:jc w:val="center"/>
              <w:rPr>
                <w:sz w:val="16"/>
                <w:szCs w:val="16"/>
              </w:rPr>
            </w:pPr>
            <w:r>
              <w:rPr>
                <w:sz w:val="16"/>
                <w:szCs w:val="16"/>
              </w:rPr>
              <w:t>NISCO, NISC</w:t>
            </w:r>
          </w:p>
        </w:tc>
        <w:tc>
          <w:tcPr>
            <w:tcW w:w="610" w:type="dxa"/>
          </w:tcPr>
          <w:p w14:paraId="500F8BFC" w14:textId="77777777" w:rsidR="00D70466" w:rsidRPr="008B2872" w:rsidRDefault="00D70466" w:rsidP="0049324B">
            <w:pPr>
              <w:jc w:val="center"/>
              <w:rPr>
                <w:sz w:val="16"/>
                <w:szCs w:val="16"/>
              </w:rPr>
            </w:pPr>
          </w:p>
        </w:tc>
        <w:tc>
          <w:tcPr>
            <w:tcW w:w="645" w:type="dxa"/>
            <w:shd w:val="clear" w:color="auto" w:fill="FBD4B4" w:themeFill="accent6" w:themeFillTint="66"/>
          </w:tcPr>
          <w:p w14:paraId="7F7A30EA" w14:textId="77777777" w:rsidR="00D70466" w:rsidRPr="008B2872" w:rsidRDefault="00D70466" w:rsidP="0049324B">
            <w:pPr>
              <w:jc w:val="center"/>
              <w:rPr>
                <w:sz w:val="16"/>
                <w:szCs w:val="16"/>
              </w:rPr>
            </w:pPr>
          </w:p>
        </w:tc>
        <w:tc>
          <w:tcPr>
            <w:tcW w:w="690" w:type="dxa"/>
            <w:shd w:val="clear" w:color="auto" w:fill="FBD4B4" w:themeFill="accent6" w:themeFillTint="66"/>
          </w:tcPr>
          <w:p w14:paraId="0DB37034" w14:textId="77777777" w:rsidR="00D70466" w:rsidRPr="008B2872" w:rsidRDefault="00D70466" w:rsidP="0049324B">
            <w:pPr>
              <w:jc w:val="center"/>
              <w:rPr>
                <w:sz w:val="16"/>
                <w:szCs w:val="16"/>
              </w:rPr>
            </w:pPr>
          </w:p>
        </w:tc>
        <w:tc>
          <w:tcPr>
            <w:tcW w:w="587" w:type="dxa"/>
            <w:shd w:val="clear" w:color="auto" w:fill="FBD4B4" w:themeFill="accent6" w:themeFillTint="66"/>
          </w:tcPr>
          <w:p w14:paraId="37E443A6" w14:textId="77777777" w:rsidR="00D70466" w:rsidRPr="008B2872" w:rsidRDefault="00D70466" w:rsidP="0049324B">
            <w:pPr>
              <w:jc w:val="center"/>
              <w:rPr>
                <w:sz w:val="16"/>
                <w:szCs w:val="16"/>
              </w:rPr>
            </w:pPr>
          </w:p>
        </w:tc>
        <w:tc>
          <w:tcPr>
            <w:tcW w:w="690" w:type="dxa"/>
          </w:tcPr>
          <w:p w14:paraId="4B03F917" w14:textId="77777777" w:rsidR="00D70466" w:rsidRPr="008B2872" w:rsidRDefault="00D70466" w:rsidP="0049324B">
            <w:pPr>
              <w:jc w:val="center"/>
              <w:rPr>
                <w:sz w:val="16"/>
                <w:szCs w:val="16"/>
              </w:rPr>
            </w:pPr>
          </w:p>
        </w:tc>
        <w:tc>
          <w:tcPr>
            <w:tcW w:w="540" w:type="dxa"/>
          </w:tcPr>
          <w:p w14:paraId="7277D3A0" w14:textId="77777777" w:rsidR="00D70466" w:rsidRPr="008B2872" w:rsidRDefault="00D70466" w:rsidP="0049324B">
            <w:pPr>
              <w:jc w:val="center"/>
              <w:rPr>
                <w:sz w:val="16"/>
                <w:szCs w:val="16"/>
              </w:rPr>
            </w:pPr>
          </w:p>
        </w:tc>
        <w:tc>
          <w:tcPr>
            <w:tcW w:w="690" w:type="dxa"/>
          </w:tcPr>
          <w:p w14:paraId="79FE8D05" w14:textId="77777777" w:rsidR="00D70466" w:rsidRPr="008B2872" w:rsidRDefault="00D70466" w:rsidP="0049324B">
            <w:pPr>
              <w:jc w:val="center"/>
              <w:rPr>
                <w:sz w:val="16"/>
                <w:szCs w:val="16"/>
              </w:rPr>
            </w:pPr>
          </w:p>
        </w:tc>
        <w:tc>
          <w:tcPr>
            <w:tcW w:w="534" w:type="dxa"/>
          </w:tcPr>
          <w:p w14:paraId="3574E83C" w14:textId="77777777" w:rsidR="00D70466" w:rsidRPr="008B2872" w:rsidRDefault="00D70466" w:rsidP="0049324B">
            <w:pPr>
              <w:jc w:val="center"/>
              <w:rPr>
                <w:sz w:val="16"/>
                <w:szCs w:val="16"/>
              </w:rPr>
            </w:pPr>
          </w:p>
        </w:tc>
        <w:tc>
          <w:tcPr>
            <w:tcW w:w="690" w:type="dxa"/>
          </w:tcPr>
          <w:p w14:paraId="60FE2388" w14:textId="77777777" w:rsidR="00D70466" w:rsidRPr="008B2872" w:rsidRDefault="00D70466" w:rsidP="0049324B">
            <w:pPr>
              <w:jc w:val="center"/>
              <w:rPr>
                <w:sz w:val="16"/>
                <w:szCs w:val="16"/>
              </w:rPr>
            </w:pPr>
          </w:p>
        </w:tc>
        <w:tc>
          <w:tcPr>
            <w:tcW w:w="516" w:type="dxa"/>
          </w:tcPr>
          <w:p w14:paraId="10A5FB2A" w14:textId="77777777" w:rsidR="00D70466" w:rsidRPr="008B2872" w:rsidRDefault="00D70466" w:rsidP="0049324B">
            <w:pPr>
              <w:jc w:val="center"/>
              <w:rPr>
                <w:sz w:val="16"/>
                <w:szCs w:val="16"/>
              </w:rPr>
            </w:pPr>
          </w:p>
        </w:tc>
        <w:tc>
          <w:tcPr>
            <w:tcW w:w="690" w:type="dxa"/>
          </w:tcPr>
          <w:p w14:paraId="4AA13D2B" w14:textId="77777777" w:rsidR="00D70466" w:rsidRPr="008B2872" w:rsidRDefault="00D70466" w:rsidP="0049324B">
            <w:pPr>
              <w:jc w:val="center"/>
              <w:rPr>
                <w:sz w:val="16"/>
                <w:szCs w:val="16"/>
              </w:rPr>
            </w:pPr>
          </w:p>
        </w:tc>
        <w:tc>
          <w:tcPr>
            <w:tcW w:w="513" w:type="dxa"/>
          </w:tcPr>
          <w:p w14:paraId="26B47C54" w14:textId="77777777" w:rsidR="00D70466" w:rsidRPr="008B2872" w:rsidRDefault="00D70466" w:rsidP="0049324B">
            <w:pPr>
              <w:jc w:val="center"/>
              <w:rPr>
                <w:sz w:val="16"/>
                <w:szCs w:val="16"/>
              </w:rPr>
            </w:pPr>
          </w:p>
        </w:tc>
        <w:tc>
          <w:tcPr>
            <w:tcW w:w="690" w:type="dxa"/>
          </w:tcPr>
          <w:p w14:paraId="751276F5" w14:textId="77777777" w:rsidR="00D70466" w:rsidRPr="008B2872" w:rsidRDefault="00D70466" w:rsidP="0049324B">
            <w:pPr>
              <w:jc w:val="center"/>
              <w:rPr>
                <w:sz w:val="16"/>
                <w:szCs w:val="16"/>
              </w:rPr>
            </w:pPr>
          </w:p>
        </w:tc>
      </w:tr>
      <w:tr w:rsidR="00D70466" w14:paraId="15367244" w14:textId="77777777" w:rsidTr="00043FA1">
        <w:tc>
          <w:tcPr>
            <w:tcW w:w="1441" w:type="dxa"/>
            <w:vMerge/>
          </w:tcPr>
          <w:p w14:paraId="46D77883" w14:textId="77777777" w:rsidR="00D70466" w:rsidRPr="008B2872" w:rsidRDefault="00D70466" w:rsidP="0049324B">
            <w:pPr>
              <w:jc w:val="center"/>
              <w:rPr>
                <w:sz w:val="16"/>
                <w:szCs w:val="16"/>
              </w:rPr>
            </w:pPr>
          </w:p>
        </w:tc>
        <w:tc>
          <w:tcPr>
            <w:tcW w:w="1367" w:type="dxa"/>
            <w:vMerge/>
          </w:tcPr>
          <w:p w14:paraId="5337232A" w14:textId="77777777" w:rsidR="00D70466" w:rsidRPr="008B2872" w:rsidRDefault="00D70466" w:rsidP="0049324B">
            <w:pPr>
              <w:jc w:val="center"/>
              <w:rPr>
                <w:sz w:val="16"/>
                <w:szCs w:val="16"/>
              </w:rPr>
            </w:pPr>
          </w:p>
        </w:tc>
        <w:tc>
          <w:tcPr>
            <w:tcW w:w="2414" w:type="dxa"/>
          </w:tcPr>
          <w:p w14:paraId="054CD97A" w14:textId="7B9985EB" w:rsidR="00D70466" w:rsidRPr="008B2872" w:rsidRDefault="00D70466" w:rsidP="0049324B">
            <w:pPr>
              <w:jc w:val="center"/>
              <w:rPr>
                <w:sz w:val="16"/>
                <w:szCs w:val="16"/>
              </w:rPr>
            </w:pPr>
            <w:r>
              <w:rPr>
                <w:sz w:val="16"/>
                <w:szCs w:val="16"/>
              </w:rPr>
              <w:t>Developing and implementing specific protocols for risk assessment for specific species importation, including black and white lists</w:t>
            </w:r>
          </w:p>
        </w:tc>
        <w:tc>
          <w:tcPr>
            <w:tcW w:w="1309" w:type="dxa"/>
          </w:tcPr>
          <w:p w14:paraId="703FE147" w14:textId="0DE4D40B" w:rsidR="00D70466" w:rsidRPr="008B2872" w:rsidRDefault="00AD7C51" w:rsidP="0049324B">
            <w:pPr>
              <w:jc w:val="center"/>
              <w:rPr>
                <w:sz w:val="16"/>
                <w:szCs w:val="16"/>
              </w:rPr>
            </w:pPr>
            <w:r>
              <w:rPr>
                <w:sz w:val="16"/>
                <w:szCs w:val="16"/>
              </w:rPr>
              <w:t>NISCO, NISC</w:t>
            </w:r>
          </w:p>
        </w:tc>
        <w:tc>
          <w:tcPr>
            <w:tcW w:w="610" w:type="dxa"/>
          </w:tcPr>
          <w:p w14:paraId="5DB25754" w14:textId="77777777" w:rsidR="00D70466" w:rsidRPr="008B2872" w:rsidRDefault="00D70466" w:rsidP="0049324B">
            <w:pPr>
              <w:jc w:val="center"/>
              <w:rPr>
                <w:sz w:val="16"/>
                <w:szCs w:val="16"/>
              </w:rPr>
            </w:pPr>
          </w:p>
        </w:tc>
        <w:tc>
          <w:tcPr>
            <w:tcW w:w="645" w:type="dxa"/>
          </w:tcPr>
          <w:p w14:paraId="1DCD1925" w14:textId="77777777" w:rsidR="00D70466" w:rsidRPr="008B2872" w:rsidRDefault="00D70466" w:rsidP="0049324B">
            <w:pPr>
              <w:jc w:val="center"/>
              <w:rPr>
                <w:sz w:val="16"/>
                <w:szCs w:val="16"/>
              </w:rPr>
            </w:pPr>
          </w:p>
        </w:tc>
        <w:tc>
          <w:tcPr>
            <w:tcW w:w="690" w:type="dxa"/>
            <w:shd w:val="clear" w:color="auto" w:fill="FBD4B4" w:themeFill="accent6" w:themeFillTint="66"/>
          </w:tcPr>
          <w:p w14:paraId="604A5BEF" w14:textId="77777777" w:rsidR="00D70466" w:rsidRPr="008B2872" w:rsidRDefault="00D70466" w:rsidP="0049324B">
            <w:pPr>
              <w:jc w:val="center"/>
              <w:rPr>
                <w:sz w:val="16"/>
                <w:szCs w:val="16"/>
              </w:rPr>
            </w:pPr>
          </w:p>
        </w:tc>
        <w:tc>
          <w:tcPr>
            <w:tcW w:w="587" w:type="dxa"/>
            <w:shd w:val="clear" w:color="auto" w:fill="FBD4B4" w:themeFill="accent6" w:themeFillTint="66"/>
          </w:tcPr>
          <w:p w14:paraId="1FB5C235" w14:textId="77777777" w:rsidR="00D70466" w:rsidRPr="008B2872" w:rsidRDefault="00D70466" w:rsidP="0049324B">
            <w:pPr>
              <w:jc w:val="center"/>
              <w:rPr>
                <w:sz w:val="16"/>
                <w:szCs w:val="16"/>
              </w:rPr>
            </w:pPr>
          </w:p>
        </w:tc>
        <w:tc>
          <w:tcPr>
            <w:tcW w:w="690" w:type="dxa"/>
            <w:shd w:val="clear" w:color="auto" w:fill="FBD4B4" w:themeFill="accent6" w:themeFillTint="66"/>
          </w:tcPr>
          <w:p w14:paraId="1AE831B0" w14:textId="77777777" w:rsidR="00D70466" w:rsidRPr="008B2872" w:rsidRDefault="00D70466" w:rsidP="0049324B">
            <w:pPr>
              <w:jc w:val="center"/>
              <w:rPr>
                <w:sz w:val="16"/>
                <w:szCs w:val="16"/>
              </w:rPr>
            </w:pPr>
          </w:p>
        </w:tc>
        <w:tc>
          <w:tcPr>
            <w:tcW w:w="540" w:type="dxa"/>
          </w:tcPr>
          <w:p w14:paraId="58C6FCE3" w14:textId="77777777" w:rsidR="00D70466" w:rsidRPr="008B2872" w:rsidRDefault="00D70466" w:rsidP="0049324B">
            <w:pPr>
              <w:jc w:val="center"/>
              <w:rPr>
                <w:sz w:val="16"/>
                <w:szCs w:val="16"/>
              </w:rPr>
            </w:pPr>
          </w:p>
        </w:tc>
        <w:tc>
          <w:tcPr>
            <w:tcW w:w="690" w:type="dxa"/>
          </w:tcPr>
          <w:p w14:paraId="64E06309" w14:textId="77777777" w:rsidR="00D70466" w:rsidRPr="008B2872" w:rsidRDefault="00D70466" w:rsidP="0049324B">
            <w:pPr>
              <w:jc w:val="center"/>
              <w:rPr>
                <w:sz w:val="16"/>
                <w:szCs w:val="16"/>
              </w:rPr>
            </w:pPr>
          </w:p>
        </w:tc>
        <w:tc>
          <w:tcPr>
            <w:tcW w:w="534" w:type="dxa"/>
          </w:tcPr>
          <w:p w14:paraId="0F44308E" w14:textId="77777777" w:rsidR="00D70466" w:rsidRPr="008B2872" w:rsidRDefault="00D70466" w:rsidP="0049324B">
            <w:pPr>
              <w:jc w:val="center"/>
              <w:rPr>
                <w:sz w:val="16"/>
                <w:szCs w:val="16"/>
              </w:rPr>
            </w:pPr>
          </w:p>
        </w:tc>
        <w:tc>
          <w:tcPr>
            <w:tcW w:w="690" w:type="dxa"/>
          </w:tcPr>
          <w:p w14:paraId="46077AB9" w14:textId="77777777" w:rsidR="00D70466" w:rsidRPr="008B2872" w:rsidRDefault="00D70466" w:rsidP="0049324B">
            <w:pPr>
              <w:jc w:val="center"/>
              <w:rPr>
                <w:sz w:val="16"/>
                <w:szCs w:val="16"/>
              </w:rPr>
            </w:pPr>
          </w:p>
        </w:tc>
        <w:tc>
          <w:tcPr>
            <w:tcW w:w="516" w:type="dxa"/>
          </w:tcPr>
          <w:p w14:paraId="27FBDB75" w14:textId="77777777" w:rsidR="00D70466" w:rsidRPr="008B2872" w:rsidRDefault="00D70466" w:rsidP="0049324B">
            <w:pPr>
              <w:jc w:val="center"/>
              <w:rPr>
                <w:sz w:val="16"/>
                <w:szCs w:val="16"/>
              </w:rPr>
            </w:pPr>
          </w:p>
        </w:tc>
        <w:tc>
          <w:tcPr>
            <w:tcW w:w="690" w:type="dxa"/>
          </w:tcPr>
          <w:p w14:paraId="041EDF97" w14:textId="77777777" w:rsidR="00D70466" w:rsidRPr="008B2872" w:rsidRDefault="00D70466" w:rsidP="0049324B">
            <w:pPr>
              <w:jc w:val="center"/>
              <w:rPr>
                <w:sz w:val="16"/>
                <w:szCs w:val="16"/>
              </w:rPr>
            </w:pPr>
          </w:p>
        </w:tc>
        <w:tc>
          <w:tcPr>
            <w:tcW w:w="513" w:type="dxa"/>
          </w:tcPr>
          <w:p w14:paraId="2F744D4B" w14:textId="77777777" w:rsidR="00D70466" w:rsidRPr="008B2872" w:rsidRDefault="00D70466" w:rsidP="0049324B">
            <w:pPr>
              <w:jc w:val="center"/>
              <w:rPr>
                <w:sz w:val="16"/>
                <w:szCs w:val="16"/>
              </w:rPr>
            </w:pPr>
          </w:p>
        </w:tc>
        <w:tc>
          <w:tcPr>
            <w:tcW w:w="690" w:type="dxa"/>
          </w:tcPr>
          <w:p w14:paraId="1BC5FAE2" w14:textId="77777777" w:rsidR="00D70466" w:rsidRPr="008B2872" w:rsidRDefault="00D70466" w:rsidP="0049324B">
            <w:pPr>
              <w:jc w:val="center"/>
              <w:rPr>
                <w:sz w:val="16"/>
                <w:szCs w:val="16"/>
              </w:rPr>
            </w:pPr>
          </w:p>
        </w:tc>
      </w:tr>
      <w:tr w:rsidR="00D70466" w14:paraId="51A9F57C" w14:textId="77777777" w:rsidTr="00043FA1">
        <w:tc>
          <w:tcPr>
            <w:tcW w:w="1441" w:type="dxa"/>
            <w:vMerge/>
          </w:tcPr>
          <w:p w14:paraId="102DD670" w14:textId="77777777" w:rsidR="00D70466" w:rsidRPr="008B2872" w:rsidRDefault="00D70466" w:rsidP="0049324B">
            <w:pPr>
              <w:jc w:val="center"/>
              <w:rPr>
                <w:sz w:val="16"/>
                <w:szCs w:val="16"/>
              </w:rPr>
            </w:pPr>
          </w:p>
        </w:tc>
        <w:tc>
          <w:tcPr>
            <w:tcW w:w="1367" w:type="dxa"/>
            <w:vMerge/>
          </w:tcPr>
          <w:p w14:paraId="49885224" w14:textId="77777777" w:rsidR="00D70466" w:rsidRPr="008B2872" w:rsidRDefault="00D70466" w:rsidP="0049324B">
            <w:pPr>
              <w:jc w:val="center"/>
              <w:rPr>
                <w:sz w:val="16"/>
                <w:szCs w:val="16"/>
              </w:rPr>
            </w:pPr>
          </w:p>
        </w:tc>
        <w:tc>
          <w:tcPr>
            <w:tcW w:w="2414" w:type="dxa"/>
          </w:tcPr>
          <w:p w14:paraId="0DC4058C" w14:textId="4BB38607" w:rsidR="00D70466" w:rsidRPr="008B2872" w:rsidRDefault="00D70466" w:rsidP="0049324B">
            <w:pPr>
              <w:jc w:val="center"/>
              <w:rPr>
                <w:sz w:val="16"/>
                <w:szCs w:val="16"/>
              </w:rPr>
            </w:pPr>
            <w:r>
              <w:rPr>
                <w:sz w:val="16"/>
                <w:szCs w:val="16"/>
              </w:rPr>
              <w:t>Developing guidelines and best practices for use of native species in landscaping, aquaculture, agriculture and forestry</w:t>
            </w:r>
          </w:p>
        </w:tc>
        <w:tc>
          <w:tcPr>
            <w:tcW w:w="1309" w:type="dxa"/>
          </w:tcPr>
          <w:p w14:paraId="341596DD" w14:textId="4CA5EE9C" w:rsidR="00D70466" w:rsidRPr="008B2872" w:rsidRDefault="00AD7C51" w:rsidP="0049324B">
            <w:pPr>
              <w:jc w:val="center"/>
              <w:rPr>
                <w:sz w:val="16"/>
                <w:szCs w:val="16"/>
              </w:rPr>
            </w:pPr>
            <w:r>
              <w:rPr>
                <w:sz w:val="16"/>
                <w:szCs w:val="16"/>
              </w:rPr>
              <w:t>BOA</w:t>
            </w:r>
          </w:p>
        </w:tc>
        <w:tc>
          <w:tcPr>
            <w:tcW w:w="610" w:type="dxa"/>
          </w:tcPr>
          <w:p w14:paraId="3B496F4E" w14:textId="77777777" w:rsidR="00D70466" w:rsidRPr="008B2872" w:rsidRDefault="00D70466" w:rsidP="0049324B">
            <w:pPr>
              <w:jc w:val="center"/>
              <w:rPr>
                <w:sz w:val="16"/>
                <w:szCs w:val="16"/>
              </w:rPr>
            </w:pPr>
          </w:p>
        </w:tc>
        <w:tc>
          <w:tcPr>
            <w:tcW w:w="645" w:type="dxa"/>
          </w:tcPr>
          <w:p w14:paraId="0B3FE712" w14:textId="77777777" w:rsidR="00D70466" w:rsidRPr="008B2872" w:rsidRDefault="00D70466" w:rsidP="0049324B">
            <w:pPr>
              <w:jc w:val="center"/>
              <w:rPr>
                <w:sz w:val="16"/>
                <w:szCs w:val="16"/>
              </w:rPr>
            </w:pPr>
          </w:p>
        </w:tc>
        <w:tc>
          <w:tcPr>
            <w:tcW w:w="690" w:type="dxa"/>
          </w:tcPr>
          <w:p w14:paraId="2D9047F3" w14:textId="77777777" w:rsidR="00D70466" w:rsidRPr="008B2872" w:rsidRDefault="00D70466" w:rsidP="0049324B">
            <w:pPr>
              <w:jc w:val="center"/>
              <w:rPr>
                <w:sz w:val="16"/>
                <w:szCs w:val="16"/>
              </w:rPr>
            </w:pPr>
          </w:p>
        </w:tc>
        <w:tc>
          <w:tcPr>
            <w:tcW w:w="587" w:type="dxa"/>
          </w:tcPr>
          <w:p w14:paraId="132507C7" w14:textId="77777777" w:rsidR="00D70466" w:rsidRPr="008B2872" w:rsidRDefault="00D70466" w:rsidP="0049324B">
            <w:pPr>
              <w:jc w:val="center"/>
              <w:rPr>
                <w:sz w:val="16"/>
                <w:szCs w:val="16"/>
              </w:rPr>
            </w:pPr>
          </w:p>
        </w:tc>
        <w:tc>
          <w:tcPr>
            <w:tcW w:w="690" w:type="dxa"/>
          </w:tcPr>
          <w:p w14:paraId="0EA8103F" w14:textId="77777777" w:rsidR="00D70466" w:rsidRPr="008B2872" w:rsidRDefault="00D70466" w:rsidP="0049324B">
            <w:pPr>
              <w:jc w:val="center"/>
              <w:rPr>
                <w:sz w:val="16"/>
                <w:szCs w:val="16"/>
              </w:rPr>
            </w:pPr>
          </w:p>
        </w:tc>
        <w:tc>
          <w:tcPr>
            <w:tcW w:w="540" w:type="dxa"/>
            <w:shd w:val="clear" w:color="auto" w:fill="FBD4B4" w:themeFill="accent6" w:themeFillTint="66"/>
          </w:tcPr>
          <w:p w14:paraId="60840824" w14:textId="77777777" w:rsidR="00D70466" w:rsidRPr="008B2872" w:rsidRDefault="00D70466" w:rsidP="0049324B">
            <w:pPr>
              <w:jc w:val="center"/>
              <w:rPr>
                <w:sz w:val="16"/>
                <w:szCs w:val="16"/>
              </w:rPr>
            </w:pPr>
          </w:p>
        </w:tc>
        <w:tc>
          <w:tcPr>
            <w:tcW w:w="690" w:type="dxa"/>
            <w:shd w:val="clear" w:color="auto" w:fill="FBD4B4" w:themeFill="accent6" w:themeFillTint="66"/>
          </w:tcPr>
          <w:p w14:paraId="44394351" w14:textId="77777777" w:rsidR="00D70466" w:rsidRPr="008B2872" w:rsidRDefault="00D70466" w:rsidP="0049324B">
            <w:pPr>
              <w:jc w:val="center"/>
              <w:rPr>
                <w:sz w:val="16"/>
                <w:szCs w:val="16"/>
              </w:rPr>
            </w:pPr>
          </w:p>
        </w:tc>
        <w:tc>
          <w:tcPr>
            <w:tcW w:w="534" w:type="dxa"/>
          </w:tcPr>
          <w:p w14:paraId="63D84607" w14:textId="77777777" w:rsidR="00D70466" w:rsidRPr="008B2872" w:rsidRDefault="00D70466" w:rsidP="0049324B">
            <w:pPr>
              <w:jc w:val="center"/>
              <w:rPr>
                <w:sz w:val="16"/>
                <w:szCs w:val="16"/>
              </w:rPr>
            </w:pPr>
          </w:p>
        </w:tc>
        <w:tc>
          <w:tcPr>
            <w:tcW w:w="690" w:type="dxa"/>
          </w:tcPr>
          <w:p w14:paraId="7B035EF2" w14:textId="77777777" w:rsidR="00D70466" w:rsidRPr="008B2872" w:rsidRDefault="00D70466" w:rsidP="0049324B">
            <w:pPr>
              <w:jc w:val="center"/>
              <w:rPr>
                <w:sz w:val="16"/>
                <w:szCs w:val="16"/>
              </w:rPr>
            </w:pPr>
          </w:p>
        </w:tc>
        <w:tc>
          <w:tcPr>
            <w:tcW w:w="516" w:type="dxa"/>
          </w:tcPr>
          <w:p w14:paraId="4B5E530A" w14:textId="77777777" w:rsidR="00D70466" w:rsidRPr="008B2872" w:rsidRDefault="00D70466" w:rsidP="0049324B">
            <w:pPr>
              <w:jc w:val="center"/>
              <w:rPr>
                <w:sz w:val="16"/>
                <w:szCs w:val="16"/>
              </w:rPr>
            </w:pPr>
          </w:p>
        </w:tc>
        <w:tc>
          <w:tcPr>
            <w:tcW w:w="690" w:type="dxa"/>
          </w:tcPr>
          <w:p w14:paraId="7CA47A79" w14:textId="77777777" w:rsidR="00D70466" w:rsidRPr="008B2872" w:rsidRDefault="00D70466" w:rsidP="0049324B">
            <w:pPr>
              <w:jc w:val="center"/>
              <w:rPr>
                <w:sz w:val="16"/>
                <w:szCs w:val="16"/>
              </w:rPr>
            </w:pPr>
          </w:p>
        </w:tc>
        <w:tc>
          <w:tcPr>
            <w:tcW w:w="513" w:type="dxa"/>
          </w:tcPr>
          <w:p w14:paraId="4CFB7DF9" w14:textId="77777777" w:rsidR="00D70466" w:rsidRPr="008B2872" w:rsidRDefault="00D70466" w:rsidP="0049324B">
            <w:pPr>
              <w:jc w:val="center"/>
              <w:rPr>
                <w:sz w:val="16"/>
                <w:szCs w:val="16"/>
              </w:rPr>
            </w:pPr>
          </w:p>
        </w:tc>
        <w:tc>
          <w:tcPr>
            <w:tcW w:w="690" w:type="dxa"/>
          </w:tcPr>
          <w:p w14:paraId="671CA9C6" w14:textId="77777777" w:rsidR="00D70466" w:rsidRPr="008B2872" w:rsidRDefault="00D70466" w:rsidP="0049324B">
            <w:pPr>
              <w:jc w:val="center"/>
              <w:rPr>
                <w:sz w:val="16"/>
                <w:szCs w:val="16"/>
              </w:rPr>
            </w:pPr>
          </w:p>
        </w:tc>
      </w:tr>
      <w:tr w:rsidR="00D70466" w14:paraId="72B247D8" w14:textId="77777777" w:rsidTr="00043FA1">
        <w:tc>
          <w:tcPr>
            <w:tcW w:w="1441" w:type="dxa"/>
            <w:vMerge/>
          </w:tcPr>
          <w:p w14:paraId="3FE6A3EB" w14:textId="77777777" w:rsidR="00D70466" w:rsidRPr="008B2872" w:rsidRDefault="00D70466" w:rsidP="0049324B">
            <w:pPr>
              <w:jc w:val="center"/>
              <w:rPr>
                <w:sz w:val="16"/>
                <w:szCs w:val="16"/>
              </w:rPr>
            </w:pPr>
          </w:p>
        </w:tc>
        <w:tc>
          <w:tcPr>
            <w:tcW w:w="1367" w:type="dxa"/>
            <w:vMerge/>
          </w:tcPr>
          <w:p w14:paraId="0E2B3ED9" w14:textId="77777777" w:rsidR="00D70466" w:rsidRPr="008B2872" w:rsidRDefault="00D70466" w:rsidP="0049324B">
            <w:pPr>
              <w:jc w:val="center"/>
              <w:rPr>
                <w:sz w:val="16"/>
                <w:szCs w:val="16"/>
              </w:rPr>
            </w:pPr>
          </w:p>
        </w:tc>
        <w:tc>
          <w:tcPr>
            <w:tcW w:w="2414" w:type="dxa"/>
          </w:tcPr>
          <w:p w14:paraId="2C16C175" w14:textId="4129858C" w:rsidR="00D70466" w:rsidRPr="008B2872" w:rsidRDefault="00D70466" w:rsidP="0049324B">
            <w:pPr>
              <w:jc w:val="center"/>
              <w:rPr>
                <w:sz w:val="16"/>
                <w:szCs w:val="16"/>
              </w:rPr>
            </w:pPr>
            <w:r>
              <w:rPr>
                <w:sz w:val="16"/>
                <w:szCs w:val="16"/>
              </w:rPr>
              <w:t>Nationwide mapping of IAS</w:t>
            </w:r>
          </w:p>
        </w:tc>
        <w:tc>
          <w:tcPr>
            <w:tcW w:w="1309" w:type="dxa"/>
          </w:tcPr>
          <w:p w14:paraId="000868F2" w14:textId="14BFC1E6" w:rsidR="00D70466" w:rsidRPr="008B2872" w:rsidRDefault="00AD7C51" w:rsidP="0049324B">
            <w:pPr>
              <w:jc w:val="center"/>
              <w:rPr>
                <w:sz w:val="16"/>
                <w:szCs w:val="16"/>
              </w:rPr>
            </w:pPr>
            <w:r>
              <w:rPr>
                <w:sz w:val="16"/>
                <w:szCs w:val="16"/>
              </w:rPr>
              <w:t>NISCO, NISC</w:t>
            </w:r>
          </w:p>
        </w:tc>
        <w:tc>
          <w:tcPr>
            <w:tcW w:w="610" w:type="dxa"/>
          </w:tcPr>
          <w:p w14:paraId="5DAEAB4F" w14:textId="77777777" w:rsidR="00D70466" w:rsidRPr="008B2872" w:rsidRDefault="00D70466" w:rsidP="0049324B">
            <w:pPr>
              <w:jc w:val="center"/>
              <w:rPr>
                <w:sz w:val="16"/>
                <w:szCs w:val="16"/>
              </w:rPr>
            </w:pPr>
          </w:p>
        </w:tc>
        <w:tc>
          <w:tcPr>
            <w:tcW w:w="645" w:type="dxa"/>
            <w:shd w:val="clear" w:color="auto" w:fill="FBD4B4" w:themeFill="accent6" w:themeFillTint="66"/>
          </w:tcPr>
          <w:p w14:paraId="10EED3AA" w14:textId="77777777" w:rsidR="00D70466" w:rsidRPr="008B2872" w:rsidRDefault="00D70466" w:rsidP="0049324B">
            <w:pPr>
              <w:jc w:val="center"/>
              <w:rPr>
                <w:sz w:val="16"/>
                <w:szCs w:val="16"/>
              </w:rPr>
            </w:pPr>
          </w:p>
        </w:tc>
        <w:tc>
          <w:tcPr>
            <w:tcW w:w="690" w:type="dxa"/>
            <w:shd w:val="clear" w:color="auto" w:fill="FBD4B4" w:themeFill="accent6" w:themeFillTint="66"/>
          </w:tcPr>
          <w:p w14:paraId="353AD954" w14:textId="77777777" w:rsidR="00D70466" w:rsidRPr="008B2872" w:rsidRDefault="00D70466" w:rsidP="0049324B">
            <w:pPr>
              <w:jc w:val="center"/>
              <w:rPr>
                <w:sz w:val="16"/>
                <w:szCs w:val="16"/>
              </w:rPr>
            </w:pPr>
          </w:p>
        </w:tc>
        <w:tc>
          <w:tcPr>
            <w:tcW w:w="587" w:type="dxa"/>
          </w:tcPr>
          <w:p w14:paraId="2DB04AAD" w14:textId="77777777" w:rsidR="00D70466" w:rsidRPr="008B2872" w:rsidRDefault="00D70466" w:rsidP="0049324B">
            <w:pPr>
              <w:jc w:val="center"/>
              <w:rPr>
                <w:sz w:val="16"/>
                <w:szCs w:val="16"/>
              </w:rPr>
            </w:pPr>
          </w:p>
        </w:tc>
        <w:tc>
          <w:tcPr>
            <w:tcW w:w="690" w:type="dxa"/>
          </w:tcPr>
          <w:p w14:paraId="5F2D9C8C" w14:textId="77777777" w:rsidR="00D70466" w:rsidRPr="008B2872" w:rsidRDefault="00D70466" w:rsidP="0049324B">
            <w:pPr>
              <w:jc w:val="center"/>
              <w:rPr>
                <w:sz w:val="16"/>
                <w:szCs w:val="16"/>
              </w:rPr>
            </w:pPr>
          </w:p>
        </w:tc>
        <w:tc>
          <w:tcPr>
            <w:tcW w:w="540" w:type="dxa"/>
          </w:tcPr>
          <w:p w14:paraId="73DB8E8F" w14:textId="77777777" w:rsidR="00D70466" w:rsidRPr="008B2872" w:rsidRDefault="00D70466" w:rsidP="0049324B">
            <w:pPr>
              <w:jc w:val="center"/>
              <w:rPr>
                <w:sz w:val="16"/>
                <w:szCs w:val="16"/>
              </w:rPr>
            </w:pPr>
          </w:p>
        </w:tc>
        <w:tc>
          <w:tcPr>
            <w:tcW w:w="690" w:type="dxa"/>
          </w:tcPr>
          <w:p w14:paraId="48F8ECC6" w14:textId="77777777" w:rsidR="00D70466" w:rsidRPr="008B2872" w:rsidRDefault="00D70466" w:rsidP="0049324B">
            <w:pPr>
              <w:jc w:val="center"/>
              <w:rPr>
                <w:sz w:val="16"/>
                <w:szCs w:val="16"/>
              </w:rPr>
            </w:pPr>
          </w:p>
        </w:tc>
        <w:tc>
          <w:tcPr>
            <w:tcW w:w="534" w:type="dxa"/>
          </w:tcPr>
          <w:p w14:paraId="10A04645" w14:textId="77777777" w:rsidR="00D70466" w:rsidRPr="008B2872" w:rsidRDefault="00D70466" w:rsidP="0049324B">
            <w:pPr>
              <w:jc w:val="center"/>
              <w:rPr>
                <w:sz w:val="16"/>
                <w:szCs w:val="16"/>
              </w:rPr>
            </w:pPr>
          </w:p>
        </w:tc>
        <w:tc>
          <w:tcPr>
            <w:tcW w:w="690" w:type="dxa"/>
          </w:tcPr>
          <w:p w14:paraId="6FB46C7A" w14:textId="77777777" w:rsidR="00D70466" w:rsidRPr="008B2872" w:rsidRDefault="00D70466" w:rsidP="0049324B">
            <w:pPr>
              <w:jc w:val="center"/>
              <w:rPr>
                <w:sz w:val="16"/>
                <w:szCs w:val="16"/>
              </w:rPr>
            </w:pPr>
          </w:p>
        </w:tc>
        <w:tc>
          <w:tcPr>
            <w:tcW w:w="516" w:type="dxa"/>
          </w:tcPr>
          <w:p w14:paraId="77B272FD" w14:textId="77777777" w:rsidR="00D70466" w:rsidRPr="008B2872" w:rsidRDefault="00D70466" w:rsidP="0049324B">
            <w:pPr>
              <w:jc w:val="center"/>
              <w:rPr>
                <w:sz w:val="16"/>
                <w:szCs w:val="16"/>
              </w:rPr>
            </w:pPr>
          </w:p>
        </w:tc>
        <w:tc>
          <w:tcPr>
            <w:tcW w:w="690" w:type="dxa"/>
          </w:tcPr>
          <w:p w14:paraId="13F238B1" w14:textId="77777777" w:rsidR="00D70466" w:rsidRPr="008B2872" w:rsidRDefault="00D70466" w:rsidP="0049324B">
            <w:pPr>
              <w:jc w:val="center"/>
              <w:rPr>
                <w:sz w:val="16"/>
                <w:szCs w:val="16"/>
              </w:rPr>
            </w:pPr>
          </w:p>
        </w:tc>
        <w:tc>
          <w:tcPr>
            <w:tcW w:w="513" w:type="dxa"/>
          </w:tcPr>
          <w:p w14:paraId="4E759D9D" w14:textId="77777777" w:rsidR="00D70466" w:rsidRPr="008B2872" w:rsidRDefault="00D70466" w:rsidP="0049324B">
            <w:pPr>
              <w:jc w:val="center"/>
              <w:rPr>
                <w:sz w:val="16"/>
                <w:szCs w:val="16"/>
              </w:rPr>
            </w:pPr>
          </w:p>
        </w:tc>
        <w:tc>
          <w:tcPr>
            <w:tcW w:w="690" w:type="dxa"/>
          </w:tcPr>
          <w:p w14:paraId="112C7C89" w14:textId="77777777" w:rsidR="00D70466" w:rsidRPr="008B2872" w:rsidRDefault="00D70466" w:rsidP="0049324B">
            <w:pPr>
              <w:jc w:val="center"/>
              <w:rPr>
                <w:sz w:val="16"/>
                <w:szCs w:val="16"/>
              </w:rPr>
            </w:pPr>
          </w:p>
        </w:tc>
      </w:tr>
      <w:tr w:rsidR="00D70466" w14:paraId="1FE1D719" w14:textId="77777777" w:rsidTr="00043FA1">
        <w:tc>
          <w:tcPr>
            <w:tcW w:w="1441" w:type="dxa"/>
            <w:vMerge/>
          </w:tcPr>
          <w:p w14:paraId="251F69FC" w14:textId="77777777" w:rsidR="00D70466" w:rsidRPr="008B2872" w:rsidRDefault="00D70466" w:rsidP="0049324B">
            <w:pPr>
              <w:jc w:val="center"/>
              <w:rPr>
                <w:sz w:val="16"/>
                <w:szCs w:val="16"/>
              </w:rPr>
            </w:pPr>
          </w:p>
        </w:tc>
        <w:tc>
          <w:tcPr>
            <w:tcW w:w="1367" w:type="dxa"/>
            <w:vMerge/>
          </w:tcPr>
          <w:p w14:paraId="4131BC64" w14:textId="77777777" w:rsidR="00D70466" w:rsidRPr="008B2872" w:rsidRDefault="00D70466" w:rsidP="0049324B">
            <w:pPr>
              <w:jc w:val="center"/>
              <w:rPr>
                <w:sz w:val="16"/>
                <w:szCs w:val="16"/>
              </w:rPr>
            </w:pPr>
          </w:p>
        </w:tc>
        <w:tc>
          <w:tcPr>
            <w:tcW w:w="2414" w:type="dxa"/>
          </w:tcPr>
          <w:p w14:paraId="2C152BFC" w14:textId="5AD62D84" w:rsidR="00D70466" w:rsidRPr="008B2872" w:rsidRDefault="00D70466" w:rsidP="0049324B">
            <w:pPr>
              <w:jc w:val="center"/>
              <w:rPr>
                <w:sz w:val="16"/>
                <w:szCs w:val="16"/>
              </w:rPr>
            </w:pPr>
            <w:r>
              <w:rPr>
                <w:sz w:val="16"/>
                <w:szCs w:val="16"/>
              </w:rPr>
              <w:t>CRB mapping in trial states and then nationwide</w:t>
            </w:r>
          </w:p>
        </w:tc>
        <w:tc>
          <w:tcPr>
            <w:tcW w:w="1309" w:type="dxa"/>
          </w:tcPr>
          <w:p w14:paraId="43452C5A" w14:textId="1B7E4543" w:rsidR="00D70466" w:rsidRPr="008B2872" w:rsidRDefault="00AD7C51" w:rsidP="0049324B">
            <w:pPr>
              <w:jc w:val="center"/>
              <w:rPr>
                <w:sz w:val="16"/>
                <w:szCs w:val="16"/>
              </w:rPr>
            </w:pPr>
            <w:r>
              <w:rPr>
                <w:sz w:val="16"/>
                <w:szCs w:val="16"/>
              </w:rPr>
              <w:t>NISCO, NISC</w:t>
            </w:r>
          </w:p>
        </w:tc>
        <w:tc>
          <w:tcPr>
            <w:tcW w:w="610" w:type="dxa"/>
          </w:tcPr>
          <w:p w14:paraId="4FC34F50" w14:textId="77777777" w:rsidR="00D70466" w:rsidRPr="008B2872" w:rsidRDefault="00D70466" w:rsidP="0049324B">
            <w:pPr>
              <w:jc w:val="center"/>
              <w:rPr>
                <w:sz w:val="16"/>
                <w:szCs w:val="16"/>
              </w:rPr>
            </w:pPr>
          </w:p>
        </w:tc>
        <w:tc>
          <w:tcPr>
            <w:tcW w:w="645" w:type="dxa"/>
          </w:tcPr>
          <w:p w14:paraId="12C68901" w14:textId="77777777" w:rsidR="00D70466" w:rsidRPr="008B2872" w:rsidRDefault="00D70466" w:rsidP="0049324B">
            <w:pPr>
              <w:jc w:val="center"/>
              <w:rPr>
                <w:sz w:val="16"/>
                <w:szCs w:val="16"/>
              </w:rPr>
            </w:pPr>
          </w:p>
        </w:tc>
        <w:tc>
          <w:tcPr>
            <w:tcW w:w="690" w:type="dxa"/>
          </w:tcPr>
          <w:p w14:paraId="6582B624" w14:textId="77777777" w:rsidR="00D70466" w:rsidRPr="008B2872" w:rsidRDefault="00D70466" w:rsidP="0049324B">
            <w:pPr>
              <w:jc w:val="center"/>
              <w:rPr>
                <w:sz w:val="16"/>
                <w:szCs w:val="16"/>
              </w:rPr>
            </w:pPr>
          </w:p>
        </w:tc>
        <w:tc>
          <w:tcPr>
            <w:tcW w:w="587" w:type="dxa"/>
          </w:tcPr>
          <w:p w14:paraId="6292678E" w14:textId="77777777" w:rsidR="00D70466" w:rsidRPr="008B2872" w:rsidRDefault="00D70466" w:rsidP="0049324B">
            <w:pPr>
              <w:jc w:val="center"/>
              <w:rPr>
                <w:sz w:val="16"/>
                <w:szCs w:val="16"/>
              </w:rPr>
            </w:pPr>
          </w:p>
        </w:tc>
        <w:tc>
          <w:tcPr>
            <w:tcW w:w="690" w:type="dxa"/>
          </w:tcPr>
          <w:p w14:paraId="259BA2AE" w14:textId="77777777" w:rsidR="00D70466" w:rsidRPr="008B2872" w:rsidRDefault="00D70466" w:rsidP="0049324B">
            <w:pPr>
              <w:jc w:val="center"/>
              <w:rPr>
                <w:sz w:val="16"/>
                <w:szCs w:val="16"/>
              </w:rPr>
            </w:pPr>
          </w:p>
        </w:tc>
        <w:tc>
          <w:tcPr>
            <w:tcW w:w="540" w:type="dxa"/>
            <w:shd w:val="clear" w:color="auto" w:fill="FBD4B4" w:themeFill="accent6" w:themeFillTint="66"/>
          </w:tcPr>
          <w:p w14:paraId="5EBCBCDC" w14:textId="77777777" w:rsidR="00D70466" w:rsidRPr="008B2872" w:rsidRDefault="00D70466" w:rsidP="0049324B">
            <w:pPr>
              <w:jc w:val="center"/>
              <w:rPr>
                <w:sz w:val="16"/>
                <w:szCs w:val="16"/>
              </w:rPr>
            </w:pPr>
          </w:p>
        </w:tc>
        <w:tc>
          <w:tcPr>
            <w:tcW w:w="690" w:type="dxa"/>
            <w:shd w:val="clear" w:color="auto" w:fill="FBD4B4" w:themeFill="accent6" w:themeFillTint="66"/>
          </w:tcPr>
          <w:p w14:paraId="09A620FD" w14:textId="77777777" w:rsidR="00D70466" w:rsidRPr="008B2872" w:rsidRDefault="00D70466" w:rsidP="0049324B">
            <w:pPr>
              <w:jc w:val="center"/>
              <w:rPr>
                <w:sz w:val="16"/>
                <w:szCs w:val="16"/>
              </w:rPr>
            </w:pPr>
          </w:p>
        </w:tc>
        <w:tc>
          <w:tcPr>
            <w:tcW w:w="534" w:type="dxa"/>
          </w:tcPr>
          <w:p w14:paraId="454C2DF3" w14:textId="77777777" w:rsidR="00D70466" w:rsidRPr="008B2872" w:rsidRDefault="00D70466" w:rsidP="0049324B">
            <w:pPr>
              <w:jc w:val="center"/>
              <w:rPr>
                <w:sz w:val="16"/>
                <w:szCs w:val="16"/>
              </w:rPr>
            </w:pPr>
          </w:p>
        </w:tc>
        <w:tc>
          <w:tcPr>
            <w:tcW w:w="690" w:type="dxa"/>
          </w:tcPr>
          <w:p w14:paraId="168BAB48" w14:textId="77777777" w:rsidR="00D70466" w:rsidRPr="008B2872" w:rsidRDefault="00D70466" w:rsidP="0049324B">
            <w:pPr>
              <w:jc w:val="center"/>
              <w:rPr>
                <w:sz w:val="16"/>
                <w:szCs w:val="16"/>
              </w:rPr>
            </w:pPr>
          </w:p>
        </w:tc>
        <w:tc>
          <w:tcPr>
            <w:tcW w:w="516" w:type="dxa"/>
          </w:tcPr>
          <w:p w14:paraId="0736A122" w14:textId="77777777" w:rsidR="00D70466" w:rsidRPr="008B2872" w:rsidRDefault="00D70466" w:rsidP="0049324B">
            <w:pPr>
              <w:jc w:val="center"/>
              <w:rPr>
                <w:sz w:val="16"/>
                <w:szCs w:val="16"/>
              </w:rPr>
            </w:pPr>
          </w:p>
        </w:tc>
        <w:tc>
          <w:tcPr>
            <w:tcW w:w="690" w:type="dxa"/>
          </w:tcPr>
          <w:p w14:paraId="55D03CC3" w14:textId="77777777" w:rsidR="00D70466" w:rsidRPr="008B2872" w:rsidRDefault="00D70466" w:rsidP="0049324B">
            <w:pPr>
              <w:jc w:val="center"/>
              <w:rPr>
                <w:sz w:val="16"/>
                <w:szCs w:val="16"/>
              </w:rPr>
            </w:pPr>
          </w:p>
        </w:tc>
        <w:tc>
          <w:tcPr>
            <w:tcW w:w="513" w:type="dxa"/>
          </w:tcPr>
          <w:p w14:paraId="30B7F383" w14:textId="77777777" w:rsidR="00D70466" w:rsidRPr="008B2872" w:rsidRDefault="00D70466" w:rsidP="0049324B">
            <w:pPr>
              <w:jc w:val="center"/>
              <w:rPr>
                <w:sz w:val="16"/>
                <w:szCs w:val="16"/>
              </w:rPr>
            </w:pPr>
          </w:p>
        </w:tc>
        <w:tc>
          <w:tcPr>
            <w:tcW w:w="690" w:type="dxa"/>
          </w:tcPr>
          <w:p w14:paraId="1C05A6EF" w14:textId="77777777" w:rsidR="00D70466" w:rsidRPr="008B2872" w:rsidRDefault="00D70466" w:rsidP="0049324B">
            <w:pPr>
              <w:jc w:val="center"/>
              <w:rPr>
                <w:sz w:val="16"/>
                <w:szCs w:val="16"/>
              </w:rPr>
            </w:pPr>
          </w:p>
        </w:tc>
      </w:tr>
      <w:tr w:rsidR="00D70466" w14:paraId="750A62C0" w14:textId="77777777" w:rsidTr="00043FA1">
        <w:tc>
          <w:tcPr>
            <w:tcW w:w="1441" w:type="dxa"/>
            <w:vMerge/>
          </w:tcPr>
          <w:p w14:paraId="02B07964" w14:textId="77777777" w:rsidR="00D70466" w:rsidRPr="008B2872" w:rsidRDefault="00D70466" w:rsidP="0049324B">
            <w:pPr>
              <w:jc w:val="center"/>
              <w:rPr>
                <w:sz w:val="16"/>
                <w:szCs w:val="16"/>
              </w:rPr>
            </w:pPr>
          </w:p>
        </w:tc>
        <w:tc>
          <w:tcPr>
            <w:tcW w:w="1367" w:type="dxa"/>
            <w:vMerge/>
          </w:tcPr>
          <w:p w14:paraId="472D918C" w14:textId="77777777" w:rsidR="00D70466" w:rsidRPr="008B2872" w:rsidRDefault="00D70466" w:rsidP="0049324B">
            <w:pPr>
              <w:jc w:val="center"/>
              <w:rPr>
                <w:sz w:val="16"/>
                <w:szCs w:val="16"/>
              </w:rPr>
            </w:pPr>
          </w:p>
        </w:tc>
        <w:tc>
          <w:tcPr>
            <w:tcW w:w="2414" w:type="dxa"/>
          </w:tcPr>
          <w:p w14:paraId="3A3585BF" w14:textId="5A866CF3" w:rsidR="00D70466" w:rsidRPr="008B2872" w:rsidRDefault="00D70466" w:rsidP="0059799B">
            <w:pPr>
              <w:jc w:val="center"/>
              <w:rPr>
                <w:sz w:val="16"/>
                <w:szCs w:val="16"/>
              </w:rPr>
            </w:pPr>
            <w:r>
              <w:rPr>
                <w:sz w:val="16"/>
                <w:szCs w:val="16"/>
              </w:rPr>
              <w:t>Freshwater fish and macro-invertebrate mapping in trial states and then nationwide</w:t>
            </w:r>
          </w:p>
        </w:tc>
        <w:tc>
          <w:tcPr>
            <w:tcW w:w="1309" w:type="dxa"/>
          </w:tcPr>
          <w:p w14:paraId="3258D1B8" w14:textId="5633D15D" w:rsidR="00D70466" w:rsidRPr="008B2872" w:rsidRDefault="00AD7C51" w:rsidP="0049324B">
            <w:pPr>
              <w:jc w:val="center"/>
              <w:rPr>
                <w:sz w:val="16"/>
                <w:szCs w:val="16"/>
              </w:rPr>
            </w:pPr>
            <w:r>
              <w:rPr>
                <w:sz w:val="16"/>
                <w:szCs w:val="16"/>
              </w:rPr>
              <w:t>NISCO, NISC</w:t>
            </w:r>
          </w:p>
        </w:tc>
        <w:tc>
          <w:tcPr>
            <w:tcW w:w="610" w:type="dxa"/>
          </w:tcPr>
          <w:p w14:paraId="147257D0" w14:textId="77777777" w:rsidR="00D70466" w:rsidRPr="008B2872" w:rsidRDefault="00D70466" w:rsidP="0049324B">
            <w:pPr>
              <w:jc w:val="center"/>
              <w:rPr>
                <w:sz w:val="16"/>
                <w:szCs w:val="16"/>
              </w:rPr>
            </w:pPr>
          </w:p>
        </w:tc>
        <w:tc>
          <w:tcPr>
            <w:tcW w:w="645" w:type="dxa"/>
          </w:tcPr>
          <w:p w14:paraId="019F837C" w14:textId="77777777" w:rsidR="00D70466" w:rsidRPr="008B2872" w:rsidRDefault="00D70466" w:rsidP="0049324B">
            <w:pPr>
              <w:jc w:val="center"/>
              <w:rPr>
                <w:sz w:val="16"/>
                <w:szCs w:val="16"/>
              </w:rPr>
            </w:pPr>
          </w:p>
        </w:tc>
        <w:tc>
          <w:tcPr>
            <w:tcW w:w="690" w:type="dxa"/>
          </w:tcPr>
          <w:p w14:paraId="5F83D302" w14:textId="77777777" w:rsidR="00D70466" w:rsidRPr="008B2872" w:rsidRDefault="00D70466" w:rsidP="0049324B">
            <w:pPr>
              <w:jc w:val="center"/>
              <w:rPr>
                <w:sz w:val="16"/>
                <w:szCs w:val="16"/>
              </w:rPr>
            </w:pPr>
          </w:p>
        </w:tc>
        <w:tc>
          <w:tcPr>
            <w:tcW w:w="587" w:type="dxa"/>
          </w:tcPr>
          <w:p w14:paraId="5F42DEF3" w14:textId="77777777" w:rsidR="00D70466" w:rsidRPr="008B2872" w:rsidRDefault="00D70466" w:rsidP="0049324B">
            <w:pPr>
              <w:jc w:val="center"/>
              <w:rPr>
                <w:sz w:val="16"/>
                <w:szCs w:val="16"/>
              </w:rPr>
            </w:pPr>
          </w:p>
        </w:tc>
        <w:tc>
          <w:tcPr>
            <w:tcW w:w="690" w:type="dxa"/>
          </w:tcPr>
          <w:p w14:paraId="236FF2CF" w14:textId="77777777" w:rsidR="00D70466" w:rsidRPr="008B2872" w:rsidRDefault="00D70466" w:rsidP="0049324B">
            <w:pPr>
              <w:jc w:val="center"/>
              <w:rPr>
                <w:sz w:val="16"/>
                <w:szCs w:val="16"/>
              </w:rPr>
            </w:pPr>
          </w:p>
        </w:tc>
        <w:tc>
          <w:tcPr>
            <w:tcW w:w="540" w:type="dxa"/>
            <w:shd w:val="clear" w:color="auto" w:fill="FBD4B4" w:themeFill="accent6" w:themeFillTint="66"/>
          </w:tcPr>
          <w:p w14:paraId="18C2C392" w14:textId="77777777" w:rsidR="00D70466" w:rsidRPr="008B2872" w:rsidRDefault="00D70466" w:rsidP="0049324B">
            <w:pPr>
              <w:jc w:val="center"/>
              <w:rPr>
                <w:sz w:val="16"/>
                <w:szCs w:val="16"/>
              </w:rPr>
            </w:pPr>
          </w:p>
        </w:tc>
        <w:tc>
          <w:tcPr>
            <w:tcW w:w="690" w:type="dxa"/>
            <w:shd w:val="clear" w:color="auto" w:fill="FBD4B4" w:themeFill="accent6" w:themeFillTint="66"/>
          </w:tcPr>
          <w:p w14:paraId="02D57FC0" w14:textId="77777777" w:rsidR="00D70466" w:rsidRPr="008B2872" w:rsidRDefault="00D70466" w:rsidP="0049324B">
            <w:pPr>
              <w:jc w:val="center"/>
              <w:rPr>
                <w:sz w:val="16"/>
                <w:szCs w:val="16"/>
              </w:rPr>
            </w:pPr>
          </w:p>
        </w:tc>
        <w:tc>
          <w:tcPr>
            <w:tcW w:w="534" w:type="dxa"/>
          </w:tcPr>
          <w:p w14:paraId="539295B5" w14:textId="77777777" w:rsidR="00D70466" w:rsidRPr="008B2872" w:rsidRDefault="00D70466" w:rsidP="0049324B">
            <w:pPr>
              <w:jc w:val="center"/>
              <w:rPr>
                <w:sz w:val="16"/>
                <w:szCs w:val="16"/>
              </w:rPr>
            </w:pPr>
          </w:p>
        </w:tc>
        <w:tc>
          <w:tcPr>
            <w:tcW w:w="690" w:type="dxa"/>
          </w:tcPr>
          <w:p w14:paraId="398619FF" w14:textId="77777777" w:rsidR="00D70466" w:rsidRPr="008B2872" w:rsidRDefault="00D70466" w:rsidP="0049324B">
            <w:pPr>
              <w:jc w:val="center"/>
              <w:rPr>
                <w:sz w:val="16"/>
                <w:szCs w:val="16"/>
              </w:rPr>
            </w:pPr>
          </w:p>
        </w:tc>
        <w:tc>
          <w:tcPr>
            <w:tcW w:w="516" w:type="dxa"/>
          </w:tcPr>
          <w:p w14:paraId="68A022ED" w14:textId="77777777" w:rsidR="00D70466" w:rsidRPr="008B2872" w:rsidRDefault="00D70466" w:rsidP="0049324B">
            <w:pPr>
              <w:jc w:val="center"/>
              <w:rPr>
                <w:sz w:val="16"/>
                <w:szCs w:val="16"/>
              </w:rPr>
            </w:pPr>
          </w:p>
        </w:tc>
        <w:tc>
          <w:tcPr>
            <w:tcW w:w="690" w:type="dxa"/>
          </w:tcPr>
          <w:p w14:paraId="6268CF63" w14:textId="77777777" w:rsidR="00D70466" w:rsidRPr="008B2872" w:rsidRDefault="00D70466" w:rsidP="0049324B">
            <w:pPr>
              <w:jc w:val="center"/>
              <w:rPr>
                <w:sz w:val="16"/>
                <w:szCs w:val="16"/>
              </w:rPr>
            </w:pPr>
          </w:p>
        </w:tc>
        <w:tc>
          <w:tcPr>
            <w:tcW w:w="513" w:type="dxa"/>
          </w:tcPr>
          <w:p w14:paraId="69E8FB61" w14:textId="77777777" w:rsidR="00D70466" w:rsidRPr="008B2872" w:rsidRDefault="00D70466" w:rsidP="0049324B">
            <w:pPr>
              <w:jc w:val="center"/>
              <w:rPr>
                <w:sz w:val="16"/>
                <w:szCs w:val="16"/>
              </w:rPr>
            </w:pPr>
          </w:p>
        </w:tc>
        <w:tc>
          <w:tcPr>
            <w:tcW w:w="690" w:type="dxa"/>
          </w:tcPr>
          <w:p w14:paraId="2A00A017" w14:textId="77777777" w:rsidR="00D70466" w:rsidRPr="008B2872" w:rsidRDefault="00D70466" w:rsidP="0049324B">
            <w:pPr>
              <w:jc w:val="center"/>
              <w:rPr>
                <w:sz w:val="16"/>
                <w:szCs w:val="16"/>
              </w:rPr>
            </w:pPr>
          </w:p>
        </w:tc>
      </w:tr>
      <w:tr w:rsidR="00D70466" w14:paraId="0A084D1C" w14:textId="77777777" w:rsidTr="00043FA1">
        <w:tc>
          <w:tcPr>
            <w:tcW w:w="1441" w:type="dxa"/>
            <w:vMerge/>
          </w:tcPr>
          <w:p w14:paraId="571C3492" w14:textId="77777777" w:rsidR="00D70466" w:rsidRPr="008B2872" w:rsidRDefault="00D70466" w:rsidP="0049324B">
            <w:pPr>
              <w:jc w:val="center"/>
              <w:rPr>
                <w:sz w:val="16"/>
                <w:szCs w:val="16"/>
              </w:rPr>
            </w:pPr>
          </w:p>
        </w:tc>
        <w:tc>
          <w:tcPr>
            <w:tcW w:w="1367" w:type="dxa"/>
            <w:vMerge/>
          </w:tcPr>
          <w:p w14:paraId="701996C9" w14:textId="77777777" w:rsidR="00D70466" w:rsidRPr="008B2872" w:rsidRDefault="00D70466" w:rsidP="0049324B">
            <w:pPr>
              <w:jc w:val="center"/>
              <w:rPr>
                <w:sz w:val="16"/>
                <w:szCs w:val="16"/>
              </w:rPr>
            </w:pPr>
          </w:p>
        </w:tc>
        <w:tc>
          <w:tcPr>
            <w:tcW w:w="2414" w:type="dxa"/>
          </w:tcPr>
          <w:p w14:paraId="20BA7D61" w14:textId="32DAB712" w:rsidR="00721370" w:rsidRPr="008B2872" w:rsidRDefault="00D70466" w:rsidP="00721370">
            <w:pPr>
              <w:jc w:val="center"/>
              <w:rPr>
                <w:sz w:val="16"/>
                <w:szCs w:val="16"/>
              </w:rPr>
            </w:pPr>
            <w:r>
              <w:rPr>
                <w:sz w:val="16"/>
                <w:szCs w:val="16"/>
              </w:rPr>
              <w:t>Developing a compilation of IAS information for Palau</w:t>
            </w:r>
          </w:p>
        </w:tc>
        <w:tc>
          <w:tcPr>
            <w:tcW w:w="1309" w:type="dxa"/>
          </w:tcPr>
          <w:p w14:paraId="2D68BC7E" w14:textId="1CF3B534" w:rsidR="00D70466" w:rsidRPr="008B2872" w:rsidRDefault="00AD7C51" w:rsidP="0049324B">
            <w:pPr>
              <w:jc w:val="center"/>
              <w:rPr>
                <w:sz w:val="16"/>
                <w:szCs w:val="16"/>
              </w:rPr>
            </w:pPr>
            <w:r>
              <w:rPr>
                <w:sz w:val="16"/>
                <w:szCs w:val="16"/>
              </w:rPr>
              <w:t>NISCO, NISC</w:t>
            </w:r>
          </w:p>
        </w:tc>
        <w:tc>
          <w:tcPr>
            <w:tcW w:w="610" w:type="dxa"/>
          </w:tcPr>
          <w:p w14:paraId="261407D7" w14:textId="77777777" w:rsidR="00D70466" w:rsidRPr="008B2872" w:rsidRDefault="00D70466" w:rsidP="0049324B">
            <w:pPr>
              <w:jc w:val="center"/>
              <w:rPr>
                <w:sz w:val="16"/>
                <w:szCs w:val="16"/>
              </w:rPr>
            </w:pPr>
          </w:p>
        </w:tc>
        <w:tc>
          <w:tcPr>
            <w:tcW w:w="645" w:type="dxa"/>
          </w:tcPr>
          <w:p w14:paraId="697D8351" w14:textId="77777777" w:rsidR="00D70466" w:rsidRPr="008B2872" w:rsidRDefault="00D70466" w:rsidP="0049324B">
            <w:pPr>
              <w:jc w:val="center"/>
              <w:rPr>
                <w:sz w:val="16"/>
                <w:szCs w:val="16"/>
              </w:rPr>
            </w:pPr>
          </w:p>
        </w:tc>
        <w:tc>
          <w:tcPr>
            <w:tcW w:w="690" w:type="dxa"/>
          </w:tcPr>
          <w:p w14:paraId="0F23ADD2" w14:textId="77777777" w:rsidR="00D70466" w:rsidRPr="008B2872" w:rsidRDefault="00D70466" w:rsidP="0049324B">
            <w:pPr>
              <w:jc w:val="center"/>
              <w:rPr>
                <w:sz w:val="16"/>
                <w:szCs w:val="16"/>
              </w:rPr>
            </w:pPr>
          </w:p>
        </w:tc>
        <w:tc>
          <w:tcPr>
            <w:tcW w:w="587" w:type="dxa"/>
          </w:tcPr>
          <w:p w14:paraId="66CFFA46" w14:textId="77777777" w:rsidR="00D70466" w:rsidRPr="008B2872" w:rsidRDefault="00D70466" w:rsidP="0049324B">
            <w:pPr>
              <w:jc w:val="center"/>
              <w:rPr>
                <w:sz w:val="16"/>
                <w:szCs w:val="16"/>
              </w:rPr>
            </w:pPr>
          </w:p>
        </w:tc>
        <w:tc>
          <w:tcPr>
            <w:tcW w:w="690" w:type="dxa"/>
          </w:tcPr>
          <w:p w14:paraId="53C136FB" w14:textId="77777777" w:rsidR="00D70466" w:rsidRPr="008B2872" w:rsidRDefault="00D70466" w:rsidP="0049324B">
            <w:pPr>
              <w:jc w:val="center"/>
              <w:rPr>
                <w:sz w:val="16"/>
                <w:szCs w:val="16"/>
              </w:rPr>
            </w:pPr>
          </w:p>
        </w:tc>
        <w:tc>
          <w:tcPr>
            <w:tcW w:w="540" w:type="dxa"/>
            <w:shd w:val="clear" w:color="auto" w:fill="FBD4B4" w:themeFill="accent6" w:themeFillTint="66"/>
          </w:tcPr>
          <w:p w14:paraId="36671613" w14:textId="77777777" w:rsidR="00D70466" w:rsidRPr="008B2872" w:rsidRDefault="00D70466" w:rsidP="0049324B">
            <w:pPr>
              <w:jc w:val="center"/>
              <w:rPr>
                <w:sz w:val="16"/>
                <w:szCs w:val="16"/>
              </w:rPr>
            </w:pPr>
          </w:p>
        </w:tc>
        <w:tc>
          <w:tcPr>
            <w:tcW w:w="690" w:type="dxa"/>
            <w:shd w:val="clear" w:color="auto" w:fill="FBD4B4" w:themeFill="accent6" w:themeFillTint="66"/>
          </w:tcPr>
          <w:p w14:paraId="2BC6970B" w14:textId="77777777" w:rsidR="00D70466" w:rsidRPr="008B2872" w:rsidRDefault="00D70466" w:rsidP="0049324B">
            <w:pPr>
              <w:jc w:val="center"/>
              <w:rPr>
                <w:sz w:val="16"/>
                <w:szCs w:val="16"/>
              </w:rPr>
            </w:pPr>
          </w:p>
        </w:tc>
        <w:tc>
          <w:tcPr>
            <w:tcW w:w="534" w:type="dxa"/>
          </w:tcPr>
          <w:p w14:paraId="7C9D470D" w14:textId="77777777" w:rsidR="00D70466" w:rsidRPr="008B2872" w:rsidRDefault="00D70466" w:rsidP="0049324B">
            <w:pPr>
              <w:jc w:val="center"/>
              <w:rPr>
                <w:sz w:val="16"/>
                <w:szCs w:val="16"/>
              </w:rPr>
            </w:pPr>
          </w:p>
        </w:tc>
        <w:tc>
          <w:tcPr>
            <w:tcW w:w="690" w:type="dxa"/>
          </w:tcPr>
          <w:p w14:paraId="38BBB78F" w14:textId="77777777" w:rsidR="00D70466" w:rsidRPr="008B2872" w:rsidRDefault="00D70466" w:rsidP="0049324B">
            <w:pPr>
              <w:jc w:val="center"/>
              <w:rPr>
                <w:sz w:val="16"/>
                <w:szCs w:val="16"/>
              </w:rPr>
            </w:pPr>
          </w:p>
        </w:tc>
        <w:tc>
          <w:tcPr>
            <w:tcW w:w="516" w:type="dxa"/>
          </w:tcPr>
          <w:p w14:paraId="147DA9EA" w14:textId="77777777" w:rsidR="00D70466" w:rsidRPr="008B2872" w:rsidRDefault="00D70466" w:rsidP="0049324B">
            <w:pPr>
              <w:jc w:val="center"/>
              <w:rPr>
                <w:sz w:val="16"/>
                <w:szCs w:val="16"/>
              </w:rPr>
            </w:pPr>
          </w:p>
        </w:tc>
        <w:tc>
          <w:tcPr>
            <w:tcW w:w="690" w:type="dxa"/>
          </w:tcPr>
          <w:p w14:paraId="33EC3BFE" w14:textId="77777777" w:rsidR="00D70466" w:rsidRPr="008B2872" w:rsidRDefault="00D70466" w:rsidP="0049324B">
            <w:pPr>
              <w:jc w:val="center"/>
              <w:rPr>
                <w:sz w:val="16"/>
                <w:szCs w:val="16"/>
              </w:rPr>
            </w:pPr>
          </w:p>
        </w:tc>
        <w:tc>
          <w:tcPr>
            <w:tcW w:w="513" w:type="dxa"/>
          </w:tcPr>
          <w:p w14:paraId="08C64BC7" w14:textId="77777777" w:rsidR="00D70466" w:rsidRPr="008B2872" w:rsidRDefault="00D70466" w:rsidP="0049324B">
            <w:pPr>
              <w:jc w:val="center"/>
              <w:rPr>
                <w:sz w:val="16"/>
                <w:szCs w:val="16"/>
              </w:rPr>
            </w:pPr>
          </w:p>
        </w:tc>
        <w:tc>
          <w:tcPr>
            <w:tcW w:w="690" w:type="dxa"/>
          </w:tcPr>
          <w:p w14:paraId="3A55D63A" w14:textId="77777777" w:rsidR="00D70466" w:rsidRPr="008B2872" w:rsidRDefault="00D70466" w:rsidP="0049324B">
            <w:pPr>
              <w:jc w:val="center"/>
              <w:rPr>
                <w:sz w:val="16"/>
                <w:szCs w:val="16"/>
              </w:rPr>
            </w:pPr>
          </w:p>
        </w:tc>
      </w:tr>
      <w:tr w:rsidR="00721370" w14:paraId="7A32A8FB" w14:textId="77777777" w:rsidTr="00043FA1">
        <w:tc>
          <w:tcPr>
            <w:tcW w:w="1441" w:type="dxa"/>
            <w:vMerge/>
          </w:tcPr>
          <w:p w14:paraId="17831B52" w14:textId="77777777" w:rsidR="00721370" w:rsidRPr="008B2872" w:rsidRDefault="00721370" w:rsidP="0049324B">
            <w:pPr>
              <w:jc w:val="center"/>
              <w:rPr>
                <w:sz w:val="16"/>
                <w:szCs w:val="16"/>
              </w:rPr>
            </w:pPr>
          </w:p>
        </w:tc>
        <w:tc>
          <w:tcPr>
            <w:tcW w:w="1367" w:type="dxa"/>
            <w:vMerge w:val="restart"/>
          </w:tcPr>
          <w:p w14:paraId="1BBBC812" w14:textId="46B95806" w:rsidR="00721370" w:rsidRPr="008B2872" w:rsidRDefault="00721370" w:rsidP="0049324B">
            <w:pPr>
              <w:jc w:val="center"/>
              <w:rPr>
                <w:sz w:val="16"/>
                <w:szCs w:val="16"/>
              </w:rPr>
            </w:pPr>
            <w:r>
              <w:rPr>
                <w:sz w:val="16"/>
                <w:szCs w:val="16"/>
              </w:rPr>
              <w:t>Update laws, regulations, national-level policies, including cost-recovery mechanisms to reflect NISSAP and EDRR</w:t>
            </w:r>
          </w:p>
        </w:tc>
        <w:tc>
          <w:tcPr>
            <w:tcW w:w="2414" w:type="dxa"/>
          </w:tcPr>
          <w:p w14:paraId="0DF7259F" w14:textId="0C0FE5D3" w:rsidR="00721370" w:rsidRPr="008B2872" w:rsidRDefault="00721370" w:rsidP="0049324B">
            <w:pPr>
              <w:jc w:val="center"/>
              <w:rPr>
                <w:sz w:val="16"/>
                <w:szCs w:val="16"/>
              </w:rPr>
            </w:pPr>
            <w:r>
              <w:rPr>
                <w:sz w:val="16"/>
                <w:szCs w:val="16"/>
              </w:rPr>
              <w:t>2016 Biosecurity Act Regulation Development</w:t>
            </w:r>
          </w:p>
        </w:tc>
        <w:tc>
          <w:tcPr>
            <w:tcW w:w="1309" w:type="dxa"/>
          </w:tcPr>
          <w:p w14:paraId="5D6AF863" w14:textId="4C7B4C41" w:rsidR="00721370" w:rsidRPr="008B2872" w:rsidRDefault="00AD7C51" w:rsidP="0049324B">
            <w:pPr>
              <w:jc w:val="center"/>
              <w:rPr>
                <w:sz w:val="16"/>
                <w:szCs w:val="16"/>
              </w:rPr>
            </w:pPr>
            <w:r>
              <w:rPr>
                <w:sz w:val="16"/>
                <w:szCs w:val="16"/>
              </w:rPr>
              <w:t>NISCO, NISC</w:t>
            </w:r>
          </w:p>
        </w:tc>
        <w:tc>
          <w:tcPr>
            <w:tcW w:w="610" w:type="dxa"/>
          </w:tcPr>
          <w:p w14:paraId="6BC7CD92" w14:textId="77777777" w:rsidR="00721370" w:rsidRPr="008B2872" w:rsidRDefault="00721370" w:rsidP="0049324B">
            <w:pPr>
              <w:jc w:val="center"/>
              <w:rPr>
                <w:sz w:val="16"/>
                <w:szCs w:val="16"/>
              </w:rPr>
            </w:pPr>
          </w:p>
        </w:tc>
        <w:tc>
          <w:tcPr>
            <w:tcW w:w="645" w:type="dxa"/>
          </w:tcPr>
          <w:p w14:paraId="6B26518C" w14:textId="77777777" w:rsidR="00721370" w:rsidRPr="008B2872" w:rsidRDefault="00721370" w:rsidP="0049324B">
            <w:pPr>
              <w:jc w:val="center"/>
              <w:rPr>
                <w:sz w:val="16"/>
                <w:szCs w:val="16"/>
              </w:rPr>
            </w:pPr>
          </w:p>
        </w:tc>
        <w:tc>
          <w:tcPr>
            <w:tcW w:w="690" w:type="dxa"/>
          </w:tcPr>
          <w:p w14:paraId="38135D46" w14:textId="77777777" w:rsidR="00721370" w:rsidRPr="008B2872" w:rsidRDefault="00721370" w:rsidP="0049324B">
            <w:pPr>
              <w:jc w:val="center"/>
              <w:rPr>
                <w:sz w:val="16"/>
                <w:szCs w:val="16"/>
              </w:rPr>
            </w:pPr>
          </w:p>
        </w:tc>
        <w:tc>
          <w:tcPr>
            <w:tcW w:w="587" w:type="dxa"/>
          </w:tcPr>
          <w:p w14:paraId="59EE122E" w14:textId="77777777" w:rsidR="00721370" w:rsidRPr="008B2872" w:rsidRDefault="00721370" w:rsidP="0049324B">
            <w:pPr>
              <w:jc w:val="center"/>
              <w:rPr>
                <w:sz w:val="16"/>
                <w:szCs w:val="16"/>
              </w:rPr>
            </w:pPr>
          </w:p>
        </w:tc>
        <w:tc>
          <w:tcPr>
            <w:tcW w:w="690" w:type="dxa"/>
          </w:tcPr>
          <w:p w14:paraId="1D3C610E" w14:textId="77777777" w:rsidR="00721370" w:rsidRPr="008B2872" w:rsidRDefault="00721370" w:rsidP="0049324B">
            <w:pPr>
              <w:jc w:val="center"/>
              <w:rPr>
                <w:sz w:val="16"/>
                <w:szCs w:val="16"/>
              </w:rPr>
            </w:pPr>
          </w:p>
        </w:tc>
        <w:tc>
          <w:tcPr>
            <w:tcW w:w="540" w:type="dxa"/>
          </w:tcPr>
          <w:p w14:paraId="3064109B" w14:textId="77777777" w:rsidR="00721370" w:rsidRPr="008B2872" w:rsidRDefault="00721370" w:rsidP="0049324B">
            <w:pPr>
              <w:jc w:val="center"/>
              <w:rPr>
                <w:sz w:val="16"/>
                <w:szCs w:val="16"/>
              </w:rPr>
            </w:pPr>
          </w:p>
        </w:tc>
        <w:tc>
          <w:tcPr>
            <w:tcW w:w="690" w:type="dxa"/>
          </w:tcPr>
          <w:p w14:paraId="09DDDED5" w14:textId="77777777" w:rsidR="00721370" w:rsidRPr="008B2872" w:rsidRDefault="00721370" w:rsidP="0049324B">
            <w:pPr>
              <w:jc w:val="center"/>
              <w:rPr>
                <w:sz w:val="16"/>
                <w:szCs w:val="16"/>
              </w:rPr>
            </w:pPr>
          </w:p>
        </w:tc>
        <w:tc>
          <w:tcPr>
            <w:tcW w:w="534" w:type="dxa"/>
          </w:tcPr>
          <w:p w14:paraId="1FBA40A9" w14:textId="77777777" w:rsidR="00721370" w:rsidRPr="008B2872" w:rsidRDefault="00721370" w:rsidP="0049324B">
            <w:pPr>
              <w:jc w:val="center"/>
              <w:rPr>
                <w:sz w:val="16"/>
                <w:szCs w:val="16"/>
              </w:rPr>
            </w:pPr>
          </w:p>
        </w:tc>
        <w:tc>
          <w:tcPr>
            <w:tcW w:w="690" w:type="dxa"/>
          </w:tcPr>
          <w:p w14:paraId="474F5E79" w14:textId="77777777" w:rsidR="00721370" w:rsidRPr="008B2872" w:rsidRDefault="00721370" w:rsidP="0049324B">
            <w:pPr>
              <w:jc w:val="center"/>
              <w:rPr>
                <w:sz w:val="16"/>
                <w:szCs w:val="16"/>
              </w:rPr>
            </w:pPr>
          </w:p>
        </w:tc>
        <w:tc>
          <w:tcPr>
            <w:tcW w:w="516" w:type="dxa"/>
          </w:tcPr>
          <w:p w14:paraId="4AE821F2" w14:textId="77777777" w:rsidR="00721370" w:rsidRPr="008B2872" w:rsidRDefault="00721370" w:rsidP="0049324B">
            <w:pPr>
              <w:jc w:val="center"/>
              <w:rPr>
                <w:sz w:val="16"/>
                <w:szCs w:val="16"/>
              </w:rPr>
            </w:pPr>
          </w:p>
        </w:tc>
        <w:tc>
          <w:tcPr>
            <w:tcW w:w="690" w:type="dxa"/>
          </w:tcPr>
          <w:p w14:paraId="466B2086" w14:textId="77777777" w:rsidR="00721370" w:rsidRPr="008B2872" w:rsidRDefault="00721370" w:rsidP="0049324B">
            <w:pPr>
              <w:jc w:val="center"/>
              <w:rPr>
                <w:sz w:val="16"/>
                <w:szCs w:val="16"/>
              </w:rPr>
            </w:pPr>
          </w:p>
        </w:tc>
        <w:tc>
          <w:tcPr>
            <w:tcW w:w="513" w:type="dxa"/>
          </w:tcPr>
          <w:p w14:paraId="16CB85D4" w14:textId="77777777" w:rsidR="00721370" w:rsidRPr="008B2872" w:rsidRDefault="00721370" w:rsidP="0049324B">
            <w:pPr>
              <w:jc w:val="center"/>
              <w:rPr>
                <w:sz w:val="16"/>
                <w:szCs w:val="16"/>
              </w:rPr>
            </w:pPr>
          </w:p>
        </w:tc>
        <w:tc>
          <w:tcPr>
            <w:tcW w:w="690" w:type="dxa"/>
          </w:tcPr>
          <w:p w14:paraId="18D9E4FE" w14:textId="77777777" w:rsidR="00721370" w:rsidRPr="008B2872" w:rsidRDefault="00721370" w:rsidP="0049324B">
            <w:pPr>
              <w:jc w:val="center"/>
              <w:rPr>
                <w:sz w:val="16"/>
                <w:szCs w:val="16"/>
              </w:rPr>
            </w:pPr>
          </w:p>
        </w:tc>
      </w:tr>
      <w:tr w:rsidR="00721370" w14:paraId="69BA2BEA" w14:textId="77777777" w:rsidTr="00043FA1">
        <w:tc>
          <w:tcPr>
            <w:tcW w:w="1441" w:type="dxa"/>
            <w:vMerge/>
          </w:tcPr>
          <w:p w14:paraId="45961D0A" w14:textId="77777777" w:rsidR="00721370" w:rsidRPr="008B2872" w:rsidRDefault="00721370" w:rsidP="0049324B">
            <w:pPr>
              <w:jc w:val="center"/>
              <w:rPr>
                <w:sz w:val="16"/>
                <w:szCs w:val="16"/>
              </w:rPr>
            </w:pPr>
          </w:p>
        </w:tc>
        <w:tc>
          <w:tcPr>
            <w:tcW w:w="1367" w:type="dxa"/>
            <w:vMerge/>
          </w:tcPr>
          <w:p w14:paraId="2AE4E64B" w14:textId="77777777" w:rsidR="00721370" w:rsidRPr="008B2872" w:rsidRDefault="00721370" w:rsidP="0049324B">
            <w:pPr>
              <w:jc w:val="center"/>
              <w:rPr>
                <w:sz w:val="16"/>
                <w:szCs w:val="16"/>
              </w:rPr>
            </w:pPr>
          </w:p>
        </w:tc>
        <w:tc>
          <w:tcPr>
            <w:tcW w:w="2414" w:type="dxa"/>
          </w:tcPr>
          <w:p w14:paraId="2A63A709" w14:textId="1D34C595" w:rsidR="00721370" w:rsidRPr="008B2872" w:rsidRDefault="00721370" w:rsidP="007F5233">
            <w:pPr>
              <w:jc w:val="center"/>
              <w:rPr>
                <w:sz w:val="16"/>
                <w:szCs w:val="16"/>
              </w:rPr>
            </w:pPr>
            <w:r>
              <w:rPr>
                <w:sz w:val="16"/>
                <w:szCs w:val="16"/>
              </w:rPr>
              <w:t>Sheph</w:t>
            </w:r>
            <w:r w:rsidR="007F5233">
              <w:rPr>
                <w:sz w:val="16"/>
                <w:szCs w:val="16"/>
              </w:rPr>
              <w:t>e</w:t>
            </w:r>
            <w:r>
              <w:rPr>
                <w:sz w:val="16"/>
                <w:szCs w:val="16"/>
              </w:rPr>
              <w:t>rd</w:t>
            </w:r>
            <w:r w:rsidR="007F5233">
              <w:rPr>
                <w:sz w:val="16"/>
                <w:szCs w:val="16"/>
              </w:rPr>
              <w:t>ing</w:t>
            </w:r>
            <w:r>
              <w:rPr>
                <w:sz w:val="16"/>
                <w:szCs w:val="16"/>
              </w:rPr>
              <w:t xml:space="preserve"> regulation and cost recovery components through government acceptable mechanisms</w:t>
            </w:r>
          </w:p>
        </w:tc>
        <w:tc>
          <w:tcPr>
            <w:tcW w:w="1309" w:type="dxa"/>
            <w:shd w:val="clear" w:color="auto" w:fill="auto"/>
          </w:tcPr>
          <w:p w14:paraId="4C0BCB4D" w14:textId="4C2CAD31" w:rsidR="00721370" w:rsidRPr="008B2872" w:rsidRDefault="00AD7C51" w:rsidP="0049324B">
            <w:pPr>
              <w:jc w:val="center"/>
              <w:rPr>
                <w:sz w:val="16"/>
                <w:szCs w:val="16"/>
              </w:rPr>
            </w:pPr>
            <w:r>
              <w:rPr>
                <w:sz w:val="16"/>
                <w:szCs w:val="16"/>
              </w:rPr>
              <w:t>NISCO, NISC</w:t>
            </w:r>
            <w:r w:rsidR="00375AE8">
              <w:rPr>
                <w:sz w:val="16"/>
                <w:szCs w:val="16"/>
              </w:rPr>
              <w:t>, MNRET and NEPC</w:t>
            </w:r>
          </w:p>
        </w:tc>
        <w:tc>
          <w:tcPr>
            <w:tcW w:w="610" w:type="dxa"/>
          </w:tcPr>
          <w:p w14:paraId="7B832A4D" w14:textId="77777777" w:rsidR="00721370" w:rsidRPr="008B2872" w:rsidRDefault="00721370" w:rsidP="0049324B">
            <w:pPr>
              <w:jc w:val="center"/>
              <w:rPr>
                <w:sz w:val="16"/>
                <w:szCs w:val="16"/>
              </w:rPr>
            </w:pPr>
          </w:p>
        </w:tc>
        <w:tc>
          <w:tcPr>
            <w:tcW w:w="645" w:type="dxa"/>
            <w:shd w:val="clear" w:color="auto" w:fill="FBD4B4" w:themeFill="accent6" w:themeFillTint="66"/>
          </w:tcPr>
          <w:p w14:paraId="71FACA4D" w14:textId="77777777" w:rsidR="00721370" w:rsidRPr="008B2872" w:rsidRDefault="00721370" w:rsidP="0049324B">
            <w:pPr>
              <w:jc w:val="center"/>
              <w:rPr>
                <w:sz w:val="16"/>
                <w:szCs w:val="16"/>
              </w:rPr>
            </w:pPr>
          </w:p>
        </w:tc>
        <w:tc>
          <w:tcPr>
            <w:tcW w:w="690" w:type="dxa"/>
            <w:shd w:val="clear" w:color="auto" w:fill="FBD4B4" w:themeFill="accent6" w:themeFillTint="66"/>
          </w:tcPr>
          <w:p w14:paraId="3D2FCF67" w14:textId="77777777" w:rsidR="00721370" w:rsidRPr="008B2872" w:rsidRDefault="00721370" w:rsidP="0049324B">
            <w:pPr>
              <w:jc w:val="center"/>
              <w:rPr>
                <w:sz w:val="16"/>
                <w:szCs w:val="16"/>
              </w:rPr>
            </w:pPr>
          </w:p>
        </w:tc>
        <w:tc>
          <w:tcPr>
            <w:tcW w:w="587" w:type="dxa"/>
          </w:tcPr>
          <w:p w14:paraId="6E347DC1" w14:textId="77777777" w:rsidR="00721370" w:rsidRPr="008B2872" w:rsidRDefault="00721370" w:rsidP="0049324B">
            <w:pPr>
              <w:jc w:val="center"/>
              <w:rPr>
                <w:sz w:val="16"/>
                <w:szCs w:val="16"/>
              </w:rPr>
            </w:pPr>
          </w:p>
        </w:tc>
        <w:tc>
          <w:tcPr>
            <w:tcW w:w="690" w:type="dxa"/>
          </w:tcPr>
          <w:p w14:paraId="6EC93F0F" w14:textId="77777777" w:rsidR="00721370" w:rsidRPr="008B2872" w:rsidRDefault="00721370" w:rsidP="0049324B">
            <w:pPr>
              <w:jc w:val="center"/>
              <w:rPr>
                <w:sz w:val="16"/>
                <w:szCs w:val="16"/>
              </w:rPr>
            </w:pPr>
          </w:p>
        </w:tc>
        <w:tc>
          <w:tcPr>
            <w:tcW w:w="540" w:type="dxa"/>
          </w:tcPr>
          <w:p w14:paraId="39851CA8" w14:textId="77777777" w:rsidR="00721370" w:rsidRPr="008B2872" w:rsidRDefault="00721370" w:rsidP="0049324B">
            <w:pPr>
              <w:jc w:val="center"/>
              <w:rPr>
                <w:sz w:val="16"/>
                <w:szCs w:val="16"/>
              </w:rPr>
            </w:pPr>
          </w:p>
        </w:tc>
        <w:tc>
          <w:tcPr>
            <w:tcW w:w="690" w:type="dxa"/>
          </w:tcPr>
          <w:p w14:paraId="42A93CC3" w14:textId="77777777" w:rsidR="00721370" w:rsidRPr="008B2872" w:rsidRDefault="00721370" w:rsidP="0049324B">
            <w:pPr>
              <w:jc w:val="center"/>
              <w:rPr>
                <w:sz w:val="16"/>
                <w:szCs w:val="16"/>
              </w:rPr>
            </w:pPr>
          </w:p>
        </w:tc>
        <w:tc>
          <w:tcPr>
            <w:tcW w:w="534" w:type="dxa"/>
          </w:tcPr>
          <w:p w14:paraId="718CD59C" w14:textId="77777777" w:rsidR="00721370" w:rsidRPr="008B2872" w:rsidRDefault="00721370" w:rsidP="0049324B">
            <w:pPr>
              <w:jc w:val="center"/>
              <w:rPr>
                <w:sz w:val="16"/>
                <w:szCs w:val="16"/>
              </w:rPr>
            </w:pPr>
          </w:p>
        </w:tc>
        <w:tc>
          <w:tcPr>
            <w:tcW w:w="690" w:type="dxa"/>
          </w:tcPr>
          <w:p w14:paraId="42EBBA88" w14:textId="77777777" w:rsidR="00721370" w:rsidRPr="008B2872" w:rsidRDefault="00721370" w:rsidP="0049324B">
            <w:pPr>
              <w:jc w:val="center"/>
              <w:rPr>
                <w:sz w:val="16"/>
                <w:szCs w:val="16"/>
              </w:rPr>
            </w:pPr>
          </w:p>
        </w:tc>
        <w:tc>
          <w:tcPr>
            <w:tcW w:w="516" w:type="dxa"/>
          </w:tcPr>
          <w:p w14:paraId="685FCCCB" w14:textId="77777777" w:rsidR="00721370" w:rsidRPr="008B2872" w:rsidRDefault="00721370" w:rsidP="0049324B">
            <w:pPr>
              <w:jc w:val="center"/>
              <w:rPr>
                <w:sz w:val="16"/>
                <w:szCs w:val="16"/>
              </w:rPr>
            </w:pPr>
          </w:p>
        </w:tc>
        <w:tc>
          <w:tcPr>
            <w:tcW w:w="690" w:type="dxa"/>
          </w:tcPr>
          <w:p w14:paraId="3E407C56" w14:textId="77777777" w:rsidR="00721370" w:rsidRPr="008B2872" w:rsidRDefault="00721370" w:rsidP="0049324B">
            <w:pPr>
              <w:jc w:val="center"/>
              <w:rPr>
                <w:sz w:val="16"/>
                <w:szCs w:val="16"/>
              </w:rPr>
            </w:pPr>
          </w:p>
        </w:tc>
        <w:tc>
          <w:tcPr>
            <w:tcW w:w="513" w:type="dxa"/>
          </w:tcPr>
          <w:p w14:paraId="4AEEBAFF" w14:textId="77777777" w:rsidR="00721370" w:rsidRPr="008B2872" w:rsidRDefault="00721370" w:rsidP="0049324B">
            <w:pPr>
              <w:jc w:val="center"/>
              <w:rPr>
                <w:sz w:val="16"/>
                <w:szCs w:val="16"/>
              </w:rPr>
            </w:pPr>
          </w:p>
        </w:tc>
        <w:tc>
          <w:tcPr>
            <w:tcW w:w="690" w:type="dxa"/>
          </w:tcPr>
          <w:p w14:paraId="4388949D" w14:textId="77777777" w:rsidR="00721370" w:rsidRPr="008B2872" w:rsidRDefault="00721370" w:rsidP="0049324B">
            <w:pPr>
              <w:jc w:val="center"/>
              <w:rPr>
                <w:sz w:val="16"/>
                <w:szCs w:val="16"/>
              </w:rPr>
            </w:pPr>
          </w:p>
        </w:tc>
      </w:tr>
      <w:tr w:rsidR="00721370" w14:paraId="315661A0" w14:textId="77777777" w:rsidTr="00043FA1">
        <w:tc>
          <w:tcPr>
            <w:tcW w:w="1441" w:type="dxa"/>
            <w:vMerge/>
          </w:tcPr>
          <w:p w14:paraId="346D02AF" w14:textId="77777777" w:rsidR="00721370" w:rsidRPr="008B2872" w:rsidRDefault="00721370" w:rsidP="0049324B">
            <w:pPr>
              <w:jc w:val="center"/>
              <w:rPr>
                <w:sz w:val="16"/>
                <w:szCs w:val="16"/>
              </w:rPr>
            </w:pPr>
          </w:p>
        </w:tc>
        <w:tc>
          <w:tcPr>
            <w:tcW w:w="1367" w:type="dxa"/>
            <w:vMerge/>
          </w:tcPr>
          <w:p w14:paraId="550CCA0A" w14:textId="77777777" w:rsidR="00721370" w:rsidRPr="008B2872" w:rsidRDefault="00721370" w:rsidP="0049324B">
            <w:pPr>
              <w:jc w:val="center"/>
              <w:rPr>
                <w:sz w:val="16"/>
                <w:szCs w:val="16"/>
              </w:rPr>
            </w:pPr>
          </w:p>
        </w:tc>
        <w:tc>
          <w:tcPr>
            <w:tcW w:w="2414" w:type="dxa"/>
          </w:tcPr>
          <w:p w14:paraId="66AFD2FF" w14:textId="688C89A0" w:rsidR="00721370" w:rsidRPr="008B2872" w:rsidRDefault="00721370" w:rsidP="0049324B">
            <w:pPr>
              <w:jc w:val="center"/>
              <w:rPr>
                <w:sz w:val="16"/>
                <w:szCs w:val="16"/>
              </w:rPr>
            </w:pPr>
            <w:r>
              <w:rPr>
                <w:sz w:val="16"/>
                <w:szCs w:val="16"/>
              </w:rPr>
              <w:t>Biosecurity Cost Recovery mechanisms development/improved both policy and regulations (including fees that would specifically support EDRR and marine biosecurity inspections) and implemented</w:t>
            </w:r>
          </w:p>
        </w:tc>
        <w:tc>
          <w:tcPr>
            <w:tcW w:w="1309" w:type="dxa"/>
          </w:tcPr>
          <w:p w14:paraId="023E7A06" w14:textId="14D2D8E0" w:rsidR="00721370" w:rsidRPr="008B2872" w:rsidRDefault="00AD7C51" w:rsidP="0049324B">
            <w:pPr>
              <w:jc w:val="center"/>
              <w:rPr>
                <w:sz w:val="16"/>
                <w:szCs w:val="16"/>
              </w:rPr>
            </w:pPr>
            <w:r>
              <w:rPr>
                <w:sz w:val="16"/>
                <w:szCs w:val="16"/>
              </w:rPr>
              <w:t>NISCO, NISC</w:t>
            </w:r>
          </w:p>
        </w:tc>
        <w:tc>
          <w:tcPr>
            <w:tcW w:w="610" w:type="dxa"/>
          </w:tcPr>
          <w:p w14:paraId="31DBF58C" w14:textId="77777777" w:rsidR="00721370" w:rsidRPr="008B2872" w:rsidRDefault="00721370" w:rsidP="0049324B">
            <w:pPr>
              <w:jc w:val="center"/>
              <w:rPr>
                <w:sz w:val="16"/>
                <w:szCs w:val="16"/>
              </w:rPr>
            </w:pPr>
          </w:p>
        </w:tc>
        <w:tc>
          <w:tcPr>
            <w:tcW w:w="645" w:type="dxa"/>
            <w:shd w:val="clear" w:color="auto" w:fill="FBD4B4" w:themeFill="accent6" w:themeFillTint="66"/>
          </w:tcPr>
          <w:p w14:paraId="5E67CCA2" w14:textId="77777777" w:rsidR="00721370" w:rsidRPr="008B2872" w:rsidRDefault="00721370" w:rsidP="0049324B">
            <w:pPr>
              <w:jc w:val="center"/>
              <w:rPr>
                <w:sz w:val="16"/>
                <w:szCs w:val="16"/>
              </w:rPr>
            </w:pPr>
          </w:p>
        </w:tc>
        <w:tc>
          <w:tcPr>
            <w:tcW w:w="690" w:type="dxa"/>
            <w:shd w:val="clear" w:color="auto" w:fill="FBD4B4" w:themeFill="accent6" w:themeFillTint="66"/>
          </w:tcPr>
          <w:p w14:paraId="4F224C5A" w14:textId="77777777" w:rsidR="00721370" w:rsidRPr="008B2872" w:rsidRDefault="00721370" w:rsidP="0049324B">
            <w:pPr>
              <w:jc w:val="center"/>
              <w:rPr>
                <w:sz w:val="16"/>
                <w:szCs w:val="16"/>
              </w:rPr>
            </w:pPr>
          </w:p>
        </w:tc>
        <w:tc>
          <w:tcPr>
            <w:tcW w:w="587" w:type="dxa"/>
            <w:shd w:val="clear" w:color="auto" w:fill="FBD4B4" w:themeFill="accent6" w:themeFillTint="66"/>
          </w:tcPr>
          <w:p w14:paraId="71D7E8F1" w14:textId="77777777" w:rsidR="00721370" w:rsidRPr="008B2872" w:rsidRDefault="00721370" w:rsidP="0049324B">
            <w:pPr>
              <w:jc w:val="center"/>
              <w:rPr>
                <w:sz w:val="16"/>
                <w:szCs w:val="16"/>
              </w:rPr>
            </w:pPr>
          </w:p>
        </w:tc>
        <w:tc>
          <w:tcPr>
            <w:tcW w:w="690" w:type="dxa"/>
            <w:shd w:val="clear" w:color="auto" w:fill="FBD4B4" w:themeFill="accent6" w:themeFillTint="66"/>
          </w:tcPr>
          <w:p w14:paraId="03105400" w14:textId="77777777" w:rsidR="00721370" w:rsidRPr="008B2872" w:rsidRDefault="00721370" w:rsidP="0049324B">
            <w:pPr>
              <w:jc w:val="center"/>
              <w:rPr>
                <w:sz w:val="16"/>
                <w:szCs w:val="16"/>
              </w:rPr>
            </w:pPr>
          </w:p>
        </w:tc>
        <w:tc>
          <w:tcPr>
            <w:tcW w:w="540" w:type="dxa"/>
          </w:tcPr>
          <w:p w14:paraId="24732D96" w14:textId="77777777" w:rsidR="00721370" w:rsidRPr="008B2872" w:rsidRDefault="00721370" w:rsidP="0049324B">
            <w:pPr>
              <w:jc w:val="center"/>
              <w:rPr>
                <w:sz w:val="16"/>
                <w:szCs w:val="16"/>
              </w:rPr>
            </w:pPr>
          </w:p>
        </w:tc>
        <w:tc>
          <w:tcPr>
            <w:tcW w:w="690" w:type="dxa"/>
          </w:tcPr>
          <w:p w14:paraId="71A8A610" w14:textId="77777777" w:rsidR="00721370" w:rsidRPr="008B2872" w:rsidRDefault="00721370" w:rsidP="0049324B">
            <w:pPr>
              <w:jc w:val="center"/>
              <w:rPr>
                <w:sz w:val="16"/>
                <w:szCs w:val="16"/>
              </w:rPr>
            </w:pPr>
          </w:p>
        </w:tc>
        <w:tc>
          <w:tcPr>
            <w:tcW w:w="534" w:type="dxa"/>
          </w:tcPr>
          <w:p w14:paraId="6DF7AB19" w14:textId="77777777" w:rsidR="00721370" w:rsidRPr="008B2872" w:rsidRDefault="00721370" w:rsidP="0049324B">
            <w:pPr>
              <w:jc w:val="center"/>
              <w:rPr>
                <w:sz w:val="16"/>
                <w:szCs w:val="16"/>
              </w:rPr>
            </w:pPr>
          </w:p>
        </w:tc>
        <w:tc>
          <w:tcPr>
            <w:tcW w:w="690" w:type="dxa"/>
          </w:tcPr>
          <w:p w14:paraId="516BBE84" w14:textId="77777777" w:rsidR="00721370" w:rsidRPr="008B2872" w:rsidRDefault="00721370" w:rsidP="0049324B">
            <w:pPr>
              <w:jc w:val="center"/>
              <w:rPr>
                <w:sz w:val="16"/>
                <w:szCs w:val="16"/>
              </w:rPr>
            </w:pPr>
          </w:p>
        </w:tc>
        <w:tc>
          <w:tcPr>
            <w:tcW w:w="516" w:type="dxa"/>
          </w:tcPr>
          <w:p w14:paraId="2D789F1A" w14:textId="77777777" w:rsidR="00721370" w:rsidRPr="008B2872" w:rsidRDefault="00721370" w:rsidP="0049324B">
            <w:pPr>
              <w:jc w:val="center"/>
              <w:rPr>
                <w:sz w:val="16"/>
                <w:szCs w:val="16"/>
              </w:rPr>
            </w:pPr>
          </w:p>
        </w:tc>
        <w:tc>
          <w:tcPr>
            <w:tcW w:w="690" w:type="dxa"/>
          </w:tcPr>
          <w:p w14:paraId="077C776C" w14:textId="77777777" w:rsidR="00721370" w:rsidRPr="008B2872" w:rsidRDefault="00721370" w:rsidP="0049324B">
            <w:pPr>
              <w:jc w:val="center"/>
              <w:rPr>
                <w:sz w:val="16"/>
                <w:szCs w:val="16"/>
              </w:rPr>
            </w:pPr>
          </w:p>
        </w:tc>
        <w:tc>
          <w:tcPr>
            <w:tcW w:w="513" w:type="dxa"/>
          </w:tcPr>
          <w:p w14:paraId="4CFE2EF1" w14:textId="77777777" w:rsidR="00721370" w:rsidRPr="008B2872" w:rsidRDefault="00721370" w:rsidP="0049324B">
            <w:pPr>
              <w:jc w:val="center"/>
              <w:rPr>
                <w:sz w:val="16"/>
                <w:szCs w:val="16"/>
              </w:rPr>
            </w:pPr>
          </w:p>
        </w:tc>
        <w:tc>
          <w:tcPr>
            <w:tcW w:w="690" w:type="dxa"/>
          </w:tcPr>
          <w:p w14:paraId="4E5BC30B" w14:textId="77777777" w:rsidR="00721370" w:rsidRPr="008B2872" w:rsidRDefault="00721370" w:rsidP="0049324B">
            <w:pPr>
              <w:jc w:val="center"/>
              <w:rPr>
                <w:sz w:val="16"/>
                <w:szCs w:val="16"/>
              </w:rPr>
            </w:pPr>
          </w:p>
        </w:tc>
      </w:tr>
      <w:tr w:rsidR="00721370" w14:paraId="252EE29B" w14:textId="77777777" w:rsidTr="00043FA1">
        <w:tc>
          <w:tcPr>
            <w:tcW w:w="1441" w:type="dxa"/>
            <w:vMerge/>
          </w:tcPr>
          <w:p w14:paraId="6DA52636" w14:textId="77777777" w:rsidR="00721370" w:rsidRPr="008B2872" w:rsidRDefault="00721370" w:rsidP="0049324B">
            <w:pPr>
              <w:jc w:val="center"/>
              <w:rPr>
                <w:sz w:val="16"/>
                <w:szCs w:val="16"/>
              </w:rPr>
            </w:pPr>
          </w:p>
        </w:tc>
        <w:tc>
          <w:tcPr>
            <w:tcW w:w="1367" w:type="dxa"/>
            <w:vMerge/>
          </w:tcPr>
          <w:p w14:paraId="73B7D974" w14:textId="77777777" w:rsidR="00721370" w:rsidRPr="008B2872" w:rsidRDefault="00721370" w:rsidP="0049324B">
            <w:pPr>
              <w:jc w:val="center"/>
              <w:rPr>
                <w:sz w:val="16"/>
                <w:szCs w:val="16"/>
              </w:rPr>
            </w:pPr>
          </w:p>
        </w:tc>
        <w:tc>
          <w:tcPr>
            <w:tcW w:w="2414" w:type="dxa"/>
          </w:tcPr>
          <w:p w14:paraId="6F1E3072" w14:textId="7288BE80" w:rsidR="00721370" w:rsidRPr="008B2872" w:rsidRDefault="00721370" w:rsidP="0049324B">
            <w:pPr>
              <w:jc w:val="center"/>
              <w:rPr>
                <w:sz w:val="16"/>
                <w:szCs w:val="16"/>
              </w:rPr>
            </w:pPr>
            <w:r>
              <w:rPr>
                <w:sz w:val="16"/>
                <w:szCs w:val="16"/>
              </w:rPr>
              <w:t>Develop protocols for new biosecurity regulations, policies etc. including specific elements to address marine biosecurity including hull inspection and treatment options, protocols for addressing novel species at ports</w:t>
            </w:r>
          </w:p>
        </w:tc>
        <w:tc>
          <w:tcPr>
            <w:tcW w:w="1309" w:type="dxa"/>
          </w:tcPr>
          <w:p w14:paraId="7435889C" w14:textId="77D6CB4F" w:rsidR="00721370" w:rsidRPr="008B2872" w:rsidRDefault="00AD7C51" w:rsidP="0049324B">
            <w:pPr>
              <w:jc w:val="center"/>
              <w:rPr>
                <w:sz w:val="16"/>
                <w:szCs w:val="16"/>
              </w:rPr>
            </w:pPr>
            <w:r>
              <w:rPr>
                <w:sz w:val="16"/>
                <w:szCs w:val="16"/>
              </w:rPr>
              <w:t>NISCO, NISC</w:t>
            </w:r>
          </w:p>
        </w:tc>
        <w:tc>
          <w:tcPr>
            <w:tcW w:w="610" w:type="dxa"/>
          </w:tcPr>
          <w:p w14:paraId="44C6CAF9" w14:textId="77777777" w:rsidR="00721370" w:rsidRPr="008B2872" w:rsidRDefault="00721370" w:rsidP="0049324B">
            <w:pPr>
              <w:jc w:val="center"/>
              <w:rPr>
                <w:sz w:val="16"/>
                <w:szCs w:val="16"/>
              </w:rPr>
            </w:pPr>
          </w:p>
        </w:tc>
        <w:tc>
          <w:tcPr>
            <w:tcW w:w="645" w:type="dxa"/>
          </w:tcPr>
          <w:p w14:paraId="19658781" w14:textId="77777777" w:rsidR="00721370" w:rsidRPr="008B2872" w:rsidRDefault="00721370" w:rsidP="0049324B">
            <w:pPr>
              <w:jc w:val="center"/>
              <w:rPr>
                <w:sz w:val="16"/>
                <w:szCs w:val="16"/>
              </w:rPr>
            </w:pPr>
          </w:p>
        </w:tc>
        <w:tc>
          <w:tcPr>
            <w:tcW w:w="690" w:type="dxa"/>
          </w:tcPr>
          <w:p w14:paraId="670C198E" w14:textId="77777777" w:rsidR="00721370" w:rsidRPr="008B2872" w:rsidRDefault="00721370" w:rsidP="0049324B">
            <w:pPr>
              <w:jc w:val="center"/>
              <w:rPr>
                <w:sz w:val="16"/>
                <w:szCs w:val="16"/>
              </w:rPr>
            </w:pPr>
          </w:p>
        </w:tc>
        <w:tc>
          <w:tcPr>
            <w:tcW w:w="587" w:type="dxa"/>
            <w:shd w:val="clear" w:color="auto" w:fill="FBD4B4" w:themeFill="accent6" w:themeFillTint="66"/>
          </w:tcPr>
          <w:p w14:paraId="563D578B" w14:textId="77777777" w:rsidR="00721370" w:rsidRPr="008B2872" w:rsidRDefault="00721370" w:rsidP="0049324B">
            <w:pPr>
              <w:jc w:val="center"/>
              <w:rPr>
                <w:sz w:val="16"/>
                <w:szCs w:val="16"/>
              </w:rPr>
            </w:pPr>
          </w:p>
        </w:tc>
        <w:tc>
          <w:tcPr>
            <w:tcW w:w="690" w:type="dxa"/>
            <w:shd w:val="clear" w:color="auto" w:fill="FBD4B4" w:themeFill="accent6" w:themeFillTint="66"/>
          </w:tcPr>
          <w:p w14:paraId="0A544C1C" w14:textId="77777777" w:rsidR="00721370" w:rsidRPr="008B2872" w:rsidRDefault="00721370" w:rsidP="0049324B">
            <w:pPr>
              <w:jc w:val="center"/>
              <w:rPr>
                <w:sz w:val="16"/>
                <w:szCs w:val="16"/>
              </w:rPr>
            </w:pPr>
          </w:p>
        </w:tc>
        <w:tc>
          <w:tcPr>
            <w:tcW w:w="540" w:type="dxa"/>
          </w:tcPr>
          <w:p w14:paraId="5EF89521" w14:textId="77777777" w:rsidR="00721370" w:rsidRPr="008B2872" w:rsidRDefault="00721370" w:rsidP="0049324B">
            <w:pPr>
              <w:jc w:val="center"/>
              <w:rPr>
                <w:sz w:val="16"/>
                <w:szCs w:val="16"/>
              </w:rPr>
            </w:pPr>
          </w:p>
        </w:tc>
        <w:tc>
          <w:tcPr>
            <w:tcW w:w="690" w:type="dxa"/>
          </w:tcPr>
          <w:p w14:paraId="017DED5B" w14:textId="77777777" w:rsidR="00721370" w:rsidRPr="008B2872" w:rsidRDefault="00721370" w:rsidP="0049324B">
            <w:pPr>
              <w:jc w:val="center"/>
              <w:rPr>
                <w:sz w:val="16"/>
                <w:szCs w:val="16"/>
              </w:rPr>
            </w:pPr>
          </w:p>
        </w:tc>
        <w:tc>
          <w:tcPr>
            <w:tcW w:w="534" w:type="dxa"/>
          </w:tcPr>
          <w:p w14:paraId="570771C8" w14:textId="77777777" w:rsidR="00721370" w:rsidRPr="008B2872" w:rsidRDefault="00721370" w:rsidP="0049324B">
            <w:pPr>
              <w:jc w:val="center"/>
              <w:rPr>
                <w:sz w:val="16"/>
                <w:szCs w:val="16"/>
              </w:rPr>
            </w:pPr>
          </w:p>
        </w:tc>
        <w:tc>
          <w:tcPr>
            <w:tcW w:w="690" w:type="dxa"/>
          </w:tcPr>
          <w:p w14:paraId="53A4E890" w14:textId="77777777" w:rsidR="00721370" w:rsidRPr="008B2872" w:rsidRDefault="00721370" w:rsidP="0049324B">
            <w:pPr>
              <w:jc w:val="center"/>
              <w:rPr>
                <w:sz w:val="16"/>
                <w:szCs w:val="16"/>
              </w:rPr>
            </w:pPr>
          </w:p>
        </w:tc>
        <w:tc>
          <w:tcPr>
            <w:tcW w:w="516" w:type="dxa"/>
          </w:tcPr>
          <w:p w14:paraId="787AB89F" w14:textId="77777777" w:rsidR="00721370" w:rsidRPr="008B2872" w:rsidRDefault="00721370" w:rsidP="0049324B">
            <w:pPr>
              <w:jc w:val="center"/>
              <w:rPr>
                <w:sz w:val="16"/>
                <w:szCs w:val="16"/>
              </w:rPr>
            </w:pPr>
          </w:p>
        </w:tc>
        <w:tc>
          <w:tcPr>
            <w:tcW w:w="690" w:type="dxa"/>
          </w:tcPr>
          <w:p w14:paraId="1709A393" w14:textId="77777777" w:rsidR="00721370" w:rsidRPr="008B2872" w:rsidRDefault="00721370" w:rsidP="0049324B">
            <w:pPr>
              <w:jc w:val="center"/>
              <w:rPr>
                <w:sz w:val="16"/>
                <w:szCs w:val="16"/>
              </w:rPr>
            </w:pPr>
          </w:p>
        </w:tc>
        <w:tc>
          <w:tcPr>
            <w:tcW w:w="513" w:type="dxa"/>
          </w:tcPr>
          <w:p w14:paraId="67D502F6" w14:textId="77777777" w:rsidR="00721370" w:rsidRPr="008B2872" w:rsidRDefault="00721370" w:rsidP="0049324B">
            <w:pPr>
              <w:jc w:val="center"/>
              <w:rPr>
                <w:sz w:val="16"/>
                <w:szCs w:val="16"/>
              </w:rPr>
            </w:pPr>
          </w:p>
        </w:tc>
        <w:tc>
          <w:tcPr>
            <w:tcW w:w="690" w:type="dxa"/>
          </w:tcPr>
          <w:p w14:paraId="71DF78EC" w14:textId="77777777" w:rsidR="00721370" w:rsidRPr="008B2872" w:rsidRDefault="00721370" w:rsidP="0049324B">
            <w:pPr>
              <w:jc w:val="center"/>
              <w:rPr>
                <w:sz w:val="16"/>
                <w:szCs w:val="16"/>
              </w:rPr>
            </w:pPr>
          </w:p>
        </w:tc>
      </w:tr>
      <w:tr w:rsidR="00721370" w14:paraId="3B9EE403" w14:textId="77777777" w:rsidTr="00043FA1">
        <w:tc>
          <w:tcPr>
            <w:tcW w:w="1441" w:type="dxa"/>
            <w:vMerge/>
          </w:tcPr>
          <w:p w14:paraId="46EC8D2F" w14:textId="77777777" w:rsidR="00721370" w:rsidRPr="008B2872" w:rsidRDefault="00721370" w:rsidP="0049324B">
            <w:pPr>
              <w:jc w:val="center"/>
              <w:rPr>
                <w:sz w:val="16"/>
                <w:szCs w:val="16"/>
              </w:rPr>
            </w:pPr>
          </w:p>
        </w:tc>
        <w:tc>
          <w:tcPr>
            <w:tcW w:w="1367" w:type="dxa"/>
            <w:vMerge w:val="restart"/>
          </w:tcPr>
          <w:p w14:paraId="7BF1215B" w14:textId="2C290F53" w:rsidR="00721370" w:rsidRPr="008B2872" w:rsidRDefault="00721370" w:rsidP="0049324B">
            <w:pPr>
              <w:jc w:val="center"/>
              <w:rPr>
                <w:sz w:val="16"/>
                <w:szCs w:val="16"/>
              </w:rPr>
            </w:pPr>
            <w:r>
              <w:rPr>
                <w:sz w:val="16"/>
                <w:szCs w:val="16"/>
              </w:rPr>
              <w:t>Biosecurity capacity building, training and field implementation</w:t>
            </w:r>
          </w:p>
        </w:tc>
        <w:tc>
          <w:tcPr>
            <w:tcW w:w="2414" w:type="dxa"/>
          </w:tcPr>
          <w:p w14:paraId="6C99A5BA" w14:textId="38FDF586" w:rsidR="00721370" w:rsidRPr="008B2872" w:rsidRDefault="0091643D" w:rsidP="0049324B">
            <w:pPr>
              <w:jc w:val="center"/>
              <w:rPr>
                <w:sz w:val="16"/>
                <w:szCs w:val="16"/>
              </w:rPr>
            </w:pPr>
            <w:r>
              <w:rPr>
                <w:sz w:val="16"/>
                <w:szCs w:val="16"/>
              </w:rPr>
              <w:t>Training BD staff on new regulations, protocols and fee collections</w:t>
            </w:r>
          </w:p>
        </w:tc>
        <w:tc>
          <w:tcPr>
            <w:tcW w:w="1309" w:type="dxa"/>
          </w:tcPr>
          <w:p w14:paraId="5D77D292" w14:textId="4268FAC8" w:rsidR="00721370" w:rsidRPr="008B2872" w:rsidRDefault="00AD7C51" w:rsidP="0049324B">
            <w:pPr>
              <w:jc w:val="center"/>
              <w:rPr>
                <w:sz w:val="16"/>
                <w:szCs w:val="16"/>
              </w:rPr>
            </w:pPr>
            <w:r>
              <w:rPr>
                <w:sz w:val="16"/>
                <w:szCs w:val="16"/>
              </w:rPr>
              <w:t>BD</w:t>
            </w:r>
          </w:p>
        </w:tc>
        <w:tc>
          <w:tcPr>
            <w:tcW w:w="610" w:type="dxa"/>
          </w:tcPr>
          <w:p w14:paraId="58D60A92" w14:textId="77777777" w:rsidR="00721370" w:rsidRPr="008B2872" w:rsidRDefault="00721370" w:rsidP="0049324B">
            <w:pPr>
              <w:jc w:val="center"/>
              <w:rPr>
                <w:sz w:val="16"/>
                <w:szCs w:val="16"/>
              </w:rPr>
            </w:pPr>
          </w:p>
        </w:tc>
        <w:tc>
          <w:tcPr>
            <w:tcW w:w="645" w:type="dxa"/>
          </w:tcPr>
          <w:p w14:paraId="26607395" w14:textId="77777777" w:rsidR="00721370" w:rsidRPr="008B2872" w:rsidRDefault="00721370" w:rsidP="0049324B">
            <w:pPr>
              <w:jc w:val="center"/>
              <w:rPr>
                <w:sz w:val="16"/>
                <w:szCs w:val="16"/>
              </w:rPr>
            </w:pPr>
          </w:p>
        </w:tc>
        <w:tc>
          <w:tcPr>
            <w:tcW w:w="690" w:type="dxa"/>
            <w:shd w:val="clear" w:color="auto" w:fill="auto"/>
          </w:tcPr>
          <w:p w14:paraId="5D3EEE39" w14:textId="77777777" w:rsidR="00721370" w:rsidRPr="008B2872" w:rsidRDefault="00721370" w:rsidP="0049324B">
            <w:pPr>
              <w:jc w:val="center"/>
              <w:rPr>
                <w:sz w:val="16"/>
                <w:szCs w:val="16"/>
              </w:rPr>
            </w:pPr>
          </w:p>
        </w:tc>
        <w:tc>
          <w:tcPr>
            <w:tcW w:w="587" w:type="dxa"/>
            <w:shd w:val="clear" w:color="auto" w:fill="FBD4B4" w:themeFill="accent6" w:themeFillTint="66"/>
          </w:tcPr>
          <w:p w14:paraId="5245EB67" w14:textId="77777777" w:rsidR="00721370" w:rsidRPr="008B2872" w:rsidRDefault="00721370" w:rsidP="0049324B">
            <w:pPr>
              <w:jc w:val="center"/>
              <w:rPr>
                <w:sz w:val="16"/>
                <w:szCs w:val="16"/>
              </w:rPr>
            </w:pPr>
          </w:p>
        </w:tc>
        <w:tc>
          <w:tcPr>
            <w:tcW w:w="690" w:type="dxa"/>
            <w:shd w:val="clear" w:color="auto" w:fill="FBD4B4" w:themeFill="accent6" w:themeFillTint="66"/>
          </w:tcPr>
          <w:p w14:paraId="5F64C16E" w14:textId="77777777" w:rsidR="00721370" w:rsidRPr="008B2872" w:rsidRDefault="00721370" w:rsidP="0049324B">
            <w:pPr>
              <w:jc w:val="center"/>
              <w:rPr>
                <w:sz w:val="16"/>
                <w:szCs w:val="16"/>
              </w:rPr>
            </w:pPr>
          </w:p>
        </w:tc>
        <w:tc>
          <w:tcPr>
            <w:tcW w:w="540" w:type="dxa"/>
          </w:tcPr>
          <w:p w14:paraId="375D9232" w14:textId="77777777" w:rsidR="00721370" w:rsidRPr="008B2872" w:rsidRDefault="00721370" w:rsidP="0049324B">
            <w:pPr>
              <w:jc w:val="center"/>
              <w:rPr>
                <w:sz w:val="16"/>
                <w:szCs w:val="16"/>
              </w:rPr>
            </w:pPr>
          </w:p>
        </w:tc>
        <w:tc>
          <w:tcPr>
            <w:tcW w:w="690" w:type="dxa"/>
          </w:tcPr>
          <w:p w14:paraId="1BBE5DF6" w14:textId="77777777" w:rsidR="00721370" w:rsidRPr="008B2872" w:rsidRDefault="00721370" w:rsidP="0049324B">
            <w:pPr>
              <w:jc w:val="center"/>
              <w:rPr>
                <w:sz w:val="16"/>
                <w:szCs w:val="16"/>
              </w:rPr>
            </w:pPr>
          </w:p>
        </w:tc>
        <w:tc>
          <w:tcPr>
            <w:tcW w:w="534" w:type="dxa"/>
          </w:tcPr>
          <w:p w14:paraId="71275904" w14:textId="77777777" w:rsidR="00721370" w:rsidRPr="008B2872" w:rsidRDefault="00721370" w:rsidP="0049324B">
            <w:pPr>
              <w:jc w:val="center"/>
              <w:rPr>
                <w:sz w:val="16"/>
                <w:szCs w:val="16"/>
              </w:rPr>
            </w:pPr>
          </w:p>
        </w:tc>
        <w:tc>
          <w:tcPr>
            <w:tcW w:w="690" w:type="dxa"/>
          </w:tcPr>
          <w:p w14:paraId="0D8EE691" w14:textId="77777777" w:rsidR="00721370" w:rsidRPr="008B2872" w:rsidRDefault="00721370" w:rsidP="0049324B">
            <w:pPr>
              <w:jc w:val="center"/>
              <w:rPr>
                <w:sz w:val="16"/>
                <w:szCs w:val="16"/>
              </w:rPr>
            </w:pPr>
          </w:p>
        </w:tc>
        <w:tc>
          <w:tcPr>
            <w:tcW w:w="516" w:type="dxa"/>
          </w:tcPr>
          <w:p w14:paraId="3E3002BF" w14:textId="77777777" w:rsidR="00721370" w:rsidRPr="008B2872" w:rsidRDefault="00721370" w:rsidP="0049324B">
            <w:pPr>
              <w:jc w:val="center"/>
              <w:rPr>
                <w:sz w:val="16"/>
                <w:szCs w:val="16"/>
              </w:rPr>
            </w:pPr>
          </w:p>
        </w:tc>
        <w:tc>
          <w:tcPr>
            <w:tcW w:w="690" w:type="dxa"/>
          </w:tcPr>
          <w:p w14:paraId="52E62A75" w14:textId="77777777" w:rsidR="00721370" w:rsidRPr="008B2872" w:rsidRDefault="00721370" w:rsidP="0049324B">
            <w:pPr>
              <w:jc w:val="center"/>
              <w:rPr>
                <w:sz w:val="16"/>
                <w:szCs w:val="16"/>
              </w:rPr>
            </w:pPr>
          </w:p>
        </w:tc>
        <w:tc>
          <w:tcPr>
            <w:tcW w:w="513" w:type="dxa"/>
          </w:tcPr>
          <w:p w14:paraId="62F7B8DF" w14:textId="77777777" w:rsidR="00721370" w:rsidRPr="008B2872" w:rsidRDefault="00721370" w:rsidP="0049324B">
            <w:pPr>
              <w:jc w:val="center"/>
              <w:rPr>
                <w:sz w:val="16"/>
                <w:szCs w:val="16"/>
              </w:rPr>
            </w:pPr>
          </w:p>
        </w:tc>
        <w:tc>
          <w:tcPr>
            <w:tcW w:w="690" w:type="dxa"/>
          </w:tcPr>
          <w:p w14:paraId="547C3234" w14:textId="77777777" w:rsidR="00721370" w:rsidRPr="008B2872" w:rsidRDefault="00721370" w:rsidP="0049324B">
            <w:pPr>
              <w:jc w:val="center"/>
              <w:rPr>
                <w:sz w:val="16"/>
                <w:szCs w:val="16"/>
              </w:rPr>
            </w:pPr>
          </w:p>
        </w:tc>
      </w:tr>
      <w:tr w:rsidR="00721370" w14:paraId="75007A91" w14:textId="77777777" w:rsidTr="00043FA1">
        <w:tc>
          <w:tcPr>
            <w:tcW w:w="1441" w:type="dxa"/>
            <w:vMerge/>
          </w:tcPr>
          <w:p w14:paraId="34E8427D" w14:textId="77777777" w:rsidR="00721370" w:rsidRPr="008B2872" w:rsidRDefault="00721370" w:rsidP="0049324B">
            <w:pPr>
              <w:jc w:val="center"/>
              <w:rPr>
                <w:sz w:val="16"/>
                <w:szCs w:val="16"/>
              </w:rPr>
            </w:pPr>
          </w:p>
        </w:tc>
        <w:tc>
          <w:tcPr>
            <w:tcW w:w="1367" w:type="dxa"/>
            <w:vMerge/>
          </w:tcPr>
          <w:p w14:paraId="4D4B95C4" w14:textId="77777777" w:rsidR="00721370" w:rsidRPr="008B2872" w:rsidRDefault="00721370" w:rsidP="0049324B">
            <w:pPr>
              <w:jc w:val="center"/>
              <w:rPr>
                <w:sz w:val="16"/>
                <w:szCs w:val="16"/>
              </w:rPr>
            </w:pPr>
          </w:p>
        </w:tc>
        <w:tc>
          <w:tcPr>
            <w:tcW w:w="2414" w:type="dxa"/>
          </w:tcPr>
          <w:p w14:paraId="67BD70AB" w14:textId="01C0DB5E" w:rsidR="00721370" w:rsidRPr="008B2872" w:rsidRDefault="0091643D" w:rsidP="0049324B">
            <w:pPr>
              <w:jc w:val="center"/>
              <w:rPr>
                <w:sz w:val="16"/>
                <w:szCs w:val="16"/>
              </w:rPr>
            </w:pPr>
            <w:r>
              <w:rPr>
                <w:sz w:val="16"/>
                <w:szCs w:val="16"/>
              </w:rPr>
              <w:t>Managerial and coordination capacity building for Biosecurity Office Manager and NISC Coordinator</w:t>
            </w:r>
          </w:p>
        </w:tc>
        <w:tc>
          <w:tcPr>
            <w:tcW w:w="1309" w:type="dxa"/>
          </w:tcPr>
          <w:p w14:paraId="6998429C" w14:textId="5069A3F8" w:rsidR="00721370" w:rsidRPr="008B2872" w:rsidRDefault="00AD7C51" w:rsidP="0049324B">
            <w:pPr>
              <w:jc w:val="center"/>
              <w:rPr>
                <w:sz w:val="16"/>
                <w:szCs w:val="16"/>
              </w:rPr>
            </w:pPr>
            <w:r>
              <w:rPr>
                <w:sz w:val="16"/>
                <w:szCs w:val="16"/>
              </w:rPr>
              <w:t>NISCO</w:t>
            </w:r>
          </w:p>
        </w:tc>
        <w:tc>
          <w:tcPr>
            <w:tcW w:w="610" w:type="dxa"/>
          </w:tcPr>
          <w:p w14:paraId="1140497E" w14:textId="77777777" w:rsidR="00721370" w:rsidRPr="008B2872" w:rsidRDefault="00721370" w:rsidP="0049324B">
            <w:pPr>
              <w:jc w:val="center"/>
              <w:rPr>
                <w:sz w:val="16"/>
                <w:szCs w:val="16"/>
              </w:rPr>
            </w:pPr>
          </w:p>
        </w:tc>
        <w:tc>
          <w:tcPr>
            <w:tcW w:w="645" w:type="dxa"/>
          </w:tcPr>
          <w:p w14:paraId="6A50330C" w14:textId="77777777" w:rsidR="00721370" w:rsidRPr="008B2872" w:rsidRDefault="00721370" w:rsidP="0049324B">
            <w:pPr>
              <w:jc w:val="center"/>
              <w:rPr>
                <w:sz w:val="16"/>
                <w:szCs w:val="16"/>
              </w:rPr>
            </w:pPr>
          </w:p>
        </w:tc>
        <w:tc>
          <w:tcPr>
            <w:tcW w:w="690" w:type="dxa"/>
            <w:shd w:val="clear" w:color="auto" w:fill="auto"/>
          </w:tcPr>
          <w:p w14:paraId="21C3501E" w14:textId="77777777" w:rsidR="00721370" w:rsidRPr="008B2872" w:rsidRDefault="00721370" w:rsidP="0049324B">
            <w:pPr>
              <w:jc w:val="center"/>
              <w:rPr>
                <w:sz w:val="16"/>
                <w:szCs w:val="16"/>
              </w:rPr>
            </w:pPr>
          </w:p>
        </w:tc>
        <w:tc>
          <w:tcPr>
            <w:tcW w:w="587" w:type="dxa"/>
            <w:shd w:val="clear" w:color="auto" w:fill="FBD4B4" w:themeFill="accent6" w:themeFillTint="66"/>
          </w:tcPr>
          <w:p w14:paraId="5CE552EF" w14:textId="77777777" w:rsidR="00721370" w:rsidRPr="008B2872" w:rsidRDefault="00721370" w:rsidP="0049324B">
            <w:pPr>
              <w:jc w:val="center"/>
              <w:rPr>
                <w:sz w:val="16"/>
                <w:szCs w:val="16"/>
              </w:rPr>
            </w:pPr>
          </w:p>
        </w:tc>
        <w:tc>
          <w:tcPr>
            <w:tcW w:w="690" w:type="dxa"/>
            <w:shd w:val="clear" w:color="auto" w:fill="FBD4B4" w:themeFill="accent6" w:themeFillTint="66"/>
          </w:tcPr>
          <w:p w14:paraId="64AB71F7" w14:textId="77777777" w:rsidR="00721370" w:rsidRPr="008B2872" w:rsidRDefault="00721370" w:rsidP="0049324B">
            <w:pPr>
              <w:jc w:val="center"/>
              <w:rPr>
                <w:sz w:val="16"/>
                <w:szCs w:val="16"/>
              </w:rPr>
            </w:pPr>
          </w:p>
        </w:tc>
        <w:tc>
          <w:tcPr>
            <w:tcW w:w="540" w:type="dxa"/>
          </w:tcPr>
          <w:p w14:paraId="203FF416" w14:textId="77777777" w:rsidR="00721370" w:rsidRPr="008B2872" w:rsidRDefault="00721370" w:rsidP="0049324B">
            <w:pPr>
              <w:jc w:val="center"/>
              <w:rPr>
                <w:sz w:val="16"/>
                <w:szCs w:val="16"/>
              </w:rPr>
            </w:pPr>
          </w:p>
        </w:tc>
        <w:tc>
          <w:tcPr>
            <w:tcW w:w="690" w:type="dxa"/>
          </w:tcPr>
          <w:p w14:paraId="5083C449" w14:textId="77777777" w:rsidR="00721370" w:rsidRPr="008B2872" w:rsidRDefault="00721370" w:rsidP="0049324B">
            <w:pPr>
              <w:jc w:val="center"/>
              <w:rPr>
                <w:sz w:val="16"/>
                <w:szCs w:val="16"/>
              </w:rPr>
            </w:pPr>
          </w:p>
        </w:tc>
        <w:tc>
          <w:tcPr>
            <w:tcW w:w="534" w:type="dxa"/>
          </w:tcPr>
          <w:p w14:paraId="6A0E0B9E" w14:textId="77777777" w:rsidR="00721370" w:rsidRPr="008B2872" w:rsidRDefault="00721370" w:rsidP="0049324B">
            <w:pPr>
              <w:jc w:val="center"/>
              <w:rPr>
                <w:sz w:val="16"/>
                <w:szCs w:val="16"/>
              </w:rPr>
            </w:pPr>
          </w:p>
        </w:tc>
        <w:tc>
          <w:tcPr>
            <w:tcW w:w="690" w:type="dxa"/>
          </w:tcPr>
          <w:p w14:paraId="37E0AA34" w14:textId="77777777" w:rsidR="00721370" w:rsidRPr="008B2872" w:rsidRDefault="00721370" w:rsidP="0049324B">
            <w:pPr>
              <w:jc w:val="center"/>
              <w:rPr>
                <w:sz w:val="16"/>
                <w:szCs w:val="16"/>
              </w:rPr>
            </w:pPr>
          </w:p>
        </w:tc>
        <w:tc>
          <w:tcPr>
            <w:tcW w:w="516" w:type="dxa"/>
          </w:tcPr>
          <w:p w14:paraId="40EE65C1" w14:textId="77777777" w:rsidR="00721370" w:rsidRPr="008B2872" w:rsidRDefault="00721370" w:rsidP="0049324B">
            <w:pPr>
              <w:jc w:val="center"/>
              <w:rPr>
                <w:sz w:val="16"/>
                <w:szCs w:val="16"/>
              </w:rPr>
            </w:pPr>
          </w:p>
        </w:tc>
        <w:tc>
          <w:tcPr>
            <w:tcW w:w="690" w:type="dxa"/>
          </w:tcPr>
          <w:p w14:paraId="14C2874A" w14:textId="77777777" w:rsidR="00721370" w:rsidRPr="008B2872" w:rsidRDefault="00721370" w:rsidP="0049324B">
            <w:pPr>
              <w:jc w:val="center"/>
              <w:rPr>
                <w:sz w:val="16"/>
                <w:szCs w:val="16"/>
              </w:rPr>
            </w:pPr>
          </w:p>
        </w:tc>
        <w:tc>
          <w:tcPr>
            <w:tcW w:w="513" w:type="dxa"/>
          </w:tcPr>
          <w:p w14:paraId="05CCE420" w14:textId="77777777" w:rsidR="00721370" w:rsidRPr="008B2872" w:rsidRDefault="00721370" w:rsidP="0049324B">
            <w:pPr>
              <w:jc w:val="center"/>
              <w:rPr>
                <w:sz w:val="16"/>
                <w:szCs w:val="16"/>
              </w:rPr>
            </w:pPr>
          </w:p>
        </w:tc>
        <w:tc>
          <w:tcPr>
            <w:tcW w:w="690" w:type="dxa"/>
          </w:tcPr>
          <w:p w14:paraId="2058429E" w14:textId="77777777" w:rsidR="00721370" w:rsidRPr="008B2872" w:rsidRDefault="00721370" w:rsidP="0049324B">
            <w:pPr>
              <w:jc w:val="center"/>
              <w:rPr>
                <w:sz w:val="16"/>
                <w:szCs w:val="16"/>
              </w:rPr>
            </w:pPr>
          </w:p>
        </w:tc>
      </w:tr>
      <w:tr w:rsidR="00721370" w14:paraId="7D3F6CEC" w14:textId="77777777" w:rsidTr="00043FA1">
        <w:tc>
          <w:tcPr>
            <w:tcW w:w="1441" w:type="dxa"/>
            <w:vMerge/>
          </w:tcPr>
          <w:p w14:paraId="7353E0BE" w14:textId="77777777" w:rsidR="00721370" w:rsidRPr="008B2872" w:rsidRDefault="00721370" w:rsidP="0049324B">
            <w:pPr>
              <w:jc w:val="center"/>
              <w:rPr>
                <w:sz w:val="16"/>
                <w:szCs w:val="16"/>
              </w:rPr>
            </w:pPr>
          </w:p>
        </w:tc>
        <w:tc>
          <w:tcPr>
            <w:tcW w:w="1367" w:type="dxa"/>
            <w:vMerge/>
          </w:tcPr>
          <w:p w14:paraId="73E1D840" w14:textId="77777777" w:rsidR="00721370" w:rsidRPr="008B2872" w:rsidRDefault="00721370" w:rsidP="0049324B">
            <w:pPr>
              <w:jc w:val="center"/>
              <w:rPr>
                <w:sz w:val="16"/>
                <w:szCs w:val="16"/>
              </w:rPr>
            </w:pPr>
          </w:p>
        </w:tc>
        <w:tc>
          <w:tcPr>
            <w:tcW w:w="2414" w:type="dxa"/>
          </w:tcPr>
          <w:p w14:paraId="3A31F993" w14:textId="2B977049" w:rsidR="00721370" w:rsidRPr="008B2872" w:rsidRDefault="0091643D" w:rsidP="0091643D">
            <w:pPr>
              <w:jc w:val="center"/>
              <w:rPr>
                <w:sz w:val="16"/>
                <w:szCs w:val="16"/>
              </w:rPr>
            </w:pPr>
            <w:r>
              <w:rPr>
                <w:sz w:val="16"/>
                <w:szCs w:val="16"/>
              </w:rPr>
              <w:t>Train BD Officers in use of X-ray machines</w:t>
            </w:r>
          </w:p>
        </w:tc>
        <w:tc>
          <w:tcPr>
            <w:tcW w:w="1309" w:type="dxa"/>
          </w:tcPr>
          <w:p w14:paraId="2A404CA7" w14:textId="7FC44EB6" w:rsidR="00721370" w:rsidRPr="008B2872" w:rsidRDefault="00AD7C51" w:rsidP="0049324B">
            <w:pPr>
              <w:jc w:val="center"/>
              <w:rPr>
                <w:sz w:val="16"/>
                <w:szCs w:val="16"/>
              </w:rPr>
            </w:pPr>
            <w:r>
              <w:rPr>
                <w:sz w:val="16"/>
                <w:szCs w:val="16"/>
              </w:rPr>
              <w:t>NISCO</w:t>
            </w:r>
          </w:p>
        </w:tc>
        <w:tc>
          <w:tcPr>
            <w:tcW w:w="610" w:type="dxa"/>
          </w:tcPr>
          <w:p w14:paraId="7FC96ABF" w14:textId="77777777" w:rsidR="00721370" w:rsidRPr="008B2872" w:rsidRDefault="00721370" w:rsidP="0049324B">
            <w:pPr>
              <w:jc w:val="center"/>
              <w:rPr>
                <w:sz w:val="16"/>
                <w:szCs w:val="16"/>
              </w:rPr>
            </w:pPr>
          </w:p>
        </w:tc>
        <w:tc>
          <w:tcPr>
            <w:tcW w:w="645" w:type="dxa"/>
            <w:shd w:val="clear" w:color="auto" w:fill="FBD4B4" w:themeFill="accent6" w:themeFillTint="66"/>
          </w:tcPr>
          <w:p w14:paraId="6D11178C" w14:textId="77777777" w:rsidR="00721370" w:rsidRPr="008B2872" w:rsidRDefault="00721370" w:rsidP="0049324B">
            <w:pPr>
              <w:jc w:val="center"/>
              <w:rPr>
                <w:sz w:val="16"/>
                <w:szCs w:val="16"/>
              </w:rPr>
            </w:pPr>
          </w:p>
        </w:tc>
        <w:tc>
          <w:tcPr>
            <w:tcW w:w="690" w:type="dxa"/>
            <w:shd w:val="clear" w:color="auto" w:fill="FBD4B4" w:themeFill="accent6" w:themeFillTint="66"/>
          </w:tcPr>
          <w:p w14:paraId="43C140EF" w14:textId="77777777" w:rsidR="00721370" w:rsidRPr="008B2872" w:rsidRDefault="00721370" w:rsidP="0049324B">
            <w:pPr>
              <w:jc w:val="center"/>
              <w:rPr>
                <w:sz w:val="16"/>
                <w:szCs w:val="16"/>
              </w:rPr>
            </w:pPr>
          </w:p>
        </w:tc>
        <w:tc>
          <w:tcPr>
            <w:tcW w:w="587" w:type="dxa"/>
          </w:tcPr>
          <w:p w14:paraId="67E4DA07" w14:textId="77777777" w:rsidR="00721370" w:rsidRPr="008B2872" w:rsidRDefault="00721370" w:rsidP="0049324B">
            <w:pPr>
              <w:jc w:val="center"/>
              <w:rPr>
                <w:sz w:val="16"/>
                <w:szCs w:val="16"/>
              </w:rPr>
            </w:pPr>
          </w:p>
        </w:tc>
        <w:tc>
          <w:tcPr>
            <w:tcW w:w="690" w:type="dxa"/>
          </w:tcPr>
          <w:p w14:paraId="518D2A24" w14:textId="77777777" w:rsidR="00721370" w:rsidRPr="008B2872" w:rsidRDefault="00721370" w:rsidP="0049324B">
            <w:pPr>
              <w:jc w:val="center"/>
              <w:rPr>
                <w:sz w:val="16"/>
                <w:szCs w:val="16"/>
              </w:rPr>
            </w:pPr>
          </w:p>
        </w:tc>
        <w:tc>
          <w:tcPr>
            <w:tcW w:w="540" w:type="dxa"/>
          </w:tcPr>
          <w:p w14:paraId="2F967AA0" w14:textId="77777777" w:rsidR="00721370" w:rsidRPr="008B2872" w:rsidRDefault="00721370" w:rsidP="0049324B">
            <w:pPr>
              <w:jc w:val="center"/>
              <w:rPr>
                <w:sz w:val="16"/>
                <w:szCs w:val="16"/>
              </w:rPr>
            </w:pPr>
          </w:p>
        </w:tc>
        <w:tc>
          <w:tcPr>
            <w:tcW w:w="690" w:type="dxa"/>
          </w:tcPr>
          <w:p w14:paraId="3AEB13E8" w14:textId="77777777" w:rsidR="00721370" w:rsidRPr="008B2872" w:rsidRDefault="00721370" w:rsidP="0049324B">
            <w:pPr>
              <w:jc w:val="center"/>
              <w:rPr>
                <w:sz w:val="16"/>
                <w:szCs w:val="16"/>
              </w:rPr>
            </w:pPr>
          </w:p>
        </w:tc>
        <w:tc>
          <w:tcPr>
            <w:tcW w:w="534" w:type="dxa"/>
          </w:tcPr>
          <w:p w14:paraId="67678591" w14:textId="77777777" w:rsidR="00721370" w:rsidRPr="008B2872" w:rsidRDefault="00721370" w:rsidP="0049324B">
            <w:pPr>
              <w:jc w:val="center"/>
              <w:rPr>
                <w:sz w:val="16"/>
                <w:szCs w:val="16"/>
              </w:rPr>
            </w:pPr>
          </w:p>
        </w:tc>
        <w:tc>
          <w:tcPr>
            <w:tcW w:w="690" w:type="dxa"/>
          </w:tcPr>
          <w:p w14:paraId="097C0729" w14:textId="77777777" w:rsidR="00721370" w:rsidRPr="008B2872" w:rsidRDefault="00721370" w:rsidP="0049324B">
            <w:pPr>
              <w:jc w:val="center"/>
              <w:rPr>
                <w:sz w:val="16"/>
                <w:szCs w:val="16"/>
              </w:rPr>
            </w:pPr>
          </w:p>
        </w:tc>
        <w:tc>
          <w:tcPr>
            <w:tcW w:w="516" w:type="dxa"/>
          </w:tcPr>
          <w:p w14:paraId="762B708E" w14:textId="77777777" w:rsidR="00721370" w:rsidRPr="008B2872" w:rsidRDefault="00721370" w:rsidP="0049324B">
            <w:pPr>
              <w:jc w:val="center"/>
              <w:rPr>
                <w:sz w:val="16"/>
                <w:szCs w:val="16"/>
              </w:rPr>
            </w:pPr>
          </w:p>
        </w:tc>
        <w:tc>
          <w:tcPr>
            <w:tcW w:w="690" w:type="dxa"/>
          </w:tcPr>
          <w:p w14:paraId="7B89EE6B" w14:textId="77777777" w:rsidR="00721370" w:rsidRPr="008B2872" w:rsidRDefault="00721370" w:rsidP="0049324B">
            <w:pPr>
              <w:jc w:val="center"/>
              <w:rPr>
                <w:sz w:val="16"/>
                <w:szCs w:val="16"/>
              </w:rPr>
            </w:pPr>
          </w:p>
        </w:tc>
        <w:tc>
          <w:tcPr>
            <w:tcW w:w="513" w:type="dxa"/>
          </w:tcPr>
          <w:p w14:paraId="758C825E" w14:textId="77777777" w:rsidR="00721370" w:rsidRPr="008B2872" w:rsidRDefault="00721370" w:rsidP="0049324B">
            <w:pPr>
              <w:jc w:val="center"/>
              <w:rPr>
                <w:sz w:val="16"/>
                <w:szCs w:val="16"/>
              </w:rPr>
            </w:pPr>
          </w:p>
        </w:tc>
        <w:tc>
          <w:tcPr>
            <w:tcW w:w="690" w:type="dxa"/>
          </w:tcPr>
          <w:p w14:paraId="2A7247F6" w14:textId="77777777" w:rsidR="00721370" w:rsidRPr="008B2872" w:rsidRDefault="00721370" w:rsidP="0049324B">
            <w:pPr>
              <w:jc w:val="center"/>
              <w:rPr>
                <w:sz w:val="16"/>
                <w:szCs w:val="16"/>
              </w:rPr>
            </w:pPr>
          </w:p>
        </w:tc>
      </w:tr>
      <w:tr w:rsidR="00721370" w14:paraId="227DF0A8" w14:textId="77777777" w:rsidTr="00043FA1">
        <w:tc>
          <w:tcPr>
            <w:tcW w:w="1441" w:type="dxa"/>
            <w:vMerge/>
          </w:tcPr>
          <w:p w14:paraId="54F63B55" w14:textId="77777777" w:rsidR="00721370" w:rsidRPr="008B2872" w:rsidRDefault="00721370" w:rsidP="0049324B">
            <w:pPr>
              <w:jc w:val="center"/>
              <w:rPr>
                <w:sz w:val="16"/>
                <w:szCs w:val="16"/>
              </w:rPr>
            </w:pPr>
          </w:p>
        </w:tc>
        <w:tc>
          <w:tcPr>
            <w:tcW w:w="1367" w:type="dxa"/>
            <w:vMerge/>
          </w:tcPr>
          <w:p w14:paraId="054F1A2D" w14:textId="77777777" w:rsidR="00721370" w:rsidRPr="008B2872" w:rsidRDefault="00721370" w:rsidP="0049324B">
            <w:pPr>
              <w:jc w:val="center"/>
              <w:rPr>
                <w:sz w:val="16"/>
                <w:szCs w:val="16"/>
              </w:rPr>
            </w:pPr>
          </w:p>
        </w:tc>
        <w:tc>
          <w:tcPr>
            <w:tcW w:w="2414" w:type="dxa"/>
          </w:tcPr>
          <w:p w14:paraId="46ABF236" w14:textId="6BBB63BA" w:rsidR="00721370" w:rsidRPr="008B2872" w:rsidRDefault="0091643D" w:rsidP="0049324B">
            <w:pPr>
              <w:jc w:val="center"/>
              <w:rPr>
                <w:sz w:val="16"/>
                <w:szCs w:val="16"/>
              </w:rPr>
            </w:pPr>
            <w:r>
              <w:rPr>
                <w:sz w:val="16"/>
                <w:szCs w:val="16"/>
              </w:rPr>
              <w:t>Import risk assessment training</w:t>
            </w:r>
          </w:p>
        </w:tc>
        <w:tc>
          <w:tcPr>
            <w:tcW w:w="1309" w:type="dxa"/>
          </w:tcPr>
          <w:p w14:paraId="4D77CE7E" w14:textId="50C28F8A" w:rsidR="00721370" w:rsidRPr="008B2872" w:rsidRDefault="00AD7C51" w:rsidP="0049324B">
            <w:pPr>
              <w:jc w:val="center"/>
              <w:rPr>
                <w:sz w:val="16"/>
                <w:szCs w:val="16"/>
              </w:rPr>
            </w:pPr>
            <w:r>
              <w:rPr>
                <w:sz w:val="16"/>
                <w:szCs w:val="16"/>
              </w:rPr>
              <w:t>NISCO, NISC</w:t>
            </w:r>
          </w:p>
        </w:tc>
        <w:tc>
          <w:tcPr>
            <w:tcW w:w="610" w:type="dxa"/>
          </w:tcPr>
          <w:p w14:paraId="08399F8E" w14:textId="77777777" w:rsidR="00721370" w:rsidRPr="008B2872" w:rsidRDefault="00721370" w:rsidP="0049324B">
            <w:pPr>
              <w:jc w:val="center"/>
              <w:rPr>
                <w:sz w:val="16"/>
                <w:szCs w:val="16"/>
              </w:rPr>
            </w:pPr>
          </w:p>
        </w:tc>
        <w:tc>
          <w:tcPr>
            <w:tcW w:w="645" w:type="dxa"/>
          </w:tcPr>
          <w:p w14:paraId="25AAADA8" w14:textId="77777777" w:rsidR="00721370" w:rsidRPr="008B2872" w:rsidRDefault="00721370" w:rsidP="0049324B">
            <w:pPr>
              <w:jc w:val="center"/>
              <w:rPr>
                <w:sz w:val="16"/>
                <w:szCs w:val="16"/>
              </w:rPr>
            </w:pPr>
          </w:p>
        </w:tc>
        <w:tc>
          <w:tcPr>
            <w:tcW w:w="690" w:type="dxa"/>
          </w:tcPr>
          <w:p w14:paraId="1FD4B9CF" w14:textId="77777777" w:rsidR="00721370" w:rsidRPr="008B2872" w:rsidRDefault="00721370" w:rsidP="0049324B">
            <w:pPr>
              <w:jc w:val="center"/>
              <w:rPr>
                <w:sz w:val="16"/>
                <w:szCs w:val="16"/>
              </w:rPr>
            </w:pPr>
          </w:p>
        </w:tc>
        <w:tc>
          <w:tcPr>
            <w:tcW w:w="587" w:type="dxa"/>
          </w:tcPr>
          <w:p w14:paraId="3EE90162" w14:textId="77777777" w:rsidR="00721370" w:rsidRPr="008B2872" w:rsidRDefault="00721370" w:rsidP="0049324B">
            <w:pPr>
              <w:jc w:val="center"/>
              <w:rPr>
                <w:sz w:val="16"/>
                <w:szCs w:val="16"/>
              </w:rPr>
            </w:pPr>
          </w:p>
        </w:tc>
        <w:tc>
          <w:tcPr>
            <w:tcW w:w="690" w:type="dxa"/>
          </w:tcPr>
          <w:p w14:paraId="0BE6D583" w14:textId="77777777" w:rsidR="00721370" w:rsidRPr="008B2872" w:rsidRDefault="00721370" w:rsidP="0049324B">
            <w:pPr>
              <w:jc w:val="center"/>
              <w:rPr>
                <w:sz w:val="16"/>
                <w:szCs w:val="16"/>
              </w:rPr>
            </w:pPr>
          </w:p>
        </w:tc>
        <w:tc>
          <w:tcPr>
            <w:tcW w:w="540" w:type="dxa"/>
            <w:shd w:val="clear" w:color="auto" w:fill="FBD4B4" w:themeFill="accent6" w:themeFillTint="66"/>
          </w:tcPr>
          <w:p w14:paraId="3199ABF4" w14:textId="77777777" w:rsidR="00721370" w:rsidRPr="008B2872" w:rsidRDefault="00721370" w:rsidP="0049324B">
            <w:pPr>
              <w:jc w:val="center"/>
              <w:rPr>
                <w:sz w:val="16"/>
                <w:szCs w:val="16"/>
              </w:rPr>
            </w:pPr>
          </w:p>
        </w:tc>
        <w:tc>
          <w:tcPr>
            <w:tcW w:w="690" w:type="dxa"/>
            <w:shd w:val="clear" w:color="auto" w:fill="FBD4B4" w:themeFill="accent6" w:themeFillTint="66"/>
          </w:tcPr>
          <w:p w14:paraId="6F666D4E" w14:textId="77777777" w:rsidR="00721370" w:rsidRPr="008B2872" w:rsidRDefault="00721370" w:rsidP="0049324B">
            <w:pPr>
              <w:jc w:val="center"/>
              <w:rPr>
                <w:sz w:val="16"/>
                <w:szCs w:val="16"/>
              </w:rPr>
            </w:pPr>
          </w:p>
        </w:tc>
        <w:tc>
          <w:tcPr>
            <w:tcW w:w="534" w:type="dxa"/>
          </w:tcPr>
          <w:p w14:paraId="477C35FB" w14:textId="77777777" w:rsidR="00721370" w:rsidRPr="008B2872" w:rsidRDefault="00721370" w:rsidP="0049324B">
            <w:pPr>
              <w:jc w:val="center"/>
              <w:rPr>
                <w:sz w:val="16"/>
                <w:szCs w:val="16"/>
              </w:rPr>
            </w:pPr>
          </w:p>
        </w:tc>
        <w:tc>
          <w:tcPr>
            <w:tcW w:w="690" w:type="dxa"/>
          </w:tcPr>
          <w:p w14:paraId="032FC6B6" w14:textId="77777777" w:rsidR="00721370" w:rsidRPr="008B2872" w:rsidRDefault="00721370" w:rsidP="0049324B">
            <w:pPr>
              <w:jc w:val="center"/>
              <w:rPr>
                <w:sz w:val="16"/>
                <w:szCs w:val="16"/>
              </w:rPr>
            </w:pPr>
          </w:p>
        </w:tc>
        <w:tc>
          <w:tcPr>
            <w:tcW w:w="516" w:type="dxa"/>
          </w:tcPr>
          <w:p w14:paraId="5AE6F681" w14:textId="77777777" w:rsidR="00721370" w:rsidRPr="008B2872" w:rsidRDefault="00721370" w:rsidP="0049324B">
            <w:pPr>
              <w:jc w:val="center"/>
              <w:rPr>
                <w:sz w:val="16"/>
                <w:szCs w:val="16"/>
              </w:rPr>
            </w:pPr>
          </w:p>
        </w:tc>
        <w:tc>
          <w:tcPr>
            <w:tcW w:w="690" w:type="dxa"/>
          </w:tcPr>
          <w:p w14:paraId="698B8A28" w14:textId="77777777" w:rsidR="00721370" w:rsidRPr="008B2872" w:rsidRDefault="00721370" w:rsidP="0049324B">
            <w:pPr>
              <w:jc w:val="center"/>
              <w:rPr>
                <w:sz w:val="16"/>
                <w:szCs w:val="16"/>
              </w:rPr>
            </w:pPr>
          </w:p>
        </w:tc>
        <w:tc>
          <w:tcPr>
            <w:tcW w:w="513" w:type="dxa"/>
          </w:tcPr>
          <w:p w14:paraId="29400277" w14:textId="77777777" w:rsidR="00721370" w:rsidRPr="008B2872" w:rsidRDefault="00721370" w:rsidP="0049324B">
            <w:pPr>
              <w:jc w:val="center"/>
              <w:rPr>
                <w:sz w:val="16"/>
                <w:szCs w:val="16"/>
              </w:rPr>
            </w:pPr>
          </w:p>
        </w:tc>
        <w:tc>
          <w:tcPr>
            <w:tcW w:w="690" w:type="dxa"/>
          </w:tcPr>
          <w:p w14:paraId="17AB5238" w14:textId="77777777" w:rsidR="00721370" w:rsidRPr="008B2872" w:rsidRDefault="00721370" w:rsidP="0049324B">
            <w:pPr>
              <w:jc w:val="center"/>
              <w:rPr>
                <w:sz w:val="16"/>
                <w:szCs w:val="16"/>
              </w:rPr>
            </w:pPr>
          </w:p>
        </w:tc>
      </w:tr>
      <w:tr w:rsidR="00721370" w14:paraId="209775CD" w14:textId="77777777" w:rsidTr="00043FA1">
        <w:tc>
          <w:tcPr>
            <w:tcW w:w="1441" w:type="dxa"/>
            <w:vMerge/>
          </w:tcPr>
          <w:p w14:paraId="7F3CA16F" w14:textId="77777777" w:rsidR="00721370" w:rsidRPr="008B2872" w:rsidRDefault="00721370" w:rsidP="0049324B">
            <w:pPr>
              <w:jc w:val="center"/>
              <w:rPr>
                <w:sz w:val="16"/>
                <w:szCs w:val="16"/>
              </w:rPr>
            </w:pPr>
          </w:p>
        </w:tc>
        <w:tc>
          <w:tcPr>
            <w:tcW w:w="1367" w:type="dxa"/>
            <w:vMerge/>
          </w:tcPr>
          <w:p w14:paraId="540A193B" w14:textId="77777777" w:rsidR="00721370" w:rsidRPr="008B2872" w:rsidRDefault="00721370" w:rsidP="0049324B">
            <w:pPr>
              <w:jc w:val="center"/>
              <w:rPr>
                <w:sz w:val="16"/>
                <w:szCs w:val="16"/>
              </w:rPr>
            </w:pPr>
          </w:p>
        </w:tc>
        <w:tc>
          <w:tcPr>
            <w:tcW w:w="2414" w:type="dxa"/>
          </w:tcPr>
          <w:p w14:paraId="2276DAA8" w14:textId="0EEDD427" w:rsidR="00721370" w:rsidRPr="008B2872" w:rsidRDefault="0091643D" w:rsidP="0049324B">
            <w:pPr>
              <w:jc w:val="center"/>
              <w:rPr>
                <w:sz w:val="16"/>
                <w:szCs w:val="16"/>
              </w:rPr>
            </w:pPr>
            <w:r>
              <w:rPr>
                <w:sz w:val="16"/>
                <w:szCs w:val="16"/>
              </w:rPr>
              <w:t>Biosafety training</w:t>
            </w:r>
          </w:p>
        </w:tc>
        <w:tc>
          <w:tcPr>
            <w:tcW w:w="1309" w:type="dxa"/>
          </w:tcPr>
          <w:p w14:paraId="44AF19ED" w14:textId="53098204" w:rsidR="00721370" w:rsidRPr="008B2872" w:rsidRDefault="00AD7C51" w:rsidP="0049324B">
            <w:pPr>
              <w:jc w:val="center"/>
              <w:rPr>
                <w:sz w:val="16"/>
                <w:szCs w:val="16"/>
              </w:rPr>
            </w:pPr>
            <w:r>
              <w:rPr>
                <w:sz w:val="16"/>
                <w:szCs w:val="16"/>
              </w:rPr>
              <w:t>NISCO, NISC</w:t>
            </w:r>
          </w:p>
        </w:tc>
        <w:tc>
          <w:tcPr>
            <w:tcW w:w="610" w:type="dxa"/>
          </w:tcPr>
          <w:p w14:paraId="0C826A19" w14:textId="77777777" w:rsidR="00721370" w:rsidRPr="008B2872" w:rsidRDefault="00721370" w:rsidP="0049324B">
            <w:pPr>
              <w:jc w:val="center"/>
              <w:rPr>
                <w:sz w:val="16"/>
                <w:szCs w:val="16"/>
              </w:rPr>
            </w:pPr>
          </w:p>
        </w:tc>
        <w:tc>
          <w:tcPr>
            <w:tcW w:w="645" w:type="dxa"/>
          </w:tcPr>
          <w:p w14:paraId="022D0220" w14:textId="77777777" w:rsidR="00721370" w:rsidRPr="008B2872" w:rsidRDefault="00721370" w:rsidP="0049324B">
            <w:pPr>
              <w:jc w:val="center"/>
              <w:rPr>
                <w:sz w:val="16"/>
                <w:szCs w:val="16"/>
              </w:rPr>
            </w:pPr>
          </w:p>
        </w:tc>
        <w:tc>
          <w:tcPr>
            <w:tcW w:w="690" w:type="dxa"/>
          </w:tcPr>
          <w:p w14:paraId="13B72C37" w14:textId="77777777" w:rsidR="00721370" w:rsidRPr="008B2872" w:rsidRDefault="00721370" w:rsidP="0049324B">
            <w:pPr>
              <w:jc w:val="center"/>
              <w:rPr>
                <w:sz w:val="16"/>
                <w:szCs w:val="16"/>
              </w:rPr>
            </w:pPr>
          </w:p>
        </w:tc>
        <w:tc>
          <w:tcPr>
            <w:tcW w:w="587" w:type="dxa"/>
          </w:tcPr>
          <w:p w14:paraId="7528025C" w14:textId="77777777" w:rsidR="00721370" w:rsidRPr="008B2872" w:rsidRDefault="00721370" w:rsidP="0049324B">
            <w:pPr>
              <w:jc w:val="center"/>
              <w:rPr>
                <w:sz w:val="16"/>
                <w:szCs w:val="16"/>
              </w:rPr>
            </w:pPr>
          </w:p>
        </w:tc>
        <w:tc>
          <w:tcPr>
            <w:tcW w:w="690" w:type="dxa"/>
          </w:tcPr>
          <w:p w14:paraId="1AEF8619" w14:textId="77777777" w:rsidR="00721370" w:rsidRPr="008B2872" w:rsidRDefault="00721370" w:rsidP="0049324B">
            <w:pPr>
              <w:jc w:val="center"/>
              <w:rPr>
                <w:sz w:val="16"/>
                <w:szCs w:val="16"/>
              </w:rPr>
            </w:pPr>
          </w:p>
        </w:tc>
        <w:tc>
          <w:tcPr>
            <w:tcW w:w="540" w:type="dxa"/>
            <w:shd w:val="clear" w:color="auto" w:fill="FBD4B4" w:themeFill="accent6" w:themeFillTint="66"/>
          </w:tcPr>
          <w:p w14:paraId="71F83E87" w14:textId="77777777" w:rsidR="00721370" w:rsidRPr="008B2872" w:rsidRDefault="00721370" w:rsidP="0049324B">
            <w:pPr>
              <w:jc w:val="center"/>
              <w:rPr>
                <w:sz w:val="16"/>
                <w:szCs w:val="16"/>
              </w:rPr>
            </w:pPr>
          </w:p>
        </w:tc>
        <w:tc>
          <w:tcPr>
            <w:tcW w:w="690" w:type="dxa"/>
            <w:shd w:val="clear" w:color="auto" w:fill="FBD4B4" w:themeFill="accent6" w:themeFillTint="66"/>
          </w:tcPr>
          <w:p w14:paraId="5B83ABE4" w14:textId="77777777" w:rsidR="00721370" w:rsidRPr="008B2872" w:rsidRDefault="00721370" w:rsidP="0049324B">
            <w:pPr>
              <w:jc w:val="center"/>
              <w:rPr>
                <w:sz w:val="16"/>
                <w:szCs w:val="16"/>
              </w:rPr>
            </w:pPr>
          </w:p>
        </w:tc>
        <w:tc>
          <w:tcPr>
            <w:tcW w:w="534" w:type="dxa"/>
          </w:tcPr>
          <w:p w14:paraId="65662490" w14:textId="77777777" w:rsidR="00721370" w:rsidRPr="008B2872" w:rsidRDefault="00721370" w:rsidP="0049324B">
            <w:pPr>
              <w:jc w:val="center"/>
              <w:rPr>
                <w:sz w:val="16"/>
                <w:szCs w:val="16"/>
              </w:rPr>
            </w:pPr>
          </w:p>
        </w:tc>
        <w:tc>
          <w:tcPr>
            <w:tcW w:w="690" w:type="dxa"/>
          </w:tcPr>
          <w:p w14:paraId="1A95A73E" w14:textId="77777777" w:rsidR="00721370" w:rsidRPr="008B2872" w:rsidRDefault="00721370" w:rsidP="0049324B">
            <w:pPr>
              <w:jc w:val="center"/>
              <w:rPr>
                <w:sz w:val="16"/>
                <w:szCs w:val="16"/>
              </w:rPr>
            </w:pPr>
          </w:p>
        </w:tc>
        <w:tc>
          <w:tcPr>
            <w:tcW w:w="516" w:type="dxa"/>
          </w:tcPr>
          <w:p w14:paraId="7A3DC3D2" w14:textId="77777777" w:rsidR="00721370" w:rsidRPr="008B2872" w:rsidRDefault="00721370" w:rsidP="0049324B">
            <w:pPr>
              <w:jc w:val="center"/>
              <w:rPr>
                <w:sz w:val="16"/>
                <w:szCs w:val="16"/>
              </w:rPr>
            </w:pPr>
          </w:p>
        </w:tc>
        <w:tc>
          <w:tcPr>
            <w:tcW w:w="690" w:type="dxa"/>
          </w:tcPr>
          <w:p w14:paraId="2E8E4860" w14:textId="77777777" w:rsidR="00721370" w:rsidRPr="008B2872" w:rsidRDefault="00721370" w:rsidP="0049324B">
            <w:pPr>
              <w:jc w:val="center"/>
              <w:rPr>
                <w:sz w:val="16"/>
                <w:szCs w:val="16"/>
              </w:rPr>
            </w:pPr>
          </w:p>
        </w:tc>
        <w:tc>
          <w:tcPr>
            <w:tcW w:w="513" w:type="dxa"/>
          </w:tcPr>
          <w:p w14:paraId="237B52BC" w14:textId="77777777" w:rsidR="00721370" w:rsidRPr="008B2872" w:rsidRDefault="00721370" w:rsidP="0049324B">
            <w:pPr>
              <w:jc w:val="center"/>
              <w:rPr>
                <w:sz w:val="16"/>
                <w:szCs w:val="16"/>
              </w:rPr>
            </w:pPr>
          </w:p>
        </w:tc>
        <w:tc>
          <w:tcPr>
            <w:tcW w:w="690" w:type="dxa"/>
          </w:tcPr>
          <w:p w14:paraId="4D21B131" w14:textId="77777777" w:rsidR="00721370" w:rsidRPr="008B2872" w:rsidRDefault="00721370" w:rsidP="0049324B">
            <w:pPr>
              <w:jc w:val="center"/>
              <w:rPr>
                <w:sz w:val="16"/>
                <w:szCs w:val="16"/>
              </w:rPr>
            </w:pPr>
          </w:p>
        </w:tc>
      </w:tr>
      <w:tr w:rsidR="00721370" w14:paraId="02B6B6EE" w14:textId="77777777" w:rsidTr="00043FA1">
        <w:tc>
          <w:tcPr>
            <w:tcW w:w="1441" w:type="dxa"/>
            <w:vMerge/>
          </w:tcPr>
          <w:p w14:paraId="66B74652" w14:textId="77777777" w:rsidR="00721370" w:rsidRPr="008B2872" w:rsidRDefault="00721370" w:rsidP="0049324B">
            <w:pPr>
              <w:jc w:val="center"/>
              <w:rPr>
                <w:sz w:val="16"/>
                <w:szCs w:val="16"/>
              </w:rPr>
            </w:pPr>
          </w:p>
        </w:tc>
        <w:tc>
          <w:tcPr>
            <w:tcW w:w="1367" w:type="dxa"/>
            <w:vMerge/>
          </w:tcPr>
          <w:p w14:paraId="2011B200" w14:textId="77777777" w:rsidR="00721370" w:rsidRPr="008B2872" w:rsidRDefault="00721370" w:rsidP="0049324B">
            <w:pPr>
              <w:jc w:val="center"/>
              <w:rPr>
                <w:sz w:val="16"/>
                <w:szCs w:val="16"/>
              </w:rPr>
            </w:pPr>
          </w:p>
        </w:tc>
        <w:tc>
          <w:tcPr>
            <w:tcW w:w="2414" w:type="dxa"/>
          </w:tcPr>
          <w:p w14:paraId="61E6674A" w14:textId="65ACDE6E" w:rsidR="00721370" w:rsidRPr="008B2872" w:rsidRDefault="0091643D" w:rsidP="0049324B">
            <w:pPr>
              <w:jc w:val="center"/>
              <w:rPr>
                <w:sz w:val="16"/>
                <w:szCs w:val="16"/>
              </w:rPr>
            </w:pPr>
            <w:r>
              <w:rPr>
                <w:sz w:val="16"/>
                <w:szCs w:val="16"/>
              </w:rPr>
              <w:t>Improved training for biosecurity divisions on inspection capacity and their tools and expansion, pest identification, use of EDRR, rapid response, database entry</w:t>
            </w:r>
          </w:p>
        </w:tc>
        <w:tc>
          <w:tcPr>
            <w:tcW w:w="1309" w:type="dxa"/>
          </w:tcPr>
          <w:p w14:paraId="5F15720D" w14:textId="2ECDA7F9" w:rsidR="00721370" w:rsidRPr="00AD7C51" w:rsidRDefault="00AD7C51" w:rsidP="0049324B">
            <w:pPr>
              <w:jc w:val="center"/>
              <w:rPr>
                <w:sz w:val="16"/>
                <w:szCs w:val="16"/>
              </w:rPr>
            </w:pPr>
            <w:r w:rsidRPr="00043FA1">
              <w:rPr>
                <w:sz w:val="16"/>
                <w:szCs w:val="16"/>
              </w:rPr>
              <w:t>BD</w:t>
            </w:r>
          </w:p>
        </w:tc>
        <w:tc>
          <w:tcPr>
            <w:tcW w:w="610" w:type="dxa"/>
          </w:tcPr>
          <w:p w14:paraId="54C53357" w14:textId="77777777" w:rsidR="00721370" w:rsidRPr="008B2872" w:rsidRDefault="00721370" w:rsidP="0049324B">
            <w:pPr>
              <w:jc w:val="center"/>
              <w:rPr>
                <w:sz w:val="16"/>
                <w:szCs w:val="16"/>
              </w:rPr>
            </w:pPr>
          </w:p>
        </w:tc>
        <w:tc>
          <w:tcPr>
            <w:tcW w:w="645" w:type="dxa"/>
          </w:tcPr>
          <w:p w14:paraId="2C4F698C" w14:textId="77777777" w:rsidR="00721370" w:rsidRPr="008B2872" w:rsidRDefault="00721370" w:rsidP="0049324B">
            <w:pPr>
              <w:jc w:val="center"/>
              <w:rPr>
                <w:sz w:val="16"/>
                <w:szCs w:val="16"/>
              </w:rPr>
            </w:pPr>
          </w:p>
        </w:tc>
        <w:tc>
          <w:tcPr>
            <w:tcW w:w="690" w:type="dxa"/>
          </w:tcPr>
          <w:p w14:paraId="7D90EAA2" w14:textId="77777777" w:rsidR="00721370" w:rsidRPr="008B2872" w:rsidRDefault="00721370" w:rsidP="0049324B">
            <w:pPr>
              <w:jc w:val="center"/>
              <w:rPr>
                <w:sz w:val="16"/>
                <w:szCs w:val="16"/>
              </w:rPr>
            </w:pPr>
          </w:p>
        </w:tc>
        <w:tc>
          <w:tcPr>
            <w:tcW w:w="587" w:type="dxa"/>
            <w:shd w:val="clear" w:color="auto" w:fill="FBD4B4" w:themeFill="accent6" w:themeFillTint="66"/>
          </w:tcPr>
          <w:p w14:paraId="3B8653B2" w14:textId="77777777" w:rsidR="00721370" w:rsidRPr="008B2872" w:rsidRDefault="00721370" w:rsidP="0049324B">
            <w:pPr>
              <w:jc w:val="center"/>
              <w:rPr>
                <w:sz w:val="16"/>
                <w:szCs w:val="16"/>
              </w:rPr>
            </w:pPr>
          </w:p>
        </w:tc>
        <w:tc>
          <w:tcPr>
            <w:tcW w:w="690" w:type="dxa"/>
            <w:shd w:val="clear" w:color="auto" w:fill="FBD4B4" w:themeFill="accent6" w:themeFillTint="66"/>
          </w:tcPr>
          <w:p w14:paraId="2B459D78" w14:textId="77777777" w:rsidR="00721370" w:rsidRPr="008B2872" w:rsidRDefault="00721370" w:rsidP="0049324B">
            <w:pPr>
              <w:jc w:val="center"/>
              <w:rPr>
                <w:sz w:val="16"/>
                <w:szCs w:val="16"/>
              </w:rPr>
            </w:pPr>
          </w:p>
        </w:tc>
        <w:tc>
          <w:tcPr>
            <w:tcW w:w="540" w:type="dxa"/>
            <w:shd w:val="clear" w:color="auto" w:fill="FBD4B4" w:themeFill="accent6" w:themeFillTint="66"/>
          </w:tcPr>
          <w:p w14:paraId="28B6DB36" w14:textId="77777777" w:rsidR="00721370" w:rsidRPr="008B2872" w:rsidRDefault="00721370" w:rsidP="0049324B">
            <w:pPr>
              <w:jc w:val="center"/>
              <w:rPr>
                <w:sz w:val="16"/>
                <w:szCs w:val="16"/>
              </w:rPr>
            </w:pPr>
          </w:p>
        </w:tc>
        <w:tc>
          <w:tcPr>
            <w:tcW w:w="690" w:type="dxa"/>
            <w:shd w:val="clear" w:color="auto" w:fill="FBD4B4" w:themeFill="accent6" w:themeFillTint="66"/>
          </w:tcPr>
          <w:p w14:paraId="0A047F90" w14:textId="77777777" w:rsidR="00721370" w:rsidRPr="008B2872" w:rsidRDefault="00721370" w:rsidP="0049324B">
            <w:pPr>
              <w:jc w:val="center"/>
              <w:rPr>
                <w:sz w:val="16"/>
                <w:szCs w:val="16"/>
              </w:rPr>
            </w:pPr>
          </w:p>
        </w:tc>
        <w:tc>
          <w:tcPr>
            <w:tcW w:w="534" w:type="dxa"/>
            <w:shd w:val="clear" w:color="auto" w:fill="FBD4B4" w:themeFill="accent6" w:themeFillTint="66"/>
          </w:tcPr>
          <w:p w14:paraId="699E5BBA" w14:textId="77777777" w:rsidR="00721370" w:rsidRPr="008B2872" w:rsidRDefault="00721370" w:rsidP="0049324B">
            <w:pPr>
              <w:jc w:val="center"/>
              <w:rPr>
                <w:sz w:val="16"/>
                <w:szCs w:val="16"/>
              </w:rPr>
            </w:pPr>
          </w:p>
        </w:tc>
        <w:tc>
          <w:tcPr>
            <w:tcW w:w="690" w:type="dxa"/>
            <w:shd w:val="clear" w:color="auto" w:fill="FBD4B4" w:themeFill="accent6" w:themeFillTint="66"/>
          </w:tcPr>
          <w:p w14:paraId="7B31D30C" w14:textId="77777777" w:rsidR="00721370" w:rsidRPr="008B2872" w:rsidRDefault="00721370" w:rsidP="0049324B">
            <w:pPr>
              <w:jc w:val="center"/>
              <w:rPr>
                <w:sz w:val="16"/>
                <w:szCs w:val="16"/>
              </w:rPr>
            </w:pPr>
          </w:p>
        </w:tc>
        <w:tc>
          <w:tcPr>
            <w:tcW w:w="516" w:type="dxa"/>
            <w:shd w:val="clear" w:color="auto" w:fill="FBD4B4" w:themeFill="accent6" w:themeFillTint="66"/>
          </w:tcPr>
          <w:p w14:paraId="417A6374" w14:textId="77777777" w:rsidR="00721370" w:rsidRPr="008B2872" w:rsidRDefault="00721370" w:rsidP="0049324B">
            <w:pPr>
              <w:jc w:val="center"/>
              <w:rPr>
                <w:sz w:val="16"/>
                <w:szCs w:val="16"/>
              </w:rPr>
            </w:pPr>
          </w:p>
        </w:tc>
        <w:tc>
          <w:tcPr>
            <w:tcW w:w="690" w:type="dxa"/>
            <w:shd w:val="clear" w:color="auto" w:fill="FBD4B4" w:themeFill="accent6" w:themeFillTint="66"/>
          </w:tcPr>
          <w:p w14:paraId="0F4628CB" w14:textId="77777777" w:rsidR="00721370" w:rsidRPr="008B2872" w:rsidRDefault="00721370" w:rsidP="0049324B">
            <w:pPr>
              <w:jc w:val="center"/>
              <w:rPr>
                <w:sz w:val="16"/>
                <w:szCs w:val="16"/>
              </w:rPr>
            </w:pPr>
          </w:p>
        </w:tc>
        <w:tc>
          <w:tcPr>
            <w:tcW w:w="513" w:type="dxa"/>
          </w:tcPr>
          <w:p w14:paraId="1197AA72" w14:textId="77777777" w:rsidR="00721370" w:rsidRPr="008B2872" w:rsidRDefault="00721370" w:rsidP="0049324B">
            <w:pPr>
              <w:jc w:val="center"/>
              <w:rPr>
                <w:sz w:val="16"/>
                <w:szCs w:val="16"/>
              </w:rPr>
            </w:pPr>
          </w:p>
        </w:tc>
        <w:tc>
          <w:tcPr>
            <w:tcW w:w="690" w:type="dxa"/>
          </w:tcPr>
          <w:p w14:paraId="0272A1D2" w14:textId="77777777" w:rsidR="00721370" w:rsidRPr="008B2872" w:rsidRDefault="00721370" w:rsidP="0049324B">
            <w:pPr>
              <w:jc w:val="center"/>
              <w:rPr>
                <w:sz w:val="16"/>
                <w:szCs w:val="16"/>
              </w:rPr>
            </w:pPr>
          </w:p>
        </w:tc>
      </w:tr>
      <w:tr w:rsidR="00721370" w14:paraId="0ADB915B" w14:textId="77777777" w:rsidTr="00043FA1">
        <w:tc>
          <w:tcPr>
            <w:tcW w:w="1441" w:type="dxa"/>
            <w:vMerge/>
          </w:tcPr>
          <w:p w14:paraId="36948070" w14:textId="77777777" w:rsidR="00721370" w:rsidRPr="008B2872" w:rsidRDefault="00721370" w:rsidP="0049324B">
            <w:pPr>
              <w:jc w:val="center"/>
              <w:rPr>
                <w:sz w:val="16"/>
                <w:szCs w:val="16"/>
              </w:rPr>
            </w:pPr>
          </w:p>
        </w:tc>
        <w:tc>
          <w:tcPr>
            <w:tcW w:w="1367" w:type="dxa"/>
            <w:vMerge/>
          </w:tcPr>
          <w:p w14:paraId="7A100718" w14:textId="77777777" w:rsidR="00721370" w:rsidRPr="008B2872" w:rsidRDefault="00721370" w:rsidP="0049324B">
            <w:pPr>
              <w:jc w:val="center"/>
              <w:rPr>
                <w:sz w:val="16"/>
                <w:szCs w:val="16"/>
              </w:rPr>
            </w:pPr>
          </w:p>
        </w:tc>
        <w:tc>
          <w:tcPr>
            <w:tcW w:w="2414" w:type="dxa"/>
          </w:tcPr>
          <w:p w14:paraId="53ED280B" w14:textId="212D7BAF" w:rsidR="008D511D" w:rsidRPr="008B2872" w:rsidRDefault="0091643D" w:rsidP="008D511D">
            <w:pPr>
              <w:jc w:val="center"/>
              <w:rPr>
                <w:sz w:val="16"/>
                <w:szCs w:val="16"/>
              </w:rPr>
            </w:pPr>
            <w:r>
              <w:rPr>
                <w:sz w:val="16"/>
                <w:szCs w:val="16"/>
              </w:rPr>
              <w:t>Initial support for biosecurity inspections, quarantine, treatment at state and international borders</w:t>
            </w:r>
          </w:p>
        </w:tc>
        <w:tc>
          <w:tcPr>
            <w:tcW w:w="1309" w:type="dxa"/>
          </w:tcPr>
          <w:p w14:paraId="4C25FF71" w14:textId="22B1D11A" w:rsidR="00721370" w:rsidRPr="008B2872" w:rsidRDefault="00AD7C51" w:rsidP="0049324B">
            <w:pPr>
              <w:jc w:val="center"/>
              <w:rPr>
                <w:sz w:val="16"/>
                <w:szCs w:val="16"/>
              </w:rPr>
            </w:pPr>
            <w:r>
              <w:rPr>
                <w:sz w:val="16"/>
                <w:szCs w:val="16"/>
              </w:rPr>
              <w:t>BD</w:t>
            </w:r>
          </w:p>
        </w:tc>
        <w:tc>
          <w:tcPr>
            <w:tcW w:w="610" w:type="dxa"/>
          </w:tcPr>
          <w:p w14:paraId="68C57CE5" w14:textId="77777777" w:rsidR="00721370" w:rsidRPr="008B2872" w:rsidRDefault="00721370" w:rsidP="0049324B">
            <w:pPr>
              <w:jc w:val="center"/>
              <w:rPr>
                <w:sz w:val="16"/>
                <w:szCs w:val="16"/>
              </w:rPr>
            </w:pPr>
          </w:p>
        </w:tc>
        <w:tc>
          <w:tcPr>
            <w:tcW w:w="645" w:type="dxa"/>
          </w:tcPr>
          <w:p w14:paraId="7B555E24" w14:textId="77777777" w:rsidR="00721370" w:rsidRPr="008B2872" w:rsidRDefault="00721370" w:rsidP="0049324B">
            <w:pPr>
              <w:jc w:val="center"/>
              <w:rPr>
                <w:sz w:val="16"/>
                <w:szCs w:val="16"/>
              </w:rPr>
            </w:pPr>
          </w:p>
        </w:tc>
        <w:tc>
          <w:tcPr>
            <w:tcW w:w="690" w:type="dxa"/>
          </w:tcPr>
          <w:p w14:paraId="15097C13" w14:textId="77777777" w:rsidR="00721370" w:rsidRPr="008B2872" w:rsidRDefault="00721370" w:rsidP="0049324B">
            <w:pPr>
              <w:jc w:val="center"/>
              <w:rPr>
                <w:sz w:val="16"/>
                <w:szCs w:val="16"/>
              </w:rPr>
            </w:pPr>
          </w:p>
        </w:tc>
        <w:tc>
          <w:tcPr>
            <w:tcW w:w="587" w:type="dxa"/>
          </w:tcPr>
          <w:p w14:paraId="27E99515" w14:textId="77777777" w:rsidR="00721370" w:rsidRPr="008B2872" w:rsidRDefault="00721370" w:rsidP="0049324B">
            <w:pPr>
              <w:jc w:val="center"/>
              <w:rPr>
                <w:sz w:val="16"/>
                <w:szCs w:val="16"/>
              </w:rPr>
            </w:pPr>
          </w:p>
        </w:tc>
        <w:tc>
          <w:tcPr>
            <w:tcW w:w="690" w:type="dxa"/>
          </w:tcPr>
          <w:p w14:paraId="4709189A" w14:textId="77777777" w:rsidR="00721370" w:rsidRPr="008B2872" w:rsidRDefault="00721370" w:rsidP="0049324B">
            <w:pPr>
              <w:jc w:val="center"/>
              <w:rPr>
                <w:sz w:val="16"/>
                <w:szCs w:val="16"/>
              </w:rPr>
            </w:pPr>
          </w:p>
        </w:tc>
        <w:tc>
          <w:tcPr>
            <w:tcW w:w="540" w:type="dxa"/>
            <w:shd w:val="clear" w:color="auto" w:fill="FBD4B4" w:themeFill="accent6" w:themeFillTint="66"/>
          </w:tcPr>
          <w:p w14:paraId="43019AD8" w14:textId="77777777" w:rsidR="00721370" w:rsidRPr="008B2872" w:rsidRDefault="00721370" w:rsidP="0049324B">
            <w:pPr>
              <w:jc w:val="center"/>
              <w:rPr>
                <w:sz w:val="16"/>
                <w:szCs w:val="16"/>
              </w:rPr>
            </w:pPr>
          </w:p>
        </w:tc>
        <w:tc>
          <w:tcPr>
            <w:tcW w:w="690" w:type="dxa"/>
            <w:shd w:val="clear" w:color="auto" w:fill="FBD4B4" w:themeFill="accent6" w:themeFillTint="66"/>
          </w:tcPr>
          <w:p w14:paraId="2F9E3493" w14:textId="77777777" w:rsidR="00721370" w:rsidRPr="008B2872" w:rsidRDefault="00721370" w:rsidP="0049324B">
            <w:pPr>
              <w:jc w:val="center"/>
              <w:rPr>
                <w:sz w:val="16"/>
                <w:szCs w:val="16"/>
              </w:rPr>
            </w:pPr>
          </w:p>
        </w:tc>
        <w:tc>
          <w:tcPr>
            <w:tcW w:w="534" w:type="dxa"/>
            <w:shd w:val="clear" w:color="auto" w:fill="FBD4B4" w:themeFill="accent6" w:themeFillTint="66"/>
          </w:tcPr>
          <w:p w14:paraId="6353B8A7" w14:textId="77777777" w:rsidR="00721370" w:rsidRPr="008B2872" w:rsidRDefault="00721370" w:rsidP="0049324B">
            <w:pPr>
              <w:jc w:val="center"/>
              <w:rPr>
                <w:sz w:val="16"/>
                <w:szCs w:val="16"/>
              </w:rPr>
            </w:pPr>
          </w:p>
        </w:tc>
        <w:tc>
          <w:tcPr>
            <w:tcW w:w="690" w:type="dxa"/>
            <w:shd w:val="clear" w:color="auto" w:fill="FBD4B4" w:themeFill="accent6" w:themeFillTint="66"/>
          </w:tcPr>
          <w:p w14:paraId="1DDFC2ED" w14:textId="77777777" w:rsidR="00721370" w:rsidRPr="008B2872" w:rsidRDefault="00721370" w:rsidP="0049324B">
            <w:pPr>
              <w:jc w:val="center"/>
              <w:rPr>
                <w:sz w:val="16"/>
                <w:szCs w:val="16"/>
              </w:rPr>
            </w:pPr>
          </w:p>
        </w:tc>
        <w:tc>
          <w:tcPr>
            <w:tcW w:w="516" w:type="dxa"/>
            <w:shd w:val="clear" w:color="auto" w:fill="FBD4B4" w:themeFill="accent6" w:themeFillTint="66"/>
          </w:tcPr>
          <w:p w14:paraId="2C45B2EC" w14:textId="77777777" w:rsidR="00721370" w:rsidRPr="008B2872" w:rsidRDefault="00721370" w:rsidP="0049324B">
            <w:pPr>
              <w:jc w:val="center"/>
              <w:rPr>
                <w:sz w:val="16"/>
                <w:szCs w:val="16"/>
              </w:rPr>
            </w:pPr>
          </w:p>
        </w:tc>
        <w:tc>
          <w:tcPr>
            <w:tcW w:w="690" w:type="dxa"/>
            <w:shd w:val="clear" w:color="auto" w:fill="FBD4B4" w:themeFill="accent6" w:themeFillTint="66"/>
          </w:tcPr>
          <w:p w14:paraId="08EDE3C0" w14:textId="77777777" w:rsidR="00721370" w:rsidRPr="008B2872" w:rsidRDefault="00721370" w:rsidP="0049324B">
            <w:pPr>
              <w:jc w:val="center"/>
              <w:rPr>
                <w:sz w:val="16"/>
                <w:szCs w:val="16"/>
              </w:rPr>
            </w:pPr>
          </w:p>
        </w:tc>
        <w:tc>
          <w:tcPr>
            <w:tcW w:w="513" w:type="dxa"/>
          </w:tcPr>
          <w:p w14:paraId="2946F253" w14:textId="77777777" w:rsidR="00721370" w:rsidRPr="008B2872" w:rsidRDefault="00721370" w:rsidP="0049324B">
            <w:pPr>
              <w:jc w:val="center"/>
              <w:rPr>
                <w:sz w:val="16"/>
                <w:szCs w:val="16"/>
              </w:rPr>
            </w:pPr>
          </w:p>
        </w:tc>
        <w:tc>
          <w:tcPr>
            <w:tcW w:w="690" w:type="dxa"/>
          </w:tcPr>
          <w:p w14:paraId="21CB2F20" w14:textId="77777777" w:rsidR="00721370" w:rsidRPr="008B2872" w:rsidRDefault="00721370" w:rsidP="0049324B">
            <w:pPr>
              <w:jc w:val="center"/>
              <w:rPr>
                <w:sz w:val="16"/>
                <w:szCs w:val="16"/>
              </w:rPr>
            </w:pPr>
          </w:p>
        </w:tc>
      </w:tr>
      <w:tr w:rsidR="00375AE8" w14:paraId="3AE2D347" w14:textId="77777777" w:rsidTr="00043FA1">
        <w:tc>
          <w:tcPr>
            <w:tcW w:w="1441" w:type="dxa"/>
            <w:vMerge w:val="restart"/>
          </w:tcPr>
          <w:p w14:paraId="38C9EBC7" w14:textId="708AF963" w:rsidR="00375AE8" w:rsidRPr="008B2872" w:rsidRDefault="00375AE8" w:rsidP="0049324B">
            <w:pPr>
              <w:jc w:val="center"/>
              <w:rPr>
                <w:sz w:val="16"/>
                <w:szCs w:val="16"/>
              </w:rPr>
            </w:pPr>
            <w:r>
              <w:rPr>
                <w:sz w:val="16"/>
                <w:szCs w:val="16"/>
              </w:rPr>
              <w:t>Improved national and state capacity for monitoring, surveillance and compliance with laws on protected species, resource extraction, IAS control and management and biosecurity</w:t>
            </w:r>
          </w:p>
        </w:tc>
        <w:tc>
          <w:tcPr>
            <w:tcW w:w="1367" w:type="dxa"/>
            <w:vMerge w:val="restart"/>
          </w:tcPr>
          <w:p w14:paraId="35670C8E" w14:textId="78ED9B9E" w:rsidR="00375AE8" w:rsidRPr="008B2872" w:rsidRDefault="00375AE8" w:rsidP="0049324B">
            <w:pPr>
              <w:jc w:val="center"/>
              <w:rPr>
                <w:sz w:val="16"/>
                <w:szCs w:val="16"/>
              </w:rPr>
            </w:pPr>
            <w:r>
              <w:rPr>
                <w:sz w:val="16"/>
                <w:szCs w:val="16"/>
              </w:rPr>
              <w:t>Information gathering and planning</w:t>
            </w:r>
          </w:p>
        </w:tc>
        <w:tc>
          <w:tcPr>
            <w:tcW w:w="2414" w:type="dxa"/>
            <w:shd w:val="clear" w:color="auto" w:fill="auto"/>
          </w:tcPr>
          <w:p w14:paraId="4D598691" w14:textId="061F2784" w:rsidR="00375AE8" w:rsidRPr="008B2872" w:rsidRDefault="00375AE8" w:rsidP="008D511D">
            <w:pPr>
              <w:jc w:val="center"/>
              <w:rPr>
                <w:sz w:val="16"/>
                <w:szCs w:val="16"/>
              </w:rPr>
            </w:pPr>
            <w:r>
              <w:rPr>
                <w:sz w:val="16"/>
                <w:szCs w:val="16"/>
              </w:rPr>
              <w:t>National review of monitoring, surveillance and enforcement systems and capacities, including biosecurity needs and capacity</w:t>
            </w:r>
          </w:p>
        </w:tc>
        <w:tc>
          <w:tcPr>
            <w:tcW w:w="1309" w:type="dxa"/>
          </w:tcPr>
          <w:p w14:paraId="7E8C407D" w14:textId="0720E763" w:rsidR="00375AE8" w:rsidRPr="008B2872" w:rsidRDefault="00375AE8" w:rsidP="0049324B">
            <w:pPr>
              <w:jc w:val="center"/>
              <w:rPr>
                <w:sz w:val="16"/>
                <w:szCs w:val="16"/>
              </w:rPr>
            </w:pPr>
            <w:r>
              <w:rPr>
                <w:sz w:val="16"/>
                <w:szCs w:val="16"/>
              </w:rPr>
              <w:t>DFWP, EQPB, and BD</w:t>
            </w:r>
          </w:p>
        </w:tc>
        <w:tc>
          <w:tcPr>
            <w:tcW w:w="610" w:type="dxa"/>
          </w:tcPr>
          <w:p w14:paraId="6592F71D" w14:textId="77777777" w:rsidR="00375AE8" w:rsidRPr="008B2872" w:rsidRDefault="00375AE8" w:rsidP="0049324B">
            <w:pPr>
              <w:jc w:val="center"/>
              <w:rPr>
                <w:sz w:val="16"/>
                <w:szCs w:val="16"/>
              </w:rPr>
            </w:pPr>
          </w:p>
        </w:tc>
        <w:tc>
          <w:tcPr>
            <w:tcW w:w="645" w:type="dxa"/>
          </w:tcPr>
          <w:p w14:paraId="521F0F8A" w14:textId="77777777" w:rsidR="00375AE8" w:rsidRPr="008B2872" w:rsidRDefault="00375AE8" w:rsidP="0049324B">
            <w:pPr>
              <w:jc w:val="center"/>
              <w:rPr>
                <w:sz w:val="16"/>
                <w:szCs w:val="16"/>
              </w:rPr>
            </w:pPr>
          </w:p>
        </w:tc>
        <w:tc>
          <w:tcPr>
            <w:tcW w:w="690" w:type="dxa"/>
            <w:shd w:val="clear" w:color="auto" w:fill="auto"/>
          </w:tcPr>
          <w:p w14:paraId="0CA41294" w14:textId="77777777" w:rsidR="00375AE8" w:rsidRPr="008B2872" w:rsidRDefault="00375AE8" w:rsidP="0049324B">
            <w:pPr>
              <w:jc w:val="center"/>
              <w:rPr>
                <w:sz w:val="16"/>
                <w:szCs w:val="16"/>
              </w:rPr>
            </w:pPr>
          </w:p>
        </w:tc>
        <w:tc>
          <w:tcPr>
            <w:tcW w:w="587" w:type="dxa"/>
            <w:shd w:val="clear" w:color="auto" w:fill="FBD4B4" w:themeFill="accent6" w:themeFillTint="66"/>
          </w:tcPr>
          <w:p w14:paraId="0D696B65" w14:textId="77777777" w:rsidR="00375AE8" w:rsidRPr="008B2872" w:rsidRDefault="00375AE8" w:rsidP="0049324B">
            <w:pPr>
              <w:jc w:val="center"/>
              <w:rPr>
                <w:sz w:val="16"/>
                <w:szCs w:val="16"/>
              </w:rPr>
            </w:pPr>
          </w:p>
        </w:tc>
        <w:tc>
          <w:tcPr>
            <w:tcW w:w="690" w:type="dxa"/>
            <w:shd w:val="clear" w:color="auto" w:fill="FBD4B4" w:themeFill="accent6" w:themeFillTint="66"/>
          </w:tcPr>
          <w:p w14:paraId="2049BAF0" w14:textId="77777777" w:rsidR="00375AE8" w:rsidRPr="008B2872" w:rsidRDefault="00375AE8" w:rsidP="0049324B">
            <w:pPr>
              <w:jc w:val="center"/>
              <w:rPr>
                <w:sz w:val="16"/>
                <w:szCs w:val="16"/>
              </w:rPr>
            </w:pPr>
          </w:p>
        </w:tc>
        <w:tc>
          <w:tcPr>
            <w:tcW w:w="540" w:type="dxa"/>
          </w:tcPr>
          <w:p w14:paraId="47955A56" w14:textId="77777777" w:rsidR="00375AE8" w:rsidRPr="008B2872" w:rsidRDefault="00375AE8" w:rsidP="0049324B">
            <w:pPr>
              <w:jc w:val="center"/>
              <w:rPr>
                <w:sz w:val="16"/>
                <w:szCs w:val="16"/>
              </w:rPr>
            </w:pPr>
          </w:p>
        </w:tc>
        <w:tc>
          <w:tcPr>
            <w:tcW w:w="690" w:type="dxa"/>
          </w:tcPr>
          <w:p w14:paraId="47B76437" w14:textId="77777777" w:rsidR="00375AE8" w:rsidRPr="008B2872" w:rsidRDefault="00375AE8" w:rsidP="0049324B">
            <w:pPr>
              <w:jc w:val="center"/>
              <w:rPr>
                <w:sz w:val="16"/>
                <w:szCs w:val="16"/>
              </w:rPr>
            </w:pPr>
          </w:p>
        </w:tc>
        <w:tc>
          <w:tcPr>
            <w:tcW w:w="534" w:type="dxa"/>
          </w:tcPr>
          <w:p w14:paraId="618C7D0D" w14:textId="77777777" w:rsidR="00375AE8" w:rsidRPr="008B2872" w:rsidRDefault="00375AE8" w:rsidP="0049324B">
            <w:pPr>
              <w:jc w:val="center"/>
              <w:rPr>
                <w:sz w:val="16"/>
                <w:szCs w:val="16"/>
              </w:rPr>
            </w:pPr>
          </w:p>
        </w:tc>
        <w:tc>
          <w:tcPr>
            <w:tcW w:w="690" w:type="dxa"/>
          </w:tcPr>
          <w:p w14:paraId="65A64B37" w14:textId="77777777" w:rsidR="00375AE8" w:rsidRPr="008B2872" w:rsidRDefault="00375AE8" w:rsidP="0049324B">
            <w:pPr>
              <w:jc w:val="center"/>
              <w:rPr>
                <w:sz w:val="16"/>
                <w:szCs w:val="16"/>
              </w:rPr>
            </w:pPr>
          </w:p>
        </w:tc>
        <w:tc>
          <w:tcPr>
            <w:tcW w:w="516" w:type="dxa"/>
          </w:tcPr>
          <w:p w14:paraId="37A0619C" w14:textId="77777777" w:rsidR="00375AE8" w:rsidRPr="008B2872" w:rsidRDefault="00375AE8" w:rsidP="0049324B">
            <w:pPr>
              <w:jc w:val="center"/>
              <w:rPr>
                <w:sz w:val="16"/>
                <w:szCs w:val="16"/>
              </w:rPr>
            </w:pPr>
          </w:p>
        </w:tc>
        <w:tc>
          <w:tcPr>
            <w:tcW w:w="690" w:type="dxa"/>
          </w:tcPr>
          <w:p w14:paraId="1ECD7557" w14:textId="77777777" w:rsidR="00375AE8" w:rsidRPr="008B2872" w:rsidRDefault="00375AE8" w:rsidP="0049324B">
            <w:pPr>
              <w:jc w:val="center"/>
              <w:rPr>
                <w:sz w:val="16"/>
                <w:szCs w:val="16"/>
              </w:rPr>
            </w:pPr>
          </w:p>
        </w:tc>
        <w:tc>
          <w:tcPr>
            <w:tcW w:w="513" w:type="dxa"/>
          </w:tcPr>
          <w:p w14:paraId="4B1B5203" w14:textId="77777777" w:rsidR="00375AE8" w:rsidRPr="008B2872" w:rsidRDefault="00375AE8" w:rsidP="0049324B">
            <w:pPr>
              <w:jc w:val="center"/>
              <w:rPr>
                <w:sz w:val="16"/>
                <w:szCs w:val="16"/>
              </w:rPr>
            </w:pPr>
          </w:p>
        </w:tc>
        <w:tc>
          <w:tcPr>
            <w:tcW w:w="690" w:type="dxa"/>
          </w:tcPr>
          <w:p w14:paraId="72261AE6" w14:textId="77777777" w:rsidR="00375AE8" w:rsidRPr="008B2872" w:rsidRDefault="00375AE8" w:rsidP="0049324B">
            <w:pPr>
              <w:jc w:val="center"/>
              <w:rPr>
                <w:sz w:val="16"/>
                <w:szCs w:val="16"/>
              </w:rPr>
            </w:pPr>
          </w:p>
        </w:tc>
      </w:tr>
      <w:tr w:rsidR="00375AE8" w14:paraId="1E6458A5" w14:textId="77777777" w:rsidTr="00043FA1">
        <w:tc>
          <w:tcPr>
            <w:tcW w:w="1441" w:type="dxa"/>
            <w:vMerge/>
          </w:tcPr>
          <w:p w14:paraId="2AD03006" w14:textId="77777777" w:rsidR="00375AE8" w:rsidRPr="008B2872" w:rsidRDefault="00375AE8" w:rsidP="0049324B">
            <w:pPr>
              <w:jc w:val="center"/>
              <w:rPr>
                <w:sz w:val="16"/>
                <w:szCs w:val="16"/>
              </w:rPr>
            </w:pPr>
          </w:p>
        </w:tc>
        <w:tc>
          <w:tcPr>
            <w:tcW w:w="1367" w:type="dxa"/>
            <w:vMerge/>
          </w:tcPr>
          <w:p w14:paraId="0FCF18DE" w14:textId="0F8D57CE" w:rsidR="00375AE8" w:rsidRPr="008B2872" w:rsidRDefault="00375AE8" w:rsidP="0049324B">
            <w:pPr>
              <w:jc w:val="center"/>
              <w:rPr>
                <w:sz w:val="16"/>
                <w:szCs w:val="16"/>
              </w:rPr>
            </w:pPr>
          </w:p>
        </w:tc>
        <w:tc>
          <w:tcPr>
            <w:tcW w:w="2414" w:type="dxa"/>
          </w:tcPr>
          <w:p w14:paraId="16F9C974" w14:textId="743BADFE" w:rsidR="00375AE8" w:rsidRPr="008B2872" w:rsidRDefault="00375AE8" w:rsidP="0049324B">
            <w:pPr>
              <w:jc w:val="center"/>
              <w:rPr>
                <w:sz w:val="16"/>
                <w:szCs w:val="16"/>
              </w:rPr>
            </w:pPr>
            <w:r>
              <w:rPr>
                <w:sz w:val="16"/>
                <w:szCs w:val="16"/>
              </w:rPr>
              <w:t>Development of cross-sector plans, actions, protocols, procedures and baselines to improve enforcement, monitoring and surveillance</w:t>
            </w:r>
          </w:p>
        </w:tc>
        <w:tc>
          <w:tcPr>
            <w:tcW w:w="1309" w:type="dxa"/>
          </w:tcPr>
          <w:p w14:paraId="07B22197" w14:textId="14597844" w:rsidR="00375AE8" w:rsidRPr="008B2872" w:rsidRDefault="00375AE8" w:rsidP="0049324B">
            <w:pPr>
              <w:jc w:val="center"/>
              <w:rPr>
                <w:sz w:val="16"/>
                <w:szCs w:val="16"/>
              </w:rPr>
            </w:pPr>
            <w:r>
              <w:rPr>
                <w:sz w:val="16"/>
                <w:szCs w:val="16"/>
              </w:rPr>
              <w:t>DFWP, EQPB, and BD</w:t>
            </w:r>
          </w:p>
        </w:tc>
        <w:tc>
          <w:tcPr>
            <w:tcW w:w="610" w:type="dxa"/>
          </w:tcPr>
          <w:p w14:paraId="57BF450B" w14:textId="77777777" w:rsidR="00375AE8" w:rsidRPr="008B2872" w:rsidRDefault="00375AE8" w:rsidP="0049324B">
            <w:pPr>
              <w:jc w:val="center"/>
              <w:rPr>
                <w:sz w:val="16"/>
                <w:szCs w:val="16"/>
              </w:rPr>
            </w:pPr>
          </w:p>
        </w:tc>
        <w:tc>
          <w:tcPr>
            <w:tcW w:w="645" w:type="dxa"/>
          </w:tcPr>
          <w:p w14:paraId="5FC890C2" w14:textId="77777777" w:rsidR="00375AE8" w:rsidRPr="008B2872" w:rsidRDefault="00375AE8" w:rsidP="0049324B">
            <w:pPr>
              <w:jc w:val="center"/>
              <w:rPr>
                <w:sz w:val="16"/>
                <w:szCs w:val="16"/>
              </w:rPr>
            </w:pPr>
          </w:p>
        </w:tc>
        <w:tc>
          <w:tcPr>
            <w:tcW w:w="690" w:type="dxa"/>
            <w:shd w:val="clear" w:color="auto" w:fill="auto"/>
          </w:tcPr>
          <w:p w14:paraId="2C66538B" w14:textId="77777777" w:rsidR="00375AE8" w:rsidRPr="008B2872" w:rsidRDefault="00375AE8" w:rsidP="0049324B">
            <w:pPr>
              <w:jc w:val="center"/>
              <w:rPr>
                <w:sz w:val="16"/>
                <w:szCs w:val="16"/>
              </w:rPr>
            </w:pPr>
          </w:p>
        </w:tc>
        <w:tc>
          <w:tcPr>
            <w:tcW w:w="587" w:type="dxa"/>
            <w:shd w:val="clear" w:color="auto" w:fill="FBD4B4" w:themeFill="accent6" w:themeFillTint="66"/>
          </w:tcPr>
          <w:p w14:paraId="6C9FD901" w14:textId="77777777" w:rsidR="00375AE8" w:rsidRPr="008B2872" w:rsidRDefault="00375AE8" w:rsidP="0049324B">
            <w:pPr>
              <w:jc w:val="center"/>
              <w:rPr>
                <w:sz w:val="16"/>
                <w:szCs w:val="16"/>
              </w:rPr>
            </w:pPr>
          </w:p>
        </w:tc>
        <w:tc>
          <w:tcPr>
            <w:tcW w:w="690" w:type="dxa"/>
            <w:shd w:val="clear" w:color="auto" w:fill="FBD4B4" w:themeFill="accent6" w:themeFillTint="66"/>
          </w:tcPr>
          <w:p w14:paraId="4B54EF94" w14:textId="77777777" w:rsidR="00375AE8" w:rsidRPr="008B2872" w:rsidRDefault="00375AE8" w:rsidP="0049324B">
            <w:pPr>
              <w:jc w:val="center"/>
              <w:rPr>
                <w:sz w:val="16"/>
                <w:szCs w:val="16"/>
              </w:rPr>
            </w:pPr>
          </w:p>
        </w:tc>
        <w:tc>
          <w:tcPr>
            <w:tcW w:w="540" w:type="dxa"/>
            <w:shd w:val="clear" w:color="auto" w:fill="FBD4B4" w:themeFill="accent6" w:themeFillTint="66"/>
          </w:tcPr>
          <w:p w14:paraId="1477D01E" w14:textId="77777777" w:rsidR="00375AE8" w:rsidRPr="008B2872" w:rsidRDefault="00375AE8" w:rsidP="0049324B">
            <w:pPr>
              <w:jc w:val="center"/>
              <w:rPr>
                <w:sz w:val="16"/>
                <w:szCs w:val="16"/>
              </w:rPr>
            </w:pPr>
          </w:p>
        </w:tc>
        <w:tc>
          <w:tcPr>
            <w:tcW w:w="690" w:type="dxa"/>
            <w:shd w:val="clear" w:color="auto" w:fill="FBD4B4" w:themeFill="accent6" w:themeFillTint="66"/>
          </w:tcPr>
          <w:p w14:paraId="5377D016" w14:textId="77777777" w:rsidR="00375AE8" w:rsidRPr="008B2872" w:rsidRDefault="00375AE8" w:rsidP="0049324B">
            <w:pPr>
              <w:jc w:val="center"/>
              <w:rPr>
                <w:sz w:val="16"/>
                <w:szCs w:val="16"/>
              </w:rPr>
            </w:pPr>
          </w:p>
        </w:tc>
        <w:tc>
          <w:tcPr>
            <w:tcW w:w="534" w:type="dxa"/>
          </w:tcPr>
          <w:p w14:paraId="3676B6E2" w14:textId="77777777" w:rsidR="00375AE8" w:rsidRPr="008B2872" w:rsidRDefault="00375AE8" w:rsidP="0049324B">
            <w:pPr>
              <w:jc w:val="center"/>
              <w:rPr>
                <w:sz w:val="16"/>
                <w:szCs w:val="16"/>
              </w:rPr>
            </w:pPr>
          </w:p>
        </w:tc>
        <w:tc>
          <w:tcPr>
            <w:tcW w:w="690" w:type="dxa"/>
          </w:tcPr>
          <w:p w14:paraId="0352BC3F" w14:textId="77777777" w:rsidR="00375AE8" w:rsidRPr="008B2872" w:rsidRDefault="00375AE8" w:rsidP="0049324B">
            <w:pPr>
              <w:jc w:val="center"/>
              <w:rPr>
                <w:sz w:val="16"/>
                <w:szCs w:val="16"/>
              </w:rPr>
            </w:pPr>
          </w:p>
        </w:tc>
        <w:tc>
          <w:tcPr>
            <w:tcW w:w="516" w:type="dxa"/>
          </w:tcPr>
          <w:p w14:paraId="180C5C96" w14:textId="77777777" w:rsidR="00375AE8" w:rsidRPr="008B2872" w:rsidRDefault="00375AE8" w:rsidP="0049324B">
            <w:pPr>
              <w:jc w:val="center"/>
              <w:rPr>
                <w:sz w:val="16"/>
                <w:szCs w:val="16"/>
              </w:rPr>
            </w:pPr>
          </w:p>
        </w:tc>
        <w:tc>
          <w:tcPr>
            <w:tcW w:w="690" w:type="dxa"/>
          </w:tcPr>
          <w:p w14:paraId="2D48939A" w14:textId="77777777" w:rsidR="00375AE8" w:rsidRPr="008B2872" w:rsidRDefault="00375AE8" w:rsidP="0049324B">
            <w:pPr>
              <w:jc w:val="center"/>
              <w:rPr>
                <w:sz w:val="16"/>
                <w:szCs w:val="16"/>
              </w:rPr>
            </w:pPr>
          </w:p>
        </w:tc>
        <w:tc>
          <w:tcPr>
            <w:tcW w:w="513" w:type="dxa"/>
          </w:tcPr>
          <w:p w14:paraId="545352C3" w14:textId="77777777" w:rsidR="00375AE8" w:rsidRPr="008B2872" w:rsidRDefault="00375AE8" w:rsidP="0049324B">
            <w:pPr>
              <w:jc w:val="center"/>
              <w:rPr>
                <w:sz w:val="16"/>
                <w:szCs w:val="16"/>
              </w:rPr>
            </w:pPr>
          </w:p>
        </w:tc>
        <w:tc>
          <w:tcPr>
            <w:tcW w:w="690" w:type="dxa"/>
          </w:tcPr>
          <w:p w14:paraId="1B9AD830" w14:textId="77777777" w:rsidR="00375AE8" w:rsidRPr="008B2872" w:rsidRDefault="00375AE8" w:rsidP="0049324B">
            <w:pPr>
              <w:jc w:val="center"/>
              <w:rPr>
                <w:sz w:val="16"/>
                <w:szCs w:val="16"/>
              </w:rPr>
            </w:pPr>
          </w:p>
        </w:tc>
      </w:tr>
      <w:tr w:rsidR="00375AE8" w14:paraId="646AC356" w14:textId="77777777" w:rsidTr="00043FA1">
        <w:tc>
          <w:tcPr>
            <w:tcW w:w="1441" w:type="dxa"/>
            <w:vMerge/>
          </w:tcPr>
          <w:p w14:paraId="0AA9760E" w14:textId="77777777" w:rsidR="00375AE8" w:rsidRPr="008B2872" w:rsidRDefault="00375AE8" w:rsidP="0049324B">
            <w:pPr>
              <w:jc w:val="center"/>
              <w:rPr>
                <w:sz w:val="16"/>
                <w:szCs w:val="16"/>
              </w:rPr>
            </w:pPr>
          </w:p>
        </w:tc>
        <w:tc>
          <w:tcPr>
            <w:tcW w:w="1367" w:type="dxa"/>
            <w:vMerge w:val="restart"/>
          </w:tcPr>
          <w:p w14:paraId="2222AED6" w14:textId="267ABE29" w:rsidR="00375AE8" w:rsidRPr="008B2872" w:rsidRDefault="00375AE8" w:rsidP="008D511D">
            <w:pPr>
              <w:jc w:val="center"/>
              <w:rPr>
                <w:sz w:val="16"/>
                <w:szCs w:val="16"/>
              </w:rPr>
            </w:pPr>
            <w:r>
              <w:rPr>
                <w:sz w:val="16"/>
                <w:szCs w:val="16"/>
              </w:rPr>
              <w:t>Update laws, regulations and national level policies</w:t>
            </w:r>
          </w:p>
        </w:tc>
        <w:tc>
          <w:tcPr>
            <w:tcW w:w="2414" w:type="dxa"/>
          </w:tcPr>
          <w:p w14:paraId="279A009D" w14:textId="7B04D2D8" w:rsidR="00375AE8" w:rsidRPr="008B2872" w:rsidRDefault="00375AE8" w:rsidP="0049324B">
            <w:pPr>
              <w:jc w:val="center"/>
              <w:rPr>
                <w:sz w:val="16"/>
                <w:szCs w:val="16"/>
              </w:rPr>
            </w:pPr>
            <w:r>
              <w:rPr>
                <w:sz w:val="16"/>
                <w:szCs w:val="16"/>
              </w:rPr>
              <w:t>Development/update of national/state regulations (trialed for some laws)</w:t>
            </w:r>
          </w:p>
        </w:tc>
        <w:tc>
          <w:tcPr>
            <w:tcW w:w="1309" w:type="dxa"/>
          </w:tcPr>
          <w:p w14:paraId="5A165BB4" w14:textId="47677E20" w:rsidR="00375AE8" w:rsidRPr="008B2872" w:rsidRDefault="00375AE8" w:rsidP="0049324B">
            <w:pPr>
              <w:jc w:val="center"/>
              <w:rPr>
                <w:sz w:val="16"/>
                <w:szCs w:val="16"/>
              </w:rPr>
            </w:pPr>
            <w:r>
              <w:rPr>
                <w:sz w:val="16"/>
                <w:szCs w:val="16"/>
              </w:rPr>
              <w:t>DFWP, EQPB, and BD</w:t>
            </w:r>
          </w:p>
        </w:tc>
        <w:tc>
          <w:tcPr>
            <w:tcW w:w="610" w:type="dxa"/>
          </w:tcPr>
          <w:p w14:paraId="26C8EBF9" w14:textId="77777777" w:rsidR="00375AE8" w:rsidRPr="008B2872" w:rsidRDefault="00375AE8" w:rsidP="0049324B">
            <w:pPr>
              <w:jc w:val="center"/>
              <w:rPr>
                <w:sz w:val="16"/>
                <w:szCs w:val="16"/>
              </w:rPr>
            </w:pPr>
          </w:p>
        </w:tc>
        <w:tc>
          <w:tcPr>
            <w:tcW w:w="645" w:type="dxa"/>
          </w:tcPr>
          <w:p w14:paraId="0511724C" w14:textId="77777777" w:rsidR="00375AE8" w:rsidRPr="008B2872" w:rsidRDefault="00375AE8" w:rsidP="0049324B">
            <w:pPr>
              <w:jc w:val="center"/>
              <w:rPr>
                <w:sz w:val="16"/>
                <w:szCs w:val="16"/>
              </w:rPr>
            </w:pPr>
          </w:p>
        </w:tc>
        <w:tc>
          <w:tcPr>
            <w:tcW w:w="690" w:type="dxa"/>
          </w:tcPr>
          <w:p w14:paraId="095A81FD" w14:textId="77777777" w:rsidR="00375AE8" w:rsidRPr="008B2872" w:rsidRDefault="00375AE8" w:rsidP="0049324B">
            <w:pPr>
              <w:jc w:val="center"/>
              <w:rPr>
                <w:sz w:val="16"/>
                <w:szCs w:val="16"/>
              </w:rPr>
            </w:pPr>
          </w:p>
        </w:tc>
        <w:tc>
          <w:tcPr>
            <w:tcW w:w="587" w:type="dxa"/>
          </w:tcPr>
          <w:p w14:paraId="7039791C" w14:textId="77777777" w:rsidR="00375AE8" w:rsidRPr="008B2872" w:rsidRDefault="00375AE8" w:rsidP="0049324B">
            <w:pPr>
              <w:jc w:val="center"/>
              <w:rPr>
                <w:sz w:val="16"/>
                <w:szCs w:val="16"/>
              </w:rPr>
            </w:pPr>
          </w:p>
        </w:tc>
        <w:tc>
          <w:tcPr>
            <w:tcW w:w="690" w:type="dxa"/>
          </w:tcPr>
          <w:p w14:paraId="67E81BD5" w14:textId="77777777" w:rsidR="00375AE8" w:rsidRPr="008B2872" w:rsidRDefault="00375AE8" w:rsidP="0049324B">
            <w:pPr>
              <w:jc w:val="center"/>
              <w:rPr>
                <w:sz w:val="16"/>
                <w:szCs w:val="16"/>
              </w:rPr>
            </w:pPr>
          </w:p>
        </w:tc>
        <w:tc>
          <w:tcPr>
            <w:tcW w:w="540" w:type="dxa"/>
            <w:shd w:val="clear" w:color="auto" w:fill="FBD4B4" w:themeFill="accent6" w:themeFillTint="66"/>
          </w:tcPr>
          <w:p w14:paraId="4E80B38A" w14:textId="77777777" w:rsidR="00375AE8" w:rsidRPr="008B2872" w:rsidRDefault="00375AE8" w:rsidP="0049324B">
            <w:pPr>
              <w:jc w:val="center"/>
              <w:rPr>
                <w:sz w:val="16"/>
                <w:szCs w:val="16"/>
              </w:rPr>
            </w:pPr>
          </w:p>
        </w:tc>
        <w:tc>
          <w:tcPr>
            <w:tcW w:w="690" w:type="dxa"/>
            <w:shd w:val="clear" w:color="auto" w:fill="FBD4B4" w:themeFill="accent6" w:themeFillTint="66"/>
          </w:tcPr>
          <w:p w14:paraId="3A7483F5" w14:textId="77777777" w:rsidR="00375AE8" w:rsidRPr="008B2872" w:rsidRDefault="00375AE8" w:rsidP="0049324B">
            <w:pPr>
              <w:jc w:val="center"/>
              <w:rPr>
                <w:sz w:val="16"/>
                <w:szCs w:val="16"/>
              </w:rPr>
            </w:pPr>
          </w:p>
        </w:tc>
        <w:tc>
          <w:tcPr>
            <w:tcW w:w="534" w:type="dxa"/>
          </w:tcPr>
          <w:p w14:paraId="22F72B24" w14:textId="77777777" w:rsidR="00375AE8" w:rsidRPr="008B2872" w:rsidRDefault="00375AE8" w:rsidP="0049324B">
            <w:pPr>
              <w:jc w:val="center"/>
              <w:rPr>
                <w:sz w:val="16"/>
                <w:szCs w:val="16"/>
              </w:rPr>
            </w:pPr>
          </w:p>
        </w:tc>
        <w:tc>
          <w:tcPr>
            <w:tcW w:w="690" w:type="dxa"/>
          </w:tcPr>
          <w:p w14:paraId="7F3ED572" w14:textId="77777777" w:rsidR="00375AE8" w:rsidRPr="008B2872" w:rsidRDefault="00375AE8" w:rsidP="0049324B">
            <w:pPr>
              <w:jc w:val="center"/>
              <w:rPr>
                <w:sz w:val="16"/>
                <w:szCs w:val="16"/>
              </w:rPr>
            </w:pPr>
          </w:p>
        </w:tc>
        <w:tc>
          <w:tcPr>
            <w:tcW w:w="516" w:type="dxa"/>
          </w:tcPr>
          <w:p w14:paraId="288F80A9" w14:textId="77777777" w:rsidR="00375AE8" w:rsidRPr="008B2872" w:rsidRDefault="00375AE8" w:rsidP="0049324B">
            <w:pPr>
              <w:jc w:val="center"/>
              <w:rPr>
                <w:sz w:val="16"/>
                <w:szCs w:val="16"/>
              </w:rPr>
            </w:pPr>
          </w:p>
        </w:tc>
        <w:tc>
          <w:tcPr>
            <w:tcW w:w="690" w:type="dxa"/>
          </w:tcPr>
          <w:p w14:paraId="24478BD1" w14:textId="77777777" w:rsidR="00375AE8" w:rsidRPr="008B2872" w:rsidRDefault="00375AE8" w:rsidP="0049324B">
            <w:pPr>
              <w:jc w:val="center"/>
              <w:rPr>
                <w:sz w:val="16"/>
                <w:szCs w:val="16"/>
              </w:rPr>
            </w:pPr>
          </w:p>
        </w:tc>
        <w:tc>
          <w:tcPr>
            <w:tcW w:w="513" w:type="dxa"/>
          </w:tcPr>
          <w:p w14:paraId="67CBA225" w14:textId="77777777" w:rsidR="00375AE8" w:rsidRPr="008B2872" w:rsidRDefault="00375AE8" w:rsidP="0049324B">
            <w:pPr>
              <w:jc w:val="center"/>
              <w:rPr>
                <w:sz w:val="16"/>
                <w:szCs w:val="16"/>
              </w:rPr>
            </w:pPr>
          </w:p>
        </w:tc>
        <w:tc>
          <w:tcPr>
            <w:tcW w:w="690" w:type="dxa"/>
          </w:tcPr>
          <w:p w14:paraId="0A1861C0" w14:textId="77777777" w:rsidR="00375AE8" w:rsidRPr="008B2872" w:rsidRDefault="00375AE8" w:rsidP="0049324B">
            <w:pPr>
              <w:jc w:val="center"/>
              <w:rPr>
                <w:sz w:val="16"/>
                <w:szCs w:val="16"/>
              </w:rPr>
            </w:pPr>
          </w:p>
        </w:tc>
      </w:tr>
      <w:tr w:rsidR="00375AE8" w14:paraId="3F1DF407" w14:textId="77777777" w:rsidTr="00043FA1">
        <w:tc>
          <w:tcPr>
            <w:tcW w:w="1441" w:type="dxa"/>
            <w:vMerge/>
          </w:tcPr>
          <w:p w14:paraId="6ED4AA1C" w14:textId="77777777" w:rsidR="00375AE8" w:rsidRPr="008B2872" w:rsidRDefault="00375AE8" w:rsidP="0049324B">
            <w:pPr>
              <w:jc w:val="center"/>
              <w:rPr>
                <w:sz w:val="16"/>
                <w:szCs w:val="16"/>
              </w:rPr>
            </w:pPr>
          </w:p>
        </w:tc>
        <w:tc>
          <w:tcPr>
            <w:tcW w:w="1367" w:type="dxa"/>
            <w:vMerge/>
          </w:tcPr>
          <w:p w14:paraId="6F8ED547" w14:textId="77777777" w:rsidR="00375AE8" w:rsidRPr="008B2872" w:rsidRDefault="00375AE8" w:rsidP="0049324B">
            <w:pPr>
              <w:jc w:val="center"/>
              <w:rPr>
                <w:sz w:val="16"/>
                <w:szCs w:val="16"/>
              </w:rPr>
            </w:pPr>
          </w:p>
        </w:tc>
        <w:tc>
          <w:tcPr>
            <w:tcW w:w="2414" w:type="dxa"/>
          </w:tcPr>
          <w:p w14:paraId="5598EE37" w14:textId="4D8DA394" w:rsidR="00375AE8" w:rsidRPr="008B2872" w:rsidRDefault="00375AE8" w:rsidP="00DD587E">
            <w:pPr>
              <w:jc w:val="center"/>
              <w:rPr>
                <w:sz w:val="16"/>
                <w:szCs w:val="16"/>
              </w:rPr>
            </w:pPr>
            <w:r>
              <w:rPr>
                <w:sz w:val="16"/>
                <w:szCs w:val="16"/>
              </w:rPr>
              <w:t>Development of protocols, guidelines, baselines and enforceable standards to improve enforcement, monitoring, surveillance and compliance of biodiversity and IAS</w:t>
            </w:r>
          </w:p>
        </w:tc>
        <w:tc>
          <w:tcPr>
            <w:tcW w:w="1309" w:type="dxa"/>
          </w:tcPr>
          <w:p w14:paraId="66F7A3B2" w14:textId="685E7F05" w:rsidR="00375AE8" w:rsidRPr="008B2872" w:rsidRDefault="00375AE8" w:rsidP="0049324B">
            <w:pPr>
              <w:jc w:val="center"/>
              <w:rPr>
                <w:sz w:val="16"/>
                <w:szCs w:val="16"/>
              </w:rPr>
            </w:pPr>
            <w:r>
              <w:rPr>
                <w:sz w:val="16"/>
                <w:szCs w:val="16"/>
              </w:rPr>
              <w:t>DFWP, EQPB, and BD</w:t>
            </w:r>
          </w:p>
        </w:tc>
        <w:tc>
          <w:tcPr>
            <w:tcW w:w="610" w:type="dxa"/>
          </w:tcPr>
          <w:p w14:paraId="454FDD33" w14:textId="77777777" w:rsidR="00375AE8" w:rsidRPr="008B2872" w:rsidRDefault="00375AE8" w:rsidP="0049324B">
            <w:pPr>
              <w:jc w:val="center"/>
              <w:rPr>
                <w:sz w:val="16"/>
                <w:szCs w:val="16"/>
              </w:rPr>
            </w:pPr>
          </w:p>
        </w:tc>
        <w:tc>
          <w:tcPr>
            <w:tcW w:w="645" w:type="dxa"/>
          </w:tcPr>
          <w:p w14:paraId="23E5B8D5" w14:textId="77777777" w:rsidR="00375AE8" w:rsidRPr="008B2872" w:rsidRDefault="00375AE8" w:rsidP="0049324B">
            <w:pPr>
              <w:jc w:val="center"/>
              <w:rPr>
                <w:sz w:val="16"/>
                <w:szCs w:val="16"/>
              </w:rPr>
            </w:pPr>
          </w:p>
        </w:tc>
        <w:tc>
          <w:tcPr>
            <w:tcW w:w="690" w:type="dxa"/>
          </w:tcPr>
          <w:p w14:paraId="3EF08BE9" w14:textId="77777777" w:rsidR="00375AE8" w:rsidRPr="008B2872" w:rsidRDefault="00375AE8" w:rsidP="0049324B">
            <w:pPr>
              <w:jc w:val="center"/>
              <w:rPr>
                <w:sz w:val="16"/>
                <w:szCs w:val="16"/>
              </w:rPr>
            </w:pPr>
          </w:p>
        </w:tc>
        <w:tc>
          <w:tcPr>
            <w:tcW w:w="587" w:type="dxa"/>
          </w:tcPr>
          <w:p w14:paraId="2D343CE4" w14:textId="77777777" w:rsidR="00375AE8" w:rsidRPr="008B2872" w:rsidRDefault="00375AE8" w:rsidP="0049324B">
            <w:pPr>
              <w:jc w:val="center"/>
              <w:rPr>
                <w:sz w:val="16"/>
                <w:szCs w:val="16"/>
              </w:rPr>
            </w:pPr>
          </w:p>
        </w:tc>
        <w:tc>
          <w:tcPr>
            <w:tcW w:w="690" w:type="dxa"/>
          </w:tcPr>
          <w:p w14:paraId="4810C919" w14:textId="77777777" w:rsidR="00375AE8" w:rsidRPr="008B2872" w:rsidRDefault="00375AE8" w:rsidP="0049324B">
            <w:pPr>
              <w:jc w:val="center"/>
              <w:rPr>
                <w:sz w:val="16"/>
                <w:szCs w:val="16"/>
              </w:rPr>
            </w:pPr>
          </w:p>
        </w:tc>
        <w:tc>
          <w:tcPr>
            <w:tcW w:w="540" w:type="dxa"/>
            <w:shd w:val="clear" w:color="auto" w:fill="FBD4B4" w:themeFill="accent6" w:themeFillTint="66"/>
          </w:tcPr>
          <w:p w14:paraId="46FFAEDB" w14:textId="77777777" w:rsidR="00375AE8" w:rsidRPr="008B2872" w:rsidRDefault="00375AE8" w:rsidP="0049324B">
            <w:pPr>
              <w:jc w:val="center"/>
              <w:rPr>
                <w:sz w:val="16"/>
                <w:szCs w:val="16"/>
              </w:rPr>
            </w:pPr>
          </w:p>
        </w:tc>
        <w:tc>
          <w:tcPr>
            <w:tcW w:w="690" w:type="dxa"/>
            <w:shd w:val="clear" w:color="auto" w:fill="FBD4B4" w:themeFill="accent6" w:themeFillTint="66"/>
          </w:tcPr>
          <w:p w14:paraId="59E3DB2D" w14:textId="77777777" w:rsidR="00375AE8" w:rsidRPr="008B2872" w:rsidRDefault="00375AE8" w:rsidP="0049324B">
            <w:pPr>
              <w:jc w:val="center"/>
              <w:rPr>
                <w:sz w:val="16"/>
                <w:szCs w:val="16"/>
              </w:rPr>
            </w:pPr>
          </w:p>
        </w:tc>
        <w:tc>
          <w:tcPr>
            <w:tcW w:w="534" w:type="dxa"/>
          </w:tcPr>
          <w:p w14:paraId="155C4277" w14:textId="77777777" w:rsidR="00375AE8" w:rsidRPr="008B2872" w:rsidRDefault="00375AE8" w:rsidP="0049324B">
            <w:pPr>
              <w:jc w:val="center"/>
              <w:rPr>
                <w:sz w:val="16"/>
                <w:szCs w:val="16"/>
              </w:rPr>
            </w:pPr>
          </w:p>
        </w:tc>
        <w:tc>
          <w:tcPr>
            <w:tcW w:w="690" w:type="dxa"/>
          </w:tcPr>
          <w:p w14:paraId="0F6E7F0A" w14:textId="77777777" w:rsidR="00375AE8" w:rsidRPr="008B2872" w:rsidRDefault="00375AE8" w:rsidP="0049324B">
            <w:pPr>
              <w:jc w:val="center"/>
              <w:rPr>
                <w:sz w:val="16"/>
                <w:szCs w:val="16"/>
              </w:rPr>
            </w:pPr>
          </w:p>
        </w:tc>
        <w:tc>
          <w:tcPr>
            <w:tcW w:w="516" w:type="dxa"/>
          </w:tcPr>
          <w:p w14:paraId="1D0C51C4" w14:textId="77777777" w:rsidR="00375AE8" w:rsidRPr="008B2872" w:rsidRDefault="00375AE8" w:rsidP="0049324B">
            <w:pPr>
              <w:jc w:val="center"/>
              <w:rPr>
                <w:sz w:val="16"/>
                <w:szCs w:val="16"/>
              </w:rPr>
            </w:pPr>
          </w:p>
        </w:tc>
        <w:tc>
          <w:tcPr>
            <w:tcW w:w="690" w:type="dxa"/>
          </w:tcPr>
          <w:p w14:paraId="7CA98957" w14:textId="77777777" w:rsidR="00375AE8" w:rsidRPr="008B2872" w:rsidRDefault="00375AE8" w:rsidP="0049324B">
            <w:pPr>
              <w:jc w:val="center"/>
              <w:rPr>
                <w:sz w:val="16"/>
                <w:szCs w:val="16"/>
              </w:rPr>
            </w:pPr>
          </w:p>
        </w:tc>
        <w:tc>
          <w:tcPr>
            <w:tcW w:w="513" w:type="dxa"/>
          </w:tcPr>
          <w:p w14:paraId="0F06D734" w14:textId="77777777" w:rsidR="00375AE8" w:rsidRPr="008B2872" w:rsidRDefault="00375AE8" w:rsidP="0049324B">
            <w:pPr>
              <w:jc w:val="center"/>
              <w:rPr>
                <w:sz w:val="16"/>
                <w:szCs w:val="16"/>
              </w:rPr>
            </w:pPr>
          </w:p>
        </w:tc>
        <w:tc>
          <w:tcPr>
            <w:tcW w:w="690" w:type="dxa"/>
          </w:tcPr>
          <w:p w14:paraId="147A9E77" w14:textId="77777777" w:rsidR="00375AE8" w:rsidRPr="008B2872" w:rsidRDefault="00375AE8" w:rsidP="0049324B">
            <w:pPr>
              <w:jc w:val="center"/>
              <w:rPr>
                <w:sz w:val="16"/>
                <w:szCs w:val="16"/>
              </w:rPr>
            </w:pPr>
          </w:p>
        </w:tc>
      </w:tr>
      <w:tr w:rsidR="00DD587E" w14:paraId="4CEFEBE2" w14:textId="77777777" w:rsidTr="00043FA1">
        <w:tc>
          <w:tcPr>
            <w:tcW w:w="1441" w:type="dxa"/>
            <w:vMerge/>
          </w:tcPr>
          <w:p w14:paraId="7B277E3E" w14:textId="77777777" w:rsidR="00DD587E" w:rsidRPr="008B2872" w:rsidRDefault="00DD587E" w:rsidP="0049324B">
            <w:pPr>
              <w:jc w:val="center"/>
              <w:rPr>
                <w:sz w:val="16"/>
                <w:szCs w:val="16"/>
              </w:rPr>
            </w:pPr>
          </w:p>
        </w:tc>
        <w:tc>
          <w:tcPr>
            <w:tcW w:w="1367" w:type="dxa"/>
          </w:tcPr>
          <w:p w14:paraId="3522F83A" w14:textId="124BFBF4" w:rsidR="00DD587E" w:rsidRPr="008B2872" w:rsidRDefault="00DD587E" w:rsidP="0049324B">
            <w:pPr>
              <w:jc w:val="center"/>
              <w:rPr>
                <w:sz w:val="16"/>
                <w:szCs w:val="16"/>
              </w:rPr>
            </w:pPr>
            <w:r>
              <w:rPr>
                <w:sz w:val="16"/>
                <w:szCs w:val="16"/>
              </w:rPr>
              <w:t>Implementation and training</w:t>
            </w:r>
          </w:p>
        </w:tc>
        <w:tc>
          <w:tcPr>
            <w:tcW w:w="2414" w:type="dxa"/>
          </w:tcPr>
          <w:p w14:paraId="19998B89" w14:textId="194A78BB" w:rsidR="00DD587E" w:rsidRPr="008B2872" w:rsidRDefault="00DD587E" w:rsidP="00DD587E">
            <w:pPr>
              <w:jc w:val="center"/>
              <w:rPr>
                <w:sz w:val="16"/>
                <w:szCs w:val="16"/>
              </w:rPr>
            </w:pPr>
            <w:r>
              <w:rPr>
                <w:sz w:val="16"/>
                <w:szCs w:val="16"/>
              </w:rPr>
              <w:t>Initial support for selected personnel based on national review</w:t>
            </w:r>
          </w:p>
        </w:tc>
        <w:tc>
          <w:tcPr>
            <w:tcW w:w="1309" w:type="dxa"/>
          </w:tcPr>
          <w:p w14:paraId="328ABEAB" w14:textId="0C3BC427" w:rsidR="00DD587E" w:rsidRPr="008B2872" w:rsidRDefault="00375AE8" w:rsidP="0049324B">
            <w:pPr>
              <w:jc w:val="center"/>
              <w:rPr>
                <w:sz w:val="16"/>
                <w:szCs w:val="16"/>
              </w:rPr>
            </w:pPr>
            <w:r>
              <w:rPr>
                <w:sz w:val="16"/>
                <w:szCs w:val="16"/>
              </w:rPr>
              <w:t>DFWP and EQPB</w:t>
            </w:r>
          </w:p>
        </w:tc>
        <w:tc>
          <w:tcPr>
            <w:tcW w:w="610" w:type="dxa"/>
          </w:tcPr>
          <w:p w14:paraId="0FC16CEE" w14:textId="77777777" w:rsidR="00DD587E" w:rsidRPr="008B2872" w:rsidRDefault="00DD587E" w:rsidP="0049324B">
            <w:pPr>
              <w:jc w:val="center"/>
              <w:rPr>
                <w:sz w:val="16"/>
                <w:szCs w:val="16"/>
              </w:rPr>
            </w:pPr>
          </w:p>
        </w:tc>
        <w:tc>
          <w:tcPr>
            <w:tcW w:w="645" w:type="dxa"/>
          </w:tcPr>
          <w:p w14:paraId="0A7CB2E4" w14:textId="77777777" w:rsidR="00DD587E" w:rsidRPr="008B2872" w:rsidRDefault="00DD587E" w:rsidP="0049324B">
            <w:pPr>
              <w:jc w:val="center"/>
              <w:rPr>
                <w:sz w:val="16"/>
                <w:szCs w:val="16"/>
              </w:rPr>
            </w:pPr>
          </w:p>
        </w:tc>
        <w:tc>
          <w:tcPr>
            <w:tcW w:w="690" w:type="dxa"/>
          </w:tcPr>
          <w:p w14:paraId="6CE792CB" w14:textId="77777777" w:rsidR="00DD587E" w:rsidRPr="008B2872" w:rsidRDefault="00DD587E" w:rsidP="0049324B">
            <w:pPr>
              <w:jc w:val="center"/>
              <w:rPr>
                <w:sz w:val="16"/>
                <w:szCs w:val="16"/>
              </w:rPr>
            </w:pPr>
          </w:p>
        </w:tc>
        <w:tc>
          <w:tcPr>
            <w:tcW w:w="587" w:type="dxa"/>
            <w:shd w:val="clear" w:color="auto" w:fill="FBD4B4" w:themeFill="accent6" w:themeFillTint="66"/>
          </w:tcPr>
          <w:p w14:paraId="0AF757E8" w14:textId="77777777" w:rsidR="00DD587E" w:rsidRPr="008B2872" w:rsidRDefault="00DD587E" w:rsidP="0049324B">
            <w:pPr>
              <w:jc w:val="center"/>
              <w:rPr>
                <w:sz w:val="16"/>
                <w:szCs w:val="16"/>
              </w:rPr>
            </w:pPr>
          </w:p>
        </w:tc>
        <w:tc>
          <w:tcPr>
            <w:tcW w:w="690" w:type="dxa"/>
            <w:shd w:val="clear" w:color="auto" w:fill="FBD4B4" w:themeFill="accent6" w:themeFillTint="66"/>
          </w:tcPr>
          <w:p w14:paraId="4DF410F5" w14:textId="77777777" w:rsidR="00DD587E" w:rsidRPr="008B2872" w:rsidRDefault="00DD587E" w:rsidP="0049324B">
            <w:pPr>
              <w:jc w:val="center"/>
              <w:rPr>
                <w:sz w:val="16"/>
                <w:szCs w:val="16"/>
              </w:rPr>
            </w:pPr>
          </w:p>
        </w:tc>
        <w:tc>
          <w:tcPr>
            <w:tcW w:w="540" w:type="dxa"/>
            <w:shd w:val="clear" w:color="auto" w:fill="FBD4B4" w:themeFill="accent6" w:themeFillTint="66"/>
          </w:tcPr>
          <w:p w14:paraId="273B7141" w14:textId="77777777" w:rsidR="00DD587E" w:rsidRPr="008B2872" w:rsidRDefault="00DD587E" w:rsidP="0049324B">
            <w:pPr>
              <w:jc w:val="center"/>
              <w:rPr>
                <w:sz w:val="16"/>
                <w:szCs w:val="16"/>
              </w:rPr>
            </w:pPr>
          </w:p>
        </w:tc>
        <w:tc>
          <w:tcPr>
            <w:tcW w:w="690" w:type="dxa"/>
            <w:shd w:val="clear" w:color="auto" w:fill="FBD4B4" w:themeFill="accent6" w:themeFillTint="66"/>
          </w:tcPr>
          <w:p w14:paraId="2E7493D2" w14:textId="77777777" w:rsidR="00DD587E" w:rsidRPr="008B2872" w:rsidRDefault="00DD587E" w:rsidP="0049324B">
            <w:pPr>
              <w:jc w:val="center"/>
              <w:rPr>
                <w:sz w:val="16"/>
                <w:szCs w:val="16"/>
              </w:rPr>
            </w:pPr>
          </w:p>
        </w:tc>
        <w:tc>
          <w:tcPr>
            <w:tcW w:w="534" w:type="dxa"/>
            <w:shd w:val="clear" w:color="auto" w:fill="FBD4B4" w:themeFill="accent6" w:themeFillTint="66"/>
          </w:tcPr>
          <w:p w14:paraId="4957A486" w14:textId="77777777" w:rsidR="00DD587E" w:rsidRPr="008B2872" w:rsidRDefault="00DD587E" w:rsidP="0049324B">
            <w:pPr>
              <w:jc w:val="center"/>
              <w:rPr>
                <w:sz w:val="16"/>
                <w:szCs w:val="16"/>
              </w:rPr>
            </w:pPr>
          </w:p>
        </w:tc>
        <w:tc>
          <w:tcPr>
            <w:tcW w:w="690" w:type="dxa"/>
            <w:shd w:val="clear" w:color="auto" w:fill="FBD4B4" w:themeFill="accent6" w:themeFillTint="66"/>
          </w:tcPr>
          <w:p w14:paraId="424F7C3A" w14:textId="77777777" w:rsidR="00DD587E" w:rsidRPr="008B2872" w:rsidRDefault="00DD587E" w:rsidP="0049324B">
            <w:pPr>
              <w:jc w:val="center"/>
              <w:rPr>
                <w:sz w:val="16"/>
                <w:szCs w:val="16"/>
              </w:rPr>
            </w:pPr>
          </w:p>
        </w:tc>
        <w:tc>
          <w:tcPr>
            <w:tcW w:w="516" w:type="dxa"/>
            <w:shd w:val="clear" w:color="auto" w:fill="FBD4B4" w:themeFill="accent6" w:themeFillTint="66"/>
          </w:tcPr>
          <w:p w14:paraId="7E5D84D9" w14:textId="77777777" w:rsidR="00DD587E" w:rsidRPr="008B2872" w:rsidRDefault="00DD587E" w:rsidP="0049324B">
            <w:pPr>
              <w:jc w:val="center"/>
              <w:rPr>
                <w:sz w:val="16"/>
                <w:szCs w:val="16"/>
              </w:rPr>
            </w:pPr>
          </w:p>
        </w:tc>
        <w:tc>
          <w:tcPr>
            <w:tcW w:w="690" w:type="dxa"/>
            <w:shd w:val="clear" w:color="auto" w:fill="FBD4B4" w:themeFill="accent6" w:themeFillTint="66"/>
          </w:tcPr>
          <w:p w14:paraId="64BE797B" w14:textId="77777777" w:rsidR="00DD587E" w:rsidRPr="008B2872" w:rsidRDefault="00DD587E" w:rsidP="0049324B">
            <w:pPr>
              <w:jc w:val="center"/>
              <w:rPr>
                <w:sz w:val="16"/>
                <w:szCs w:val="16"/>
              </w:rPr>
            </w:pPr>
          </w:p>
        </w:tc>
        <w:tc>
          <w:tcPr>
            <w:tcW w:w="513" w:type="dxa"/>
          </w:tcPr>
          <w:p w14:paraId="7A475F3D" w14:textId="77777777" w:rsidR="00DD587E" w:rsidRPr="008B2872" w:rsidRDefault="00DD587E" w:rsidP="0049324B">
            <w:pPr>
              <w:jc w:val="center"/>
              <w:rPr>
                <w:sz w:val="16"/>
                <w:szCs w:val="16"/>
              </w:rPr>
            </w:pPr>
          </w:p>
        </w:tc>
        <w:tc>
          <w:tcPr>
            <w:tcW w:w="690" w:type="dxa"/>
          </w:tcPr>
          <w:p w14:paraId="1F1D9528" w14:textId="77777777" w:rsidR="00DD587E" w:rsidRPr="008B2872" w:rsidRDefault="00DD587E" w:rsidP="0049324B">
            <w:pPr>
              <w:jc w:val="center"/>
              <w:rPr>
                <w:sz w:val="16"/>
                <w:szCs w:val="16"/>
              </w:rPr>
            </w:pPr>
          </w:p>
        </w:tc>
      </w:tr>
      <w:tr w:rsidR="00C36F18" w14:paraId="5C699D6A" w14:textId="77777777" w:rsidTr="00043FA1">
        <w:tc>
          <w:tcPr>
            <w:tcW w:w="1441" w:type="dxa"/>
          </w:tcPr>
          <w:p w14:paraId="5D38CF34" w14:textId="77777777" w:rsidR="00C36F18" w:rsidRPr="008B2872" w:rsidRDefault="00C36F18" w:rsidP="0049324B">
            <w:pPr>
              <w:jc w:val="center"/>
              <w:rPr>
                <w:sz w:val="16"/>
                <w:szCs w:val="16"/>
              </w:rPr>
            </w:pPr>
          </w:p>
        </w:tc>
        <w:tc>
          <w:tcPr>
            <w:tcW w:w="1367" w:type="dxa"/>
          </w:tcPr>
          <w:p w14:paraId="6771E49D" w14:textId="77777777" w:rsidR="00C36F18" w:rsidRPr="008B2872" w:rsidRDefault="00C36F18" w:rsidP="0049324B">
            <w:pPr>
              <w:jc w:val="center"/>
              <w:rPr>
                <w:sz w:val="16"/>
                <w:szCs w:val="16"/>
              </w:rPr>
            </w:pPr>
          </w:p>
        </w:tc>
        <w:tc>
          <w:tcPr>
            <w:tcW w:w="2414" w:type="dxa"/>
          </w:tcPr>
          <w:p w14:paraId="175C5C5D" w14:textId="4B32D0A1" w:rsidR="00C36F18" w:rsidRPr="008B2872" w:rsidRDefault="00DD587E" w:rsidP="0049324B">
            <w:pPr>
              <w:jc w:val="center"/>
              <w:rPr>
                <w:sz w:val="16"/>
                <w:szCs w:val="16"/>
              </w:rPr>
            </w:pPr>
            <w:r>
              <w:rPr>
                <w:sz w:val="16"/>
                <w:szCs w:val="16"/>
              </w:rPr>
              <w:t>Training personnel (including community members) for enforcement, monitoring, and surveillance, including management and enforcement of IAS plans and regulations</w:t>
            </w:r>
          </w:p>
        </w:tc>
        <w:tc>
          <w:tcPr>
            <w:tcW w:w="1309" w:type="dxa"/>
          </w:tcPr>
          <w:p w14:paraId="4D5022E4" w14:textId="1AAF9D87" w:rsidR="00C36F18" w:rsidRPr="008B2872" w:rsidRDefault="00AD7C51" w:rsidP="0049324B">
            <w:pPr>
              <w:jc w:val="center"/>
              <w:rPr>
                <w:sz w:val="16"/>
                <w:szCs w:val="16"/>
              </w:rPr>
            </w:pPr>
            <w:r>
              <w:rPr>
                <w:sz w:val="16"/>
                <w:szCs w:val="16"/>
              </w:rPr>
              <w:t>BD</w:t>
            </w:r>
          </w:p>
        </w:tc>
        <w:tc>
          <w:tcPr>
            <w:tcW w:w="610" w:type="dxa"/>
          </w:tcPr>
          <w:p w14:paraId="16576D22" w14:textId="77777777" w:rsidR="00C36F18" w:rsidRPr="008B2872" w:rsidRDefault="00C36F18" w:rsidP="0049324B">
            <w:pPr>
              <w:jc w:val="center"/>
              <w:rPr>
                <w:sz w:val="16"/>
                <w:szCs w:val="16"/>
              </w:rPr>
            </w:pPr>
          </w:p>
        </w:tc>
        <w:tc>
          <w:tcPr>
            <w:tcW w:w="645" w:type="dxa"/>
          </w:tcPr>
          <w:p w14:paraId="33025ED6" w14:textId="77777777" w:rsidR="00C36F18" w:rsidRPr="008B2872" w:rsidRDefault="00C36F18" w:rsidP="0049324B">
            <w:pPr>
              <w:jc w:val="center"/>
              <w:rPr>
                <w:sz w:val="16"/>
                <w:szCs w:val="16"/>
              </w:rPr>
            </w:pPr>
          </w:p>
        </w:tc>
        <w:tc>
          <w:tcPr>
            <w:tcW w:w="690" w:type="dxa"/>
          </w:tcPr>
          <w:p w14:paraId="7CFCF508" w14:textId="77777777" w:rsidR="00C36F18" w:rsidRPr="008B2872" w:rsidRDefault="00C36F18" w:rsidP="0049324B">
            <w:pPr>
              <w:jc w:val="center"/>
              <w:rPr>
                <w:sz w:val="16"/>
                <w:szCs w:val="16"/>
              </w:rPr>
            </w:pPr>
          </w:p>
        </w:tc>
        <w:tc>
          <w:tcPr>
            <w:tcW w:w="587" w:type="dxa"/>
            <w:shd w:val="clear" w:color="auto" w:fill="FBD4B4" w:themeFill="accent6" w:themeFillTint="66"/>
          </w:tcPr>
          <w:p w14:paraId="0F512414" w14:textId="77777777" w:rsidR="00C36F18" w:rsidRPr="008B2872" w:rsidRDefault="00C36F18" w:rsidP="0049324B">
            <w:pPr>
              <w:jc w:val="center"/>
              <w:rPr>
                <w:sz w:val="16"/>
                <w:szCs w:val="16"/>
              </w:rPr>
            </w:pPr>
          </w:p>
        </w:tc>
        <w:tc>
          <w:tcPr>
            <w:tcW w:w="690" w:type="dxa"/>
            <w:shd w:val="clear" w:color="auto" w:fill="FBD4B4" w:themeFill="accent6" w:themeFillTint="66"/>
          </w:tcPr>
          <w:p w14:paraId="36E1C398" w14:textId="77777777" w:rsidR="00C36F18" w:rsidRPr="008B2872" w:rsidRDefault="00C36F18" w:rsidP="0049324B">
            <w:pPr>
              <w:jc w:val="center"/>
              <w:rPr>
                <w:sz w:val="16"/>
                <w:szCs w:val="16"/>
              </w:rPr>
            </w:pPr>
          </w:p>
        </w:tc>
        <w:tc>
          <w:tcPr>
            <w:tcW w:w="540" w:type="dxa"/>
            <w:shd w:val="clear" w:color="auto" w:fill="FBD4B4" w:themeFill="accent6" w:themeFillTint="66"/>
          </w:tcPr>
          <w:p w14:paraId="0E197E21" w14:textId="77777777" w:rsidR="00C36F18" w:rsidRPr="008B2872" w:rsidRDefault="00C36F18" w:rsidP="0049324B">
            <w:pPr>
              <w:jc w:val="center"/>
              <w:rPr>
                <w:sz w:val="16"/>
                <w:szCs w:val="16"/>
              </w:rPr>
            </w:pPr>
          </w:p>
        </w:tc>
        <w:tc>
          <w:tcPr>
            <w:tcW w:w="690" w:type="dxa"/>
            <w:shd w:val="clear" w:color="auto" w:fill="FBD4B4" w:themeFill="accent6" w:themeFillTint="66"/>
          </w:tcPr>
          <w:p w14:paraId="03087EA6" w14:textId="77777777" w:rsidR="00C36F18" w:rsidRPr="008B2872" w:rsidRDefault="00C36F18" w:rsidP="0049324B">
            <w:pPr>
              <w:jc w:val="center"/>
              <w:rPr>
                <w:sz w:val="16"/>
                <w:szCs w:val="16"/>
              </w:rPr>
            </w:pPr>
          </w:p>
        </w:tc>
        <w:tc>
          <w:tcPr>
            <w:tcW w:w="534" w:type="dxa"/>
            <w:shd w:val="clear" w:color="auto" w:fill="FBD4B4" w:themeFill="accent6" w:themeFillTint="66"/>
          </w:tcPr>
          <w:p w14:paraId="77EF64CB" w14:textId="77777777" w:rsidR="00C36F18" w:rsidRPr="008B2872" w:rsidRDefault="00C36F18" w:rsidP="0049324B">
            <w:pPr>
              <w:jc w:val="center"/>
              <w:rPr>
                <w:sz w:val="16"/>
                <w:szCs w:val="16"/>
              </w:rPr>
            </w:pPr>
          </w:p>
        </w:tc>
        <w:tc>
          <w:tcPr>
            <w:tcW w:w="690" w:type="dxa"/>
            <w:shd w:val="clear" w:color="auto" w:fill="FBD4B4" w:themeFill="accent6" w:themeFillTint="66"/>
          </w:tcPr>
          <w:p w14:paraId="35FAAC52" w14:textId="77777777" w:rsidR="00C36F18" w:rsidRPr="008B2872" w:rsidRDefault="00C36F18" w:rsidP="0049324B">
            <w:pPr>
              <w:jc w:val="center"/>
              <w:rPr>
                <w:sz w:val="16"/>
                <w:szCs w:val="16"/>
              </w:rPr>
            </w:pPr>
          </w:p>
        </w:tc>
        <w:tc>
          <w:tcPr>
            <w:tcW w:w="516" w:type="dxa"/>
            <w:shd w:val="clear" w:color="auto" w:fill="FBD4B4" w:themeFill="accent6" w:themeFillTint="66"/>
          </w:tcPr>
          <w:p w14:paraId="6CB197D5" w14:textId="77777777" w:rsidR="00C36F18" w:rsidRPr="008B2872" w:rsidRDefault="00C36F18" w:rsidP="0049324B">
            <w:pPr>
              <w:jc w:val="center"/>
              <w:rPr>
                <w:sz w:val="16"/>
                <w:szCs w:val="16"/>
              </w:rPr>
            </w:pPr>
          </w:p>
        </w:tc>
        <w:tc>
          <w:tcPr>
            <w:tcW w:w="690" w:type="dxa"/>
            <w:shd w:val="clear" w:color="auto" w:fill="FBD4B4" w:themeFill="accent6" w:themeFillTint="66"/>
          </w:tcPr>
          <w:p w14:paraId="741AC29B" w14:textId="77777777" w:rsidR="00C36F18" w:rsidRPr="008B2872" w:rsidRDefault="00C36F18" w:rsidP="0049324B">
            <w:pPr>
              <w:jc w:val="center"/>
              <w:rPr>
                <w:sz w:val="16"/>
                <w:szCs w:val="16"/>
              </w:rPr>
            </w:pPr>
          </w:p>
        </w:tc>
        <w:tc>
          <w:tcPr>
            <w:tcW w:w="513" w:type="dxa"/>
            <w:shd w:val="clear" w:color="auto" w:fill="FBD4B4" w:themeFill="accent6" w:themeFillTint="66"/>
          </w:tcPr>
          <w:p w14:paraId="41A8BACE" w14:textId="77777777" w:rsidR="00C36F18" w:rsidRPr="008B2872" w:rsidRDefault="00C36F18" w:rsidP="0049324B">
            <w:pPr>
              <w:jc w:val="center"/>
              <w:rPr>
                <w:sz w:val="16"/>
                <w:szCs w:val="16"/>
              </w:rPr>
            </w:pPr>
          </w:p>
        </w:tc>
        <w:tc>
          <w:tcPr>
            <w:tcW w:w="690" w:type="dxa"/>
          </w:tcPr>
          <w:p w14:paraId="01134C7A" w14:textId="77777777" w:rsidR="00C36F18" w:rsidRPr="008B2872" w:rsidRDefault="00C36F18" w:rsidP="0049324B">
            <w:pPr>
              <w:jc w:val="center"/>
              <w:rPr>
                <w:sz w:val="16"/>
                <w:szCs w:val="16"/>
              </w:rPr>
            </w:pPr>
          </w:p>
        </w:tc>
      </w:tr>
      <w:tr w:rsidR="007079F0" w14:paraId="4984B304" w14:textId="77777777" w:rsidTr="00043FA1">
        <w:tc>
          <w:tcPr>
            <w:tcW w:w="14616" w:type="dxa"/>
            <w:gridSpan w:val="17"/>
            <w:shd w:val="clear" w:color="auto" w:fill="D6E3BC" w:themeFill="accent3" w:themeFillTint="66"/>
          </w:tcPr>
          <w:p w14:paraId="4D3D737F" w14:textId="3B1BDDCC" w:rsidR="007079F0" w:rsidRPr="008B2872" w:rsidRDefault="007079F0" w:rsidP="00043FA1">
            <w:pPr>
              <w:jc w:val="left"/>
              <w:rPr>
                <w:sz w:val="16"/>
                <w:szCs w:val="16"/>
              </w:rPr>
            </w:pPr>
            <w:r>
              <w:rPr>
                <w:sz w:val="16"/>
                <w:szCs w:val="16"/>
              </w:rPr>
              <w:t>Planning and Implementation Phase (Babeldoab Island)</w:t>
            </w:r>
          </w:p>
        </w:tc>
      </w:tr>
      <w:tr w:rsidR="00375AE8" w14:paraId="46887A55" w14:textId="77777777" w:rsidTr="00F10784">
        <w:tc>
          <w:tcPr>
            <w:tcW w:w="1441" w:type="dxa"/>
            <w:vMerge w:val="restart"/>
          </w:tcPr>
          <w:p w14:paraId="02D47F2B" w14:textId="583F5540" w:rsidR="00375AE8" w:rsidRPr="008B2872" w:rsidRDefault="00375AE8" w:rsidP="007079F0">
            <w:pPr>
              <w:jc w:val="center"/>
              <w:rPr>
                <w:sz w:val="16"/>
                <w:szCs w:val="16"/>
              </w:rPr>
            </w:pPr>
            <w:r>
              <w:rPr>
                <w:sz w:val="16"/>
                <w:szCs w:val="16"/>
              </w:rPr>
              <w:t xml:space="preserve">Integrated land and seascape plans </w:t>
            </w:r>
          </w:p>
        </w:tc>
        <w:tc>
          <w:tcPr>
            <w:tcW w:w="1367" w:type="dxa"/>
            <w:vMerge w:val="restart"/>
          </w:tcPr>
          <w:p w14:paraId="2D1F3883" w14:textId="7231EE87" w:rsidR="00375AE8" w:rsidRPr="008B2872" w:rsidRDefault="00375AE8" w:rsidP="0049324B">
            <w:pPr>
              <w:jc w:val="center"/>
              <w:rPr>
                <w:sz w:val="16"/>
                <w:szCs w:val="16"/>
              </w:rPr>
            </w:pPr>
            <w:r>
              <w:rPr>
                <w:sz w:val="16"/>
                <w:szCs w:val="16"/>
              </w:rPr>
              <w:t>Development and adoption of ILSMP template and minimum standards</w:t>
            </w:r>
          </w:p>
        </w:tc>
        <w:tc>
          <w:tcPr>
            <w:tcW w:w="2414" w:type="dxa"/>
          </w:tcPr>
          <w:p w14:paraId="21C7D3A8" w14:textId="58E0507F" w:rsidR="00375AE8" w:rsidRPr="008B2872" w:rsidRDefault="00375AE8" w:rsidP="0049324B">
            <w:pPr>
              <w:jc w:val="center"/>
              <w:rPr>
                <w:sz w:val="16"/>
                <w:szCs w:val="16"/>
              </w:rPr>
            </w:pPr>
            <w:r>
              <w:rPr>
                <w:sz w:val="16"/>
                <w:szCs w:val="16"/>
              </w:rPr>
              <w:t>Capacity development for state planners to utilize tools from Output 1.2 adopting local criteria for plans to capture HCVFs, HCVMRs, climate adaptation, and economic development</w:t>
            </w:r>
          </w:p>
        </w:tc>
        <w:tc>
          <w:tcPr>
            <w:tcW w:w="1309" w:type="dxa"/>
          </w:tcPr>
          <w:p w14:paraId="0A0FAB40" w14:textId="279D8913" w:rsidR="00375AE8" w:rsidRPr="008B2872" w:rsidRDefault="00375AE8" w:rsidP="0049324B">
            <w:pPr>
              <w:jc w:val="center"/>
              <w:rPr>
                <w:sz w:val="16"/>
                <w:szCs w:val="16"/>
              </w:rPr>
            </w:pPr>
            <w:r>
              <w:rPr>
                <w:sz w:val="16"/>
                <w:szCs w:val="16"/>
              </w:rPr>
              <w:t>MNRET and JCB</w:t>
            </w:r>
          </w:p>
        </w:tc>
        <w:tc>
          <w:tcPr>
            <w:tcW w:w="610" w:type="dxa"/>
          </w:tcPr>
          <w:p w14:paraId="16297A36" w14:textId="77777777" w:rsidR="00375AE8" w:rsidRPr="008B2872" w:rsidRDefault="00375AE8" w:rsidP="0049324B">
            <w:pPr>
              <w:jc w:val="center"/>
              <w:rPr>
                <w:sz w:val="16"/>
                <w:szCs w:val="16"/>
              </w:rPr>
            </w:pPr>
          </w:p>
        </w:tc>
        <w:tc>
          <w:tcPr>
            <w:tcW w:w="645" w:type="dxa"/>
          </w:tcPr>
          <w:p w14:paraId="504239CA" w14:textId="77777777" w:rsidR="00375AE8" w:rsidRPr="008B2872" w:rsidRDefault="00375AE8" w:rsidP="0049324B">
            <w:pPr>
              <w:jc w:val="center"/>
              <w:rPr>
                <w:sz w:val="16"/>
                <w:szCs w:val="16"/>
              </w:rPr>
            </w:pPr>
          </w:p>
        </w:tc>
        <w:tc>
          <w:tcPr>
            <w:tcW w:w="690" w:type="dxa"/>
          </w:tcPr>
          <w:p w14:paraId="17AFE1DD" w14:textId="77777777" w:rsidR="00375AE8" w:rsidRPr="008B2872" w:rsidRDefault="00375AE8" w:rsidP="0049324B">
            <w:pPr>
              <w:jc w:val="center"/>
              <w:rPr>
                <w:sz w:val="16"/>
                <w:szCs w:val="16"/>
              </w:rPr>
            </w:pPr>
          </w:p>
        </w:tc>
        <w:tc>
          <w:tcPr>
            <w:tcW w:w="587" w:type="dxa"/>
            <w:shd w:val="clear" w:color="auto" w:fill="FBD4B4" w:themeFill="accent6" w:themeFillTint="66"/>
          </w:tcPr>
          <w:p w14:paraId="517888D7" w14:textId="77777777" w:rsidR="00375AE8" w:rsidRPr="008B2872" w:rsidRDefault="00375AE8" w:rsidP="0049324B">
            <w:pPr>
              <w:jc w:val="center"/>
              <w:rPr>
                <w:sz w:val="16"/>
                <w:szCs w:val="16"/>
              </w:rPr>
            </w:pPr>
          </w:p>
        </w:tc>
        <w:tc>
          <w:tcPr>
            <w:tcW w:w="690" w:type="dxa"/>
            <w:shd w:val="clear" w:color="auto" w:fill="FBD4B4" w:themeFill="accent6" w:themeFillTint="66"/>
          </w:tcPr>
          <w:p w14:paraId="18268ABB" w14:textId="77777777" w:rsidR="00375AE8" w:rsidRPr="008B2872" w:rsidRDefault="00375AE8" w:rsidP="0049324B">
            <w:pPr>
              <w:jc w:val="center"/>
              <w:rPr>
                <w:sz w:val="16"/>
                <w:szCs w:val="16"/>
              </w:rPr>
            </w:pPr>
          </w:p>
        </w:tc>
        <w:tc>
          <w:tcPr>
            <w:tcW w:w="540" w:type="dxa"/>
          </w:tcPr>
          <w:p w14:paraId="19A4ED9F" w14:textId="77777777" w:rsidR="00375AE8" w:rsidRPr="008B2872" w:rsidRDefault="00375AE8" w:rsidP="0049324B">
            <w:pPr>
              <w:jc w:val="center"/>
              <w:rPr>
                <w:sz w:val="16"/>
                <w:szCs w:val="16"/>
              </w:rPr>
            </w:pPr>
          </w:p>
        </w:tc>
        <w:tc>
          <w:tcPr>
            <w:tcW w:w="690" w:type="dxa"/>
          </w:tcPr>
          <w:p w14:paraId="673C9D63" w14:textId="77777777" w:rsidR="00375AE8" w:rsidRPr="008B2872" w:rsidRDefault="00375AE8" w:rsidP="0049324B">
            <w:pPr>
              <w:jc w:val="center"/>
              <w:rPr>
                <w:sz w:val="16"/>
                <w:szCs w:val="16"/>
              </w:rPr>
            </w:pPr>
          </w:p>
        </w:tc>
        <w:tc>
          <w:tcPr>
            <w:tcW w:w="534" w:type="dxa"/>
          </w:tcPr>
          <w:p w14:paraId="1B6EDAC0" w14:textId="77777777" w:rsidR="00375AE8" w:rsidRPr="008B2872" w:rsidRDefault="00375AE8" w:rsidP="0049324B">
            <w:pPr>
              <w:jc w:val="center"/>
              <w:rPr>
                <w:sz w:val="16"/>
                <w:szCs w:val="16"/>
              </w:rPr>
            </w:pPr>
          </w:p>
        </w:tc>
        <w:tc>
          <w:tcPr>
            <w:tcW w:w="690" w:type="dxa"/>
          </w:tcPr>
          <w:p w14:paraId="06CAADED" w14:textId="77777777" w:rsidR="00375AE8" w:rsidRPr="008B2872" w:rsidRDefault="00375AE8" w:rsidP="0049324B">
            <w:pPr>
              <w:jc w:val="center"/>
              <w:rPr>
                <w:sz w:val="16"/>
                <w:szCs w:val="16"/>
              </w:rPr>
            </w:pPr>
          </w:p>
        </w:tc>
        <w:tc>
          <w:tcPr>
            <w:tcW w:w="516" w:type="dxa"/>
          </w:tcPr>
          <w:p w14:paraId="287F1D17" w14:textId="77777777" w:rsidR="00375AE8" w:rsidRPr="008B2872" w:rsidRDefault="00375AE8" w:rsidP="0049324B">
            <w:pPr>
              <w:jc w:val="center"/>
              <w:rPr>
                <w:sz w:val="16"/>
                <w:szCs w:val="16"/>
              </w:rPr>
            </w:pPr>
          </w:p>
        </w:tc>
        <w:tc>
          <w:tcPr>
            <w:tcW w:w="690" w:type="dxa"/>
          </w:tcPr>
          <w:p w14:paraId="2F8BB37A" w14:textId="77777777" w:rsidR="00375AE8" w:rsidRPr="008B2872" w:rsidRDefault="00375AE8" w:rsidP="0049324B">
            <w:pPr>
              <w:jc w:val="center"/>
              <w:rPr>
                <w:sz w:val="16"/>
                <w:szCs w:val="16"/>
              </w:rPr>
            </w:pPr>
          </w:p>
        </w:tc>
        <w:tc>
          <w:tcPr>
            <w:tcW w:w="513" w:type="dxa"/>
          </w:tcPr>
          <w:p w14:paraId="1D712B09" w14:textId="77777777" w:rsidR="00375AE8" w:rsidRPr="008B2872" w:rsidRDefault="00375AE8" w:rsidP="0049324B">
            <w:pPr>
              <w:jc w:val="center"/>
              <w:rPr>
                <w:sz w:val="16"/>
                <w:szCs w:val="16"/>
              </w:rPr>
            </w:pPr>
          </w:p>
        </w:tc>
        <w:tc>
          <w:tcPr>
            <w:tcW w:w="690" w:type="dxa"/>
          </w:tcPr>
          <w:p w14:paraId="198CB856" w14:textId="77777777" w:rsidR="00375AE8" w:rsidRPr="008B2872" w:rsidRDefault="00375AE8" w:rsidP="0049324B">
            <w:pPr>
              <w:jc w:val="center"/>
              <w:rPr>
                <w:sz w:val="16"/>
                <w:szCs w:val="16"/>
              </w:rPr>
            </w:pPr>
          </w:p>
        </w:tc>
      </w:tr>
      <w:tr w:rsidR="00375AE8" w14:paraId="70C70E31" w14:textId="77777777" w:rsidTr="00F10784">
        <w:tc>
          <w:tcPr>
            <w:tcW w:w="1441" w:type="dxa"/>
            <w:vMerge/>
          </w:tcPr>
          <w:p w14:paraId="7CC9E677" w14:textId="77777777" w:rsidR="00375AE8" w:rsidRPr="008B2872" w:rsidRDefault="00375AE8" w:rsidP="0049324B">
            <w:pPr>
              <w:jc w:val="center"/>
              <w:rPr>
                <w:sz w:val="16"/>
                <w:szCs w:val="16"/>
              </w:rPr>
            </w:pPr>
          </w:p>
        </w:tc>
        <w:tc>
          <w:tcPr>
            <w:tcW w:w="1367" w:type="dxa"/>
            <w:vMerge/>
          </w:tcPr>
          <w:p w14:paraId="689B7065" w14:textId="77777777" w:rsidR="00375AE8" w:rsidRPr="008B2872" w:rsidRDefault="00375AE8" w:rsidP="0049324B">
            <w:pPr>
              <w:jc w:val="center"/>
              <w:rPr>
                <w:sz w:val="16"/>
                <w:szCs w:val="16"/>
              </w:rPr>
            </w:pPr>
          </w:p>
        </w:tc>
        <w:tc>
          <w:tcPr>
            <w:tcW w:w="2414" w:type="dxa"/>
          </w:tcPr>
          <w:p w14:paraId="2E33B4A0" w14:textId="307D0229" w:rsidR="00375AE8" w:rsidRPr="008B2872" w:rsidRDefault="00375AE8" w:rsidP="0049324B">
            <w:pPr>
              <w:jc w:val="center"/>
              <w:rPr>
                <w:sz w:val="16"/>
                <w:szCs w:val="16"/>
              </w:rPr>
            </w:pPr>
            <w:r>
              <w:rPr>
                <w:sz w:val="16"/>
                <w:szCs w:val="16"/>
              </w:rPr>
              <w:t xml:space="preserve">Outreach to create political support for ISLM planning </w:t>
            </w:r>
          </w:p>
        </w:tc>
        <w:tc>
          <w:tcPr>
            <w:tcW w:w="1309" w:type="dxa"/>
          </w:tcPr>
          <w:p w14:paraId="10A5211D" w14:textId="61A0544C" w:rsidR="00375AE8" w:rsidRPr="008B2872" w:rsidRDefault="00375AE8" w:rsidP="0049324B">
            <w:pPr>
              <w:jc w:val="center"/>
              <w:rPr>
                <w:sz w:val="16"/>
                <w:szCs w:val="16"/>
              </w:rPr>
            </w:pPr>
            <w:r>
              <w:rPr>
                <w:sz w:val="16"/>
                <w:szCs w:val="16"/>
              </w:rPr>
              <w:t>MNRET</w:t>
            </w:r>
          </w:p>
        </w:tc>
        <w:tc>
          <w:tcPr>
            <w:tcW w:w="610" w:type="dxa"/>
          </w:tcPr>
          <w:p w14:paraId="29F417D9" w14:textId="77777777" w:rsidR="00375AE8" w:rsidRPr="008B2872" w:rsidRDefault="00375AE8" w:rsidP="0049324B">
            <w:pPr>
              <w:jc w:val="center"/>
              <w:rPr>
                <w:sz w:val="16"/>
                <w:szCs w:val="16"/>
              </w:rPr>
            </w:pPr>
          </w:p>
        </w:tc>
        <w:tc>
          <w:tcPr>
            <w:tcW w:w="645" w:type="dxa"/>
          </w:tcPr>
          <w:p w14:paraId="1443B028" w14:textId="77777777" w:rsidR="00375AE8" w:rsidRPr="008B2872" w:rsidRDefault="00375AE8" w:rsidP="0049324B">
            <w:pPr>
              <w:jc w:val="center"/>
              <w:rPr>
                <w:sz w:val="16"/>
                <w:szCs w:val="16"/>
              </w:rPr>
            </w:pPr>
          </w:p>
        </w:tc>
        <w:tc>
          <w:tcPr>
            <w:tcW w:w="690" w:type="dxa"/>
          </w:tcPr>
          <w:p w14:paraId="03C9BD96" w14:textId="77777777" w:rsidR="00375AE8" w:rsidRPr="008B2872" w:rsidRDefault="00375AE8" w:rsidP="0049324B">
            <w:pPr>
              <w:jc w:val="center"/>
              <w:rPr>
                <w:sz w:val="16"/>
                <w:szCs w:val="16"/>
              </w:rPr>
            </w:pPr>
          </w:p>
        </w:tc>
        <w:tc>
          <w:tcPr>
            <w:tcW w:w="587" w:type="dxa"/>
            <w:shd w:val="clear" w:color="auto" w:fill="FBD4B4" w:themeFill="accent6" w:themeFillTint="66"/>
          </w:tcPr>
          <w:p w14:paraId="6D7AC8CE" w14:textId="77777777" w:rsidR="00375AE8" w:rsidRPr="008B2872" w:rsidRDefault="00375AE8" w:rsidP="0049324B">
            <w:pPr>
              <w:jc w:val="center"/>
              <w:rPr>
                <w:sz w:val="16"/>
                <w:szCs w:val="16"/>
              </w:rPr>
            </w:pPr>
          </w:p>
        </w:tc>
        <w:tc>
          <w:tcPr>
            <w:tcW w:w="690" w:type="dxa"/>
            <w:shd w:val="clear" w:color="auto" w:fill="FBD4B4" w:themeFill="accent6" w:themeFillTint="66"/>
          </w:tcPr>
          <w:p w14:paraId="1A767236" w14:textId="77777777" w:rsidR="00375AE8" w:rsidRPr="008B2872" w:rsidRDefault="00375AE8" w:rsidP="0049324B">
            <w:pPr>
              <w:jc w:val="center"/>
              <w:rPr>
                <w:sz w:val="16"/>
                <w:szCs w:val="16"/>
              </w:rPr>
            </w:pPr>
          </w:p>
        </w:tc>
        <w:tc>
          <w:tcPr>
            <w:tcW w:w="540" w:type="dxa"/>
          </w:tcPr>
          <w:p w14:paraId="4D084055" w14:textId="77777777" w:rsidR="00375AE8" w:rsidRPr="008B2872" w:rsidRDefault="00375AE8" w:rsidP="0049324B">
            <w:pPr>
              <w:jc w:val="center"/>
              <w:rPr>
                <w:sz w:val="16"/>
                <w:szCs w:val="16"/>
              </w:rPr>
            </w:pPr>
          </w:p>
        </w:tc>
        <w:tc>
          <w:tcPr>
            <w:tcW w:w="690" w:type="dxa"/>
          </w:tcPr>
          <w:p w14:paraId="5098D7FE" w14:textId="77777777" w:rsidR="00375AE8" w:rsidRPr="008B2872" w:rsidRDefault="00375AE8" w:rsidP="0049324B">
            <w:pPr>
              <w:jc w:val="center"/>
              <w:rPr>
                <w:sz w:val="16"/>
                <w:szCs w:val="16"/>
              </w:rPr>
            </w:pPr>
          </w:p>
        </w:tc>
        <w:tc>
          <w:tcPr>
            <w:tcW w:w="534" w:type="dxa"/>
          </w:tcPr>
          <w:p w14:paraId="12A30052" w14:textId="77777777" w:rsidR="00375AE8" w:rsidRPr="008B2872" w:rsidRDefault="00375AE8" w:rsidP="0049324B">
            <w:pPr>
              <w:jc w:val="center"/>
              <w:rPr>
                <w:sz w:val="16"/>
                <w:szCs w:val="16"/>
              </w:rPr>
            </w:pPr>
          </w:p>
        </w:tc>
        <w:tc>
          <w:tcPr>
            <w:tcW w:w="690" w:type="dxa"/>
          </w:tcPr>
          <w:p w14:paraId="1250037D" w14:textId="77777777" w:rsidR="00375AE8" w:rsidRPr="008B2872" w:rsidRDefault="00375AE8" w:rsidP="0049324B">
            <w:pPr>
              <w:jc w:val="center"/>
              <w:rPr>
                <w:sz w:val="16"/>
                <w:szCs w:val="16"/>
              </w:rPr>
            </w:pPr>
          </w:p>
        </w:tc>
        <w:tc>
          <w:tcPr>
            <w:tcW w:w="516" w:type="dxa"/>
          </w:tcPr>
          <w:p w14:paraId="22A280A5" w14:textId="77777777" w:rsidR="00375AE8" w:rsidRPr="008B2872" w:rsidRDefault="00375AE8" w:rsidP="0049324B">
            <w:pPr>
              <w:jc w:val="center"/>
              <w:rPr>
                <w:sz w:val="16"/>
                <w:szCs w:val="16"/>
              </w:rPr>
            </w:pPr>
          </w:p>
        </w:tc>
        <w:tc>
          <w:tcPr>
            <w:tcW w:w="690" w:type="dxa"/>
          </w:tcPr>
          <w:p w14:paraId="4F2DF030" w14:textId="77777777" w:rsidR="00375AE8" w:rsidRPr="008B2872" w:rsidRDefault="00375AE8" w:rsidP="0049324B">
            <w:pPr>
              <w:jc w:val="center"/>
              <w:rPr>
                <w:sz w:val="16"/>
                <w:szCs w:val="16"/>
              </w:rPr>
            </w:pPr>
          </w:p>
        </w:tc>
        <w:tc>
          <w:tcPr>
            <w:tcW w:w="513" w:type="dxa"/>
          </w:tcPr>
          <w:p w14:paraId="30644EC2" w14:textId="77777777" w:rsidR="00375AE8" w:rsidRPr="008B2872" w:rsidRDefault="00375AE8" w:rsidP="0049324B">
            <w:pPr>
              <w:jc w:val="center"/>
              <w:rPr>
                <w:sz w:val="16"/>
                <w:szCs w:val="16"/>
              </w:rPr>
            </w:pPr>
          </w:p>
        </w:tc>
        <w:tc>
          <w:tcPr>
            <w:tcW w:w="690" w:type="dxa"/>
          </w:tcPr>
          <w:p w14:paraId="132E42D8" w14:textId="77777777" w:rsidR="00375AE8" w:rsidRPr="008B2872" w:rsidRDefault="00375AE8" w:rsidP="0049324B">
            <w:pPr>
              <w:jc w:val="center"/>
              <w:rPr>
                <w:sz w:val="16"/>
                <w:szCs w:val="16"/>
              </w:rPr>
            </w:pPr>
          </w:p>
        </w:tc>
      </w:tr>
      <w:tr w:rsidR="00375AE8" w14:paraId="31FA9A7B" w14:textId="77777777" w:rsidTr="00F10784">
        <w:tc>
          <w:tcPr>
            <w:tcW w:w="1441" w:type="dxa"/>
            <w:vMerge/>
          </w:tcPr>
          <w:p w14:paraId="1F7850B5" w14:textId="77777777" w:rsidR="00375AE8" w:rsidRPr="008B2872" w:rsidRDefault="00375AE8" w:rsidP="0049324B">
            <w:pPr>
              <w:jc w:val="center"/>
              <w:rPr>
                <w:sz w:val="16"/>
                <w:szCs w:val="16"/>
              </w:rPr>
            </w:pPr>
          </w:p>
        </w:tc>
        <w:tc>
          <w:tcPr>
            <w:tcW w:w="1367" w:type="dxa"/>
            <w:vMerge w:val="restart"/>
          </w:tcPr>
          <w:p w14:paraId="65BD0099" w14:textId="3F16144E" w:rsidR="00375AE8" w:rsidRPr="008B2872" w:rsidRDefault="00375AE8" w:rsidP="007079F0">
            <w:pPr>
              <w:jc w:val="center"/>
              <w:rPr>
                <w:sz w:val="16"/>
                <w:szCs w:val="16"/>
              </w:rPr>
            </w:pPr>
            <w:r>
              <w:rPr>
                <w:sz w:val="16"/>
                <w:szCs w:val="16"/>
              </w:rPr>
              <w:t>Elaboration of island wide ILSM strategy</w:t>
            </w:r>
          </w:p>
        </w:tc>
        <w:tc>
          <w:tcPr>
            <w:tcW w:w="2414" w:type="dxa"/>
          </w:tcPr>
          <w:p w14:paraId="1ECCED69" w14:textId="577F726F" w:rsidR="00375AE8" w:rsidRPr="008B2872" w:rsidRDefault="00375AE8" w:rsidP="0049324B">
            <w:pPr>
              <w:jc w:val="center"/>
              <w:rPr>
                <w:sz w:val="16"/>
                <w:szCs w:val="16"/>
              </w:rPr>
            </w:pPr>
            <w:r>
              <w:rPr>
                <w:sz w:val="16"/>
                <w:szCs w:val="16"/>
              </w:rPr>
              <w:t>Island wide mapping of environmental and socio-economic features</w:t>
            </w:r>
          </w:p>
        </w:tc>
        <w:tc>
          <w:tcPr>
            <w:tcW w:w="1309" w:type="dxa"/>
          </w:tcPr>
          <w:p w14:paraId="36BCAA57" w14:textId="5ECEE2DD" w:rsidR="00375AE8" w:rsidRPr="008B2872" w:rsidRDefault="00375AE8" w:rsidP="0049324B">
            <w:pPr>
              <w:jc w:val="center"/>
              <w:rPr>
                <w:sz w:val="16"/>
                <w:szCs w:val="16"/>
              </w:rPr>
            </w:pPr>
            <w:r>
              <w:rPr>
                <w:sz w:val="16"/>
                <w:szCs w:val="16"/>
              </w:rPr>
              <w:t>MNRET</w:t>
            </w:r>
          </w:p>
        </w:tc>
        <w:tc>
          <w:tcPr>
            <w:tcW w:w="610" w:type="dxa"/>
          </w:tcPr>
          <w:p w14:paraId="7EDF933C" w14:textId="77777777" w:rsidR="00375AE8" w:rsidRPr="008B2872" w:rsidRDefault="00375AE8" w:rsidP="0049324B">
            <w:pPr>
              <w:jc w:val="center"/>
              <w:rPr>
                <w:sz w:val="16"/>
                <w:szCs w:val="16"/>
              </w:rPr>
            </w:pPr>
          </w:p>
        </w:tc>
        <w:tc>
          <w:tcPr>
            <w:tcW w:w="645" w:type="dxa"/>
            <w:shd w:val="clear" w:color="auto" w:fill="FBD4B4" w:themeFill="accent6" w:themeFillTint="66"/>
          </w:tcPr>
          <w:p w14:paraId="62205783" w14:textId="77777777" w:rsidR="00375AE8" w:rsidRPr="008B2872" w:rsidRDefault="00375AE8" w:rsidP="0049324B">
            <w:pPr>
              <w:jc w:val="center"/>
              <w:rPr>
                <w:sz w:val="16"/>
                <w:szCs w:val="16"/>
              </w:rPr>
            </w:pPr>
          </w:p>
        </w:tc>
        <w:tc>
          <w:tcPr>
            <w:tcW w:w="690" w:type="dxa"/>
            <w:shd w:val="clear" w:color="auto" w:fill="FBD4B4" w:themeFill="accent6" w:themeFillTint="66"/>
          </w:tcPr>
          <w:p w14:paraId="0DCA1A07" w14:textId="77777777" w:rsidR="00375AE8" w:rsidRPr="008B2872" w:rsidRDefault="00375AE8" w:rsidP="0049324B">
            <w:pPr>
              <w:jc w:val="center"/>
              <w:rPr>
                <w:sz w:val="16"/>
                <w:szCs w:val="16"/>
              </w:rPr>
            </w:pPr>
          </w:p>
        </w:tc>
        <w:tc>
          <w:tcPr>
            <w:tcW w:w="587" w:type="dxa"/>
          </w:tcPr>
          <w:p w14:paraId="1D55456D" w14:textId="77777777" w:rsidR="00375AE8" w:rsidRPr="008B2872" w:rsidRDefault="00375AE8" w:rsidP="0049324B">
            <w:pPr>
              <w:jc w:val="center"/>
              <w:rPr>
                <w:sz w:val="16"/>
                <w:szCs w:val="16"/>
              </w:rPr>
            </w:pPr>
          </w:p>
        </w:tc>
        <w:tc>
          <w:tcPr>
            <w:tcW w:w="690" w:type="dxa"/>
          </w:tcPr>
          <w:p w14:paraId="6B5539FE" w14:textId="77777777" w:rsidR="00375AE8" w:rsidRPr="008B2872" w:rsidRDefault="00375AE8" w:rsidP="0049324B">
            <w:pPr>
              <w:jc w:val="center"/>
              <w:rPr>
                <w:sz w:val="16"/>
                <w:szCs w:val="16"/>
              </w:rPr>
            </w:pPr>
          </w:p>
        </w:tc>
        <w:tc>
          <w:tcPr>
            <w:tcW w:w="540" w:type="dxa"/>
          </w:tcPr>
          <w:p w14:paraId="3F9EA57B" w14:textId="77777777" w:rsidR="00375AE8" w:rsidRPr="008B2872" w:rsidRDefault="00375AE8" w:rsidP="0049324B">
            <w:pPr>
              <w:jc w:val="center"/>
              <w:rPr>
                <w:sz w:val="16"/>
                <w:szCs w:val="16"/>
              </w:rPr>
            </w:pPr>
          </w:p>
        </w:tc>
        <w:tc>
          <w:tcPr>
            <w:tcW w:w="690" w:type="dxa"/>
          </w:tcPr>
          <w:p w14:paraId="443F4237" w14:textId="77777777" w:rsidR="00375AE8" w:rsidRPr="008B2872" w:rsidRDefault="00375AE8" w:rsidP="0049324B">
            <w:pPr>
              <w:jc w:val="center"/>
              <w:rPr>
                <w:sz w:val="16"/>
                <w:szCs w:val="16"/>
              </w:rPr>
            </w:pPr>
          </w:p>
        </w:tc>
        <w:tc>
          <w:tcPr>
            <w:tcW w:w="534" w:type="dxa"/>
          </w:tcPr>
          <w:p w14:paraId="49DC0C59" w14:textId="77777777" w:rsidR="00375AE8" w:rsidRPr="008B2872" w:rsidRDefault="00375AE8" w:rsidP="0049324B">
            <w:pPr>
              <w:jc w:val="center"/>
              <w:rPr>
                <w:sz w:val="16"/>
                <w:szCs w:val="16"/>
              </w:rPr>
            </w:pPr>
          </w:p>
        </w:tc>
        <w:tc>
          <w:tcPr>
            <w:tcW w:w="690" w:type="dxa"/>
          </w:tcPr>
          <w:p w14:paraId="19D2A068" w14:textId="77777777" w:rsidR="00375AE8" w:rsidRPr="008B2872" w:rsidRDefault="00375AE8" w:rsidP="0049324B">
            <w:pPr>
              <w:jc w:val="center"/>
              <w:rPr>
                <w:sz w:val="16"/>
                <w:szCs w:val="16"/>
              </w:rPr>
            </w:pPr>
          </w:p>
        </w:tc>
        <w:tc>
          <w:tcPr>
            <w:tcW w:w="516" w:type="dxa"/>
          </w:tcPr>
          <w:p w14:paraId="406062BD" w14:textId="77777777" w:rsidR="00375AE8" w:rsidRPr="008B2872" w:rsidRDefault="00375AE8" w:rsidP="0049324B">
            <w:pPr>
              <w:jc w:val="center"/>
              <w:rPr>
                <w:sz w:val="16"/>
                <w:szCs w:val="16"/>
              </w:rPr>
            </w:pPr>
          </w:p>
        </w:tc>
        <w:tc>
          <w:tcPr>
            <w:tcW w:w="690" w:type="dxa"/>
          </w:tcPr>
          <w:p w14:paraId="4CB8C5E6" w14:textId="77777777" w:rsidR="00375AE8" w:rsidRPr="008B2872" w:rsidRDefault="00375AE8" w:rsidP="0049324B">
            <w:pPr>
              <w:jc w:val="center"/>
              <w:rPr>
                <w:sz w:val="16"/>
                <w:szCs w:val="16"/>
              </w:rPr>
            </w:pPr>
          </w:p>
        </w:tc>
        <w:tc>
          <w:tcPr>
            <w:tcW w:w="513" w:type="dxa"/>
          </w:tcPr>
          <w:p w14:paraId="678CEF34" w14:textId="77777777" w:rsidR="00375AE8" w:rsidRPr="008B2872" w:rsidRDefault="00375AE8" w:rsidP="0049324B">
            <w:pPr>
              <w:jc w:val="center"/>
              <w:rPr>
                <w:sz w:val="16"/>
                <w:szCs w:val="16"/>
              </w:rPr>
            </w:pPr>
          </w:p>
        </w:tc>
        <w:tc>
          <w:tcPr>
            <w:tcW w:w="690" w:type="dxa"/>
          </w:tcPr>
          <w:p w14:paraId="24C19840" w14:textId="77777777" w:rsidR="00375AE8" w:rsidRPr="008B2872" w:rsidRDefault="00375AE8" w:rsidP="0049324B">
            <w:pPr>
              <w:jc w:val="center"/>
              <w:rPr>
                <w:sz w:val="16"/>
                <w:szCs w:val="16"/>
              </w:rPr>
            </w:pPr>
          </w:p>
        </w:tc>
      </w:tr>
      <w:tr w:rsidR="00375AE8" w14:paraId="5005B674" w14:textId="77777777" w:rsidTr="00F10784">
        <w:tc>
          <w:tcPr>
            <w:tcW w:w="1441" w:type="dxa"/>
            <w:vMerge/>
          </w:tcPr>
          <w:p w14:paraId="7605223E" w14:textId="77777777" w:rsidR="00375AE8" w:rsidRPr="008B2872" w:rsidRDefault="00375AE8" w:rsidP="0049324B">
            <w:pPr>
              <w:jc w:val="center"/>
              <w:rPr>
                <w:sz w:val="16"/>
                <w:szCs w:val="16"/>
              </w:rPr>
            </w:pPr>
          </w:p>
        </w:tc>
        <w:tc>
          <w:tcPr>
            <w:tcW w:w="1367" w:type="dxa"/>
            <w:vMerge/>
          </w:tcPr>
          <w:p w14:paraId="3DFFA241" w14:textId="77777777" w:rsidR="00375AE8" w:rsidRPr="008B2872" w:rsidRDefault="00375AE8" w:rsidP="0049324B">
            <w:pPr>
              <w:jc w:val="center"/>
              <w:rPr>
                <w:sz w:val="16"/>
                <w:szCs w:val="16"/>
              </w:rPr>
            </w:pPr>
          </w:p>
        </w:tc>
        <w:tc>
          <w:tcPr>
            <w:tcW w:w="2414" w:type="dxa"/>
          </w:tcPr>
          <w:p w14:paraId="130069AA" w14:textId="2F265704" w:rsidR="00375AE8" w:rsidRPr="008B2872" w:rsidRDefault="00375AE8" w:rsidP="0049324B">
            <w:pPr>
              <w:jc w:val="center"/>
              <w:rPr>
                <w:sz w:val="16"/>
                <w:szCs w:val="16"/>
              </w:rPr>
            </w:pPr>
            <w:r>
              <w:rPr>
                <w:sz w:val="16"/>
                <w:szCs w:val="16"/>
              </w:rPr>
              <w:t>Participatory visioning</w:t>
            </w:r>
          </w:p>
        </w:tc>
        <w:tc>
          <w:tcPr>
            <w:tcW w:w="1309" w:type="dxa"/>
          </w:tcPr>
          <w:p w14:paraId="11E24E44" w14:textId="41E230C5" w:rsidR="00375AE8" w:rsidRPr="008B2872" w:rsidRDefault="00375AE8" w:rsidP="0049324B">
            <w:pPr>
              <w:jc w:val="center"/>
              <w:rPr>
                <w:sz w:val="16"/>
                <w:szCs w:val="16"/>
              </w:rPr>
            </w:pPr>
            <w:r>
              <w:rPr>
                <w:sz w:val="16"/>
                <w:szCs w:val="16"/>
              </w:rPr>
              <w:t>MNRET</w:t>
            </w:r>
          </w:p>
        </w:tc>
        <w:tc>
          <w:tcPr>
            <w:tcW w:w="610" w:type="dxa"/>
          </w:tcPr>
          <w:p w14:paraId="31E14053" w14:textId="77777777" w:rsidR="00375AE8" w:rsidRPr="008B2872" w:rsidRDefault="00375AE8" w:rsidP="0049324B">
            <w:pPr>
              <w:jc w:val="center"/>
              <w:rPr>
                <w:sz w:val="16"/>
                <w:szCs w:val="16"/>
              </w:rPr>
            </w:pPr>
          </w:p>
        </w:tc>
        <w:tc>
          <w:tcPr>
            <w:tcW w:w="645" w:type="dxa"/>
          </w:tcPr>
          <w:p w14:paraId="296D7DC8" w14:textId="77777777" w:rsidR="00375AE8" w:rsidRPr="008B2872" w:rsidRDefault="00375AE8" w:rsidP="0049324B">
            <w:pPr>
              <w:jc w:val="center"/>
              <w:rPr>
                <w:sz w:val="16"/>
                <w:szCs w:val="16"/>
              </w:rPr>
            </w:pPr>
          </w:p>
        </w:tc>
        <w:tc>
          <w:tcPr>
            <w:tcW w:w="690" w:type="dxa"/>
            <w:shd w:val="clear" w:color="auto" w:fill="FBD4B4" w:themeFill="accent6" w:themeFillTint="66"/>
          </w:tcPr>
          <w:p w14:paraId="687F1C06" w14:textId="77777777" w:rsidR="00375AE8" w:rsidRPr="008B2872" w:rsidRDefault="00375AE8" w:rsidP="0049324B">
            <w:pPr>
              <w:jc w:val="center"/>
              <w:rPr>
                <w:sz w:val="16"/>
                <w:szCs w:val="16"/>
              </w:rPr>
            </w:pPr>
          </w:p>
        </w:tc>
        <w:tc>
          <w:tcPr>
            <w:tcW w:w="587" w:type="dxa"/>
            <w:shd w:val="clear" w:color="auto" w:fill="FBD4B4" w:themeFill="accent6" w:themeFillTint="66"/>
          </w:tcPr>
          <w:p w14:paraId="6F62FF1F" w14:textId="77777777" w:rsidR="00375AE8" w:rsidRPr="008B2872" w:rsidRDefault="00375AE8" w:rsidP="0049324B">
            <w:pPr>
              <w:jc w:val="center"/>
              <w:rPr>
                <w:sz w:val="16"/>
                <w:szCs w:val="16"/>
              </w:rPr>
            </w:pPr>
          </w:p>
        </w:tc>
        <w:tc>
          <w:tcPr>
            <w:tcW w:w="690" w:type="dxa"/>
          </w:tcPr>
          <w:p w14:paraId="43E24C83" w14:textId="77777777" w:rsidR="00375AE8" w:rsidRPr="008B2872" w:rsidRDefault="00375AE8" w:rsidP="0049324B">
            <w:pPr>
              <w:jc w:val="center"/>
              <w:rPr>
                <w:sz w:val="16"/>
                <w:szCs w:val="16"/>
              </w:rPr>
            </w:pPr>
          </w:p>
        </w:tc>
        <w:tc>
          <w:tcPr>
            <w:tcW w:w="540" w:type="dxa"/>
          </w:tcPr>
          <w:p w14:paraId="5B9E07FE" w14:textId="77777777" w:rsidR="00375AE8" w:rsidRPr="008B2872" w:rsidRDefault="00375AE8" w:rsidP="0049324B">
            <w:pPr>
              <w:jc w:val="center"/>
              <w:rPr>
                <w:sz w:val="16"/>
                <w:szCs w:val="16"/>
              </w:rPr>
            </w:pPr>
          </w:p>
        </w:tc>
        <w:tc>
          <w:tcPr>
            <w:tcW w:w="690" w:type="dxa"/>
          </w:tcPr>
          <w:p w14:paraId="58A58346" w14:textId="77777777" w:rsidR="00375AE8" w:rsidRPr="008B2872" w:rsidRDefault="00375AE8" w:rsidP="0049324B">
            <w:pPr>
              <w:jc w:val="center"/>
              <w:rPr>
                <w:sz w:val="16"/>
                <w:szCs w:val="16"/>
              </w:rPr>
            </w:pPr>
          </w:p>
        </w:tc>
        <w:tc>
          <w:tcPr>
            <w:tcW w:w="534" w:type="dxa"/>
          </w:tcPr>
          <w:p w14:paraId="60A9F2C3" w14:textId="77777777" w:rsidR="00375AE8" w:rsidRPr="008B2872" w:rsidRDefault="00375AE8" w:rsidP="0049324B">
            <w:pPr>
              <w:jc w:val="center"/>
              <w:rPr>
                <w:sz w:val="16"/>
                <w:szCs w:val="16"/>
              </w:rPr>
            </w:pPr>
          </w:p>
        </w:tc>
        <w:tc>
          <w:tcPr>
            <w:tcW w:w="690" w:type="dxa"/>
          </w:tcPr>
          <w:p w14:paraId="72D316FA" w14:textId="77777777" w:rsidR="00375AE8" w:rsidRPr="008B2872" w:rsidRDefault="00375AE8" w:rsidP="0049324B">
            <w:pPr>
              <w:jc w:val="center"/>
              <w:rPr>
                <w:sz w:val="16"/>
                <w:szCs w:val="16"/>
              </w:rPr>
            </w:pPr>
          </w:p>
        </w:tc>
        <w:tc>
          <w:tcPr>
            <w:tcW w:w="516" w:type="dxa"/>
          </w:tcPr>
          <w:p w14:paraId="2725637E" w14:textId="77777777" w:rsidR="00375AE8" w:rsidRPr="008B2872" w:rsidRDefault="00375AE8" w:rsidP="0049324B">
            <w:pPr>
              <w:jc w:val="center"/>
              <w:rPr>
                <w:sz w:val="16"/>
                <w:szCs w:val="16"/>
              </w:rPr>
            </w:pPr>
          </w:p>
        </w:tc>
        <w:tc>
          <w:tcPr>
            <w:tcW w:w="690" w:type="dxa"/>
          </w:tcPr>
          <w:p w14:paraId="60669730" w14:textId="77777777" w:rsidR="00375AE8" w:rsidRPr="008B2872" w:rsidRDefault="00375AE8" w:rsidP="0049324B">
            <w:pPr>
              <w:jc w:val="center"/>
              <w:rPr>
                <w:sz w:val="16"/>
                <w:szCs w:val="16"/>
              </w:rPr>
            </w:pPr>
          </w:p>
        </w:tc>
        <w:tc>
          <w:tcPr>
            <w:tcW w:w="513" w:type="dxa"/>
          </w:tcPr>
          <w:p w14:paraId="5AC2F20A" w14:textId="77777777" w:rsidR="00375AE8" w:rsidRPr="008B2872" w:rsidRDefault="00375AE8" w:rsidP="0049324B">
            <w:pPr>
              <w:jc w:val="center"/>
              <w:rPr>
                <w:sz w:val="16"/>
                <w:szCs w:val="16"/>
              </w:rPr>
            </w:pPr>
          </w:p>
        </w:tc>
        <w:tc>
          <w:tcPr>
            <w:tcW w:w="690" w:type="dxa"/>
          </w:tcPr>
          <w:p w14:paraId="03CC4F2A" w14:textId="77777777" w:rsidR="00375AE8" w:rsidRPr="008B2872" w:rsidRDefault="00375AE8" w:rsidP="0049324B">
            <w:pPr>
              <w:jc w:val="center"/>
              <w:rPr>
                <w:sz w:val="16"/>
                <w:szCs w:val="16"/>
              </w:rPr>
            </w:pPr>
          </w:p>
        </w:tc>
      </w:tr>
      <w:tr w:rsidR="00375AE8" w14:paraId="6BE66875" w14:textId="77777777" w:rsidTr="00F10784">
        <w:tc>
          <w:tcPr>
            <w:tcW w:w="1441" w:type="dxa"/>
            <w:vMerge/>
          </w:tcPr>
          <w:p w14:paraId="063562D3" w14:textId="77777777" w:rsidR="00375AE8" w:rsidRPr="008B2872" w:rsidRDefault="00375AE8" w:rsidP="0049324B">
            <w:pPr>
              <w:jc w:val="center"/>
              <w:rPr>
                <w:sz w:val="16"/>
                <w:szCs w:val="16"/>
              </w:rPr>
            </w:pPr>
          </w:p>
        </w:tc>
        <w:tc>
          <w:tcPr>
            <w:tcW w:w="1367" w:type="dxa"/>
            <w:vMerge/>
          </w:tcPr>
          <w:p w14:paraId="491CF498" w14:textId="77777777" w:rsidR="00375AE8" w:rsidRPr="008B2872" w:rsidRDefault="00375AE8" w:rsidP="0049324B">
            <w:pPr>
              <w:jc w:val="center"/>
              <w:rPr>
                <w:sz w:val="16"/>
                <w:szCs w:val="16"/>
              </w:rPr>
            </w:pPr>
          </w:p>
        </w:tc>
        <w:tc>
          <w:tcPr>
            <w:tcW w:w="2414" w:type="dxa"/>
          </w:tcPr>
          <w:p w14:paraId="76E0510B" w14:textId="2A559B52" w:rsidR="00375AE8" w:rsidRPr="008B2872" w:rsidRDefault="00375AE8" w:rsidP="007079F0">
            <w:pPr>
              <w:jc w:val="center"/>
              <w:rPr>
                <w:sz w:val="16"/>
                <w:szCs w:val="16"/>
              </w:rPr>
            </w:pPr>
            <w:r>
              <w:rPr>
                <w:sz w:val="16"/>
                <w:szCs w:val="16"/>
              </w:rPr>
              <w:t>Cooperative drafting and finalization of ILSM strategy</w:t>
            </w:r>
          </w:p>
        </w:tc>
        <w:tc>
          <w:tcPr>
            <w:tcW w:w="1309" w:type="dxa"/>
          </w:tcPr>
          <w:p w14:paraId="16920D6F" w14:textId="1D75D268" w:rsidR="00375AE8" w:rsidRPr="008B2872" w:rsidRDefault="00375AE8" w:rsidP="0049324B">
            <w:pPr>
              <w:jc w:val="center"/>
              <w:rPr>
                <w:sz w:val="16"/>
                <w:szCs w:val="16"/>
              </w:rPr>
            </w:pPr>
            <w:r>
              <w:rPr>
                <w:sz w:val="16"/>
                <w:szCs w:val="16"/>
              </w:rPr>
              <w:t>MNRET</w:t>
            </w:r>
          </w:p>
        </w:tc>
        <w:tc>
          <w:tcPr>
            <w:tcW w:w="610" w:type="dxa"/>
          </w:tcPr>
          <w:p w14:paraId="7C1A074E" w14:textId="77777777" w:rsidR="00375AE8" w:rsidRPr="008B2872" w:rsidRDefault="00375AE8" w:rsidP="0049324B">
            <w:pPr>
              <w:jc w:val="center"/>
              <w:rPr>
                <w:sz w:val="16"/>
                <w:szCs w:val="16"/>
              </w:rPr>
            </w:pPr>
          </w:p>
        </w:tc>
        <w:tc>
          <w:tcPr>
            <w:tcW w:w="645" w:type="dxa"/>
          </w:tcPr>
          <w:p w14:paraId="0D972D15" w14:textId="77777777" w:rsidR="00375AE8" w:rsidRPr="008B2872" w:rsidRDefault="00375AE8" w:rsidP="0049324B">
            <w:pPr>
              <w:jc w:val="center"/>
              <w:rPr>
                <w:sz w:val="16"/>
                <w:szCs w:val="16"/>
              </w:rPr>
            </w:pPr>
          </w:p>
        </w:tc>
        <w:tc>
          <w:tcPr>
            <w:tcW w:w="690" w:type="dxa"/>
          </w:tcPr>
          <w:p w14:paraId="7BA927E9" w14:textId="77777777" w:rsidR="00375AE8" w:rsidRPr="008B2872" w:rsidRDefault="00375AE8" w:rsidP="0049324B">
            <w:pPr>
              <w:jc w:val="center"/>
              <w:rPr>
                <w:sz w:val="16"/>
                <w:szCs w:val="16"/>
              </w:rPr>
            </w:pPr>
          </w:p>
        </w:tc>
        <w:tc>
          <w:tcPr>
            <w:tcW w:w="587" w:type="dxa"/>
            <w:shd w:val="clear" w:color="auto" w:fill="FBD4B4" w:themeFill="accent6" w:themeFillTint="66"/>
          </w:tcPr>
          <w:p w14:paraId="236D1912" w14:textId="77777777" w:rsidR="00375AE8" w:rsidRPr="008B2872" w:rsidRDefault="00375AE8" w:rsidP="0049324B">
            <w:pPr>
              <w:jc w:val="center"/>
              <w:rPr>
                <w:sz w:val="16"/>
                <w:szCs w:val="16"/>
              </w:rPr>
            </w:pPr>
          </w:p>
        </w:tc>
        <w:tc>
          <w:tcPr>
            <w:tcW w:w="690" w:type="dxa"/>
            <w:shd w:val="clear" w:color="auto" w:fill="FBD4B4" w:themeFill="accent6" w:themeFillTint="66"/>
          </w:tcPr>
          <w:p w14:paraId="2B679218" w14:textId="77777777" w:rsidR="00375AE8" w:rsidRPr="008B2872" w:rsidRDefault="00375AE8" w:rsidP="0049324B">
            <w:pPr>
              <w:jc w:val="center"/>
              <w:rPr>
                <w:sz w:val="16"/>
                <w:szCs w:val="16"/>
              </w:rPr>
            </w:pPr>
          </w:p>
        </w:tc>
        <w:tc>
          <w:tcPr>
            <w:tcW w:w="540" w:type="dxa"/>
            <w:shd w:val="clear" w:color="auto" w:fill="FBD4B4" w:themeFill="accent6" w:themeFillTint="66"/>
          </w:tcPr>
          <w:p w14:paraId="3F5C724B" w14:textId="77777777" w:rsidR="00375AE8" w:rsidRPr="008B2872" w:rsidRDefault="00375AE8" w:rsidP="0049324B">
            <w:pPr>
              <w:jc w:val="center"/>
              <w:rPr>
                <w:sz w:val="16"/>
                <w:szCs w:val="16"/>
              </w:rPr>
            </w:pPr>
          </w:p>
        </w:tc>
        <w:tc>
          <w:tcPr>
            <w:tcW w:w="690" w:type="dxa"/>
          </w:tcPr>
          <w:p w14:paraId="58997D56" w14:textId="77777777" w:rsidR="00375AE8" w:rsidRPr="008B2872" w:rsidRDefault="00375AE8" w:rsidP="0049324B">
            <w:pPr>
              <w:jc w:val="center"/>
              <w:rPr>
                <w:sz w:val="16"/>
                <w:szCs w:val="16"/>
              </w:rPr>
            </w:pPr>
          </w:p>
        </w:tc>
        <w:tc>
          <w:tcPr>
            <w:tcW w:w="534" w:type="dxa"/>
          </w:tcPr>
          <w:p w14:paraId="136A4122" w14:textId="77777777" w:rsidR="00375AE8" w:rsidRPr="008B2872" w:rsidRDefault="00375AE8" w:rsidP="0049324B">
            <w:pPr>
              <w:jc w:val="center"/>
              <w:rPr>
                <w:sz w:val="16"/>
                <w:szCs w:val="16"/>
              </w:rPr>
            </w:pPr>
          </w:p>
        </w:tc>
        <w:tc>
          <w:tcPr>
            <w:tcW w:w="690" w:type="dxa"/>
          </w:tcPr>
          <w:p w14:paraId="6E51769D" w14:textId="77777777" w:rsidR="00375AE8" w:rsidRPr="008B2872" w:rsidRDefault="00375AE8" w:rsidP="0049324B">
            <w:pPr>
              <w:jc w:val="center"/>
              <w:rPr>
                <w:sz w:val="16"/>
                <w:szCs w:val="16"/>
              </w:rPr>
            </w:pPr>
          </w:p>
        </w:tc>
        <w:tc>
          <w:tcPr>
            <w:tcW w:w="516" w:type="dxa"/>
          </w:tcPr>
          <w:p w14:paraId="464046E4" w14:textId="77777777" w:rsidR="00375AE8" w:rsidRPr="008B2872" w:rsidRDefault="00375AE8" w:rsidP="0049324B">
            <w:pPr>
              <w:jc w:val="center"/>
              <w:rPr>
                <w:sz w:val="16"/>
                <w:szCs w:val="16"/>
              </w:rPr>
            </w:pPr>
          </w:p>
        </w:tc>
        <w:tc>
          <w:tcPr>
            <w:tcW w:w="690" w:type="dxa"/>
          </w:tcPr>
          <w:p w14:paraId="2AEC7B5C" w14:textId="77777777" w:rsidR="00375AE8" w:rsidRPr="008B2872" w:rsidRDefault="00375AE8" w:rsidP="0049324B">
            <w:pPr>
              <w:jc w:val="center"/>
              <w:rPr>
                <w:sz w:val="16"/>
                <w:szCs w:val="16"/>
              </w:rPr>
            </w:pPr>
          </w:p>
        </w:tc>
        <w:tc>
          <w:tcPr>
            <w:tcW w:w="513" w:type="dxa"/>
          </w:tcPr>
          <w:p w14:paraId="4D454CCA" w14:textId="77777777" w:rsidR="00375AE8" w:rsidRPr="008B2872" w:rsidRDefault="00375AE8" w:rsidP="0049324B">
            <w:pPr>
              <w:jc w:val="center"/>
              <w:rPr>
                <w:sz w:val="16"/>
                <w:szCs w:val="16"/>
              </w:rPr>
            </w:pPr>
          </w:p>
        </w:tc>
        <w:tc>
          <w:tcPr>
            <w:tcW w:w="690" w:type="dxa"/>
          </w:tcPr>
          <w:p w14:paraId="769FCF73" w14:textId="77777777" w:rsidR="00375AE8" w:rsidRPr="008B2872" w:rsidRDefault="00375AE8" w:rsidP="0049324B">
            <w:pPr>
              <w:jc w:val="center"/>
              <w:rPr>
                <w:sz w:val="16"/>
                <w:szCs w:val="16"/>
              </w:rPr>
            </w:pPr>
          </w:p>
        </w:tc>
      </w:tr>
      <w:tr w:rsidR="00375AE8" w14:paraId="7AF412FE" w14:textId="77777777" w:rsidTr="00F10784">
        <w:tc>
          <w:tcPr>
            <w:tcW w:w="1441" w:type="dxa"/>
            <w:vMerge/>
          </w:tcPr>
          <w:p w14:paraId="0142501C" w14:textId="77777777" w:rsidR="00375AE8" w:rsidRPr="008B2872" w:rsidRDefault="00375AE8" w:rsidP="0049324B">
            <w:pPr>
              <w:jc w:val="center"/>
              <w:rPr>
                <w:sz w:val="16"/>
                <w:szCs w:val="16"/>
              </w:rPr>
            </w:pPr>
          </w:p>
        </w:tc>
        <w:tc>
          <w:tcPr>
            <w:tcW w:w="1367" w:type="dxa"/>
            <w:vMerge/>
          </w:tcPr>
          <w:p w14:paraId="68080288" w14:textId="77777777" w:rsidR="00375AE8" w:rsidRPr="008B2872" w:rsidRDefault="00375AE8" w:rsidP="0049324B">
            <w:pPr>
              <w:jc w:val="center"/>
              <w:rPr>
                <w:sz w:val="16"/>
                <w:szCs w:val="16"/>
              </w:rPr>
            </w:pPr>
          </w:p>
        </w:tc>
        <w:tc>
          <w:tcPr>
            <w:tcW w:w="2414" w:type="dxa"/>
          </w:tcPr>
          <w:p w14:paraId="16561CBD" w14:textId="239AD190" w:rsidR="00375AE8" w:rsidRPr="008B2872" w:rsidRDefault="00375AE8" w:rsidP="0049324B">
            <w:pPr>
              <w:jc w:val="center"/>
              <w:rPr>
                <w:sz w:val="16"/>
                <w:szCs w:val="16"/>
              </w:rPr>
            </w:pPr>
            <w:r>
              <w:rPr>
                <w:sz w:val="16"/>
                <w:szCs w:val="16"/>
              </w:rPr>
              <w:t>SEA process for ILSMF (impact assessment, alternatives), independent review to align with national biodiversity and biosecurity priorities</w:t>
            </w:r>
          </w:p>
        </w:tc>
        <w:tc>
          <w:tcPr>
            <w:tcW w:w="1309" w:type="dxa"/>
          </w:tcPr>
          <w:p w14:paraId="00992ADF" w14:textId="4C159548" w:rsidR="00375AE8" w:rsidRPr="008B2872" w:rsidRDefault="00375AE8" w:rsidP="0049324B">
            <w:pPr>
              <w:jc w:val="center"/>
              <w:rPr>
                <w:sz w:val="16"/>
                <w:szCs w:val="16"/>
              </w:rPr>
            </w:pPr>
            <w:r>
              <w:rPr>
                <w:sz w:val="16"/>
                <w:szCs w:val="16"/>
              </w:rPr>
              <w:t>EQPB</w:t>
            </w:r>
          </w:p>
        </w:tc>
        <w:tc>
          <w:tcPr>
            <w:tcW w:w="610" w:type="dxa"/>
          </w:tcPr>
          <w:p w14:paraId="0F0E66EF" w14:textId="77777777" w:rsidR="00375AE8" w:rsidRPr="008B2872" w:rsidRDefault="00375AE8" w:rsidP="0049324B">
            <w:pPr>
              <w:jc w:val="center"/>
              <w:rPr>
                <w:sz w:val="16"/>
                <w:szCs w:val="16"/>
              </w:rPr>
            </w:pPr>
          </w:p>
        </w:tc>
        <w:tc>
          <w:tcPr>
            <w:tcW w:w="645" w:type="dxa"/>
          </w:tcPr>
          <w:p w14:paraId="368FA1F6" w14:textId="77777777" w:rsidR="00375AE8" w:rsidRPr="008B2872" w:rsidRDefault="00375AE8" w:rsidP="0049324B">
            <w:pPr>
              <w:jc w:val="center"/>
              <w:rPr>
                <w:sz w:val="16"/>
                <w:szCs w:val="16"/>
              </w:rPr>
            </w:pPr>
          </w:p>
        </w:tc>
        <w:tc>
          <w:tcPr>
            <w:tcW w:w="690" w:type="dxa"/>
          </w:tcPr>
          <w:p w14:paraId="3F45361E" w14:textId="77777777" w:rsidR="00375AE8" w:rsidRPr="008B2872" w:rsidRDefault="00375AE8" w:rsidP="0049324B">
            <w:pPr>
              <w:jc w:val="center"/>
              <w:rPr>
                <w:sz w:val="16"/>
                <w:szCs w:val="16"/>
              </w:rPr>
            </w:pPr>
          </w:p>
        </w:tc>
        <w:tc>
          <w:tcPr>
            <w:tcW w:w="587" w:type="dxa"/>
          </w:tcPr>
          <w:p w14:paraId="5D39F3AA" w14:textId="77777777" w:rsidR="00375AE8" w:rsidRPr="008B2872" w:rsidRDefault="00375AE8" w:rsidP="0049324B">
            <w:pPr>
              <w:jc w:val="center"/>
              <w:rPr>
                <w:sz w:val="16"/>
                <w:szCs w:val="16"/>
              </w:rPr>
            </w:pPr>
          </w:p>
        </w:tc>
        <w:tc>
          <w:tcPr>
            <w:tcW w:w="690" w:type="dxa"/>
            <w:shd w:val="clear" w:color="auto" w:fill="FBD4B4" w:themeFill="accent6" w:themeFillTint="66"/>
          </w:tcPr>
          <w:p w14:paraId="1345A7A3" w14:textId="77777777" w:rsidR="00375AE8" w:rsidRPr="008B2872" w:rsidRDefault="00375AE8" w:rsidP="0049324B">
            <w:pPr>
              <w:jc w:val="center"/>
              <w:rPr>
                <w:sz w:val="16"/>
                <w:szCs w:val="16"/>
              </w:rPr>
            </w:pPr>
          </w:p>
        </w:tc>
        <w:tc>
          <w:tcPr>
            <w:tcW w:w="540" w:type="dxa"/>
            <w:shd w:val="clear" w:color="auto" w:fill="FBD4B4" w:themeFill="accent6" w:themeFillTint="66"/>
          </w:tcPr>
          <w:p w14:paraId="723CDAC0" w14:textId="77777777" w:rsidR="00375AE8" w:rsidRPr="008B2872" w:rsidRDefault="00375AE8" w:rsidP="0049324B">
            <w:pPr>
              <w:jc w:val="center"/>
              <w:rPr>
                <w:sz w:val="16"/>
                <w:szCs w:val="16"/>
              </w:rPr>
            </w:pPr>
          </w:p>
        </w:tc>
        <w:tc>
          <w:tcPr>
            <w:tcW w:w="690" w:type="dxa"/>
          </w:tcPr>
          <w:p w14:paraId="23A0DCFB" w14:textId="77777777" w:rsidR="00375AE8" w:rsidRPr="008B2872" w:rsidRDefault="00375AE8" w:rsidP="0049324B">
            <w:pPr>
              <w:jc w:val="center"/>
              <w:rPr>
                <w:sz w:val="16"/>
                <w:szCs w:val="16"/>
              </w:rPr>
            </w:pPr>
          </w:p>
        </w:tc>
        <w:tc>
          <w:tcPr>
            <w:tcW w:w="534" w:type="dxa"/>
          </w:tcPr>
          <w:p w14:paraId="6D4A4BF1" w14:textId="77777777" w:rsidR="00375AE8" w:rsidRPr="008B2872" w:rsidRDefault="00375AE8" w:rsidP="0049324B">
            <w:pPr>
              <w:jc w:val="center"/>
              <w:rPr>
                <w:sz w:val="16"/>
                <w:szCs w:val="16"/>
              </w:rPr>
            </w:pPr>
          </w:p>
        </w:tc>
        <w:tc>
          <w:tcPr>
            <w:tcW w:w="690" w:type="dxa"/>
          </w:tcPr>
          <w:p w14:paraId="565056AF" w14:textId="77777777" w:rsidR="00375AE8" w:rsidRPr="008B2872" w:rsidRDefault="00375AE8" w:rsidP="0049324B">
            <w:pPr>
              <w:jc w:val="center"/>
              <w:rPr>
                <w:sz w:val="16"/>
                <w:szCs w:val="16"/>
              </w:rPr>
            </w:pPr>
          </w:p>
        </w:tc>
        <w:tc>
          <w:tcPr>
            <w:tcW w:w="516" w:type="dxa"/>
          </w:tcPr>
          <w:p w14:paraId="631A5469" w14:textId="77777777" w:rsidR="00375AE8" w:rsidRPr="008B2872" w:rsidRDefault="00375AE8" w:rsidP="0049324B">
            <w:pPr>
              <w:jc w:val="center"/>
              <w:rPr>
                <w:sz w:val="16"/>
                <w:szCs w:val="16"/>
              </w:rPr>
            </w:pPr>
          </w:p>
        </w:tc>
        <w:tc>
          <w:tcPr>
            <w:tcW w:w="690" w:type="dxa"/>
          </w:tcPr>
          <w:p w14:paraId="04251C03" w14:textId="77777777" w:rsidR="00375AE8" w:rsidRPr="008B2872" w:rsidRDefault="00375AE8" w:rsidP="0049324B">
            <w:pPr>
              <w:jc w:val="center"/>
              <w:rPr>
                <w:sz w:val="16"/>
                <w:szCs w:val="16"/>
              </w:rPr>
            </w:pPr>
          </w:p>
        </w:tc>
        <w:tc>
          <w:tcPr>
            <w:tcW w:w="513" w:type="dxa"/>
          </w:tcPr>
          <w:p w14:paraId="1EB046BB" w14:textId="77777777" w:rsidR="00375AE8" w:rsidRPr="008B2872" w:rsidRDefault="00375AE8" w:rsidP="0049324B">
            <w:pPr>
              <w:jc w:val="center"/>
              <w:rPr>
                <w:sz w:val="16"/>
                <w:szCs w:val="16"/>
              </w:rPr>
            </w:pPr>
          </w:p>
        </w:tc>
        <w:tc>
          <w:tcPr>
            <w:tcW w:w="690" w:type="dxa"/>
          </w:tcPr>
          <w:p w14:paraId="6B962AC7" w14:textId="77777777" w:rsidR="00375AE8" w:rsidRPr="008B2872" w:rsidRDefault="00375AE8" w:rsidP="0049324B">
            <w:pPr>
              <w:jc w:val="center"/>
              <w:rPr>
                <w:sz w:val="16"/>
                <w:szCs w:val="16"/>
              </w:rPr>
            </w:pPr>
          </w:p>
        </w:tc>
      </w:tr>
      <w:tr w:rsidR="00375AE8" w14:paraId="5D76C114" w14:textId="77777777" w:rsidTr="00F10784">
        <w:tc>
          <w:tcPr>
            <w:tcW w:w="1441" w:type="dxa"/>
            <w:vMerge/>
          </w:tcPr>
          <w:p w14:paraId="0089A079" w14:textId="77777777" w:rsidR="00375AE8" w:rsidRPr="008B2872" w:rsidRDefault="00375AE8" w:rsidP="0049324B">
            <w:pPr>
              <w:jc w:val="center"/>
              <w:rPr>
                <w:sz w:val="16"/>
                <w:szCs w:val="16"/>
              </w:rPr>
            </w:pPr>
          </w:p>
        </w:tc>
        <w:tc>
          <w:tcPr>
            <w:tcW w:w="1367" w:type="dxa"/>
            <w:vMerge w:val="restart"/>
          </w:tcPr>
          <w:p w14:paraId="3ADE01B9" w14:textId="1B604A02" w:rsidR="00375AE8" w:rsidRPr="008B2872" w:rsidRDefault="00375AE8" w:rsidP="0049324B">
            <w:pPr>
              <w:jc w:val="center"/>
              <w:rPr>
                <w:sz w:val="16"/>
                <w:szCs w:val="16"/>
              </w:rPr>
            </w:pPr>
            <w:r>
              <w:rPr>
                <w:sz w:val="16"/>
                <w:szCs w:val="16"/>
              </w:rPr>
              <w:t>ILSMPs for individual states</w:t>
            </w:r>
          </w:p>
        </w:tc>
        <w:tc>
          <w:tcPr>
            <w:tcW w:w="2414" w:type="dxa"/>
          </w:tcPr>
          <w:p w14:paraId="71F4DFC9" w14:textId="0852D7A2" w:rsidR="00375AE8" w:rsidRPr="008B2872" w:rsidRDefault="00375AE8" w:rsidP="0049324B">
            <w:pPr>
              <w:jc w:val="center"/>
              <w:rPr>
                <w:sz w:val="16"/>
                <w:szCs w:val="16"/>
              </w:rPr>
            </w:pPr>
            <w:r>
              <w:rPr>
                <w:sz w:val="16"/>
                <w:szCs w:val="16"/>
              </w:rPr>
              <w:t>Set-up state planning teams</w:t>
            </w:r>
          </w:p>
        </w:tc>
        <w:tc>
          <w:tcPr>
            <w:tcW w:w="1309" w:type="dxa"/>
          </w:tcPr>
          <w:p w14:paraId="5A3A158F" w14:textId="730CB927" w:rsidR="00375AE8" w:rsidRPr="008B2872" w:rsidRDefault="00375AE8" w:rsidP="0049324B">
            <w:pPr>
              <w:jc w:val="center"/>
              <w:rPr>
                <w:sz w:val="16"/>
                <w:szCs w:val="16"/>
              </w:rPr>
            </w:pPr>
            <w:r>
              <w:rPr>
                <w:sz w:val="16"/>
                <w:szCs w:val="16"/>
              </w:rPr>
              <w:t>JCB</w:t>
            </w:r>
          </w:p>
        </w:tc>
        <w:tc>
          <w:tcPr>
            <w:tcW w:w="610" w:type="dxa"/>
          </w:tcPr>
          <w:p w14:paraId="0159EC64" w14:textId="77777777" w:rsidR="00375AE8" w:rsidRPr="008B2872" w:rsidRDefault="00375AE8" w:rsidP="0049324B">
            <w:pPr>
              <w:jc w:val="center"/>
              <w:rPr>
                <w:sz w:val="16"/>
                <w:szCs w:val="16"/>
              </w:rPr>
            </w:pPr>
          </w:p>
        </w:tc>
        <w:tc>
          <w:tcPr>
            <w:tcW w:w="645" w:type="dxa"/>
            <w:shd w:val="clear" w:color="auto" w:fill="FBD4B4" w:themeFill="accent6" w:themeFillTint="66"/>
          </w:tcPr>
          <w:p w14:paraId="71CE58D8" w14:textId="77777777" w:rsidR="00375AE8" w:rsidRPr="008B2872" w:rsidRDefault="00375AE8" w:rsidP="0049324B">
            <w:pPr>
              <w:jc w:val="center"/>
              <w:rPr>
                <w:sz w:val="16"/>
                <w:szCs w:val="16"/>
              </w:rPr>
            </w:pPr>
          </w:p>
        </w:tc>
        <w:tc>
          <w:tcPr>
            <w:tcW w:w="690" w:type="dxa"/>
            <w:shd w:val="clear" w:color="auto" w:fill="FBD4B4" w:themeFill="accent6" w:themeFillTint="66"/>
          </w:tcPr>
          <w:p w14:paraId="1433503B" w14:textId="77777777" w:rsidR="00375AE8" w:rsidRPr="008B2872" w:rsidRDefault="00375AE8" w:rsidP="0049324B">
            <w:pPr>
              <w:jc w:val="center"/>
              <w:rPr>
                <w:sz w:val="16"/>
                <w:szCs w:val="16"/>
              </w:rPr>
            </w:pPr>
          </w:p>
        </w:tc>
        <w:tc>
          <w:tcPr>
            <w:tcW w:w="587" w:type="dxa"/>
            <w:shd w:val="clear" w:color="auto" w:fill="FBD4B4" w:themeFill="accent6" w:themeFillTint="66"/>
          </w:tcPr>
          <w:p w14:paraId="0F99ACE5" w14:textId="77777777" w:rsidR="00375AE8" w:rsidRPr="008B2872" w:rsidRDefault="00375AE8" w:rsidP="0049324B">
            <w:pPr>
              <w:jc w:val="center"/>
              <w:rPr>
                <w:sz w:val="16"/>
                <w:szCs w:val="16"/>
              </w:rPr>
            </w:pPr>
          </w:p>
        </w:tc>
        <w:tc>
          <w:tcPr>
            <w:tcW w:w="690" w:type="dxa"/>
            <w:shd w:val="clear" w:color="auto" w:fill="FBD4B4" w:themeFill="accent6" w:themeFillTint="66"/>
          </w:tcPr>
          <w:p w14:paraId="158A8F48" w14:textId="77777777" w:rsidR="00375AE8" w:rsidRPr="008B2872" w:rsidRDefault="00375AE8" w:rsidP="0049324B">
            <w:pPr>
              <w:jc w:val="center"/>
              <w:rPr>
                <w:sz w:val="16"/>
                <w:szCs w:val="16"/>
              </w:rPr>
            </w:pPr>
          </w:p>
        </w:tc>
        <w:tc>
          <w:tcPr>
            <w:tcW w:w="540" w:type="dxa"/>
          </w:tcPr>
          <w:p w14:paraId="7FA77892" w14:textId="77777777" w:rsidR="00375AE8" w:rsidRPr="008B2872" w:rsidRDefault="00375AE8" w:rsidP="0049324B">
            <w:pPr>
              <w:jc w:val="center"/>
              <w:rPr>
                <w:sz w:val="16"/>
                <w:szCs w:val="16"/>
              </w:rPr>
            </w:pPr>
          </w:p>
        </w:tc>
        <w:tc>
          <w:tcPr>
            <w:tcW w:w="690" w:type="dxa"/>
          </w:tcPr>
          <w:p w14:paraId="56C97AD0" w14:textId="77777777" w:rsidR="00375AE8" w:rsidRPr="008B2872" w:rsidRDefault="00375AE8" w:rsidP="0049324B">
            <w:pPr>
              <w:jc w:val="center"/>
              <w:rPr>
                <w:sz w:val="16"/>
                <w:szCs w:val="16"/>
              </w:rPr>
            </w:pPr>
          </w:p>
        </w:tc>
        <w:tc>
          <w:tcPr>
            <w:tcW w:w="534" w:type="dxa"/>
          </w:tcPr>
          <w:p w14:paraId="0A796E7C" w14:textId="77777777" w:rsidR="00375AE8" w:rsidRPr="008B2872" w:rsidRDefault="00375AE8" w:rsidP="0049324B">
            <w:pPr>
              <w:jc w:val="center"/>
              <w:rPr>
                <w:sz w:val="16"/>
                <w:szCs w:val="16"/>
              </w:rPr>
            </w:pPr>
          </w:p>
        </w:tc>
        <w:tc>
          <w:tcPr>
            <w:tcW w:w="690" w:type="dxa"/>
          </w:tcPr>
          <w:p w14:paraId="6F903441" w14:textId="77777777" w:rsidR="00375AE8" w:rsidRPr="008B2872" w:rsidRDefault="00375AE8" w:rsidP="0049324B">
            <w:pPr>
              <w:jc w:val="center"/>
              <w:rPr>
                <w:sz w:val="16"/>
                <w:szCs w:val="16"/>
              </w:rPr>
            </w:pPr>
          </w:p>
        </w:tc>
        <w:tc>
          <w:tcPr>
            <w:tcW w:w="516" w:type="dxa"/>
          </w:tcPr>
          <w:p w14:paraId="0A319E13" w14:textId="77777777" w:rsidR="00375AE8" w:rsidRPr="008B2872" w:rsidRDefault="00375AE8" w:rsidP="0049324B">
            <w:pPr>
              <w:jc w:val="center"/>
              <w:rPr>
                <w:sz w:val="16"/>
                <w:szCs w:val="16"/>
              </w:rPr>
            </w:pPr>
          </w:p>
        </w:tc>
        <w:tc>
          <w:tcPr>
            <w:tcW w:w="690" w:type="dxa"/>
          </w:tcPr>
          <w:p w14:paraId="2C89E724" w14:textId="77777777" w:rsidR="00375AE8" w:rsidRPr="008B2872" w:rsidRDefault="00375AE8" w:rsidP="0049324B">
            <w:pPr>
              <w:jc w:val="center"/>
              <w:rPr>
                <w:sz w:val="16"/>
                <w:szCs w:val="16"/>
              </w:rPr>
            </w:pPr>
          </w:p>
        </w:tc>
        <w:tc>
          <w:tcPr>
            <w:tcW w:w="513" w:type="dxa"/>
          </w:tcPr>
          <w:p w14:paraId="4175184F" w14:textId="77777777" w:rsidR="00375AE8" w:rsidRPr="008B2872" w:rsidRDefault="00375AE8" w:rsidP="0049324B">
            <w:pPr>
              <w:jc w:val="center"/>
              <w:rPr>
                <w:sz w:val="16"/>
                <w:szCs w:val="16"/>
              </w:rPr>
            </w:pPr>
          </w:p>
        </w:tc>
        <w:tc>
          <w:tcPr>
            <w:tcW w:w="690" w:type="dxa"/>
          </w:tcPr>
          <w:p w14:paraId="44326C6F" w14:textId="77777777" w:rsidR="00375AE8" w:rsidRPr="008B2872" w:rsidRDefault="00375AE8" w:rsidP="0049324B">
            <w:pPr>
              <w:jc w:val="center"/>
              <w:rPr>
                <w:sz w:val="16"/>
                <w:szCs w:val="16"/>
              </w:rPr>
            </w:pPr>
          </w:p>
        </w:tc>
      </w:tr>
      <w:tr w:rsidR="00375AE8" w14:paraId="1519F3E5" w14:textId="77777777" w:rsidTr="00F10784">
        <w:tc>
          <w:tcPr>
            <w:tcW w:w="1441" w:type="dxa"/>
            <w:vMerge/>
          </w:tcPr>
          <w:p w14:paraId="2FDA058B" w14:textId="77777777" w:rsidR="00375AE8" w:rsidRPr="008B2872" w:rsidRDefault="00375AE8" w:rsidP="0049324B">
            <w:pPr>
              <w:jc w:val="center"/>
              <w:rPr>
                <w:sz w:val="16"/>
                <w:szCs w:val="16"/>
              </w:rPr>
            </w:pPr>
          </w:p>
        </w:tc>
        <w:tc>
          <w:tcPr>
            <w:tcW w:w="1367" w:type="dxa"/>
            <w:vMerge/>
          </w:tcPr>
          <w:p w14:paraId="5A1360D7" w14:textId="77777777" w:rsidR="00375AE8" w:rsidRPr="008B2872" w:rsidRDefault="00375AE8" w:rsidP="0049324B">
            <w:pPr>
              <w:jc w:val="center"/>
              <w:rPr>
                <w:sz w:val="16"/>
                <w:szCs w:val="16"/>
              </w:rPr>
            </w:pPr>
          </w:p>
        </w:tc>
        <w:tc>
          <w:tcPr>
            <w:tcW w:w="2414" w:type="dxa"/>
          </w:tcPr>
          <w:p w14:paraId="3476EC8D" w14:textId="6D271BFE" w:rsidR="00375AE8" w:rsidRPr="008B2872" w:rsidRDefault="00375AE8" w:rsidP="0049324B">
            <w:pPr>
              <w:jc w:val="center"/>
              <w:rPr>
                <w:sz w:val="16"/>
                <w:szCs w:val="16"/>
              </w:rPr>
            </w:pPr>
            <w:r>
              <w:rPr>
                <w:sz w:val="16"/>
                <w:szCs w:val="16"/>
              </w:rPr>
              <w:t>Facilitation support for States</w:t>
            </w:r>
          </w:p>
        </w:tc>
        <w:tc>
          <w:tcPr>
            <w:tcW w:w="1309" w:type="dxa"/>
          </w:tcPr>
          <w:p w14:paraId="515DABE6" w14:textId="4A2810BE" w:rsidR="00375AE8" w:rsidRPr="008B2872" w:rsidRDefault="00375AE8" w:rsidP="0049324B">
            <w:pPr>
              <w:jc w:val="center"/>
              <w:rPr>
                <w:sz w:val="16"/>
                <w:szCs w:val="16"/>
              </w:rPr>
            </w:pPr>
            <w:r>
              <w:rPr>
                <w:sz w:val="16"/>
                <w:szCs w:val="16"/>
              </w:rPr>
              <w:t>JCB</w:t>
            </w:r>
          </w:p>
        </w:tc>
        <w:tc>
          <w:tcPr>
            <w:tcW w:w="610" w:type="dxa"/>
          </w:tcPr>
          <w:p w14:paraId="119865C2" w14:textId="77777777" w:rsidR="00375AE8" w:rsidRPr="008B2872" w:rsidRDefault="00375AE8" w:rsidP="0049324B">
            <w:pPr>
              <w:jc w:val="center"/>
              <w:rPr>
                <w:sz w:val="16"/>
                <w:szCs w:val="16"/>
              </w:rPr>
            </w:pPr>
          </w:p>
        </w:tc>
        <w:tc>
          <w:tcPr>
            <w:tcW w:w="645" w:type="dxa"/>
          </w:tcPr>
          <w:p w14:paraId="1E8476BB" w14:textId="77777777" w:rsidR="00375AE8" w:rsidRPr="008B2872" w:rsidRDefault="00375AE8" w:rsidP="0049324B">
            <w:pPr>
              <w:jc w:val="center"/>
              <w:rPr>
                <w:sz w:val="16"/>
                <w:szCs w:val="16"/>
              </w:rPr>
            </w:pPr>
          </w:p>
        </w:tc>
        <w:tc>
          <w:tcPr>
            <w:tcW w:w="690" w:type="dxa"/>
          </w:tcPr>
          <w:p w14:paraId="5ACBA0B3" w14:textId="77777777" w:rsidR="00375AE8" w:rsidRPr="008B2872" w:rsidRDefault="00375AE8" w:rsidP="0049324B">
            <w:pPr>
              <w:jc w:val="center"/>
              <w:rPr>
                <w:sz w:val="16"/>
                <w:szCs w:val="16"/>
              </w:rPr>
            </w:pPr>
          </w:p>
        </w:tc>
        <w:tc>
          <w:tcPr>
            <w:tcW w:w="587" w:type="dxa"/>
            <w:shd w:val="clear" w:color="auto" w:fill="FBD4B4" w:themeFill="accent6" w:themeFillTint="66"/>
          </w:tcPr>
          <w:p w14:paraId="50E0D8C7" w14:textId="77777777" w:rsidR="00375AE8" w:rsidRPr="008B2872" w:rsidRDefault="00375AE8" w:rsidP="0049324B">
            <w:pPr>
              <w:jc w:val="center"/>
              <w:rPr>
                <w:sz w:val="16"/>
                <w:szCs w:val="16"/>
              </w:rPr>
            </w:pPr>
          </w:p>
        </w:tc>
        <w:tc>
          <w:tcPr>
            <w:tcW w:w="690" w:type="dxa"/>
            <w:shd w:val="clear" w:color="auto" w:fill="FBD4B4" w:themeFill="accent6" w:themeFillTint="66"/>
          </w:tcPr>
          <w:p w14:paraId="5CE93DC2" w14:textId="77777777" w:rsidR="00375AE8" w:rsidRPr="008B2872" w:rsidRDefault="00375AE8" w:rsidP="0049324B">
            <w:pPr>
              <w:jc w:val="center"/>
              <w:rPr>
                <w:sz w:val="16"/>
                <w:szCs w:val="16"/>
              </w:rPr>
            </w:pPr>
          </w:p>
        </w:tc>
        <w:tc>
          <w:tcPr>
            <w:tcW w:w="540" w:type="dxa"/>
            <w:shd w:val="clear" w:color="auto" w:fill="FBD4B4" w:themeFill="accent6" w:themeFillTint="66"/>
          </w:tcPr>
          <w:p w14:paraId="7AF311CA" w14:textId="77777777" w:rsidR="00375AE8" w:rsidRPr="008B2872" w:rsidRDefault="00375AE8" w:rsidP="0049324B">
            <w:pPr>
              <w:jc w:val="center"/>
              <w:rPr>
                <w:sz w:val="16"/>
                <w:szCs w:val="16"/>
              </w:rPr>
            </w:pPr>
          </w:p>
        </w:tc>
        <w:tc>
          <w:tcPr>
            <w:tcW w:w="690" w:type="dxa"/>
            <w:shd w:val="clear" w:color="auto" w:fill="FBD4B4" w:themeFill="accent6" w:themeFillTint="66"/>
          </w:tcPr>
          <w:p w14:paraId="59FE7C2D" w14:textId="77777777" w:rsidR="00375AE8" w:rsidRPr="008B2872" w:rsidRDefault="00375AE8" w:rsidP="0049324B">
            <w:pPr>
              <w:jc w:val="center"/>
              <w:rPr>
                <w:sz w:val="16"/>
                <w:szCs w:val="16"/>
              </w:rPr>
            </w:pPr>
          </w:p>
        </w:tc>
        <w:tc>
          <w:tcPr>
            <w:tcW w:w="534" w:type="dxa"/>
            <w:shd w:val="clear" w:color="auto" w:fill="FBD4B4" w:themeFill="accent6" w:themeFillTint="66"/>
          </w:tcPr>
          <w:p w14:paraId="12EEA5B0" w14:textId="77777777" w:rsidR="00375AE8" w:rsidRPr="008B2872" w:rsidRDefault="00375AE8" w:rsidP="0049324B">
            <w:pPr>
              <w:jc w:val="center"/>
              <w:rPr>
                <w:sz w:val="16"/>
                <w:szCs w:val="16"/>
              </w:rPr>
            </w:pPr>
          </w:p>
        </w:tc>
        <w:tc>
          <w:tcPr>
            <w:tcW w:w="690" w:type="dxa"/>
            <w:shd w:val="clear" w:color="auto" w:fill="FBD4B4" w:themeFill="accent6" w:themeFillTint="66"/>
          </w:tcPr>
          <w:p w14:paraId="68571485" w14:textId="77777777" w:rsidR="00375AE8" w:rsidRPr="008B2872" w:rsidRDefault="00375AE8" w:rsidP="0049324B">
            <w:pPr>
              <w:jc w:val="center"/>
              <w:rPr>
                <w:sz w:val="16"/>
                <w:szCs w:val="16"/>
              </w:rPr>
            </w:pPr>
          </w:p>
        </w:tc>
        <w:tc>
          <w:tcPr>
            <w:tcW w:w="516" w:type="dxa"/>
          </w:tcPr>
          <w:p w14:paraId="6FBB2C5F" w14:textId="77777777" w:rsidR="00375AE8" w:rsidRPr="008B2872" w:rsidRDefault="00375AE8" w:rsidP="0049324B">
            <w:pPr>
              <w:jc w:val="center"/>
              <w:rPr>
                <w:sz w:val="16"/>
                <w:szCs w:val="16"/>
              </w:rPr>
            </w:pPr>
          </w:p>
        </w:tc>
        <w:tc>
          <w:tcPr>
            <w:tcW w:w="690" w:type="dxa"/>
          </w:tcPr>
          <w:p w14:paraId="7AA23497" w14:textId="77777777" w:rsidR="00375AE8" w:rsidRPr="008B2872" w:rsidRDefault="00375AE8" w:rsidP="0049324B">
            <w:pPr>
              <w:jc w:val="center"/>
              <w:rPr>
                <w:sz w:val="16"/>
                <w:szCs w:val="16"/>
              </w:rPr>
            </w:pPr>
          </w:p>
        </w:tc>
        <w:tc>
          <w:tcPr>
            <w:tcW w:w="513" w:type="dxa"/>
          </w:tcPr>
          <w:p w14:paraId="3BC87D44" w14:textId="77777777" w:rsidR="00375AE8" w:rsidRPr="008B2872" w:rsidRDefault="00375AE8" w:rsidP="0049324B">
            <w:pPr>
              <w:jc w:val="center"/>
              <w:rPr>
                <w:sz w:val="16"/>
                <w:szCs w:val="16"/>
              </w:rPr>
            </w:pPr>
          </w:p>
        </w:tc>
        <w:tc>
          <w:tcPr>
            <w:tcW w:w="690" w:type="dxa"/>
          </w:tcPr>
          <w:p w14:paraId="157A6FA6" w14:textId="77777777" w:rsidR="00375AE8" w:rsidRPr="008B2872" w:rsidRDefault="00375AE8" w:rsidP="0049324B">
            <w:pPr>
              <w:jc w:val="center"/>
              <w:rPr>
                <w:sz w:val="16"/>
                <w:szCs w:val="16"/>
              </w:rPr>
            </w:pPr>
          </w:p>
        </w:tc>
      </w:tr>
      <w:tr w:rsidR="00375AE8" w14:paraId="3D0FBF4C" w14:textId="77777777" w:rsidTr="00F10784">
        <w:tc>
          <w:tcPr>
            <w:tcW w:w="1441" w:type="dxa"/>
            <w:vMerge/>
          </w:tcPr>
          <w:p w14:paraId="1FAE61B3" w14:textId="77777777" w:rsidR="00375AE8" w:rsidRPr="008B2872" w:rsidRDefault="00375AE8" w:rsidP="0049324B">
            <w:pPr>
              <w:jc w:val="center"/>
              <w:rPr>
                <w:sz w:val="16"/>
                <w:szCs w:val="16"/>
              </w:rPr>
            </w:pPr>
          </w:p>
        </w:tc>
        <w:tc>
          <w:tcPr>
            <w:tcW w:w="1367" w:type="dxa"/>
            <w:vMerge/>
          </w:tcPr>
          <w:p w14:paraId="7FE6CAC4" w14:textId="77777777" w:rsidR="00375AE8" w:rsidRPr="008B2872" w:rsidRDefault="00375AE8" w:rsidP="0049324B">
            <w:pPr>
              <w:jc w:val="center"/>
              <w:rPr>
                <w:sz w:val="16"/>
                <w:szCs w:val="16"/>
              </w:rPr>
            </w:pPr>
          </w:p>
        </w:tc>
        <w:tc>
          <w:tcPr>
            <w:tcW w:w="2414" w:type="dxa"/>
          </w:tcPr>
          <w:p w14:paraId="53FDD0FD" w14:textId="1069DDAE" w:rsidR="00375AE8" w:rsidRPr="008B2872" w:rsidRDefault="00375AE8" w:rsidP="0049324B">
            <w:pPr>
              <w:jc w:val="center"/>
              <w:rPr>
                <w:sz w:val="16"/>
                <w:szCs w:val="16"/>
              </w:rPr>
            </w:pPr>
            <w:r>
              <w:rPr>
                <w:sz w:val="16"/>
                <w:szCs w:val="16"/>
              </w:rPr>
              <w:t>Draft and approval of ILSMPs</w:t>
            </w:r>
          </w:p>
        </w:tc>
        <w:tc>
          <w:tcPr>
            <w:tcW w:w="1309" w:type="dxa"/>
          </w:tcPr>
          <w:p w14:paraId="4B4769A1" w14:textId="3A5AB087" w:rsidR="00375AE8" w:rsidRPr="008B2872" w:rsidRDefault="00375AE8" w:rsidP="0049324B">
            <w:pPr>
              <w:jc w:val="center"/>
              <w:rPr>
                <w:sz w:val="16"/>
                <w:szCs w:val="16"/>
              </w:rPr>
            </w:pPr>
            <w:r>
              <w:rPr>
                <w:sz w:val="16"/>
                <w:szCs w:val="16"/>
              </w:rPr>
              <w:t>JCB</w:t>
            </w:r>
          </w:p>
        </w:tc>
        <w:tc>
          <w:tcPr>
            <w:tcW w:w="610" w:type="dxa"/>
          </w:tcPr>
          <w:p w14:paraId="0DAC18A9" w14:textId="77777777" w:rsidR="00375AE8" w:rsidRPr="008B2872" w:rsidRDefault="00375AE8" w:rsidP="0049324B">
            <w:pPr>
              <w:jc w:val="center"/>
              <w:rPr>
                <w:sz w:val="16"/>
                <w:szCs w:val="16"/>
              </w:rPr>
            </w:pPr>
          </w:p>
        </w:tc>
        <w:tc>
          <w:tcPr>
            <w:tcW w:w="645" w:type="dxa"/>
          </w:tcPr>
          <w:p w14:paraId="1E3AD6B3" w14:textId="77777777" w:rsidR="00375AE8" w:rsidRPr="008B2872" w:rsidRDefault="00375AE8" w:rsidP="0049324B">
            <w:pPr>
              <w:jc w:val="center"/>
              <w:rPr>
                <w:sz w:val="16"/>
                <w:szCs w:val="16"/>
              </w:rPr>
            </w:pPr>
          </w:p>
        </w:tc>
        <w:tc>
          <w:tcPr>
            <w:tcW w:w="690" w:type="dxa"/>
          </w:tcPr>
          <w:p w14:paraId="524B598F" w14:textId="77777777" w:rsidR="00375AE8" w:rsidRPr="008B2872" w:rsidRDefault="00375AE8" w:rsidP="0049324B">
            <w:pPr>
              <w:jc w:val="center"/>
              <w:rPr>
                <w:sz w:val="16"/>
                <w:szCs w:val="16"/>
              </w:rPr>
            </w:pPr>
          </w:p>
        </w:tc>
        <w:tc>
          <w:tcPr>
            <w:tcW w:w="587" w:type="dxa"/>
            <w:shd w:val="clear" w:color="auto" w:fill="FBD4B4" w:themeFill="accent6" w:themeFillTint="66"/>
          </w:tcPr>
          <w:p w14:paraId="2FB79632" w14:textId="77777777" w:rsidR="00375AE8" w:rsidRPr="008B2872" w:rsidRDefault="00375AE8" w:rsidP="0049324B">
            <w:pPr>
              <w:jc w:val="center"/>
              <w:rPr>
                <w:sz w:val="16"/>
                <w:szCs w:val="16"/>
              </w:rPr>
            </w:pPr>
          </w:p>
        </w:tc>
        <w:tc>
          <w:tcPr>
            <w:tcW w:w="690" w:type="dxa"/>
            <w:shd w:val="clear" w:color="auto" w:fill="FBD4B4" w:themeFill="accent6" w:themeFillTint="66"/>
          </w:tcPr>
          <w:p w14:paraId="3109CE70" w14:textId="77777777" w:rsidR="00375AE8" w:rsidRPr="008B2872" w:rsidRDefault="00375AE8" w:rsidP="0049324B">
            <w:pPr>
              <w:jc w:val="center"/>
              <w:rPr>
                <w:sz w:val="16"/>
                <w:szCs w:val="16"/>
              </w:rPr>
            </w:pPr>
          </w:p>
        </w:tc>
        <w:tc>
          <w:tcPr>
            <w:tcW w:w="540" w:type="dxa"/>
            <w:shd w:val="clear" w:color="auto" w:fill="FBD4B4" w:themeFill="accent6" w:themeFillTint="66"/>
          </w:tcPr>
          <w:p w14:paraId="60416318" w14:textId="77777777" w:rsidR="00375AE8" w:rsidRPr="008B2872" w:rsidRDefault="00375AE8" w:rsidP="0049324B">
            <w:pPr>
              <w:jc w:val="center"/>
              <w:rPr>
                <w:sz w:val="16"/>
                <w:szCs w:val="16"/>
              </w:rPr>
            </w:pPr>
          </w:p>
        </w:tc>
        <w:tc>
          <w:tcPr>
            <w:tcW w:w="690" w:type="dxa"/>
            <w:shd w:val="clear" w:color="auto" w:fill="FBD4B4" w:themeFill="accent6" w:themeFillTint="66"/>
          </w:tcPr>
          <w:p w14:paraId="478389B4" w14:textId="77777777" w:rsidR="00375AE8" w:rsidRPr="008B2872" w:rsidRDefault="00375AE8" w:rsidP="0049324B">
            <w:pPr>
              <w:jc w:val="center"/>
              <w:rPr>
                <w:sz w:val="16"/>
                <w:szCs w:val="16"/>
              </w:rPr>
            </w:pPr>
          </w:p>
        </w:tc>
        <w:tc>
          <w:tcPr>
            <w:tcW w:w="534" w:type="dxa"/>
            <w:shd w:val="clear" w:color="auto" w:fill="FBD4B4" w:themeFill="accent6" w:themeFillTint="66"/>
          </w:tcPr>
          <w:p w14:paraId="1C468D25" w14:textId="77777777" w:rsidR="00375AE8" w:rsidRPr="008B2872" w:rsidRDefault="00375AE8" w:rsidP="0049324B">
            <w:pPr>
              <w:jc w:val="center"/>
              <w:rPr>
                <w:sz w:val="16"/>
                <w:szCs w:val="16"/>
              </w:rPr>
            </w:pPr>
          </w:p>
        </w:tc>
        <w:tc>
          <w:tcPr>
            <w:tcW w:w="690" w:type="dxa"/>
            <w:shd w:val="clear" w:color="auto" w:fill="FBD4B4" w:themeFill="accent6" w:themeFillTint="66"/>
          </w:tcPr>
          <w:p w14:paraId="59A1743F" w14:textId="77777777" w:rsidR="00375AE8" w:rsidRPr="008B2872" w:rsidRDefault="00375AE8" w:rsidP="0049324B">
            <w:pPr>
              <w:jc w:val="center"/>
              <w:rPr>
                <w:sz w:val="16"/>
                <w:szCs w:val="16"/>
              </w:rPr>
            </w:pPr>
          </w:p>
        </w:tc>
        <w:tc>
          <w:tcPr>
            <w:tcW w:w="516" w:type="dxa"/>
          </w:tcPr>
          <w:p w14:paraId="21F56A62" w14:textId="77777777" w:rsidR="00375AE8" w:rsidRPr="008B2872" w:rsidRDefault="00375AE8" w:rsidP="0049324B">
            <w:pPr>
              <w:jc w:val="center"/>
              <w:rPr>
                <w:sz w:val="16"/>
                <w:szCs w:val="16"/>
              </w:rPr>
            </w:pPr>
          </w:p>
        </w:tc>
        <w:tc>
          <w:tcPr>
            <w:tcW w:w="690" w:type="dxa"/>
          </w:tcPr>
          <w:p w14:paraId="5EFEEEBE" w14:textId="77777777" w:rsidR="00375AE8" w:rsidRPr="008B2872" w:rsidRDefault="00375AE8" w:rsidP="0049324B">
            <w:pPr>
              <w:jc w:val="center"/>
              <w:rPr>
                <w:sz w:val="16"/>
                <w:szCs w:val="16"/>
              </w:rPr>
            </w:pPr>
          </w:p>
        </w:tc>
        <w:tc>
          <w:tcPr>
            <w:tcW w:w="513" w:type="dxa"/>
          </w:tcPr>
          <w:p w14:paraId="7519D140" w14:textId="77777777" w:rsidR="00375AE8" w:rsidRPr="008B2872" w:rsidRDefault="00375AE8" w:rsidP="0049324B">
            <w:pPr>
              <w:jc w:val="center"/>
              <w:rPr>
                <w:sz w:val="16"/>
                <w:szCs w:val="16"/>
              </w:rPr>
            </w:pPr>
          </w:p>
        </w:tc>
        <w:tc>
          <w:tcPr>
            <w:tcW w:w="690" w:type="dxa"/>
          </w:tcPr>
          <w:p w14:paraId="7A7D8978" w14:textId="77777777" w:rsidR="00375AE8" w:rsidRPr="008B2872" w:rsidRDefault="00375AE8" w:rsidP="0049324B">
            <w:pPr>
              <w:jc w:val="center"/>
              <w:rPr>
                <w:sz w:val="16"/>
                <w:szCs w:val="16"/>
              </w:rPr>
            </w:pPr>
          </w:p>
        </w:tc>
      </w:tr>
      <w:tr w:rsidR="00375AE8" w14:paraId="46550925" w14:textId="77777777" w:rsidTr="00F10784">
        <w:tc>
          <w:tcPr>
            <w:tcW w:w="1441" w:type="dxa"/>
            <w:vMerge/>
          </w:tcPr>
          <w:p w14:paraId="202AA672" w14:textId="77777777" w:rsidR="00375AE8" w:rsidRPr="008B2872" w:rsidRDefault="00375AE8" w:rsidP="0049324B">
            <w:pPr>
              <w:jc w:val="center"/>
              <w:rPr>
                <w:sz w:val="16"/>
                <w:szCs w:val="16"/>
              </w:rPr>
            </w:pPr>
          </w:p>
        </w:tc>
        <w:tc>
          <w:tcPr>
            <w:tcW w:w="1367" w:type="dxa"/>
            <w:vMerge/>
          </w:tcPr>
          <w:p w14:paraId="1F40231B" w14:textId="77777777" w:rsidR="00375AE8" w:rsidRPr="008B2872" w:rsidRDefault="00375AE8" w:rsidP="0049324B">
            <w:pPr>
              <w:jc w:val="center"/>
              <w:rPr>
                <w:sz w:val="16"/>
                <w:szCs w:val="16"/>
              </w:rPr>
            </w:pPr>
          </w:p>
        </w:tc>
        <w:tc>
          <w:tcPr>
            <w:tcW w:w="2414" w:type="dxa"/>
          </w:tcPr>
          <w:p w14:paraId="7A8F856B" w14:textId="388FF562" w:rsidR="00375AE8" w:rsidRPr="008B2872" w:rsidRDefault="00375AE8" w:rsidP="008761EB">
            <w:pPr>
              <w:jc w:val="center"/>
              <w:rPr>
                <w:sz w:val="16"/>
                <w:szCs w:val="16"/>
              </w:rPr>
            </w:pPr>
            <w:r>
              <w:rPr>
                <w:sz w:val="16"/>
                <w:szCs w:val="16"/>
              </w:rPr>
              <w:t>Incorporate information from State level review into state planning documents and develop State specific EDRRs that are integrated into ILSMPs (including mapping CRB and freshwater fish from Output 1.3 into State plans</w:t>
            </w:r>
          </w:p>
        </w:tc>
        <w:tc>
          <w:tcPr>
            <w:tcW w:w="1309" w:type="dxa"/>
          </w:tcPr>
          <w:p w14:paraId="6EFE4611" w14:textId="4432EDE1" w:rsidR="00375AE8" w:rsidRPr="008B2872" w:rsidRDefault="00375AE8" w:rsidP="0049324B">
            <w:pPr>
              <w:jc w:val="center"/>
              <w:rPr>
                <w:sz w:val="16"/>
                <w:szCs w:val="16"/>
              </w:rPr>
            </w:pPr>
            <w:r>
              <w:rPr>
                <w:sz w:val="16"/>
                <w:szCs w:val="16"/>
              </w:rPr>
              <w:t>BD and MNRET</w:t>
            </w:r>
          </w:p>
        </w:tc>
        <w:tc>
          <w:tcPr>
            <w:tcW w:w="610" w:type="dxa"/>
          </w:tcPr>
          <w:p w14:paraId="2BD2DF1B" w14:textId="77777777" w:rsidR="00375AE8" w:rsidRPr="008B2872" w:rsidRDefault="00375AE8" w:rsidP="0049324B">
            <w:pPr>
              <w:jc w:val="center"/>
              <w:rPr>
                <w:sz w:val="16"/>
                <w:szCs w:val="16"/>
              </w:rPr>
            </w:pPr>
          </w:p>
        </w:tc>
        <w:tc>
          <w:tcPr>
            <w:tcW w:w="645" w:type="dxa"/>
          </w:tcPr>
          <w:p w14:paraId="53C5DC0F" w14:textId="77777777" w:rsidR="00375AE8" w:rsidRPr="008B2872" w:rsidRDefault="00375AE8" w:rsidP="0049324B">
            <w:pPr>
              <w:jc w:val="center"/>
              <w:rPr>
                <w:sz w:val="16"/>
                <w:szCs w:val="16"/>
              </w:rPr>
            </w:pPr>
          </w:p>
        </w:tc>
        <w:tc>
          <w:tcPr>
            <w:tcW w:w="690" w:type="dxa"/>
          </w:tcPr>
          <w:p w14:paraId="68980FB3" w14:textId="77777777" w:rsidR="00375AE8" w:rsidRPr="008B2872" w:rsidRDefault="00375AE8" w:rsidP="0049324B">
            <w:pPr>
              <w:jc w:val="center"/>
              <w:rPr>
                <w:sz w:val="16"/>
                <w:szCs w:val="16"/>
              </w:rPr>
            </w:pPr>
          </w:p>
        </w:tc>
        <w:tc>
          <w:tcPr>
            <w:tcW w:w="587" w:type="dxa"/>
            <w:shd w:val="clear" w:color="auto" w:fill="FBD4B4" w:themeFill="accent6" w:themeFillTint="66"/>
          </w:tcPr>
          <w:p w14:paraId="2C9F4794" w14:textId="77777777" w:rsidR="00375AE8" w:rsidRPr="008B2872" w:rsidRDefault="00375AE8" w:rsidP="0049324B">
            <w:pPr>
              <w:jc w:val="center"/>
              <w:rPr>
                <w:sz w:val="16"/>
                <w:szCs w:val="16"/>
              </w:rPr>
            </w:pPr>
          </w:p>
        </w:tc>
        <w:tc>
          <w:tcPr>
            <w:tcW w:w="690" w:type="dxa"/>
            <w:shd w:val="clear" w:color="auto" w:fill="FBD4B4" w:themeFill="accent6" w:themeFillTint="66"/>
          </w:tcPr>
          <w:p w14:paraId="7589D4C6" w14:textId="77777777" w:rsidR="00375AE8" w:rsidRPr="008B2872" w:rsidRDefault="00375AE8" w:rsidP="0049324B">
            <w:pPr>
              <w:jc w:val="center"/>
              <w:rPr>
                <w:sz w:val="16"/>
                <w:szCs w:val="16"/>
              </w:rPr>
            </w:pPr>
          </w:p>
        </w:tc>
        <w:tc>
          <w:tcPr>
            <w:tcW w:w="540" w:type="dxa"/>
            <w:shd w:val="clear" w:color="auto" w:fill="FBD4B4" w:themeFill="accent6" w:themeFillTint="66"/>
          </w:tcPr>
          <w:p w14:paraId="43B4B23B" w14:textId="77777777" w:rsidR="00375AE8" w:rsidRPr="008B2872" w:rsidRDefault="00375AE8" w:rsidP="0049324B">
            <w:pPr>
              <w:jc w:val="center"/>
              <w:rPr>
                <w:sz w:val="16"/>
                <w:szCs w:val="16"/>
              </w:rPr>
            </w:pPr>
          </w:p>
        </w:tc>
        <w:tc>
          <w:tcPr>
            <w:tcW w:w="690" w:type="dxa"/>
            <w:shd w:val="clear" w:color="auto" w:fill="FBD4B4" w:themeFill="accent6" w:themeFillTint="66"/>
          </w:tcPr>
          <w:p w14:paraId="0626567B" w14:textId="77777777" w:rsidR="00375AE8" w:rsidRPr="008B2872" w:rsidRDefault="00375AE8" w:rsidP="0049324B">
            <w:pPr>
              <w:jc w:val="center"/>
              <w:rPr>
                <w:sz w:val="16"/>
                <w:szCs w:val="16"/>
              </w:rPr>
            </w:pPr>
          </w:p>
        </w:tc>
        <w:tc>
          <w:tcPr>
            <w:tcW w:w="534" w:type="dxa"/>
            <w:shd w:val="clear" w:color="auto" w:fill="FBD4B4" w:themeFill="accent6" w:themeFillTint="66"/>
          </w:tcPr>
          <w:p w14:paraId="07D06662" w14:textId="77777777" w:rsidR="00375AE8" w:rsidRPr="008B2872" w:rsidRDefault="00375AE8" w:rsidP="0049324B">
            <w:pPr>
              <w:jc w:val="center"/>
              <w:rPr>
                <w:sz w:val="16"/>
                <w:szCs w:val="16"/>
              </w:rPr>
            </w:pPr>
          </w:p>
        </w:tc>
        <w:tc>
          <w:tcPr>
            <w:tcW w:w="690" w:type="dxa"/>
            <w:shd w:val="clear" w:color="auto" w:fill="FBD4B4" w:themeFill="accent6" w:themeFillTint="66"/>
          </w:tcPr>
          <w:p w14:paraId="60F46BD5" w14:textId="77777777" w:rsidR="00375AE8" w:rsidRPr="008B2872" w:rsidRDefault="00375AE8" w:rsidP="0049324B">
            <w:pPr>
              <w:jc w:val="center"/>
              <w:rPr>
                <w:sz w:val="16"/>
                <w:szCs w:val="16"/>
              </w:rPr>
            </w:pPr>
          </w:p>
        </w:tc>
        <w:tc>
          <w:tcPr>
            <w:tcW w:w="516" w:type="dxa"/>
          </w:tcPr>
          <w:p w14:paraId="1BD9A6FE" w14:textId="77777777" w:rsidR="00375AE8" w:rsidRPr="008B2872" w:rsidRDefault="00375AE8" w:rsidP="0049324B">
            <w:pPr>
              <w:jc w:val="center"/>
              <w:rPr>
                <w:sz w:val="16"/>
                <w:szCs w:val="16"/>
              </w:rPr>
            </w:pPr>
          </w:p>
        </w:tc>
        <w:tc>
          <w:tcPr>
            <w:tcW w:w="690" w:type="dxa"/>
          </w:tcPr>
          <w:p w14:paraId="07E8253C" w14:textId="77777777" w:rsidR="00375AE8" w:rsidRPr="008B2872" w:rsidRDefault="00375AE8" w:rsidP="0049324B">
            <w:pPr>
              <w:jc w:val="center"/>
              <w:rPr>
                <w:sz w:val="16"/>
                <w:szCs w:val="16"/>
              </w:rPr>
            </w:pPr>
          </w:p>
        </w:tc>
        <w:tc>
          <w:tcPr>
            <w:tcW w:w="513" w:type="dxa"/>
          </w:tcPr>
          <w:p w14:paraId="6FE922CB" w14:textId="77777777" w:rsidR="00375AE8" w:rsidRPr="008B2872" w:rsidRDefault="00375AE8" w:rsidP="0049324B">
            <w:pPr>
              <w:jc w:val="center"/>
              <w:rPr>
                <w:sz w:val="16"/>
                <w:szCs w:val="16"/>
              </w:rPr>
            </w:pPr>
          </w:p>
        </w:tc>
        <w:tc>
          <w:tcPr>
            <w:tcW w:w="690" w:type="dxa"/>
          </w:tcPr>
          <w:p w14:paraId="5DE8C832" w14:textId="77777777" w:rsidR="00375AE8" w:rsidRPr="008B2872" w:rsidRDefault="00375AE8" w:rsidP="0049324B">
            <w:pPr>
              <w:jc w:val="center"/>
              <w:rPr>
                <w:sz w:val="16"/>
                <w:szCs w:val="16"/>
              </w:rPr>
            </w:pPr>
          </w:p>
        </w:tc>
      </w:tr>
      <w:tr w:rsidR="00375AE8" w14:paraId="6770E8BD" w14:textId="77777777" w:rsidTr="00043FA1">
        <w:tc>
          <w:tcPr>
            <w:tcW w:w="1441" w:type="dxa"/>
            <w:vMerge w:val="restart"/>
          </w:tcPr>
          <w:p w14:paraId="733B19BD" w14:textId="7F6A6E5E" w:rsidR="00375AE8" w:rsidRPr="008B2872" w:rsidRDefault="00375AE8" w:rsidP="0049324B">
            <w:pPr>
              <w:jc w:val="center"/>
              <w:rPr>
                <w:sz w:val="16"/>
                <w:szCs w:val="16"/>
              </w:rPr>
            </w:pPr>
            <w:r>
              <w:rPr>
                <w:sz w:val="16"/>
                <w:szCs w:val="16"/>
              </w:rPr>
              <w:t>Specific Areas of HCVFs, coastal and marine areas conserved for non-exhaustive uses</w:t>
            </w:r>
          </w:p>
        </w:tc>
        <w:tc>
          <w:tcPr>
            <w:tcW w:w="1367" w:type="dxa"/>
            <w:vMerge w:val="restart"/>
          </w:tcPr>
          <w:p w14:paraId="3D575CB3" w14:textId="311910B3" w:rsidR="00375AE8" w:rsidRPr="008B2872" w:rsidRDefault="00375AE8" w:rsidP="0049324B">
            <w:pPr>
              <w:jc w:val="center"/>
              <w:rPr>
                <w:sz w:val="16"/>
                <w:szCs w:val="16"/>
              </w:rPr>
            </w:pPr>
            <w:r>
              <w:rPr>
                <w:sz w:val="16"/>
                <w:szCs w:val="16"/>
              </w:rPr>
              <w:t>Protection and regulation of non-exhaustive use areas</w:t>
            </w:r>
          </w:p>
        </w:tc>
        <w:tc>
          <w:tcPr>
            <w:tcW w:w="2414" w:type="dxa"/>
          </w:tcPr>
          <w:p w14:paraId="5B8C0E60" w14:textId="68463254" w:rsidR="00375AE8" w:rsidRPr="008B2872" w:rsidRDefault="00375AE8" w:rsidP="0049324B">
            <w:pPr>
              <w:jc w:val="center"/>
              <w:rPr>
                <w:sz w:val="16"/>
                <w:szCs w:val="16"/>
              </w:rPr>
            </w:pPr>
            <w:r>
              <w:rPr>
                <w:sz w:val="16"/>
                <w:szCs w:val="16"/>
              </w:rPr>
              <w:t>Political advocacy to define boundaries and management options for 15,000 ha</w:t>
            </w:r>
          </w:p>
        </w:tc>
        <w:tc>
          <w:tcPr>
            <w:tcW w:w="1309" w:type="dxa"/>
          </w:tcPr>
          <w:p w14:paraId="2710606E" w14:textId="70DCAB79" w:rsidR="00375AE8" w:rsidRPr="008B2872" w:rsidRDefault="00375AE8" w:rsidP="0049324B">
            <w:pPr>
              <w:jc w:val="center"/>
              <w:rPr>
                <w:sz w:val="16"/>
                <w:szCs w:val="16"/>
              </w:rPr>
            </w:pPr>
            <w:r>
              <w:rPr>
                <w:sz w:val="16"/>
                <w:szCs w:val="16"/>
              </w:rPr>
              <w:t>MNRET</w:t>
            </w:r>
          </w:p>
        </w:tc>
        <w:tc>
          <w:tcPr>
            <w:tcW w:w="610" w:type="dxa"/>
          </w:tcPr>
          <w:p w14:paraId="3A50107D" w14:textId="77777777" w:rsidR="00375AE8" w:rsidRPr="008B2872" w:rsidRDefault="00375AE8" w:rsidP="0049324B">
            <w:pPr>
              <w:jc w:val="center"/>
              <w:rPr>
                <w:sz w:val="16"/>
                <w:szCs w:val="16"/>
              </w:rPr>
            </w:pPr>
          </w:p>
        </w:tc>
        <w:tc>
          <w:tcPr>
            <w:tcW w:w="645" w:type="dxa"/>
          </w:tcPr>
          <w:p w14:paraId="2C954B8D" w14:textId="77777777" w:rsidR="00375AE8" w:rsidRPr="008B2872" w:rsidRDefault="00375AE8" w:rsidP="0049324B">
            <w:pPr>
              <w:jc w:val="center"/>
              <w:rPr>
                <w:sz w:val="16"/>
                <w:szCs w:val="16"/>
              </w:rPr>
            </w:pPr>
          </w:p>
        </w:tc>
        <w:tc>
          <w:tcPr>
            <w:tcW w:w="690" w:type="dxa"/>
          </w:tcPr>
          <w:p w14:paraId="76802647" w14:textId="77777777" w:rsidR="00375AE8" w:rsidRPr="008B2872" w:rsidRDefault="00375AE8" w:rsidP="0049324B">
            <w:pPr>
              <w:jc w:val="center"/>
              <w:rPr>
                <w:sz w:val="16"/>
                <w:szCs w:val="16"/>
              </w:rPr>
            </w:pPr>
          </w:p>
        </w:tc>
        <w:tc>
          <w:tcPr>
            <w:tcW w:w="587" w:type="dxa"/>
          </w:tcPr>
          <w:p w14:paraId="2D496BA1" w14:textId="77777777" w:rsidR="00375AE8" w:rsidRPr="008B2872" w:rsidRDefault="00375AE8" w:rsidP="0049324B">
            <w:pPr>
              <w:jc w:val="center"/>
              <w:rPr>
                <w:sz w:val="16"/>
                <w:szCs w:val="16"/>
              </w:rPr>
            </w:pPr>
          </w:p>
        </w:tc>
        <w:tc>
          <w:tcPr>
            <w:tcW w:w="690" w:type="dxa"/>
          </w:tcPr>
          <w:p w14:paraId="74B2C073" w14:textId="77777777" w:rsidR="00375AE8" w:rsidRPr="008B2872" w:rsidRDefault="00375AE8" w:rsidP="0049324B">
            <w:pPr>
              <w:jc w:val="center"/>
              <w:rPr>
                <w:sz w:val="16"/>
                <w:szCs w:val="16"/>
              </w:rPr>
            </w:pPr>
          </w:p>
        </w:tc>
        <w:tc>
          <w:tcPr>
            <w:tcW w:w="540" w:type="dxa"/>
            <w:shd w:val="clear" w:color="auto" w:fill="FBD4B4" w:themeFill="accent6" w:themeFillTint="66"/>
          </w:tcPr>
          <w:p w14:paraId="088DE821" w14:textId="77777777" w:rsidR="00375AE8" w:rsidRPr="008B2872" w:rsidRDefault="00375AE8" w:rsidP="0049324B">
            <w:pPr>
              <w:jc w:val="center"/>
              <w:rPr>
                <w:sz w:val="16"/>
                <w:szCs w:val="16"/>
              </w:rPr>
            </w:pPr>
          </w:p>
        </w:tc>
        <w:tc>
          <w:tcPr>
            <w:tcW w:w="690" w:type="dxa"/>
            <w:shd w:val="clear" w:color="auto" w:fill="FBD4B4" w:themeFill="accent6" w:themeFillTint="66"/>
          </w:tcPr>
          <w:p w14:paraId="470EE047" w14:textId="77777777" w:rsidR="00375AE8" w:rsidRPr="008B2872" w:rsidRDefault="00375AE8" w:rsidP="0049324B">
            <w:pPr>
              <w:jc w:val="center"/>
              <w:rPr>
                <w:sz w:val="16"/>
                <w:szCs w:val="16"/>
              </w:rPr>
            </w:pPr>
          </w:p>
        </w:tc>
        <w:tc>
          <w:tcPr>
            <w:tcW w:w="534" w:type="dxa"/>
          </w:tcPr>
          <w:p w14:paraId="20BED6AA" w14:textId="77777777" w:rsidR="00375AE8" w:rsidRPr="008B2872" w:rsidRDefault="00375AE8" w:rsidP="0049324B">
            <w:pPr>
              <w:jc w:val="center"/>
              <w:rPr>
                <w:sz w:val="16"/>
                <w:szCs w:val="16"/>
              </w:rPr>
            </w:pPr>
          </w:p>
        </w:tc>
        <w:tc>
          <w:tcPr>
            <w:tcW w:w="690" w:type="dxa"/>
          </w:tcPr>
          <w:p w14:paraId="543E0D8D" w14:textId="77777777" w:rsidR="00375AE8" w:rsidRPr="008B2872" w:rsidRDefault="00375AE8" w:rsidP="0049324B">
            <w:pPr>
              <w:jc w:val="center"/>
              <w:rPr>
                <w:sz w:val="16"/>
                <w:szCs w:val="16"/>
              </w:rPr>
            </w:pPr>
          </w:p>
        </w:tc>
        <w:tc>
          <w:tcPr>
            <w:tcW w:w="516" w:type="dxa"/>
          </w:tcPr>
          <w:p w14:paraId="6B9AB33C" w14:textId="77777777" w:rsidR="00375AE8" w:rsidRPr="008B2872" w:rsidRDefault="00375AE8" w:rsidP="0049324B">
            <w:pPr>
              <w:jc w:val="center"/>
              <w:rPr>
                <w:sz w:val="16"/>
                <w:szCs w:val="16"/>
              </w:rPr>
            </w:pPr>
          </w:p>
        </w:tc>
        <w:tc>
          <w:tcPr>
            <w:tcW w:w="690" w:type="dxa"/>
          </w:tcPr>
          <w:p w14:paraId="28DAFCE9" w14:textId="77777777" w:rsidR="00375AE8" w:rsidRPr="008B2872" w:rsidRDefault="00375AE8" w:rsidP="0049324B">
            <w:pPr>
              <w:jc w:val="center"/>
              <w:rPr>
                <w:sz w:val="16"/>
                <w:szCs w:val="16"/>
              </w:rPr>
            </w:pPr>
          </w:p>
        </w:tc>
        <w:tc>
          <w:tcPr>
            <w:tcW w:w="513" w:type="dxa"/>
          </w:tcPr>
          <w:p w14:paraId="742530B6" w14:textId="77777777" w:rsidR="00375AE8" w:rsidRPr="008B2872" w:rsidRDefault="00375AE8" w:rsidP="0049324B">
            <w:pPr>
              <w:jc w:val="center"/>
              <w:rPr>
                <w:sz w:val="16"/>
                <w:szCs w:val="16"/>
              </w:rPr>
            </w:pPr>
          </w:p>
        </w:tc>
        <w:tc>
          <w:tcPr>
            <w:tcW w:w="690" w:type="dxa"/>
          </w:tcPr>
          <w:p w14:paraId="51CAAD8D" w14:textId="77777777" w:rsidR="00375AE8" w:rsidRPr="008B2872" w:rsidRDefault="00375AE8" w:rsidP="0049324B">
            <w:pPr>
              <w:jc w:val="center"/>
              <w:rPr>
                <w:sz w:val="16"/>
                <w:szCs w:val="16"/>
              </w:rPr>
            </w:pPr>
          </w:p>
        </w:tc>
      </w:tr>
      <w:tr w:rsidR="00375AE8" w14:paraId="780AB968" w14:textId="77777777" w:rsidTr="00043FA1">
        <w:tc>
          <w:tcPr>
            <w:tcW w:w="1441" w:type="dxa"/>
            <w:vMerge/>
          </w:tcPr>
          <w:p w14:paraId="719D97CA" w14:textId="77777777" w:rsidR="00375AE8" w:rsidRPr="008B2872" w:rsidRDefault="00375AE8" w:rsidP="0049324B">
            <w:pPr>
              <w:jc w:val="center"/>
              <w:rPr>
                <w:sz w:val="16"/>
                <w:szCs w:val="16"/>
              </w:rPr>
            </w:pPr>
          </w:p>
        </w:tc>
        <w:tc>
          <w:tcPr>
            <w:tcW w:w="1367" w:type="dxa"/>
            <w:vMerge/>
          </w:tcPr>
          <w:p w14:paraId="45D50742" w14:textId="55BA8F11" w:rsidR="00375AE8" w:rsidRPr="008B2872" w:rsidRDefault="00375AE8" w:rsidP="0049324B">
            <w:pPr>
              <w:jc w:val="center"/>
              <w:rPr>
                <w:sz w:val="16"/>
                <w:szCs w:val="16"/>
              </w:rPr>
            </w:pPr>
          </w:p>
        </w:tc>
        <w:tc>
          <w:tcPr>
            <w:tcW w:w="2414" w:type="dxa"/>
          </w:tcPr>
          <w:p w14:paraId="188457F4" w14:textId="4E314D34" w:rsidR="00375AE8" w:rsidRPr="008B2872" w:rsidRDefault="00375AE8" w:rsidP="008761EB">
            <w:pPr>
              <w:jc w:val="center"/>
              <w:rPr>
                <w:sz w:val="16"/>
                <w:szCs w:val="16"/>
              </w:rPr>
            </w:pPr>
            <w:r>
              <w:rPr>
                <w:sz w:val="16"/>
                <w:szCs w:val="16"/>
              </w:rPr>
              <w:t>Design of arrangements for benefit sharing and testing financial incentives and tools, including analysis of PES, Carbon credits, tax deductions etc.</w:t>
            </w:r>
          </w:p>
        </w:tc>
        <w:tc>
          <w:tcPr>
            <w:tcW w:w="1309" w:type="dxa"/>
          </w:tcPr>
          <w:p w14:paraId="282EF17A" w14:textId="5CAB3FE2" w:rsidR="00375AE8" w:rsidRPr="008B2872" w:rsidRDefault="00375AE8" w:rsidP="0049324B">
            <w:pPr>
              <w:jc w:val="center"/>
              <w:rPr>
                <w:sz w:val="16"/>
                <w:szCs w:val="16"/>
              </w:rPr>
            </w:pPr>
            <w:r>
              <w:rPr>
                <w:sz w:val="16"/>
                <w:szCs w:val="16"/>
              </w:rPr>
              <w:t>MNRET and Forestry</w:t>
            </w:r>
          </w:p>
        </w:tc>
        <w:tc>
          <w:tcPr>
            <w:tcW w:w="610" w:type="dxa"/>
          </w:tcPr>
          <w:p w14:paraId="2BF293E3" w14:textId="77777777" w:rsidR="00375AE8" w:rsidRPr="008B2872" w:rsidRDefault="00375AE8" w:rsidP="0049324B">
            <w:pPr>
              <w:jc w:val="center"/>
              <w:rPr>
                <w:sz w:val="16"/>
                <w:szCs w:val="16"/>
              </w:rPr>
            </w:pPr>
          </w:p>
        </w:tc>
        <w:tc>
          <w:tcPr>
            <w:tcW w:w="645" w:type="dxa"/>
          </w:tcPr>
          <w:p w14:paraId="142038A5" w14:textId="77777777" w:rsidR="00375AE8" w:rsidRPr="008B2872" w:rsidRDefault="00375AE8" w:rsidP="0049324B">
            <w:pPr>
              <w:jc w:val="center"/>
              <w:rPr>
                <w:sz w:val="16"/>
                <w:szCs w:val="16"/>
              </w:rPr>
            </w:pPr>
          </w:p>
        </w:tc>
        <w:tc>
          <w:tcPr>
            <w:tcW w:w="690" w:type="dxa"/>
          </w:tcPr>
          <w:p w14:paraId="3329C8DD" w14:textId="77777777" w:rsidR="00375AE8" w:rsidRPr="008B2872" w:rsidRDefault="00375AE8" w:rsidP="0049324B">
            <w:pPr>
              <w:jc w:val="center"/>
              <w:rPr>
                <w:sz w:val="16"/>
                <w:szCs w:val="16"/>
              </w:rPr>
            </w:pPr>
          </w:p>
        </w:tc>
        <w:tc>
          <w:tcPr>
            <w:tcW w:w="587" w:type="dxa"/>
          </w:tcPr>
          <w:p w14:paraId="650BA598" w14:textId="77777777" w:rsidR="00375AE8" w:rsidRPr="008B2872" w:rsidRDefault="00375AE8" w:rsidP="0049324B">
            <w:pPr>
              <w:jc w:val="center"/>
              <w:rPr>
                <w:sz w:val="16"/>
                <w:szCs w:val="16"/>
              </w:rPr>
            </w:pPr>
          </w:p>
        </w:tc>
        <w:tc>
          <w:tcPr>
            <w:tcW w:w="690" w:type="dxa"/>
          </w:tcPr>
          <w:p w14:paraId="0ADC93DC" w14:textId="77777777" w:rsidR="00375AE8" w:rsidRPr="008B2872" w:rsidRDefault="00375AE8" w:rsidP="0049324B">
            <w:pPr>
              <w:jc w:val="center"/>
              <w:rPr>
                <w:sz w:val="16"/>
                <w:szCs w:val="16"/>
              </w:rPr>
            </w:pPr>
          </w:p>
        </w:tc>
        <w:tc>
          <w:tcPr>
            <w:tcW w:w="540" w:type="dxa"/>
            <w:shd w:val="clear" w:color="auto" w:fill="FBD4B4" w:themeFill="accent6" w:themeFillTint="66"/>
          </w:tcPr>
          <w:p w14:paraId="4B211804" w14:textId="77777777" w:rsidR="00375AE8" w:rsidRPr="008B2872" w:rsidRDefault="00375AE8" w:rsidP="0049324B">
            <w:pPr>
              <w:jc w:val="center"/>
              <w:rPr>
                <w:sz w:val="16"/>
                <w:szCs w:val="16"/>
              </w:rPr>
            </w:pPr>
          </w:p>
        </w:tc>
        <w:tc>
          <w:tcPr>
            <w:tcW w:w="690" w:type="dxa"/>
            <w:shd w:val="clear" w:color="auto" w:fill="FBD4B4" w:themeFill="accent6" w:themeFillTint="66"/>
          </w:tcPr>
          <w:p w14:paraId="4FA33B07" w14:textId="77777777" w:rsidR="00375AE8" w:rsidRPr="008B2872" w:rsidRDefault="00375AE8" w:rsidP="0049324B">
            <w:pPr>
              <w:jc w:val="center"/>
              <w:rPr>
                <w:sz w:val="16"/>
                <w:szCs w:val="16"/>
              </w:rPr>
            </w:pPr>
          </w:p>
        </w:tc>
        <w:tc>
          <w:tcPr>
            <w:tcW w:w="534" w:type="dxa"/>
          </w:tcPr>
          <w:p w14:paraId="441C52C2" w14:textId="77777777" w:rsidR="00375AE8" w:rsidRPr="008B2872" w:rsidRDefault="00375AE8" w:rsidP="0049324B">
            <w:pPr>
              <w:jc w:val="center"/>
              <w:rPr>
                <w:sz w:val="16"/>
                <w:szCs w:val="16"/>
              </w:rPr>
            </w:pPr>
          </w:p>
        </w:tc>
        <w:tc>
          <w:tcPr>
            <w:tcW w:w="690" w:type="dxa"/>
          </w:tcPr>
          <w:p w14:paraId="0D9FC6CE" w14:textId="77777777" w:rsidR="00375AE8" w:rsidRPr="008B2872" w:rsidRDefault="00375AE8" w:rsidP="0049324B">
            <w:pPr>
              <w:jc w:val="center"/>
              <w:rPr>
                <w:sz w:val="16"/>
                <w:szCs w:val="16"/>
              </w:rPr>
            </w:pPr>
          </w:p>
        </w:tc>
        <w:tc>
          <w:tcPr>
            <w:tcW w:w="516" w:type="dxa"/>
          </w:tcPr>
          <w:p w14:paraId="459A76A5" w14:textId="77777777" w:rsidR="00375AE8" w:rsidRPr="008B2872" w:rsidRDefault="00375AE8" w:rsidP="0049324B">
            <w:pPr>
              <w:jc w:val="center"/>
              <w:rPr>
                <w:sz w:val="16"/>
                <w:szCs w:val="16"/>
              </w:rPr>
            </w:pPr>
          </w:p>
        </w:tc>
        <w:tc>
          <w:tcPr>
            <w:tcW w:w="690" w:type="dxa"/>
          </w:tcPr>
          <w:p w14:paraId="51C67F6B" w14:textId="77777777" w:rsidR="00375AE8" w:rsidRPr="008B2872" w:rsidRDefault="00375AE8" w:rsidP="0049324B">
            <w:pPr>
              <w:jc w:val="center"/>
              <w:rPr>
                <w:sz w:val="16"/>
                <w:szCs w:val="16"/>
              </w:rPr>
            </w:pPr>
          </w:p>
        </w:tc>
        <w:tc>
          <w:tcPr>
            <w:tcW w:w="513" w:type="dxa"/>
          </w:tcPr>
          <w:p w14:paraId="4712FFCA" w14:textId="77777777" w:rsidR="00375AE8" w:rsidRPr="008B2872" w:rsidRDefault="00375AE8" w:rsidP="0049324B">
            <w:pPr>
              <w:jc w:val="center"/>
              <w:rPr>
                <w:sz w:val="16"/>
                <w:szCs w:val="16"/>
              </w:rPr>
            </w:pPr>
          </w:p>
        </w:tc>
        <w:tc>
          <w:tcPr>
            <w:tcW w:w="690" w:type="dxa"/>
          </w:tcPr>
          <w:p w14:paraId="3EEBD302" w14:textId="77777777" w:rsidR="00375AE8" w:rsidRPr="008B2872" w:rsidRDefault="00375AE8" w:rsidP="0049324B">
            <w:pPr>
              <w:jc w:val="center"/>
              <w:rPr>
                <w:sz w:val="16"/>
                <w:szCs w:val="16"/>
              </w:rPr>
            </w:pPr>
          </w:p>
        </w:tc>
      </w:tr>
      <w:tr w:rsidR="00375AE8" w14:paraId="41403564" w14:textId="77777777" w:rsidTr="00043FA1">
        <w:tc>
          <w:tcPr>
            <w:tcW w:w="1441" w:type="dxa"/>
            <w:vMerge/>
          </w:tcPr>
          <w:p w14:paraId="69E0AEA3" w14:textId="77777777" w:rsidR="00375AE8" w:rsidRPr="008B2872" w:rsidRDefault="00375AE8" w:rsidP="0049324B">
            <w:pPr>
              <w:jc w:val="center"/>
              <w:rPr>
                <w:sz w:val="16"/>
                <w:szCs w:val="16"/>
              </w:rPr>
            </w:pPr>
          </w:p>
        </w:tc>
        <w:tc>
          <w:tcPr>
            <w:tcW w:w="1367" w:type="dxa"/>
            <w:vMerge w:val="restart"/>
          </w:tcPr>
          <w:p w14:paraId="6B989913" w14:textId="4F72C92D" w:rsidR="00375AE8" w:rsidRPr="008B2872" w:rsidRDefault="00375AE8" w:rsidP="0049324B">
            <w:pPr>
              <w:jc w:val="center"/>
              <w:rPr>
                <w:sz w:val="16"/>
                <w:szCs w:val="16"/>
              </w:rPr>
            </w:pPr>
            <w:r>
              <w:rPr>
                <w:sz w:val="16"/>
                <w:szCs w:val="16"/>
              </w:rPr>
              <w:t>Management Planning</w:t>
            </w:r>
          </w:p>
        </w:tc>
        <w:tc>
          <w:tcPr>
            <w:tcW w:w="2414" w:type="dxa"/>
          </w:tcPr>
          <w:p w14:paraId="58356364" w14:textId="727A72C2" w:rsidR="00375AE8" w:rsidRPr="008B2872" w:rsidRDefault="00375AE8" w:rsidP="0049324B">
            <w:pPr>
              <w:jc w:val="center"/>
              <w:rPr>
                <w:sz w:val="16"/>
                <w:szCs w:val="16"/>
              </w:rPr>
            </w:pPr>
            <w:r>
              <w:rPr>
                <w:sz w:val="16"/>
                <w:szCs w:val="16"/>
              </w:rPr>
              <w:t>Best practice management options developed</w:t>
            </w:r>
          </w:p>
        </w:tc>
        <w:tc>
          <w:tcPr>
            <w:tcW w:w="1309" w:type="dxa"/>
          </w:tcPr>
          <w:p w14:paraId="1332C5FA" w14:textId="30BEB5EB" w:rsidR="00375AE8" w:rsidRPr="008B2872" w:rsidRDefault="00375AE8" w:rsidP="0049324B">
            <w:pPr>
              <w:jc w:val="center"/>
              <w:rPr>
                <w:sz w:val="16"/>
                <w:szCs w:val="16"/>
              </w:rPr>
            </w:pPr>
            <w:r>
              <w:rPr>
                <w:sz w:val="16"/>
                <w:szCs w:val="16"/>
              </w:rPr>
              <w:t>MNRET</w:t>
            </w:r>
          </w:p>
        </w:tc>
        <w:tc>
          <w:tcPr>
            <w:tcW w:w="610" w:type="dxa"/>
          </w:tcPr>
          <w:p w14:paraId="1DE1C8B6" w14:textId="77777777" w:rsidR="00375AE8" w:rsidRPr="008B2872" w:rsidRDefault="00375AE8" w:rsidP="0049324B">
            <w:pPr>
              <w:jc w:val="center"/>
              <w:rPr>
                <w:sz w:val="16"/>
                <w:szCs w:val="16"/>
              </w:rPr>
            </w:pPr>
          </w:p>
        </w:tc>
        <w:tc>
          <w:tcPr>
            <w:tcW w:w="645" w:type="dxa"/>
          </w:tcPr>
          <w:p w14:paraId="79DDAD21" w14:textId="77777777" w:rsidR="00375AE8" w:rsidRPr="008B2872" w:rsidRDefault="00375AE8" w:rsidP="0049324B">
            <w:pPr>
              <w:jc w:val="center"/>
              <w:rPr>
                <w:sz w:val="16"/>
                <w:szCs w:val="16"/>
              </w:rPr>
            </w:pPr>
          </w:p>
        </w:tc>
        <w:tc>
          <w:tcPr>
            <w:tcW w:w="690" w:type="dxa"/>
          </w:tcPr>
          <w:p w14:paraId="4847C1F9" w14:textId="77777777" w:rsidR="00375AE8" w:rsidRPr="008B2872" w:rsidRDefault="00375AE8" w:rsidP="0049324B">
            <w:pPr>
              <w:jc w:val="center"/>
              <w:rPr>
                <w:sz w:val="16"/>
                <w:szCs w:val="16"/>
              </w:rPr>
            </w:pPr>
          </w:p>
        </w:tc>
        <w:tc>
          <w:tcPr>
            <w:tcW w:w="587" w:type="dxa"/>
            <w:shd w:val="clear" w:color="auto" w:fill="FBD4B4" w:themeFill="accent6" w:themeFillTint="66"/>
          </w:tcPr>
          <w:p w14:paraId="03E95862" w14:textId="77777777" w:rsidR="00375AE8" w:rsidRPr="008B2872" w:rsidRDefault="00375AE8" w:rsidP="0049324B">
            <w:pPr>
              <w:jc w:val="center"/>
              <w:rPr>
                <w:sz w:val="16"/>
                <w:szCs w:val="16"/>
              </w:rPr>
            </w:pPr>
          </w:p>
        </w:tc>
        <w:tc>
          <w:tcPr>
            <w:tcW w:w="690" w:type="dxa"/>
            <w:shd w:val="clear" w:color="auto" w:fill="FBD4B4" w:themeFill="accent6" w:themeFillTint="66"/>
          </w:tcPr>
          <w:p w14:paraId="29F062CC" w14:textId="77777777" w:rsidR="00375AE8" w:rsidRPr="008B2872" w:rsidRDefault="00375AE8" w:rsidP="0049324B">
            <w:pPr>
              <w:jc w:val="center"/>
              <w:rPr>
                <w:sz w:val="16"/>
                <w:szCs w:val="16"/>
              </w:rPr>
            </w:pPr>
          </w:p>
        </w:tc>
        <w:tc>
          <w:tcPr>
            <w:tcW w:w="540" w:type="dxa"/>
          </w:tcPr>
          <w:p w14:paraId="060AF29F" w14:textId="77777777" w:rsidR="00375AE8" w:rsidRPr="008B2872" w:rsidRDefault="00375AE8" w:rsidP="0049324B">
            <w:pPr>
              <w:jc w:val="center"/>
              <w:rPr>
                <w:sz w:val="16"/>
                <w:szCs w:val="16"/>
              </w:rPr>
            </w:pPr>
          </w:p>
        </w:tc>
        <w:tc>
          <w:tcPr>
            <w:tcW w:w="690" w:type="dxa"/>
          </w:tcPr>
          <w:p w14:paraId="6D0A6E50" w14:textId="77777777" w:rsidR="00375AE8" w:rsidRPr="008B2872" w:rsidRDefault="00375AE8" w:rsidP="0049324B">
            <w:pPr>
              <w:jc w:val="center"/>
              <w:rPr>
                <w:sz w:val="16"/>
                <w:szCs w:val="16"/>
              </w:rPr>
            </w:pPr>
          </w:p>
        </w:tc>
        <w:tc>
          <w:tcPr>
            <w:tcW w:w="534" w:type="dxa"/>
          </w:tcPr>
          <w:p w14:paraId="4436E7E0" w14:textId="77777777" w:rsidR="00375AE8" w:rsidRPr="008B2872" w:rsidRDefault="00375AE8" w:rsidP="0049324B">
            <w:pPr>
              <w:jc w:val="center"/>
              <w:rPr>
                <w:sz w:val="16"/>
                <w:szCs w:val="16"/>
              </w:rPr>
            </w:pPr>
          </w:p>
        </w:tc>
        <w:tc>
          <w:tcPr>
            <w:tcW w:w="690" w:type="dxa"/>
          </w:tcPr>
          <w:p w14:paraId="096A5D1C" w14:textId="77777777" w:rsidR="00375AE8" w:rsidRPr="008B2872" w:rsidRDefault="00375AE8" w:rsidP="0049324B">
            <w:pPr>
              <w:jc w:val="center"/>
              <w:rPr>
                <w:sz w:val="16"/>
                <w:szCs w:val="16"/>
              </w:rPr>
            </w:pPr>
          </w:p>
        </w:tc>
        <w:tc>
          <w:tcPr>
            <w:tcW w:w="516" w:type="dxa"/>
          </w:tcPr>
          <w:p w14:paraId="5082C1C1" w14:textId="77777777" w:rsidR="00375AE8" w:rsidRPr="008B2872" w:rsidRDefault="00375AE8" w:rsidP="0049324B">
            <w:pPr>
              <w:jc w:val="center"/>
              <w:rPr>
                <w:sz w:val="16"/>
                <w:szCs w:val="16"/>
              </w:rPr>
            </w:pPr>
          </w:p>
        </w:tc>
        <w:tc>
          <w:tcPr>
            <w:tcW w:w="690" w:type="dxa"/>
          </w:tcPr>
          <w:p w14:paraId="434FE700" w14:textId="77777777" w:rsidR="00375AE8" w:rsidRPr="008B2872" w:rsidRDefault="00375AE8" w:rsidP="0049324B">
            <w:pPr>
              <w:jc w:val="center"/>
              <w:rPr>
                <w:sz w:val="16"/>
                <w:szCs w:val="16"/>
              </w:rPr>
            </w:pPr>
          </w:p>
        </w:tc>
        <w:tc>
          <w:tcPr>
            <w:tcW w:w="513" w:type="dxa"/>
          </w:tcPr>
          <w:p w14:paraId="6B5DB554" w14:textId="77777777" w:rsidR="00375AE8" w:rsidRPr="008B2872" w:rsidRDefault="00375AE8" w:rsidP="0049324B">
            <w:pPr>
              <w:jc w:val="center"/>
              <w:rPr>
                <w:sz w:val="16"/>
                <w:szCs w:val="16"/>
              </w:rPr>
            </w:pPr>
          </w:p>
        </w:tc>
        <w:tc>
          <w:tcPr>
            <w:tcW w:w="690" w:type="dxa"/>
          </w:tcPr>
          <w:p w14:paraId="0502388D" w14:textId="77777777" w:rsidR="00375AE8" w:rsidRPr="008B2872" w:rsidRDefault="00375AE8" w:rsidP="0049324B">
            <w:pPr>
              <w:jc w:val="center"/>
              <w:rPr>
                <w:sz w:val="16"/>
                <w:szCs w:val="16"/>
              </w:rPr>
            </w:pPr>
          </w:p>
        </w:tc>
      </w:tr>
      <w:tr w:rsidR="00375AE8" w14:paraId="0D55E97C" w14:textId="77777777" w:rsidTr="00043FA1">
        <w:tc>
          <w:tcPr>
            <w:tcW w:w="1441" w:type="dxa"/>
            <w:vMerge/>
          </w:tcPr>
          <w:p w14:paraId="574D11B2" w14:textId="77777777" w:rsidR="00375AE8" w:rsidRPr="008B2872" w:rsidRDefault="00375AE8" w:rsidP="0049324B">
            <w:pPr>
              <w:jc w:val="center"/>
              <w:rPr>
                <w:sz w:val="16"/>
                <w:szCs w:val="16"/>
              </w:rPr>
            </w:pPr>
          </w:p>
        </w:tc>
        <w:tc>
          <w:tcPr>
            <w:tcW w:w="1367" w:type="dxa"/>
            <w:vMerge/>
          </w:tcPr>
          <w:p w14:paraId="42ACC7BC" w14:textId="77777777" w:rsidR="00375AE8" w:rsidRPr="008B2872" w:rsidRDefault="00375AE8" w:rsidP="0049324B">
            <w:pPr>
              <w:jc w:val="center"/>
              <w:rPr>
                <w:sz w:val="16"/>
                <w:szCs w:val="16"/>
              </w:rPr>
            </w:pPr>
          </w:p>
        </w:tc>
        <w:tc>
          <w:tcPr>
            <w:tcW w:w="2414" w:type="dxa"/>
          </w:tcPr>
          <w:p w14:paraId="79774A9D" w14:textId="5E917A22" w:rsidR="00375AE8" w:rsidRPr="008B2872" w:rsidRDefault="00375AE8" w:rsidP="0049324B">
            <w:pPr>
              <w:jc w:val="center"/>
              <w:rPr>
                <w:sz w:val="16"/>
                <w:szCs w:val="16"/>
              </w:rPr>
            </w:pPr>
            <w:r>
              <w:rPr>
                <w:sz w:val="16"/>
                <w:szCs w:val="16"/>
              </w:rPr>
              <w:t>Collection of information, including IAS at sites</w:t>
            </w:r>
          </w:p>
        </w:tc>
        <w:tc>
          <w:tcPr>
            <w:tcW w:w="1309" w:type="dxa"/>
          </w:tcPr>
          <w:p w14:paraId="707668A3" w14:textId="1F55B2AB" w:rsidR="00375AE8" w:rsidRPr="008B2872" w:rsidRDefault="00375AE8" w:rsidP="0049324B">
            <w:pPr>
              <w:jc w:val="center"/>
              <w:rPr>
                <w:sz w:val="16"/>
                <w:szCs w:val="16"/>
              </w:rPr>
            </w:pPr>
            <w:r>
              <w:rPr>
                <w:sz w:val="16"/>
                <w:szCs w:val="16"/>
              </w:rPr>
              <w:t>NISCO and NISC</w:t>
            </w:r>
          </w:p>
        </w:tc>
        <w:tc>
          <w:tcPr>
            <w:tcW w:w="610" w:type="dxa"/>
          </w:tcPr>
          <w:p w14:paraId="09991BF2" w14:textId="77777777" w:rsidR="00375AE8" w:rsidRPr="008B2872" w:rsidRDefault="00375AE8" w:rsidP="0049324B">
            <w:pPr>
              <w:jc w:val="center"/>
              <w:rPr>
                <w:sz w:val="16"/>
                <w:szCs w:val="16"/>
              </w:rPr>
            </w:pPr>
          </w:p>
        </w:tc>
        <w:tc>
          <w:tcPr>
            <w:tcW w:w="645" w:type="dxa"/>
          </w:tcPr>
          <w:p w14:paraId="51D1C797" w14:textId="77777777" w:rsidR="00375AE8" w:rsidRPr="008B2872" w:rsidRDefault="00375AE8" w:rsidP="0049324B">
            <w:pPr>
              <w:jc w:val="center"/>
              <w:rPr>
                <w:sz w:val="16"/>
                <w:szCs w:val="16"/>
              </w:rPr>
            </w:pPr>
          </w:p>
        </w:tc>
        <w:tc>
          <w:tcPr>
            <w:tcW w:w="690" w:type="dxa"/>
          </w:tcPr>
          <w:p w14:paraId="77E2B9ED" w14:textId="77777777" w:rsidR="00375AE8" w:rsidRPr="008B2872" w:rsidRDefault="00375AE8" w:rsidP="0049324B">
            <w:pPr>
              <w:jc w:val="center"/>
              <w:rPr>
                <w:sz w:val="16"/>
                <w:szCs w:val="16"/>
              </w:rPr>
            </w:pPr>
          </w:p>
        </w:tc>
        <w:tc>
          <w:tcPr>
            <w:tcW w:w="587" w:type="dxa"/>
            <w:shd w:val="clear" w:color="auto" w:fill="FBD4B4" w:themeFill="accent6" w:themeFillTint="66"/>
          </w:tcPr>
          <w:p w14:paraId="5003C3A4" w14:textId="77777777" w:rsidR="00375AE8" w:rsidRPr="008B2872" w:rsidRDefault="00375AE8" w:rsidP="0049324B">
            <w:pPr>
              <w:jc w:val="center"/>
              <w:rPr>
                <w:sz w:val="16"/>
                <w:szCs w:val="16"/>
              </w:rPr>
            </w:pPr>
          </w:p>
        </w:tc>
        <w:tc>
          <w:tcPr>
            <w:tcW w:w="690" w:type="dxa"/>
            <w:shd w:val="clear" w:color="auto" w:fill="FBD4B4" w:themeFill="accent6" w:themeFillTint="66"/>
          </w:tcPr>
          <w:p w14:paraId="3B753EE0" w14:textId="77777777" w:rsidR="00375AE8" w:rsidRPr="008B2872" w:rsidRDefault="00375AE8" w:rsidP="0049324B">
            <w:pPr>
              <w:jc w:val="center"/>
              <w:rPr>
                <w:sz w:val="16"/>
                <w:szCs w:val="16"/>
              </w:rPr>
            </w:pPr>
          </w:p>
        </w:tc>
        <w:tc>
          <w:tcPr>
            <w:tcW w:w="540" w:type="dxa"/>
            <w:shd w:val="clear" w:color="auto" w:fill="FBD4B4" w:themeFill="accent6" w:themeFillTint="66"/>
          </w:tcPr>
          <w:p w14:paraId="1BF9D81E" w14:textId="77777777" w:rsidR="00375AE8" w:rsidRPr="008B2872" w:rsidRDefault="00375AE8" w:rsidP="0049324B">
            <w:pPr>
              <w:jc w:val="center"/>
              <w:rPr>
                <w:sz w:val="16"/>
                <w:szCs w:val="16"/>
              </w:rPr>
            </w:pPr>
          </w:p>
        </w:tc>
        <w:tc>
          <w:tcPr>
            <w:tcW w:w="690" w:type="dxa"/>
            <w:shd w:val="clear" w:color="auto" w:fill="FBD4B4" w:themeFill="accent6" w:themeFillTint="66"/>
          </w:tcPr>
          <w:p w14:paraId="5AE4A7FA" w14:textId="77777777" w:rsidR="00375AE8" w:rsidRPr="008B2872" w:rsidRDefault="00375AE8" w:rsidP="0049324B">
            <w:pPr>
              <w:jc w:val="center"/>
              <w:rPr>
                <w:sz w:val="16"/>
                <w:szCs w:val="16"/>
              </w:rPr>
            </w:pPr>
          </w:p>
        </w:tc>
        <w:tc>
          <w:tcPr>
            <w:tcW w:w="534" w:type="dxa"/>
            <w:shd w:val="clear" w:color="auto" w:fill="FBD4B4" w:themeFill="accent6" w:themeFillTint="66"/>
          </w:tcPr>
          <w:p w14:paraId="110CFAB0" w14:textId="77777777" w:rsidR="00375AE8" w:rsidRPr="008B2872" w:rsidRDefault="00375AE8" w:rsidP="0049324B">
            <w:pPr>
              <w:jc w:val="center"/>
              <w:rPr>
                <w:sz w:val="16"/>
                <w:szCs w:val="16"/>
              </w:rPr>
            </w:pPr>
          </w:p>
        </w:tc>
        <w:tc>
          <w:tcPr>
            <w:tcW w:w="690" w:type="dxa"/>
            <w:shd w:val="clear" w:color="auto" w:fill="FBD4B4" w:themeFill="accent6" w:themeFillTint="66"/>
          </w:tcPr>
          <w:p w14:paraId="39F9F5C0" w14:textId="77777777" w:rsidR="00375AE8" w:rsidRPr="008B2872" w:rsidRDefault="00375AE8" w:rsidP="0049324B">
            <w:pPr>
              <w:jc w:val="center"/>
              <w:rPr>
                <w:sz w:val="16"/>
                <w:szCs w:val="16"/>
              </w:rPr>
            </w:pPr>
          </w:p>
        </w:tc>
        <w:tc>
          <w:tcPr>
            <w:tcW w:w="516" w:type="dxa"/>
          </w:tcPr>
          <w:p w14:paraId="455588FD" w14:textId="77777777" w:rsidR="00375AE8" w:rsidRPr="008B2872" w:rsidRDefault="00375AE8" w:rsidP="0049324B">
            <w:pPr>
              <w:jc w:val="center"/>
              <w:rPr>
                <w:sz w:val="16"/>
                <w:szCs w:val="16"/>
              </w:rPr>
            </w:pPr>
          </w:p>
        </w:tc>
        <w:tc>
          <w:tcPr>
            <w:tcW w:w="690" w:type="dxa"/>
          </w:tcPr>
          <w:p w14:paraId="7D751B43" w14:textId="77777777" w:rsidR="00375AE8" w:rsidRPr="008B2872" w:rsidRDefault="00375AE8" w:rsidP="0049324B">
            <w:pPr>
              <w:jc w:val="center"/>
              <w:rPr>
                <w:sz w:val="16"/>
                <w:szCs w:val="16"/>
              </w:rPr>
            </w:pPr>
          </w:p>
        </w:tc>
        <w:tc>
          <w:tcPr>
            <w:tcW w:w="513" w:type="dxa"/>
          </w:tcPr>
          <w:p w14:paraId="10A3D2E0" w14:textId="77777777" w:rsidR="00375AE8" w:rsidRPr="008B2872" w:rsidRDefault="00375AE8" w:rsidP="0049324B">
            <w:pPr>
              <w:jc w:val="center"/>
              <w:rPr>
                <w:sz w:val="16"/>
                <w:szCs w:val="16"/>
              </w:rPr>
            </w:pPr>
          </w:p>
        </w:tc>
        <w:tc>
          <w:tcPr>
            <w:tcW w:w="690" w:type="dxa"/>
          </w:tcPr>
          <w:p w14:paraId="77DDA6D3" w14:textId="77777777" w:rsidR="00375AE8" w:rsidRPr="008B2872" w:rsidRDefault="00375AE8" w:rsidP="0049324B">
            <w:pPr>
              <w:jc w:val="center"/>
              <w:rPr>
                <w:sz w:val="16"/>
                <w:szCs w:val="16"/>
              </w:rPr>
            </w:pPr>
          </w:p>
        </w:tc>
      </w:tr>
      <w:tr w:rsidR="00375AE8" w14:paraId="280DBA9D" w14:textId="77777777" w:rsidTr="00043FA1">
        <w:tc>
          <w:tcPr>
            <w:tcW w:w="1441" w:type="dxa"/>
            <w:vMerge/>
          </w:tcPr>
          <w:p w14:paraId="33EB0533" w14:textId="77777777" w:rsidR="00375AE8" w:rsidRPr="008B2872" w:rsidRDefault="00375AE8" w:rsidP="0049324B">
            <w:pPr>
              <w:jc w:val="center"/>
              <w:rPr>
                <w:sz w:val="16"/>
                <w:szCs w:val="16"/>
              </w:rPr>
            </w:pPr>
          </w:p>
        </w:tc>
        <w:tc>
          <w:tcPr>
            <w:tcW w:w="1367" w:type="dxa"/>
            <w:vMerge/>
          </w:tcPr>
          <w:p w14:paraId="5A33567C" w14:textId="77777777" w:rsidR="00375AE8" w:rsidRPr="008B2872" w:rsidRDefault="00375AE8" w:rsidP="0049324B">
            <w:pPr>
              <w:jc w:val="center"/>
              <w:rPr>
                <w:sz w:val="16"/>
                <w:szCs w:val="16"/>
              </w:rPr>
            </w:pPr>
          </w:p>
        </w:tc>
        <w:tc>
          <w:tcPr>
            <w:tcW w:w="2414" w:type="dxa"/>
          </w:tcPr>
          <w:p w14:paraId="7E89AE88" w14:textId="49622BCF" w:rsidR="00375AE8" w:rsidRPr="008B2872" w:rsidRDefault="00375AE8" w:rsidP="0049324B">
            <w:pPr>
              <w:jc w:val="center"/>
              <w:rPr>
                <w:sz w:val="16"/>
                <w:szCs w:val="16"/>
              </w:rPr>
            </w:pPr>
            <w:r>
              <w:rPr>
                <w:sz w:val="16"/>
                <w:szCs w:val="16"/>
              </w:rPr>
              <w:t>Preparation of site specific plans for HCVFs, HCVMAs including sustainable tourism, IAS removal and biosecurity</w:t>
            </w:r>
          </w:p>
        </w:tc>
        <w:tc>
          <w:tcPr>
            <w:tcW w:w="1309" w:type="dxa"/>
          </w:tcPr>
          <w:p w14:paraId="02F98F4C" w14:textId="35B409BC" w:rsidR="00375AE8" w:rsidRPr="008B2872" w:rsidRDefault="00375AE8" w:rsidP="0049324B">
            <w:pPr>
              <w:jc w:val="center"/>
              <w:rPr>
                <w:sz w:val="16"/>
                <w:szCs w:val="16"/>
              </w:rPr>
            </w:pPr>
            <w:r>
              <w:rPr>
                <w:sz w:val="16"/>
                <w:szCs w:val="16"/>
              </w:rPr>
              <w:t>JCB and Babeldaob States</w:t>
            </w:r>
          </w:p>
        </w:tc>
        <w:tc>
          <w:tcPr>
            <w:tcW w:w="610" w:type="dxa"/>
          </w:tcPr>
          <w:p w14:paraId="3AFAFBB3" w14:textId="77777777" w:rsidR="00375AE8" w:rsidRPr="008B2872" w:rsidRDefault="00375AE8" w:rsidP="0049324B">
            <w:pPr>
              <w:jc w:val="center"/>
              <w:rPr>
                <w:sz w:val="16"/>
                <w:szCs w:val="16"/>
              </w:rPr>
            </w:pPr>
          </w:p>
        </w:tc>
        <w:tc>
          <w:tcPr>
            <w:tcW w:w="645" w:type="dxa"/>
          </w:tcPr>
          <w:p w14:paraId="4996D87F" w14:textId="77777777" w:rsidR="00375AE8" w:rsidRPr="008B2872" w:rsidRDefault="00375AE8" w:rsidP="0049324B">
            <w:pPr>
              <w:jc w:val="center"/>
              <w:rPr>
                <w:sz w:val="16"/>
                <w:szCs w:val="16"/>
              </w:rPr>
            </w:pPr>
          </w:p>
        </w:tc>
        <w:tc>
          <w:tcPr>
            <w:tcW w:w="690" w:type="dxa"/>
          </w:tcPr>
          <w:p w14:paraId="3AFC6225" w14:textId="77777777" w:rsidR="00375AE8" w:rsidRPr="008B2872" w:rsidRDefault="00375AE8" w:rsidP="0049324B">
            <w:pPr>
              <w:jc w:val="center"/>
              <w:rPr>
                <w:sz w:val="16"/>
                <w:szCs w:val="16"/>
              </w:rPr>
            </w:pPr>
          </w:p>
        </w:tc>
        <w:tc>
          <w:tcPr>
            <w:tcW w:w="587" w:type="dxa"/>
            <w:shd w:val="clear" w:color="auto" w:fill="FBD4B4" w:themeFill="accent6" w:themeFillTint="66"/>
          </w:tcPr>
          <w:p w14:paraId="7F4DEF64" w14:textId="77777777" w:rsidR="00375AE8" w:rsidRPr="008B2872" w:rsidRDefault="00375AE8" w:rsidP="0049324B">
            <w:pPr>
              <w:jc w:val="center"/>
              <w:rPr>
                <w:sz w:val="16"/>
                <w:szCs w:val="16"/>
              </w:rPr>
            </w:pPr>
          </w:p>
        </w:tc>
        <w:tc>
          <w:tcPr>
            <w:tcW w:w="690" w:type="dxa"/>
            <w:shd w:val="clear" w:color="auto" w:fill="FBD4B4" w:themeFill="accent6" w:themeFillTint="66"/>
          </w:tcPr>
          <w:p w14:paraId="6BE5DA3E" w14:textId="77777777" w:rsidR="00375AE8" w:rsidRPr="008B2872" w:rsidRDefault="00375AE8" w:rsidP="0049324B">
            <w:pPr>
              <w:jc w:val="center"/>
              <w:rPr>
                <w:sz w:val="16"/>
                <w:szCs w:val="16"/>
              </w:rPr>
            </w:pPr>
          </w:p>
        </w:tc>
        <w:tc>
          <w:tcPr>
            <w:tcW w:w="540" w:type="dxa"/>
            <w:shd w:val="clear" w:color="auto" w:fill="FBD4B4" w:themeFill="accent6" w:themeFillTint="66"/>
          </w:tcPr>
          <w:p w14:paraId="6BF273BB" w14:textId="77777777" w:rsidR="00375AE8" w:rsidRPr="008B2872" w:rsidRDefault="00375AE8" w:rsidP="0049324B">
            <w:pPr>
              <w:jc w:val="center"/>
              <w:rPr>
                <w:sz w:val="16"/>
                <w:szCs w:val="16"/>
              </w:rPr>
            </w:pPr>
          </w:p>
        </w:tc>
        <w:tc>
          <w:tcPr>
            <w:tcW w:w="690" w:type="dxa"/>
            <w:shd w:val="clear" w:color="auto" w:fill="FBD4B4" w:themeFill="accent6" w:themeFillTint="66"/>
          </w:tcPr>
          <w:p w14:paraId="4F4ECCD6" w14:textId="77777777" w:rsidR="00375AE8" w:rsidRPr="008B2872" w:rsidRDefault="00375AE8" w:rsidP="0049324B">
            <w:pPr>
              <w:jc w:val="center"/>
              <w:rPr>
                <w:sz w:val="16"/>
                <w:szCs w:val="16"/>
              </w:rPr>
            </w:pPr>
          </w:p>
        </w:tc>
        <w:tc>
          <w:tcPr>
            <w:tcW w:w="534" w:type="dxa"/>
          </w:tcPr>
          <w:p w14:paraId="1D1509FB" w14:textId="77777777" w:rsidR="00375AE8" w:rsidRPr="008B2872" w:rsidRDefault="00375AE8" w:rsidP="0049324B">
            <w:pPr>
              <w:jc w:val="center"/>
              <w:rPr>
                <w:sz w:val="16"/>
                <w:szCs w:val="16"/>
              </w:rPr>
            </w:pPr>
          </w:p>
        </w:tc>
        <w:tc>
          <w:tcPr>
            <w:tcW w:w="690" w:type="dxa"/>
          </w:tcPr>
          <w:p w14:paraId="4B2CACA9" w14:textId="77777777" w:rsidR="00375AE8" w:rsidRPr="008B2872" w:rsidRDefault="00375AE8" w:rsidP="0049324B">
            <w:pPr>
              <w:jc w:val="center"/>
              <w:rPr>
                <w:sz w:val="16"/>
                <w:szCs w:val="16"/>
              </w:rPr>
            </w:pPr>
          </w:p>
        </w:tc>
        <w:tc>
          <w:tcPr>
            <w:tcW w:w="516" w:type="dxa"/>
          </w:tcPr>
          <w:p w14:paraId="0BE8BE5E" w14:textId="77777777" w:rsidR="00375AE8" w:rsidRPr="008B2872" w:rsidRDefault="00375AE8" w:rsidP="0049324B">
            <w:pPr>
              <w:jc w:val="center"/>
              <w:rPr>
                <w:sz w:val="16"/>
                <w:szCs w:val="16"/>
              </w:rPr>
            </w:pPr>
          </w:p>
        </w:tc>
        <w:tc>
          <w:tcPr>
            <w:tcW w:w="690" w:type="dxa"/>
          </w:tcPr>
          <w:p w14:paraId="7ADBCFFF" w14:textId="77777777" w:rsidR="00375AE8" w:rsidRPr="008B2872" w:rsidRDefault="00375AE8" w:rsidP="0049324B">
            <w:pPr>
              <w:jc w:val="center"/>
              <w:rPr>
                <w:sz w:val="16"/>
                <w:szCs w:val="16"/>
              </w:rPr>
            </w:pPr>
          </w:p>
        </w:tc>
        <w:tc>
          <w:tcPr>
            <w:tcW w:w="513" w:type="dxa"/>
          </w:tcPr>
          <w:p w14:paraId="5DC75E26" w14:textId="77777777" w:rsidR="00375AE8" w:rsidRPr="008B2872" w:rsidRDefault="00375AE8" w:rsidP="0049324B">
            <w:pPr>
              <w:jc w:val="center"/>
              <w:rPr>
                <w:sz w:val="16"/>
                <w:szCs w:val="16"/>
              </w:rPr>
            </w:pPr>
          </w:p>
        </w:tc>
        <w:tc>
          <w:tcPr>
            <w:tcW w:w="690" w:type="dxa"/>
          </w:tcPr>
          <w:p w14:paraId="4473C307" w14:textId="77777777" w:rsidR="00375AE8" w:rsidRPr="008B2872" w:rsidRDefault="00375AE8" w:rsidP="0049324B">
            <w:pPr>
              <w:jc w:val="center"/>
              <w:rPr>
                <w:sz w:val="16"/>
                <w:szCs w:val="16"/>
              </w:rPr>
            </w:pPr>
          </w:p>
        </w:tc>
      </w:tr>
      <w:tr w:rsidR="00375AE8" w14:paraId="3345E49E" w14:textId="77777777" w:rsidTr="008761EB">
        <w:tc>
          <w:tcPr>
            <w:tcW w:w="1441" w:type="dxa"/>
            <w:vMerge/>
          </w:tcPr>
          <w:p w14:paraId="31BCCF0F" w14:textId="77777777" w:rsidR="00375AE8" w:rsidRPr="008B2872" w:rsidRDefault="00375AE8" w:rsidP="0049324B">
            <w:pPr>
              <w:jc w:val="center"/>
              <w:rPr>
                <w:sz w:val="16"/>
                <w:szCs w:val="16"/>
              </w:rPr>
            </w:pPr>
          </w:p>
        </w:tc>
        <w:tc>
          <w:tcPr>
            <w:tcW w:w="1367" w:type="dxa"/>
            <w:vMerge w:val="restart"/>
          </w:tcPr>
          <w:p w14:paraId="33604ADE" w14:textId="055E282C" w:rsidR="00375AE8" w:rsidRPr="008B2872" w:rsidRDefault="00375AE8" w:rsidP="0049324B">
            <w:pPr>
              <w:jc w:val="center"/>
              <w:rPr>
                <w:sz w:val="16"/>
                <w:szCs w:val="16"/>
              </w:rPr>
            </w:pPr>
            <w:r>
              <w:rPr>
                <w:sz w:val="16"/>
                <w:szCs w:val="16"/>
              </w:rPr>
              <w:t>Implementation of management plans</w:t>
            </w:r>
          </w:p>
        </w:tc>
        <w:tc>
          <w:tcPr>
            <w:tcW w:w="2414" w:type="dxa"/>
            <w:vMerge w:val="restart"/>
          </w:tcPr>
          <w:p w14:paraId="69C2BBDF" w14:textId="77777777" w:rsidR="00375AE8" w:rsidRPr="008B2872" w:rsidRDefault="00375AE8" w:rsidP="0049324B">
            <w:pPr>
              <w:jc w:val="center"/>
              <w:rPr>
                <w:sz w:val="16"/>
                <w:szCs w:val="16"/>
              </w:rPr>
            </w:pPr>
            <w:r>
              <w:rPr>
                <w:sz w:val="16"/>
                <w:szCs w:val="16"/>
              </w:rPr>
              <w:t>Implementation of best practices (including IAS removal and management)</w:t>
            </w:r>
          </w:p>
          <w:p w14:paraId="1024E704" w14:textId="6EAE405D" w:rsidR="00375AE8" w:rsidRPr="008B2872" w:rsidRDefault="00375AE8" w:rsidP="0049324B">
            <w:pPr>
              <w:jc w:val="center"/>
              <w:rPr>
                <w:sz w:val="16"/>
                <w:szCs w:val="16"/>
              </w:rPr>
            </w:pPr>
            <w:r>
              <w:rPr>
                <w:sz w:val="16"/>
                <w:szCs w:val="16"/>
              </w:rPr>
              <w:t>Capacity building for management of HCVFs and HCVMAs</w:t>
            </w:r>
          </w:p>
        </w:tc>
        <w:tc>
          <w:tcPr>
            <w:tcW w:w="1309" w:type="dxa"/>
          </w:tcPr>
          <w:p w14:paraId="72BF390D" w14:textId="56E6534D" w:rsidR="00375AE8" w:rsidRPr="008B2872" w:rsidRDefault="00375AE8" w:rsidP="0049324B">
            <w:pPr>
              <w:jc w:val="center"/>
              <w:rPr>
                <w:sz w:val="16"/>
                <w:szCs w:val="16"/>
              </w:rPr>
            </w:pPr>
            <w:r>
              <w:rPr>
                <w:sz w:val="16"/>
                <w:szCs w:val="16"/>
              </w:rPr>
              <w:t>MNRET and Babeldaob States</w:t>
            </w:r>
          </w:p>
        </w:tc>
        <w:tc>
          <w:tcPr>
            <w:tcW w:w="610" w:type="dxa"/>
          </w:tcPr>
          <w:p w14:paraId="2CFC9532" w14:textId="77777777" w:rsidR="00375AE8" w:rsidRPr="008B2872" w:rsidRDefault="00375AE8" w:rsidP="0049324B">
            <w:pPr>
              <w:jc w:val="center"/>
              <w:rPr>
                <w:sz w:val="16"/>
                <w:szCs w:val="16"/>
              </w:rPr>
            </w:pPr>
          </w:p>
        </w:tc>
        <w:tc>
          <w:tcPr>
            <w:tcW w:w="645" w:type="dxa"/>
          </w:tcPr>
          <w:p w14:paraId="70F4612C" w14:textId="77777777" w:rsidR="00375AE8" w:rsidRPr="008B2872" w:rsidRDefault="00375AE8" w:rsidP="0049324B">
            <w:pPr>
              <w:jc w:val="center"/>
              <w:rPr>
                <w:sz w:val="16"/>
                <w:szCs w:val="16"/>
              </w:rPr>
            </w:pPr>
          </w:p>
        </w:tc>
        <w:tc>
          <w:tcPr>
            <w:tcW w:w="690" w:type="dxa"/>
          </w:tcPr>
          <w:p w14:paraId="6A40D629" w14:textId="77777777" w:rsidR="00375AE8" w:rsidRPr="008B2872" w:rsidRDefault="00375AE8" w:rsidP="0049324B">
            <w:pPr>
              <w:jc w:val="center"/>
              <w:rPr>
                <w:sz w:val="16"/>
                <w:szCs w:val="16"/>
              </w:rPr>
            </w:pPr>
          </w:p>
        </w:tc>
        <w:tc>
          <w:tcPr>
            <w:tcW w:w="587" w:type="dxa"/>
            <w:shd w:val="clear" w:color="auto" w:fill="FBD4B4" w:themeFill="accent6" w:themeFillTint="66"/>
          </w:tcPr>
          <w:p w14:paraId="5464C26D" w14:textId="77777777" w:rsidR="00375AE8" w:rsidRPr="008B2872" w:rsidRDefault="00375AE8" w:rsidP="0049324B">
            <w:pPr>
              <w:jc w:val="center"/>
              <w:rPr>
                <w:sz w:val="16"/>
                <w:szCs w:val="16"/>
              </w:rPr>
            </w:pPr>
          </w:p>
        </w:tc>
        <w:tc>
          <w:tcPr>
            <w:tcW w:w="690" w:type="dxa"/>
            <w:shd w:val="clear" w:color="auto" w:fill="FBD4B4" w:themeFill="accent6" w:themeFillTint="66"/>
          </w:tcPr>
          <w:p w14:paraId="3883C024" w14:textId="77777777" w:rsidR="00375AE8" w:rsidRPr="008B2872" w:rsidRDefault="00375AE8" w:rsidP="0049324B">
            <w:pPr>
              <w:jc w:val="center"/>
              <w:rPr>
                <w:sz w:val="16"/>
                <w:szCs w:val="16"/>
              </w:rPr>
            </w:pPr>
          </w:p>
        </w:tc>
        <w:tc>
          <w:tcPr>
            <w:tcW w:w="540" w:type="dxa"/>
            <w:shd w:val="clear" w:color="auto" w:fill="FBD4B4" w:themeFill="accent6" w:themeFillTint="66"/>
          </w:tcPr>
          <w:p w14:paraId="316EF82D" w14:textId="77777777" w:rsidR="00375AE8" w:rsidRPr="008B2872" w:rsidRDefault="00375AE8" w:rsidP="0049324B">
            <w:pPr>
              <w:jc w:val="center"/>
              <w:rPr>
                <w:sz w:val="16"/>
                <w:szCs w:val="16"/>
              </w:rPr>
            </w:pPr>
          </w:p>
        </w:tc>
        <w:tc>
          <w:tcPr>
            <w:tcW w:w="690" w:type="dxa"/>
            <w:shd w:val="clear" w:color="auto" w:fill="FBD4B4" w:themeFill="accent6" w:themeFillTint="66"/>
          </w:tcPr>
          <w:p w14:paraId="09339AB0" w14:textId="77777777" w:rsidR="00375AE8" w:rsidRPr="008B2872" w:rsidRDefault="00375AE8" w:rsidP="0049324B">
            <w:pPr>
              <w:jc w:val="center"/>
              <w:rPr>
                <w:sz w:val="16"/>
                <w:szCs w:val="16"/>
              </w:rPr>
            </w:pPr>
          </w:p>
        </w:tc>
        <w:tc>
          <w:tcPr>
            <w:tcW w:w="534" w:type="dxa"/>
            <w:shd w:val="clear" w:color="auto" w:fill="FBD4B4" w:themeFill="accent6" w:themeFillTint="66"/>
          </w:tcPr>
          <w:p w14:paraId="1BC1F83A" w14:textId="77777777" w:rsidR="00375AE8" w:rsidRPr="008B2872" w:rsidRDefault="00375AE8" w:rsidP="0049324B">
            <w:pPr>
              <w:jc w:val="center"/>
              <w:rPr>
                <w:sz w:val="16"/>
                <w:szCs w:val="16"/>
              </w:rPr>
            </w:pPr>
          </w:p>
        </w:tc>
        <w:tc>
          <w:tcPr>
            <w:tcW w:w="690" w:type="dxa"/>
            <w:shd w:val="clear" w:color="auto" w:fill="FBD4B4" w:themeFill="accent6" w:themeFillTint="66"/>
          </w:tcPr>
          <w:p w14:paraId="7B5C9BF0" w14:textId="77777777" w:rsidR="00375AE8" w:rsidRPr="008B2872" w:rsidRDefault="00375AE8" w:rsidP="0049324B">
            <w:pPr>
              <w:jc w:val="center"/>
              <w:rPr>
                <w:sz w:val="16"/>
                <w:szCs w:val="16"/>
              </w:rPr>
            </w:pPr>
          </w:p>
        </w:tc>
        <w:tc>
          <w:tcPr>
            <w:tcW w:w="516" w:type="dxa"/>
            <w:shd w:val="clear" w:color="auto" w:fill="FBD4B4" w:themeFill="accent6" w:themeFillTint="66"/>
          </w:tcPr>
          <w:p w14:paraId="2AD74258" w14:textId="77777777" w:rsidR="00375AE8" w:rsidRPr="008B2872" w:rsidRDefault="00375AE8" w:rsidP="0049324B">
            <w:pPr>
              <w:jc w:val="center"/>
              <w:rPr>
                <w:sz w:val="16"/>
                <w:szCs w:val="16"/>
              </w:rPr>
            </w:pPr>
          </w:p>
        </w:tc>
        <w:tc>
          <w:tcPr>
            <w:tcW w:w="690" w:type="dxa"/>
            <w:shd w:val="clear" w:color="auto" w:fill="FBD4B4" w:themeFill="accent6" w:themeFillTint="66"/>
          </w:tcPr>
          <w:p w14:paraId="1F190310" w14:textId="77777777" w:rsidR="00375AE8" w:rsidRPr="008B2872" w:rsidRDefault="00375AE8" w:rsidP="0049324B">
            <w:pPr>
              <w:jc w:val="center"/>
              <w:rPr>
                <w:sz w:val="16"/>
                <w:szCs w:val="16"/>
              </w:rPr>
            </w:pPr>
          </w:p>
        </w:tc>
        <w:tc>
          <w:tcPr>
            <w:tcW w:w="513" w:type="dxa"/>
            <w:shd w:val="clear" w:color="auto" w:fill="FBD4B4" w:themeFill="accent6" w:themeFillTint="66"/>
          </w:tcPr>
          <w:p w14:paraId="1D972F2B" w14:textId="77777777" w:rsidR="00375AE8" w:rsidRPr="008B2872" w:rsidRDefault="00375AE8" w:rsidP="0049324B">
            <w:pPr>
              <w:jc w:val="center"/>
              <w:rPr>
                <w:sz w:val="16"/>
                <w:szCs w:val="16"/>
              </w:rPr>
            </w:pPr>
          </w:p>
        </w:tc>
        <w:tc>
          <w:tcPr>
            <w:tcW w:w="690" w:type="dxa"/>
            <w:shd w:val="clear" w:color="auto" w:fill="FBD4B4" w:themeFill="accent6" w:themeFillTint="66"/>
          </w:tcPr>
          <w:p w14:paraId="4BF93A7E" w14:textId="77777777" w:rsidR="00375AE8" w:rsidRPr="008B2872" w:rsidRDefault="00375AE8" w:rsidP="0049324B">
            <w:pPr>
              <w:jc w:val="center"/>
              <w:rPr>
                <w:sz w:val="16"/>
                <w:szCs w:val="16"/>
              </w:rPr>
            </w:pPr>
          </w:p>
        </w:tc>
      </w:tr>
      <w:tr w:rsidR="00375AE8" w14:paraId="24115A45" w14:textId="77777777" w:rsidTr="008761EB">
        <w:tc>
          <w:tcPr>
            <w:tcW w:w="1441" w:type="dxa"/>
            <w:vMerge/>
          </w:tcPr>
          <w:p w14:paraId="7A5B008E" w14:textId="77777777" w:rsidR="00375AE8" w:rsidRPr="008B2872" w:rsidRDefault="00375AE8" w:rsidP="0049324B">
            <w:pPr>
              <w:jc w:val="center"/>
              <w:rPr>
                <w:sz w:val="16"/>
                <w:szCs w:val="16"/>
              </w:rPr>
            </w:pPr>
          </w:p>
        </w:tc>
        <w:tc>
          <w:tcPr>
            <w:tcW w:w="1367" w:type="dxa"/>
            <w:vMerge/>
          </w:tcPr>
          <w:p w14:paraId="10313090" w14:textId="77777777" w:rsidR="00375AE8" w:rsidRPr="008B2872" w:rsidRDefault="00375AE8" w:rsidP="0049324B">
            <w:pPr>
              <w:jc w:val="center"/>
              <w:rPr>
                <w:sz w:val="16"/>
                <w:szCs w:val="16"/>
              </w:rPr>
            </w:pPr>
          </w:p>
        </w:tc>
        <w:tc>
          <w:tcPr>
            <w:tcW w:w="2414" w:type="dxa"/>
            <w:vMerge/>
          </w:tcPr>
          <w:p w14:paraId="4A20CA38" w14:textId="0271FB4F" w:rsidR="00375AE8" w:rsidRPr="008B2872" w:rsidRDefault="00375AE8" w:rsidP="0049324B">
            <w:pPr>
              <w:jc w:val="center"/>
              <w:rPr>
                <w:sz w:val="16"/>
                <w:szCs w:val="16"/>
              </w:rPr>
            </w:pPr>
          </w:p>
        </w:tc>
        <w:tc>
          <w:tcPr>
            <w:tcW w:w="1309" w:type="dxa"/>
          </w:tcPr>
          <w:p w14:paraId="66FAB23D" w14:textId="5D16A14A" w:rsidR="00375AE8" w:rsidRPr="008B2872" w:rsidRDefault="00375AE8" w:rsidP="0049324B">
            <w:pPr>
              <w:jc w:val="center"/>
              <w:rPr>
                <w:sz w:val="16"/>
                <w:szCs w:val="16"/>
              </w:rPr>
            </w:pPr>
            <w:r>
              <w:rPr>
                <w:sz w:val="16"/>
                <w:szCs w:val="16"/>
              </w:rPr>
              <w:t>MNRET and Babeldaob States</w:t>
            </w:r>
          </w:p>
        </w:tc>
        <w:tc>
          <w:tcPr>
            <w:tcW w:w="610" w:type="dxa"/>
          </w:tcPr>
          <w:p w14:paraId="3A94BD94" w14:textId="77777777" w:rsidR="00375AE8" w:rsidRPr="008B2872" w:rsidRDefault="00375AE8" w:rsidP="0049324B">
            <w:pPr>
              <w:jc w:val="center"/>
              <w:rPr>
                <w:sz w:val="16"/>
                <w:szCs w:val="16"/>
              </w:rPr>
            </w:pPr>
          </w:p>
        </w:tc>
        <w:tc>
          <w:tcPr>
            <w:tcW w:w="645" w:type="dxa"/>
          </w:tcPr>
          <w:p w14:paraId="7739B46C" w14:textId="77777777" w:rsidR="00375AE8" w:rsidRPr="008B2872" w:rsidRDefault="00375AE8" w:rsidP="0049324B">
            <w:pPr>
              <w:jc w:val="center"/>
              <w:rPr>
                <w:sz w:val="16"/>
                <w:szCs w:val="16"/>
              </w:rPr>
            </w:pPr>
          </w:p>
        </w:tc>
        <w:tc>
          <w:tcPr>
            <w:tcW w:w="690" w:type="dxa"/>
            <w:shd w:val="clear" w:color="auto" w:fill="FBD4B4" w:themeFill="accent6" w:themeFillTint="66"/>
          </w:tcPr>
          <w:p w14:paraId="7BCB9562" w14:textId="77777777" w:rsidR="00375AE8" w:rsidRPr="008B2872" w:rsidRDefault="00375AE8" w:rsidP="0049324B">
            <w:pPr>
              <w:jc w:val="center"/>
              <w:rPr>
                <w:sz w:val="16"/>
                <w:szCs w:val="16"/>
              </w:rPr>
            </w:pPr>
          </w:p>
        </w:tc>
        <w:tc>
          <w:tcPr>
            <w:tcW w:w="587" w:type="dxa"/>
            <w:shd w:val="clear" w:color="auto" w:fill="FBD4B4" w:themeFill="accent6" w:themeFillTint="66"/>
          </w:tcPr>
          <w:p w14:paraId="4C2EBE12" w14:textId="77777777" w:rsidR="00375AE8" w:rsidRPr="008B2872" w:rsidRDefault="00375AE8" w:rsidP="0049324B">
            <w:pPr>
              <w:jc w:val="center"/>
              <w:rPr>
                <w:sz w:val="16"/>
                <w:szCs w:val="16"/>
              </w:rPr>
            </w:pPr>
          </w:p>
        </w:tc>
        <w:tc>
          <w:tcPr>
            <w:tcW w:w="690" w:type="dxa"/>
          </w:tcPr>
          <w:p w14:paraId="383EA0EA" w14:textId="77777777" w:rsidR="00375AE8" w:rsidRPr="008B2872" w:rsidRDefault="00375AE8" w:rsidP="0049324B">
            <w:pPr>
              <w:jc w:val="center"/>
              <w:rPr>
                <w:sz w:val="16"/>
                <w:szCs w:val="16"/>
              </w:rPr>
            </w:pPr>
          </w:p>
        </w:tc>
        <w:tc>
          <w:tcPr>
            <w:tcW w:w="540" w:type="dxa"/>
          </w:tcPr>
          <w:p w14:paraId="55B00BD2" w14:textId="77777777" w:rsidR="00375AE8" w:rsidRPr="008B2872" w:rsidRDefault="00375AE8" w:rsidP="0049324B">
            <w:pPr>
              <w:jc w:val="center"/>
              <w:rPr>
                <w:sz w:val="16"/>
                <w:szCs w:val="16"/>
              </w:rPr>
            </w:pPr>
          </w:p>
        </w:tc>
        <w:tc>
          <w:tcPr>
            <w:tcW w:w="690" w:type="dxa"/>
          </w:tcPr>
          <w:p w14:paraId="5DC256D2" w14:textId="77777777" w:rsidR="00375AE8" w:rsidRPr="008B2872" w:rsidRDefault="00375AE8" w:rsidP="0049324B">
            <w:pPr>
              <w:jc w:val="center"/>
              <w:rPr>
                <w:sz w:val="16"/>
                <w:szCs w:val="16"/>
              </w:rPr>
            </w:pPr>
          </w:p>
        </w:tc>
        <w:tc>
          <w:tcPr>
            <w:tcW w:w="534" w:type="dxa"/>
          </w:tcPr>
          <w:p w14:paraId="0389A6D6" w14:textId="77777777" w:rsidR="00375AE8" w:rsidRPr="008B2872" w:rsidRDefault="00375AE8" w:rsidP="0049324B">
            <w:pPr>
              <w:jc w:val="center"/>
              <w:rPr>
                <w:sz w:val="16"/>
                <w:szCs w:val="16"/>
              </w:rPr>
            </w:pPr>
          </w:p>
        </w:tc>
        <w:tc>
          <w:tcPr>
            <w:tcW w:w="690" w:type="dxa"/>
          </w:tcPr>
          <w:p w14:paraId="52D20C79" w14:textId="77777777" w:rsidR="00375AE8" w:rsidRPr="008B2872" w:rsidRDefault="00375AE8" w:rsidP="0049324B">
            <w:pPr>
              <w:jc w:val="center"/>
              <w:rPr>
                <w:sz w:val="16"/>
                <w:szCs w:val="16"/>
              </w:rPr>
            </w:pPr>
          </w:p>
        </w:tc>
        <w:tc>
          <w:tcPr>
            <w:tcW w:w="516" w:type="dxa"/>
          </w:tcPr>
          <w:p w14:paraId="5F3568A7" w14:textId="77777777" w:rsidR="00375AE8" w:rsidRPr="008B2872" w:rsidRDefault="00375AE8" w:rsidP="0049324B">
            <w:pPr>
              <w:jc w:val="center"/>
              <w:rPr>
                <w:sz w:val="16"/>
                <w:szCs w:val="16"/>
              </w:rPr>
            </w:pPr>
          </w:p>
        </w:tc>
        <w:tc>
          <w:tcPr>
            <w:tcW w:w="690" w:type="dxa"/>
          </w:tcPr>
          <w:p w14:paraId="1EFCC1AF" w14:textId="77777777" w:rsidR="00375AE8" w:rsidRPr="008B2872" w:rsidRDefault="00375AE8" w:rsidP="0049324B">
            <w:pPr>
              <w:jc w:val="center"/>
              <w:rPr>
                <w:sz w:val="16"/>
                <w:szCs w:val="16"/>
              </w:rPr>
            </w:pPr>
          </w:p>
        </w:tc>
        <w:tc>
          <w:tcPr>
            <w:tcW w:w="513" w:type="dxa"/>
          </w:tcPr>
          <w:p w14:paraId="619F2971" w14:textId="77777777" w:rsidR="00375AE8" w:rsidRPr="008B2872" w:rsidRDefault="00375AE8" w:rsidP="0049324B">
            <w:pPr>
              <w:jc w:val="center"/>
              <w:rPr>
                <w:sz w:val="16"/>
                <w:szCs w:val="16"/>
              </w:rPr>
            </w:pPr>
          </w:p>
        </w:tc>
        <w:tc>
          <w:tcPr>
            <w:tcW w:w="690" w:type="dxa"/>
          </w:tcPr>
          <w:p w14:paraId="3205D035" w14:textId="77777777" w:rsidR="00375AE8" w:rsidRPr="008B2872" w:rsidRDefault="00375AE8" w:rsidP="0049324B">
            <w:pPr>
              <w:jc w:val="center"/>
              <w:rPr>
                <w:sz w:val="16"/>
                <w:szCs w:val="16"/>
              </w:rPr>
            </w:pPr>
          </w:p>
        </w:tc>
      </w:tr>
      <w:tr w:rsidR="00375AE8" w14:paraId="5485EA60" w14:textId="77777777" w:rsidTr="005667CB">
        <w:tc>
          <w:tcPr>
            <w:tcW w:w="1441" w:type="dxa"/>
            <w:vMerge w:val="restart"/>
          </w:tcPr>
          <w:p w14:paraId="48C0DAD0" w14:textId="0BFED53D" w:rsidR="00375AE8" w:rsidRPr="008B2872" w:rsidRDefault="00375AE8" w:rsidP="0049324B">
            <w:pPr>
              <w:jc w:val="center"/>
              <w:rPr>
                <w:sz w:val="16"/>
                <w:szCs w:val="16"/>
              </w:rPr>
            </w:pPr>
            <w:r>
              <w:rPr>
                <w:sz w:val="16"/>
                <w:szCs w:val="16"/>
              </w:rPr>
              <w:t>Community based restoration of degraded forests and savannah and marine areas</w:t>
            </w:r>
          </w:p>
        </w:tc>
        <w:tc>
          <w:tcPr>
            <w:tcW w:w="1367" w:type="dxa"/>
            <w:vMerge w:val="restart"/>
          </w:tcPr>
          <w:p w14:paraId="29973DEC" w14:textId="3A79562E" w:rsidR="00375AE8" w:rsidRPr="008B2872" w:rsidRDefault="00375AE8" w:rsidP="0049324B">
            <w:pPr>
              <w:jc w:val="center"/>
              <w:rPr>
                <w:sz w:val="16"/>
                <w:szCs w:val="16"/>
              </w:rPr>
            </w:pPr>
            <w:r>
              <w:rPr>
                <w:sz w:val="16"/>
                <w:szCs w:val="16"/>
              </w:rPr>
              <w:t>Review of best practices</w:t>
            </w:r>
          </w:p>
        </w:tc>
        <w:tc>
          <w:tcPr>
            <w:tcW w:w="2414" w:type="dxa"/>
          </w:tcPr>
          <w:p w14:paraId="2A2F50D7" w14:textId="6616458F" w:rsidR="00375AE8" w:rsidRPr="008B2872" w:rsidRDefault="00375AE8" w:rsidP="008761EB">
            <w:pPr>
              <w:jc w:val="center"/>
              <w:rPr>
                <w:sz w:val="16"/>
                <w:szCs w:val="16"/>
              </w:rPr>
            </w:pPr>
            <w:r>
              <w:rPr>
                <w:sz w:val="16"/>
                <w:szCs w:val="16"/>
              </w:rPr>
              <w:t xml:space="preserve">Review and selection of best practices </w:t>
            </w:r>
          </w:p>
        </w:tc>
        <w:tc>
          <w:tcPr>
            <w:tcW w:w="1309" w:type="dxa"/>
          </w:tcPr>
          <w:p w14:paraId="743D143B" w14:textId="48367870" w:rsidR="00375AE8" w:rsidRPr="008B2872" w:rsidRDefault="00375AE8" w:rsidP="0049324B">
            <w:pPr>
              <w:jc w:val="center"/>
              <w:rPr>
                <w:sz w:val="16"/>
                <w:szCs w:val="16"/>
              </w:rPr>
            </w:pPr>
            <w:r>
              <w:rPr>
                <w:sz w:val="16"/>
                <w:szCs w:val="16"/>
              </w:rPr>
              <w:t>MNRET</w:t>
            </w:r>
          </w:p>
        </w:tc>
        <w:tc>
          <w:tcPr>
            <w:tcW w:w="610" w:type="dxa"/>
          </w:tcPr>
          <w:p w14:paraId="663E0A40" w14:textId="77777777" w:rsidR="00375AE8" w:rsidRPr="008B2872" w:rsidRDefault="00375AE8" w:rsidP="0049324B">
            <w:pPr>
              <w:jc w:val="center"/>
              <w:rPr>
                <w:sz w:val="16"/>
                <w:szCs w:val="16"/>
              </w:rPr>
            </w:pPr>
          </w:p>
        </w:tc>
        <w:tc>
          <w:tcPr>
            <w:tcW w:w="645" w:type="dxa"/>
          </w:tcPr>
          <w:p w14:paraId="751C2BF6" w14:textId="77777777" w:rsidR="00375AE8" w:rsidRPr="008B2872" w:rsidRDefault="00375AE8" w:rsidP="0049324B">
            <w:pPr>
              <w:jc w:val="center"/>
              <w:rPr>
                <w:sz w:val="16"/>
                <w:szCs w:val="16"/>
              </w:rPr>
            </w:pPr>
          </w:p>
        </w:tc>
        <w:tc>
          <w:tcPr>
            <w:tcW w:w="690" w:type="dxa"/>
            <w:shd w:val="clear" w:color="auto" w:fill="FBD4B4" w:themeFill="accent6" w:themeFillTint="66"/>
          </w:tcPr>
          <w:p w14:paraId="54CF8017" w14:textId="77777777" w:rsidR="00375AE8" w:rsidRPr="008B2872" w:rsidRDefault="00375AE8" w:rsidP="0049324B">
            <w:pPr>
              <w:jc w:val="center"/>
              <w:rPr>
                <w:sz w:val="16"/>
                <w:szCs w:val="16"/>
              </w:rPr>
            </w:pPr>
          </w:p>
        </w:tc>
        <w:tc>
          <w:tcPr>
            <w:tcW w:w="587" w:type="dxa"/>
          </w:tcPr>
          <w:p w14:paraId="3771D8C9" w14:textId="77777777" w:rsidR="00375AE8" w:rsidRPr="008B2872" w:rsidRDefault="00375AE8" w:rsidP="0049324B">
            <w:pPr>
              <w:jc w:val="center"/>
              <w:rPr>
                <w:sz w:val="16"/>
                <w:szCs w:val="16"/>
              </w:rPr>
            </w:pPr>
          </w:p>
        </w:tc>
        <w:tc>
          <w:tcPr>
            <w:tcW w:w="690" w:type="dxa"/>
          </w:tcPr>
          <w:p w14:paraId="2596561C" w14:textId="77777777" w:rsidR="00375AE8" w:rsidRPr="008B2872" w:rsidRDefault="00375AE8" w:rsidP="0049324B">
            <w:pPr>
              <w:jc w:val="center"/>
              <w:rPr>
                <w:sz w:val="16"/>
                <w:szCs w:val="16"/>
              </w:rPr>
            </w:pPr>
          </w:p>
        </w:tc>
        <w:tc>
          <w:tcPr>
            <w:tcW w:w="540" w:type="dxa"/>
          </w:tcPr>
          <w:p w14:paraId="137247C4" w14:textId="77777777" w:rsidR="00375AE8" w:rsidRPr="008B2872" w:rsidRDefault="00375AE8" w:rsidP="0049324B">
            <w:pPr>
              <w:jc w:val="center"/>
              <w:rPr>
                <w:sz w:val="16"/>
                <w:szCs w:val="16"/>
              </w:rPr>
            </w:pPr>
          </w:p>
        </w:tc>
        <w:tc>
          <w:tcPr>
            <w:tcW w:w="690" w:type="dxa"/>
          </w:tcPr>
          <w:p w14:paraId="2237EAA5" w14:textId="77777777" w:rsidR="00375AE8" w:rsidRPr="008B2872" w:rsidRDefault="00375AE8" w:rsidP="0049324B">
            <w:pPr>
              <w:jc w:val="center"/>
              <w:rPr>
                <w:sz w:val="16"/>
                <w:szCs w:val="16"/>
              </w:rPr>
            </w:pPr>
          </w:p>
        </w:tc>
        <w:tc>
          <w:tcPr>
            <w:tcW w:w="534" w:type="dxa"/>
          </w:tcPr>
          <w:p w14:paraId="56317782" w14:textId="77777777" w:rsidR="00375AE8" w:rsidRPr="008B2872" w:rsidRDefault="00375AE8" w:rsidP="0049324B">
            <w:pPr>
              <w:jc w:val="center"/>
              <w:rPr>
                <w:sz w:val="16"/>
                <w:szCs w:val="16"/>
              </w:rPr>
            </w:pPr>
          </w:p>
        </w:tc>
        <w:tc>
          <w:tcPr>
            <w:tcW w:w="690" w:type="dxa"/>
          </w:tcPr>
          <w:p w14:paraId="42C29F93" w14:textId="77777777" w:rsidR="00375AE8" w:rsidRPr="008B2872" w:rsidRDefault="00375AE8" w:rsidP="0049324B">
            <w:pPr>
              <w:jc w:val="center"/>
              <w:rPr>
                <w:sz w:val="16"/>
                <w:szCs w:val="16"/>
              </w:rPr>
            </w:pPr>
          </w:p>
        </w:tc>
        <w:tc>
          <w:tcPr>
            <w:tcW w:w="516" w:type="dxa"/>
          </w:tcPr>
          <w:p w14:paraId="3F70B314" w14:textId="77777777" w:rsidR="00375AE8" w:rsidRPr="008B2872" w:rsidRDefault="00375AE8" w:rsidP="0049324B">
            <w:pPr>
              <w:jc w:val="center"/>
              <w:rPr>
                <w:sz w:val="16"/>
                <w:szCs w:val="16"/>
              </w:rPr>
            </w:pPr>
          </w:p>
        </w:tc>
        <w:tc>
          <w:tcPr>
            <w:tcW w:w="690" w:type="dxa"/>
          </w:tcPr>
          <w:p w14:paraId="6192D696" w14:textId="77777777" w:rsidR="00375AE8" w:rsidRPr="008B2872" w:rsidRDefault="00375AE8" w:rsidP="0049324B">
            <w:pPr>
              <w:jc w:val="center"/>
              <w:rPr>
                <w:sz w:val="16"/>
                <w:szCs w:val="16"/>
              </w:rPr>
            </w:pPr>
          </w:p>
        </w:tc>
        <w:tc>
          <w:tcPr>
            <w:tcW w:w="513" w:type="dxa"/>
          </w:tcPr>
          <w:p w14:paraId="593F2DE7" w14:textId="77777777" w:rsidR="00375AE8" w:rsidRPr="008B2872" w:rsidRDefault="00375AE8" w:rsidP="0049324B">
            <w:pPr>
              <w:jc w:val="center"/>
              <w:rPr>
                <w:sz w:val="16"/>
                <w:szCs w:val="16"/>
              </w:rPr>
            </w:pPr>
          </w:p>
        </w:tc>
        <w:tc>
          <w:tcPr>
            <w:tcW w:w="690" w:type="dxa"/>
          </w:tcPr>
          <w:p w14:paraId="67D0E8F5" w14:textId="77777777" w:rsidR="00375AE8" w:rsidRPr="008B2872" w:rsidRDefault="00375AE8" w:rsidP="0049324B">
            <w:pPr>
              <w:jc w:val="center"/>
              <w:rPr>
                <w:sz w:val="16"/>
                <w:szCs w:val="16"/>
              </w:rPr>
            </w:pPr>
          </w:p>
        </w:tc>
      </w:tr>
      <w:tr w:rsidR="00375AE8" w14:paraId="7DBE2C01" w14:textId="77777777" w:rsidTr="005667CB">
        <w:tc>
          <w:tcPr>
            <w:tcW w:w="1441" w:type="dxa"/>
            <w:vMerge/>
          </w:tcPr>
          <w:p w14:paraId="307D49E1" w14:textId="77777777" w:rsidR="00375AE8" w:rsidRPr="008B2872" w:rsidRDefault="00375AE8" w:rsidP="0049324B">
            <w:pPr>
              <w:jc w:val="center"/>
              <w:rPr>
                <w:sz w:val="16"/>
                <w:szCs w:val="16"/>
              </w:rPr>
            </w:pPr>
          </w:p>
        </w:tc>
        <w:tc>
          <w:tcPr>
            <w:tcW w:w="1367" w:type="dxa"/>
            <w:vMerge/>
          </w:tcPr>
          <w:p w14:paraId="518810E2" w14:textId="77777777" w:rsidR="00375AE8" w:rsidRPr="008B2872" w:rsidRDefault="00375AE8" w:rsidP="0049324B">
            <w:pPr>
              <w:jc w:val="center"/>
              <w:rPr>
                <w:sz w:val="16"/>
                <w:szCs w:val="16"/>
              </w:rPr>
            </w:pPr>
          </w:p>
        </w:tc>
        <w:tc>
          <w:tcPr>
            <w:tcW w:w="2414" w:type="dxa"/>
          </w:tcPr>
          <w:p w14:paraId="6BFC8744" w14:textId="22A6F743" w:rsidR="00375AE8" w:rsidRPr="008B2872" w:rsidRDefault="00375AE8" w:rsidP="0049324B">
            <w:pPr>
              <w:jc w:val="center"/>
              <w:rPr>
                <w:sz w:val="16"/>
                <w:szCs w:val="16"/>
              </w:rPr>
            </w:pPr>
            <w:r>
              <w:rPr>
                <w:sz w:val="16"/>
                <w:szCs w:val="16"/>
              </w:rPr>
              <w:t>Support state access of funds from GEF 5 and GEF SGP to develop proposals</w:t>
            </w:r>
          </w:p>
        </w:tc>
        <w:tc>
          <w:tcPr>
            <w:tcW w:w="1309" w:type="dxa"/>
          </w:tcPr>
          <w:p w14:paraId="51DE1B63" w14:textId="6CB73162" w:rsidR="00375AE8" w:rsidRPr="008B2872" w:rsidRDefault="00375AE8" w:rsidP="0049324B">
            <w:pPr>
              <w:jc w:val="center"/>
              <w:rPr>
                <w:sz w:val="16"/>
                <w:szCs w:val="16"/>
              </w:rPr>
            </w:pPr>
            <w:r>
              <w:rPr>
                <w:sz w:val="16"/>
                <w:szCs w:val="16"/>
              </w:rPr>
              <w:t>MNRET</w:t>
            </w:r>
          </w:p>
        </w:tc>
        <w:tc>
          <w:tcPr>
            <w:tcW w:w="610" w:type="dxa"/>
          </w:tcPr>
          <w:p w14:paraId="50CD7D28" w14:textId="77777777" w:rsidR="00375AE8" w:rsidRPr="008B2872" w:rsidRDefault="00375AE8" w:rsidP="0049324B">
            <w:pPr>
              <w:jc w:val="center"/>
              <w:rPr>
                <w:sz w:val="16"/>
                <w:szCs w:val="16"/>
              </w:rPr>
            </w:pPr>
          </w:p>
        </w:tc>
        <w:tc>
          <w:tcPr>
            <w:tcW w:w="645" w:type="dxa"/>
          </w:tcPr>
          <w:p w14:paraId="7647395A" w14:textId="77777777" w:rsidR="00375AE8" w:rsidRPr="008B2872" w:rsidRDefault="00375AE8" w:rsidP="0049324B">
            <w:pPr>
              <w:jc w:val="center"/>
              <w:rPr>
                <w:sz w:val="16"/>
                <w:szCs w:val="16"/>
              </w:rPr>
            </w:pPr>
          </w:p>
        </w:tc>
        <w:tc>
          <w:tcPr>
            <w:tcW w:w="690" w:type="dxa"/>
          </w:tcPr>
          <w:p w14:paraId="25701906" w14:textId="77777777" w:rsidR="00375AE8" w:rsidRPr="008B2872" w:rsidRDefault="00375AE8" w:rsidP="0049324B">
            <w:pPr>
              <w:jc w:val="center"/>
              <w:rPr>
                <w:sz w:val="16"/>
                <w:szCs w:val="16"/>
              </w:rPr>
            </w:pPr>
          </w:p>
        </w:tc>
        <w:tc>
          <w:tcPr>
            <w:tcW w:w="587" w:type="dxa"/>
            <w:shd w:val="clear" w:color="auto" w:fill="FBD4B4" w:themeFill="accent6" w:themeFillTint="66"/>
          </w:tcPr>
          <w:p w14:paraId="587CC13D" w14:textId="77777777" w:rsidR="00375AE8" w:rsidRPr="008B2872" w:rsidRDefault="00375AE8" w:rsidP="0049324B">
            <w:pPr>
              <w:jc w:val="center"/>
              <w:rPr>
                <w:sz w:val="16"/>
                <w:szCs w:val="16"/>
              </w:rPr>
            </w:pPr>
          </w:p>
        </w:tc>
        <w:tc>
          <w:tcPr>
            <w:tcW w:w="690" w:type="dxa"/>
            <w:shd w:val="clear" w:color="auto" w:fill="FBD4B4" w:themeFill="accent6" w:themeFillTint="66"/>
          </w:tcPr>
          <w:p w14:paraId="450E14A1" w14:textId="77777777" w:rsidR="00375AE8" w:rsidRPr="008B2872" w:rsidRDefault="00375AE8" w:rsidP="0049324B">
            <w:pPr>
              <w:jc w:val="center"/>
              <w:rPr>
                <w:sz w:val="16"/>
                <w:szCs w:val="16"/>
              </w:rPr>
            </w:pPr>
          </w:p>
        </w:tc>
        <w:tc>
          <w:tcPr>
            <w:tcW w:w="540" w:type="dxa"/>
            <w:shd w:val="clear" w:color="auto" w:fill="FBD4B4" w:themeFill="accent6" w:themeFillTint="66"/>
          </w:tcPr>
          <w:p w14:paraId="483A4BAA" w14:textId="77777777" w:rsidR="00375AE8" w:rsidRPr="008B2872" w:rsidRDefault="00375AE8" w:rsidP="0049324B">
            <w:pPr>
              <w:jc w:val="center"/>
              <w:rPr>
                <w:sz w:val="16"/>
                <w:szCs w:val="16"/>
              </w:rPr>
            </w:pPr>
          </w:p>
        </w:tc>
        <w:tc>
          <w:tcPr>
            <w:tcW w:w="690" w:type="dxa"/>
            <w:shd w:val="clear" w:color="auto" w:fill="FBD4B4" w:themeFill="accent6" w:themeFillTint="66"/>
          </w:tcPr>
          <w:p w14:paraId="7F75972A" w14:textId="77777777" w:rsidR="00375AE8" w:rsidRPr="008B2872" w:rsidRDefault="00375AE8" w:rsidP="0049324B">
            <w:pPr>
              <w:jc w:val="center"/>
              <w:rPr>
                <w:sz w:val="16"/>
                <w:szCs w:val="16"/>
              </w:rPr>
            </w:pPr>
          </w:p>
        </w:tc>
        <w:tc>
          <w:tcPr>
            <w:tcW w:w="534" w:type="dxa"/>
            <w:shd w:val="clear" w:color="auto" w:fill="FBD4B4" w:themeFill="accent6" w:themeFillTint="66"/>
          </w:tcPr>
          <w:p w14:paraId="5D35215D" w14:textId="77777777" w:rsidR="00375AE8" w:rsidRPr="008B2872" w:rsidRDefault="00375AE8" w:rsidP="0049324B">
            <w:pPr>
              <w:jc w:val="center"/>
              <w:rPr>
                <w:sz w:val="16"/>
                <w:szCs w:val="16"/>
              </w:rPr>
            </w:pPr>
          </w:p>
        </w:tc>
        <w:tc>
          <w:tcPr>
            <w:tcW w:w="690" w:type="dxa"/>
            <w:shd w:val="clear" w:color="auto" w:fill="FBD4B4" w:themeFill="accent6" w:themeFillTint="66"/>
          </w:tcPr>
          <w:p w14:paraId="5A4DD768" w14:textId="77777777" w:rsidR="00375AE8" w:rsidRPr="008B2872" w:rsidRDefault="00375AE8" w:rsidP="0049324B">
            <w:pPr>
              <w:jc w:val="center"/>
              <w:rPr>
                <w:sz w:val="16"/>
                <w:szCs w:val="16"/>
              </w:rPr>
            </w:pPr>
          </w:p>
        </w:tc>
        <w:tc>
          <w:tcPr>
            <w:tcW w:w="516" w:type="dxa"/>
          </w:tcPr>
          <w:p w14:paraId="774D9CD3" w14:textId="77777777" w:rsidR="00375AE8" w:rsidRPr="008B2872" w:rsidRDefault="00375AE8" w:rsidP="0049324B">
            <w:pPr>
              <w:jc w:val="center"/>
              <w:rPr>
                <w:sz w:val="16"/>
                <w:szCs w:val="16"/>
              </w:rPr>
            </w:pPr>
          </w:p>
        </w:tc>
        <w:tc>
          <w:tcPr>
            <w:tcW w:w="690" w:type="dxa"/>
          </w:tcPr>
          <w:p w14:paraId="77864801" w14:textId="77777777" w:rsidR="00375AE8" w:rsidRPr="008B2872" w:rsidRDefault="00375AE8" w:rsidP="0049324B">
            <w:pPr>
              <w:jc w:val="center"/>
              <w:rPr>
                <w:sz w:val="16"/>
                <w:szCs w:val="16"/>
              </w:rPr>
            </w:pPr>
          </w:p>
        </w:tc>
        <w:tc>
          <w:tcPr>
            <w:tcW w:w="513" w:type="dxa"/>
          </w:tcPr>
          <w:p w14:paraId="75854A38" w14:textId="77777777" w:rsidR="00375AE8" w:rsidRPr="008B2872" w:rsidRDefault="00375AE8" w:rsidP="0049324B">
            <w:pPr>
              <w:jc w:val="center"/>
              <w:rPr>
                <w:sz w:val="16"/>
                <w:szCs w:val="16"/>
              </w:rPr>
            </w:pPr>
          </w:p>
        </w:tc>
        <w:tc>
          <w:tcPr>
            <w:tcW w:w="690" w:type="dxa"/>
          </w:tcPr>
          <w:p w14:paraId="157D29ED" w14:textId="77777777" w:rsidR="00375AE8" w:rsidRPr="008B2872" w:rsidRDefault="00375AE8" w:rsidP="0049324B">
            <w:pPr>
              <w:jc w:val="center"/>
              <w:rPr>
                <w:sz w:val="16"/>
                <w:szCs w:val="16"/>
              </w:rPr>
            </w:pPr>
          </w:p>
        </w:tc>
      </w:tr>
      <w:tr w:rsidR="00375AE8" w14:paraId="19BFE174" w14:textId="77777777" w:rsidTr="005667CB">
        <w:tc>
          <w:tcPr>
            <w:tcW w:w="1441" w:type="dxa"/>
            <w:vMerge/>
          </w:tcPr>
          <w:p w14:paraId="0B2CEA11" w14:textId="77777777" w:rsidR="00375AE8" w:rsidRPr="008B2872" w:rsidRDefault="00375AE8" w:rsidP="0049324B">
            <w:pPr>
              <w:jc w:val="center"/>
              <w:rPr>
                <w:sz w:val="16"/>
                <w:szCs w:val="16"/>
              </w:rPr>
            </w:pPr>
          </w:p>
        </w:tc>
        <w:tc>
          <w:tcPr>
            <w:tcW w:w="1367" w:type="dxa"/>
            <w:vMerge w:val="restart"/>
          </w:tcPr>
          <w:p w14:paraId="551C54D5" w14:textId="7A688181" w:rsidR="00375AE8" w:rsidRPr="008B2872" w:rsidRDefault="00375AE8" w:rsidP="0049324B">
            <w:pPr>
              <w:jc w:val="center"/>
              <w:rPr>
                <w:sz w:val="16"/>
                <w:szCs w:val="16"/>
              </w:rPr>
            </w:pPr>
            <w:r>
              <w:rPr>
                <w:sz w:val="16"/>
                <w:szCs w:val="16"/>
              </w:rPr>
              <w:t>Planning and evaluation</w:t>
            </w:r>
          </w:p>
        </w:tc>
        <w:tc>
          <w:tcPr>
            <w:tcW w:w="2414" w:type="dxa"/>
          </w:tcPr>
          <w:p w14:paraId="3AEF543C" w14:textId="6CCA3C0B" w:rsidR="00375AE8" w:rsidRPr="008B2872" w:rsidRDefault="00375AE8" w:rsidP="0049324B">
            <w:pPr>
              <w:jc w:val="center"/>
              <w:rPr>
                <w:sz w:val="16"/>
                <w:szCs w:val="16"/>
              </w:rPr>
            </w:pPr>
            <w:r>
              <w:rPr>
                <w:sz w:val="16"/>
                <w:szCs w:val="16"/>
              </w:rPr>
              <w:t>Preparation of rehabilitation and restoration plans for sites</w:t>
            </w:r>
          </w:p>
        </w:tc>
        <w:tc>
          <w:tcPr>
            <w:tcW w:w="1309" w:type="dxa"/>
          </w:tcPr>
          <w:p w14:paraId="0A7F4802" w14:textId="4AEE6E7E" w:rsidR="00375AE8" w:rsidRPr="008B2872" w:rsidRDefault="00375AE8" w:rsidP="0049324B">
            <w:pPr>
              <w:jc w:val="center"/>
              <w:rPr>
                <w:sz w:val="16"/>
                <w:szCs w:val="16"/>
              </w:rPr>
            </w:pPr>
            <w:r>
              <w:rPr>
                <w:sz w:val="16"/>
                <w:szCs w:val="16"/>
              </w:rPr>
              <w:t>Babeldaob States</w:t>
            </w:r>
          </w:p>
        </w:tc>
        <w:tc>
          <w:tcPr>
            <w:tcW w:w="610" w:type="dxa"/>
          </w:tcPr>
          <w:p w14:paraId="4FFA2FC5" w14:textId="77777777" w:rsidR="00375AE8" w:rsidRPr="008B2872" w:rsidRDefault="00375AE8" w:rsidP="0049324B">
            <w:pPr>
              <w:jc w:val="center"/>
              <w:rPr>
                <w:sz w:val="16"/>
                <w:szCs w:val="16"/>
              </w:rPr>
            </w:pPr>
          </w:p>
        </w:tc>
        <w:tc>
          <w:tcPr>
            <w:tcW w:w="645" w:type="dxa"/>
          </w:tcPr>
          <w:p w14:paraId="4C077780" w14:textId="77777777" w:rsidR="00375AE8" w:rsidRPr="008B2872" w:rsidRDefault="00375AE8" w:rsidP="0049324B">
            <w:pPr>
              <w:jc w:val="center"/>
              <w:rPr>
                <w:sz w:val="16"/>
                <w:szCs w:val="16"/>
              </w:rPr>
            </w:pPr>
          </w:p>
        </w:tc>
        <w:tc>
          <w:tcPr>
            <w:tcW w:w="690" w:type="dxa"/>
          </w:tcPr>
          <w:p w14:paraId="558048A8" w14:textId="77777777" w:rsidR="00375AE8" w:rsidRPr="008B2872" w:rsidRDefault="00375AE8" w:rsidP="0049324B">
            <w:pPr>
              <w:jc w:val="center"/>
              <w:rPr>
                <w:sz w:val="16"/>
                <w:szCs w:val="16"/>
              </w:rPr>
            </w:pPr>
          </w:p>
        </w:tc>
        <w:tc>
          <w:tcPr>
            <w:tcW w:w="587" w:type="dxa"/>
          </w:tcPr>
          <w:p w14:paraId="35704919" w14:textId="77777777" w:rsidR="00375AE8" w:rsidRPr="008B2872" w:rsidRDefault="00375AE8" w:rsidP="0049324B">
            <w:pPr>
              <w:jc w:val="center"/>
              <w:rPr>
                <w:sz w:val="16"/>
                <w:szCs w:val="16"/>
              </w:rPr>
            </w:pPr>
          </w:p>
        </w:tc>
        <w:tc>
          <w:tcPr>
            <w:tcW w:w="690" w:type="dxa"/>
            <w:shd w:val="clear" w:color="auto" w:fill="FBD4B4" w:themeFill="accent6" w:themeFillTint="66"/>
          </w:tcPr>
          <w:p w14:paraId="2FB1056C" w14:textId="77777777" w:rsidR="00375AE8" w:rsidRPr="008B2872" w:rsidRDefault="00375AE8" w:rsidP="0049324B">
            <w:pPr>
              <w:jc w:val="center"/>
              <w:rPr>
                <w:sz w:val="16"/>
                <w:szCs w:val="16"/>
              </w:rPr>
            </w:pPr>
          </w:p>
        </w:tc>
        <w:tc>
          <w:tcPr>
            <w:tcW w:w="540" w:type="dxa"/>
            <w:shd w:val="clear" w:color="auto" w:fill="FBD4B4" w:themeFill="accent6" w:themeFillTint="66"/>
          </w:tcPr>
          <w:p w14:paraId="3529C2B2" w14:textId="77777777" w:rsidR="00375AE8" w:rsidRPr="008B2872" w:rsidRDefault="00375AE8" w:rsidP="0049324B">
            <w:pPr>
              <w:jc w:val="center"/>
              <w:rPr>
                <w:sz w:val="16"/>
                <w:szCs w:val="16"/>
              </w:rPr>
            </w:pPr>
          </w:p>
        </w:tc>
        <w:tc>
          <w:tcPr>
            <w:tcW w:w="690" w:type="dxa"/>
            <w:shd w:val="clear" w:color="auto" w:fill="FBD4B4" w:themeFill="accent6" w:themeFillTint="66"/>
          </w:tcPr>
          <w:p w14:paraId="1E1F04ED" w14:textId="77777777" w:rsidR="00375AE8" w:rsidRPr="008B2872" w:rsidRDefault="00375AE8" w:rsidP="0049324B">
            <w:pPr>
              <w:jc w:val="center"/>
              <w:rPr>
                <w:sz w:val="16"/>
                <w:szCs w:val="16"/>
              </w:rPr>
            </w:pPr>
          </w:p>
        </w:tc>
        <w:tc>
          <w:tcPr>
            <w:tcW w:w="534" w:type="dxa"/>
            <w:shd w:val="clear" w:color="auto" w:fill="FBD4B4" w:themeFill="accent6" w:themeFillTint="66"/>
          </w:tcPr>
          <w:p w14:paraId="270CBEE8" w14:textId="77777777" w:rsidR="00375AE8" w:rsidRPr="008B2872" w:rsidRDefault="00375AE8" w:rsidP="0049324B">
            <w:pPr>
              <w:jc w:val="center"/>
              <w:rPr>
                <w:sz w:val="16"/>
                <w:szCs w:val="16"/>
              </w:rPr>
            </w:pPr>
          </w:p>
        </w:tc>
        <w:tc>
          <w:tcPr>
            <w:tcW w:w="690" w:type="dxa"/>
            <w:shd w:val="clear" w:color="auto" w:fill="auto"/>
          </w:tcPr>
          <w:p w14:paraId="2F0496B6" w14:textId="77777777" w:rsidR="00375AE8" w:rsidRPr="008B2872" w:rsidRDefault="00375AE8" w:rsidP="0049324B">
            <w:pPr>
              <w:jc w:val="center"/>
              <w:rPr>
                <w:sz w:val="16"/>
                <w:szCs w:val="16"/>
              </w:rPr>
            </w:pPr>
          </w:p>
        </w:tc>
        <w:tc>
          <w:tcPr>
            <w:tcW w:w="516" w:type="dxa"/>
          </w:tcPr>
          <w:p w14:paraId="5E168215" w14:textId="77777777" w:rsidR="00375AE8" w:rsidRPr="008B2872" w:rsidRDefault="00375AE8" w:rsidP="0049324B">
            <w:pPr>
              <w:jc w:val="center"/>
              <w:rPr>
                <w:sz w:val="16"/>
                <w:szCs w:val="16"/>
              </w:rPr>
            </w:pPr>
          </w:p>
        </w:tc>
        <w:tc>
          <w:tcPr>
            <w:tcW w:w="690" w:type="dxa"/>
          </w:tcPr>
          <w:p w14:paraId="208941CA" w14:textId="77777777" w:rsidR="00375AE8" w:rsidRPr="008B2872" w:rsidRDefault="00375AE8" w:rsidP="0049324B">
            <w:pPr>
              <w:jc w:val="center"/>
              <w:rPr>
                <w:sz w:val="16"/>
                <w:szCs w:val="16"/>
              </w:rPr>
            </w:pPr>
          </w:p>
        </w:tc>
        <w:tc>
          <w:tcPr>
            <w:tcW w:w="513" w:type="dxa"/>
          </w:tcPr>
          <w:p w14:paraId="4CAD93E9" w14:textId="77777777" w:rsidR="00375AE8" w:rsidRPr="008B2872" w:rsidRDefault="00375AE8" w:rsidP="0049324B">
            <w:pPr>
              <w:jc w:val="center"/>
              <w:rPr>
                <w:sz w:val="16"/>
                <w:szCs w:val="16"/>
              </w:rPr>
            </w:pPr>
          </w:p>
        </w:tc>
        <w:tc>
          <w:tcPr>
            <w:tcW w:w="690" w:type="dxa"/>
          </w:tcPr>
          <w:p w14:paraId="3A102DF5" w14:textId="77777777" w:rsidR="00375AE8" w:rsidRPr="008B2872" w:rsidRDefault="00375AE8" w:rsidP="0049324B">
            <w:pPr>
              <w:jc w:val="center"/>
              <w:rPr>
                <w:sz w:val="16"/>
                <w:szCs w:val="16"/>
              </w:rPr>
            </w:pPr>
          </w:p>
        </w:tc>
      </w:tr>
      <w:tr w:rsidR="00375AE8" w14:paraId="52EB236E" w14:textId="77777777" w:rsidTr="005667CB">
        <w:tc>
          <w:tcPr>
            <w:tcW w:w="1441" w:type="dxa"/>
            <w:vMerge/>
          </w:tcPr>
          <w:p w14:paraId="7138E39F" w14:textId="77777777" w:rsidR="00375AE8" w:rsidRPr="008B2872" w:rsidRDefault="00375AE8" w:rsidP="0049324B">
            <w:pPr>
              <w:jc w:val="center"/>
              <w:rPr>
                <w:sz w:val="16"/>
                <w:szCs w:val="16"/>
              </w:rPr>
            </w:pPr>
          </w:p>
        </w:tc>
        <w:tc>
          <w:tcPr>
            <w:tcW w:w="1367" w:type="dxa"/>
            <w:vMerge/>
          </w:tcPr>
          <w:p w14:paraId="2E814BB7" w14:textId="77777777" w:rsidR="00375AE8" w:rsidRPr="008B2872" w:rsidRDefault="00375AE8" w:rsidP="0049324B">
            <w:pPr>
              <w:jc w:val="center"/>
              <w:rPr>
                <w:sz w:val="16"/>
                <w:szCs w:val="16"/>
              </w:rPr>
            </w:pPr>
          </w:p>
        </w:tc>
        <w:tc>
          <w:tcPr>
            <w:tcW w:w="2414" w:type="dxa"/>
          </w:tcPr>
          <w:p w14:paraId="3142762F" w14:textId="256E6550" w:rsidR="00375AE8" w:rsidRPr="008B2872" w:rsidRDefault="00375AE8" w:rsidP="0049324B">
            <w:pPr>
              <w:jc w:val="center"/>
              <w:rPr>
                <w:sz w:val="16"/>
                <w:szCs w:val="16"/>
              </w:rPr>
            </w:pPr>
            <w:r>
              <w:rPr>
                <w:sz w:val="16"/>
                <w:szCs w:val="16"/>
              </w:rPr>
              <w:t>Signing of MOUs with land owners and beneficiaries</w:t>
            </w:r>
          </w:p>
        </w:tc>
        <w:tc>
          <w:tcPr>
            <w:tcW w:w="1309" w:type="dxa"/>
          </w:tcPr>
          <w:p w14:paraId="5DBCC695" w14:textId="3811B536" w:rsidR="00375AE8" w:rsidRPr="008B2872" w:rsidRDefault="00375AE8" w:rsidP="0049324B">
            <w:pPr>
              <w:jc w:val="center"/>
              <w:rPr>
                <w:sz w:val="16"/>
                <w:szCs w:val="16"/>
              </w:rPr>
            </w:pPr>
            <w:r>
              <w:rPr>
                <w:sz w:val="16"/>
                <w:szCs w:val="16"/>
              </w:rPr>
              <w:t>MNRET</w:t>
            </w:r>
          </w:p>
        </w:tc>
        <w:tc>
          <w:tcPr>
            <w:tcW w:w="610" w:type="dxa"/>
          </w:tcPr>
          <w:p w14:paraId="2E1B3658" w14:textId="77777777" w:rsidR="00375AE8" w:rsidRPr="008B2872" w:rsidRDefault="00375AE8" w:rsidP="0049324B">
            <w:pPr>
              <w:jc w:val="center"/>
              <w:rPr>
                <w:sz w:val="16"/>
                <w:szCs w:val="16"/>
              </w:rPr>
            </w:pPr>
          </w:p>
        </w:tc>
        <w:tc>
          <w:tcPr>
            <w:tcW w:w="645" w:type="dxa"/>
          </w:tcPr>
          <w:p w14:paraId="65009D3E" w14:textId="77777777" w:rsidR="00375AE8" w:rsidRPr="008B2872" w:rsidRDefault="00375AE8" w:rsidP="0049324B">
            <w:pPr>
              <w:jc w:val="center"/>
              <w:rPr>
                <w:sz w:val="16"/>
                <w:szCs w:val="16"/>
              </w:rPr>
            </w:pPr>
          </w:p>
        </w:tc>
        <w:tc>
          <w:tcPr>
            <w:tcW w:w="690" w:type="dxa"/>
          </w:tcPr>
          <w:p w14:paraId="639D341B" w14:textId="77777777" w:rsidR="00375AE8" w:rsidRPr="008B2872" w:rsidRDefault="00375AE8" w:rsidP="0049324B">
            <w:pPr>
              <w:jc w:val="center"/>
              <w:rPr>
                <w:sz w:val="16"/>
                <w:szCs w:val="16"/>
              </w:rPr>
            </w:pPr>
          </w:p>
        </w:tc>
        <w:tc>
          <w:tcPr>
            <w:tcW w:w="587" w:type="dxa"/>
            <w:shd w:val="clear" w:color="auto" w:fill="FBD4B4" w:themeFill="accent6" w:themeFillTint="66"/>
          </w:tcPr>
          <w:p w14:paraId="20E4CED2" w14:textId="77777777" w:rsidR="00375AE8" w:rsidRPr="008B2872" w:rsidRDefault="00375AE8" w:rsidP="0049324B">
            <w:pPr>
              <w:jc w:val="center"/>
              <w:rPr>
                <w:sz w:val="16"/>
                <w:szCs w:val="16"/>
              </w:rPr>
            </w:pPr>
          </w:p>
        </w:tc>
        <w:tc>
          <w:tcPr>
            <w:tcW w:w="690" w:type="dxa"/>
            <w:shd w:val="clear" w:color="auto" w:fill="FBD4B4" w:themeFill="accent6" w:themeFillTint="66"/>
          </w:tcPr>
          <w:p w14:paraId="04DF0E0F" w14:textId="77777777" w:rsidR="00375AE8" w:rsidRPr="008B2872" w:rsidRDefault="00375AE8" w:rsidP="0049324B">
            <w:pPr>
              <w:jc w:val="center"/>
              <w:rPr>
                <w:sz w:val="16"/>
                <w:szCs w:val="16"/>
              </w:rPr>
            </w:pPr>
          </w:p>
        </w:tc>
        <w:tc>
          <w:tcPr>
            <w:tcW w:w="540" w:type="dxa"/>
            <w:shd w:val="clear" w:color="auto" w:fill="FBD4B4" w:themeFill="accent6" w:themeFillTint="66"/>
          </w:tcPr>
          <w:p w14:paraId="7C2AF8AA" w14:textId="77777777" w:rsidR="00375AE8" w:rsidRPr="008B2872" w:rsidRDefault="00375AE8" w:rsidP="0049324B">
            <w:pPr>
              <w:jc w:val="center"/>
              <w:rPr>
                <w:sz w:val="16"/>
                <w:szCs w:val="16"/>
              </w:rPr>
            </w:pPr>
          </w:p>
        </w:tc>
        <w:tc>
          <w:tcPr>
            <w:tcW w:w="690" w:type="dxa"/>
            <w:shd w:val="clear" w:color="auto" w:fill="FBD4B4" w:themeFill="accent6" w:themeFillTint="66"/>
          </w:tcPr>
          <w:p w14:paraId="179279D6" w14:textId="77777777" w:rsidR="00375AE8" w:rsidRPr="008B2872" w:rsidRDefault="00375AE8" w:rsidP="0049324B">
            <w:pPr>
              <w:jc w:val="center"/>
              <w:rPr>
                <w:sz w:val="16"/>
                <w:szCs w:val="16"/>
              </w:rPr>
            </w:pPr>
          </w:p>
        </w:tc>
        <w:tc>
          <w:tcPr>
            <w:tcW w:w="534" w:type="dxa"/>
            <w:shd w:val="clear" w:color="auto" w:fill="FBD4B4" w:themeFill="accent6" w:themeFillTint="66"/>
          </w:tcPr>
          <w:p w14:paraId="6958C5C1" w14:textId="77777777" w:rsidR="00375AE8" w:rsidRPr="008B2872" w:rsidRDefault="00375AE8" w:rsidP="0049324B">
            <w:pPr>
              <w:jc w:val="center"/>
              <w:rPr>
                <w:sz w:val="16"/>
                <w:szCs w:val="16"/>
              </w:rPr>
            </w:pPr>
          </w:p>
        </w:tc>
        <w:tc>
          <w:tcPr>
            <w:tcW w:w="690" w:type="dxa"/>
            <w:shd w:val="clear" w:color="auto" w:fill="FBD4B4" w:themeFill="accent6" w:themeFillTint="66"/>
          </w:tcPr>
          <w:p w14:paraId="0DA7741A" w14:textId="77777777" w:rsidR="00375AE8" w:rsidRPr="008B2872" w:rsidRDefault="00375AE8" w:rsidP="0049324B">
            <w:pPr>
              <w:jc w:val="center"/>
              <w:rPr>
                <w:sz w:val="16"/>
                <w:szCs w:val="16"/>
              </w:rPr>
            </w:pPr>
          </w:p>
        </w:tc>
        <w:tc>
          <w:tcPr>
            <w:tcW w:w="516" w:type="dxa"/>
          </w:tcPr>
          <w:p w14:paraId="6C1DCE01" w14:textId="77777777" w:rsidR="00375AE8" w:rsidRPr="008B2872" w:rsidRDefault="00375AE8" w:rsidP="0049324B">
            <w:pPr>
              <w:jc w:val="center"/>
              <w:rPr>
                <w:sz w:val="16"/>
                <w:szCs w:val="16"/>
              </w:rPr>
            </w:pPr>
          </w:p>
        </w:tc>
        <w:tc>
          <w:tcPr>
            <w:tcW w:w="690" w:type="dxa"/>
          </w:tcPr>
          <w:p w14:paraId="4E74DDEB" w14:textId="77777777" w:rsidR="00375AE8" w:rsidRPr="008B2872" w:rsidRDefault="00375AE8" w:rsidP="0049324B">
            <w:pPr>
              <w:jc w:val="center"/>
              <w:rPr>
                <w:sz w:val="16"/>
                <w:szCs w:val="16"/>
              </w:rPr>
            </w:pPr>
          </w:p>
        </w:tc>
        <w:tc>
          <w:tcPr>
            <w:tcW w:w="513" w:type="dxa"/>
          </w:tcPr>
          <w:p w14:paraId="74726D64" w14:textId="77777777" w:rsidR="00375AE8" w:rsidRPr="008B2872" w:rsidRDefault="00375AE8" w:rsidP="0049324B">
            <w:pPr>
              <w:jc w:val="center"/>
              <w:rPr>
                <w:sz w:val="16"/>
                <w:szCs w:val="16"/>
              </w:rPr>
            </w:pPr>
          </w:p>
        </w:tc>
        <w:tc>
          <w:tcPr>
            <w:tcW w:w="690" w:type="dxa"/>
          </w:tcPr>
          <w:p w14:paraId="64DB7A2E" w14:textId="77777777" w:rsidR="00375AE8" w:rsidRPr="008B2872" w:rsidRDefault="00375AE8" w:rsidP="0049324B">
            <w:pPr>
              <w:jc w:val="center"/>
              <w:rPr>
                <w:sz w:val="16"/>
                <w:szCs w:val="16"/>
              </w:rPr>
            </w:pPr>
          </w:p>
        </w:tc>
      </w:tr>
      <w:tr w:rsidR="00375AE8" w14:paraId="40088DAB" w14:textId="77777777" w:rsidTr="005667CB">
        <w:tc>
          <w:tcPr>
            <w:tcW w:w="1441" w:type="dxa"/>
            <w:vMerge/>
          </w:tcPr>
          <w:p w14:paraId="21BB224E" w14:textId="77777777" w:rsidR="00375AE8" w:rsidRPr="008B2872" w:rsidRDefault="00375AE8" w:rsidP="0049324B">
            <w:pPr>
              <w:jc w:val="center"/>
              <w:rPr>
                <w:sz w:val="16"/>
                <w:szCs w:val="16"/>
              </w:rPr>
            </w:pPr>
          </w:p>
        </w:tc>
        <w:tc>
          <w:tcPr>
            <w:tcW w:w="1367" w:type="dxa"/>
            <w:vMerge/>
          </w:tcPr>
          <w:p w14:paraId="231FE108" w14:textId="562905E3" w:rsidR="00375AE8" w:rsidRPr="008B2872" w:rsidRDefault="00375AE8" w:rsidP="0049324B">
            <w:pPr>
              <w:jc w:val="center"/>
              <w:rPr>
                <w:sz w:val="16"/>
                <w:szCs w:val="16"/>
              </w:rPr>
            </w:pPr>
          </w:p>
        </w:tc>
        <w:tc>
          <w:tcPr>
            <w:tcW w:w="2414" w:type="dxa"/>
          </w:tcPr>
          <w:p w14:paraId="1908A974" w14:textId="17317685" w:rsidR="00375AE8" w:rsidRPr="008B2872" w:rsidRDefault="00375AE8" w:rsidP="0049324B">
            <w:pPr>
              <w:jc w:val="center"/>
              <w:rPr>
                <w:sz w:val="16"/>
                <w:szCs w:val="16"/>
              </w:rPr>
            </w:pPr>
            <w:r>
              <w:rPr>
                <w:sz w:val="16"/>
                <w:szCs w:val="16"/>
              </w:rPr>
              <w:t xml:space="preserve">Documentation and dissemination of success and failures of rehabilitation </w:t>
            </w:r>
          </w:p>
        </w:tc>
        <w:tc>
          <w:tcPr>
            <w:tcW w:w="1309" w:type="dxa"/>
          </w:tcPr>
          <w:p w14:paraId="7C598DCB" w14:textId="1A619F81" w:rsidR="00375AE8" w:rsidRPr="008B2872" w:rsidRDefault="00375AE8" w:rsidP="0049324B">
            <w:pPr>
              <w:jc w:val="center"/>
              <w:rPr>
                <w:sz w:val="16"/>
                <w:szCs w:val="16"/>
              </w:rPr>
            </w:pPr>
            <w:r>
              <w:rPr>
                <w:sz w:val="16"/>
                <w:szCs w:val="16"/>
              </w:rPr>
              <w:t>Babeldaob States and MNRET</w:t>
            </w:r>
          </w:p>
        </w:tc>
        <w:tc>
          <w:tcPr>
            <w:tcW w:w="610" w:type="dxa"/>
          </w:tcPr>
          <w:p w14:paraId="12A1AFF7" w14:textId="77777777" w:rsidR="00375AE8" w:rsidRPr="008B2872" w:rsidRDefault="00375AE8" w:rsidP="0049324B">
            <w:pPr>
              <w:jc w:val="center"/>
              <w:rPr>
                <w:sz w:val="16"/>
                <w:szCs w:val="16"/>
              </w:rPr>
            </w:pPr>
          </w:p>
        </w:tc>
        <w:tc>
          <w:tcPr>
            <w:tcW w:w="645" w:type="dxa"/>
          </w:tcPr>
          <w:p w14:paraId="5FE85D16" w14:textId="77777777" w:rsidR="00375AE8" w:rsidRPr="008B2872" w:rsidRDefault="00375AE8" w:rsidP="0049324B">
            <w:pPr>
              <w:jc w:val="center"/>
              <w:rPr>
                <w:sz w:val="16"/>
                <w:szCs w:val="16"/>
              </w:rPr>
            </w:pPr>
          </w:p>
        </w:tc>
        <w:tc>
          <w:tcPr>
            <w:tcW w:w="690" w:type="dxa"/>
          </w:tcPr>
          <w:p w14:paraId="70480455" w14:textId="77777777" w:rsidR="00375AE8" w:rsidRPr="008B2872" w:rsidRDefault="00375AE8" w:rsidP="0049324B">
            <w:pPr>
              <w:jc w:val="center"/>
              <w:rPr>
                <w:sz w:val="16"/>
                <w:szCs w:val="16"/>
              </w:rPr>
            </w:pPr>
          </w:p>
        </w:tc>
        <w:tc>
          <w:tcPr>
            <w:tcW w:w="587" w:type="dxa"/>
          </w:tcPr>
          <w:p w14:paraId="15DB2DF0" w14:textId="77777777" w:rsidR="00375AE8" w:rsidRPr="008B2872" w:rsidRDefault="00375AE8" w:rsidP="0049324B">
            <w:pPr>
              <w:jc w:val="center"/>
              <w:rPr>
                <w:sz w:val="16"/>
                <w:szCs w:val="16"/>
              </w:rPr>
            </w:pPr>
          </w:p>
        </w:tc>
        <w:tc>
          <w:tcPr>
            <w:tcW w:w="690" w:type="dxa"/>
          </w:tcPr>
          <w:p w14:paraId="147E09CF" w14:textId="77777777" w:rsidR="00375AE8" w:rsidRPr="008B2872" w:rsidRDefault="00375AE8" w:rsidP="0049324B">
            <w:pPr>
              <w:jc w:val="center"/>
              <w:rPr>
                <w:sz w:val="16"/>
                <w:szCs w:val="16"/>
              </w:rPr>
            </w:pPr>
          </w:p>
        </w:tc>
        <w:tc>
          <w:tcPr>
            <w:tcW w:w="540" w:type="dxa"/>
          </w:tcPr>
          <w:p w14:paraId="424B17D3" w14:textId="77777777" w:rsidR="00375AE8" w:rsidRPr="008B2872" w:rsidRDefault="00375AE8" w:rsidP="0049324B">
            <w:pPr>
              <w:jc w:val="center"/>
              <w:rPr>
                <w:sz w:val="16"/>
                <w:szCs w:val="16"/>
              </w:rPr>
            </w:pPr>
          </w:p>
        </w:tc>
        <w:tc>
          <w:tcPr>
            <w:tcW w:w="690" w:type="dxa"/>
          </w:tcPr>
          <w:p w14:paraId="55DDDA62" w14:textId="77777777" w:rsidR="00375AE8" w:rsidRPr="008B2872" w:rsidRDefault="00375AE8" w:rsidP="0049324B">
            <w:pPr>
              <w:jc w:val="center"/>
              <w:rPr>
                <w:sz w:val="16"/>
                <w:szCs w:val="16"/>
              </w:rPr>
            </w:pPr>
          </w:p>
        </w:tc>
        <w:tc>
          <w:tcPr>
            <w:tcW w:w="534" w:type="dxa"/>
          </w:tcPr>
          <w:p w14:paraId="3B0FCE8C" w14:textId="77777777" w:rsidR="00375AE8" w:rsidRPr="008B2872" w:rsidRDefault="00375AE8" w:rsidP="0049324B">
            <w:pPr>
              <w:jc w:val="center"/>
              <w:rPr>
                <w:sz w:val="16"/>
                <w:szCs w:val="16"/>
              </w:rPr>
            </w:pPr>
          </w:p>
        </w:tc>
        <w:tc>
          <w:tcPr>
            <w:tcW w:w="690" w:type="dxa"/>
          </w:tcPr>
          <w:p w14:paraId="6873AEBE" w14:textId="77777777" w:rsidR="00375AE8" w:rsidRPr="008B2872" w:rsidRDefault="00375AE8" w:rsidP="0049324B">
            <w:pPr>
              <w:jc w:val="center"/>
              <w:rPr>
                <w:sz w:val="16"/>
                <w:szCs w:val="16"/>
              </w:rPr>
            </w:pPr>
          </w:p>
        </w:tc>
        <w:tc>
          <w:tcPr>
            <w:tcW w:w="516" w:type="dxa"/>
            <w:shd w:val="clear" w:color="auto" w:fill="FBD4B4" w:themeFill="accent6" w:themeFillTint="66"/>
          </w:tcPr>
          <w:p w14:paraId="39039FB7" w14:textId="77777777" w:rsidR="00375AE8" w:rsidRPr="008B2872" w:rsidRDefault="00375AE8" w:rsidP="0049324B">
            <w:pPr>
              <w:jc w:val="center"/>
              <w:rPr>
                <w:sz w:val="16"/>
                <w:szCs w:val="16"/>
              </w:rPr>
            </w:pPr>
          </w:p>
        </w:tc>
        <w:tc>
          <w:tcPr>
            <w:tcW w:w="690" w:type="dxa"/>
            <w:shd w:val="clear" w:color="auto" w:fill="FBD4B4" w:themeFill="accent6" w:themeFillTint="66"/>
          </w:tcPr>
          <w:p w14:paraId="5B131083" w14:textId="77777777" w:rsidR="00375AE8" w:rsidRPr="008B2872" w:rsidRDefault="00375AE8" w:rsidP="0049324B">
            <w:pPr>
              <w:jc w:val="center"/>
              <w:rPr>
                <w:sz w:val="16"/>
                <w:szCs w:val="16"/>
              </w:rPr>
            </w:pPr>
          </w:p>
        </w:tc>
        <w:tc>
          <w:tcPr>
            <w:tcW w:w="513" w:type="dxa"/>
            <w:shd w:val="clear" w:color="auto" w:fill="FBD4B4" w:themeFill="accent6" w:themeFillTint="66"/>
          </w:tcPr>
          <w:p w14:paraId="056D540D" w14:textId="77777777" w:rsidR="00375AE8" w:rsidRPr="008B2872" w:rsidRDefault="00375AE8" w:rsidP="0049324B">
            <w:pPr>
              <w:jc w:val="center"/>
              <w:rPr>
                <w:sz w:val="16"/>
                <w:szCs w:val="16"/>
              </w:rPr>
            </w:pPr>
          </w:p>
        </w:tc>
        <w:tc>
          <w:tcPr>
            <w:tcW w:w="690" w:type="dxa"/>
            <w:shd w:val="clear" w:color="auto" w:fill="FBD4B4" w:themeFill="accent6" w:themeFillTint="66"/>
          </w:tcPr>
          <w:p w14:paraId="4E3E1DC2" w14:textId="77777777" w:rsidR="00375AE8" w:rsidRPr="008B2872" w:rsidRDefault="00375AE8" w:rsidP="0049324B">
            <w:pPr>
              <w:jc w:val="center"/>
              <w:rPr>
                <w:sz w:val="16"/>
                <w:szCs w:val="16"/>
              </w:rPr>
            </w:pPr>
          </w:p>
        </w:tc>
      </w:tr>
      <w:tr w:rsidR="00375AE8" w14:paraId="43F0B618" w14:textId="77777777" w:rsidTr="005667CB">
        <w:tc>
          <w:tcPr>
            <w:tcW w:w="1441" w:type="dxa"/>
            <w:vMerge/>
          </w:tcPr>
          <w:p w14:paraId="7151A606" w14:textId="77777777" w:rsidR="00375AE8" w:rsidRPr="008B2872" w:rsidRDefault="00375AE8" w:rsidP="0049324B">
            <w:pPr>
              <w:jc w:val="center"/>
              <w:rPr>
                <w:sz w:val="16"/>
                <w:szCs w:val="16"/>
              </w:rPr>
            </w:pPr>
          </w:p>
        </w:tc>
        <w:tc>
          <w:tcPr>
            <w:tcW w:w="1367" w:type="dxa"/>
            <w:vMerge/>
          </w:tcPr>
          <w:p w14:paraId="645B3A73" w14:textId="77777777" w:rsidR="00375AE8" w:rsidRPr="008B2872" w:rsidRDefault="00375AE8" w:rsidP="0049324B">
            <w:pPr>
              <w:jc w:val="center"/>
              <w:rPr>
                <w:sz w:val="16"/>
                <w:szCs w:val="16"/>
              </w:rPr>
            </w:pPr>
          </w:p>
        </w:tc>
        <w:tc>
          <w:tcPr>
            <w:tcW w:w="2414" w:type="dxa"/>
          </w:tcPr>
          <w:p w14:paraId="1ADE3ACD" w14:textId="5F9C9898" w:rsidR="00375AE8" w:rsidRPr="008B2872" w:rsidRDefault="00375AE8" w:rsidP="0049324B">
            <w:pPr>
              <w:jc w:val="center"/>
              <w:rPr>
                <w:sz w:val="16"/>
                <w:szCs w:val="16"/>
              </w:rPr>
            </w:pPr>
            <w:r>
              <w:rPr>
                <w:sz w:val="16"/>
                <w:szCs w:val="16"/>
              </w:rPr>
              <w:t>Preparation of a restoration manual for scaling up</w:t>
            </w:r>
          </w:p>
        </w:tc>
        <w:tc>
          <w:tcPr>
            <w:tcW w:w="1309" w:type="dxa"/>
          </w:tcPr>
          <w:p w14:paraId="5A8288F6" w14:textId="2E30C4E6" w:rsidR="00375AE8" w:rsidRPr="008B2872" w:rsidRDefault="00375AE8" w:rsidP="0049324B">
            <w:pPr>
              <w:jc w:val="center"/>
              <w:rPr>
                <w:sz w:val="16"/>
                <w:szCs w:val="16"/>
              </w:rPr>
            </w:pPr>
            <w:r>
              <w:rPr>
                <w:sz w:val="16"/>
                <w:szCs w:val="16"/>
              </w:rPr>
              <w:t>MNRET</w:t>
            </w:r>
          </w:p>
        </w:tc>
        <w:tc>
          <w:tcPr>
            <w:tcW w:w="610" w:type="dxa"/>
          </w:tcPr>
          <w:p w14:paraId="5CCD31F0" w14:textId="77777777" w:rsidR="00375AE8" w:rsidRPr="008B2872" w:rsidRDefault="00375AE8" w:rsidP="0049324B">
            <w:pPr>
              <w:jc w:val="center"/>
              <w:rPr>
                <w:sz w:val="16"/>
                <w:szCs w:val="16"/>
              </w:rPr>
            </w:pPr>
          </w:p>
        </w:tc>
        <w:tc>
          <w:tcPr>
            <w:tcW w:w="645" w:type="dxa"/>
          </w:tcPr>
          <w:p w14:paraId="4701A598" w14:textId="77777777" w:rsidR="00375AE8" w:rsidRPr="008B2872" w:rsidRDefault="00375AE8" w:rsidP="0049324B">
            <w:pPr>
              <w:jc w:val="center"/>
              <w:rPr>
                <w:sz w:val="16"/>
                <w:szCs w:val="16"/>
              </w:rPr>
            </w:pPr>
          </w:p>
        </w:tc>
        <w:tc>
          <w:tcPr>
            <w:tcW w:w="690" w:type="dxa"/>
          </w:tcPr>
          <w:p w14:paraId="253A9728" w14:textId="77777777" w:rsidR="00375AE8" w:rsidRPr="008B2872" w:rsidRDefault="00375AE8" w:rsidP="0049324B">
            <w:pPr>
              <w:jc w:val="center"/>
              <w:rPr>
                <w:sz w:val="16"/>
                <w:szCs w:val="16"/>
              </w:rPr>
            </w:pPr>
          </w:p>
        </w:tc>
        <w:tc>
          <w:tcPr>
            <w:tcW w:w="587" w:type="dxa"/>
          </w:tcPr>
          <w:p w14:paraId="53C59253" w14:textId="77777777" w:rsidR="00375AE8" w:rsidRPr="008B2872" w:rsidRDefault="00375AE8" w:rsidP="0049324B">
            <w:pPr>
              <w:jc w:val="center"/>
              <w:rPr>
                <w:sz w:val="16"/>
                <w:szCs w:val="16"/>
              </w:rPr>
            </w:pPr>
          </w:p>
        </w:tc>
        <w:tc>
          <w:tcPr>
            <w:tcW w:w="690" w:type="dxa"/>
          </w:tcPr>
          <w:p w14:paraId="5D8B6E37" w14:textId="77777777" w:rsidR="00375AE8" w:rsidRPr="008B2872" w:rsidRDefault="00375AE8" w:rsidP="0049324B">
            <w:pPr>
              <w:jc w:val="center"/>
              <w:rPr>
                <w:sz w:val="16"/>
                <w:szCs w:val="16"/>
              </w:rPr>
            </w:pPr>
          </w:p>
        </w:tc>
        <w:tc>
          <w:tcPr>
            <w:tcW w:w="540" w:type="dxa"/>
          </w:tcPr>
          <w:p w14:paraId="49101BAE" w14:textId="77777777" w:rsidR="00375AE8" w:rsidRPr="008B2872" w:rsidRDefault="00375AE8" w:rsidP="0049324B">
            <w:pPr>
              <w:jc w:val="center"/>
              <w:rPr>
                <w:sz w:val="16"/>
                <w:szCs w:val="16"/>
              </w:rPr>
            </w:pPr>
          </w:p>
        </w:tc>
        <w:tc>
          <w:tcPr>
            <w:tcW w:w="690" w:type="dxa"/>
          </w:tcPr>
          <w:p w14:paraId="0A02CB0A" w14:textId="77777777" w:rsidR="00375AE8" w:rsidRPr="008B2872" w:rsidRDefault="00375AE8" w:rsidP="0049324B">
            <w:pPr>
              <w:jc w:val="center"/>
              <w:rPr>
                <w:sz w:val="16"/>
                <w:szCs w:val="16"/>
              </w:rPr>
            </w:pPr>
          </w:p>
        </w:tc>
        <w:tc>
          <w:tcPr>
            <w:tcW w:w="534" w:type="dxa"/>
          </w:tcPr>
          <w:p w14:paraId="2833F688" w14:textId="77777777" w:rsidR="00375AE8" w:rsidRPr="008B2872" w:rsidRDefault="00375AE8" w:rsidP="0049324B">
            <w:pPr>
              <w:jc w:val="center"/>
              <w:rPr>
                <w:sz w:val="16"/>
                <w:szCs w:val="16"/>
              </w:rPr>
            </w:pPr>
          </w:p>
        </w:tc>
        <w:tc>
          <w:tcPr>
            <w:tcW w:w="690" w:type="dxa"/>
          </w:tcPr>
          <w:p w14:paraId="6C858636" w14:textId="77777777" w:rsidR="00375AE8" w:rsidRPr="008B2872" w:rsidRDefault="00375AE8" w:rsidP="0049324B">
            <w:pPr>
              <w:jc w:val="center"/>
              <w:rPr>
                <w:sz w:val="16"/>
                <w:szCs w:val="16"/>
              </w:rPr>
            </w:pPr>
          </w:p>
        </w:tc>
        <w:tc>
          <w:tcPr>
            <w:tcW w:w="516" w:type="dxa"/>
          </w:tcPr>
          <w:p w14:paraId="597AB868" w14:textId="77777777" w:rsidR="00375AE8" w:rsidRPr="008B2872" w:rsidRDefault="00375AE8" w:rsidP="0049324B">
            <w:pPr>
              <w:jc w:val="center"/>
              <w:rPr>
                <w:sz w:val="16"/>
                <w:szCs w:val="16"/>
              </w:rPr>
            </w:pPr>
          </w:p>
        </w:tc>
        <w:tc>
          <w:tcPr>
            <w:tcW w:w="690" w:type="dxa"/>
          </w:tcPr>
          <w:p w14:paraId="5401521C" w14:textId="77777777" w:rsidR="00375AE8" w:rsidRPr="008B2872" w:rsidRDefault="00375AE8" w:rsidP="0049324B">
            <w:pPr>
              <w:jc w:val="center"/>
              <w:rPr>
                <w:sz w:val="16"/>
                <w:szCs w:val="16"/>
              </w:rPr>
            </w:pPr>
          </w:p>
        </w:tc>
        <w:tc>
          <w:tcPr>
            <w:tcW w:w="513" w:type="dxa"/>
            <w:shd w:val="clear" w:color="auto" w:fill="FBD4B4" w:themeFill="accent6" w:themeFillTint="66"/>
          </w:tcPr>
          <w:p w14:paraId="51B7DE54" w14:textId="77777777" w:rsidR="00375AE8" w:rsidRPr="008B2872" w:rsidRDefault="00375AE8" w:rsidP="0049324B">
            <w:pPr>
              <w:jc w:val="center"/>
              <w:rPr>
                <w:sz w:val="16"/>
                <w:szCs w:val="16"/>
              </w:rPr>
            </w:pPr>
          </w:p>
        </w:tc>
        <w:tc>
          <w:tcPr>
            <w:tcW w:w="690" w:type="dxa"/>
            <w:shd w:val="clear" w:color="auto" w:fill="FBD4B4" w:themeFill="accent6" w:themeFillTint="66"/>
          </w:tcPr>
          <w:p w14:paraId="15D91469" w14:textId="77777777" w:rsidR="00375AE8" w:rsidRPr="008B2872" w:rsidRDefault="00375AE8" w:rsidP="0049324B">
            <w:pPr>
              <w:jc w:val="center"/>
              <w:rPr>
                <w:sz w:val="16"/>
                <w:szCs w:val="16"/>
              </w:rPr>
            </w:pPr>
          </w:p>
        </w:tc>
      </w:tr>
      <w:tr w:rsidR="00375AE8" w14:paraId="2C26E46E" w14:textId="77777777" w:rsidTr="005667CB">
        <w:tc>
          <w:tcPr>
            <w:tcW w:w="1441" w:type="dxa"/>
            <w:vMerge/>
          </w:tcPr>
          <w:p w14:paraId="0486882B" w14:textId="77777777" w:rsidR="00375AE8" w:rsidRPr="008B2872" w:rsidRDefault="00375AE8" w:rsidP="0049324B">
            <w:pPr>
              <w:jc w:val="center"/>
              <w:rPr>
                <w:sz w:val="16"/>
                <w:szCs w:val="16"/>
              </w:rPr>
            </w:pPr>
          </w:p>
        </w:tc>
        <w:tc>
          <w:tcPr>
            <w:tcW w:w="1367" w:type="dxa"/>
            <w:vMerge w:val="restart"/>
          </w:tcPr>
          <w:p w14:paraId="38229E1B" w14:textId="2F96841B" w:rsidR="00375AE8" w:rsidRPr="008B2872" w:rsidRDefault="00375AE8" w:rsidP="0049324B">
            <w:pPr>
              <w:jc w:val="center"/>
              <w:rPr>
                <w:sz w:val="16"/>
                <w:szCs w:val="16"/>
              </w:rPr>
            </w:pPr>
            <w:r>
              <w:rPr>
                <w:sz w:val="16"/>
                <w:szCs w:val="16"/>
              </w:rPr>
              <w:t xml:space="preserve">Implementation of restoration plans </w:t>
            </w:r>
          </w:p>
        </w:tc>
        <w:tc>
          <w:tcPr>
            <w:tcW w:w="2414" w:type="dxa"/>
          </w:tcPr>
          <w:p w14:paraId="23184C66" w14:textId="4EF4FE6A" w:rsidR="00375AE8" w:rsidRPr="008B2872" w:rsidRDefault="00375AE8" w:rsidP="005667CB">
            <w:pPr>
              <w:jc w:val="center"/>
              <w:rPr>
                <w:sz w:val="16"/>
                <w:szCs w:val="16"/>
              </w:rPr>
            </w:pPr>
            <w:r>
              <w:rPr>
                <w:sz w:val="16"/>
                <w:szCs w:val="16"/>
              </w:rPr>
              <w:t>On the ground efforts at fencing, restoration, soil improvements, fire prevention, and IAS management</w:t>
            </w:r>
          </w:p>
        </w:tc>
        <w:tc>
          <w:tcPr>
            <w:tcW w:w="1309" w:type="dxa"/>
          </w:tcPr>
          <w:p w14:paraId="7637AFAE" w14:textId="1FFE6567" w:rsidR="00375AE8" w:rsidRPr="008B2872" w:rsidRDefault="00375AE8" w:rsidP="0049324B">
            <w:pPr>
              <w:jc w:val="center"/>
              <w:rPr>
                <w:sz w:val="16"/>
                <w:szCs w:val="16"/>
              </w:rPr>
            </w:pPr>
            <w:r>
              <w:rPr>
                <w:sz w:val="16"/>
                <w:szCs w:val="16"/>
              </w:rPr>
              <w:t>Babeldaob States and MNRET</w:t>
            </w:r>
          </w:p>
        </w:tc>
        <w:tc>
          <w:tcPr>
            <w:tcW w:w="610" w:type="dxa"/>
          </w:tcPr>
          <w:p w14:paraId="515BA31E" w14:textId="77777777" w:rsidR="00375AE8" w:rsidRPr="008B2872" w:rsidRDefault="00375AE8" w:rsidP="0049324B">
            <w:pPr>
              <w:jc w:val="center"/>
              <w:rPr>
                <w:sz w:val="16"/>
                <w:szCs w:val="16"/>
              </w:rPr>
            </w:pPr>
          </w:p>
        </w:tc>
        <w:tc>
          <w:tcPr>
            <w:tcW w:w="645" w:type="dxa"/>
          </w:tcPr>
          <w:p w14:paraId="438D87F2" w14:textId="77777777" w:rsidR="00375AE8" w:rsidRPr="008B2872" w:rsidRDefault="00375AE8" w:rsidP="0049324B">
            <w:pPr>
              <w:jc w:val="center"/>
              <w:rPr>
                <w:sz w:val="16"/>
                <w:szCs w:val="16"/>
              </w:rPr>
            </w:pPr>
          </w:p>
        </w:tc>
        <w:tc>
          <w:tcPr>
            <w:tcW w:w="690" w:type="dxa"/>
          </w:tcPr>
          <w:p w14:paraId="27A524C9" w14:textId="77777777" w:rsidR="00375AE8" w:rsidRPr="008B2872" w:rsidRDefault="00375AE8" w:rsidP="0049324B">
            <w:pPr>
              <w:jc w:val="center"/>
              <w:rPr>
                <w:sz w:val="16"/>
                <w:szCs w:val="16"/>
              </w:rPr>
            </w:pPr>
          </w:p>
        </w:tc>
        <w:tc>
          <w:tcPr>
            <w:tcW w:w="587" w:type="dxa"/>
            <w:shd w:val="clear" w:color="auto" w:fill="FBD4B4" w:themeFill="accent6" w:themeFillTint="66"/>
          </w:tcPr>
          <w:p w14:paraId="0580ECA5" w14:textId="77777777" w:rsidR="00375AE8" w:rsidRPr="008B2872" w:rsidRDefault="00375AE8" w:rsidP="0049324B">
            <w:pPr>
              <w:jc w:val="center"/>
              <w:rPr>
                <w:sz w:val="16"/>
                <w:szCs w:val="16"/>
              </w:rPr>
            </w:pPr>
          </w:p>
        </w:tc>
        <w:tc>
          <w:tcPr>
            <w:tcW w:w="690" w:type="dxa"/>
            <w:shd w:val="clear" w:color="auto" w:fill="FBD4B4" w:themeFill="accent6" w:themeFillTint="66"/>
          </w:tcPr>
          <w:p w14:paraId="3E031D34" w14:textId="77777777" w:rsidR="00375AE8" w:rsidRPr="008B2872" w:rsidRDefault="00375AE8" w:rsidP="0049324B">
            <w:pPr>
              <w:jc w:val="center"/>
              <w:rPr>
                <w:sz w:val="16"/>
                <w:szCs w:val="16"/>
              </w:rPr>
            </w:pPr>
          </w:p>
        </w:tc>
        <w:tc>
          <w:tcPr>
            <w:tcW w:w="540" w:type="dxa"/>
            <w:shd w:val="clear" w:color="auto" w:fill="FBD4B4" w:themeFill="accent6" w:themeFillTint="66"/>
          </w:tcPr>
          <w:p w14:paraId="188434A0" w14:textId="77777777" w:rsidR="00375AE8" w:rsidRPr="008B2872" w:rsidRDefault="00375AE8" w:rsidP="0049324B">
            <w:pPr>
              <w:jc w:val="center"/>
              <w:rPr>
                <w:sz w:val="16"/>
                <w:szCs w:val="16"/>
              </w:rPr>
            </w:pPr>
          </w:p>
        </w:tc>
        <w:tc>
          <w:tcPr>
            <w:tcW w:w="690" w:type="dxa"/>
            <w:shd w:val="clear" w:color="auto" w:fill="FBD4B4" w:themeFill="accent6" w:themeFillTint="66"/>
          </w:tcPr>
          <w:p w14:paraId="22E3A4B6" w14:textId="77777777" w:rsidR="00375AE8" w:rsidRPr="008B2872" w:rsidRDefault="00375AE8" w:rsidP="0049324B">
            <w:pPr>
              <w:jc w:val="center"/>
              <w:rPr>
                <w:sz w:val="16"/>
                <w:szCs w:val="16"/>
              </w:rPr>
            </w:pPr>
          </w:p>
        </w:tc>
        <w:tc>
          <w:tcPr>
            <w:tcW w:w="534" w:type="dxa"/>
            <w:shd w:val="clear" w:color="auto" w:fill="FBD4B4" w:themeFill="accent6" w:themeFillTint="66"/>
          </w:tcPr>
          <w:p w14:paraId="123291A4" w14:textId="77777777" w:rsidR="00375AE8" w:rsidRPr="008B2872" w:rsidRDefault="00375AE8" w:rsidP="0049324B">
            <w:pPr>
              <w:jc w:val="center"/>
              <w:rPr>
                <w:sz w:val="16"/>
                <w:szCs w:val="16"/>
              </w:rPr>
            </w:pPr>
          </w:p>
        </w:tc>
        <w:tc>
          <w:tcPr>
            <w:tcW w:w="690" w:type="dxa"/>
            <w:shd w:val="clear" w:color="auto" w:fill="FBD4B4" w:themeFill="accent6" w:themeFillTint="66"/>
          </w:tcPr>
          <w:p w14:paraId="390A0AE8" w14:textId="77777777" w:rsidR="00375AE8" w:rsidRPr="008B2872" w:rsidRDefault="00375AE8" w:rsidP="0049324B">
            <w:pPr>
              <w:jc w:val="center"/>
              <w:rPr>
                <w:sz w:val="16"/>
                <w:szCs w:val="16"/>
              </w:rPr>
            </w:pPr>
          </w:p>
        </w:tc>
        <w:tc>
          <w:tcPr>
            <w:tcW w:w="516" w:type="dxa"/>
          </w:tcPr>
          <w:p w14:paraId="51514750" w14:textId="77777777" w:rsidR="00375AE8" w:rsidRPr="008B2872" w:rsidRDefault="00375AE8" w:rsidP="0049324B">
            <w:pPr>
              <w:jc w:val="center"/>
              <w:rPr>
                <w:sz w:val="16"/>
                <w:szCs w:val="16"/>
              </w:rPr>
            </w:pPr>
          </w:p>
        </w:tc>
        <w:tc>
          <w:tcPr>
            <w:tcW w:w="690" w:type="dxa"/>
          </w:tcPr>
          <w:p w14:paraId="3629AA85" w14:textId="77777777" w:rsidR="00375AE8" w:rsidRPr="008B2872" w:rsidRDefault="00375AE8" w:rsidP="0049324B">
            <w:pPr>
              <w:jc w:val="center"/>
              <w:rPr>
                <w:sz w:val="16"/>
                <w:szCs w:val="16"/>
              </w:rPr>
            </w:pPr>
          </w:p>
        </w:tc>
        <w:tc>
          <w:tcPr>
            <w:tcW w:w="513" w:type="dxa"/>
          </w:tcPr>
          <w:p w14:paraId="777F7DB7" w14:textId="77777777" w:rsidR="00375AE8" w:rsidRPr="008B2872" w:rsidRDefault="00375AE8" w:rsidP="0049324B">
            <w:pPr>
              <w:jc w:val="center"/>
              <w:rPr>
                <w:sz w:val="16"/>
                <w:szCs w:val="16"/>
              </w:rPr>
            </w:pPr>
          </w:p>
        </w:tc>
        <w:tc>
          <w:tcPr>
            <w:tcW w:w="690" w:type="dxa"/>
          </w:tcPr>
          <w:p w14:paraId="7106C7AB" w14:textId="77777777" w:rsidR="00375AE8" w:rsidRPr="008B2872" w:rsidRDefault="00375AE8" w:rsidP="0049324B">
            <w:pPr>
              <w:jc w:val="center"/>
              <w:rPr>
                <w:sz w:val="16"/>
                <w:szCs w:val="16"/>
              </w:rPr>
            </w:pPr>
          </w:p>
        </w:tc>
      </w:tr>
      <w:tr w:rsidR="00375AE8" w14:paraId="47342702" w14:textId="77777777" w:rsidTr="005667CB">
        <w:tc>
          <w:tcPr>
            <w:tcW w:w="1441" w:type="dxa"/>
            <w:vMerge/>
          </w:tcPr>
          <w:p w14:paraId="6B162CCB" w14:textId="77777777" w:rsidR="00375AE8" w:rsidRPr="008B2872" w:rsidRDefault="00375AE8" w:rsidP="0049324B">
            <w:pPr>
              <w:jc w:val="center"/>
              <w:rPr>
                <w:sz w:val="16"/>
                <w:szCs w:val="16"/>
              </w:rPr>
            </w:pPr>
          </w:p>
        </w:tc>
        <w:tc>
          <w:tcPr>
            <w:tcW w:w="1367" w:type="dxa"/>
            <w:vMerge/>
          </w:tcPr>
          <w:p w14:paraId="4CC169F9" w14:textId="77777777" w:rsidR="00375AE8" w:rsidRPr="008B2872" w:rsidRDefault="00375AE8" w:rsidP="0049324B">
            <w:pPr>
              <w:jc w:val="center"/>
              <w:rPr>
                <w:sz w:val="16"/>
                <w:szCs w:val="16"/>
              </w:rPr>
            </w:pPr>
          </w:p>
        </w:tc>
        <w:tc>
          <w:tcPr>
            <w:tcW w:w="2414" w:type="dxa"/>
          </w:tcPr>
          <w:p w14:paraId="330B439C" w14:textId="4669315E" w:rsidR="00375AE8" w:rsidRPr="008B2872" w:rsidRDefault="00375AE8" w:rsidP="002E3561">
            <w:pPr>
              <w:jc w:val="center"/>
              <w:rPr>
                <w:sz w:val="16"/>
                <w:szCs w:val="16"/>
              </w:rPr>
            </w:pPr>
            <w:r>
              <w:rPr>
                <w:sz w:val="16"/>
                <w:szCs w:val="16"/>
              </w:rPr>
              <w:t>Trials to manage selected IAS (CRB and fresh water fish species)</w:t>
            </w:r>
          </w:p>
        </w:tc>
        <w:tc>
          <w:tcPr>
            <w:tcW w:w="1309" w:type="dxa"/>
          </w:tcPr>
          <w:p w14:paraId="522D7C75" w14:textId="7D84DC95" w:rsidR="00375AE8" w:rsidRPr="008B2872" w:rsidRDefault="00375AE8" w:rsidP="0049324B">
            <w:pPr>
              <w:jc w:val="center"/>
              <w:rPr>
                <w:sz w:val="16"/>
                <w:szCs w:val="16"/>
              </w:rPr>
            </w:pPr>
            <w:r>
              <w:rPr>
                <w:sz w:val="16"/>
                <w:szCs w:val="16"/>
              </w:rPr>
              <w:t>Babeldaob States and NISCO and BD</w:t>
            </w:r>
          </w:p>
        </w:tc>
        <w:tc>
          <w:tcPr>
            <w:tcW w:w="610" w:type="dxa"/>
          </w:tcPr>
          <w:p w14:paraId="360C649A" w14:textId="77777777" w:rsidR="00375AE8" w:rsidRPr="008B2872" w:rsidRDefault="00375AE8" w:rsidP="0049324B">
            <w:pPr>
              <w:jc w:val="center"/>
              <w:rPr>
                <w:sz w:val="16"/>
                <w:szCs w:val="16"/>
              </w:rPr>
            </w:pPr>
          </w:p>
        </w:tc>
        <w:tc>
          <w:tcPr>
            <w:tcW w:w="645" w:type="dxa"/>
          </w:tcPr>
          <w:p w14:paraId="147C4875" w14:textId="77777777" w:rsidR="00375AE8" w:rsidRPr="008B2872" w:rsidRDefault="00375AE8" w:rsidP="0049324B">
            <w:pPr>
              <w:jc w:val="center"/>
              <w:rPr>
                <w:sz w:val="16"/>
                <w:szCs w:val="16"/>
              </w:rPr>
            </w:pPr>
          </w:p>
        </w:tc>
        <w:tc>
          <w:tcPr>
            <w:tcW w:w="690" w:type="dxa"/>
          </w:tcPr>
          <w:p w14:paraId="7EF4622E" w14:textId="77777777" w:rsidR="00375AE8" w:rsidRPr="008B2872" w:rsidRDefault="00375AE8" w:rsidP="0049324B">
            <w:pPr>
              <w:jc w:val="center"/>
              <w:rPr>
                <w:sz w:val="16"/>
                <w:szCs w:val="16"/>
              </w:rPr>
            </w:pPr>
          </w:p>
        </w:tc>
        <w:tc>
          <w:tcPr>
            <w:tcW w:w="587" w:type="dxa"/>
            <w:shd w:val="clear" w:color="auto" w:fill="FBD4B4" w:themeFill="accent6" w:themeFillTint="66"/>
          </w:tcPr>
          <w:p w14:paraId="006768F7" w14:textId="77777777" w:rsidR="00375AE8" w:rsidRPr="008B2872" w:rsidRDefault="00375AE8" w:rsidP="0049324B">
            <w:pPr>
              <w:jc w:val="center"/>
              <w:rPr>
                <w:sz w:val="16"/>
                <w:szCs w:val="16"/>
              </w:rPr>
            </w:pPr>
          </w:p>
        </w:tc>
        <w:tc>
          <w:tcPr>
            <w:tcW w:w="690" w:type="dxa"/>
            <w:shd w:val="clear" w:color="auto" w:fill="FBD4B4" w:themeFill="accent6" w:themeFillTint="66"/>
          </w:tcPr>
          <w:p w14:paraId="1A326EBA" w14:textId="77777777" w:rsidR="00375AE8" w:rsidRPr="008B2872" w:rsidRDefault="00375AE8" w:rsidP="0049324B">
            <w:pPr>
              <w:jc w:val="center"/>
              <w:rPr>
                <w:sz w:val="16"/>
                <w:szCs w:val="16"/>
              </w:rPr>
            </w:pPr>
          </w:p>
        </w:tc>
        <w:tc>
          <w:tcPr>
            <w:tcW w:w="540" w:type="dxa"/>
            <w:shd w:val="clear" w:color="auto" w:fill="FBD4B4" w:themeFill="accent6" w:themeFillTint="66"/>
          </w:tcPr>
          <w:p w14:paraId="1BCE8262" w14:textId="77777777" w:rsidR="00375AE8" w:rsidRPr="008B2872" w:rsidRDefault="00375AE8" w:rsidP="0049324B">
            <w:pPr>
              <w:jc w:val="center"/>
              <w:rPr>
                <w:sz w:val="16"/>
                <w:szCs w:val="16"/>
              </w:rPr>
            </w:pPr>
          </w:p>
        </w:tc>
        <w:tc>
          <w:tcPr>
            <w:tcW w:w="690" w:type="dxa"/>
            <w:shd w:val="clear" w:color="auto" w:fill="FBD4B4" w:themeFill="accent6" w:themeFillTint="66"/>
          </w:tcPr>
          <w:p w14:paraId="5C6C9CE8" w14:textId="77777777" w:rsidR="00375AE8" w:rsidRPr="008B2872" w:rsidRDefault="00375AE8" w:rsidP="0049324B">
            <w:pPr>
              <w:jc w:val="center"/>
              <w:rPr>
                <w:sz w:val="16"/>
                <w:szCs w:val="16"/>
              </w:rPr>
            </w:pPr>
          </w:p>
        </w:tc>
        <w:tc>
          <w:tcPr>
            <w:tcW w:w="534" w:type="dxa"/>
            <w:shd w:val="clear" w:color="auto" w:fill="FBD4B4" w:themeFill="accent6" w:themeFillTint="66"/>
          </w:tcPr>
          <w:p w14:paraId="4DCC623F" w14:textId="77777777" w:rsidR="00375AE8" w:rsidRPr="008B2872" w:rsidRDefault="00375AE8" w:rsidP="0049324B">
            <w:pPr>
              <w:jc w:val="center"/>
              <w:rPr>
                <w:sz w:val="16"/>
                <w:szCs w:val="16"/>
              </w:rPr>
            </w:pPr>
          </w:p>
        </w:tc>
        <w:tc>
          <w:tcPr>
            <w:tcW w:w="690" w:type="dxa"/>
            <w:shd w:val="clear" w:color="auto" w:fill="FBD4B4" w:themeFill="accent6" w:themeFillTint="66"/>
          </w:tcPr>
          <w:p w14:paraId="34E1EF4B" w14:textId="77777777" w:rsidR="00375AE8" w:rsidRPr="008B2872" w:rsidRDefault="00375AE8" w:rsidP="0049324B">
            <w:pPr>
              <w:jc w:val="center"/>
              <w:rPr>
                <w:sz w:val="16"/>
                <w:szCs w:val="16"/>
              </w:rPr>
            </w:pPr>
          </w:p>
        </w:tc>
        <w:tc>
          <w:tcPr>
            <w:tcW w:w="516" w:type="dxa"/>
          </w:tcPr>
          <w:p w14:paraId="5AA5D302" w14:textId="77777777" w:rsidR="00375AE8" w:rsidRPr="008B2872" w:rsidRDefault="00375AE8" w:rsidP="0049324B">
            <w:pPr>
              <w:jc w:val="center"/>
              <w:rPr>
                <w:sz w:val="16"/>
                <w:szCs w:val="16"/>
              </w:rPr>
            </w:pPr>
          </w:p>
        </w:tc>
        <w:tc>
          <w:tcPr>
            <w:tcW w:w="690" w:type="dxa"/>
          </w:tcPr>
          <w:p w14:paraId="269CC780" w14:textId="77777777" w:rsidR="00375AE8" w:rsidRPr="008B2872" w:rsidRDefault="00375AE8" w:rsidP="0049324B">
            <w:pPr>
              <w:jc w:val="center"/>
              <w:rPr>
                <w:sz w:val="16"/>
                <w:szCs w:val="16"/>
              </w:rPr>
            </w:pPr>
          </w:p>
        </w:tc>
        <w:tc>
          <w:tcPr>
            <w:tcW w:w="513" w:type="dxa"/>
          </w:tcPr>
          <w:p w14:paraId="679E2FD2" w14:textId="77777777" w:rsidR="00375AE8" w:rsidRPr="008B2872" w:rsidRDefault="00375AE8" w:rsidP="0049324B">
            <w:pPr>
              <w:jc w:val="center"/>
              <w:rPr>
                <w:sz w:val="16"/>
                <w:szCs w:val="16"/>
              </w:rPr>
            </w:pPr>
          </w:p>
        </w:tc>
        <w:tc>
          <w:tcPr>
            <w:tcW w:w="690" w:type="dxa"/>
          </w:tcPr>
          <w:p w14:paraId="3A9D7F94" w14:textId="77777777" w:rsidR="00375AE8" w:rsidRPr="008B2872" w:rsidRDefault="00375AE8" w:rsidP="0049324B">
            <w:pPr>
              <w:jc w:val="center"/>
              <w:rPr>
                <w:sz w:val="16"/>
                <w:szCs w:val="16"/>
              </w:rPr>
            </w:pPr>
          </w:p>
        </w:tc>
      </w:tr>
      <w:tr w:rsidR="00375AE8" w14:paraId="798F3016" w14:textId="77777777" w:rsidTr="005667CB">
        <w:tc>
          <w:tcPr>
            <w:tcW w:w="1441" w:type="dxa"/>
            <w:vMerge w:val="restart"/>
          </w:tcPr>
          <w:p w14:paraId="6A4E86BC" w14:textId="5E271656" w:rsidR="00375AE8" w:rsidRPr="008B2872" w:rsidRDefault="00375AE8" w:rsidP="0049324B">
            <w:pPr>
              <w:jc w:val="center"/>
              <w:rPr>
                <w:sz w:val="16"/>
                <w:szCs w:val="16"/>
              </w:rPr>
            </w:pPr>
            <w:r>
              <w:rPr>
                <w:sz w:val="16"/>
                <w:szCs w:val="16"/>
              </w:rPr>
              <w:t>Sustainable management practices implemented by communities on land, coastal and marine areas</w:t>
            </w:r>
          </w:p>
        </w:tc>
        <w:tc>
          <w:tcPr>
            <w:tcW w:w="1367" w:type="dxa"/>
            <w:vMerge w:val="restart"/>
          </w:tcPr>
          <w:p w14:paraId="6193C3F2" w14:textId="3E56C643" w:rsidR="00375AE8" w:rsidRPr="008B2872" w:rsidRDefault="00375AE8" w:rsidP="005667CB">
            <w:pPr>
              <w:jc w:val="center"/>
              <w:rPr>
                <w:sz w:val="16"/>
                <w:szCs w:val="16"/>
              </w:rPr>
            </w:pPr>
            <w:r>
              <w:rPr>
                <w:sz w:val="16"/>
                <w:szCs w:val="16"/>
              </w:rPr>
              <w:t xml:space="preserve">Planning and Preparatory work </w:t>
            </w:r>
          </w:p>
        </w:tc>
        <w:tc>
          <w:tcPr>
            <w:tcW w:w="2414" w:type="dxa"/>
          </w:tcPr>
          <w:p w14:paraId="7CD0F918" w14:textId="4D45748D" w:rsidR="00375AE8" w:rsidRPr="008B2872" w:rsidRDefault="00375AE8" w:rsidP="005667CB">
            <w:pPr>
              <w:jc w:val="center"/>
              <w:rPr>
                <w:sz w:val="16"/>
                <w:szCs w:val="16"/>
              </w:rPr>
            </w:pPr>
            <w:r>
              <w:rPr>
                <w:sz w:val="16"/>
                <w:szCs w:val="16"/>
              </w:rPr>
              <w:t>Develop direct grant financing modalities for community implementation</w:t>
            </w:r>
          </w:p>
        </w:tc>
        <w:tc>
          <w:tcPr>
            <w:tcW w:w="1309" w:type="dxa"/>
          </w:tcPr>
          <w:p w14:paraId="77F11A48" w14:textId="0ACE8767" w:rsidR="00375AE8" w:rsidRPr="008B2872" w:rsidRDefault="00375AE8" w:rsidP="0049324B">
            <w:pPr>
              <w:jc w:val="center"/>
              <w:rPr>
                <w:sz w:val="16"/>
                <w:szCs w:val="16"/>
              </w:rPr>
            </w:pPr>
            <w:r>
              <w:rPr>
                <w:sz w:val="16"/>
                <w:szCs w:val="16"/>
              </w:rPr>
              <w:t>NEPC and MNRET</w:t>
            </w:r>
          </w:p>
        </w:tc>
        <w:tc>
          <w:tcPr>
            <w:tcW w:w="610" w:type="dxa"/>
          </w:tcPr>
          <w:p w14:paraId="778A3310" w14:textId="77777777" w:rsidR="00375AE8" w:rsidRPr="008B2872" w:rsidRDefault="00375AE8" w:rsidP="0049324B">
            <w:pPr>
              <w:jc w:val="center"/>
              <w:rPr>
                <w:sz w:val="16"/>
                <w:szCs w:val="16"/>
              </w:rPr>
            </w:pPr>
          </w:p>
        </w:tc>
        <w:tc>
          <w:tcPr>
            <w:tcW w:w="645" w:type="dxa"/>
          </w:tcPr>
          <w:p w14:paraId="0BD5F735" w14:textId="77777777" w:rsidR="00375AE8" w:rsidRPr="008B2872" w:rsidRDefault="00375AE8" w:rsidP="0049324B">
            <w:pPr>
              <w:jc w:val="center"/>
              <w:rPr>
                <w:sz w:val="16"/>
                <w:szCs w:val="16"/>
              </w:rPr>
            </w:pPr>
          </w:p>
        </w:tc>
        <w:tc>
          <w:tcPr>
            <w:tcW w:w="690" w:type="dxa"/>
            <w:shd w:val="clear" w:color="auto" w:fill="FBD4B4" w:themeFill="accent6" w:themeFillTint="66"/>
          </w:tcPr>
          <w:p w14:paraId="2A79729D" w14:textId="77777777" w:rsidR="00375AE8" w:rsidRPr="008B2872" w:rsidRDefault="00375AE8" w:rsidP="0049324B">
            <w:pPr>
              <w:jc w:val="center"/>
              <w:rPr>
                <w:sz w:val="16"/>
                <w:szCs w:val="16"/>
              </w:rPr>
            </w:pPr>
          </w:p>
        </w:tc>
        <w:tc>
          <w:tcPr>
            <w:tcW w:w="587" w:type="dxa"/>
            <w:shd w:val="clear" w:color="auto" w:fill="FBD4B4" w:themeFill="accent6" w:themeFillTint="66"/>
          </w:tcPr>
          <w:p w14:paraId="102EBA05" w14:textId="77777777" w:rsidR="00375AE8" w:rsidRPr="008B2872" w:rsidRDefault="00375AE8" w:rsidP="0049324B">
            <w:pPr>
              <w:jc w:val="center"/>
              <w:rPr>
                <w:sz w:val="16"/>
                <w:szCs w:val="16"/>
              </w:rPr>
            </w:pPr>
          </w:p>
        </w:tc>
        <w:tc>
          <w:tcPr>
            <w:tcW w:w="690" w:type="dxa"/>
          </w:tcPr>
          <w:p w14:paraId="6BA30225" w14:textId="77777777" w:rsidR="00375AE8" w:rsidRPr="008B2872" w:rsidRDefault="00375AE8" w:rsidP="0049324B">
            <w:pPr>
              <w:jc w:val="center"/>
              <w:rPr>
                <w:sz w:val="16"/>
                <w:szCs w:val="16"/>
              </w:rPr>
            </w:pPr>
          </w:p>
        </w:tc>
        <w:tc>
          <w:tcPr>
            <w:tcW w:w="540" w:type="dxa"/>
          </w:tcPr>
          <w:p w14:paraId="67962559" w14:textId="77777777" w:rsidR="00375AE8" w:rsidRPr="008B2872" w:rsidRDefault="00375AE8" w:rsidP="0049324B">
            <w:pPr>
              <w:jc w:val="center"/>
              <w:rPr>
                <w:sz w:val="16"/>
                <w:szCs w:val="16"/>
              </w:rPr>
            </w:pPr>
          </w:p>
        </w:tc>
        <w:tc>
          <w:tcPr>
            <w:tcW w:w="690" w:type="dxa"/>
          </w:tcPr>
          <w:p w14:paraId="0623B45B" w14:textId="77777777" w:rsidR="00375AE8" w:rsidRPr="008B2872" w:rsidRDefault="00375AE8" w:rsidP="0049324B">
            <w:pPr>
              <w:jc w:val="center"/>
              <w:rPr>
                <w:sz w:val="16"/>
                <w:szCs w:val="16"/>
              </w:rPr>
            </w:pPr>
          </w:p>
        </w:tc>
        <w:tc>
          <w:tcPr>
            <w:tcW w:w="534" w:type="dxa"/>
          </w:tcPr>
          <w:p w14:paraId="22CAC58D" w14:textId="77777777" w:rsidR="00375AE8" w:rsidRPr="008B2872" w:rsidRDefault="00375AE8" w:rsidP="0049324B">
            <w:pPr>
              <w:jc w:val="center"/>
              <w:rPr>
                <w:sz w:val="16"/>
                <w:szCs w:val="16"/>
              </w:rPr>
            </w:pPr>
          </w:p>
        </w:tc>
        <w:tc>
          <w:tcPr>
            <w:tcW w:w="690" w:type="dxa"/>
          </w:tcPr>
          <w:p w14:paraId="5809786E" w14:textId="77777777" w:rsidR="00375AE8" w:rsidRPr="008B2872" w:rsidRDefault="00375AE8" w:rsidP="0049324B">
            <w:pPr>
              <w:jc w:val="center"/>
              <w:rPr>
                <w:sz w:val="16"/>
                <w:szCs w:val="16"/>
              </w:rPr>
            </w:pPr>
          </w:p>
        </w:tc>
        <w:tc>
          <w:tcPr>
            <w:tcW w:w="516" w:type="dxa"/>
          </w:tcPr>
          <w:p w14:paraId="7E5DF55D" w14:textId="77777777" w:rsidR="00375AE8" w:rsidRPr="008B2872" w:rsidRDefault="00375AE8" w:rsidP="0049324B">
            <w:pPr>
              <w:jc w:val="center"/>
              <w:rPr>
                <w:sz w:val="16"/>
                <w:szCs w:val="16"/>
              </w:rPr>
            </w:pPr>
          </w:p>
        </w:tc>
        <w:tc>
          <w:tcPr>
            <w:tcW w:w="690" w:type="dxa"/>
          </w:tcPr>
          <w:p w14:paraId="759AF614" w14:textId="77777777" w:rsidR="00375AE8" w:rsidRPr="008B2872" w:rsidRDefault="00375AE8" w:rsidP="0049324B">
            <w:pPr>
              <w:jc w:val="center"/>
              <w:rPr>
                <w:sz w:val="16"/>
                <w:szCs w:val="16"/>
              </w:rPr>
            </w:pPr>
          </w:p>
        </w:tc>
        <w:tc>
          <w:tcPr>
            <w:tcW w:w="513" w:type="dxa"/>
          </w:tcPr>
          <w:p w14:paraId="54DF62DD" w14:textId="77777777" w:rsidR="00375AE8" w:rsidRPr="008B2872" w:rsidRDefault="00375AE8" w:rsidP="0049324B">
            <w:pPr>
              <w:jc w:val="center"/>
              <w:rPr>
                <w:sz w:val="16"/>
                <w:szCs w:val="16"/>
              </w:rPr>
            </w:pPr>
          </w:p>
        </w:tc>
        <w:tc>
          <w:tcPr>
            <w:tcW w:w="690" w:type="dxa"/>
          </w:tcPr>
          <w:p w14:paraId="18E08D08" w14:textId="77777777" w:rsidR="00375AE8" w:rsidRPr="008B2872" w:rsidRDefault="00375AE8" w:rsidP="0049324B">
            <w:pPr>
              <w:jc w:val="center"/>
              <w:rPr>
                <w:sz w:val="16"/>
                <w:szCs w:val="16"/>
              </w:rPr>
            </w:pPr>
          </w:p>
        </w:tc>
      </w:tr>
      <w:tr w:rsidR="00375AE8" w14:paraId="6570FB6F" w14:textId="77777777" w:rsidTr="005667CB">
        <w:tc>
          <w:tcPr>
            <w:tcW w:w="1441" w:type="dxa"/>
            <w:vMerge/>
          </w:tcPr>
          <w:p w14:paraId="0534C770" w14:textId="77777777" w:rsidR="00375AE8" w:rsidRPr="008B2872" w:rsidRDefault="00375AE8" w:rsidP="0049324B">
            <w:pPr>
              <w:jc w:val="center"/>
              <w:rPr>
                <w:sz w:val="16"/>
                <w:szCs w:val="16"/>
              </w:rPr>
            </w:pPr>
          </w:p>
        </w:tc>
        <w:tc>
          <w:tcPr>
            <w:tcW w:w="1367" w:type="dxa"/>
            <w:vMerge/>
          </w:tcPr>
          <w:p w14:paraId="54D3C883" w14:textId="77777777" w:rsidR="00375AE8" w:rsidRPr="008B2872" w:rsidRDefault="00375AE8" w:rsidP="0049324B">
            <w:pPr>
              <w:jc w:val="center"/>
              <w:rPr>
                <w:sz w:val="16"/>
                <w:szCs w:val="16"/>
              </w:rPr>
            </w:pPr>
          </w:p>
        </w:tc>
        <w:tc>
          <w:tcPr>
            <w:tcW w:w="2414" w:type="dxa"/>
          </w:tcPr>
          <w:p w14:paraId="5BC0259A" w14:textId="326EC277" w:rsidR="00375AE8" w:rsidRPr="008B2872" w:rsidRDefault="00375AE8" w:rsidP="0049324B">
            <w:pPr>
              <w:jc w:val="center"/>
              <w:rPr>
                <w:sz w:val="16"/>
                <w:szCs w:val="16"/>
              </w:rPr>
            </w:pPr>
            <w:r>
              <w:rPr>
                <w:sz w:val="16"/>
                <w:szCs w:val="16"/>
              </w:rPr>
              <w:t>Capacity building and awareness on best practices</w:t>
            </w:r>
          </w:p>
        </w:tc>
        <w:tc>
          <w:tcPr>
            <w:tcW w:w="1309" w:type="dxa"/>
          </w:tcPr>
          <w:p w14:paraId="756F60E1" w14:textId="302D243B" w:rsidR="00375AE8" w:rsidRPr="008B2872" w:rsidRDefault="00375AE8" w:rsidP="0049324B">
            <w:pPr>
              <w:jc w:val="center"/>
              <w:rPr>
                <w:sz w:val="16"/>
                <w:szCs w:val="16"/>
              </w:rPr>
            </w:pPr>
            <w:r>
              <w:rPr>
                <w:sz w:val="16"/>
                <w:szCs w:val="16"/>
              </w:rPr>
              <w:t>MNRET</w:t>
            </w:r>
          </w:p>
        </w:tc>
        <w:tc>
          <w:tcPr>
            <w:tcW w:w="610" w:type="dxa"/>
          </w:tcPr>
          <w:p w14:paraId="4CE49312" w14:textId="77777777" w:rsidR="00375AE8" w:rsidRPr="008B2872" w:rsidRDefault="00375AE8" w:rsidP="0049324B">
            <w:pPr>
              <w:jc w:val="center"/>
              <w:rPr>
                <w:sz w:val="16"/>
                <w:szCs w:val="16"/>
              </w:rPr>
            </w:pPr>
          </w:p>
        </w:tc>
        <w:tc>
          <w:tcPr>
            <w:tcW w:w="645" w:type="dxa"/>
          </w:tcPr>
          <w:p w14:paraId="77EAF2C7" w14:textId="77777777" w:rsidR="00375AE8" w:rsidRPr="008B2872" w:rsidRDefault="00375AE8" w:rsidP="0049324B">
            <w:pPr>
              <w:jc w:val="center"/>
              <w:rPr>
                <w:sz w:val="16"/>
                <w:szCs w:val="16"/>
              </w:rPr>
            </w:pPr>
          </w:p>
        </w:tc>
        <w:tc>
          <w:tcPr>
            <w:tcW w:w="690" w:type="dxa"/>
          </w:tcPr>
          <w:p w14:paraId="0B70A2F3" w14:textId="77777777" w:rsidR="00375AE8" w:rsidRPr="008B2872" w:rsidRDefault="00375AE8" w:rsidP="0049324B">
            <w:pPr>
              <w:jc w:val="center"/>
              <w:rPr>
                <w:sz w:val="16"/>
                <w:szCs w:val="16"/>
              </w:rPr>
            </w:pPr>
          </w:p>
        </w:tc>
        <w:tc>
          <w:tcPr>
            <w:tcW w:w="587" w:type="dxa"/>
            <w:shd w:val="clear" w:color="auto" w:fill="FBD4B4" w:themeFill="accent6" w:themeFillTint="66"/>
          </w:tcPr>
          <w:p w14:paraId="7B27F20E" w14:textId="77777777" w:rsidR="00375AE8" w:rsidRPr="008B2872" w:rsidRDefault="00375AE8" w:rsidP="0049324B">
            <w:pPr>
              <w:jc w:val="center"/>
              <w:rPr>
                <w:sz w:val="16"/>
                <w:szCs w:val="16"/>
              </w:rPr>
            </w:pPr>
          </w:p>
        </w:tc>
        <w:tc>
          <w:tcPr>
            <w:tcW w:w="690" w:type="dxa"/>
            <w:shd w:val="clear" w:color="auto" w:fill="FBD4B4" w:themeFill="accent6" w:themeFillTint="66"/>
          </w:tcPr>
          <w:p w14:paraId="467E029D" w14:textId="77777777" w:rsidR="00375AE8" w:rsidRPr="008B2872" w:rsidRDefault="00375AE8" w:rsidP="0049324B">
            <w:pPr>
              <w:jc w:val="center"/>
              <w:rPr>
                <w:sz w:val="16"/>
                <w:szCs w:val="16"/>
              </w:rPr>
            </w:pPr>
          </w:p>
        </w:tc>
        <w:tc>
          <w:tcPr>
            <w:tcW w:w="540" w:type="dxa"/>
            <w:shd w:val="clear" w:color="auto" w:fill="FBD4B4" w:themeFill="accent6" w:themeFillTint="66"/>
          </w:tcPr>
          <w:p w14:paraId="6B3720DE" w14:textId="77777777" w:rsidR="00375AE8" w:rsidRPr="008B2872" w:rsidRDefault="00375AE8" w:rsidP="0049324B">
            <w:pPr>
              <w:jc w:val="center"/>
              <w:rPr>
                <w:sz w:val="16"/>
                <w:szCs w:val="16"/>
              </w:rPr>
            </w:pPr>
          </w:p>
        </w:tc>
        <w:tc>
          <w:tcPr>
            <w:tcW w:w="690" w:type="dxa"/>
            <w:shd w:val="clear" w:color="auto" w:fill="FBD4B4" w:themeFill="accent6" w:themeFillTint="66"/>
          </w:tcPr>
          <w:p w14:paraId="3CF4CAB4" w14:textId="77777777" w:rsidR="00375AE8" w:rsidRPr="008B2872" w:rsidRDefault="00375AE8" w:rsidP="0049324B">
            <w:pPr>
              <w:jc w:val="center"/>
              <w:rPr>
                <w:sz w:val="16"/>
                <w:szCs w:val="16"/>
              </w:rPr>
            </w:pPr>
          </w:p>
        </w:tc>
        <w:tc>
          <w:tcPr>
            <w:tcW w:w="534" w:type="dxa"/>
            <w:shd w:val="clear" w:color="auto" w:fill="FBD4B4" w:themeFill="accent6" w:themeFillTint="66"/>
          </w:tcPr>
          <w:p w14:paraId="16111E28" w14:textId="77777777" w:rsidR="00375AE8" w:rsidRPr="008B2872" w:rsidRDefault="00375AE8" w:rsidP="0049324B">
            <w:pPr>
              <w:jc w:val="center"/>
              <w:rPr>
                <w:sz w:val="16"/>
                <w:szCs w:val="16"/>
              </w:rPr>
            </w:pPr>
          </w:p>
        </w:tc>
        <w:tc>
          <w:tcPr>
            <w:tcW w:w="690" w:type="dxa"/>
            <w:shd w:val="clear" w:color="auto" w:fill="FBD4B4" w:themeFill="accent6" w:themeFillTint="66"/>
          </w:tcPr>
          <w:p w14:paraId="29BE91F1" w14:textId="77777777" w:rsidR="00375AE8" w:rsidRPr="008B2872" w:rsidRDefault="00375AE8" w:rsidP="0049324B">
            <w:pPr>
              <w:jc w:val="center"/>
              <w:rPr>
                <w:sz w:val="16"/>
                <w:szCs w:val="16"/>
              </w:rPr>
            </w:pPr>
          </w:p>
        </w:tc>
        <w:tc>
          <w:tcPr>
            <w:tcW w:w="516" w:type="dxa"/>
          </w:tcPr>
          <w:p w14:paraId="0EF180E1" w14:textId="77777777" w:rsidR="00375AE8" w:rsidRPr="008B2872" w:rsidRDefault="00375AE8" w:rsidP="0049324B">
            <w:pPr>
              <w:jc w:val="center"/>
              <w:rPr>
                <w:sz w:val="16"/>
                <w:szCs w:val="16"/>
              </w:rPr>
            </w:pPr>
          </w:p>
        </w:tc>
        <w:tc>
          <w:tcPr>
            <w:tcW w:w="690" w:type="dxa"/>
          </w:tcPr>
          <w:p w14:paraId="61E9DF4C" w14:textId="77777777" w:rsidR="00375AE8" w:rsidRPr="008B2872" w:rsidRDefault="00375AE8" w:rsidP="0049324B">
            <w:pPr>
              <w:jc w:val="center"/>
              <w:rPr>
                <w:sz w:val="16"/>
                <w:szCs w:val="16"/>
              </w:rPr>
            </w:pPr>
          </w:p>
        </w:tc>
        <w:tc>
          <w:tcPr>
            <w:tcW w:w="513" w:type="dxa"/>
          </w:tcPr>
          <w:p w14:paraId="64286337" w14:textId="77777777" w:rsidR="00375AE8" w:rsidRPr="008B2872" w:rsidRDefault="00375AE8" w:rsidP="0049324B">
            <w:pPr>
              <w:jc w:val="center"/>
              <w:rPr>
                <w:sz w:val="16"/>
                <w:szCs w:val="16"/>
              </w:rPr>
            </w:pPr>
          </w:p>
        </w:tc>
        <w:tc>
          <w:tcPr>
            <w:tcW w:w="690" w:type="dxa"/>
          </w:tcPr>
          <w:p w14:paraId="7C731170" w14:textId="77777777" w:rsidR="00375AE8" w:rsidRPr="008B2872" w:rsidRDefault="00375AE8" w:rsidP="0049324B">
            <w:pPr>
              <w:jc w:val="center"/>
              <w:rPr>
                <w:sz w:val="16"/>
                <w:szCs w:val="16"/>
              </w:rPr>
            </w:pPr>
          </w:p>
        </w:tc>
      </w:tr>
      <w:tr w:rsidR="00375AE8" w14:paraId="18693D0D" w14:textId="77777777" w:rsidTr="005667CB">
        <w:tc>
          <w:tcPr>
            <w:tcW w:w="1441" w:type="dxa"/>
            <w:vMerge/>
          </w:tcPr>
          <w:p w14:paraId="3A6AB401" w14:textId="77777777" w:rsidR="00375AE8" w:rsidRPr="008B2872" w:rsidRDefault="00375AE8" w:rsidP="0049324B">
            <w:pPr>
              <w:jc w:val="center"/>
              <w:rPr>
                <w:sz w:val="16"/>
                <w:szCs w:val="16"/>
              </w:rPr>
            </w:pPr>
          </w:p>
        </w:tc>
        <w:tc>
          <w:tcPr>
            <w:tcW w:w="1367" w:type="dxa"/>
            <w:vMerge/>
          </w:tcPr>
          <w:p w14:paraId="2A886CAC" w14:textId="77777777" w:rsidR="00375AE8" w:rsidRPr="008B2872" w:rsidRDefault="00375AE8" w:rsidP="0049324B">
            <w:pPr>
              <w:jc w:val="center"/>
              <w:rPr>
                <w:sz w:val="16"/>
                <w:szCs w:val="16"/>
              </w:rPr>
            </w:pPr>
          </w:p>
        </w:tc>
        <w:tc>
          <w:tcPr>
            <w:tcW w:w="2414" w:type="dxa"/>
          </w:tcPr>
          <w:p w14:paraId="4EBDC1F3" w14:textId="7C95268D" w:rsidR="00375AE8" w:rsidRPr="008B2872" w:rsidRDefault="00375AE8" w:rsidP="0049324B">
            <w:pPr>
              <w:jc w:val="center"/>
              <w:rPr>
                <w:sz w:val="16"/>
                <w:szCs w:val="16"/>
              </w:rPr>
            </w:pPr>
            <w:r>
              <w:rPr>
                <w:sz w:val="16"/>
                <w:szCs w:val="16"/>
              </w:rPr>
              <w:t>Train EDRR staff at State level</w:t>
            </w:r>
          </w:p>
        </w:tc>
        <w:tc>
          <w:tcPr>
            <w:tcW w:w="1309" w:type="dxa"/>
          </w:tcPr>
          <w:p w14:paraId="60C65B58" w14:textId="4ED3AC8C" w:rsidR="00375AE8" w:rsidRPr="008B2872" w:rsidRDefault="00375AE8" w:rsidP="0049324B">
            <w:pPr>
              <w:jc w:val="center"/>
              <w:rPr>
                <w:sz w:val="16"/>
                <w:szCs w:val="16"/>
              </w:rPr>
            </w:pPr>
            <w:r>
              <w:rPr>
                <w:sz w:val="16"/>
                <w:szCs w:val="16"/>
              </w:rPr>
              <w:t>NISCO, NISC, and BD</w:t>
            </w:r>
          </w:p>
        </w:tc>
        <w:tc>
          <w:tcPr>
            <w:tcW w:w="610" w:type="dxa"/>
          </w:tcPr>
          <w:p w14:paraId="34AB3788" w14:textId="77777777" w:rsidR="00375AE8" w:rsidRPr="008B2872" w:rsidRDefault="00375AE8" w:rsidP="0049324B">
            <w:pPr>
              <w:jc w:val="center"/>
              <w:rPr>
                <w:sz w:val="16"/>
                <w:szCs w:val="16"/>
              </w:rPr>
            </w:pPr>
          </w:p>
        </w:tc>
        <w:tc>
          <w:tcPr>
            <w:tcW w:w="645" w:type="dxa"/>
          </w:tcPr>
          <w:p w14:paraId="277E19D9" w14:textId="77777777" w:rsidR="00375AE8" w:rsidRPr="008B2872" w:rsidRDefault="00375AE8" w:rsidP="0049324B">
            <w:pPr>
              <w:jc w:val="center"/>
              <w:rPr>
                <w:sz w:val="16"/>
                <w:szCs w:val="16"/>
              </w:rPr>
            </w:pPr>
          </w:p>
        </w:tc>
        <w:tc>
          <w:tcPr>
            <w:tcW w:w="690" w:type="dxa"/>
          </w:tcPr>
          <w:p w14:paraId="2BB27193" w14:textId="77777777" w:rsidR="00375AE8" w:rsidRPr="008B2872" w:rsidRDefault="00375AE8" w:rsidP="0049324B">
            <w:pPr>
              <w:jc w:val="center"/>
              <w:rPr>
                <w:sz w:val="16"/>
                <w:szCs w:val="16"/>
              </w:rPr>
            </w:pPr>
          </w:p>
        </w:tc>
        <w:tc>
          <w:tcPr>
            <w:tcW w:w="587" w:type="dxa"/>
            <w:shd w:val="clear" w:color="auto" w:fill="FBD4B4" w:themeFill="accent6" w:themeFillTint="66"/>
          </w:tcPr>
          <w:p w14:paraId="77BBE2C6" w14:textId="77777777" w:rsidR="00375AE8" w:rsidRPr="008B2872" w:rsidRDefault="00375AE8" w:rsidP="0049324B">
            <w:pPr>
              <w:jc w:val="center"/>
              <w:rPr>
                <w:sz w:val="16"/>
                <w:szCs w:val="16"/>
              </w:rPr>
            </w:pPr>
          </w:p>
        </w:tc>
        <w:tc>
          <w:tcPr>
            <w:tcW w:w="690" w:type="dxa"/>
            <w:shd w:val="clear" w:color="auto" w:fill="FBD4B4" w:themeFill="accent6" w:themeFillTint="66"/>
          </w:tcPr>
          <w:p w14:paraId="7DF7C5FB" w14:textId="77777777" w:rsidR="00375AE8" w:rsidRPr="008B2872" w:rsidRDefault="00375AE8" w:rsidP="0049324B">
            <w:pPr>
              <w:jc w:val="center"/>
              <w:rPr>
                <w:sz w:val="16"/>
                <w:szCs w:val="16"/>
              </w:rPr>
            </w:pPr>
          </w:p>
        </w:tc>
        <w:tc>
          <w:tcPr>
            <w:tcW w:w="540" w:type="dxa"/>
          </w:tcPr>
          <w:p w14:paraId="2573185C" w14:textId="77777777" w:rsidR="00375AE8" w:rsidRPr="008B2872" w:rsidRDefault="00375AE8" w:rsidP="0049324B">
            <w:pPr>
              <w:jc w:val="center"/>
              <w:rPr>
                <w:sz w:val="16"/>
                <w:szCs w:val="16"/>
              </w:rPr>
            </w:pPr>
          </w:p>
        </w:tc>
        <w:tc>
          <w:tcPr>
            <w:tcW w:w="690" w:type="dxa"/>
          </w:tcPr>
          <w:p w14:paraId="4B7A43BC" w14:textId="77777777" w:rsidR="00375AE8" w:rsidRPr="008B2872" w:rsidRDefault="00375AE8" w:rsidP="0049324B">
            <w:pPr>
              <w:jc w:val="center"/>
              <w:rPr>
                <w:sz w:val="16"/>
                <w:szCs w:val="16"/>
              </w:rPr>
            </w:pPr>
          </w:p>
        </w:tc>
        <w:tc>
          <w:tcPr>
            <w:tcW w:w="534" w:type="dxa"/>
          </w:tcPr>
          <w:p w14:paraId="2C85539F" w14:textId="77777777" w:rsidR="00375AE8" w:rsidRPr="008B2872" w:rsidRDefault="00375AE8" w:rsidP="0049324B">
            <w:pPr>
              <w:jc w:val="center"/>
              <w:rPr>
                <w:sz w:val="16"/>
                <w:szCs w:val="16"/>
              </w:rPr>
            </w:pPr>
          </w:p>
        </w:tc>
        <w:tc>
          <w:tcPr>
            <w:tcW w:w="690" w:type="dxa"/>
          </w:tcPr>
          <w:p w14:paraId="11E5C9D0" w14:textId="77777777" w:rsidR="00375AE8" w:rsidRPr="008B2872" w:rsidRDefault="00375AE8" w:rsidP="0049324B">
            <w:pPr>
              <w:jc w:val="center"/>
              <w:rPr>
                <w:sz w:val="16"/>
                <w:szCs w:val="16"/>
              </w:rPr>
            </w:pPr>
          </w:p>
        </w:tc>
        <w:tc>
          <w:tcPr>
            <w:tcW w:w="516" w:type="dxa"/>
          </w:tcPr>
          <w:p w14:paraId="377BFC3E" w14:textId="77777777" w:rsidR="00375AE8" w:rsidRPr="008B2872" w:rsidRDefault="00375AE8" w:rsidP="0049324B">
            <w:pPr>
              <w:jc w:val="center"/>
              <w:rPr>
                <w:sz w:val="16"/>
                <w:szCs w:val="16"/>
              </w:rPr>
            </w:pPr>
          </w:p>
        </w:tc>
        <w:tc>
          <w:tcPr>
            <w:tcW w:w="690" w:type="dxa"/>
          </w:tcPr>
          <w:p w14:paraId="2A889B89" w14:textId="77777777" w:rsidR="00375AE8" w:rsidRPr="008B2872" w:rsidRDefault="00375AE8" w:rsidP="0049324B">
            <w:pPr>
              <w:jc w:val="center"/>
              <w:rPr>
                <w:sz w:val="16"/>
                <w:szCs w:val="16"/>
              </w:rPr>
            </w:pPr>
          </w:p>
        </w:tc>
        <w:tc>
          <w:tcPr>
            <w:tcW w:w="513" w:type="dxa"/>
          </w:tcPr>
          <w:p w14:paraId="55C39569" w14:textId="77777777" w:rsidR="00375AE8" w:rsidRPr="008B2872" w:rsidRDefault="00375AE8" w:rsidP="0049324B">
            <w:pPr>
              <w:jc w:val="center"/>
              <w:rPr>
                <w:sz w:val="16"/>
                <w:szCs w:val="16"/>
              </w:rPr>
            </w:pPr>
          </w:p>
        </w:tc>
        <w:tc>
          <w:tcPr>
            <w:tcW w:w="690" w:type="dxa"/>
          </w:tcPr>
          <w:p w14:paraId="4B47B14A" w14:textId="77777777" w:rsidR="00375AE8" w:rsidRPr="008B2872" w:rsidRDefault="00375AE8" w:rsidP="0049324B">
            <w:pPr>
              <w:jc w:val="center"/>
              <w:rPr>
                <w:sz w:val="16"/>
                <w:szCs w:val="16"/>
              </w:rPr>
            </w:pPr>
          </w:p>
        </w:tc>
      </w:tr>
      <w:tr w:rsidR="00375AE8" w14:paraId="1A58A96B" w14:textId="77777777" w:rsidTr="00624C17">
        <w:tc>
          <w:tcPr>
            <w:tcW w:w="1441" w:type="dxa"/>
            <w:vMerge/>
          </w:tcPr>
          <w:p w14:paraId="09E7996F" w14:textId="77777777" w:rsidR="00375AE8" w:rsidRPr="008B2872" w:rsidRDefault="00375AE8" w:rsidP="0049324B">
            <w:pPr>
              <w:jc w:val="center"/>
              <w:rPr>
                <w:sz w:val="16"/>
                <w:szCs w:val="16"/>
              </w:rPr>
            </w:pPr>
          </w:p>
        </w:tc>
        <w:tc>
          <w:tcPr>
            <w:tcW w:w="1367" w:type="dxa"/>
          </w:tcPr>
          <w:p w14:paraId="14F5E5A2" w14:textId="335C0615" w:rsidR="00375AE8" w:rsidRPr="008B2872" w:rsidRDefault="00375AE8" w:rsidP="0049324B">
            <w:pPr>
              <w:jc w:val="center"/>
              <w:rPr>
                <w:sz w:val="16"/>
                <w:szCs w:val="16"/>
              </w:rPr>
            </w:pPr>
            <w:r>
              <w:rPr>
                <w:sz w:val="16"/>
                <w:szCs w:val="16"/>
              </w:rPr>
              <w:t>Implementation of sustainable natural resource management and livelihood activities</w:t>
            </w:r>
          </w:p>
        </w:tc>
        <w:tc>
          <w:tcPr>
            <w:tcW w:w="2414" w:type="dxa"/>
          </w:tcPr>
          <w:p w14:paraId="38773512" w14:textId="472CC91C" w:rsidR="00375AE8" w:rsidRPr="008B2872" w:rsidRDefault="00375AE8" w:rsidP="0049324B">
            <w:pPr>
              <w:jc w:val="center"/>
              <w:rPr>
                <w:sz w:val="16"/>
                <w:szCs w:val="16"/>
              </w:rPr>
            </w:pPr>
            <w:r>
              <w:rPr>
                <w:sz w:val="16"/>
                <w:szCs w:val="16"/>
              </w:rPr>
              <w:t>Request call for proposals or open funding window to enable communities to access direct financing</w:t>
            </w:r>
          </w:p>
        </w:tc>
        <w:tc>
          <w:tcPr>
            <w:tcW w:w="1309" w:type="dxa"/>
          </w:tcPr>
          <w:p w14:paraId="503BB660" w14:textId="298F4AC8" w:rsidR="00375AE8" w:rsidRPr="008B2872" w:rsidRDefault="00375AE8" w:rsidP="0049324B">
            <w:pPr>
              <w:jc w:val="center"/>
              <w:rPr>
                <w:sz w:val="16"/>
                <w:szCs w:val="16"/>
              </w:rPr>
            </w:pPr>
            <w:r>
              <w:rPr>
                <w:sz w:val="16"/>
                <w:szCs w:val="16"/>
              </w:rPr>
              <w:t>MNRET</w:t>
            </w:r>
          </w:p>
        </w:tc>
        <w:tc>
          <w:tcPr>
            <w:tcW w:w="610" w:type="dxa"/>
          </w:tcPr>
          <w:p w14:paraId="1DD05B9E" w14:textId="77777777" w:rsidR="00375AE8" w:rsidRPr="008B2872" w:rsidRDefault="00375AE8" w:rsidP="0049324B">
            <w:pPr>
              <w:jc w:val="center"/>
              <w:rPr>
                <w:sz w:val="16"/>
                <w:szCs w:val="16"/>
              </w:rPr>
            </w:pPr>
          </w:p>
        </w:tc>
        <w:tc>
          <w:tcPr>
            <w:tcW w:w="645" w:type="dxa"/>
          </w:tcPr>
          <w:p w14:paraId="5D576E99" w14:textId="77777777" w:rsidR="00375AE8" w:rsidRPr="008B2872" w:rsidRDefault="00375AE8" w:rsidP="0049324B">
            <w:pPr>
              <w:jc w:val="center"/>
              <w:rPr>
                <w:sz w:val="16"/>
                <w:szCs w:val="16"/>
              </w:rPr>
            </w:pPr>
          </w:p>
        </w:tc>
        <w:tc>
          <w:tcPr>
            <w:tcW w:w="690" w:type="dxa"/>
          </w:tcPr>
          <w:p w14:paraId="7E3AD83E" w14:textId="77777777" w:rsidR="00375AE8" w:rsidRPr="008B2872" w:rsidRDefault="00375AE8" w:rsidP="0049324B">
            <w:pPr>
              <w:jc w:val="center"/>
              <w:rPr>
                <w:sz w:val="16"/>
                <w:szCs w:val="16"/>
              </w:rPr>
            </w:pPr>
          </w:p>
        </w:tc>
        <w:tc>
          <w:tcPr>
            <w:tcW w:w="587" w:type="dxa"/>
            <w:shd w:val="clear" w:color="auto" w:fill="FBD4B4" w:themeFill="accent6" w:themeFillTint="66"/>
          </w:tcPr>
          <w:p w14:paraId="3286BB9C" w14:textId="77777777" w:rsidR="00375AE8" w:rsidRPr="008B2872" w:rsidRDefault="00375AE8" w:rsidP="0049324B">
            <w:pPr>
              <w:jc w:val="center"/>
              <w:rPr>
                <w:sz w:val="16"/>
                <w:szCs w:val="16"/>
              </w:rPr>
            </w:pPr>
          </w:p>
        </w:tc>
        <w:tc>
          <w:tcPr>
            <w:tcW w:w="690" w:type="dxa"/>
            <w:shd w:val="clear" w:color="auto" w:fill="FBD4B4" w:themeFill="accent6" w:themeFillTint="66"/>
          </w:tcPr>
          <w:p w14:paraId="75D81786" w14:textId="77777777" w:rsidR="00375AE8" w:rsidRPr="008B2872" w:rsidRDefault="00375AE8" w:rsidP="0049324B">
            <w:pPr>
              <w:jc w:val="center"/>
              <w:rPr>
                <w:sz w:val="16"/>
                <w:szCs w:val="16"/>
              </w:rPr>
            </w:pPr>
          </w:p>
        </w:tc>
        <w:tc>
          <w:tcPr>
            <w:tcW w:w="540" w:type="dxa"/>
            <w:shd w:val="clear" w:color="auto" w:fill="FBD4B4" w:themeFill="accent6" w:themeFillTint="66"/>
          </w:tcPr>
          <w:p w14:paraId="7E0B774C" w14:textId="77777777" w:rsidR="00375AE8" w:rsidRPr="008B2872" w:rsidRDefault="00375AE8" w:rsidP="0049324B">
            <w:pPr>
              <w:jc w:val="center"/>
              <w:rPr>
                <w:sz w:val="16"/>
                <w:szCs w:val="16"/>
              </w:rPr>
            </w:pPr>
          </w:p>
        </w:tc>
        <w:tc>
          <w:tcPr>
            <w:tcW w:w="690" w:type="dxa"/>
            <w:shd w:val="clear" w:color="auto" w:fill="FBD4B4" w:themeFill="accent6" w:themeFillTint="66"/>
          </w:tcPr>
          <w:p w14:paraId="18EC961F" w14:textId="77777777" w:rsidR="00375AE8" w:rsidRPr="008B2872" w:rsidRDefault="00375AE8" w:rsidP="0049324B">
            <w:pPr>
              <w:jc w:val="center"/>
              <w:rPr>
                <w:sz w:val="16"/>
                <w:szCs w:val="16"/>
              </w:rPr>
            </w:pPr>
          </w:p>
        </w:tc>
        <w:tc>
          <w:tcPr>
            <w:tcW w:w="534" w:type="dxa"/>
            <w:shd w:val="clear" w:color="auto" w:fill="FBD4B4" w:themeFill="accent6" w:themeFillTint="66"/>
          </w:tcPr>
          <w:p w14:paraId="4747F250" w14:textId="77777777" w:rsidR="00375AE8" w:rsidRPr="008B2872" w:rsidRDefault="00375AE8" w:rsidP="0049324B">
            <w:pPr>
              <w:jc w:val="center"/>
              <w:rPr>
                <w:sz w:val="16"/>
                <w:szCs w:val="16"/>
              </w:rPr>
            </w:pPr>
          </w:p>
        </w:tc>
        <w:tc>
          <w:tcPr>
            <w:tcW w:w="690" w:type="dxa"/>
            <w:shd w:val="clear" w:color="auto" w:fill="FBD4B4" w:themeFill="accent6" w:themeFillTint="66"/>
          </w:tcPr>
          <w:p w14:paraId="2E27B2BE" w14:textId="77777777" w:rsidR="00375AE8" w:rsidRPr="008B2872" w:rsidRDefault="00375AE8" w:rsidP="0049324B">
            <w:pPr>
              <w:jc w:val="center"/>
              <w:rPr>
                <w:sz w:val="16"/>
                <w:szCs w:val="16"/>
              </w:rPr>
            </w:pPr>
          </w:p>
        </w:tc>
        <w:tc>
          <w:tcPr>
            <w:tcW w:w="516" w:type="dxa"/>
            <w:shd w:val="clear" w:color="auto" w:fill="FBD4B4" w:themeFill="accent6" w:themeFillTint="66"/>
          </w:tcPr>
          <w:p w14:paraId="4400E808" w14:textId="77777777" w:rsidR="00375AE8" w:rsidRPr="008B2872" w:rsidRDefault="00375AE8" w:rsidP="0049324B">
            <w:pPr>
              <w:jc w:val="center"/>
              <w:rPr>
                <w:sz w:val="16"/>
                <w:szCs w:val="16"/>
              </w:rPr>
            </w:pPr>
          </w:p>
        </w:tc>
        <w:tc>
          <w:tcPr>
            <w:tcW w:w="690" w:type="dxa"/>
            <w:shd w:val="clear" w:color="auto" w:fill="FBD4B4" w:themeFill="accent6" w:themeFillTint="66"/>
          </w:tcPr>
          <w:p w14:paraId="71D25FE8" w14:textId="77777777" w:rsidR="00375AE8" w:rsidRPr="008B2872" w:rsidRDefault="00375AE8" w:rsidP="0049324B">
            <w:pPr>
              <w:jc w:val="center"/>
              <w:rPr>
                <w:sz w:val="16"/>
                <w:szCs w:val="16"/>
              </w:rPr>
            </w:pPr>
          </w:p>
        </w:tc>
        <w:tc>
          <w:tcPr>
            <w:tcW w:w="513" w:type="dxa"/>
          </w:tcPr>
          <w:p w14:paraId="2EB641CA" w14:textId="77777777" w:rsidR="00375AE8" w:rsidRPr="008B2872" w:rsidRDefault="00375AE8" w:rsidP="0049324B">
            <w:pPr>
              <w:jc w:val="center"/>
              <w:rPr>
                <w:sz w:val="16"/>
                <w:szCs w:val="16"/>
              </w:rPr>
            </w:pPr>
          </w:p>
        </w:tc>
        <w:tc>
          <w:tcPr>
            <w:tcW w:w="690" w:type="dxa"/>
          </w:tcPr>
          <w:p w14:paraId="2106BBA0" w14:textId="77777777" w:rsidR="00375AE8" w:rsidRPr="008B2872" w:rsidRDefault="00375AE8" w:rsidP="0049324B">
            <w:pPr>
              <w:jc w:val="center"/>
              <w:rPr>
                <w:sz w:val="16"/>
                <w:szCs w:val="16"/>
              </w:rPr>
            </w:pPr>
          </w:p>
        </w:tc>
      </w:tr>
      <w:tr w:rsidR="00375AE8" w14:paraId="7F525380" w14:textId="77777777" w:rsidTr="00624C17">
        <w:tc>
          <w:tcPr>
            <w:tcW w:w="1441" w:type="dxa"/>
            <w:vMerge/>
          </w:tcPr>
          <w:p w14:paraId="56681B80" w14:textId="77777777" w:rsidR="00375AE8" w:rsidRPr="008B2872" w:rsidRDefault="00375AE8" w:rsidP="0049324B">
            <w:pPr>
              <w:jc w:val="center"/>
              <w:rPr>
                <w:sz w:val="16"/>
                <w:szCs w:val="16"/>
              </w:rPr>
            </w:pPr>
          </w:p>
        </w:tc>
        <w:tc>
          <w:tcPr>
            <w:tcW w:w="1367" w:type="dxa"/>
          </w:tcPr>
          <w:p w14:paraId="72F3EF17" w14:textId="77777777" w:rsidR="00375AE8" w:rsidRPr="008B2872" w:rsidRDefault="00375AE8" w:rsidP="0049324B">
            <w:pPr>
              <w:jc w:val="center"/>
              <w:rPr>
                <w:sz w:val="16"/>
                <w:szCs w:val="16"/>
              </w:rPr>
            </w:pPr>
          </w:p>
        </w:tc>
        <w:tc>
          <w:tcPr>
            <w:tcW w:w="2414" w:type="dxa"/>
          </w:tcPr>
          <w:p w14:paraId="13282D49" w14:textId="277486C8" w:rsidR="00375AE8" w:rsidRPr="008B2872" w:rsidRDefault="00375AE8" w:rsidP="0049324B">
            <w:pPr>
              <w:jc w:val="center"/>
              <w:rPr>
                <w:sz w:val="16"/>
                <w:szCs w:val="16"/>
              </w:rPr>
            </w:pPr>
            <w:r>
              <w:rPr>
                <w:sz w:val="16"/>
                <w:szCs w:val="16"/>
              </w:rPr>
              <w:t>Support for individual state implementation of best practices</w:t>
            </w:r>
          </w:p>
        </w:tc>
        <w:tc>
          <w:tcPr>
            <w:tcW w:w="1309" w:type="dxa"/>
          </w:tcPr>
          <w:p w14:paraId="075DFA9A" w14:textId="79349EEA" w:rsidR="00375AE8" w:rsidRPr="008B2872" w:rsidRDefault="00375AE8" w:rsidP="0049324B">
            <w:pPr>
              <w:jc w:val="center"/>
              <w:rPr>
                <w:sz w:val="16"/>
                <w:szCs w:val="16"/>
              </w:rPr>
            </w:pPr>
            <w:r>
              <w:rPr>
                <w:sz w:val="16"/>
                <w:szCs w:val="16"/>
              </w:rPr>
              <w:t>JCB</w:t>
            </w:r>
          </w:p>
        </w:tc>
        <w:tc>
          <w:tcPr>
            <w:tcW w:w="610" w:type="dxa"/>
          </w:tcPr>
          <w:p w14:paraId="3B639873" w14:textId="77777777" w:rsidR="00375AE8" w:rsidRPr="008B2872" w:rsidRDefault="00375AE8" w:rsidP="0049324B">
            <w:pPr>
              <w:jc w:val="center"/>
              <w:rPr>
                <w:sz w:val="16"/>
                <w:szCs w:val="16"/>
              </w:rPr>
            </w:pPr>
          </w:p>
        </w:tc>
        <w:tc>
          <w:tcPr>
            <w:tcW w:w="645" w:type="dxa"/>
          </w:tcPr>
          <w:p w14:paraId="76DC3796" w14:textId="77777777" w:rsidR="00375AE8" w:rsidRPr="008B2872" w:rsidRDefault="00375AE8" w:rsidP="0049324B">
            <w:pPr>
              <w:jc w:val="center"/>
              <w:rPr>
                <w:sz w:val="16"/>
                <w:szCs w:val="16"/>
              </w:rPr>
            </w:pPr>
          </w:p>
        </w:tc>
        <w:tc>
          <w:tcPr>
            <w:tcW w:w="690" w:type="dxa"/>
          </w:tcPr>
          <w:p w14:paraId="794D5E17" w14:textId="77777777" w:rsidR="00375AE8" w:rsidRPr="008B2872" w:rsidRDefault="00375AE8" w:rsidP="0049324B">
            <w:pPr>
              <w:jc w:val="center"/>
              <w:rPr>
                <w:sz w:val="16"/>
                <w:szCs w:val="16"/>
              </w:rPr>
            </w:pPr>
          </w:p>
        </w:tc>
        <w:tc>
          <w:tcPr>
            <w:tcW w:w="587" w:type="dxa"/>
            <w:shd w:val="clear" w:color="auto" w:fill="FBD4B4" w:themeFill="accent6" w:themeFillTint="66"/>
          </w:tcPr>
          <w:p w14:paraId="281F8813" w14:textId="77777777" w:rsidR="00375AE8" w:rsidRPr="008B2872" w:rsidRDefault="00375AE8" w:rsidP="0049324B">
            <w:pPr>
              <w:jc w:val="center"/>
              <w:rPr>
                <w:sz w:val="16"/>
                <w:szCs w:val="16"/>
              </w:rPr>
            </w:pPr>
          </w:p>
        </w:tc>
        <w:tc>
          <w:tcPr>
            <w:tcW w:w="690" w:type="dxa"/>
            <w:shd w:val="clear" w:color="auto" w:fill="FBD4B4" w:themeFill="accent6" w:themeFillTint="66"/>
          </w:tcPr>
          <w:p w14:paraId="5CB41425" w14:textId="77777777" w:rsidR="00375AE8" w:rsidRPr="008B2872" w:rsidRDefault="00375AE8" w:rsidP="0049324B">
            <w:pPr>
              <w:jc w:val="center"/>
              <w:rPr>
                <w:sz w:val="16"/>
                <w:szCs w:val="16"/>
              </w:rPr>
            </w:pPr>
          </w:p>
        </w:tc>
        <w:tc>
          <w:tcPr>
            <w:tcW w:w="540" w:type="dxa"/>
            <w:shd w:val="clear" w:color="auto" w:fill="FBD4B4" w:themeFill="accent6" w:themeFillTint="66"/>
          </w:tcPr>
          <w:p w14:paraId="0375C814" w14:textId="77777777" w:rsidR="00375AE8" w:rsidRPr="008B2872" w:rsidRDefault="00375AE8" w:rsidP="0049324B">
            <w:pPr>
              <w:jc w:val="center"/>
              <w:rPr>
                <w:sz w:val="16"/>
                <w:szCs w:val="16"/>
              </w:rPr>
            </w:pPr>
          </w:p>
        </w:tc>
        <w:tc>
          <w:tcPr>
            <w:tcW w:w="690" w:type="dxa"/>
            <w:shd w:val="clear" w:color="auto" w:fill="FBD4B4" w:themeFill="accent6" w:themeFillTint="66"/>
          </w:tcPr>
          <w:p w14:paraId="58896BAD" w14:textId="77777777" w:rsidR="00375AE8" w:rsidRPr="008B2872" w:rsidRDefault="00375AE8" w:rsidP="0049324B">
            <w:pPr>
              <w:jc w:val="center"/>
              <w:rPr>
                <w:sz w:val="16"/>
                <w:szCs w:val="16"/>
              </w:rPr>
            </w:pPr>
          </w:p>
        </w:tc>
        <w:tc>
          <w:tcPr>
            <w:tcW w:w="534" w:type="dxa"/>
            <w:shd w:val="clear" w:color="auto" w:fill="FBD4B4" w:themeFill="accent6" w:themeFillTint="66"/>
          </w:tcPr>
          <w:p w14:paraId="2AF49F78" w14:textId="77777777" w:rsidR="00375AE8" w:rsidRPr="008B2872" w:rsidRDefault="00375AE8" w:rsidP="0049324B">
            <w:pPr>
              <w:jc w:val="center"/>
              <w:rPr>
                <w:sz w:val="16"/>
                <w:szCs w:val="16"/>
              </w:rPr>
            </w:pPr>
          </w:p>
        </w:tc>
        <w:tc>
          <w:tcPr>
            <w:tcW w:w="690" w:type="dxa"/>
            <w:shd w:val="clear" w:color="auto" w:fill="FBD4B4" w:themeFill="accent6" w:themeFillTint="66"/>
          </w:tcPr>
          <w:p w14:paraId="05968D59" w14:textId="77777777" w:rsidR="00375AE8" w:rsidRPr="008B2872" w:rsidRDefault="00375AE8" w:rsidP="0049324B">
            <w:pPr>
              <w:jc w:val="center"/>
              <w:rPr>
                <w:sz w:val="16"/>
                <w:szCs w:val="16"/>
              </w:rPr>
            </w:pPr>
          </w:p>
        </w:tc>
        <w:tc>
          <w:tcPr>
            <w:tcW w:w="516" w:type="dxa"/>
            <w:shd w:val="clear" w:color="auto" w:fill="FBD4B4" w:themeFill="accent6" w:themeFillTint="66"/>
          </w:tcPr>
          <w:p w14:paraId="7BB93F22" w14:textId="77777777" w:rsidR="00375AE8" w:rsidRPr="008B2872" w:rsidRDefault="00375AE8" w:rsidP="0049324B">
            <w:pPr>
              <w:jc w:val="center"/>
              <w:rPr>
                <w:sz w:val="16"/>
                <w:szCs w:val="16"/>
              </w:rPr>
            </w:pPr>
          </w:p>
        </w:tc>
        <w:tc>
          <w:tcPr>
            <w:tcW w:w="690" w:type="dxa"/>
            <w:shd w:val="clear" w:color="auto" w:fill="FBD4B4" w:themeFill="accent6" w:themeFillTint="66"/>
          </w:tcPr>
          <w:p w14:paraId="0CB7F736" w14:textId="77777777" w:rsidR="00375AE8" w:rsidRPr="008B2872" w:rsidRDefault="00375AE8" w:rsidP="0049324B">
            <w:pPr>
              <w:jc w:val="center"/>
              <w:rPr>
                <w:sz w:val="16"/>
                <w:szCs w:val="16"/>
              </w:rPr>
            </w:pPr>
          </w:p>
        </w:tc>
        <w:tc>
          <w:tcPr>
            <w:tcW w:w="513" w:type="dxa"/>
            <w:shd w:val="clear" w:color="auto" w:fill="FBD4B4" w:themeFill="accent6" w:themeFillTint="66"/>
          </w:tcPr>
          <w:p w14:paraId="08938FD6" w14:textId="77777777" w:rsidR="00375AE8" w:rsidRPr="008B2872" w:rsidRDefault="00375AE8" w:rsidP="0049324B">
            <w:pPr>
              <w:jc w:val="center"/>
              <w:rPr>
                <w:sz w:val="16"/>
                <w:szCs w:val="16"/>
              </w:rPr>
            </w:pPr>
          </w:p>
        </w:tc>
        <w:tc>
          <w:tcPr>
            <w:tcW w:w="690" w:type="dxa"/>
            <w:shd w:val="clear" w:color="auto" w:fill="FBD4B4" w:themeFill="accent6" w:themeFillTint="66"/>
          </w:tcPr>
          <w:p w14:paraId="2001C795" w14:textId="77777777" w:rsidR="00375AE8" w:rsidRPr="008B2872" w:rsidRDefault="00375AE8" w:rsidP="0049324B">
            <w:pPr>
              <w:jc w:val="center"/>
              <w:rPr>
                <w:sz w:val="16"/>
                <w:szCs w:val="16"/>
              </w:rPr>
            </w:pPr>
          </w:p>
        </w:tc>
      </w:tr>
      <w:tr w:rsidR="00375AE8" w14:paraId="65B8F07D" w14:textId="77777777" w:rsidTr="00624C17">
        <w:tc>
          <w:tcPr>
            <w:tcW w:w="1441" w:type="dxa"/>
            <w:vMerge/>
          </w:tcPr>
          <w:p w14:paraId="145A546E" w14:textId="77777777" w:rsidR="00375AE8" w:rsidRPr="008B2872" w:rsidRDefault="00375AE8" w:rsidP="0049324B">
            <w:pPr>
              <w:jc w:val="center"/>
              <w:rPr>
                <w:sz w:val="16"/>
                <w:szCs w:val="16"/>
              </w:rPr>
            </w:pPr>
          </w:p>
        </w:tc>
        <w:tc>
          <w:tcPr>
            <w:tcW w:w="1367" w:type="dxa"/>
          </w:tcPr>
          <w:p w14:paraId="6865CE69" w14:textId="77777777" w:rsidR="00375AE8" w:rsidRPr="008B2872" w:rsidRDefault="00375AE8" w:rsidP="0049324B">
            <w:pPr>
              <w:jc w:val="center"/>
              <w:rPr>
                <w:sz w:val="16"/>
                <w:szCs w:val="16"/>
              </w:rPr>
            </w:pPr>
          </w:p>
        </w:tc>
        <w:tc>
          <w:tcPr>
            <w:tcW w:w="2414" w:type="dxa"/>
          </w:tcPr>
          <w:p w14:paraId="24AC72CE" w14:textId="053E0D30" w:rsidR="00375AE8" w:rsidRPr="008B2872" w:rsidRDefault="00375AE8" w:rsidP="006726A0">
            <w:pPr>
              <w:jc w:val="center"/>
              <w:rPr>
                <w:sz w:val="16"/>
                <w:szCs w:val="16"/>
              </w:rPr>
            </w:pPr>
            <w:r>
              <w:rPr>
                <w:sz w:val="16"/>
                <w:szCs w:val="16"/>
              </w:rPr>
              <w:t xml:space="preserve">Implement and improve weed management, CRB effort, native species use in landscape, agriculture and agriculture </w:t>
            </w:r>
          </w:p>
        </w:tc>
        <w:tc>
          <w:tcPr>
            <w:tcW w:w="1309" w:type="dxa"/>
          </w:tcPr>
          <w:p w14:paraId="06BD0874" w14:textId="72C1630D" w:rsidR="00375AE8" w:rsidRPr="008B2872" w:rsidRDefault="00375AE8" w:rsidP="0049324B">
            <w:pPr>
              <w:jc w:val="center"/>
              <w:rPr>
                <w:sz w:val="16"/>
                <w:szCs w:val="16"/>
              </w:rPr>
            </w:pPr>
            <w:r>
              <w:rPr>
                <w:sz w:val="16"/>
                <w:szCs w:val="16"/>
              </w:rPr>
              <w:t>Babeldaob States and NISCO, NISC</w:t>
            </w:r>
          </w:p>
        </w:tc>
        <w:tc>
          <w:tcPr>
            <w:tcW w:w="610" w:type="dxa"/>
          </w:tcPr>
          <w:p w14:paraId="1CFA05C9" w14:textId="77777777" w:rsidR="00375AE8" w:rsidRPr="008B2872" w:rsidRDefault="00375AE8" w:rsidP="0049324B">
            <w:pPr>
              <w:jc w:val="center"/>
              <w:rPr>
                <w:sz w:val="16"/>
                <w:szCs w:val="16"/>
              </w:rPr>
            </w:pPr>
          </w:p>
        </w:tc>
        <w:tc>
          <w:tcPr>
            <w:tcW w:w="645" w:type="dxa"/>
          </w:tcPr>
          <w:p w14:paraId="3EBCB9F9" w14:textId="77777777" w:rsidR="00375AE8" w:rsidRPr="008B2872" w:rsidRDefault="00375AE8" w:rsidP="0049324B">
            <w:pPr>
              <w:jc w:val="center"/>
              <w:rPr>
                <w:sz w:val="16"/>
                <w:szCs w:val="16"/>
              </w:rPr>
            </w:pPr>
          </w:p>
        </w:tc>
        <w:tc>
          <w:tcPr>
            <w:tcW w:w="690" w:type="dxa"/>
          </w:tcPr>
          <w:p w14:paraId="69376A02" w14:textId="77777777" w:rsidR="00375AE8" w:rsidRPr="008B2872" w:rsidRDefault="00375AE8" w:rsidP="0049324B">
            <w:pPr>
              <w:jc w:val="center"/>
              <w:rPr>
                <w:sz w:val="16"/>
                <w:szCs w:val="16"/>
              </w:rPr>
            </w:pPr>
          </w:p>
        </w:tc>
        <w:tc>
          <w:tcPr>
            <w:tcW w:w="587" w:type="dxa"/>
            <w:shd w:val="clear" w:color="auto" w:fill="FBD4B4" w:themeFill="accent6" w:themeFillTint="66"/>
          </w:tcPr>
          <w:p w14:paraId="0DEAC5CA" w14:textId="77777777" w:rsidR="00375AE8" w:rsidRPr="008B2872" w:rsidRDefault="00375AE8" w:rsidP="0049324B">
            <w:pPr>
              <w:jc w:val="center"/>
              <w:rPr>
                <w:sz w:val="16"/>
                <w:szCs w:val="16"/>
              </w:rPr>
            </w:pPr>
          </w:p>
        </w:tc>
        <w:tc>
          <w:tcPr>
            <w:tcW w:w="690" w:type="dxa"/>
            <w:shd w:val="clear" w:color="auto" w:fill="FBD4B4" w:themeFill="accent6" w:themeFillTint="66"/>
          </w:tcPr>
          <w:p w14:paraId="02B2A1EA" w14:textId="77777777" w:rsidR="00375AE8" w:rsidRPr="008B2872" w:rsidRDefault="00375AE8" w:rsidP="0049324B">
            <w:pPr>
              <w:jc w:val="center"/>
              <w:rPr>
                <w:sz w:val="16"/>
                <w:szCs w:val="16"/>
              </w:rPr>
            </w:pPr>
          </w:p>
        </w:tc>
        <w:tc>
          <w:tcPr>
            <w:tcW w:w="540" w:type="dxa"/>
            <w:shd w:val="clear" w:color="auto" w:fill="FBD4B4" w:themeFill="accent6" w:themeFillTint="66"/>
          </w:tcPr>
          <w:p w14:paraId="19FA4515" w14:textId="77777777" w:rsidR="00375AE8" w:rsidRPr="008B2872" w:rsidRDefault="00375AE8" w:rsidP="0049324B">
            <w:pPr>
              <w:jc w:val="center"/>
              <w:rPr>
                <w:sz w:val="16"/>
                <w:szCs w:val="16"/>
              </w:rPr>
            </w:pPr>
          </w:p>
        </w:tc>
        <w:tc>
          <w:tcPr>
            <w:tcW w:w="690" w:type="dxa"/>
            <w:shd w:val="clear" w:color="auto" w:fill="FBD4B4" w:themeFill="accent6" w:themeFillTint="66"/>
          </w:tcPr>
          <w:p w14:paraId="3138FD84" w14:textId="77777777" w:rsidR="00375AE8" w:rsidRPr="008B2872" w:rsidRDefault="00375AE8" w:rsidP="0049324B">
            <w:pPr>
              <w:jc w:val="center"/>
              <w:rPr>
                <w:sz w:val="16"/>
                <w:szCs w:val="16"/>
              </w:rPr>
            </w:pPr>
          </w:p>
        </w:tc>
        <w:tc>
          <w:tcPr>
            <w:tcW w:w="534" w:type="dxa"/>
            <w:shd w:val="clear" w:color="auto" w:fill="FBD4B4" w:themeFill="accent6" w:themeFillTint="66"/>
          </w:tcPr>
          <w:p w14:paraId="726274FC" w14:textId="77777777" w:rsidR="00375AE8" w:rsidRPr="008B2872" w:rsidRDefault="00375AE8" w:rsidP="0049324B">
            <w:pPr>
              <w:jc w:val="center"/>
              <w:rPr>
                <w:sz w:val="16"/>
                <w:szCs w:val="16"/>
              </w:rPr>
            </w:pPr>
          </w:p>
        </w:tc>
        <w:tc>
          <w:tcPr>
            <w:tcW w:w="690" w:type="dxa"/>
            <w:shd w:val="clear" w:color="auto" w:fill="FBD4B4" w:themeFill="accent6" w:themeFillTint="66"/>
          </w:tcPr>
          <w:p w14:paraId="462EE50D" w14:textId="77777777" w:rsidR="00375AE8" w:rsidRPr="008B2872" w:rsidRDefault="00375AE8" w:rsidP="0049324B">
            <w:pPr>
              <w:jc w:val="center"/>
              <w:rPr>
                <w:sz w:val="16"/>
                <w:szCs w:val="16"/>
              </w:rPr>
            </w:pPr>
          </w:p>
        </w:tc>
        <w:tc>
          <w:tcPr>
            <w:tcW w:w="516" w:type="dxa"/>
            <w:shd w:val="clear" w:color="auto" w:fill="FBD4B4" w:themeFill="accent6" w:themeFillTint="66"/>
          </w:tcPr>
          <w:p w14:paraId="10160728" w14:textId="77777777" w:rsidR="00375AE8" w:rsidRPr="008B2872" w:rsidRDefault="00375AE8" w:rsidP="0049324B">
            <w:pPr>
              <w:jc w:val="center"/>
              <w:rPr>
                <w:sz w:val="16"/>
                <w:szCs w:val="16"/>
              </w:rPr>
            </w:pPr>
          </w:p>
        </w:tc>
        <w:tc>
          <w:tcPr>
            <w:tcW w:w="690" w:type="dxa"/>
            <w:shd w:val="clear" w:color="auto" w:fill="FBD4B4" w:themeFill="accent6" w:themeFillTint="66"/>
          </w:tcPr>
          <w:p w14:paraId="381D3E6E" w14:textId="77777777" w:rsidR="00375AE8" w:rsidRPr="008B2872" w:rsidRDefault="00375AE8" w:rsidP="0049324B">
            <w:pPr>
              <w:jc w:val="center"/>
              <w:rPr>
                <w:sz w:val="16"/>
                <w:szCs w:val="16"/>
              </w:rPr>
            </w:pPr>
          </w:p>
        </w:tc>
        <w:tc>
          <w:tcPr>
            <w:tcW w:w="513" w:type="dxa"/>
            <w:shd w:val="clear" w:color="auto" w:fill="FBD4B4" w:themeFill="accent6" w:themeFillTint="66"/>
          </w:tcPr>
          <w:p w14:paraId="54F0E4F1" w14:textId="77777777" w:rsidR="00375AE8" w:rsidRPr="008B2872" w:rsidRDefault="00375AE8" w:rsidP="0049324B">
            <w:pPr>
              <w:jc w:val="center"/>
              <w:rPr>
                <w:sz w:val="16"/>
                <w:szCs w:val="16"/>
              </w:rPr>
            </w:pPr>
          </w:p>
        </w:tc>
        <w:tc>
          <w:tcPr>
            <w:tcW w:w="690" w:type="dxa"/>
            <w:shd w:val="clear" w:color="auto" w:fill="FBD4B4" w:themeFill="accent6" w:themeFillTint="66"/>
          </w:tcPr>
          <w:p w14:paraId="388BC95E" w14:textId="77777777" w:rsidR="00375AE8" w:rsidRPr="008B2872" w:rsidRDefault="00375AE8" w:rsidP="0049324B">
            <w:pPr>
              <w:jc w:val="center"/>
              <w:rPr>
                <w:sz w:val="16"/>
                <w:szCs w:val="16"/>
              </w:rPr>
            </w:pPr>
          </w:p>
        </w:tc>
      </w:tr>
      <w:tr w:rsidR="00324F4E" w14:paraId="1E258850" w14:textId="77777777" w:rsidTr="00F04D18">
        <w:tc>
          <w:tcPr>
            <w:tcW w:w="14616" w:type="dxa"/>
            <w:gridSpan w:val="17"/>
            <w:shd w:val="clear" w:color="auto" w:fill="D6E3BC" w:themeFill="accent3" w:themeFillTint="66"/>
          </w:tcPr>
          <w:p w14:paraId="47DDAC3D" w14:textId="13749C29" w:rsidR="00324F4E" w:rsidRPr="008B2872" w:rsidRDefault="00324F4E" w:rsidP="00F04D18">
            <w:pPr>
              <w:jc w:val="left"/>
              <w:rPr>
                <w:sz w:val="16"/>
                <w:szCs w:val="16"/>
              </w:rPr>
            </w:pPr>
            <w:r>
              <w:rPr>
                <w:sz w:val="16"/>
                <w:szCs w:val="16"/>
              </w:rPr>
              <w:t xml:space="preserve">Planning and Implementation Phase (Southern Lagoon) </w:t>
            </w:r>
          </w:p>
        </w:tc>
      </w:tr>
      <w:tr w:rsidR="00375AE8" w14:paraId="368D6A31" w14:textId="77777777" w:rsidTr="002E3561">
        <w:tc>
          <w:tcPr>
            <w:tcW w:w="1441" w:type="dxa"/>
            <w:vMerge w:val="restart"/>
          </w:tcPr>
          <w:p w14:paraId="20EB2AF9" w14:textId="046CDF68" w:rsidR="00375AE8" w:rsidRPr="00F04D18" w:rsidRDefault="00375AE8" w:rsidP="006726A0">
            <w:pPr>
              <w:jc w:val="center"/>
              <w:rPr>
                <w:rFonts w:asciiTheme="majorHAnsi" w:hAnsiTheme="majorHAnsi"/>
                <w:sz w:val="16"/>
                <w:szCs w:val="16"/>
              </w:rPr>
            </w:pPr>
            <w:r w:rsidRPr="00F04D18">
              <w:rPr>
                <w:rFonts w:asciiTheme="majorHAnsi" w:hAnsiTheme="majorHAnsi"/>
                <w:sz w:val="16"/>
                <w:szCs w:val="16"/>
              </w:rPr>
              <w:t>Integrated seascape and coastal zone spatial planning</w:t>
            </w:r>
            <w:r>
              <w:rPr>
                <w:rFonts w:asciiTheme="majorHAnsi" w:hAnsiTheme="majorHAnsi"/>
                <w:sz w:val="16"/>
                <w:szCs w:val="16"/>
              </w:rPr>
              <w:t xml:space="preserve"> that integrates biodiversity and IAS management in aquaculture, fisheries and tourism sectors</w:t>
            </w:r>
          </w:p>
        </w:tc>
        <w:tc>
          <w:tcPr>
            <w:tcW w:w="1367" w:type="dxa"/>
            <w:vMerge w:val="restart"/>
          </w:tcPr>
          <w:p w14:paraId="78DC57FD" w14:textId="3DCC5F38" w:rsidR="00375AE8" w:rsidRPr="00F04D18" w:rsidRDefault="00375AE8" w:rsidP="00F04D18">
            <w:pPr>
              <w:jc w:val="center"/>
              <w:rPr>
                <w:rFonts w:asciiTheme="majorHAnsi" w:hAnsiTheme="majorHAnsi"/>
                <w:sz w:val="16"/>
                <w:szCs w:val="16"/>
              </w:rPr>
            </w:pPr>
            <w:r w:rsidRPr="00F04D18">
              <w:rPr>
                <w:rFonts w:asciiTheme="majorHAnsi" w:hAnsiTheme="majorHAnsi"/>
                <w:sz w:val="16"/>
                <w:szCs w:val="16"/>
              </w:rPr>
              <w:t xml:space="preserve">Development and adoption of ILSM </w:t>
            </w:r>
            <w:r>
              <w:rPr>
                <w:rFonts w:asciiTheme="majorHAnsi" w:hAnsiTheme="majorHAnsi"/>
                <w:sz w:val="16"/>
                <w:szCs w:val="16"/>
              </w:rPr>
              <w:t>strategy</w:t>
            </w:r>
            <w:r w:rsidRPr="00F04D18">
              <w:rPr>
                <w:rFonts w:asciiTheme="majorHAnsi" w:hAnsiTheme="majorHAnsi"/>
                <w:sz w:val="16"/>
                <w:szCs w:val="16"/>
              </w:rPr>
              <w:t xml:space="preserve"> for Southern Lagoon</w:t>
            </w:r>
          </w:p>
        </w:tc>
        <w:tc>
          <w:tcPr>
            <w:tcW w:w="2414" w:type="dxa"/>
          </w:tcPr>
          <w:p w14:paraId="38287454" w14:textId="0C0C5DDF" w:rsidR="00375AE8" w:rsidRPr="00F04D18" w:rsidRDefault="00375AE8" w:rsidP="00F04D18">
            <w:pPr>
              <w:tabs>
                <w:tab w:val="left" w:pos="227"/>
              </w:tabs>
              <w:jc w:val="center"/>
              <w:rPr>
                <w:rFonts w:asciiTheme="majorHAnsi" w:hAnsiTheme="majorHAnsi"/>
                <w:sz w:val="16"/>
                <w:szCs w:val="16"/>
              </w:rPr>
            </w:pPr>
            <w:r w:rsidRPr="00F04D18">
              <w:rPr>
                <w:rFonts w:asciiTheme="majorHAnsi" w:hAnsiTheme="majorHAnsi"/>
                <w:sz w:val="16"/>
                <w:szCs w:val="16"/>
              </w:rPr>
              <w:t>Capacity building for state level planners to utilize tools (Output 1.2) and adopt criteria for biosecurity and biodiversity mainstreaming in agriculture, aquaculture and tourism</w:t>
            </w:r>
          </w:p>
        </w:tc>
        <w:tc>
          <w:tcPr>
            <w:tcW w:w="1309" w:type="dxa"/>
          </w:tcPr>
          <w:p w14:paraId="03039841" w14:textId="69E4732D" w:rsidR="00375AE8" w:rsidRPr="00F04D18" w:rsidRDefault="00375AE8" w:rsidP="00F04D18">
            <w:pPr>
              <w:jc w:val="center"/>
              <w:rPr>
                <w:rFonts w:asciiTheme="majorHAnsi" w:hAnsiTheme="majorHAnsi"/>
                <w:sz w:val="16"/>
                <w:szCs w:val="16"/>
              </w:rPr>
            </w:pPr>
            <w:r>
              <w:rPr>
                <w:rFonts w:asciiTheme="majorHAnsi" w:hAnsiTheme="majorHAnsi"/>
                <w:sz w:val="16"/>
                <w:szCs w:val="16"/>
              </w:rPr>
              <w:t>MNRET and JCB</w:t>
            </w:r>
          </w:p>
        </w:tc>
        <w:tc>
          <w:tcPr>
            <w:tcW w:w="610" w:type="dxa"/>
          </w:tcPr>
          <w:p w14:paraId="3BF4B202" w14:textId="77777777" w:rsidR="00375AE8" w:rsidRPr="00F04D18" w:rsidRDefault="00375AE8" w:rsidP="00F04D18">
            <w:pPr>
              <w:jc w:val="center"/>
              <w:rPr>
                <w:rFonts w:asciiTheme="majorHAnsi" w:hAnsiTheme="majorHAnsi"/>
                <w:sz w:val="16"/>
                <w:szCs w:val="16"/>
              </w:rPr>
            </w:pPr>
          </w:p>
        </w:tc>
        <w:tc>
          <w:tcPr>
            <w:tcW w:w="645" w:type="dxa"/>
          </w:tcPr>
          <w:p w14:paraId="355DB9A4"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67A79AEC" w14:textId="77777777" w:rsidR="00375AE8" w:rsidRPr="00F04D18" w:rsidRDefault="00375AE8" w:rsidP="00F04D18">
            <w:pPr>
              <w:jc w:val="center"/>
              <w:rPr>
                <w:rFonts w:asciiTheme="majorHAnsi" w:hAnsiTheme="majorHAnsi"/>
                <w:sz w:val="16"/>
                <w:szCs w:val="16"/>
              </w:rPr>
            </w:pPr>
          </w:p>
        </w:tc>
        <w:tc>
          <w:tcPr>
            <w:tcW w:w="587" w:type="dxa"/>
            <w:shd w:val="clear" w:color="auto" w:fill="FBD4B4" w:themeFill="accent6" w:themeFillTint="66"/>
          </w:tcPr>
          <w:p w14:paraId="23EF417A" w14:textId="77777777" w:rsidR="00375AE8" w:rsidRPr="00F04D18" w:rsidRDefault="00375AE8" w:rsidP="00F04D18">
            <w:pPr>
              <w:jc w:val="center"/>
              <w:rPr>
                <w:rFonts w:asciiTheme="majorHAnsi" w:hAnsiTheme="majorHAnsi"/>
                <w:sz w:val="16"/>
                <w:szCs w:val="16"/>
              </w:rPr>
            </w:pPr>
          </w:p>
        </w:tc>
        <w:tc>
          <w:tcPr>
            <w:tcW w:w="690" w:type="dxa"/>
          </w:tcPr>
          <w:p w14:paraId="2CAFB4D2" w14:textId="77777777" w:rsidR="00375AE8" w:rsidRPr="00F04D18" w:rsidRDefault="00375AE8" w:rsidP="00F04D18">
            <w:pPr>
              <w:jc w:val="center"/>
              <w:rPr>
                <w:rFonts w:asciiTheme="majorHAnsi" w:hAnsiTheme="majorHAnsi"/>
                <w:sz w:val="16"/>
                <w:szCs w:val="16"/>
              </w:rPr>
            </w:pPr>
          </w:p>
        </w:tc>
        <w:tc>
          <w:tcPr>
            <w:tcW w:w="540" w:type="dxa"/>
          </w:tcPr>
          <w:p w14:paraId="6BB8AB69" w14:textId="77777777" w:rsidR="00375AE8" w:rsidRPr="00F04D18" w:rsidRDefault="00375AE8" w:rsidP="00F04D18">
            <w:pPr>
              <w:jc w:val="center"/>
              <w:rPr>
                <w:rFonts w:asciiTheme="majorHAnsi" w:hAnsiTheme="majorHAnsi"/>
                <w:sz w:val="16"/>
                <w:szCs w:val="16"/>
              </w:rPr>
            </w:pPr>
          </w:p>
        </w:tc>
        <w:tc>
          <w:tcPr>
            <w:tcW w:w="690" w:type="dxa"/>
          </w:tcPr>
          <w:p w14:paraId="2694D428" w14:textId="77777777" w:rsidR="00375AE8" w:rsidRPr="00F04D18" w:rsidRDefault="00375AE8" w:rsidP="00F04D18">
            <w:pPr>
              <w:jc w:val="center"/>
              <w:rPr>
                <w:rFonts w:asciiTheme="majorHAnsi" w:hAnsiTheme="majorHAnsi"/>
                <w:sz w:val="16"/>
                <w:szCs w:val="16"/>
              </w:rPr>
            </w:pPr>
          </w:p>
        </w:tc>
        <w:tc>
          <w:tcPr>
            <w:tcW w:w="534" w:type="dxa"/>
          </w:tcPr>
          <w:p w14:paraId="369BC37F" w14:textId="77777777" w:rsidR="00375AE8" w:rsidRPr="00F04D18" w:rsidRDefault="00375AE8" w:rsidP="00F04D18">
            <w:pPr>
              <w:jc w:val="center"/>
              <w:rPr>
                <w:rFonts w:asciiTheme="majorHAnsi" w:hAnsiTheme="majorHAnsi"/>
                <w:sz w:val="16"/>
                <w:szCs w:val="16"/>
              </w:rPr>
            </w:pPr>
          </w:p>
        </w:tc>
        <w:tc>
          <w:tcPr>
            <w:tcW w:w="690" w:type="dxa"/>
          </w:tcPr>
          <w:p w14:paraId="10A7A51F" w14:textId="77777777" w:rsidR="00375AE8" w:rsidRPr="00F04D18" w:rsidRDefault="00375AE8" w:rsidP="00F04D18">
            <w:pPr>
              <w:jc w:val="center"/>
              <w:rPr>
                <w:rFonts w:asciiTheme="majorHAnsi" w:hAnsiTheme="majorHAnsi"/>
                <w:sz w:val="16"/>
                <w:szCs w:val="16"/>
              </w:rPr>
            </w:pPr>
          </w:p>
        </w:tc>
        <w:tc>
          <w:tcPr>
            <w:tcW w:w="516" w:type="dxa"/>
          </w:tcPr>
          <w:p w14:paraId="0A7662C4" w14:textId="77777777" w:rsidR="00375AE8" w:rsidRPr="00F04D18" w:rsidRDefault="00375AE8" w:rsidP="00F04D18">
            <w:pPr>
              <w:jc w:val="center"/>
              <w:rPr>
                <w:rFonts w:asciiTheme="majorHAnsi" w:hAnsiTheme="majorHAnsi"/>
                <w:sz w:val="16"/>
                <w:szCs w:val="16"/>
              </w:rPr>
            </w:pPr>
          </w:p>
        </w:tc>
        <w:tc>
          <w:tcPr>
            <w:tcW w:w="690" w:type="dxa"/>
          </w:tcPr>
          <w:p w14:paraId="7AB7BE22" w14:textId="77777777" w:rsidR="00375AE8" w:rsidRPr="00F04D18" w:rsidRDefault="00375AE8" w:rsidP="00F04D18">
            <w:pPr>
              <w:jc w:val="center"/>
              <w:rPr>
                <w:rFonts w:asciiTheme="majorHAnsi" w:hAnsiTheme="majorHAnsi"/>
                <w:sz w:val="16"/>
                <w:szCs w:val="16"/>
              </w:rPr>
            </w:pPr>
          </w:p>
        </w:tc>
        <w:tc>
          <w:tcPr>
            <w:tcW w:w="513" w:type="dxa"/>
          </w:tcPr>
          <w:p w14:paraId="760622BF" w14:textId="77777777" w:rsidR="00375AE8" w:rsidRPr="00F04D18" w:rsidRDefault="00375AE8" w:rsidP="00F04D18">
            <w:pPr>
              <w:jc w:val="center"/>
              <w:rPr>
                <w:rFonts w:asciiTheme="majorHAnsi" w:hAnsiTheme="majorHAnsi"/>
                <w:sz w:val="16"/>
                <w:szCs w:val="16"/>
              </w:rPr>
            </w:pPr>
          </w:p>
        </w:tc>
        <w:tc>
          <w:tcPr>
            <w:tcW w:w="690" w:type="dxa"/>
          </w:tcPr>
          <w:p w14:paraId="646FF817" w14:textId="77777777" w:rsidR="00375AE8" w:rsidRPr="00F04D18" w:rsidRDefault="00375AE8" w:rsidP="00F04D18">
            <w:pPr>
              <w:jc w:val="center"/>
              <w:rPr>
                <w:rFonts w:asciiTheme="majorHAnsi" w:hAnsiTheme="majorHAnsi"/>
                <w:sz w:val="16"/>
                <w:szCs w:val="16"/>
              </w:rPr>
            </w:pPr>
          </w:p>
        </w:tc>
      </w:tr>
      <w:tr w:rsidR="00375AE8" w14:paraId="1571526B" w14:textId="77777777" w:rsidTr="002E3561">
        <w:tc>
          <w:tcPr>
            <w:tcW w:w="1441" w:type="dxa"/>
            <w:vMerge/>
          </w:tcPr>
          <w:p w14:paraId="6A2F997D" w14:textId="77777777" w:rsidR="00375AE8" w:rsidRPr="00F04D18" w:rsidRDefault="00375AE8" w:rsidP="00F04D18">
            <w:pPr>
              <w:jc w:val="center"/>
              <w:rPr>
                <w:rFonts w:asciiTheme="majorHAnsi" w:hAnsiTheme="majorHAnsi"/>
                <w:sz w:val="16"/>
                <w:szCs w:val="16"/>
              </w:rPr>
            </w:pPr>
          </w:p>
        </w:tc>
        <w:tc>
          <w:tcPr>
            <w:tcW w:w="1367" w:type="dxa"/>
            <w:vMerge/>
          </w:tcPr>
          <w:p w14:paraId="3F203963" w14:textId="77777777" w:rsidR="00375AE8" w:rsidRPr="00F04D18" w:rsidRDefault="00375AE8" w:rsidP="00F04D18">
            <w:pPr>
              <w:jc w:val="center"/>
              <w:rPr>
                <w:rFonts w:asciiTheme="majorHAnsi" w:hAnsiTheme="majorHAnsi"/>
                <w:sz w:val="16"/>
                <w:szCs w:val="16"/>
              </w:rPr>
            </w:pPr>
          </w:p>
        </w:tc>
        <w:tc>
          <w:tcPr>
            <w:tcW w:w="2414" w:type="dxa"/>
          </w:tcPr>
          <w:p w14:paraId="524650CC" w14:textId="0050A770" w:rsidR="00375AE8" w:rsidRPr="00F04D18" w:rsidRDefault="00375AE8" w:rsidP="00F04D18">
            <w:pPr>
              <w:jc w:val="center"/>
              <w:rPr>
                <w:rFonts w:asciiTheme="majorHAnsi" w:hAnsiTheme="majorHAnsi"/>
                <w:sz w:val="16"/>
                <w:szCs w:val="16"/>
              </w:rPr>
            </w:pPr>
            <w:r>
              <w:rPr>
                <w:rFonts w:asciiTheme="majorHAnsi" w:hAnsiTheme="majorHAnsi"/>
                <w:sz w:val="16"/>
                <w:szCs w:val="16"/>
              </w:rPr>
              <w:t>Outreach to create support for ISLMS</w:t>
            </w:r>
          </w:p>
        </w:tc>
        <w:tc>
          <w:tcPr>
            <w:tcW w:w="1309" w:type="dxa"/>
          </w:tcPr>
          <w:p w14:paraId="6E968709" w14:textId="7C2385EC" w:rsidR="00375AE8" w:rsidRPr="00F04D18" w:rsidRDefault="00375AE8" w:rsidP="00F04D18">
            <w:pPr>
              <w:jc w:val="center"/>
              <w:rPr>
                <w:rFonts w:asciiTheme="majorHAnsi" w:hAnsiTheme="majorHAnsi"/>
                <w:sz w:val="16"/>
                <w:szCs w:val="16"/>
              </w:rPr>
            </w:pPr>
            <w:r>
              <w:rPr>
                <w:rFonts w:asciiTheme="majorHAnsi" w:hAnsiTheme="majorHAnsi"/>
                <w:sz w:val="16"/>
                <w:szCs w:val="16"/>
              </w:rPr>
              <w:t>MNRET</w:t>
            </w:r>
          </w:p>
        </w:tc>
        <w:tc>
          <w:tcPr>
            <w:tcW w:w="610" w:type="dxa"/>
          </w:tcPr>
          <w:p w14:paraId="1FC757D0" w14:textId="77777777" w:rsidR="00375AE8" w:rsidRPr="00F04D18" w:rsidRDefault="00375AE8" w:rsidP="00F04D18">
            <w:pPr>
              <w:jc w:val="center"/>
              <w:rPr>
                <w:rFonts w:asciiTheme="majorHAnsi" w:hAnsiTheme="majorHAnsi"/>
                <w:sz w:val="16"/>
                <w:szCs w:val="16"/>
              </w:rPr>
            </w:pPr>
          </w:p>
        </w:tc>
        <w:tc>
          <w:tcPr>
            <w:tcW w:w="645" w:type="dxa"/>
          </w:tcPr>
          <w:p w14:paraId="3D807DA3"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05609D1A" w14:textId="77777777" w:rsidR="00375AE8" w:rsidRPr="00F04D18" w:rsidRDefault="00375AE8" w:rsidP="00F04D18">
            <w:pPr>
              <w:jc w:val="center"/>
              <w:rPr>
                <w:rFonts w:asciiTheme="majorHAnsi" w:hAnsiTheme="majorHAnsi"/>
                <w:sz w:val="16"/>
                <w:szCs w:val="16"/>
              </w:rPr>
            </w:pPr>
          </w:p>
        </w:tc>
        <w:tc>
          <w:tcPr>
            <w:tcW w:w="587" w:type="dxa"/>
            <w:shd w:val="clear" w:color="auto" w:fill="FBD4B4" w:themeFill="accent6" w:themeFillTint="66"/>
          </w:tcPr>
          <w:p w14:paraId="66779B7A" w14:textId="77777777" w:rsidR="00375AE8" w:rsidRPr="00F04D18" w:rsidRDefault="00375AE8" w:rsidP="00F04D18">
            <w:pPr>
              <w:jc w:val="center"/>
              <w:rPr>
                <w:rFonts w:asciiTheme="majorHAnsi" w:hAnsiTheme="majorHAnsi"/>
                <w:sz w:val="16"/>
                <w:szCs w:val="16"/>
              </w:rPr>
            </w:pPr>
          </w:p>
        </w:tc>
        <w:tc>
          <w:tcPr>
            <w:tcW w:w="690" w:type="dxa"/>
          </w:tcPr>
          <w:p w14:paraId="15947788" w14:textId="77777777" w:rsidR="00375AE8" w:rsidRPr="00F04D18" w:rsidRDefault="00375AE8" w:rsidP="00F04D18">
            <w:pPr>
              <w:jc w:val="center"/>
              <w:rPr>
                <w:rFonts w:asciiTheme="majorHAnsi" w:hAnsiTheme="majorHAnsi"/>
                <w:sz w:val="16"/>
                <w:szCs w:val="16"/>
              </w:rPr>
            </w:pPr>
          </w:p>
        </w:tc>
        <w:tc>
          <w:tcPr>
            <w:tcW w:w="540" w:type="dxa"/>
          </w:tcPr>
          <w:p w14:paraId="7BBA5892" w14:textId="77777777" w:rsidR="00375AE8" w:rsidRPr="00F04D18" w:rsidRDefault="00375AE8" w:rsidP="00F04D18">
            <w:pPr>
              <w:jc w:val="center"/>
              <w:rPr>
                <w:rFonts w:asciiTheme="majorHAnsi" w:hAnsiTheme="majorHAnsi"/>
                <w:sz w:val="16"/>
                <w:szCs w:val="16"/>
              </w:rPr>
            </w:pPr>
          </w:p>
        </w:tc>
        <w:tc>
          <w:tcPr>
            <w:tcW w:w="690" w:type="dxa"/>
          </w:tcPr>
          <w:p w14:paraId="36E4D3C6" w14:textId="77777777" w:rsidR="00375AE8" w:rsidRPr="00F04D18" w:rsidRDefault="00375AE8" w:rsidP="00F04D18">
            <w:pPr>
              <w:jc w:val="center"/>
              <w:rPr>
                <w:rFonts w:asciiTheme="majorHAnsi" w:hAnsiTheme="majorHAnsi"/>
                <w:sz w:val="16"/>
                <w:szCs w:val="16"/>
              </w:rPr>
            </w:pPr>
          </w:p>
        </w:tc>
        <w:tc>
          <w:tcPr>
            <w:tcW w:w="534" w:type="dxa"/>
          </w:tcPr>
          <w:p w14:paraId="039D1ACA" w14:textId="77777777" w:rsidR="00375AE8" w:rsidRPr="00F04D18" w:rsidRDefault="00375AE8" w:rsidP="00F04D18">
            <w:pPr>
              <w:jc w:val="center"/>
              <w:rPr>
                <w:rFonts w:asciiTheme="majorHAnsi" w:hAnsiTheme="majorHAnsi"/>
                <w:sz w:val="16"/>
                <w:szCs w:val="16"/>
              </w:rPr>
            </w:pPr>
          </w:p>
        </w:tc>
        <w:tc>
          <w:tcPr>
            <w:tcW w:w="690" w:type="dxa"/>
          </w:tcPr>
          <w:p w14:paraId="3D197247" w14:textId="77777777" w:rsidR="00375AE8" w:rsidRPr="00F04D18" w:rsidRDefault="00375AE8" w:rsidP="00F04D18">
            <w:pPr>
              <w:jc w:val="center"/>
              <w:rPr>
                <w:rFonts w:asciiTheme="majorHAnsi" w:hAnsiTheme="majorHAnsi"/>
                <w:sz w:val="16"/>
                <w:szCs w:val="16"/>
              </w:rPr>
            </w:pPr>
          </w:p>
        </w:tc>
        <w:tc>
          <w:tcPr>
            <w:tcW w:w="516" w:type="dxa"/>
          </w:tcPr>
          <w:p w14:paraId="1441DECB" w14:textId="77777777" w:rsidR="00375AE8" w:rsidRPr="00F04D18" w:rsidRDefault="00375AE8" w:rsidP="00F04D18">
            <w:pPr>
              <w:jc w:val="center"/>
              <w:rPr>
                <w:rFonts w:asciiTheme="majorHAnsi" w:hAnsiTheme="majorHAnsi"/>
                <w:sz w:val="16"/>
                <w:szCs w:val="16"/>
              </w:rPr>
            </w:pPr>
          </w:p>
        </w:tc>
        <w:tc>
          <w:tcPr>
            <w:tcW w:w="690" w:type="dxa"/>
          </w:tcPr>
          <w:p w14:paraId="3E0CD2C9" w14:textId="77777777" w:rsidR="00375AE8" w:rsidRPr="00F04D18" w:rsidRDefault="00375AE8" w:rsidP="00F04D18">
            <w:pPr>
              <w:jc w:val="center"/>
              <w:rPr>
                <w:rFonts w:asciiTheme="majorHAnsi" w:hAnsiTheme="majorHAnsi"/>
                <w:sz w:val="16"/>
                <w:szCs w:val="16"/>
              </w:rPr>
            </w:pPr>
          </w:p>
        </w:tc>
        <w:tc>
          <w:tcPr>
            <w:tcW w:w="513" w:type="dxa"/>
          </w:tcPr>
          <w:p w14:paraId="0CFF35F9" w14:textId="77777777" w:rsidR="00375AE8" w:rsidRPr="00F04D18" w:rsidRDefault="00375AE8" w:rsidP="00F04D18">
            <w:pPr>
              <w:jc w:val="center"/>
              <w:rPr>
                <w:rFonts w:asciiTheme="majorHAnsi" w:hAnsiTheme="majorHAnsi"/>
                <w:sz w:val="16"/>
                <w:szCs w:val="16"/>
              </w:rPr>
            </w:pPr>
          </w:p>
        </w:tc>
        <w:tc>
          <w:tcPr>
            <w:tcW w:w="690" w:type="dxa"/>
          </w:tcPr>
          <w:p w14:paraId="35C659D7" w14:textId="77777777" w:rsidR="00375AE8" w:rsidRPr="00F04D18" w:rsidRDefault="00375AE8" w:rsidP="00F04D18">
            <w:pPr>
              <w:jc w:val="center"/>
              <w:rPr>
                <w:rFonts w:asciiTheme="majorHAnsi" w:hAnsiTheme="majorHAnsi"/>
                <w:sz w:val="16"/>
                <w:szCs w:val="16"/>
              </w:rPr>
            </w:pPr>
          </w:p>
        </w:tc>
      </w:tr>
      <w:tr w:rsidR="00375AE8" w14:paraId="3ED10A7A" w14:textId="77777777" w:rsidTr="002E3561">
        <w:tc>
          <w:tcPr>
            <w:tcW w:w="1441" w:type="dxa"/>
            <w:vMerge/>
          </w:tcPr>
          <w:p w14:paraId="4EED653B" w14:textId="77777777" w:rsidR="00375AE8" w:rsidRPr="00F04D18" w:rsidRDefault="00375AE8" w:rsidP="00F04D18">
            <w:pPr>
              <w:jc w:val="center"/>
              <w:rPr>
                <w:rFonts w:asciiTheme="majorHAnsi" w:hAnsiTheme="majorHAnsi"/>
                <w:sz w:val="16"/>
                <w:szCs w:val="16"/>
              </w:rPr>
            </w:pPr>
          </w:p>
        </w:tc>
        <w:tc>
          <w:tcPr>
            <w:tcW w:w="1367" w:type="dxa"/>
            <w:vMerge w:val="restart"/>
          </w:tcPr>
          <w:p w14:paraId="04516400" w14:textId="3AD4B0A7" w:rsidR="00375AE8" w:rsidRPr="00F04D18" w:rsidRDefault="00375AE8" w:rsidP="00F04D18">
            <w:pPr>
              <w:jc w:val="center"/>
              <w:rPr>
                <w:rFonts w:asciiTheme="majorHAnsi" w:hAnsiTheme="majorHAnsi"/>
                <w:sz w:val="16"/>
                <w:szCs w:val="16"/>
              </w:rPr>
            </w:pPr>
            <w:r>
              <w:rPr>
                <w:rFonts w:asciiTheme="majorHAnsi" w:hAnsiTheme="majorHAnsi"/>
                <w:sz w:val="16"/>
                <w:szCs w:val="16"/>
              </w:rPr>
              <w:t>Elaboration of single Southern Lagoon ILSMS</w:t>
            </w:r>
          </w:p>
        </w:tc>
        <w:tc>
          <w:tcPr>
            <w:tcW w:w="2414" w:type="dxa"/>
          </w:tcPr>
          <w:p w14:paraId="41760621" w14:textId="68370F39" w:rsidR="00375AE8" w:rsidRPr="00F04D18" w:rsidRDefault="00375AE8" w:rsidP="00F04D18">
            <w:pPr>
              <w:jc w:val="center"/>
              <w:rPr>
                <w:rFonts w:asciiTheme="majorHAnsi" w:hAnsiTheme="majorHAnsi"/>
                <w:sz w:val="16"/>
                <w:szCs w:val="16"/>
              </w:rPr>
            </w:pPr>
            <w:r>
              <w:rPr>
                <w:rFonts w:asciiTheme="majorHAnsi" w:hAnsiTheme="majorHAnsi"/>
                <w:sz w:val="16"/>
                <w:szCs w:val="16"/>
              </w:rPr>
              <w:t>Southern lagoon mapping of environmental and socio-economic features (International consultant linked to 2.1)</w:t>
            </w:r>
          </w:p>
        </w:tc>
        <w:tc>
          <w:tcPr>
            <w:tcW w:w="1309" w:type="dxa"/>
          </w:tcPr>
          <w:p w14:paraId="67D5E751" w14:textId="79D5A33F" w:rsidR="00375AE8" w:rsidRPr="00F04D18" w:rsidRDefault="00375AE8" w:rsidP="00F04D18">
            <w:pPr>
              <w:jc w:val="center"/>
              <w:rPr>
                <w:rFonts w:asciiTheme="majorHAnsi" w:hAnsiTheme="majorHAnsi"/>
                <w:sz w:val="16"/>
                <w:szCs w:val="16"/>
              </w:rPr>
            </w:pPr>
            <w:r>
              <w:rPr>
                <w:rFonts w:asciiTheme="majorHAnsi" w:hAnsiTheme="majorHAnsi"/>
                <w:sz w:val="16"/>
                <w:szCs w:val="16"/>
              </w:rPr>
              <w:t>MNRET</w:t>
            </w:r>
          </w:p>
        </w:tc>
        <w:tc>
          <w:tcPr>
            <w:tcW w:w="610" w:type="dxa"/>
          </w:tcPr>
          <w:p w14:paraId="14180BA2" w14:textId="77777777" w:rsidR="00375AE8" w:rsidRPr="00F04D18" w:rsidRDefault="00375AE8" w:rsidP="00F04D18">
            <w:pPr>
              <w:jc w:val="center"/>
              <w:rPr>
                <w:rFonts w:asciiTheme="majorHAnsi" w:hAnsiTheme="majorHAnsi"/>
                <w:sz w:val="16"/>
                <w:szCs w:val="16"/>
              </w:rPr>
            </w:pPr>
          </w:p>
        </w:tc>
        <w:tc>
          <w:tcPr>
            <w:tcW w:w="645" w:type="dxa"/>
            <w:shd w:val="clear" w:color="auto" w:fill="FBD4B4" w:themeFill="accent6" w:themeFillTint="66"/>
          </w:tcPr>
          <w:p w14:paraId="79830D54"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33A35AA9" w14:textId="77777777" w:rsidR="00375AE8" w:rsidRPr="00F04D18" w:rsidRDefault="00375AE8" w:rsidP="00F04D18">
            <w:pPr>
              <w:jc w:val="center"/>
              <w:rPr>
                <w:rFonts w:asciiTheme="majorHAnsi" w:hAnsiTheme="majorHAnsi"/>
                <w:sz w:val="16"/>
                <w:szCs w:val="16"/>
              </w:rPr>
            </w:pPr>
          </w:p>
        </w:tc>
        <w:tc>
          <w:tcPr>
            <w:tcW w:w="587" w:type="dxa"/>
          </w:tcPr>
          <w:p w14:paraId="1CD9C4B6" w14:textId="77777777" w:rsidR="00375AE8" w:rsidRPr="00F04D18" w:rsidRDefault="00375AE8" w:rsidP="00F04D18">
            <w:pPr>
              <w:jc w:val="center"/>
              <w:rPr>
                <w:rFonts w:asciiTheme="majorHAnsi" w:hAnsiTheme="majorHAnsi"/>
                <w:sz w:val="16"/>
                <w:szCs w:val="16"/>
              </w:rPr>
            </w:pPr>
          </w:p>
        </w:tc>
        <w:tc>
          <w:tcPr>
            <w:tcW w:w="690" w:type="dxa"/>
          </w:tcPr>
          <w:p w14:paraId="695C403F" w14:textId="77777777" w:rsidR="00375AE8" w:rsidRPr="00F04D18" w:rsidRDefault="00375AE8" w:rsidP="00F04D18">
            <w:pPr>
              <w:jc w:val="center"/>
              <w:rPr>
                <w:rFonts w:asciiTheme="majorHAnsi" w:hAnsiTheme="majorHAnsi"/>
                <w:sz w:val="16"/>
                <w:szCs w:val="16"/>
              </w:rPr>
            </w:pPr>
          </w:p>
        </w:tc>
        <w:tc>
          <w:tcPr>
            <w:tcW w:w="540" w:type="dxa"/>
          </w:tcPr>
          <w:p w14:paraId="1319B1B1" w14:textId="77777777" w:rsidR="00375AE8" w:rsidRPr="00F04D18" w:rsidRDefault="00375AE8" w:rsidP="00F04D18">
            <w:pPr>
              <w:jc w:val="center"/>
              <w:rPr>
                <w:rFonts w:asciiTheme="majorHAnsi" w:hAnsiTheme="majorHAnsi"/>
                <w:sz w:val="16"/>
                <w:szCs w:val="16"/>
              </w:rPr>
            </w:pPr>
          </w:p>
        </w:tc>
        <w:tc>
          <w:tcPr>
            <w:tcW w:w="690" w:type="dxa"/>
          </w:tcPr>
          <w:p w14:paraId="5BC28FFE" w14:textId="77777777" w:rsidR="00375AE8" w:rsidRPr="00F04D18" w:rsidRDefault="00375AE8" w:rsidP="00F04D18">
            <w:pPr>
              <w:jc w:val="center"/>
              <w:rPr>
                <w:rFonts w:asciiTheme="majorHAnsi" w:hAnsiTheme="majorHAnsi"/>
                <w:sz w:val="16"/>
                <w:szCs w:val="16"/>
              </w:rPr>
            </w:pPr>
          </w:p>
        </w:tc>
        <w:tc>
          <w:tcPr>
            <w:tcW w:w="534" w:type="dxa"/>
          </w:tcPr>
          <w:p w14:paraId="521AE20F" w14:textId="77777777" w:rsidR="00375AE8" w:rsidRPr="00F04D18" w:rsidRDefault="00375AE8" w:rsidP="00F04D18">
            <w:pPr>
              <w:jc w:val="center"/>
              <w:rPr>
                <w:rFonts w:asciiTheme="majorHAnsi" w:hAnsiTheme="majorHAnsi"/>
                <w:sz w:val="16"/>
                <w:szCs w:val="16"/>
              </w:rPr>
            </w:pPr>
          </w:p>
        </w:tc>
        <w:tc>
          <w:tcPr>
            <w:tcW w:w="690" w:type="dxa"/>
          </w:tcPr>
          <w:p w14:paraId="6C5F2AAB" w14:textId="77777777" w:rsidR="00375AE8" w:rsidRPr="00F04D18" w:rsidRDefault="00375AE8" w:rsidP="00F04D18">
            <w:pPr>
              <w:jc w:val="center"/>
              <w:rPr>
                <w:rFonts w:asciiTheme="majorHAnsi" w:hAnsiTheme="majorHAnsi"/>
                <w:sz w:val="16"/>
                <w:szCs w:val="16"/>
              </w:rPr>
            </w:pPr>
          </w:p>
        </w:tc>
        <w:tc>
          <w:tcPr>
            <w:tcW w:w="516" w:type="dxa"/>
          </w:tcPr>
          <w:p w14:paraId="19F4DE6E" w14:textId="77777777" w:rsidR="00375AE8" w:rsidRPr="00F04D18" w:rsidRDefault="00375AE8" w:rsidP="00F04D18">
            <w:pPr>
              <w:jc w:val="center"/>
              <w:rPr>
                <w:rFonts w:asciiTheme="majorHAnsi" w:hAnsiTheme="majorHAnsi"/>
                <w:sz w:val="16"/>
                <w:szCs w:val="16"/>
              </w:rPr>
            </w:pPr>
          </w:p>
        </w:tc>
        <w:tc>
          <w:tcPr>
            <w:tcW w:w="690" w:type="dxa"/>
          </w:tcPr>
          <w:p w14:paraId="6205E29F" w14:textId="77777777" w:rsidR="00375AE8" w:rsidRPr="00F04D18" w:rsidRDefault="00375AE8" w:rsidP="00F04D18">
            <w:pPr>
              <w:jc w:val="center"/>
              <w:rPr>
                <w:rFonts w:asciiTheme="majorHAnsi" w:hAnsiTheme="majorHAnsi"/>
                <w:sz w:val="16"/>
                <w:szCs w:val="16"/>
              </w:rPr>
            </w:pPr>
          </w:p>
        </w:tc>
        <w:tc>
          <w:tcPr>
            <w:tcW w:w="513" w:type="dxa"/>
          </w:tcPr>
          <w:p w14:paraId="16D3E49A" w14:textId="77777777" w:rsidR="00375AE8" w:rsidRPr="00F04D18" w:rsidRDefault="00375AE8" w:rsidP="00F04D18">
            <w:pPr>
              <w:jc w:val="center"/>
              <w:rPr>
                <w:rFonts w:asciiTheme="majorHAnsi" w:hAnsiTheme="majorHAnsi"/>
                <w:sz w:val="16"/>
                <w:szCs w:val="16"/>
              </w:rPr>
            </w:pPr>
          </w:p>
        </w:tc>
        <w:tc>
          <w:tcPr>
            <w:tcW w:w="690" w:type="dxa"/>
          </w:tcPr>
          <w:p w14:paraId="59F59E91" w14:textId="77777777" w:rsidR="00375AE8" w:rsidRPr="00F04D18" w:rsidRDefault="00375AE8" w:rsidP="00F04D18">
            <w:pPr>
              <w:jc w:val="center"/>
              <w:rPr>
                <w:rFonts w:asciiTheme="majorHAnsi" w:hAnsiTheme="majorHAnsi"/>
                <w:sz w:val="16"/>
                <w:szCs w:val="16"/>
              </w:rPr>
            </w:pPr>
          </w:p>
        </w:tc>
      </w:tr>
      <w:tr w:rsidR="00375AE8" w14:paraId="7289A73C" w14:textId="77777777" w:rsidTr="002E3561">
        <w:tc>
          <w:tcPr>
            <w:tcW w:w="1441" w:type="dxa"/>
            <w:vMerge/>
          </w:tcPr>
          <w:p w14:paraId="748BB013" w14:textId="77777777" w:rsidR="00375AE8" w:rsidRPr="00F04D18" w:rsidRDefault="00375AE8" w:rsidP="00F04D18">
            <w:pPr>
              <w:jc w:val="center"/>
              <w:rPr>
                <w:rFonts w:asciiTheme="majorHAnsi" w:hAnsiTheme="majorHAnsi"/>
                <w:sz w:val="16"/>
                <w:szCs w:val="16"/>
              </w:rPr>
            </w:pPr>
          </w:p>
        </w:tc>
        <w:tc>
          <w:tcPr>
            <w:tcW w:w="1367" w:type="dxa"/>
            <w:vMerge/>
          </w:tcPr>
          <w:p w14:paraId="2DEECD3A" w14:textId="77777777" w:rsidR="00375AE8" w:rsidRPr="00F04D18" w:rsidRDefault="00375AE8" w:rsidP="00F04D18">
            <w:pPr>
              <w:jc w:val="center"/>
              <w:rPr>
                <w:rFonts w:asciiTheme="majorHAnsi" w:hAnsiTheme="majorHAnsi"/>
                <w:sz w:val="16"/>
                <w:szCs w:val="16"/>
              </w:rPr>
            </w:pPr>
          </w:p>
        </w:tc>
        <w:tc>
          <w:tcPr>
            <w:tcW w:w="2414" w:type="dxa"/>
          </w:tcPr>
          <w:p w14:paraId="3D43FB85" w14:textId="123C23C0" w:rsidR="00375AE8" w:rsidRPr="00F04D18" w:rsidRDefault="00375AE8" w:rsidP="00F04D18">
            <w:pPr>
              <w:jc w:val="center"/>
              <w:rPr>
                <w:rFonts w:asciiTheme="majorHAnsi" w:hAnsiTheme="majorHAnsi"/>
                <w:sz w:val="16"/>
                <w:szCs w:val="16"/>
              </w:rPr>
            </w:pPr>
            <w:r>
              <w:rPr>
                <w:rFonts w:asciiTheme="majorHAnsi" w:hAnsiTheme="majorHAnsi"/>
                <w:sz w:val="16"/>
                <w:szCs w:val="16"/>
              </w:rPr>
              <w:t xml:space="preserve">State level review for Koror to asses status, capacity, regulations and management needs </w:t>
            </w:r>
          </w:p>
        </w:tc>
        <w:tc>
          <w:tcPr>
            <w:tcW w:w="1309" w:type="dxa"/>
          </w:tcPr>
          <w:p w14:paraId="7414E1CC" w14:textId="13E4931D" w:rsidR="00375AE8" w:rsidRPr="00F04D18" w:rsidRDefault="00375AE8" w:rsidP="00F04D18">
            <w:pPr>
              <w:jc w:val="center"/>
              <w:rPr>
                <w:rFonts w:asciiTheme="majorHAnsi" w:hAnsiTheme="majorHAnsi"/>
                <w:sz w:val="16"/>
                <w:szCs w:val="16"/>
              </w:rPr>
            </w:pPr>
            <w:r>
              <w:rPr>
                <w:rFonts w:asciiTheme="majorHAnsi" w:hAnsiTheme="majorHAnsi"/>
                <w:sz w:val="16"/>
                <w:szCs w:val="16"/>
              </w:rPr>
              <w:t>Koror State</w:t>
            </w:r>
          </w:p>
        </w:tc>
        <w:tc>
          <w:tcPr>
            <w:tcW w:w="610" w:type="dxa"/>
          </w:tcPr>
          <w:p w14:paraId="6027500F" w14:textId="77777777" w:rsidR="00375AE8" w:rsidRPr="00F04D18" w:rsidRDefault="00375AE8" w:rsidP="00F04D18">
            <w:pPr>
              <w:jc w:val="center"/>
              <w:rPr>
                <w:rFonts w:asciiTheme="majorHAnsi" w:hAnsiTheme="majorHAnsi"/>
                <w:sz w:val="16"/>
                <w:szCs w:val="16"/>
              </w:rPr>
            </w:pPr>
          </w:p>
        </w:tc>
        <w:tc>
          <w:tcPr>
            <w:tcW w:w="645" w:type="dxa"/>
            <w:shd w:val="clear" w:color="auto" w:fill="FBD4B4" w:themeFill="accent6" w:themeFillTint="66"/>
          </w:tcPr>
          <w:p w14:paraId="5F374084"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65B2E576" w14:textId="77777777" w:rsidR="00375AE8" w:rsidRPr="00F04D18" w:rsidRDefault="00375AE8" w:rsidP="00F04D18">
            <w:pPr>
              <w:jc w:val="center"/>
              <w:rPr>
                <w:rFonts w:asciiTheme="majorHAnsi" w:hAnsiTheme="majorHAnsi"/>
                <w:sz w:val="16"/>
                <w:szCs w:val="16"/>
              </w:rPr>
            </w:pPr>
          </w:p>
        </w:tc>
        <w:tc>
          <w:tcPr>
            <w:tcW w:w="587" w:type="dxa"/>
            <w:shd w:val="clear" w:color="auto" w:fill="FBD4B4" w:themeFill="accent6" w:themeFillTint="66"/>
          </w:tcPr>
          <w:p w14:paraId="1B19D415"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48E9F8E7" w14:textId="77777777" w:rsidR="00375AE8" w:rsidRPr="00F04D18" w:rsidRDefault="00375AE8" w:rsidP="00F04D18">
            <w:pPr>
              <w:jc w:val="center"/>
              <w:rPr>
                <w:rFonts w:asciiTheme="majorHAnsi" w:hAnsiTheme="majorHAnsi"/>
                <w:sz w:val="16"/>
                <w:szCs w:val="16"/>
              </w:rPr>
            </w:pPr>
          </w:p>
        </w:tc>
        <w:tc>
          <w:tcPr>
            <w:tcW w:w="540" w:type="dxa"/>
          </w:tcPr>
          <w:p w14:paraId="52FE9680" w14:textId="77777777" w:rsidR="00375AE8" w:rsidRPr="00F04D18" w:rsidRDefault="00375AE8" w:rsidP="00F04D18">
            <w:pPr>
              <w:jc w:val="center"/>
              <w:rPr>
                <w:rFonts w:asciiTheme="majorHAnsi" w:hAnsiTheme="majorHAnsi"/>
                <w:sz w:val="16"/>
                <w:szCs w:val="16"/>
              </w:rPr>
            </w:pPr>
          </w:p>
        </w:tc>
        <w:tc>
          <w:tcPr>
            <w:tcW w:w="690" w:type="dxa"/>
          </w:tcPr>
          <w:p w14:paraId="0BE08B83" w14:textId="77777777" w:rsidR="00375AE8" w:rsidRPr="00F04D18" w:rsidRDefault="00375AE8" w:rsidP="00F04D18">
            <w:pPr>
              <w:jc w:val="center"/>
              <w:rPr>
                <w:rFonts w:asciiTheme="majorHAnsi" w:hAnsiTheme="majorHAnsi"/>
                <w:sz w:val="16"/>
                <w:szCs w:val="16"/>
              </w:rPr>
            </w:pPr>
          </w:p>
        </w:tc>
        <w:tc>
          <w:tcPr>
            <w:tcW w:w="534" w:type="dxa"/>
          </w:tcPr>
          <w:p w14:paraId="4054E05B" w14:textId="77777777" w:rsidR="00375AE8" w:rsidRPr="00F04D18" w:rsidRDefault="00375AE8" w:rsidP="00F04D18">
            <w:pPr>
              <w:jc w:val="center"/>
              <w:rPr>
                <w:rFonts w:asciiTheme="majorHAnsi" w:hAnsiTheme="majorHAnsi"/>
                <w:sz w:val="16"/>
                <w:szCs w:val="16"/>
              </w:rPr>
            </w:pPr>
          </w:p>
        </w:tc>
        <w:tc>
          <w:tcPr>
            <w:tcW w:w="690" w:type="dxa"/>
          </w:tcPr>
          <w:p w14:paraId="132FCCA4" w14:textId="77777777" w:rsidR="00375AE8" w:rsidRPr="00F04D18" w:rsidRDefault="00375AE8" w:rsidP="00F04D18">
            <w:pPr>
              <w:jc w:val="center"/>
              <w:rPr>
                <w:rFonts w:asciiTheme="majorHAnsi" w:hAnsiTheme="majorHAnsi"/>
                <w:sz w:val="16"/>
                <w:szCs w:val="16"/>
              </w:rPr>
            </w:pPr>
          </w:p>
        </w:tc>
        <w:tc>
          <w:tcPr>
            <w:tcW w:w="516" w:type="dxa"/>
          </w:tcPr>
          <w:p w14:paraId="2BCA714B" w14:textId="77777777" w:rsidR="00375AE8" w:rsidRPr="00F04D18" w:rsidRDefault="00375AE8" w:rsidP="00F04D18">
            <w:pPr>
              <w:jc w:val="center"/>
              <w:rPr>
                <w:rFonts w:asciiTheme="majorHAnsi" w:hAnsiTheme="majorHAnsi"/>
                <w:sz w:val="16"/>
                <w:szCs w:val="16"/>
              </w:rPr>
            </w:pPr>
          </w:p>
        </w:tc>
        <w:tc>
          <w:tcPr>
            <w:tcW w:w="690" w:type="dxa"/>
          </w:tcPr>
          <w:p w14:paraId="10690930" w14:textId="77777777" w:rsidR="00375AE8" w:rsidRPr="00F04D18" w:rsidRDefault="00375AE8" w:rsidP="00F04D18">
            <w:pPr>
              <w:jc w:val="center"/>
              <w:rPr>
                <w:rFonts w:asciiTheme="majorHAnsi" w:hAnsiTheme="majorHAnsi"/>
                <w:sz w:val="16"/>
                <w:szCs w:val="16"/>
              </w:rPr>
            </w:pPr>
          </w:p>
        </w:tc>
        <w:tc>
          <w:tcPr>
            <w:tcW w:w="513" w:type="dxa"/>
          </w:tcPr>
          <w:p w14:paraId="28924018" w14:textId="77777777" w:rsidR="00375AE8" w:rsidRPr="00F04D18" w:rsidRDefault="00375AE8" w:rsidP="00F04D18">
            <w:pPr>
              <w:jc w:val="center"/>
              <w:rPr>
                <w:rFonts w:asciiTheme="majorHAnsi" w:hAnsiTheme="majorHAnsi"/>
                <w:sz w:val="16"/>
                <w:szCs w:val="16"/>
              </w:rPr>
            </w:pPr>
          </w:p>
        </w:tc>
        <w:tc>
          <w:tcPr>
            <w:tcW w:w="690" w:type="dxa"/>
          </w:tcPr>
          <w:p w14:paraId="0DB1A167" w14:textId="77777777" w:rsidR="00375AE8" w:rsidRPr="00F04D18" w:rsidRDefault="00375AE8" w:rsidP="00F04D18">
            <w:pPr>
              <w:jc w:val="center"/>
              <w:rPr>
                <w:rFonts w:asciiTheme="majorHAnsi" w:hAnsiTheme="majorHAnsi"/>
                <w:sz w:val="16"/>
                <w:szCs w:val="16"/>
              </w:rPr>
            </w:pPr>
          </w:p>
        </w:tc>
      </w:tr>
      <w:tr w:rsidR="00375AE8" w14:paraId="263023B3" w14:textId="77777777" w:rsidTr="002E3561">
        <w:tc>
          <w:tcPr>
            <w:tcW w:w="1441" w:type="dxa"/>
            <w:vMerge/>
          </w:tcPr>
          <w:p w14:paraId="25E19931" w14:textId="77777777" w:rsidR="00375AE8" w:rsidRPr="00F04D18" w:rsidRDefault="00375AE8" w:rsidP="00F04D18">
            <w:pPr>
              <w:jc w:val="center"/>
              <w:rPr>
                <w:rFonts w:asciiTheme="majorHAnsi" w:hAnsiTheme="majorHAnsi"/>
                <w:sz w:val="16"/>
                <w:szCs w:val="16"/>
              </w:rPr>
            </w:pPr>
          </w:p>
        </w:tc>
        <w:tc>
          <w:tcPr>
            <w:tcW w:w="1367" w:type="dxa"/>
            <w:vMerge/>
          </w:tcPr>
          <w:p w14:paraId="5ABEB1F5" w14:textId="77777777" w:rsidR="00375AE8" w:rsidRPr="00F04D18" w:rsidRDefault="00375AE8" w:rsidP="00F04D18">
            <w:pPr>
              <w:jc w:val="center"/>
              <w:rPr>
                <w:rFonts w:asciiTheme="majorHAnsi" w:hAnsiTheme="majorHAnsi"/>
                <w:sz w:val="16"/>
                <w:szCs w:val="16"/>
              </w:rPr>
            </w:pPr>
          </w:p>
        </w:tc>
        <w:tc>
          <w:tcPr>
            <w:tcW w:w="2414" w:type="dxa"/>
          </w:tcPr>
          <w:p w14:paraId="60BDF6F1" w14:textId="4A12C231" w:rsidR="00375AE8" w:rsidRPr="00F04D18" w:rsidRDefault="00375AE8" w:rsidP="00F04D18">
            <w:pPr>
              <w:jc w:val="center"/>
              <w:rPr>
                <w:rFonts w:asciiTheme="majorHAnsi" w:hAnsiTheme="majorHAnsi"/>
                <w:sz w:val="16"/>
                <w:szCs w:val="16"/>
              </w:rPr>
            </w:pPr>
            <w:r>
              <w:rPr>
                <w:rFonts w:asciiTheme="majorHAnsi" w:hAnsiTheme="majorHAnsi"/>
                <w:sz w:val="16"/>
                <w:szCs w:val="16"/>
              </w:rPr>
              <w:t>Participatory vision for development of ILSM strategy</w:t>
            </w:r>
          </w:p>
        </w:tc>
        <w:tc>
          <w:tcPr>
            <w:tcW w:w="1309" w:type="dxa"/>
          </w:tcPr>
          <w:p w14:paraId="72B76DD0" w14:textId="42EC7050" w:rsidR="00375AE8" w:rsidRPr="00F04D18" w:rsidRDefault="00375AE8" w:rsidP="00F04D18">
            <w:pPr>
              <w:jc w:val="center"/>
              <w:rPr>
                <w:rFonts w:asciiTheme="majorHAnsi" w:hAnsiTheme="majorHAnsi"/>
                <w:sz w:val="16"/>
                <w:szCs w:val="16"/>
              </w:rPr>
            </w:pPr>
            <w:r>
              <w:rPr>
                <w:rFonts w:asciiTheme="majorHAnsi" w:hAnsiTheme="majorHAnsi"/>
                <w:sz w:val="16"/>
                <w:szCs w:val="16"/>
              </w:rPr>
              <w:t>Koror and Peleliu States and MNRET</w:t>
            </w:r>
          </w:p>
        </w:tc>
        <w:tc>
          <w:tcPr>
            <w:tcW w:w="610" w:type="dxa"/>
          </w:tcPr>
          <w:p w14:paraId="01FCC4D8" w14:textId="77777777" w:rsidR="00375AE8" w:rsidRPr="00F04D18" w:rsidRDefault="00375AE8" w:rsidP="00F04D18">
            <w:pPr>
              <w:jc w:val="center"/>
              <w:rPr>
                <w:rFonts w:asciiTheme="majorHAnsi" w:hAnsiTheme="majorHAnsi"/>
                <w:sz w:val="16"/>
                <w:szCs w:val="16"/>
              </w:rPr>
            </w:pPr>
          </w:p>
        </w:tc>
        <w:tc>
          <w:tcPr>
            <w:tcW w:w="645" w:type="dxa"/>
            <w:shd w:val="clear" w:color="auto" w:fill="auto"/>
          </w:tcPr>
          <w:p w14:paraId="591844BF"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131228A9" w14:textId="77777777" w:rsidR="00375AE8" w:rsidRPr="00F04D18" w:rsidRDefault="00375AE8" w:rsidP="00F04D18">
            <w:pPr>
              <w:jc w:val="center"/>
              <w:rPr>
                <w:rFonts w:asciiTheme="majorHAnsi" w:hAnsiTheme="majorHAnsi"/>
                <w:sz w:val="16"/>
                <w:szCs w:val="16"/>
              </w:rPr>
            </w:pPr>
          </w:p>
        </w:tc>
        <w:tc>
          <w:tcPr>
            <w:tcW w:w="587" w:type="dxa"/>
            <w:shd w:val="clear" w:color="auto" w:fill="FBD4B4" w:themeFill="accent6" w:themeFillTint="66"/>
          </w:tcPr>
          <w:p w14:paraId="3AAE9AA2" w14:textId="77777777" w:rsidR="00375AE8" w:rsidRPr="00F04D18" w:rsidRDefault="00375AE8" w:rsidP="00F04D18">
            <w:pPr>
              <w:jc w:val="center"/>
              <w:rPr>
                <w:rFonts w:asciiTheme="majorHAnsi" w:hAnsiTheme="majorHAnsi"/>
                <w:sz w:val="16"/>
                <w:szCs w:val="16"/>
              </w:rPr>
            </w:pPr>
          </w:p>
        </w:tc>
        <w:tc>
          <w:tcPr>
            <w:tcW w:w="690" w:type="dxa"/>
          </w:tcPr>
          <w:p w14:paraId="576F1E61" w14:textId="77777777" w:rsidR="00375AE8" w:rsidRPr="00F04D18" w:rsidRDefault="00375AE8" w:rsidP="00F04D18">
            <w:pPr>
              <w:jc w:val="center"/>
              <w:rPr>
                <w:rFonts w:asciiTheme="majorHAnsi" w:hAnsiTheme="majorHAnsi"/>
                <w:sz w:val="16"/>
                <w:szCs w:val="16"/>
              </w:rPr>
            </w:pPr>
          </w:p>
        </w:tc>
        <w:tc>
          <w:tcPr>
            <w:tcW w:w="540" w:type="dxa"/>
          </w:tcPr>
          <w:p w14:paraId="5CED4DCC" w14:textId="77777777" w:rsidR="00375AE8" w:rsidRPr="00F04D18" w:rsidRDefault="00375AE8" w:rsidP="00F04D18">
            <w:pPr>
              <w:jc w:val="center"/>
              <w:rPr>
                <w:rFonts w:asciiTheme="majorHAnsi" w:hAnsiTheme="majorHAnsi"/>
                <w:sz w:val="16"/>
                <w:szCs w:val="16"/>
              </w:rPr>
            </w:pPr>
          </w:p>
        </w:tc>
        <w:tc>
          <w:tcPr>
            <w:tcW w:w="690" w:type="dxa"/>
          </w:tcPr>
          <w:p w14:paraId="16CE6DCB" w14:textId="77777777" w:rsidR="00375AE8" w:rsidRPr="00F04D18" w:rsidRDefault="00375AE8" w:rsidP="00F04D18">
            <w:pPr>
              <w:jc w:val="center"/>
              <w:rPr>
                <w:rFonts w:asciiTheme="majorHAnsi" w:hAnsiTheme="majorHAnsi"/>
                <w:sz w:val="16"/>
                <w:szCs w:val="16"/>
              </w:rPr>
            </w:pPr>
          </w:p>
        </w:tc>
        <w:tc>
          <w:tcPr>
            <w:tcW w:w="534" w:type="dxa"/>
          </w:tcPr>
          <w:p w14:paraId="0856C0B1" w14:textId="77777777" w:rsidR="00375AE8" w:rsidRPr="00F04D18" w:rsidRDefault="00375AE8" w:rsidP="00F04D18">
            <w:pPr>
              <w:jc w:val="center"/>
              <w:rPr>
                <w:rFonts w:asciiTheme="majorHAnsi" w:hAnsiTheme="majorHAnsi"/>
                <w:sz w:val="16"/>
                <w:szCs w:val="16"/>
              </w:rPr>
            </w:pPr>
          </w:p>
        </w:tc>
        <w:tc>
          <w:tcPr>
            <w:tcW w:w="690" w:type="dxa"/>
          </w:tcPr>
          <w:p w14:paraId="032B05C5" w14:textId="77777777" w:rsidR="00375AE8" w:rsidRPr="00F04D18" w:rsidRDefault="00375AE8" w:rsidP="00F04D18">
            <w:pPr>
              <w:jc w:val="center"/>
              <w:rPr>
                <w:rFonts w:asciiTheme="majorHAnsi" w:hAnsiTheme="majorHAnsi"/>
                <w:sz w:val="16"/>
                <w:szCs w:val="16"/>
              </w:rPr>
            </w:pPr>
          </w:p>
        </w:tc>
        <w:tc>
          <w:tcPr>
            <w:tcW w:w="516" w:type="dxa"/>
          </w:tcPr>
          <w:p w14:paraId="24890446" w14:textId="77777777" w:rsidR="00375AE8" w:rsidRPr="00F04D18" w:rsidRDefault="00375AE8" w:rsidP="00F04D18">
            <w:pPr>
              <w:jc w:val="center"/>
              <w:rPr>
                <w:rFonts w:asciiTheme="majorHAnsi" w:hAnsiTheme="majorHAnsi"/>
                <w:sz w:val="16"/>
                <w:szCs w:val="16"/>
              </w:rPr>
            </w:pPr>
          </w:p>
        </w:tc>
        <w:tc>
          <w:tcPr>
            <w:tcW w:w="690" w:type="dxa"/>
          </w:tcPr>
          <w:p w14:paraId="3775C3A1" w14:textId="77777777" w:rsidR="00375AE8" w:rsidRPr="00F04D18" w:rsidRDefault="00375AE8" w:rsidP="00F04D18">
            <w:pPr>
              <w:jc w:val="center"/>
              <w:rPr>
                <w:rFonts w:asciiTheme="majorHAnsi" w:hAnsiTheme="majorHAnsi"/>
                <w:sz w:val="16"/>
                <w:szCs w:val="16"/>
              </w:rPr>
            </w:pPr>
          </w:p>
        </w:tc>
        <w:tc>
          <w:tcPr>
            <w:tcW w:w="513" w:type="dxa"/>
          </w:tcPr>
          <w:p w14:paraId="3BDECBEF" w14:textId="77777777" w:rsidR="00375AE8" w:rsidRPr="00F04D18" w:rsidRDefault="00375AE8" w:rsidP="00F04D18">
            <w:pPr>
              <w:jc w:val="center"/>
              <w:rPr>
                <w:rFonts w:asciiTheme="majorHAnsi" w:hAnsiTheme="majorHAnsi"/>
                <w:sz w:val="16"/>
                <w:szCs w:val="16"/>
              </w:rPr>
            </w:pPr>
          </w:p>
        </w:tc>
        <w:tc>
          <w:tcPr>
            <w:tcW w:w="690" w:type="dxa"/>
          </w:tcPr>
          <w:p w14:paraId="6D425E7F" w14:textId="77777777" w:rsidR="00375AE8" w:rsidRPr="00F04D18" w:rsidRDefault="00375AE8" w:rsidP="00F04D18">
            <w:pPr>
              <w:jc w:val="center"/>
              <w:rPr>
                <w:rFonts w:asciiTheme="majorHAnsi" w:hAnsiTheme="majorHAnsi"/>
                <w:sz w:val="16"/>
                <w:szCs w:val="16"/>
              </w:rPr>
            </w:pPr>
          </w:p>
        </w:tc>
      </w:tr>
      <w:tr w:rsidR="00375AE8" w14:paraId="213C3F24" w14:textId="77777777" w:rsidTr="002E3561">
        <w:tc>
          <w:tcPr>
            <w:tcW w:w="1441" w:type="dxa"/>
            <w:vMerge/>
          </w:tcPr>
          <w:p w14:paraId="1C106443" w14:textId="77777777" w:rsidR="00375AE8" w:rsidRPr="00F04D18" w:rsidRDefault="00375AE8" w:rsidP="00F04D18">
            <w:pPr>
              <w:jc w:val="center"/>
              <w:rPr>
                <w:rFonts w:asciiTheme="majorHAnsi" w:hAnsiTheme="majorHAnsi"/>
                <w:sz w:val="16"/>
                <w:szCs w:val="16"/>
              </w:rPr>
            </w:pPr>
          </w:p>
        </w:tc>
        <w:tc>
          <w:tcPr>
            <w:tcW w:w="1367" w:type="dxa"/>
            <w:vMerge/>
          </w:tcPr>
          <w:p w14:paraId="3BE32440" w14:textId="77777777" w:rsidR="00375AE8" w:rsidRPr="00F04D18" w:rsidRDefault="00375AE8" w:rsidP="00F04D18">
            <w:pPr>
              <w:jc w:val="center"/>
              <w:rPr>
                <w:rFonts w:asciiTheme="majorHAnsi" w:hAnsiTheme="majorHAnsi"/>
                <w:sz w:val="16"/>
                <w:szCs w:val="16"/>
              </w:rPr>
            </w:pPr>
          </w:p>
        </w:tc>
        <w:tc>
          <w:tcPr>
            <w:tcW w:w="2414" w:type="dxa"/>
          </w:tcPr>
          <w:p w14:paraId="13F270C9" w14:textId="2F650059" w:rsidR="00375AE8" w:rsidRPr="00F04D18" w:rsidRDefault="00375AE8" w:rsidP="00F04D18">
            <w:pPr>
              <w:jc w:val="center"/>
              <w:rPr>
                <w:rFonts w:asciiTheme="majorHAnsi" w:hAnsiTheme="majorHAnsi"/>
                <w:sz w:val="16"/>
                <w:szCs w:val="16"/>
              </w:rPr>
            </w:pPr>
            <w:r>
              <w:rPr>
                <w:rFonts w:asciiTheme="majorHAnsi" w:hAnsiTheme="majorHAnsi"/>
                <w:sz w:val="16"/>
                <w:szCs w:val="16"/>
              </w:rPr>
              <w:t xml:space="preserve">Cooperative drafting and finalization of ISLMF, adjustment of existing zoning, alignment with RISL management plan and governance systems </w:t>
            </w:r>
          </w:p>
        </w:tc>
        <w:tc>
          <w:tcPr>
            <w:tcW w:w="1309" w:type="dxa"/>
          </w:tcPr>
          <w:p w14:paraId="56DD9813" w14:textId="039D906C" w:rsidR="00375AE8" w:rsidRPr="00F04D18" w:rsidRDefault="00375AE8" w:rsidP="00F04D18">
            <w:pPr>
              <w:jc w:val="center"/>
              <w:rPr>
                <w:rFonts w:asciiTheme="majorHAnsi" w:hAnsiTheme="majorHAnsi"/>
                <w:sz w:val="16"/>
                <w:szCs w:val="16"/>
              </w:rPr>
            </w:pPr>
            <w:r>
              <w:rPr>
                <w:rFonts w:asciiTheme="majorHAnsi" w:hAnsiTheme="majorHAnsi"/>
                <w:sz w:val="16"/>
                <w:szCs w:val="16"/>
              </w:rPr>
              <w:t>MNRET</w:t>
            </w:r>
          </w:p>
        </w:tc>
        <w:tc>
          <w:tcPr>
            <w:tcW w:w="610" w:type="dxa"/>
          </w:tcPr>
          <w:p w14:paraId="0E1FEE91" w14:textId="77777777" w:rsidR="00375AE8" w:rsidRPr="00F04D18" w:rsidRDefault="00375AE8" w:rsidP="00F04D18">
            <w:pPr>
              <w:jc w:val="center"/>
              <w:rPr>
                <w:rFonts w:asciiTheme="majorHAnsi" w:hAnsiTheme="majorHAnsi"/>
                <w:sz w:val="16"/>
                <w:szCs w:val="16"/>
              </w:rPr>
            </w:pPr>
          </w:p>
        </w:tc>
        <w:tc>
          <w:tcPr>
            <w:tcW w:w="645" w:type="dxa"/>
          </w:tcPr>
          <w:p w14:paraId="7A0FE619" w14:textId="77777777" w:rsidR="00375AE8" w:rsidRPr="00F04D18" w:rsidRDefault="00375AE8" w:rsidP="00F04D18">
            <w:pPr>
              <w:jc w:val="center"/>
              <w:rPr>
                <w:rFonts w:asciiTheme="majorHAnsi" w:hAnsiTheme="majorHAnsi"/>
                <w:sz w:val="16"/>
                <w:szCs w:val="16"/>
              </w:rPr>
            </w:pPr>
          </w:p>
        </w:tc>
        <w:tc>
          <w:tcPr>
            <w:tcW w:w="690" w:type="dxa"/>
          </w:tcPr>
          <w:p w14:paraId="4EFB3A7A" w14:textId="77777777" w:rsidR="00375AE8" w:rsidRPr="00F04D18" w:rsidRDefault="00375AE8" w:rsidP="00F04D18">
            <w:pPr>
              <w:jc w:val="center"/>
              <w:rPr>
                <w:rFonts w:asciiTheme="majorHAnsi" w:hAnsiTheme="majorHAnsi"/>
                <w:sz w:val="16"/>
                <w:szCs w:val="16"/>
              </w:rPr>
            </w:pPr>
          </w:p>
        </w:tc>
        <w:tc>
          <w:tcPr>
            <w:tcW w:w="587" w:type="dxa"/>
            <w:shd w:val="clear" w:color="auto" w:fill="FBD4B4" w:themeFill="accent6" w:themeFillTint="66"/>
          </w:tcPr>
          <w:p w14:paraId="16FF3BA8"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58A04DA2" w14:textId="77777777" w:rsidR="00375AE8" w:rsidRPr="00F04D18" w:rsidRDefault="00375AE8" w:rsidP="00F04D18">
            <w:pPr>
              <w:jc w:val="center"/>
              <w:rPr>
                <w:rFonts w:asciiTheme="majorHAnsi" w:hAnsiTheme="majorHAnsi"/>
                <w:sz w:val="16"/>
                <w:szCs w:val="16"/>
              </w:rPr>
            </w:pPr>
          </w:p>
        </w:tc>
        <w:tc>
          <w:tcPr>
            <w:tcW w:w="540" w:type="dxa"/>
          </w:tcPr>
          <w:p w14:paraId="18CF2322" w14:textId="77777777" w:rsidR="00375AE8" w:rsidRPr="00F04D18" w:rsidRDefault="00375AE8" w:rsidP="00F04D18">
            <w:pPr>
              <w:jc w:val="center"/>
              <w:rPr>
                <w:rFonts w:asciiTheme="majorHAnsi" w:hAnsiTheme="majorHAnsi"/>
                <w:sz w:val="16"/>
                <w:szCs w:val="16"/>
              </w:rPr>
            </w:pPr>
          </w:p>
        </w:tc>
        <w:tc>
          <w:tcPr>
            <w:tcW w:w="690" w:type="dxa"/>
          </w:tcPr>
          <w:p w14:paraId="5D839CAD" w14:textId="77777777" w:rsidR="00375AE8" w:rsidRPr="00F04D18" w:rsidRDefault="00375AE8" w:rsidP="00F04D18">
            <w:pPr>
              <w:jc w:val="center"/>
              <w:rPr>
                <w:rFonts w:asciiTheme="majorHAnsi" w:hAnsiTheme="majorHAnsi"/>
                <w:sz w:val="16"/>
                <w:szCs w:val="16"/>
              </w:rPr>
            </w:pPr>
          </w:p>
        </w:tc>
        <w:tc>
          <w:tcPr>
            <w:tcW w:w="534" w:type="dxa"/>
          </w:tcPr>
          <w:p w14:paraId="1D1E8413" w14:textId="77777777" w:rsidR="00375AE8" w:rsidRPr="00F04D18" w:rsidRDefault="00375AE8" w:rsidP="00F04D18">
            <w:pPr>
              <w:jc w:val="center"/>
              <w:rPr>
                <w:rFonts w:asciiTheme="majorHAnsi" w:hAnsiTheme="majorHAnsi"/>
                <w:sz w:val="16"/>
                <w:szCs w:val="16"/>
              </w:rPr>
            </w:pPr>
          </w:p>
        </w:tc>
        <w:tc>
          <w:tcPr>
            <w:tcW w:w="690" w:type="dxa"/>
          </w:tcPr>
          <w:p w14:paraId="36BD7D9B" w14:textId="77777777" w:rsidR="00375AE8" w:rsidRPr="00F04D18" w:rsidRDefault="00375AE8" w:rsidP="00F04D18">
            <w:pPr>
              <w:jc w:val="center"/>
              <w:rPr>
                <w:rFonts w:asciiTheme="majorHAnsi" w:hAnsiTheme="majorHAnsi"/>
                <w:sz w:val="16"/>
                <w:szCs w:val="16"/>
              </w:rPr>
            </w:pPr>
          </w:p>
        </w:tc>
        <w:tc>
          <w:tcPr>
            <w:tcW w:w="516" w:type="dxa"/>
          </w:tcPr>
          <w:p w14:paraId="1E887FB3" w14:textId="77777777" w:rsidR="00375AE8" w:rsidRPr="00F04D18" w:rsidRDefault="00375AE8" w:rsidP="00F04D18">
            <w:pPr>
              <w:jc w:val="center"/>
              <w:rPr>
                <w:rFonts w:asciiTheme="majorHAnsi" w:hAnsiTheme="majorHAnsi"/>
                <w:sz w:val="16"/>
                <w:szCs w:val="16"/>
              </w:rPr>
            </w:pPr>
          </w:p>
        </w:tc>
        <w:tc>
          <w:tcPr>
            <w:tcW w:w="690" w:type="dxa"/>
          </w:tcPr>
          <w:p w14:paraId="7597A814" w14:textId="77777777" w:rsidR="00375AE8" w:rsidRPr="00F04D18" w:rsidRDefault="00375AE8" w:rsidP="00F04D18">
            <w:pPr>
              <w:jc w:val="center"/>
              <w:rPr>
                <w:rFonts w:asciiTheme="majorHAnsi" w:hAnsiTheme="majorHAnsi"/>
                <w:sz w:val="16"/>
                <w:szCs w:val="16"/>
              </w:rPr>
            </w:pPr>
          </w:p>
        </w:tc>
        <w:tc>
          <w:tcPr>
            <w:tcW w:w="513" w:type="dxa"/>
          </w:tcPr>
          <w:p w14:paraId="5617EDFE" w14:textId="77777777" w:rsidR="00375AE8" w:rsidRPr="00F04D18" w:rsidRDefault="00375AE8" w:rsidP="00F04D18">
            <w:pPr>
              <w:jc w:val="center"/>
              <w:rPr>
                <w:rFonts w:asciiTheme="majorHAnsi" w:hAnsiTheme="majorHAnsi"/>
                <w:sz w:val="16"/>
                <w:szCs w:val="16"/>
              </w:rPr>
            </w:pPr>
          </w:p>
        </w:tc>
        <w:tc>
          <w:tcPr>
            <w:tcW w:w="690" w:type="dxa"/>
          </w:tcPr>
          <w:p w14:paraId="6F12044F" w14:textId="77777777" w:rsidR="00375AE8" w:rsidRPr="00F04D18" w:rsidRDefault="00375AE8" w:rsidP="00F04D18">
            <w:pPr>
              <w:jc w:val="center"/>
              <w:rPr>
                <w:rFonts w:asciiTheme="majorHAnsi" w:hAnsiTheme="majorHAnsi"/>
                <w:sz w:val="16"/>
                <w:szCs w:val="16"/>
              </w:rPr>
            </w:pPr>
          </w:p>
        </w:tc>
      </w:tr>
      <w:tr w:rsidR="00375AE8" w14:paraId="6AB75832" w14:textId="77777777" w:rsidTr="002E3561">
        <w:tc>
          <w:tcPr>
            <w:tcW w:w="1441" w:type="dxa"/>
            <w:vMerge/>
          </w:tcPr>
          <w:p w14:paraId="1F4F060C" w14:textId="77777777" w:rsidR="00375AE8" w:rsidRPr="00F04D18" w:rsidRDefault="00375AE8" w:rsidP="00F04D18">
            <w:pPr>
              <w:jc w:val="center"/>
              <w:rPr>
                <w:rFonts w:asciiTheme="majorHAnsi" w:hAnsiTheme="majorHAnsi"/>
                <w:sz w:val="16"/>
                <w:szCs w:val="16"/>
              </w:rPr>
            </w:pPr>
          </w:p>
        </w:tc>
        <w:tc>
          <w:tcPr>
            <w:tcW w:w="1367" w:type="dxa"/>
            <w:vMerge/>
          </w:tcPr>
          <w:p w14:paraId="35A7B627" w14:textId="77777777" w:rsidR="00375AE8" w:rsidRPr="00F04D18" w:rsidRDefault="00375AE8" w:rsidP="00F04D18">
            <w:pPr>
              <w:jc w:val="center"/>
              <w:rPr>
                <w:rFonts w:asciiTheme="majorHAnsi" w:hAnsiTheme="majorHAnsi"/>
                <w:sz w:val="16"/>
                <w:szCs w:val="16"/>
              </w:rPr>
            </w:pPr>
          </w:p>
        </w:tc>
        <w:tc>
          <w:tcPr>
            <w:tcW w:w="2414" w:type="dxa"/>
          </w:tcPr>
          <w:p w14:paraId="7E03CE0E" w14:textId="34DBC40E" w:rsidR="00375AE8" w:rsidRPr="00F04D18" w:rsidRDefault="00375AE8" w:rsidP="00F04D18">
            <w:pPr>
              <w:jc w:val="center"/>
              <w:rPr>
                <w:rFonts w:asciiTheme="majorHAnsi" w:hAnsiTheme="majorHAnsi"/>
                <w:sz w:val="16"/>
                <w:szCs w:val="16"/>
              </w:rPr>
            </w:pPr>
            <w:r>
              <w:rPr>
                <w:rFonts w:asciiTheme="majorHAnsi" w:hAnsiTheme="majorHAnsi"/>
                <w:sz w:val="16"/>
                <w:szCs w:val="16"/>
              </w:rPr>
              <w:t>SEA process for ISLMF (impact assessment, analysis of alternatives and monitoring)</w:t>
            </w:r>
          </w:p>
        </w:tc>
        <w:tc>
          <w:tcPr>
            <w:tcW w:w="1309" w:type="dxa"/>
          </w:tcPr>
          <w:p w14:paraId="7304F1C2" w14:textId="4EBA2D2A" w:rsidR="00375AE8" w:rsidRPr="00F04D18" w:rsidRDefault="00375AE8" w:rsidP="00F04D18">
            <w:pPr>
              <w:jc w:val="center"/>
              <w:rPr>
                <w:rFonts w:asciiTheme="majorHAnsi" w:hAnsiTheme="majorHAnsi"/>
                <w:sz w:val="16"/>
                <w:szCs w:val="16"/>
              </w:rPr>
            </w:pPr>
            <w:r>
              <w:rPr>
                <w:rFonts w:asciiTheme="majorHAnsi" w:hAnsiTheme="majorHAnsi"/>
                <w:sz w:val="16"/>
                <w:szCs w:val="16"/>
              </w:rPr>
              <w:t>EQPB and Koror State</w:t>
            </w:r>
          </w:p>
        </w:tc>
        <w:tc>
          <w:tcPr>
            <w:tcW w:w="610" w:type="dxa"/>
          </w:tcPr>
          <w:p w14:paraId="1FBB974A" w14:textId="77777777" w:rsidR="00375AE8" w:rsidRPr="00F04D18" w:rsidRDefault="00375AE8" w:rsidP="00F04D18">
            <w:pPr>
              <w:jc w:val="center"/>
              <w:rPr>
                <w:rFonts w:asciiTheme="majorHAnsi" w:hAnsiTheme="majorHAnsi"/>
                <w:sz w:val="16"/>
                <w:szCs w:val="16"/>
              </w:rPr>
            </w:pPr>
          </w:p>
        </w:tc>
        <w:tc>
          <w:tcPr>
            <w:tcW w:w="645" w:type="dxa"/>
          </w:tcPr>
          <w:p w14:paraId="7AA7B670" w14:textId="77777777" w:rsidR="00375AE8" w:rsidRPr="00F04D18" w:rsidRDefault="00375AE8" w:rsidP="00F04D18">
            <w:pPr>
              <w:jc w:val="center"/>
              <w:rPr>
                <w:rFonts w:asciiTheme="majorHAnsi" w:hAnsiTheme="majorHAnsi"/>
                <w:sz w:val="16"/>
                <w:szCs w:val="16"/>
              </w:rPr>
            </w:pPr>
          </w:p>
        </w:tc>
        <w:tc>
          <w:tcPr>
            <w:tcW w:w="690" w:type="dxa"/>
          </w:tcPr>
          <w:p w14:paraId="0F0EEE9C" w14:textId="77777777" w:rsidR="00375AE8" w:rsidRPr="00F04D18" w:rsidRDefault="00375AE8" w:rsidP="00F04D18">
            <w:pPr>
              <w:jc w:val="center"/>
              <w:rPr>
                <w:rFonts w:asciiTheme="majorHAnsi" w:hAnsiTheme="majorHAnsi"/>
                <w:sz w:val="16"/>
                <w:szCs w:val="16"/>
              </w:rPr>
            </w:pPr>
          </w:p>
        </w:tc>
        <w:tc>
          <w:tcPr>
            <w:tcW w:w="587" w:type="dxa"/>
            <w:shd w:val="clear" w:color="auto" w:fill="FBD4B4" w:themeFill="accent6" w:themeFillTint="66"/>
          </w:tcPr>
          <w:p w14:paraId="4AE49D54"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3F74845F" w14:textId="77777777" w:rsidR="00375AE8" w:rsidRPr="00F04D18" w:rsidRDefault="00375AE8" w:rsidP="00F04D18">
            <w:pPr>
              <w:jc w:val="center"/>
              <w:rPr>
                <w:rFonts w:asciiTheme="majorHAnsi" w:hAnsiTheme="majorHAnsi"/>
                <w:sz w:val="16"/>
                <w:szCs w:val="16"/>
              </w:rPr>
            </w:pPr>
          </w:p>
        </w:tc>
        <w:tc>
          <w:tcPr>
            <w:tcW w:w="540" w:type="dxa"/>
          </w:tcPr>
          <w:p w14:paraId="7406F6B7" w14:textId="77777777" w:rsidR="00375AE8" w:rsidRPr="00F04D18" w:rsidRDefault="00375AE8" w:rsidP="00F04D18">
            <w:pPr>
              <w:jc w:val="center"/>
              <w:rPr>
                <w:rFonts w:asciiTheme="majorHAnsi" w:hAnsiTheme="majorHAnsi"/>
                <w:sz w:val="16"/>
                <w:szCs w:val="16"/>
              </w:rPr>
            </w:pPr>
          </w:p>
        </w:tc>
        <w:tc>
          <w:tcPr>
            <w:tcW w:w="690" w:type="dxa"/>
          </w:tcPr>
          <w:p w14:paraId="4A33D240" w14:textId="77777777" w:rsidR="00375AE8" w:rsidRPr="00F04D18" w:rsidRDefault="00375AE8" w:rsidP="00F04D18">
            <w:pPr>
              <w:jc w:val="center"/>
              <w:rPr>
                <w:rFonts w:asciiTheme="majorHAnsi" w:hAnsiTheme="majorHAnsi"/>
                <w:sz w:val="16"/>
                <w:szCs w:val="16"/>
              </w:rPr>
            </w:pPr>
          </w:p>
        </w:tc>
        <w:tc>
          <w:tcPr>
            <w:tcW w:w="534" w:type="dxa"/>
          </w:tcPr>
          <w:p w14:paraId="4115C02F" w14:textId="77777777" w:rsidR="00375AE8" w:rsidRPr="00F04D18" w:rsidRDefault="00375AE8" w:rsidP="00F04D18">
            <w:pPr>
              <w:jc w:val="center"/>
              <w:rPr>
                <w:rFonts w:asciiTheme="majorHAnsi" w:hAnsiTheme="majorHAnsi"/>
                <w:sz w:val="16"/>
                <w:szCs w:val="16"/>
              </w:rPr>
            </w:pPr>
          </w:p>
        </w:tc>
        <w:tc>
          <w:tcPr>
            <w:tcW w:w="690" w:type="dxa"/>
          </w:tcPr>
          <w:p w14:paraId="7A7AAA3B" w14:textId="77777777" w:rsidR="00375AE8" w:rsidRPr="00F04D18" w:rsidRDefault="00375AE8" w:rsidP="00F04D18">
            <w:pPr>
              <w:jc w:val="center"/>
              <w:rPr>
                <w:rFonts w:asciiTheme="majorHAnsi" w:hAnsiTheme="majorHAnsi"/>
                <w:sz w:val="16"/>
                <w:szCs w:val="16"/>
              </w:rPr>
            </w:pPr>
          </w:p>
        </w:tc>
        <w:tc>
          <w:tcPr>
            <w:tcW w:w="516" w:type="dxa"/>
          </w:tcPr>
          <w:p w14:paraId="4EE18D7F" w14:textId="77777777" w:rsidR="00375AE8" w:rsidRPr="00F04D18" w:rsidRDefault="00375AE8" w:rsidP="00F04D18">
            <w:pPr>
              <w:jc w:val="center"/>
              <w:rPr>
                <w:rFonts w:asciiTheme="majorHAnsi" w:hAnsiTheme="majorHAnsi"/>
                <w:sz w:val="16"/>
                <w:szCs w:val="16"/>
              </w:rPr>
            </w:pPr>
          </w:p>
        </w:tc>
        <w:tc>
          <w:tcPr>
            <w:tcW w:w="690" w:type="dxa"/>
          </w:tcPr>
          <w:p w14:paraId="3DFE28EA" w14:textId="77777777" w:rsidR="00375AE8" w:rsidRPr="00F04D18" w:rsidRDefault="00375AE8" w:rsidP="00F04D18">
            <w:pPr>
              <w:jc w:val="center"/>
              <w:rPr>
                <w:rFonts w:asciiTheme="majorHAnsi" w:hAnsiTheme="majorHAnsi"/>
                <w:sz w:val="16"/>
                <w:szCs w:val="16"/>
              </w:rPr>
            </w:pPr>
          </w:p>
        </w:tc>
        <w:tc>
          <w:tcPr>
            <w:tcW w:w="513" w:type="dxa"/>
          </w:tcPr>
          <w:p w14:paraId="5A746270" w14:textId="77777777" w:rsidR="00375AE8" w:rsidRPr="00F04D18" w:rsidRDefault="00375AE8" w:rsidP="00F04D18">
            <w:pPr>
              <w:jc w:val="center"/>
              <w:rPr>
                <w:rFonts w:asciiTheme="majorHAnsi" w:hAnsiTheme="majorHAnsi"/>
                <w:sz w:val="16"/>
                <w:szCs w:val="16"/>
              </w:rPr>
            </w:pPr>
          </w:p>
        </w:tc>
        <w:tc>
          <w:tcPr>
            <w:tcW w:w="690" w:type="dxa"/>
          </w:tcPr>
          <w:p w14:paraId="3DF13CD4" w14:textId="77777777" w:rsidR="00375AE8" w:rsidRPr="00F04D18" w:rsidRDefault="00375AE8" w:rsidP="00F04D18">
            <w:pPr>
              <w:jc w:val="center"/>
              <w:rPr>
                <w:rFonts w:asciiTheme="majorHAnsi" w:hAnsiTheme="majorHAnsi"/>
                <w:sz w:val="16"/>
                <w:szCs w:val="16"/>
              </w:rPr>
            </w:pPr>
          </w:p>
        </w:tc>
      </w:tr>
      <w:tr w:rsidR="00375AE8" w14:paraId="22F40DD7" w14:textId="77777777" w:rsidTr="006726A0">
        <w:tc>
          <w:tcPr>
            <w:tcW w:w="1441" w:type="dxa"/>
            <w:vMerge/>
          </w:tcPr>
          <w:p w14:paraId="16BF656F" w14:textId="77777777" w:rsidR="00375AE8" w:rsidRPr="00F04D18" w:rsidRDefault="00375AE8" w:rsidP="00F04D18">
            <w:pPr>
              <w:jc w:val="center"/>
              <w:rPr>
                <w:rFonts w:asciiTheme="majorHAnsi" w:hAnsiTheme="majorHAnsi"/>
                <w:sz w:val="16"/>
                <w:szCs w:val="16"/>
              </w:rPr>
            </w:pPr>
          </w:p>
        </w:tc>
        <w:tc>
          <w:tcPr>
            <w:tcW w:w="1367" w:type="dxa"/>
            <w:vMerge w:val="restart"/>
          </w:tcPr>
          <w:p w14:paraId="47A3230C" w14:textId="2F0A9196" w:rsidR="00375AE8" w:rsidRPr="00F04D18" w:rsidRDefault="00375AE8" w:rsidP="00F04D18">
            <w:pPr>
              <w:jc w:val="center"/>
              <w:rPr>
                <w:rFonts w:asciiTheme="majorHAnsi" w:hAnsiTheme="majorHAnsi"/>
                <w:sz w:val="16"/>
                <w:szCs w:val="16"/>
              </w:rPr>
            </w:pPr>
            <w:r>
              <w:rPr>
                <w:rFonts w:asciiTheme="majorHAnsi" w:hAnsiTheme="majorHAnsi"/>
                <w:sz w:val="16"/>
                <w:szCs w:val="16"/>
              </w:rPr>
              <w:t>ILSMPs and zoning for individual states (Koror and Peleliu)</w:t>
            </w:r>
          </w:p>
        </w:tc>
        <w:tc>
          <w:tcPr>
            <w:tcW w:w="2414" w:type="dxa"/>
          </w:tcPr>
          <w:p w14:paraId="58846763" w14:textId="437FE1C9" w:rsidR="00375AE8" w:rsidRPr="00F04D18" w:rsidRDefault="00375AE8" w:rsidP="00F04D18">
            <w:pPr>
              <w:jc w:val="center"/>
              <w:rPr>
                <w:rFonts w:asciiTheme="majorHAnsi" w:hAnsiTheme="majorHAnsi"/>
                <w:sz w:val="16"/>
                <w:szCs w:val="16"/>
              </w:rPr>
            </w:pPr>
            <w:r>
              <w:rPr>
                <w:rFonts w:asciiTheme="majorHAnsi" w:hAnsiTheme="majorHAnsi"/>
                <w:sz w:val="16"/>
                <w:szCs w:val="16"/>
              </w:rPr>
              <w:t>Establishment of State planning teams</w:t>
            </w:r>
          </w:p>
        </w:tc>
        <w:tc>
          <w:tcPr>
            <w:tcW w:w="1309" w:type="dxa"/>
          </w:tcPr>
          <w:p w14:paraId="6A7F2D9C" w14:textId="57638B5C" w:rsidR="00375AE8" w:rsidRPr="00F04D18" w:rsidRDefault="00375AE8" w:rsidP="00F04D18">
            <w:pPr>
              <w:jc w:val="center"/>
              <w:rPr>
                <w:rFonts w:asciiTheme="majorHAnsi" w:hAnsiTheme="majorHAnsi"/>
                <w:sz w:val="16"/>
                <w:szCs w:val="16"/>
              </w:rPr>
            </w:pPr>
            <w:r>
              <w:rPr>
                <w:rFonts w:asciiTheme="majorHAnsi" w:hAnsiTheme="majorHAnsi"/>
                <w:sz w:val="16"/>
                <w:szCs w:val="16"/>
              </w:rPr>
              <w:t>JCB</w:t>
            </w:r>
          </w:p>
        </w:tc>
        <w:tc>
          <w:tcPr>
            <w:tcW w:w="610" w:type="dxa"/>
          </w:tcPr>
          <w:p w14:paraId="2C05A20C" w14:textId="77777777" w:rsidR="00375AE8" w:rsidRPr="00F04D18" w:rsidRDefault="00375AE8" w:rsidP="00F04D18">
            <w:pPr>
              <w:jc w:val="center"/>
              <w:rPr>
                <w:rFonts w:asciiTheme="majorHAnsi" w:hAnsiTheme="majorHAnsi"/>
                <w:sz w:val="16"/>
                <w:szCs w:val="16"/>
              </w:rPr>
            </w:pPr>
          </w:p>
        </w:tc>
        <w:tc>
          <w:tcPr>
            <w:tcW w:w="645" w:type="dxa"/>
          </w:tcPr>
          <w:p w14:paraId="6F26812B"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33365485" w14:textId="77777777" w:rsidR="00375AE8" w:rsidRPr="00F04D18" w:rsidRDefault="00375AE8" w:rsidP="00F04D18">
            <w:pPr>
              <w:jc w:val="center"/>
              <w:rPr>
                <w:rFonts w:asciiTheme="majorHAnsi" w:hAnsiTheme="majorHAnsi"/>
                <w:sz w:val="16"/>
                <w:szCs w:val="16"/>
              </w:rPr>
            </w:pPr>
          </w:p>
        </w:tc>
        <w:tc>
          <w:tcPr>
            <w:tcW w:w="587" w:type="dxa"/>
            <w:shd w:val="clear" w:color="auto" w:fill="FBD4B4" w:themeFill="accent6" w:themeFillTint="66"/>
          </w:tcPr>
          <w:p w14:paraId="46553C92" w14:textId="77777777" w:rsidR="00375AE8" w:rsidRPr="00F04D18" w:rsidRDefault="00375AE8" w:rsidP="00F04D18">
            <w:pPr>
              <w:jc w:val="center"/>
              <w:rPr>
                <w:rFonts w:asciiTheme="majorHAnsi" w:hAnsiTheme="majorHAnsi"/>
                <w:sz w:val="16"/>
                <w:szCs w:val="16"/>
              </w:rPr>
            </w:pPr>
          </w:p>
        </w:tc>
        <w:tc>
          <w:tcPr>
            <w:tcW w:w="690" w:type="dxa"/>
          </w:tcPr>
          <w:p w14:paraId="4F01871A" w14:textId="77777777" w:rsidR="00375AE8" w:rsidRPr="00F04D18" w:rsidRDefault="00375AE8" w:rsidP="00F04D18">
            <w:pPr>
              <w:jc w:val="center"/>
              <w:rPr>
                <w:rFonts w:asciiTheme="majorHAnsi" w:hAnsiTheme="majorHAnsi"/>
                <w:sz w:val="16"/>
                <w:szCs w:val="16"/>
              </w:rPr>
            </w:pPr>
          </w:p>
        </w:tc>
        <w:tc>
          <w:tcPr>
            <w:tcW w:w="540" w:type="dxa"/>
          </w:tcPr>
          <w:p w14:paraId="08A8D707" w14:textId="77777777" w:rsidR="00375AE8" w:rsidRPr="00F04D18" w:rsidRDefault="00375AE8" w:rsidP="00F04D18">
            <w:pPr>
              <w:jc w:val="center"/>
              <w:rPr>
                <w:rFonts w:asciiTheme="majorHAnsi" w:hAnsiTheme="majorHAnsi"/>
                <w:sz w:val="16"/>
                <w:szCs w:val="16"/>
              </w:rPr>
            </w:pPr>
          </w:p>
        </w:tc>
        <w:tc>
          <w:tcPr>
            <w:tcW w:w="690" w:type="dxa"/>
          </w:tcPr>
          <w:p w14:paraId="504DCE35" w14:textId="77777777" w:rsidR="00375AE8" w:rsidRPr="00F04D18" w:rsidRDefault="00375AE8" w:rsidP="00F04D18">
            <w:pPr>
              <w:jc w:val="center"/>
              <w:rPr>
                <w:rFonts w:asciiTheme="majorHAnsi" w:hAnsiTheme="majorHAnsi"/>
                <w:sz w:val="16"/>
                <w:szCs w:val="16"/>
              </w:rPr>
            </w:pPr>
          </w:p>
        </w:tc>
        <w:tc>
          <w:tcPr>
            <w:tcW w:w="534" w:type="dxa"/>
          </w:tcPr>
          <w:p w14:paraId="53EC969A" w14:textId="77777777" w:rsidR="00375AE8" w:rsidRPr="00F04D18" w:rsidRDefault="00375AE8" w:rsidP="00F04D18">
            <w:pPr>
              <w:jc w:val="center"/>
              <w:rPr>
                <w:rFonts w:asciiTheme="majorHAnsi" w:hAnsiTheme="majorHAnsi"/>
                <w:sz w:val="16"/>
                <w:szCs w:val="16"/>
              </w:rPr>
            </w:pPr>
          </w:p>
        </w:tc>
        <w:tc>
          <w:tcPr>
            <w:tcW w:w="690" w:type="dxa"/>
          </w:tcPr>
          <w:p w14:paraId="365A797F" w14:textId="77777777" w:rsidR="00375AE8" w:rsidRPr="00F04D18" w:rsidRDefault="00375AE8" w:rsidP="00F04D18">
            <w:pPr>
              <w:jc w:val="center"/>
              <w:rPr>
                <w:rFonts w:asciiTheme="majorHAnsi" w:hAnsiTheme="majorHAnsi"/>
                <w:sz w:val="16"/>
                <w:szCs w:val="16"/>
              </w:rPr>
            </w:pPr>
          </w:p>
        </w:tc>
        <w:tc>
          <w:tcPr>
            <w:tcW w:w="516" w:type="dxa"/>
          </w:tcPr>
          <w:p w14:paraId="47F3D806" w14:textId="77777777" w:rsidR="00375AE8" w:rsidRPr="00F04D18" w:rsidRDefault="00375AE8" w:rsidP="00F04D18">
            <w:pPr>
              <w:jc w:val="center"/>
              <w:rPr>
                <w:rFonts w:asciiTheme="majorHAnsi" w:hAnsiTheme="majorHAnsi"/>
                <w:sz w:val="16"/>
                <w:szCs w:val="16"/>
              </w:rPr>
            </w:pPr>
          </w:p>
        </w:tc>
        <w:tc>
          <w:tcPr>
            <w:tcW w:w="690" w:type="dxa"/>
          </w:tcPr>
          <w:p w14:paraId="70B344AE" w14:textId="77777777" w:rsidR="00375AE8" w:rsidRPr="00F04D18" w:rsidRDefault="00375AE8" w:rsidP="00F04D18">
            <w:pPr>
              <w:jc w:val="center"/>
              <w:rPr>
                <w:rFonts w:asciiTheme="majorHAnsi" w:hAnsiTheme="majorHAnsi"/>
                <w:sz w:val="16"/>
                <w:szCs w:val="16"/>
              </w:rPr>
            </w:pPr>
          </w:p>
        </w:tc>
        <w:tc>
          <w:tcPr>
            <w:tcW w:w="513" w:type="dxa"/>
          </w:tcPr>
          <w:p w14:paraId="285EB3A2" w14:textId="77777777" w:rsidR="00375AE8" w:rsidRPr="00F04D18" w:rsidRDefault="00375AE8" w:rsidP="00F04D18">
            <w:pPr>
              <w:jc w:val="center"/>
              <w:rPr>
                <w:rFonts w:asciiTheme="majorHAnsi" w:hAnsiTheme="majorHAnsi"/>
                <w:sz w:val="16"/>
                <w:szCs w:val="16"/>
              </w:rPr>
            </w:pPr>
          </w:p>
        </w:tc>
        <w:tc>
          <w:tcPr>
            <w:tcW w:w="690" w:type="dxa"/>
          </w:tcPr>
          <w:p w14:paraId="541E2165" w14:textId="77777777" w:rsidR="00375AE8" w:rsidRPr="00F04D18" w:rsidRDefault="00375AE8" w:rsidP="00F04D18">
            <w:pPr>
              <w:jc w:val="center"/>
              <w:rPr>
                <w:rFonts w:asciiTheme="majorHAnsi" w:hAnsiTheme="majorHAnsi"/>
                <w:sz w:val="16"/>
                <w:szCs w:val="16"/>
              </w:rPr>
            </w:pPr>
          </w:p>
        </w:tc>
      </w:tr>
      <w:tr w:rsidR="00375AE8" w14:paraId="5E3AF07E" w14:textId="77777777" w:rsidTr="006726A0">
        <w:tc>
          <w:tcPr>
            <w:tcW w:w="1441" w:type="dxa"/>
            <w:vMerge/>
          </w:tcPr>
          <w:p w14:paraId="6B2ACDEB" w14:textId="77777777" w:rsidR="00375AE8" w:rsidRPr="00F04D18" w:rsidRDefault="00375AE8" w:rsidP="00F04D18">
            <w:pPr>
              <w:jc w:val="center"/>
              <w:rPr>
                <w:rFonts w:asciiTheme="majorHAnsi" w:hAnsiTheme="majorHAnsi"/>
                <w:sz w:val="16"/>
                <w:szCs w:val="16"/>
              </w:rPr>
            </w:pPr>
          </w:p>
        </w:tc>
        <w:tc>
          <w:tcPr>
            <w:tcW w:w="1367" w:type="dxa"/>
            <w:vMerge/>
          </w:tcPr>
          <w:p w14:paraId="642A9AFE" w14:textId="77777777" w:rsidR="00375AE8" w:rsidRPr="00F04D18" w:rsidRDefault="00375AE8" w:rsidP="00F04D18">
            <w:pPr>
              <w:jc w:val="center"/>
              <w:rPr>
                <w:rFonts w:asciiTheme="majorHAnsi" w:hAnsiTheme="majorHAnsi"/>
                <w:sz w:val="16"/>
                <w:szCs w:val="16"/>
              </w:rPr>
            </w:pPr>
          </w:p>
        </w:tc>
        <w:tc>
          <w:tcPr>
            <w:tcW w:w="2414" w:type="dxa"/>
          </w:tcPr>
          <w:p w14:paraId="5188EE65" w14:textId="23F035A5" w:rsidR="00375AE8" w:rsidRPr="00F04D18" w:rsidRDefault="00375AE8" w:rsidP="00F04D18">
            <w:pPr>
              <w:jc w:val="center"/>
              <w:rPr>
                <w:rFonts w:asciiTheme="majorHAnsi" w:hAnsiTheme="majorHAnsi"/>
                <w:sz w:val="16"/>
                <w:szCs w:val="16"/>
              </w:rPr>
            </w:pPr>
            <w:r>
              <w:rPr>
                <w:rFonts w:asciiTheme="majorHAnsi" w:hAnsiTheme="majorHAnsi"/>
                <w:sz w:val="16"/>
                <w:szCs w:val="16"/>
              </w:rPr>
              <w:t>Consultative meetings for drafting ILSMPs</w:t>
            </w:r>
          </w:p>
        </w:tc>
        <w:tc>
          <w:tcPr>
            <w:tcW w:w="1309" w:type="dxa"/>
          </w:tcPr>
          <w:p w14:paraId="0D2E76A8" w14:textId="20E61FDE" w:rsidR="00375AE8" w:rsidRPr="00F04D18" w:rsidRDefault="00375AE8" w:rsidP="00F04D18">
            <w:pPr>
              <w:jc w:val="center"/>
              <w:rPr>
                <w:rFonts w:asciiTheme="majorHAnsi" w:hAnsiTheme="majorHAnsi"/>
                <w:sz w:val="16"/>
                <w:szCs w:val="16"/>
              </w:rPr>
            </w:pPr>
            <w:r>
              <w:rPr>
                <w:rFonts w:asciiTheme="majorHAnsi" w:hAnsiTheme="majorHAnsi"/>
                <w:sz w:val="16"/>
                <w:szCs w:val="16"/>
              </w:rPr>
              <w:t>JCB</w:t>
            </w:r>
          </w:p>
        </w:tc>
        <w:tc>
          <w:tcPr>
            <w:tcW w:w="610" w:type="dxa"/>
          </w:tcPr>
          <w:p w14:paraId="4A8AB5F7" w14:textId="77777777" w:rsidR="00375AE8" w:rsidRPr="00F04D18" w:rsidRDefault="00375AE8" w:rsidP="00F04D18">
            <w:pPr>
              <w:jc w:val="center"/>
              <w:rPr>
                <w:rFonts w:asciiTheme="majorHAnsi" w:hAnsiTheme="majorHAnsi"/>
                <w:sz w:val="16"/>
                <w:szCs w:val="16"/>
              </w:rPr>
            </w:pPr>
          </w:p>
        </w:tc>
        <w:tc>
          <w:tcPr>
            <w:tcW w:w="645" w:type="dxa"/>
          </w:tcPr>
          <w:p w14:paraId="4673A1A4"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5D0CF368" w14:textId="77777777" w:rsidR="00375AE8" w:rsidRPr="00F04D18" w:rsidRDefault="00375AE8" w:rsidP="00F04D18">
            <w:pPr>
              <w:jc w:val="center"/>
              <w:rPr>
                <w:rFonts w:asciiTheme="majorHAnsi" w:hAnsiTheme="majorHAnsi"/>
                <w:sz w:val="16"/>
                <w:szCs w:val="16"/>
              </w:rPr>
            </w:pPr>
          </w:p>
        </w:tc>
        <w:tc>
          <w:tcPr>
            <w:tcW w:w="587" w:type="dxa"/>
            <w:shd w:val="clear" w:color="auto" w:fill="FBD4B4" w:themeFill="accent6" w:themeFillTint="66"/>
          </w:tcPr>
          <w:p w14:paraId="54E2CD06"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1BE03CC5" w14:textId="77777777" w:rsidR="00375AE8" w:rsidRPr="00F04D18" w:rsidRDefault="00375AE8" w:rsidP="00F04D18">
            <w:pPr>
              <w:jc w:val="center"/>
              <w:rPr>
                <w:rFonts w:asciiTheme="majorHAnsi" w:hAnsiTheme="majorHAnsi"/>
                <w:sz w:val="16"/>
                <w:szCs w:val="16"/>
              </w:rPr>
            </w:pPr>
          </w:p>
        </w:tc>
        <w:tc>
          <w:tcPr>
            <w:tcW w:w="540" w:type="dxa"/>
            <w:shd w:val="clear" w:color="auto" w:fill="FBD4B4" w:themeFill="accent6" w:themeFillTint="66"/>
          </w:tcPr>
          <w:p w14:paraId="04880007" w14:textId="77777777" w:rsidR="00375AE8" w:rsidRPr="00F04D18" w:rsidRDefault="00375AE8" w:rsidP="00F04D18">
            <w:pPr>
              <w:jc w:val="center"/>
              <w:rPr>
                <w:rFonts w:asciiTheme="majorHAnsi" w:hAnsiTheme="majorHAnsi"/>
                <w:sz w:val="16"/>
                <w:szCs w:val="16"/>
              </w:rPr>
            </w:pPr>
          </w:p>
        </w:tc>
        <w:tc>
          <w:tcPr>
            <w:tcW w:w="690" w:type="dxa"/>
          </w:tcPr>
          <w:p w14:paraId="7075B155" w14:textId="77777777" w:rsidR="00375AE8" w:rsidRPr="00F04D18" w:rsidRDefault="00375AE8" w:rsidP="00F04D18">
            <w:pPr>
              <w:jc w:val="center"/>
              <w:rPr>
                <w:rFonts w:asciiTheme="majorHAnsi" w:hAnsiTheme="majorHAnsi"/>
                <w:sz w:val="16"/>
                <w:szCs w:val="16"/>
              </w:rPr>
            </w:pPr>
          </w:p>
        </w:tc>
        <w:tc>
          <w:tcPr>
            <w:tcW w:w="534" w:type="dxa"/>
          </w:tcPr>
          <w:p w14:paraId="6E20EAD5" w14:textId="77777777" w:rsidR="00375AE8" w:rsidRPr="00F04D18" w:rsidRDefault="00375AE8" w:rsidP="00F04D18">
            <w:pPr>
              <w:jc w:val="center"/>
              <w:rPr>
                <w:rFonts w:asciiTheme="majorHAnsi" w:hAnsiTheme="majorHAnsi"/>
                <w:sz w:val="16"/>
                <w:szCs w:val="16"/>
              </w:rPr>
            </w:pPr>
          </w:p>
        </w:tc>
        <w:tc>
          <w:tcPr>
            <w:tcW w:w="690" w:type="dxa"/>
          </w:tcPr>
          <w:p w14:paraId="7FDDEF60" w14:textId="77777777" w:rsidR="00375AE8" w:rsidRPr="00F04D18" w:rsidRDefault="00375AE8" w:rsidP="00F04D18">
            <w:pPr>
              <w:jc w:val="center"/>
              <w:rPr>
                <w:rFonts w:asciiTheme="majorHAnsi" w:hAnsiTheme="majorHAnsi"/>
                <w:sz w:val="16"/>
                <w:szCs w:val="16"/>
              </w:rPr>
            </w:pPr>
          </w:p>
        </w:tc>
        <w:tc>
          <w:tcPr>
            <w:tcW w:w="516" w:type="dxa"/>
          </w:tcPr>
          <w:p w14:paraId="00353BC7" w14:textId="77777777" w:rsidR="00375AE8" w:rsidRPr="00F04D18" w:rsidRDefault="00375AE8" w:rsidP="00F04D18">
            <w:pPr>
              <w:jc w:val="center"/>
              <w:rPr>
                <w:rFonts w:asciiTheme="majorHAnsi" w:hAnsiTheme="majorHAnsi"/>
                <w:sz w:val="16"/>
                <w:szCs w:val="16"/>
              </w:rPr>
            </w:pPr>
          </w:p>
        </w:tc>
        <w:tc>
          <w:tcPr>
            <w:tcW w:w="690" w:type="dxa"/>
          </w:tcPr>
          <w:p w14:paraId="1542E530" w14:textId="77777777" w:rsidR="00375AE8" w:rsidRPr="00F04D18" w:rsidRDefault="00375AE8" w:rsidP="00F04D18">
            <w:pPr>
              <w:jc w:val="center"/>
              <w:rPr>
                <w:rFonts w:asciiTheme="majorHAnsi" w:hAnsiTheme="majorHAnsi"/>
                <w:sz w:val="16"/>
                <w:szCs w:val="16"/>
              </w:rPr>
            </w:pPr>
          </w:p>
        </w:tc>
        <w:tc>
          <w:tcPr>
            <w:tcW w:w="513" w:type="dxa"/>
          </w:tcPr>
          <w:p w14:paraId="425F1624" w14:textId="77777777" w:rsidR="00375AE8" w:rsidRPr="00F04D18" w:rsidRDefault="00375AE8" w:rsidP="00F04D18">
            <w:pPr>
              <w:jc w:val="center"/>
              <w:rPr>
                <w:rFonts w:asciiTheme="majorHAnsi" w:hAnsiTheme="majorHAnsi"/>
                <w:sz w:val="16"/>
                <w:szCs w:val="16"/>
              </w:rPr>
            </w:pPr>
          </w:p>
        </w:tc>
        <w:tc>
          <w:tcPr>
            <w:tcW w:w="690" w:type="dxa"/>
          </w:tcPr>
          <w:p w14:paraId="54E131A9" w14:textId="77777777" w:rsidR="00375AE8" w:rsidRPr="00F04D18" w:rsidRDefault="00375AE8" w:rsidP="00F04D18">
            <w:pPr>
              <w:jc w:val="center"/>
              <w:rPr>
                <w:rFonts w:asciiTheme="majorHAnsi" w:hAnsiTheme="majorHAnsi"/>
                <w:sz w:val="16"/>
                <w:szCs w:val="16"/>
              </w:rPr>
            </w:pPr>
          </w:p>
        </w:tc>
      </w:tr>
      <w:tr w:rsidR="00375AE8" w14:paraId="13FAD744" w14:textId="77777777" w:rsidTr="006726A0">
        <w:tc>
          <w:tcPr>
            <w:tcW w:w="1441" w:type="dxa"/>
            <w:vMerge/>
          </w:tcPr>
          <w:p w14:paraId="1628F249" w14:textId="77777777" w:rsidR="00375AE8" w:rsidRPr="00F04D18" w:rsidRDefault="00375AE8" w:rsidP="00F04D18">
            <w:pPr>
              <w:jc w:val="center"/>
              <w:rPr>
                <w:rFonts w:asciiTheme="majorHAnsi" w:hAnsiTheme="majorHAnsi"/>
                <w:sz w:val="16"/>
                <w:szCs w:val="16"/>
              </w:rPr>
            </w:pPr>
          </w:p>
        </w:tc>
        <w:tc>
          <w:tcPr>
            <w:tcW w:w="1367" w:type="dxa"/>
            <w:vMerge/>
          </w:tcPr>
          <w:p w14:paraId="3BE38C33" w14:textId="77777777" w:rsidR="00375AE8" w:rsidRPr="00F04D18" w:rsidRDefault="00375AE8" w:rsidP="00F04D18">
            <w:pPr>
              <w:jc w:val="center"/>
              <w:rPr>
                <w:rFonts w:asciiTheme="majorHAnsi" w:hAnsiTheme="majorHAnsi"/>
                <w:sz w:val="16"/>
                <w:szCs w:val="16"/>
              </w:rPr>
            </w:pPr>
          </w:p>
        </w:tc>
        <w:tc>
          <w:tcPr>
            <w:tcW w:w="2414" w:type="dxa"/>
          </w:tcPr>
          <w:p w14:paraId="2386446A" w14:textId="5146C4E5" w:rsidR="00375AE8" w:rsidRPr="00F04D18" w:rsidRDefault="00375AE8" w:rsidP="00F04D18">
            <w:pPr>
              <w:jc w:val="center"/>
              <w:rPr>
                <w:rFonts w:asciiTheme="majorHAnsi" w:hAnsiTheme="majorHAnsi"/>
                <w:sz w:val="16"/>
                <w:szCs w:val="16"/>
              </w:rPr>
            </w:pPr>
            <w:r>
              <w:rPr>
                <w:rFonts w:asciiTheme="majorHAnsi" w:hAnsiTheme="majorHAnsi"/>
                <w:sz w:val="16"/>
                <w:szCs w:val="16"/>
              </w:rPr>
              <w:t>Draft and approval of State ILSMPs</w:t>
            </w:r>
          </w:p>
        </w:tc>
        <w:tc>
          <w:tcPr>
            <w:tcW w:w="1309" w:type="dxa"/>
          </w:tcPr>
          <w:p w14:paraId="70FB5FB6" w14:textId="37613A27" w:rsidR="00375AE8" w:rsidRPr="00F04D18" w:rsidRDefault="00375AE8" w:rsidP="00F04D18">
            <w:pPr>
              <w:jc w:val="center"/>
              <w:rPr>
                <w:rFonts w:asciiTheme="majorHAnsi" w:hAnsiTheme="majorHAnsi"/>
                <w:sz w:val="16"/>
                <w:szCs w:val="16"/>
              </w:rPr>
            </w:pPr>
            <w:r>
              <w:rPr>
                <w:rFonts w:asciiTheme="majorHAnsi" w:hAnsiTheme="majorHAnsi"/>
                <w:sz w:val="16"/>
                <w:szCs w:val="16"/>
              </w:rPr>
              <w:t>JCB</w:t>
            </w:r>
          </w:p>
        </w:tc>
        <w:tc>
          <w:tcPr>
            <w:tcW w:w="610" w:type="dxa"/>
          </w:tcPr>
          <w:p w14:paraId="7693B4B6" w14:textId="77777777" w:rsidR="00375AE8" w:rsidRPr="00F04D18" w:rsidRDefault="00375AE8" w:rsidP="00F04D18">
            <w:pPr>
              <w:jc w:val="center"/>
              <w:rPr>
                <w:rFonts w:asciiTheme="majorHAnsi" w:hAnsiTheme="majorHAnsi"/>
                <w:sz w:val="16"/>
                <w:szCs w:val="16"/>
              </w:rPr>
            </w:pPr>
          </w:p>
        </w:tc>
        <w:tc>
          <w:tcPr>
            <w:tcW w:w="645" w:type="dxa"/>
          </w:tcPr>
          <w:p w14:paraId="1B88A407" w14:textId="77777777" w:rsidR="00375AE8" w:rsidRPr="00F04D18" w:rsidRDefault="00375AE8" w:rsidP="00F04D18">
            <w:pPr>
              <w:jc w:val="center"/>
              <w:rPr>
                <w:rFonts w:asciiTheme="majorHAnsi" w:hAnsiTheme="majorHAnsi"/>
                <w:sz w:val="16"/>
                <w:szCs w:val="16"/>
              </w:rPr>
            </w:pPr>
          </w:p>
        </w:tc>
        <w:tc>
          <w:tcPr>
            <w:tcW w:w="690" w:type="dxa"/>
          </w:tcPr>
          <w:p w14:paraId="64096866" w14:textId="77777777" w:rsidR="00375AE8" w:rsidRPr="00F04D18" w:rsidRDefault="00375AE8" w:rsidP="00F04D18">
            <w:pPr>
              <w:jc w:val="center"/>
              <w:rPr>
                <w:rFonts w:asciiTheme="majorHAnsi" w:hAnsiTheme="majorHAnsi"/>
                <w:sz w:val="16"/>
                <w:szCs w:val="16"/>
              </w:rPr>
            </w:pPr>
          </w:p>
        </w:tc>
        <w:tc>
          <w:tcPr>
            <w:tcW w:w="587" w:type="dxa"/>
          </w:tcPr>
          <w:p w14:paraId="57F6F24F" w14:textId="77777777" w:rsidR="00375AE8" w:rsidRPr="00F04D18" w:rsidRDefault="00375AE8" w:rsidP="00F04D18">
            <w:pPr>
              <w:jc w:val="center"/>
              <w:rPr>
                <w:rFonts w:asciiTheme="majorHAnsi" w:hAnsiTheme="majorHAnsi"/>
                <w:sz w:val="16"/>
                <w:szCs w:val="16"/>
              </w:rPr>
            </w:pPr>
          </w:p>
        </w:tc>
        <w:tc>
          <w:tcPr>
            <w:tcW w:w="690" w:type="dxa"/>
          </w:tcPr>
          <w:p w14:paraId="37BAB810" w14:textId="77777777" w:rsidR="00375AE8" w:rsidRPr="00F04D18" w:rsidRDefault="00375AE8" w:rsidP="00F04D18">
            <w:pPr>
              <w:jc w:val="center"/>
              <w:rPr>
                <w:rFonts w:asciiTheme="majorHAnsi" w:hAnsiTheme="majorHAnsi"/>
                <w:sz w:val="16"/>
                <w:szCs w:val="16"/>
              </w:rPr>
            </w:pPr>
          </w:p>
        </w:tc>
        <w:tc>
          <w:tcPr>
            <w:tcW w:w="540" w:type="dxa"/>
            <w:shd w:val="clear" w:color="auto" w:fill="FBD4B4" w:themeFill="accent6" w:themeFillTint="66"/>
          </w:tcPr>
          <w:p w14:paraId="1133FEDA"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12C4BE26" w14:textId="77777777" w:rsidR="00375AE8" w:rsidRPr="00F04D18" w:rsidRDefault="00375AE8" w:rsidP="00F04D18">
            <w:pPr>
              <w:jc w:val="center"/>
              <w:rPr>
                <w:rFonts w:asciiTheme="majorHAnsi" w:hAnsiTheme="majorHAnsi"/>
                <w:sz w:val="16"/>
                <w:szCs w:val="16"/>
              </w:rPr>
            </w:pPr>
          </w:p>
        </w:tc>
        <w:tc>
          <w:tcPr>
            <w:tcW w:w="534" w:type="dxa"/>
          </w:tcPr>
          <w:p w14:paraId="20BF8030" w14:textId="77777777" w:rsidR="00375AE8" w:rsidRPr="00F04D18" w:rsidRDefault="00375AE8" w:rsidP="00F04D18">
            <w:pPr>
              <w:jc w:val="center"/>
              <w:rPr>
                <w:rFonts w:asciiTheme="majorHAnsi" w:hAnsiTheme="majorHAnsi"/>
                <w:sz w:val="16"/>
                <w:szCs w:val="16"/>
              </w:rPr>
            </w:pPr>
          </w:p>
        </w:tc>
        <w:tc>
          <w:tcPr>
            <w:tcW w:w="690" w:type="dxa"/>
          </w:tcPr>
          <w:p w14:paraId="6DA576BE" w14:textId="77777777" w:rsidR="00375AE8" w:rsidRPr="00F04D18" w:rsidRDefault="00375AE8" w:rsidP="00F04D18">
            <w:pPr>
              <w:jc w:val="center"/>
              <w:rPr>
                <w:rFonts w:asciiTheme="majorHAnsi" w:hAnsiTheme="majorHAnsi"/>
                <w:sz w:val="16"/>
                <w:szCs w:val="16"/>
              </w:rPr>
            </w:pPr>
          </w:p>
        </w:tc>
        <w:tc>
          <w:tcPr>
            <w:tcW w:w="516" w:type="dxa"/>
          </w:tcPr>
          <w:p w14:paraId="7FC957E6" w14:textId="77777777" w:rsidR="00375AE8" w:rsidRPr="00F04D18" w:rsidRDefault="00375AE8" w:rsidP="00F04D18">
            <w:pPr>
              <w:jc w:val="center"/>
              <w:rPr>
                <w:rFonts w:asciiTheme="majorHAnsi" w:hAnsiTheme="majorHAnsi"/>
                <w:sz w:val="16"/>
                <w:szCs w:val="16"/>
              </w:rPr>
            </w:pPr>
          </w:p>
        </w:tc>
        <w:tc>
          <w:tcPr>
            <w:tcW w:w="690" w:type="dxa"/>
          </w:tcPr>
          <w:p w14:paraId="6A3DFC93" w14:textId="77777777" w:rsidR="00375AE8" w:rsidRPr="00F04D18" w:rsidRDefault="00375AE8" w:rsidP="00F04D18">
            <w:pPr>
              <w:jc w:val="center"/>
              <w:rPr>
                <w:rFonts w:asciiTheme="majorHAnsi" w:hAnsiTheme="majorHAnsi"/>
                <w:sz w:val="16"/>
                <w:szCs w:val="16"/>
              </w:rPr>
            </w:pPr>
          </w:p>
        </w:tc>
        <w:tc>
          <w:tcPr>
            <w:tcW w:w="513" w:type="dxa"/>
          </w:tcPr>
          <w:p w14:paraId="670F9480" w14:textId="77777777" w:rsidR="00375AE8" w:rsidRPr="00F04D18" w:rsidRDefault="00375AE8" w:rsidP="00F04D18">
            <w:pPr>
              <w:jc w:val="center"/>
              <w:rPr>
                <w:rFonts w:asciiTheme="majorHAnsi" w:hAnsiTheme="majorHAnsi"/>
                <w:sz w:val="16"/>
                <w:szCs w:val="16"/>
              </w:rPr>
            </w:pPr>
          </w:p>
        </w:tc>
        <w:tc>
          <w:tcPr>
            <w:tcW w:w="690" w:type="dxa"/>
          </w:tcPr>
          <w:p w14:paraId="5BC0F16D" w14:textId="77777777" w:rsidR="00375AE8" w:rsidRPr="00F04D18" w:rsidRDefault="00375AE8" w:rsidP="00F04D18">
            <w:pPr>
              <w:jc w:val="center"/>
              <w:rPr>
                <w:rFonts w:asciiTheme="majorHAnsi" w:hAnsiTheme="majorHAnsi"/>
                <w:sz w:val="16"/>
                <w:szCs w:val="16"/>
              </w:rPr>
            </w:pPr>
          </w:p>
        </w:tc>
      </w:tr>
      <w:tr w:rsidR="00375AE8" w14:paraId="0D843046" w14:textId="77777777" w:rsidTr="006726A0">
        <w:tc>
          <w:tcPr>
            <w:tcW w:w="1441" w:type="dxa"/>
            <w:vMerge/>
          </w:tcPr>
          <w:p w14:paraId="1920F810" w14:textId="77777777" w:rsidR="00375AE8" w:rsidRPr="00F04D18" w:rsidRDefault="00375AE8" w:rsidP="00F04D18">
            <w:pPr>
              <w:jc w:val="center"/>
              <w:rPr>
                <w:rFonts w:asciiTheme="majorHAnsi" w:hAnsiTheme="majorHAnsi"/>
                <w:sz w:val="16"/>
                <w:szCs w:val="16"/>
              </w:rPr>
            </w:pPr>
          </w:p>
        </w:tc>
        <w:tc>
          <w:tcPr>
            <w:tcW w:w="1367" w:type="dxa"/>
            <w:vMerge/>
          </w:tcPr>
          <w:p w14:paraId="20D945AC" w14:textId="77777777" w:rsidR="00375AE8" w:rsidRPr="00F04D18" w:rsidRDefault="00375AE8" w:rsidP="00F04D18">
            <w:pPr>
              <w:jc w:val="center"/>
              <w:rPr>
                <w:rFonts w:asciiTheme="majorHAnsi" w:hAnsiTheme="majorHAnsi"/>
                <w:sz w:val="16"/>
                <w:szCs w:val="16"/>
              </w:rPr>
            </w:pPr>
          </w:p>
        </w:tc>
        <w:tc>
          <w:tcPr>
            <w:tcW w:w="2414" w:type="dxa"/>
          </w:tcPr>
          <w:p w14:paraId="4A529261" w14:textId="13726A00" w:rsidR="00375AE8" w:rsidRPr="00F04D18" w:rsidRDefault="00375AE8" w:rsidP="00F04D18">
            <w:pPr>
              <w:jc w:val="center"/>
              <w:rPr>
                <w:rFonts w:asciiTheme="majorHAnsi" w:hAnsiTheme="majorHAnsi"/>
                <w:sz w:val="16"/>
                <w:szCs w:val="16"/>
              </w:rPr>
            </w:pPr>
            <w:r>
              <w:rPr>
                <w:rFonts w:asciiTheme="majorHAnsi" w:hAnsiTheme="majorHAnsi"/>
                <w:sz w:val="16"/>
                <w:szCs w:val="16"/>
              </w:rPr>
              <w:t xml:space="preserve">Incorporation of information from state level reviews into state planning documents and develop state specific EDRR plans and national mapping of specific IAS (CRB, freshwater fish) </w:t>
            </w:r>
          </w:p>
        </w:tc>
        <w:tc>
          <w:tcPr>
            <w:tcW w:w="1309" w:type="dxa"/>
          </w:tcPr>
          <w:p w14:paraId="5CC6643C" w14:textId="2800ADFB" w:rsidR="00375AE8" w:rsidRPr="00F04D18" w:rsidRDefault="00375AE8" w:rsidP="00F04D18">
            <w:pPr>
              <w:jc w:val="center"/>
              <w:rPr>
                <w:rFonts w:asciiTheme="majorHAnsi" w:hAnsiTheme="majorHAnsi"/>
                <w:sz w:val="16"/>
                <w:szCs w:val="16"/>
              </w:rPr>
            </w:pPr>
            <w:r>
              <w:rPr>
                <w:rFonts w:asciiTheme="majorHAnsi" w:hAnsiTheme="majorHAnsi"/>
                <w:sz w:val="16"/>
                <w:szCs w:val="16"/>
              </w:rPr>
              <w:t>BD and MNRET</w:t>
            </w:r>
          </w:p>
        </w:tc>
        <w:tc>
          <w:tcPr>
            <w:tcW w:w="610" w:type="dxa"/>
          </w:tcPr>
          <w:p w14:paraId="42003933" w14:textId="77777777" w:rsidR="00375AE8" w:rsidRPr="00F04D18" w:rsidRDefault="00375AE8" w:rsidP="00F04D18">
            <w:pPr>
              <w:jc w:val="center"/>
              <w:rPr>
                <w:rFonts w:asciiTheme="majorHAnsi" w:hAnsiTheme="majorHAnsi"/>
                <w:sz w:val="16"/>
                <w:szCs w:val="16"/>
              </w:rPr>
            </w:pPr>
          </w:p>
        </w:tc>
        <w:tc>
          <w:tcPr>
            <w:tcW w:w="645" w:type="dxa"/>
          </w:tcPr>
          <w:p w14:paraId="1D9F267B" w14:textId="77777777" w:rsidR="00375AE8" w:rsidRPr="00F04D18" w:rsidRDefault="00375AE8" w:rsidP="00F04D18">
            <w:pPr>
              <w:jc w:val="center"/>
              <w:rPr>
                <w:rFonts w:asciiTheme="majorHAnsi" w:hAnsiTheme="majorHAnsi"/>
                <w:sz w:val="16"/>
                <w:szCs w:val="16"/>
              </w:rPr>
            </w:pPr>
          </w:p>
        </w:tc>
        <w:tc>
          <w:tcPr>
            <w:tcW w:w="690" w:type="dxa"/>
          </w:tcPr>
          <w:p w14:paraId="7D940510" w14:textId="77777777" w:rsidR="00375AE8" w:rsidRPr="00F04D18" w:rsidRDefault="00375AE8" w:rsidP="00F04D18">
            <w:pPr>
              <w:jc w:val="center"/>
              <w:rPr>
                <w:rFonts w:asciiTheme="majorHAnsi" w:hAnsiTheme="majorHAnsi"/>
                <w:sz w:val="16"/>
                <w:szCs w:val="16"/>
              </w:rPr>
            </w:pPr>
          </w:p>
        </w:tc>
        <w:tc>
          <w:tcPr>
            <w:tcW w:w="587" w:type="dxa"/>
            <w:shd w:val="clear" w:color="auto" w:fill="FBD4B4" w:themeFill="accent6" w:themeFillTint="66"/>
          </w:tcPr>
          <w:p w14:paraId="3293227C"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519EC9A2" w14:textId="77777777" w:rsidR="00375AE8" w:rsidRPr="00F04D18" w:rsidRDefault="00375AE8" w:rsidP="00F04D18">
            <w:pPr>
              <w:jc w:val="center"/>
              <w:rPr>
                <w:rFonts w:asciiTheme="majorHAnsi" w:hAnsiTheme="majorHAnsi"/>
                <w:sz w:val="16"/>
                <w:szCs w:val="16"/>
              </w:rPr>
            </w:pPr>
          </w:p>
        </w:tc>
        <w:tc>
          <w:tcPr>
            <w:tcW w:w="540" w:type="dxa"/>
            <w:shd w:val="clear" w:color="auto" w:fill="FBD4B4" w:themeFill="accent6" w:themeFillTint="66"/>
          </w:tcPr>
          <w:p w14:paraId="53AA3CD8"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44ED0103" w14:textId="77777777" w:rsidR="00375AE8" w:rsidRPr="00F04D18" w:rsidRDefault="00375AE8" w:rsidP="00F04D18">
            <w:pPr>
              <w:jc w:val="center"/>
              <w:rPr>
                <w:rFonts w:asciiTheme="majorHAnsi" w:hAnsiTheme="majorHAnsi"/>
                <w:sz w:val="16"/>
                <w:szCs w:val="16"/>
              </w:rPr>
            </w:pPr>
          </w:p>
        </w:tc>
        <w:tc>
          <w:tcPr>
            <w:tcW w:w="534" w:type="dxa"/>
          </w:tcPr>
          <w:p w14:paraId="534CA20F" w14:textId="77777777" w:rsidR="00375AE8" w:rsidRPr="00F04D18" w:rsidRDefault="00375AE8" w:rsidP="00F04D18">
            <w:pPr>
              <w:jc w:val="center"/>
              <w:rPr>
                <w:rFonts w:asciiTheme="majorHAnsi" w:hAnsiTheme="majorHAnsi"/>
                <w:sz w:val="16"/>
                <w:szCs w:val="16"/>
              </w:rPr>
            </w:pPr>
          </w:p>
        </w:tc>
        <w:tc>
          <w:tcPr>
            <w:tcW w:w="690" w:type="dxa"/>
          </w:tcPr>
          <w:p w14:paraId="3DF20EB6" w14:textId="77777777" w:rsidR="00375AE8" w:rsidRPr="00F04D18" w:rsidRDefault="00375AE8" w:rsidP="00F04D18">
            <w:pPr>
              <w:jc w:val="center"/>
              <w:rPr>
                <w:rFonts w:asciiTheme="majorHAnsi" w:hAnsiTheme="majorHAnsi"/>
                <w:sz w:val="16"/>
                <w:szCs w:val="16"/>
              </w:rPr>
            </w:pPr>
          </w:p>
        </w:tc>
        <w:tc>
          <w:tcPr>
            <w:tcW w:w="516" w:type="dxa"/>
          </w:tcPr>
          <w:p w14:paraId="0A2B403A" w14:textId="77777777" w:rsidR="00375AE8" w:rsidRPr="00F04D18" w:rsidRDefault="00375AE8" w:rsidP="00F04D18">
            <w:pPr>
              <w:jc w:val="center"/>
              <w:rPr>
                <w:rFonts w:asciiTheme="majorHAnsi" w:hAnsiTheme="majorHAnsi"/>
                <w:sz w:val="16"/>
                <w:szCs w:val="16"/>
              </w:rPr>
            </w:pPr>
          </w:p>
        </w:tc>
        <w:tc>
          <w:tcPr>
            <w:tcW w:w="690" w:type="dxa"/>
          </w:tcPr>
          <w:p w14:paraId="384B97F5" w14:textId="77777777" w:rsidR="00375AE8" w:rsidRPr="00F04D18" w:rsidRDefault="00375AE8" w:rsidP="00F04D18">
            <w:pPr>
              <w:jc w:val="center"/>
              <w:rPr>
                <w:rFonts w:asciiTheme="majorHAnsi" w:hAnsiTheme="majorHAnsi"/>
                <w:sz w:val="16"/>
                <w:szCs w:val="16"/>
              </w:rPr>
            </w:pPr>
          </w:p>
        </w:tc>
        <w:tc>
          <w:tcPr>
            <w:tcW w:w="513" w:type="dxa"/>
          </w:tcPr>
          <w:p w14:paraId="47117642" w14:textId="77777777" w:rsidR="00375AE8" w:rsidRPr="00F04D18" w:rsidRDefault="00375AE8" w:rsidP="00F04D18">
            <w:pPr>
              <w:jc w:val="center"/>
              <w:rPr>
                <w:rFonts w:asciiTheme="majorHAnsi" w:hAnsiTheme="majorHAnsi"/>
                <w:sz w:val="16"/>
                <w:szCs w:val="16"/>
              </w:rPr>
            </w:pPr>
          </w:p>
        </w:tc>
        <w:tc>
          <w:tcPr>
            <w:tcW w:w="690" w:type="dxa"/>
          </w:tcPr>
          <w:p w14:paraId="03F29D2B" w14:textId="77777777" w:rsidR="00375AE8" w:rsidRPr="00F04D18" w:rsidRDefault="00375AE8" w:rsidP="00F04D18">
            <w:pPr>
              <w:jc w:val="center"/>
              <w:rPr>
                <w:rFonts w:asciiTheme="majorHAnsi" w:hAnsiTheme="majorHAnsi"/>
                <w:sz w:val="16"/>
                <w:szCs w:val="16"/>
              </w:rPr>
            </w:pPr>
          </w:p>
        </w:tc>
      </w:tr>
      <w:tr w:rsidR="00375AE8" w14:paraId="21971DAB" w14:textId="77777777" w:rsidTr="006726A0">
        <w:tc>
          <w:tcPr>
            <w:tcW w:w="1441" w:type="dxa"/>
            <w:vMerge/>
          </w:tcPr>
          <w:p w14:paraId="46D3A174" w14:textId="77777777" w:rsidR="00375AE8" w:rsidRPr="00F04D18" w:rsidRDefault="00375AE8" w:rsidP="00F04D18">
            <w:pPr>
              <w:jc w:val="center"/>
              <w:rPr>
                <w:rFonts w:asciiTheme="majorHAnsi" w:hAnsiTheme="majorHAnsi"/>
                <w:sz w:val="16"/>
                <w:szCs w:val="16"/>
              </w:rPr>
            </w:pPr>
          </w:p>
        </w:tc>
        <w:tc>
          <w:tcPr>
            <w:tcW w:w="1367" w:type="dxa"/>
            <w:vMerge/>
          </w:tcPr>
          <w:p w14:paraId="3FE5B65C" w14:textId="77777777" w:rsidR="00375AE8" w:rsidRPr="00F04D18" w:rsidRDefault="00375AE8" w:rsidP="00F04D18">
            <w:pPr>
              <w:jc w:val="center"/>
              <w:rPr>
                <w:rFonts w:asciiTheme="majorHAnsi" w:hAnsiTheme="majorHAnsi"/>
                <w:sz w:val="16"/>
                <w:szCs w:val="16"/>
              </w:rPr>
            </w:pPr>
          </w:p>
        </w:tc>
        <w:tc>
          <w:tcPr>
            <w:tcW w:w="2414" w:type="dxa"/>
          </w:tcPr>
          <w:p w14:paraId="6A91C262" w14:textId="27592F09" w:rsidR="00375AE8" w:rsidRPr="00F04D18" w:rsidRDefault="00375AE8" w:rsidP="00F04D18">
            <w:pPr>
              <w:jc w:val="center"/>
              <w:rPr>
                <w:rFonts w:asciiTheme="majorHAnsi" w:hAnsiTheme="majorHAnsi"/>
                <w:sz w:val="16"/>
                <w:szCs w:val="16"/>
              </w:rPr>
            </w:pPr>
            <w:r>
              <w:rPr>
                <w:rFonts w:asciiTheme="majorHAnsi" w:hAnsiTheme="majorHAnsi"/>
                <w:sz w:val="16"/>
                <w:szCs w:val="16"/>
              </w:rPr>
              <w:t>Independent review of ILSMPs for alignment with national biosecurity and biodiversity policies</w:t>
            </w:r>
          </w:p>
        </w:tc>
        <w:tc>
          <w:tcPr>
            <w:tcW w:w="1309" w:type="dxa"/>
          </w:tcPr>
          <w:p w14:paraId="74DB1712" w14:textId="3D1F386C" w:rsidR="00375AE8" w:rsidRPr="00F04D18" w:rsidRDefault="00375AE8" w:rsidP="00F04D18">
            <w:pPr>
              <w:jc w:val="center"/>
              <w:rPr>
                <w:rFonts w:asciiTheme="majorHAnsi" w:hAnsiTheme="majorHAnsi"/>
                <w:sz w:val="16"/>
                <w:szCs w:val="16"/>
              </w:rPr>
            </w:pPr>
            <w:r>
              <w:rPr>
                <w:rFonts w:asciiTheme="majorHAnsi" w:hAnsiTheme="majorHAnsi"/>
                <w:sz w:val="16"/>
                <w:szCs w:val="16"/>
              </w:rPr>
              <w:t>MNRET</w:t>
            </w:r>
          </w:p>
        </w:tc>
        <w:tc>
          <w:tcPr>
            <w:tcW w:w="610" w:type="dxa"/>
          </w:tcPr>
          <w:p w14:paraId="1410F5D8" w14:textId="77777777" w:rsidR="00375AE8" w:rsidRPr="00F04D18" w:rsidRDefault="00375AE8" w:rsidP="00F04D18">
            <w:pPr>
              <w:jc w:val="center"/>
              <w:rPr>
                <w:rFonts w:asciiTheme="majorHAnsi" w:hAnsiTheme="majorHAnsi"/>
                <w:sz w:val="16"/>
                <w:szCs w:val="16"/>
              </w:rPr>
            </w:pPr>
          </w:p>
        </w:tc>
        <w:tc>
          <w:tcPr>
            <w:tcW w:w="645" w:type="dxa"/>
          </w:tcPr>
          <w:p w14:paraId="69B40CF3" w14:textId="77777777" w:rsidR="00375AE8" w:rsidRPr="00F04D18" w:rsidRDefault="00375AE8" w:rsidP="00F04D18">
            <w:pPr>
              <w:jc w:val="center"/>
              <w:rPr>
                <w:rFonts w:asciiTheme="majorHAnsi" w:hAnsiTheme="majorHAnsi"/>
                <w:sz w:val="16"/>
                <w:szCs w:val="16"/>
              </w:rPr>
            </w:pPr>
          </w:p>
        </w:tc>
        <w:tc>
          <w:tcPr>
            <w:tcW w:w="690" w:type="dxa"/>
          </w:tcPr>
          <w:p w14:paraId="3B61A9EF" w14:textId="77777777" w:rsidR="00375AE8" w:rsidRPr="00F04D18" w:rsidRDefault="00375AE8" w:rsidP="00F04D18">
            <w:pPr>
              <w:jc w:val="center"/>
              <w:rPr>
                <w:rFonts w:asciiTheme="majorHAnsi" w:hAnsiTheme="majorHAnsi"/>
                <w:sz w:val="16"/>
                <w:szCs w:val="16"/>
              </w:rPr>
            </w:pPr>
          </w:p>
        </w:tc>
        <w:tc>
          <w:tcPr>
            <w:tcW w:w="587" w:type="dxa"/>
          </w:tcPr>
          <w:p w14:paraId="2CC0FFA1"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031B9A1C" w14:textId="77777777" w:rsidR="00375AE8" w:rsidRPr="00F04D18" w:rsidRDefault="00375AE8" w:rsidP="00F04D18">
            <w:pPr>
              <w:jc w:val="center"/>
              <w:rPr>
                <w:rFonts w:asciiTheme="majorHAnsi" w:hAnsiTheme="majorHAnsi"/>
                <w:sz w:val="16"/>
                <w:szCs w:val="16"/>
              </w:rPr>
            </w:pPr>
          </w:p>
        </w:tc>
        <w:tc>
          <w:tcPr>
            <w:tcW w:w="540" w:type="dxa"/>
          </w:tcPr>
          <w:p w14:paraId="54F3D6BF" w14:textId="77777777" w:rsidR="00375AE8" w:rsidRPr="00F04D18" w:rsidRDefault="00375AE8" w:rsidP="00F04D18">
            <w:pPr>
              <w:jc w:val="center"/>
              <w:rPr>
                <w:rFonts w:asciiTheme="majorHAnsi" w:hAnsiTheme="majorHAnsi"/>
                <w:sz w:val="16"/>
                <w:szCs w:val="16"/>
              </w:rPr>
            </w:pPr>
          </w:p>
        </w:tc>
        <w:tc>
          <w:tcPr>
            <w:tcW w:w="690" w:type="dxa"/>
          </w:tcPr>
          <w:p w14:paraId="29824E88" w14:textId="77777777" w:rsidR="00375AE8" w:rsidRPr="00F04D18" w:rsidRDefault="00375AE8" w:rsidP="00F04D18">
            <w:pPr>
              <w:jc w:val="center"/>
              <w:rPr>
                <w:rFonts w:asciiTheme="majorHAnsi" w:hAnsiTheme="majorHAnsi"/>
                <w:sz w:val="16"/>
                <w:szCs w:val="16"/>
              </w:rPr>
            </w:pPr>
          </w:p>
        </w:tc>
        <w:tc>
          <w:tcPr>
            <w:tcW w:w="534" w:type="dxa"/>
          </w:tcPr>
          <w:p w14:paraId="070B8C87" w14:textId="77777777" w:rsidR="00375AE8" w:rsidRPr="00F04D18" w:rsidRDefault="00375AE8" w:rsidP="00F04D18">
            <w:pPr>
              <w:jc w:val="center"/>
              <w:rPr>
                <w:rFonts w:asciiTheme="majorHAnsi" w:hAnsiTheme="majorHAnsi"/>
                <w:sz w:val="16"/>
                <w:szCs w:val="16"/>
              </w:rPr>
            </w:pPr>
          </w:p>
        </w:tc>
        <w:tc>
          <w:tcPr>
            <w:tcW w:w="690" w:type="dxa"/>
          </w:tcPr>
          <w:p w14:paraId="611AD7B4" w14:textId="77777777" w:rsidR="00375AE8" w:rsidRPr="00F04D18" w:rsidRDefault="00375AE8" w:rsidP="00F04D18">
            <w:pPr>
              <w:jc w:val="center"/>
              <w:rPr>
                <w:rFonts w:asciiTheme="majorHAnsi" w:hAnsiTheme="majorHAnsi"/>
                <w:sz w:val="16"/>
                <w:szCs w:val="16"/>
              </w:rPr>
            </w:pPr>
          </w:p>
        </w:tc>
        <w:tc>
          <w:tcPr>
            <w:tcW w:w="516" w:type="dxa"/>
          </w:tcPr>
          <w:p w14:paraId="5DD20B3A" w14:textId="77777777" w:rsidR="00375AE8" w:rsidRPr="00F04D18" w:rsidRDefault="00375AE8" w:rsidP="00F04D18">
            <w:pPr>
              <w:jc w:val="center"/>
              <w:rPr>
                <w:rFonts w:asciiTheme="majorHAnsi" w:hAnsiTheme="majorHAnsi"/>
                <w:sz w:val="16"/>
                <w:szCs w:val="16"/>
              </w:rPr>
            </w:pPr>
          </w:p>
        </w:tc>
        <w:tc>
          <w:tcPr>
            <w:tcW w:w="690" w:type="dxa"/>
          </w:tcPr>
          <w:p w14:paraId="5E058D0E" w14:textId="77777777" w:rsidR="00375AE8" w:rsidRPr="00F04D18" w:rsidRDefault="00375AE8" w:rsidP="00F04D18">
            <w:pPr>
              <w:jc w:val="center"/>
              <w:rPr>
                <w:rFonts w:asciiTheme="majorHAnsi" w:hAnsiTheme="majorHAnsi"/>
                <w:sz w:val="16"/>
                <w:szCs w:val="16"/>
              </w:rPr>
            </w:pPr>
          </w:p>
        </w:tc>
        <w:tc>
          <w:tcPr>
            <w:tcW w:w="513" w:type="dxa"/>
          </w:tcPr>
          <w:p w14:paraId="16013BE3" w14:textId="77777777" w:rsidR="00375AE8" w:rsidRPr="00F04D18" w:rsidRDefault="00375AE8" w:rsidP="00F04D18">
            <w:pPr>
              <w:jc w:val="center"/>
              <w:rPr>
                <w:rFonts w:asciiTheme="majorHAnsi" w:hAnsiTheme="majorHAnsi"/>
                <w:sz w:val="16"/>
                <w:szCs w:val="16"/>
              </w:rPr>
            </w:pPr>
          </w:p>
        </w:tc>
        <w:tc>
          <w:tcPr>
            <w:tcW w:w="690" w:type="dxa"/>
          </w:tcPr>
          <w:p w14:paraId="48633939" w14:textId="77777777" w:rsidR="00375AE8" w:rsidRPr="00F04D18" w:rsidRDefault="00375AE8" w:rsidP="00F04D18">
            <w:pPr>
              <w:jc w:val="center"/>
              <w:rPr>
                <w:rFonts w:asciiTheme="majorHAnsi" w:hAnsiTheme="majorHAnsi"/>
                <w:sz w:val="16"/>
                <w:szCs w:val="16"/>
              </w:rPr>
            </w:pPr>
          </w:p>
        </w:tc>
      </w:tr>
      <w:tr w:rsidR="00375AE8" w14:paraId="40238078" w14:textId="77777777" w:rsidTr="006726A0">
        <w:tc>
          <w:tcPr>
            <w:tcW w:w="1441" w:type="dxa"/>
            <w:vMerge w:val="restart"/>
          </w:tcPr>
          <w:p w14:paraId="1A322610" w14:textId="65975D52" w:rsidR="00375AE8" w:rsidRPr="00F04D18" w:rsidRDefault="00375AE8" w:rsidP="00F04D18">
            <w:pPr>
              <w:jc w:val="center"/>
              <w:rPr>
                <w:rFonts w:asciiTheme="majorHAnsi" w:hAnsiTheme="majorHAnsi"/>
                <w:sz w:val="16"/>
                <w:szCs w:val="16"/>
              </w:rPr>
            </w:pPr>
          </w:p>
        </w:tc>
        <w:tc>
          <w:tcPr>
            <w:tcW w:w="1367" w:type="dxa"/>
            <w:vMerge w:val="restart"/>
          </w:tcPr>
          <w:p w14:paraId="10EAEFE8" w14:textId="16743001" w:rsidR="00375AE8" w:rsidRPr="00F04D18" w:rsidRDefault="00375AE8" w:rsidP="00F04D18">
            <w:pPr>
              <w:jc w:val="center"/>
              <w:rPr>
                <w:rFonts w:asciiTheme="majorHAnsi" w:hAnsiTheme="majorHAnsi"/>
                <w:sz w:val="16"/>
                <w:szCs w:val="16"/>
              </w:rPr>
            </w:pPr>
            <w:r>
              <w:rPr>
                <w:rFonts w:asciiTheme="majorHAnsi" w:hAnsiTheme="majorHAnsi"/>
                <w:sz w:val="16"/>
                <w:szCs w:val="16"/>
              </w:rPr>
              <w:t>Revision of laws and regulations</w:t>
            </w:r>
          </w:p>
        </w:tc>
        <w:tc>
          <w:tcPr>
            <w:tcW w:w="2414" w:type="dxa"/>
          </w:tcPr>
          <w:p w14:paraId="200264AF" w14:textId="125BDE77" w:rsidR="00375AE8" w:rsidRPr="00F04D18" w:rsidRDefault="00375AE8" w:rsidP="006726A0">
            <w:pPr>
              <w:jc w:val="center"/>
              <w:rPr>
                <w:rFonts w:asciiTheme="majorHAnsi" w:hAnsiTheme="majorHAnsi"/>
                <w:sz w:val="16"/>
                <w:szCs w:val="16"/>
              </w:rPr>
            </w:pPr>
            <w:r>
              <w:rPr>
                <w:rFonts w:asciiTheme="majorHAnsi" w:hAnsiTheme="majorHAnsi"/>
                <w:sz w:val="16"/>
                <w:szCs w:val="16"/>
              </w:rPr>
              <w:t>Review state legislation and regulations and drafting new ones to ensure sustainable tourism</w:t>
            </w:r>
          </w:p>
        </w:tc>
        <w:tc>
          <w:tcPr>
            <w:tcW w:w="1309" w:type="dxa"/>
          </w:tcPr>
          <w:p w14:paraId="16DD5968" w14:textId="71C45096" w:rsidR="00375AE8" w:rsidRPr="00F04D18" w:rsidRDefault="00375AE8" w:rsidP="00F04D18">
            <w:pPr>
              <w:jc w:val="center"/>
              <w:rPr>
                <w:rFonts w:asciiTheme="majorHAnsi" w:hAnsiTheme="majorHAnsi"/>
                <w:sz w:val="16"/>
                <w:szCs w:val="16"/>
              </w:rPr>
            </w:pPr>
            <w:r>
              <w:rPr>
                <w:rFonts w:asciiTheme="majorHAnsi" w:hAnsiTheme="majorHAnsi"/>
                <w:sz w:val="16"/>
                <w:szCs w:val="16"/>
              </w:rPr>
              <w:t>MNRET and Koror State</w:t>
            </w:r>
          </w:p>
        </w:tc>
        <w:tc>
          <w:tcPr>
            <w:tcW w:w="610" w:type="dxa"/>
          </w:tcPr>
          <w:p w14:paraId="44BB975D" w14:textId="77777777" w:rsidR="00375AE8" w:rsidRPr="00F04D18" w:rsidRDefault="00375AE8" w:rsidP="00F04D18">
            <w:pPr>
              <w:jc w:val="center"/>
              <w:rPr>
                <w:rFonts w:asciiTheme="majorHAnsi" w:hAnsiTheme="majorHAnsi"/>
                <w:sz w:val="16"/>
                <w:szCs w:val="16"/>
              </w:rPr>
            </w:pPr>
          </w:p>
        </w:tc>
        <w:tc>
          <w:tcPr>
            <w:tcW w:w="645" w:type="dxa"/>
          </w:tcPr>
          <w:p w14:paraId="6BAAA78B" w14:textId="77777777" w:rsidR="00375AE8" w:rsidRPr="00F04D18" w:rsidRDefault="00375AE8" w:rsidP="00F04D18">
            <w:pPr>
              <w:jc w:val="center"/>
              <w:rPr>
                <w:rFonts w:asciiTheme="majorHAnsi" w:hAnsiTheme="majorHAnsi"/>
                <w:sz w:val="16"/>
                <w:szCs w:val="16"/>
              </w:rPr>
            </w:pPr>
          </w:p>
        </w:tc>
        <w:tc>
          <w:tcPr>
            <w:tcW w:w="690" w:type="dxa"/>
          </w:tcPr>
          <w:p w14:paraId="0CEA7AC2" w14:textId="77777777" w:rsidR="00375AE8" w:rsidRPr="00F04D18" w:rsidRDefault="00375AE8" w:rsidP="00F04D18">
            <w:pPr>
              <w:jc w:val="center"/>
              <w:rPr>
                <w:rFonts w:asciiTheme="majorHAnsi" w:hAnsiTheme="majorHAnsi"/>
                <w:sz w:val="16"/>
                <w:szCs w:val="16"/>
              </w:rPr>
            </w:pPr>
          </w:p>
        </w:tc>
        <w:tc>
          <w:tcPr>
            <w:tcW w:w="587" w:type="dxa"/>
            <w:shd w:val="clear" w:color="auto" w:fill="FBD4B4" w:themeFill="accent6" w:themeFillTint="66"/>
          </w:tcPr>
          <w:p w14:paraId="1A741050"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71A28A80" w14:textId="77777777" w:rsidR="00375AE8" w:rsidRPr="00F04D18" w:rsidRDefault="00375AE8" w:rsidP="00F04D18">
            <w:pPr>
              <w:jc w:val="center"/>
              <w:rPr>
                <w:rFonts w:asciiTheme="majorHAnsi" w:hAnsiTheme="majorHAnsi"/>
                <w:sz w:val="16"/>
                <w:szCs w:val="16"/>
              </w:rPr>
            </w:pPr>
          </w:p>
        </w:tc>
        <w:tc>
          <w:tcPr>
            <w:tcW w:w="540" w:type="dxa"/>
            <w:shd w:val="clear" w:color="auto" w:fill="auto"/>
          </w:tcPr>
          <w:p w14:paraId="03A84E9C" w14:textId="77777777" w:rsidR="00375AE8" w:rsidRPr="00F04D18" w:rsidRDefault="00375AE8" w:rsidP="00F04D18">
            <w:pPr>
              <w:jc w:val="center"/>
              <w:rPr>
                <w:rFonts w:asciiTheme="majorHAnsi" w:hAnsiTheme="majorHAnsi"/>
                <w:sz w:val="16"/>
                <w:szCs w:val="16"/>
              </w:rPr>
            </w:pPr>
          </w:p>
        </w:tc>
        <w:tc>
          <w:tcPr>
            <w:tcW w:w="690" w:type="dxa"/>
            <w:shd w:val="clear" w:color="auto" w:fill="auto"/>
          </w:tcPr>
          <w:p w14:paraId="6ADC5EC2" w14:textId="77777777" w:rsidR="00375AE8" w:rsidRPr="00F04D18" w:rsidRDefault="00375AE8" w:rsidP="00F04D18">
            <w:pPr>
              <w:jc w:val="center"/>
              <w:rPr>
                <w:rFonts w:asciiTheme="majorHAnsi" w:hAnsiTheme="majorHAnsi"/>
                <w:sz w:val="16"/>
                <w:szCs w:val="16"/>
              </w:rPr>
            </w:pPr>
          </w:p>
        </w:tc>
        <w:tc>
          <w:tcPr>
            <w:tcW w:w="534" w:type="dxa"/>
          </w:tcPr>
          <w:p w14:paraId="232C1923" w14:textId="77777777" w:rsidR="00375AE8" w:rsidRPr="00F04D18" w:rsidRDefault="00375AE8" w:rsidP="00F04D18">
            <w:pPr>
              <w:jc w:val="center"/>
              <w:rPr>
                <w:rFonts w:asciiTheme="majorHAnsi" w:hAnsiTheme="majorHAnsi"/>
                <w:sz w:val="16"/>
                <w:szCs w:val="16"/>
              </w:rPr>
            </w:pPr>
          </w:p>
        </w:tc>
        <w:tc>
          <w:tcPr>
            <w:tcW w:w="690" w:type="dxa"/>
          </w:tcPr>
          <w:p w14:paraId="6DCD137A" w14:textId="77777777" w:rsidR="00375AE8" w:rsidRPr="00F04D18" w:rsidRDefault="00375AE8" w:rsidP="00F04D18">
            <w:pPr>
              <w:jc w:val="center"/>
              <w:rPr>
                <w:rFonts w:asciiTheme="majorHAnsi" w:hAnsiTheme="majorHAnsi"/>
                <w:sz w:val="16"/>
                <w:szCs w:val="16"/>
              </w:rPr>
            </w:pPr>
          </w:p>
        </w:tc>
        <w:tc>
          <w:tcPr>
            <w:tcW w:w="516" w:type="dxa"/>
          </w:tcPr>
          <w:p w14:paraId="6F711F43" w14:textId="77777777" w:rsidR="00375AE8" w:rsidRPr="00F04D18" w:rsidRDefault="00375AE8" w:rsidP="00F04D18">
            <w:pPr>
              <w:jc w:val="center"/>
              <w:rPr>
                <w:rFonts w:asciiTheme="majorHAnsi" w:hAnsiTheme="majorHAnsi"/>
                <w:sz w:val="16"/>
                <w:szCs w:val="16"/>
              </w:rPr>
            </w:pPr>
          </w:p>
        </w:tc>
        <w:tc>
          <w:tcPr>
            <w:tcW w:w="690" w:type="dxa"/>
          </w:tcPr>
          <w:p w14:paraId="61C93590" w14:textId="77777777" w:rsidR="00375AE8" w:rsidRPr="00F04D18" w:rsidRDefault="00375AE8" w:rsidP="00F04D18">
            <w:pPr>
              <w:jc w:val="center"/>
              <w:rPr>
                <w:rFonts w:asciiTheme="majorHAnsi" w:hAnsiTheme="majorHAnsi"/>
                <w:sz w:val="16"/>
                <w:szCs w:val="16"/>
              </w:rPr>
            </w:pPr>
          </w:p>
        </w:tc>
        <w:tc>
          <w:tcPr>
            <w:tcW w:w="513" w:type="dxa"/>
          </w:tcPr>
          <w:p w14:paraId="7F18C8A0" w14:textId="77777777" w:rsidR="00375AE8" w:rsidRPr="00F04D18" w:rsidRDefault="00375AE8" w:rsidP="00F04D18">
            <w:pPr>
              <w:jc w:val="center"/>
              <w:rPr>
                <w:rFonts w:asciiTheme="majorHAnsi" w:hAnsiTheme="majorHAnsi"/>
                <w:sz w:val="16"/>
                <w:szCs w:val="16"/>
              </w:rPr>
            </w:pPr>
          </w:p>
        </w:tc>
        <w:tc>
          <w:tcPr>
            <w:tcW w:w="690" w:type="dxa"/>
          </w:tcPr>
          <w:p w14:paraId="74D590DE" w14:textId="77777777" w:rsidR="00375AE8" w:rsidRPr="00F04D18" w:rsidRDefault="00375AE8" w:rsidP="00F04D18">
            <w:pPr>
              <w:jc w:val="center"/>
              <w:rPr>
                <w:rFonts w:asciiTheme="majorHAnsi" w:hAnsiTheme="majorHAnsi"/>
                <w:sz w:val="16"/>
                <w:szCs w:val="16"/>
              </w:rPr>
            </w:pPr>
          </w:p>
        </w:tc>
      </w:tr>
      <w:tr w:rsidR="00375AE8" w14:paraId="1AE767A4" w14:textId="77777777" w:rsidTr="006726A0">
        <w:tc>
          <w:tcPr>
            <w:tcW w:w="1441" w:type="dxa"/>
            <w:vMerge/>
          </w:tcPr>
          <w:p w14:paraId="2D04641F" w14:textId="77777777" w:rsidR="00375AE8" w:rsidRPr="00F04D18" w:rsidRDefault="00375AE8" w:rsidP="00F04D18">
            <w:pPr>
              <w:jc w:val="center"/>
              <w:rPr>
                <w:rFonts w:asciiTheme="majorHAnsi" w:hAnsiTheme="majorHAnsi"/>
                <w:sz w:val="16"/>
                <w:szCs w:val="16"/>
              </w:rPr>
            </w:pPr>
          </w:p>
        </w:tc>
        <w:tc>
          <w:tcPr>
            <w:tcW w:w="1367" w:type="dxa"/>
            <w:vMerge/>
          </w:tcPr>
          <w:p w14:paraId="1C81BBA7" w14:textId="77777777" w:rsidR="00375AE8" w:rsidRPr="00F04D18" w:rsidRDefault="00375AE8" w:rsidP="00F04D18">
            <w:pPr>
              <w:jc w:val="center"/>
              <w:rPr>
                <w:rFonts w:asciiTheme="majorHAnsi" w:hAnsiTheme="majorHAnsi"/>
                <w:sz w:val="16"/>
                <w:szCs w:val="16"/>
              </w:rPr>
            </w:pPr>
          </w:p>
        </w:tc>
        <w:tc>
          <w:tcPr>
            <w:tcW w:w="2414" w:type="dxa"/>
          </w:tcPr>
          <w:p w14:paraId="3808A699" w14:textId="50E7C35E" w:rsidR="00375AE8" w:rsidRPr="00F04D18" w:rsidRDefault="00375AE8" w:rsidP="00F04D18">
            <w:pPr>
              <w:jc w:val="center"/>
              <w:rPr>
                <w:rFonts w:asciiTheme="majorHAnsi" w:hAnsiTheme="majorHAnsi"/>
                <w:sz w:val="16"/>
                <w:szCs w:val="16"/>
              </w:rPr>
            </w:pPr>
            <w:r>
              <w:rPr>
                <w:rFonts w:asciiTheme="majorHAnsi" w:hAnsiTheme="majorHAnsi"/>
                <w:sz w:val="16"/>
                <w:szCs w:val="16"/>
              </w:rPr>
              <w:t>Update rules and guidelines for environmentally friendly practices, including biosecurity and IAS management</w:t>
            </w:r>
          </w:p>
        </w:tc>
        <w:tc>
          <w:tcPr>
            <w:tcW w:w="1309" w:type="dxa"/>
          </w:tcPr>
          <w:p w14:paraId="3EEC0683" w14:textId="13548407" w:rsidR="00375AE8" w:rsidRPr="00F04D18" w:rsidRDefault="00375AE8" w:rsidP="00F04D18">
            <w:pPr>
              <w:jc w:val="center"/>
              <w:rPr>
                <w:rFonts w:asciiTheme="majorHAnsi" w:hAnsiTheme="majorHAnsi"/>
                <w:sz w:val="16"/>
                <w:szCs w:val="16"/>
              </w:rPr>
            </w:pPr>
            <w:r>
              <w:rPr>
                <w:rFonts w:asciiTheme="majorHAnsi" w:hAnsiTheme="majorHAnsi"/>
                <w:sz w:val="16"/>
                <w:szCs w:val="16"/>
              </w:rPr>
              <w:t>MNRET and Koror State</w:t>
            </w:r>
          </w:p>
        </w:tc>
        <w:tc>
          <w:tcPr>
            <w:tcW w:w="610" w:type="dxa"/>
          </w:tcPr>
          <w:p w14:paraId="7FC29BA3" w14:textId="77777777" w:rsidR="00375AE8" w:rsidRPr="00F04D18" w:rsidRDefault="00375AE8" w:rsidP="00F04D18">
            <w:pPr>
              <w:jc w:val="center"/>
              <w:rPr>
                <w:rFonts w:asciiTheme="majorHAnsi" w:hAnsiTheme="majorHAnsi"/>
                <w:sz w:val="16"/>
                <w:szCs w:val="16"/>
              </w:rPr>
            </w:pPr>
          </w:p>
        </w:tc>
        <w:tc>
          <w:tcPr>
            <w:tcW w:w="645" w:type="dxa"/>
          </w:tcPr>
          <w:p w14:paraId="67D9CA6D" w14:textId="77777777" w:rsidR="00375AE8" w:rsidRPr="00F04D18" w:rsidRDefault="00375AE8" w:rsidP="00F04D18">
            <w:pPr>
              <w:jc w:val="center"/>
              <w:rPr>
                <w:rFonts w:asciiTheme="majorHAnsi" w:hAnsiTheme="majorHAnsi"/>
                <w:sz w:val="16"/>
                <w:szCs w:val="16"/>
              </w:rPr>
            </w:pPr>
          </w:p>
        </w:tc>
        <w:tc>
          <w:tcPr>
            <w:tcW w:w="690" w:type="dxa"/>
          </w:tcPr>
          <w:p w14:paraId="2937AE83" w14:textId="77777777" w:rsidR="00375AE8" w:rsidRPr="00F04D18" w:rsidRDefault="00375AE8" w:rsidP="00F04D18">
            <w:pPr>
              <w:jc w:val="center"/>
              <w:rPr>
                <w:rFonts w:asciiTheme="majorHAnsi" w:hAnsiTheme="majorHAnsi"/>
                <w:sz w:val="16"/>
                <w:szCs w:val="16"/>
              </w:rPr>
            </w:pPr>
          </w:p>
        </w:tc>
        <w:tc>
          <w:tcPr>
            <w:tcW w:w="587" w:type="dxa"/>
          </w:tcPr>
          <w:p w14:paraId="582E952E"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0E1DEB64" w14:textId="77777777" w:rsidR="00375AE8" w:rsidRPr="00F04D18" w:rsidRDefault="00375AE8" w:rsidP="00F04D18">
            <w:pPr>
              <w:jc w:val="center"/>
              <w:rPr>
                <w:rFonts w:asciiTheme="majorHAnsi" w:hAnsiTheme="majorHAnsi"/>
                <w:sz w:val="16"/>
                <w:szCs w:val="16"/>
              </w:rPr>
            </w:pPr>
          </w:p>
        </w:tc>
        <w:tc>
          <w:tcPr>
            <w:tcW w:w="540" w:type="dxa"/>
            <w:shd w:val="clear" w:color="auto" w:fill="FBD4B4" w:themeFill="accent6" w:themeFillTint="66"/>
          </w:tcPr>
          <w:p w14:paraId="2CDC2176" w14:textId="77777777" w:rsidR="00375AE8" w:rsidRPr="00F04D18" w:rsidRDefault="00375AE8" w:rsidP="00F04D18">
            <w:pPr>
              <w:jc w:val="center"/>
              <w:rPr>
                <w:rFonts w:asciiTheme="majorHAnsi" w:hAnsiTheme="majorHAnsi"/>
                <w:sz w:val="16"/>
                <w:szCs w:val="16"/>
              </w:rPr>
            </w:pPr>
          </w:p>
        </w:tc>
        <w:tc>
          <w:tcPr>
            <w:tcW w:w="690" w:type="dxa"/>
          </w:tcPr>
          <w:p w14:paraId="13FC864F" w14:textId="77777777" w:rsidR="00375AE8" w:rsidRPr="00F04D18" w:rsidRDefault="00375AE8" w:rsidP="00F04D18">
            <w:pPr>
              <w:jc w:val="center"/>
              <w:rPr>
                <w:rFonts w:asciiTheme="majorHAnsi" w:hAnsiTheme="majorHAnsi"/>
                <w:sz w:val="16"/>
                <w:szCs w:val="16"/>
              </w:rPr>
            </w:pPr>
          </w:p>
        </w:tc>
        <w:tc>
          <w:tcPr>
            <w:tcW w:w="534" w:type="dxa"/>
          </w:tcPr>
          <w:p w14:paraId="59B94164" w14:textId="77777777" w:rsidR="00375AE8" w:rsidRPr="00F04D18" w:rsidRDefault="00375AE8" w:rsidP="00F04D18">
            <w:pPr>
              <w:jc w:val="center"/>
              <w:rPr>
                <w:rFonts w:asciiTheme="majorHAnsi" w:hAnsiTheme="majorHAnsi"/>
                <w:sz w:val="16"/>
                <w:szCs w:val="16"/>
              </w:rPr>
            </w:pPr>
          </w:p>
        </w:tc>
        <w:tc>
          <w:tcPr>
            <w:tcW w:w="690" w:type="dxa"/>
          </w:tcPr>
          <w:p w14:paraId="330E781D" w14:textId="77777777" w:rsidR="00375AE8" w:rsidRPr="00F04D18" w:rsidRDefault="00375AE8" w:rsidP="00F04D18">
            <w:pPr>
              <w:jc w:val="center"/>
              <w:rPr>
                <w:rFonts w:asciiTheme="majorHAnsi" w:hAnsiTheme="majorHAnsi"/>
                <w:sz w:val="16"/>
                <w:szCs w:val="16"/>
              </w:rPr>
            </w:pPr>
          </w:p>
        </w:tc>
        <w:tc>
          <w:tcPr>
            <w:tcW w:w="516" w:type="dxa"/>
          </w:tcPr>
          <w:p w14:paraId="4D22C1C2" w14:textId="77777777" w:rsidR="00375AE8" w:rsidRPr="00F04D18" w:rsidRDefault="00375AE8" w:rsidP="00F04D18">
            <w:pPr>
              <w:jc w:val="center"/>
              <w:rPr>
                <w:rFonts w:asciiTheme="majorHAnsi" w:hAnsiTheme="majorHAnsi"/>
                <w:sz w:val="16"/>
                <w:szCs w:val="16"/>
              </w:rPr>
            </w:pPr>
          </w:p>
        </w:tc>
        <w:tc>
          <w:tcPr>
            <w:tcW w:w="690" w:type="dxa"/>
          </w:tcPr>
          <w:p w14:paraId="4970056B" w14:textId="77777777" w:rsidR="00375AE8" w:rsidRPr="00F04D18" w:rsidRDefault="00375AE8" w:rsidP="00F04D18">
            <w:pPr>
              <w:jc w:val="center"/>
              <w:rPr>
                <w:rFonts w:asciiTheme="majorHAnsi" w:hAnsiTheme="majorHAnsi"/>
                <w:sz w:val="16"/>
                <w:szCs w:val="16"/>
              </w:rPr>
            </w:pPr>
          </w:p>
        </w:tc>
        <w:tc>
          <w:tcPr>
            <w:tcW w:w="513" w:type="dxa"/>
          </w:tcPr>
          <w:p w14:paraId="698CC0D2" w14:textId="77777777" w:rsidR="00375AE8" w:rsidRPr="00F04D18" w:rsidRDefault="00375AE8" w:rsidP="00F04D18">
            <w:pPr>
              <w:jc w:val="center"/>
              <w:rPr>
                <w:rFonts w:asciiTheme="majorHAnsi" w:hAnsiTheme="majorHAnsi"/>
                <w:sz w:val="16"/>
                <w:szCs w:val="16"/>
              </w:rPr>
            </w:pPr>
          </w:p>
        </w:tc>
        <w:tc>
          <w:tcPr>
            <w:tcW w:w="690" w:type="dxa"/>
          </w:tcPr>
          <w:p w14:paraId="57CE2828" w14:textId="77777777" w:rsidR="00375AE8" w:rsidRPr="00F04D18" w:rsidRDefault="00375AE8" w:rsidP="00F04D18">
            <w:pPr>
              <w:jc w:val="center"/>
              <w:rPr>
                <w:rFonts w:asciiTheme="majorHAnsi" w:hAnsiTheme="majorHAnsi"/>
                <w:sz w:val="16"/>
                <w:szCs w:val="16"/>
              </w:rPr>
            </w:pPr>
          </w:p>
        </w:tc>
      </w:tr>
      <w:tr w:rsidR="00375AE8" w14:paraId="60C8E0DC" w14:textId="77777777" w:rsidTr="00DB0EAB">
        <w:tc>
          <w:tcPr>
            <w:tcW w:w="1441" w:type="dxa"/>
            <w:vMerge/>
          </w:tcPr>
          <w:p w14:paraId="320E63C7" w14:textId="77777777" w:rsidR="00375AE8" w:rsidRPr="00F04D18" w:rsidRDefault="00375AE8" w:rsidP="00F04D18">
            <w:pPr>
              <w:jc w:val="center"/>
              <w:rPr>
                <w:rFonts w:asciiTheme="majorHAnsi" w:hAnsiTheme="majorHAnsi"/>
                <w:sz w:val="16"/>
                <w:szCs w:val="16"/>
              </w:rPr>
            </w:pPr>
          </w:p>
        </w:tc>
        <w:tc>
          <w:tcPr>
            <w:tcW w:w="1367" w:type="dxa"/>
            <w:vMerge w:val="restart"/>
          </w:tcPr>
          <w:p w14:paraId="6D16A7A0" w14:textId="4A93BAFE" w:rsidR="00375AE8" w:rsidRPr="00F04D18" w:rsidRDefault="00375AE8" w:rsidP="00F04D18">
            <w:pPr>
              <w:jc w:val="center"/>
              <w:rPr>
                <w:rFonts w:asciiTheme="majorHAnsi" w:hAnsiTheme="majorHAnsi"/>
                <w:sz w:val="16"/>
                <w:szCs w:val="16"/>
              </w:rPr>
            </w:pPr>
            <w:r>
              <w:rPr>
                <w:rFonts w:asciiTheme="majorHAnsi" w:hAnsiTheme="majorHAnsi"/>
                <w:sz w:val="16"/>
                <w:szCs w:val="16"/>
              </w:rPr>
              <w:t>Planning for sustainable tourism</w:t>
            </w:r>
          </w:p>
        </w:tc>
        <w:tc>
          <w:tcPr>
            <w:tcW w:w="2414" w:type="dxa"/>
          </w:tcPr>
          <w:p w14:paraId="19299944" w14:textId="4D597AA2" w:rsidR="00375AE8" w:rsidRPr="00F04D18" w:rsidRDefault="00375AE8" w:rsidP="00F04D18">
            <w:pPr>
              <w:jc w:val="center"/>
              <w:rPr>
                <w:rFonts w:asciiTheme="majorHAnsi" w:hAnsiTheme="majorHAnsi"/>
                <w:sz w:val="16"/>
                <w:szCs w:val="16"/>
              </w:rPr>
            </w:pPr>
            <w:r>
              <w:rPr>
                <w:rFonts w:asciiTheme="majorHAnsi" w:hAnsiTheme="majorHAnsi"/>
                <w:sz w:val="16"/>
                <w:szCs w:val="16"/>
              </w:rPr>
              <w:t>Integrate biodiversity and biosecurity aspects into tourism framework</w:t>
            </w:r>
          </w:p>
        </w:tc>
        <w:tc>
          <w:tcPr>
            <w:tcW w:w="1309" w:type="dxa"/>
          </w:tcPr>
          <w:p w14:paraId="6BE98E28" w14:textId="2C59CBFF" w:rsidR="00375AE8" w:rsidRPr="00F04D18" w:rsidRDefault="00375AE8" w:rsidP="00F04D18">
            <w:pPr>
              <w:jc w:val="center"/>
              <w:rPr>
                <w:rFonts w:asciiTheme="majorHAnsi" w:hAnsiTheme="majorHAnsi"/>
                <w:sz w:val="16"/>
                <w:szCs w:val="16"/>
              </w:rPr>
            </w:pPr>
            <w:r>
              <w:rPr>
                <w:rFonts w:asciiTheme="majorHAnsi" w:hAnsiTheme="majorHAnsi"/>
                <w:sz w:val="16"/>
                <w:szCs w:val="16"/>
              </w:rPr>
              <w:t>Koror State</w:t>
            </w:r>
          </w:p>
        </w:tc>
        <w:tc>
          <w:tcPr>
            <w:tcW w:w="610" w:type="dxa"/>
          </w:tcPr>
          <w:p w14:paraId="79FF872B" w14:textId="77777777" w:rsidR="00375AE8" w:rsidRPr="00F04D18" w:rsidRDefault="00375AE8" w:rsidP="00F04D18">
            <w:pPr>
              <w:jc w:val="center"/>
              <w:rPr>
                <w:rFonts w:asciiTheme="majorHAnsi" w:hAnsiTheme="majorHAnsi"/>
                <w:sz w:val="16"/>
                <w:szCs w:val="16"/>
              </w:rPr>
            </w:pPr>
          </w:p>
        </w:tc>
        <w:tc>
          <w:tcPr>
            <w:tcW w:w="645" w:type="dxa"/>
          </w:tcPr>
          <w:p w14:paraId="5AF17986" w14:textId="77777777" w:rsidR="00375AE8" w:rsidRPr="00F04D18" w:rsidRDefault="00375AE8" w:rsidP="00F04D18">
            <w:pPr>
              <w:jc w:val="center"/>
              <w:rPr>
                <w:rFonts w:asciiTheme="majorHAnsi" w:hAnsiTheme="majorHAnsi"/>
                <w:sz w:val="16"/>
                <w:szCs w:val="16"/>
              </w:rPr>
            </w:pPr>
          </w:p>
        </w:tc>
        <w:tc>
          <w:tcPr>
            <w:tcW w:w="690" w:type="dxa"/>
          </w:tcPr>
          <w:p w14:paraId="7CD00216" w14:textId="77777777" w:rsidR="00375AE8" w:rsidRPr="00F04D18" w:rsidRDefault="00375AE8" w:rsidP="00F04D18">
            <w:pPr>
              <w:jc w:val="center"/>
              <w:rPr>
                <w:rFonts w:asciiTheme="majorHAnsi" w:hAnsiTheme="majorHAnsi"/>
                <w:sz w:val="16"/>
                <w:szCs w:val="16"/>
              </w:rPr>
            </w:pPr>
          </w:p>
        </w:tc>
        <w:tc>
          <w:tcPr>
            <w:tcW w:w="587" w:type="dxa"/>
          </w:tcPr>
          <w:p w14:paraId="52ED0239" w14:textId="77777777" w:rsidR="00375AE8" w:rsidRPr="00F04D18" w:rsidRDefault="00375AE8" w:rsidP="00F04D18">
            <w:pPr>
              <w:jc w:val="center"/>
              <w:rPr>
                <w:rFonts w:asciiTheme="majorHAnsi" w:hAnsiTheme="majorHAnsi"/>
                <w:sz w:val="16"/>
                <w:szCs w:val="16"/>
              </w:rPr>
            </w:pPr>
          </w:p>
        </w:tc>
        <w:tc>
          <w:tcPr>
            <w:tcW w:w="690" w:type="dxa"/>
          </w:tcPr>
          <w:p w14:paraId="697B24D6" w14:textId="77777777" w:rsidR="00375AE8" w:rsidRPr="00F04D18" w:rsidRDefault="00375AE8" w:rsidP="00F04D18">
            <w:pPr>
              <w:jc w:val="center"/>
              <w:rPr>
                <w:rFonts w:asciiTheme="majorHAnsi" w:hAnsiTheme="majorHAnsi"/>
                <w:sz w:val="16"/>
                <w:szCs w:val="16"/>
              </w:rPr>
            </w:pPr>
          </w:p>
        </w:tc>
        <w:tc>
          <w:tcPr>
            <w:tcW w:w="540" w:type="dxa"/>
            <w:shd w:val="clear" w:color="auto" w:fill="FBD4B4" w:themeFill="accent6" w:themeFillTint="66"/>
          </w:tcPr>
          <w:p w14:paraId="344127AB"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429BA39D" w14:textId="77777777" w:rsidR="00375AE8" w:rsidRPr="00F04D18" w:rsidRDefault="00375AE8" w:rsidP="00F04D18">
            <w:pPr>
              <w:jc w:val="center"/>
              <w:rPr>
                <w:rFonts w:asciiTheme="majorHAnsi" w:hAnsiTheme="majorHAnsi"/>
                <w:sz w:val="16"/>
                <w:szCs w:val="16"/>
              </w:rPr>
            </w:pPr>
          </w:p>
        </w:tc>
        <w:tc>
          <w:tcPr>
            <w:tcW w:w="534" w:type="dxa"/>
          </w:tcPr>
          <w:p w14:paraId="67E0855D" w14:textId="77777777" w:rsidR="00375AE8" w:rsidRPr="00F04D18" w:rsidRDefault="00375AE8" w:rsidP="00F04D18">
            <w:pPr>
              <w:jc w:val="center"/>
              <w:rPr>
                <w:rFonts w:asciiTheme="majorHAnsi" w:hAnsiTheme="majorHAnsi"/>
                <w:sz w:val="16"/>
                <w:szCs w:val="16"/>
              </w:rPr>
            </w:pPr>
          </w:p>
        </w:tc>
        <w:tc>
          <w:tcPr>
            <w:tcW w:w="690" w:type="dxa"/>
          </w:tcPr>
          <w:p w14:paraId="2B693DFE" w14:textId="77777777" w:rsidR="00375AE8" w:rsidRPr="00F04D18" w:rsidRDefault="00375AE8" w:rsidP="00F04D18">
            <w:pPr>
              <w:jc w:val="center"/>
              <w:rPr>
                <w:rFonts w:asciiTheme="majorHAnsi" w:hAnsiTheme="majorHAnsi"/>
                <w:sz w:val="16"/>
                <w:szCs w:val="16"/>
              </w:rPr>
            </w:pPr>
          </w:p>
        </w:tc>
        <w:tc>
          <w:tcPr>
            <w:tcW w:w="516" w:type="dxa"/>
          </w:tcPr>
          <w:p w14:paraId="7F7C00C0" w14:textId="77777777" w:rsidR="00375AE8" w:rsidRPr="00F04D18" w:rsidRDefault="00375AE8" w:rsidP="00F04D18">
            <w:pPr>
              <w:jc w:val="center"/>
              <w:rPr>
                <w:rFonts w:asciiTheme="majorHAnsi" w:hAnsiTheme="majorHAnsi"/>
                <w:sz w:val="16"/>
                <w:szCs w:val="16"/>
              </w:rPr>
            </w:pPr>
          </w:p>
        </w:tc>
        <w:tc>
          <w:tcPr>
            <w:tcW w:w="690" w:type="dxa"/>
          </w:tcPr>
          <w:p w14:paraId="5335D0E4" w14:textId="77777777" w:rsidR="00375AE8" w:rsidRPr="00F04D18" w:rsidRDefault="00375AE8" w:rsidP="00F04D18">
            <w:pPr>
              <w:jc w:val="center"/>
              <w:rPr>
                <w:rFonts w:asciiTheme="majorHAnsi" w:hAnsiTheme="majorHAnsi"/>
                <w:sz w:val="16"/>
                <w:szCs w:val="16"/>
              </w:rPr>
            </w:pPr>
          </w:p>
        </w:tc>
        <w:tc>
          <w:tcPr>
            <w:tcW w:w="513" w:type="dxa"/>
          </w:tcPr>
          <w:p w14:paraId="529BA081" w14:textId="77777777" w:rsidR="00375AE8" w:rsidRPr="00F04D18" w:rsidRDefault="00375AE8" w:rsidP="00F04D18">
            <w:pPr>
              <w:jc w:val="center"/>
              <w:rPr>
                <w:rFonts w:asciiTheme="majorHAnsi" w:hAnsiTheme="majorHAnsi"/>
                <w:sz w:val="16"/>
                <w:szCs w:val="16"/>
              </w:rPr>
            </w:pPr>
          </w:p>
        </w:tc>
        <w:tc>
          <w:tcPr>
            <w:tcW w:w="690" w:type="dxa"/>
          </w:tcPr>
          <w:p w14:paraId="3769615C" w14:textId="77777777" w:rsidR="00375AE8" w:rsidRPr="00F04D18" w:rsidRDefault="00375AE8" w:rsidP="00F04D18">
            <w:pPr>
              <w:jc w:val="center"/>
              <w:rPr>
                <w:rFonts w:asciiTheme="majorHAnsi" w:hAnsiTheme="majorHAnsi"/>
                <w:sz w:val="16"/>
                <w:szCs w:val="16"/>
              </w:rPr>
            </w:pPr>
          </w:p>
        </w:tc>
      </w:tr>
      <w:tr w:rsidR="00375AE8" w14:paraId="15DCF276" w14:textId="77777777" w:rsidTr="00DB0EAB">
        <w:tc>
          <w:tcPr>
            <w:tcW w:w="1441" w:type="dxa"/>
            <w:vMerge/>
          </w:tcPr>
          <w:p w14:paraId="3FEA1B9A" w14:textId="77777777" w:rsidR="00375AE8" w:rsidRPr="00F04D18" w:rsidRDefault="00375AE8" w:rsidP="00F04D18">
            <w:pPr>
              <w:jc w:val="center"/>
              <w:rPr>
                <w:rFonts w:asciiTheme="majorHAnsi" w:hAnsiTheme="majorHAnsi"/>
                <w:sz w:val="16"/>
                <w:szCs w:val="16"/>
              </w:rPr>
            </w:pPr>
          </w:p>
        </w:tc>
        <w:tc>
          <w:tcPr>
            <w:tcW w:w="1367" w:type="dxa"/>
            <w:vMerge/>
          </w:tcPr>
          <w:p w14:paraId="1331B811" w14:textId="77777777" w:rsidR="00375AE8" w:rsidRPr="00F04D18" w:rsidRDefault="00375AE8" w:rsidP="00F04D18">
            <w:pPr>
              <w:jc w:val="center"/>
              <w:rPr>
                <w:rFonts w:asciiTheme="majorHAnsi" w:hAnsiTheme="majorHAnsi"/>
                <w:sz w:val="16"/>
                <w:szCs w:val="16"/>
              </w:rPr>
            </w:pPr>
          </w:p>
        </w:tc>
        <w:tc>
          <w:tcPr>
            <w:tcW w:w="2414" w:type="dxa"/>
          </w:tcPr>
          <w:p w14:paraId="756F24D6" w14:textId="31005BAE" w:rsidR="00375AE8" w:rsidRPr="00F04D18" w:rsidRDefault="00375AE8" w:rsidP="00F04D18">
            <w:pPr>
              <w:jc w:val="center"/>
              <w:rPr>
                <w:rFonts w:asciiTheme="majorHAnsi" w:hAnsiTheme="majorHAnsi"/>
                <w:sz w:val="16"/>
                <w:szCs w:val="16"/>
              </w:rPr>
            </w:pPr>
            <w:r>
              <w:rPr>
                <w:rFonts w:asciiTheme="majorHAnsi" w:hAnsiTheme="majorHAnsi"/>
                <w:sz w:val="16"/>
                <w:szCs w:val="16"/>
              </w:rPr>
              <w:t>Design and implementation of biosecurity protocols in tourism</w:t>
            </w:r>
          </w:p>
        </w:tc>
        <w:tc>
          <w:tcPr>
            <w:tcW w:w="1309" w:type="dxa"/>
          </w:tcPr>
          <w:p w14:paraId="43E51C94" w14:textId="0BF3CC1C" w:rsidR="00375AE8" w:rsidRPr="00F04D18" w:rsidRDefault="00375AE8" w:rsidP="00F04D18">
            <w:pPr>
              <w:jc w:val="center"/>
              <w:rPr>
                <w:rFonts w:asciiTheme="majorHAnsi" w:hAnsiTheme="majorHAnsi"/>
                <w:sz w:val="16"/>
                <w:szCs w:val="16"/>
              </w:rPr>
            </w:pPr>
            <w:r>
              <w:rPr>
                <w:rFonts w:asciiTheme="majorHAnsi" w:hAnsiTheme="majorHAnsi"/>
                <w:sz w:val="16"/>
                <w:szCs w:val="16"/>
              </w:rPr>
              <w:t>Koror State and NISCO</w:t>
            </w:r>
          </w:p>
        </w:tc>
        <w:tc>
          <w:tcPr>
            <w:tcW w:w="610" w:type="dxa"/>
          </w:tcPr>
          <w:p w14:paraId="478636E7" w14:textId="77777777" w:rsidR="00375AE8" w:rsidRPr="00F04D18" w:rsidRDefault="00375AE8" w:rsidP="00F04D18">
            <w:pPr>
              <w:jc w:val="center"/>
              <w:rPr>
                <w:rFonts w:asciiTheme="majorHAnsi" w:hAnsiTheme="majorHAnsi"/>
                <w:sz w:val="16"/>
                <w:szCs w:val="16"/>
              </w:rPr>
            </w:pPr>
          </w:p>
        </w:tc>
        <w:tc>
          <w:tcPr>
            <w:tcW w:w="645" w:type="dxa"/>
          </w:tcPr>
          <w:p w14:paraId="02F50D4B" w14:textId="77777777" w:rsidR="00375AE8" w:rsidRPr="00F04D18" w:rsidRDefault="00375AE8" w:rsidP="00F04D18">
            <w:pPr>
              <w:jc w:val="center"/>
              <w:rPr>
                <w:rFonts w:asciiTheme="majorHAnsi" w:hAnsiTheme="majorHAnsi"/>
                <w:sz w:val="16"/>
                <w:szCs w:val="16"/>
              </w:rPr>
            </w:pPr>
          </w:p>
        </w:tc>
        <w:tc>
          <w:tcPr>
            <w:tcW w:w="690" w:type="dxa"/>
          </w:tcPr>
          <w:p w14:paraId="0E0BB3C4" w14:textId="77777777" w:rsidR="00375AE8" w:rsidRPr="00F04D18" w:rsidRDefault="00375AE8" w:rsidP="00F04D18">
            <w:pPr>
              <w:jc w:val="center"/>
              <w:rPr>
                <w:rFonts w:asciiTheme="majorHAnsi" w:hAnsiTheme="majorHAnsi"/>
                <w:sz w:val="16"/>
                <w:szCs w:val="16"/>
              </w:rPr>
            </w:pPr>
          </w:p>
        </w:tc>
        <w:tc>
          <w:tcPr>
            <w:tcW w:w="587" w:type="dxa"/>
          </w:tcPr>
          <w:p w14:paraId="71FC1E8C" w14:textId="77777777" w:rsidR="00375AE8" w:rsidRPr="00F04D18" w:rsidRDefault="00375AE8" w:rsidP="00F04D18">
            <w:pPr>
              <w:jc w:val="center"/>
              <w:rPr>
                <w:rFonts w:asciiTheme="majorHAnsi" w:hAnsiTheme="majorHAnsi"/>
                <w:sz w:val="16"/>
                <w:szCs w:val="16"/>
              </w:rPr>
            </w:pPr>
          </w:p>
        </w:tc>
        <w:tc>
          <w:tcPr>
            <w:tcW w:w="690" w:type="dxa"/>
          </w:tcPr>
          <w:p w14:paraId="702CE87A" w14:textId="77777777" w:rsidR="00375AE8" w:rsidRPr="00F04D18" w:rsidRDefault="00375AE8" w:rsidP="00F04D18">
            <w:pPr>
              <w:jc w:val="center"/>
              <w:rPr>
                <w:rFonts w:asciiTheme="majorHAnsi" w:hAnsiTheme="majorHAnsi"/>
                <w:sz w:val="16"/>
                <w:szCs w:val="16"/>
              </w:rPr>
            </w:pPr>
          </w:p>
        </w:tc>
        <w:tc>
          <w:tcPr>
            <w:tcW w:w="540" w:type="dxa"/>
            <w:shd w:val="clear" w:color="auto" w:fill="FBD4B4" w:themeFill="accent6" w:themeFillTint="66"/>
          </w:tcPr>
          <w:p w14:paraId="05DF87D6"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6B6AC56D" w14:textId="77777777" w:rsidR="00375AE8" w:rsidRPr="00F04D18" w:rsidRDefault="00375AE8" w:rsidP="00F04D18">
            <w:pPr>
              <w:jc w:val="center"/>
              <w:rPr>
                <w:rFonts w:asciiTheme="majorHAnsi" w:hAnsiTheme="majorHAnsi"/>
                <w:sz w:val="16"/>
                <w:szCs w:val="16"/>
              </w:rPr>
            </w:pPr>
          </w:p>
        </w:tc>
        <w:tc>
          <w:tcPr>
            <w:tcW w:w="534" w:type="dxa"/>
            <w:shd w:val="clear" w:color="auto" w:fill="FBD4B4" w:themeFill="accent6" w:themeFillTint="66"/>
          </w:tcPr>
          <w:p w14:paraId="7A24D8A3"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7297D0BC" w14:textId="77777777" w:rsidR="00375AE8" w:rsidRPr="00F04D18" w:rsidRDefault="00375AE8" w:rsidP="00F04D18">
            <w:pPr>
              <w:jc w:val="center"/>
              <w:rPr>
                <w:rFonts w:asciiTheme="majorHAnsi" w:hAnsiTheme="majorHAnsi"/>
                <w:sz w:val="16"/>
                <w:szCs w:val="16"/>
              </w:rPr>
            </w:pPr>
          </w:p>
        </w:tc>
        <w:tc>
          <w:tcPr>
            <w:tcW w:w="516" w:type="dxa"/>
          </w:tcPr>
          <w:p w14:paraId="452FAF50" w14:textId="77777777" w:rsidR="00375AE8" w:rsidRPr="00F04D18" w:rsidRDefault="00375AE8" w:rsidP="00F04D18">
            <w:pPr>
              <w:jc w:val="center"/>
              <w:rPr>
                <w:rFonts w:asciiTheme="majorHAnsi" w:hAnsiTheme="majorHAnsi"/>
                <w:sz w:val="16"/>
                <w:szCs w:val="16"/>
              </w:rPr>
            </w:pPr>
          </w:p>
        </w:tc>
        <w:tc>
          <w:tcPr>
            <w:tcW w:w="690" w:type="dxa"/>
          </w:tcPr>
          <w:p w14:paraId="51656302" w14:textId="77777777" w:rsidR="00375AE8" w:rsidRPr="00F04D18" w:rsidRDefault="00375AE8" w:rsidP="00F04D18">
            <w:pPr>
              <w:jc w:val="center"/>
              <w:rPr>
                <w:rFonts w:asciiTheme="majorHAnsi" w:hAnsiTheme="majorHAnsi"/>
                <w:sz w:val="16"/>
                <w:szCs w:val="16"/>
              </w:rPr>
            </w:pPr>
          </w:p>
        </w:tc>
        <w:tc>
          <w:tcPr>
            <w:tcW w:w="513" w:type="dxa"/>
          </w:tcPr>
          <w:p w14:paraId="3994207D" w14:textId="77777777" w:rsidR="00375AE8" w:rsidRPr="00F04D18" w:rsidRDefault="00375AE8" w:rsidP="00F04D18">
            <w:pPr>
              <w:jc w:val="center"/>
              <w:rPr>
                <w:rFonts w:asciiTheme="majorHAnsi" w:hAnsiTheme="majorHAnsi"/>
                <w:sz w:val="16"/>
                <w:szCs w:val="16"/>
              </w:rPr>
            </w:pPr>
          </w:p>
        </w:tc>
        <w:tc>
          <w:tcPr>
            <w:tcW w:w="690" w:type="dxa"/>
          </w:tcPr>
          <w:p w14:paraId="02AF304F" w14:textId="77777777" w:rsidR="00375AE8" w:rsidRPr="00F04D18" w:rsidRDefault="00375AE8" w:rsidP="00F04D18">
            <w:pPr>
              <w:jc w:val="center"/>
              <w:rPr>
                <w:rFonts w:asciiTheme="majorHAnsi" w:hAnsiTheme="majorHAnsi"/>
                <w:sz w:val="16"/>
                <w:szCs w:val="16"/>
              </w:rPr>
            </w:pPr>
          </w:p>
        </w:tc>
      </w:tr>
      <w:tr w:rsidR="00375AE8" w14:paraId="5F94AD9C" w14:textId="77777777" w:rsidTr="00DB0EAB">
        <w:tc>
          <w:tcPr>
            <w:tcW w:w="1441" w:type="dxa"/>
            <w:vMerge/>
          </w:tcPr>
          <w:p w14:paraId="584E4F57" w14:textId="77777777" w:rsidR="00375AE8" w:rsidRPr="00F04D18" w:rsidRDefault="00375AE8" w:rsidP="00F04D18">
            <w:pPr>
              <w:jc w:val="center"/>
              <w:rPr>
                <w:rFonts w:asciiTheme="majorHAnsi" w:hAnsiTheme="majorHAnsi"/>
                <w:sz w:val="16"/>
                <w:szCs w:val="16"/>
              </w:rPr>
            </w:pPr>
          </w:p>
        </w:tc>
        <w:tc>
          <w:tcPr>
            <w:tcW w:w="1367" w:type="dxa"/>
            <w:vMerge/>
          </w:tcPr>
          <w:p w14:paraId="4F46AF78" w14:textId="77777777" w:rsidR="00375AE8" w:rsidRPr="00F04D18" w:rsidRDefault="00375AE8" w:rsidP="00F04D18">
            <w:pPr>
              <w:jc w:val="center"/>
              <w:rPr>
                <w:rFonts w:asciiTheme="majorHAnsi" w:hAnsiTheme="majorHAnsi"/>
                <w:sz w:val="16"/>
                <w:szCs w:val="16"/>
              </w:rPr>
            </w:pPr>
          </w:p>
        </w:tc>
        <w:tc>
          <w:tcPr>
            <w:tcW w:w="2414" w:type="dxa"/>
          </w:tcPr>
          <w:p w14:paraId="65C679E4" w14:textId="7F7DE999" w:rsidR="00375AE8" w:rsidRPr="00F04D18" w:rsidRDefault="00375AE8" w:rsidP="00F04D18">
            <w:pPr>
              <w:jc w:val="center"/>
              <w:rPr>
                <w:rFonts w:asciiTheme="majorHAnsi" w:hAnsiTheme="majorHAnsi"/>
                <w:sz w:val="16"/>
                <w:szCs w:val="16"/>
              </w:rPr>
            </w:pPr>
            <w:r>
              <w:rPr>
                <w:rFonts w:asciiTheme="majorHAnsi" w:hAnsiTheme="majorHAnsi"/>
                <w:sz w:val="16"/>
                <w:szCs w:val="16"/>
              </w:rPr>
              <w:t>Development of improved business planning guidelines protocols and tools</w:t>
            </w:r>
          </w:p>
        </w:tc>
        <w:tc>
          <w:tcPr>
            <w:tcW w:w="1309" w:type="dxa"/>
          </w:tcPr>
          <w:p w14:paraId="0A3EFDDE" w14:textId="22E9F2D0" w:rsidR="00375AE8" w:rsidRPr="00F04D18" w:rsidRDefault="00375AE8" w:rsidP="00F04D18">
            <w:pPr>
              <w:jc w:val="center"/>
              <w:rPr>
                <w:rFonts w:asciiTheme="majorHAnsi" w:hAnsiTheme="majorHAnsi"/>
                <w:sz w:val="16"/>
                <w:szCs w:val="16"/>
              </w:rPr>
            </w:pPr>
            <w:r>
              <w:rPr>
                <w:rFonts w:asciiTheme="majorHAnsi" w:hAnsiTheme="majorHAnsi"/>
                <w:sz w:val="16"/>
                <w:szCs w:val="16"/>
              </w:rPr>
              <w:t>MNRET</w:t>
            </w:r>
          </w:p>
        </w:tc>
        <w:tc>
          <w:tcPr>
            <w:tcW w:w="610" w:type="dxa"/>
          </w:tcPr>
          <w:p w14:paraId="2D9DDF8D" w14:textId="77777777" w:rsidR="00375AE8" w:rsidRPr="00F04D18" w:rsidRDefault="00375AE8" w:rsidP="00F04D18">
            <w:pPr>
              <w:jc w:val="center"/>
              <w:rPr>
                <w:rFonts w:asciiTheme="majorHAnsi" w:hAnsiTheme="majorHAnsi"/>
                <w:sz w:val="16"/>
                <w:szCs w:val="16"/>
              </w:rPr>
            </w:pPr>
          </w:p>
        </w:tc>
        <w:tc>
          <w:tcPr>
            <w:tcW w:w="645" w:type="dxa"/>
          </w:tcPr>
          <w:p w14:paraId="1C95FD04" w14:textId="77777777" w:rsidR="00375AE8" w:rsidRPr="00F04D18" w:rsidRDefault="00375AE8" w:rsidP="00F04D18">
            <w:pPr>
              <w:jc w:val="center"/>
              <w:rPr>
                <w:rFonts w:asciiTheme="majorHAnsi" w:hAnsiTheme="majorHAnsi"/>
                <w:sz w:val="16"/>
                <w:szCs w:val="16"/>
              </w:rPr>
            </w:pPr>
          </w:p>
        </w:tc>
        <w:tc>
          <w:tcPr>
            <w:tcW w:w="690" w:type="dxa"/>
          </w:tcPr>
          <w:p w14:paraId="41183F4C" w14:textId="77777777" w:rsidR="00375AE8" w:rsidRPr="00F04D18" w:rsidRDefault="00375AE8" w:rsidP="00F04D18">
            <w:pPr>
              <w:jc w:val="center"/>
              <w:rPr>
                <w:rFonts w:asciiTheme="majorHAnsi" w:hAnsiTheme="majorHAnsi"/>
                <w:sz w:val="16"/>
                <w:szCs w:val="16"/>
              </w:rPr>
            </w:pPr>
          </w:p>
        </w:tc>
        <w:tc>
          <w:tcPr>
            <w:tcW w:w="587" w:type="dxa"/>
          </w:tcPr>
          <w:p w14:paraId="5A410CF7" w14:textId="77777777" w:rsidR="00375AE8" w:rsidRPr="00F04D18" w:rsidRDefault="00375AE8" w:rsidP="00F04D18">
            <w:pPr>
              <w:jc w:val="center"/>
              <w:rPr>
                <w:rFonts w:asciiTheme="majorHAnsi" w:hAnsiTheme="majorHAnsi"/>
                <w:sz w:val="16"/>
                <w:szCs w:val="16"/>
              </w:rPr>
            </w:pPr>
          </w:p>
        </w:tc>
        <w:tc>
          <w:tcPr>
            <w:tcW w:w="690" w:type="dxa"/>
          </w:tcPr>
          <w:p w14:paraId="0C9B4F14" w14:textId="77777777" w:rsidR="00375AE8" w:rsidRPr="00F04D18" w:rsidRDefault="00375AE8" w:rsidP="00F04D18">
            <w:pPr>
              <w:jc w:val="center"/>
              <w:rPr>
                <w:rFonts w:asciiTheme="majorHAnsi" w:hAnsiTheme="majorHAnsi"/>
                <w:sz w:val="16"/>
                <w:szCs w:val="16"/>
              </w:rPr>
            </w:pPr>
          </w:p>
        </w:tc>
        <w:tc>
          <w:tcPr>
            <w:tcW w:w="540" w:type="dxa"/>
            <w:shd w:val="clear" w:color="auto" w:fill="FBD4B4" w:themeFill="accent6" w:themeFillTint="66"/>
          </w:tcPr>
          <w:p w14:paraId="3D356298"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44144121" w14:textId="77777777" w:rsidR="00375AE8" w:rsidRPr="00F04D18" w:rsidRDefault="00375AE8" w:rsidP="00F04D18">
            <w:pPr>
              <w:jc w:val="center"/>
              <w:rPr>
                <w:rFonts w:asciiTheme="majorHAnsi" w:hAnsiTheme="majorHAnsi"/>
                <w:sz w:val="16"/>
                <w:szCs w:val="16"/>
              </w:rPr>
            </w:pPr>
          </w:p>
        </w:tc>
        <w:tc>
          <w:tcPr>
            <w:tcW w:w="534" w:type="dxa"/>
          </w:tcPr>
          <w:p w14:paraId="581355A5" w14:textId="77777777" w:rsidR="00375AE8" w:rsidRPr="00F04D18" w:rsidRDefault="00375AE8" w:rsidP="00F04D18">
            <w:pPr>
              <w:jc w:val="center"/>
              <w:rPr>
                <w:rFonts w:asciiTheme="majorHAnsi" w:hAnsiTheme="majorHAnsi"/>
                <w:sz w:val="16"/>
                <w:szCs w:val="16"/>
              </w:rPr>
            </w:pPr>
          </w:p>
        </w:tc>
        <w:tc>
          <w:tcPr>
            <w:tcW w:w="690" w:type="dxa"/>
          </w:tcPr>
          <w:p w14:paraId="78C97FCB" w14:textId="77777777" w:rsidR="00375AE8" w:rsidRPr="00F04D18" w:rsidRDefault="00375AE8" w:rsidP="00F04D18">
            <w:pPr>
              <w:jc w:val="center"/>
              <w:rPr>
                <w:rFonts w:asciiTheme="majorHAnsi" w:hAnsiTheme="majorHAnsi"/>
                <w:sz w:val="16"/>
                <w:szCs w:val="16"/>
              </w:rPr>
            </w:pPr>
          </w:p>
        </w:tc>
        <w:tc>
          <w:tcPr>
            <w:tcW w:w="516" w:type="dxa"/>
          </w:tcPr>
          <w:p w14:paraId="65387B51" w14:textId="77777777" w:rsidR="00375AE8" w:rsidRPr="00F04D18" w:rsidRDefault="00375AE8" w:rsidP="00F04D18">
            <w:pPr>
              <w:jc w:val="center"/>
              <w:rPr>
                <w:rFonts w:asciiTheme="majorHAnsi" w:hAnsiTheme="majorHAnsi"/>
                <w:sz w:val="16"/>
                <w:szCs w:val="16"/>
              </w:rPr>
            </w:pPr>
          </w:p>
        </w:tc>
        <w:tc>
          <w:tcPr>
            <w:tcW w:w="690" w:type="dxa"/>
          </w:tcPr>
          <w:p w14:paraId="42DFB3E8" w14:textId="77777777" w:rsidR="00375AE8" w:rsidRPr="00F04D18" w:rsidRDefault="00375AE8" w:rsidP="00F04D18">
            <w:pPr>
              <w:jc w:val="center"/>
              <w:rPr>
                <w:rFonts w:asciiTheme="majorHAnsi" w:hAnsiTheme="majorHAnsi"/>
                <w:sz w:val="16"/>
                <w:szCs w:val="16"/>
              </w:rPr>
            </w:pPr>
          </w:p>
        </w:tc>
        <w:tc>
          <w:tcPr>
            <w:tcW w:w="513" w:type="dxa"/>
          </w:tcPr>
          <w:p w14:paraId="1B05B130" w14:textId="77777777" w:rsidR="00375AE8" w:rsidRPr="00F04D18" w:rsidRDefault="00375AE8" w:rsidP="00F04D18">
            <w:pPr>
              <w:jc w:val="center"/>
              <w:rPr>
                <w:rFonts w:asciiTheme="majorHAnsi" w:hAnsiTheme="majorHAnsi"/>
                <w:sz w:val="16"/>
                <w:szCs w:val="16"/>
              </w:rPr>
            </w:pPr>
          </w:p>
        </w:tc>
        <w:tc>
          <w:tcPr>
            <w:tcW w:w="690" w:type="dxa"/>
          </w:tcPr>
          <w:p w14:paraId="446B331D" w14:textId="77777777" w:rsidR="00375AE8" w:rsidRPr="00F04D18" w:rsidRDefault="00375AE8" w:rsidP="00F04D18">
            <w:pPr>
              <w:jc w:val="center"/>
              <w:rPr>
                <w:rFonts w:asciiTheme="majorHAnsi" w:hAnsiTheme="majorHAnsi"/>
                <w:sz w:val="16"/>
                <w:szCs w:val="16"/>
              </w:rPr>
            </w:pPr>
          </w:p>
        </w:tc>
      </w:tr>
      <w:tr w:rsidR="00375AE8" w14:paraId="175ACC82" w14:textId="77777777" w:rsidTr="00DB0EAB">
        <w:tc>
          <w:tcPr>
            <w:tcW w:w="1441" w:type="dxa"/>
            <w:vMerge/>
          </w:tcPr>
          <w:p w14:paraId="392E7CAD" w14:textId="77777777" w:rsidR="00375AE8" w:rsidRPr="00F04D18" w:rsidRDefault="00375AE8" w:rsidP="00F04D18">
            <w:pPr>
              <w:jc w:val="center"/>
              <w:rPr>
                <w:rFonts w:asciiTheme="majorHAnsi" w:hAnsiTheme="majorHAnsi"/>
                <w:sz w:val="16"/>
                <w:szCs w:val="16"/>
              </w:rPr>
            </w:pPr>
          </w:p>
        </w:tc>
        <w:tc>
          <w:tcPr>
            <w:tcW w:w="1367" w:type="dxa"/>
            <w:vMerge/>
          </w:tcPr>
          <w:p w14:paraId="4771CBCB" w14:textId="77777777" w:rsidR="00375AE8" w:rsidRPr="00F04D18" w:rsidRDefault="00375AE8" w:rsidP="00F04D18">
            <w:pPr>
              <w:jc w:val="center"/>
              <w:rPr>
                <w:rFonts w:asciiTheme="majorHAnsi" w:hAnsiTheme="majorHAnsi"/>
                <w:sz w:val="16"/>
                <w:szCs w:val="16"/>
              </w:rPr>
            </w:pPr>
          </w:p>
        </w:tc>
        <w:tc>
          <w:tcPr>
            <w:tcW w:w="2414" w:type="dxa"/>
          </w:tcPr>
          <w:p w14:paraId="73A40781" w14:textId="67093FCE" w:rsidR="00375AE8" w:rsidRPr="00F04D18" w:rsidRDefault="00375AE8" w:rsidP="006726A0">
            <w:pPr>
              <w:jc w:val="center"/>
              <w:rPr>
                <w:rFonts w:asciiTheme="majorHAnsi" w:hAnsiTheme="majorHAnsi"/>
                <w:sz w:val="16"/>
                <w:szCs w:val="16"/>
              </w:rPr>
            </w:pPr>
            <w:r>
              <w:rPr>
                <w:rFonts w:asciiTheme="majorHAnsi" w:hAnsiTheme="majorHAnsi"/>
                <w:sz w:val="16"/>
                <w:szCs w:val="16"/>
              </w:rPr>
              <w:t xml:space="preserve">Pilot environmental friendly business plans </w:t>
            </w:r>
          </w:p>
        </w:tc>
        <w:tc>
          <w:tcPr>
            <w:tcW w:w="1309" w:type="dxa"/>
          </w:tcPr>
          <w:p w14:paraId="76C0DB1E" w14:textId="0414E896" w:rsidR="00375AE8" w:rsidRPr="00F04D18" w:rsidRDefault="00375AE8" w:rsidP="00F04D18">
            <w:pPr>
              <w:jc w:val="center"/>
              <w:rPr>
                <w:rFonts w:asciiTheme="majorHAnsi" w:hAnsiTheme="majorHAnsi"/>
                <w:sz w:val="16"/>
                <w:szCs w:val="16"/>
              </w:rPr>
            </w:pPr>
            <w:r>
              <w:rPr>
                <w:rFonts w:asciiTheme="majorHAnsi" w:hAnsiTheme="majorHAnsi"/>
                <w:sz w:val="16"/>
                <w:szCs w:val="16"/>
              </w:rPr>
              <w:t>MNRET</w:t>
            </w:r>
          </w:p>
        </w:tc>
        <w:tc>
          <w:tcPr>
            <w:tcW w:w="610" w:type="dxa"/>
          </w:tcPr>
          <w:p w14:paraId="5FA30675" w14:textId="77777777" w:rsidR="00375AE8" w:rsidRPr="00F04D18" w:rsidRDefault="00375AE8" w:rsidP="00F04D18">
            <w:pPr>
              <w:jc w:val="center"/>
              <w:rPr>
                <w:rFonts w:asciiTheme="majorHAnsi" w:hAnsiTheme="majorHAnsi"/>
                <w:sz w:val="16"/>
                <w:szCs w:val="16"/>
              </w:rPr>
            </w:pPr>
          </w:p>
        </w:tc>
        <w:tc>
          <w:tcPr>
            <w:tcW w:w="645" w:type="dxa"/>
          </w:tcPr>
          <w:p w14:paraId="0C3B9A63" w14:textId="77777777" w:rsidR="00375AE8" w:rsidRPr="00F04D18" w:rsidRDefault="00375AE8" w:rsidP="00F04D18">
            <w:pPr>
              <w:jc w:val="center"/>
              <w:rPr>
                <w:rFonts w:asciiTheme="majorHAnsi" w:hAnsiTheme="majorHAnsi"/>
                <w:sz w:val="16"/>
                <w:szCs w:val="16"/>
              </w:rPr>
            </w:pPr>
          </w:p>
        </w:tc>
        <w:tc>
          <w:tcPr>
            <w:tcW w:w="690" w:type="dxa"/>
          </w:tcPr>
          <w:p w14:paraId="659E804F" w14:textId="77777777" w:rsidR="00375AE8" w:rsidRPr="00F04D18" w:rsidRDefault="00375AE8" w:rsidP="00F04D18">
            <w:pPr>
              <w:jc w:val="center"/>
              <w:rPr>
                <w:rFonts w:asciiTheme="majorHAnsi" w:hAnsiTheme="majorHAnsi"/>
                <w:sz w:val="16"/>
                <w:szCs w:val="16"/>
              </w:rPr>
            </w:pPr>
          </w:p>
        </w:tc>
        <w:tc>
          <w:tcPr>
            <w:tcW w:w="587" w:type="dxa"/>
          </w:tcPr>
          <w:p w14:paraId="0CAD4752" w14:textId="77777777" w:rsidR="00375AE8" w:rsidRPr="00F04D18" w:rsidRDefault="00375AE8" w:rsidP="00F04D18">
            <w:pPr>
              <w:jc w:val="center"/>
              <w:rPr>
                <w:rFonts w:asciiTheme="majorHAnsi" w:hAnsiTheme="majorHAnsi"/>
                <w:sz w:val="16"/>
                <w:szCs w:val="16"/>
              </w:rPr>
            </w:pPr>
          </w:p>
        </w:tc>
        <w:tc>
          <w:tcPr>
            <w:tcW w:w="690" w:type="dxa"/>
          </w:tcPr>
          <w:p w14:paraId="6E95C87D" w14:textId="77777777" w:rsidR="00375AE8" w:rsidRPr="00F04D18" w:rsidRDefault="00375AE8" w:rsidP="00F04D18">
            <w:pPr>
              <w:jc w:val="center"/>
              <w:rPr>
                <w:rFonts w:asciiTheme="majorHAnsi" w:hAnsiTheme="majorHAnsi"/>
                <w:sz w:val="16"/>
                <w:szCs w:val="16"/>
              </w:rPr>
            </w:pPr>
          </w:p>
        </w:tc>
        <w:tc>
          <w:tcPr>
            <w:tcW w:w="540" w:type="dxa"/>
          </w:tcPr>
          <w:p w14:paraId="033949FE"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47D83C03" w14:textId="77777777" w:rsidR="00375AE8" w:rsidRPr="00F04D18" w:rsidRDefault="00375AE8" w:rsidP="00F04D18">
            <w:pPr>
              <w:jc w:val="center"/>
              <w:rPr>
                <w:rFonts w:asciiTheme="majorHAnsi" w:hAnsiTheme="majorHAnsi"/>
                <w:sz w:val="16"/>
                <w:szCs w:val="16"/>
              </w:rPr>
            </w:pPr>
          </w:p>
        </w:tc>
        <w:tc>
          <w:tcPr>
            <w:tcW w:w="534" w:type="dxa"/>
            <w:shd w:val="clear" w:color="auto" w:fill="FBD4B4" w:themeFill="accent6" w:themeFillTint="66"/>
          </w:tcPr>
          <w:p w14:paraId="4D831569"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38D93137" w14:textId="77777777" w:rsidR="00375AE8" w:rsidRPr="00F04D18" w:rsidRDefault="00375AE8" w:rsidP="00F04D18">
            <w:pPr>
              <w:jc w:val="center"/>
              <w:rPr>
                <w:rFonts w:asciiTheme="majorHAnsi" w:hAnsiTheme="majorHAnsi"/>
                <w:sz w:val="16"/>
                <w:szCs w:val="16"/>
              </w:rPr>
            </w:pPr>
          </w:p>
        </w:tc>
        <w:tc>
          <w:tcPr>
            <w:tcW w:w="516" w:type="dxa"/>
            <w:shd w:val="clear" w:color="auto" w:fill="FBD4B4" w:themeFill="accent6" w:themeFillTint="66"/>
          </w:tcPr>
          <w:p w14:paraId="7F41DD2C"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1CCEEB28" w14:textId="77777777" w:rsidR="00375AE8" w:rsidRPr="00F04D18" w:rsidRDefault="00375AE8" w:rsidP="00F04D18">
            <w:pPr>
              <w:jc w:val="center"/>
              <w:rPr>
                <w:rFonts w:asciiTheme="majorHAnsi" w:hAnsiTheme="majorHAnsi"/>
                <w:sz w:val="16"/>
                <w:szCs w:val="16"/>
              </w:rPr>
            </w:pPr>
          </w:p>
        </w:tc>
        <w:tc>
          <w:tcPr>
            <w:tcW w:w="513" w:type="dxa"/>
          </w:tcPr>
          <w:p w14:paraId="49200EE9" w14:textId="77777777" w:rsidR="00375AE8" w:rsidRPr="00F04D18" w:rsidRDefault="00375AE8" w:rsidP="00F04D18">
            <w:pPr>
              <w:jc w:val="center"/>
              <w:rPr>
                <w:rFonts w:asciiTheme="majorHAnsi" w:hAnsiTheme="majorHAnsi"/>
                <w:sz w:val="16"/>
                <w:szCs w:val="16"/>
              </w:rPr>
            </w:pPr>
          </w:p>
        </w:tc>
        <w:tc>
          <w:tcPr>
            <w:tcW w:w="690" w:type="dxa"/>
          </w:tcPr>
          <w:p w14:paraId="6DE8CF04" w14:textId="77777777" w:rsidR="00375AE8" w:rsidRPr="00F04D18" w:rsidRDefault="00375AE8" w:rsidP="00F04D18">
            <w:pPr>
              <w:jc w:val="center"/>
              <w:rPr>
                <w:rFonts w:asciiTheme="majorHAnsi" w:hAnsiTheme="majorHAnsi"/>
                <w:sz w:val="16"/>
                <w:szCs w:val="16"/>
              </w:rPr>
            </w:pPr>
          </w:p>
        </w:tc>
      </w:tr>
      <w:tr w:rsidR="00375AE8" w14:paraId="7FDF4AF3" w14:textId="77777777" w:rsidTr="00DB0EAB">
        <w:tc>
          <w:tcPr>
            <w:tcW w:w="1441" w:type="dxa"/>
            <w:vMerge/>
          </w:tcPr>
          <w:p w14:paraId="11645B0A" w14:textId="77777777" w:rsidR="00375AE8" w:rsidRPr="00F04D18" w:rsidRDefault="00375AE8" w:rsidP="00F04D18">
            <w:pPr>
              <w:jc w:val="center"/>
              <w:rPr>
                <w:rFonts w:asciiTheme="majorHAnsi" w:hAnsiTheme="majorHAnsi"/>
                <w:sz w:val="16"/>
                <w:szCs w:val="16"/>
              </w:rPr>
            </w:pPr>
          </w:p>
        </w:tc>
        <w:tc>
          <w:tcPr>
            <w:tcW w:w="1367" w:type="dxa"/>
            <w:vMerge/>
          </w:tcPr>
          <w:p w14:paraId="520550DE" w14:textId="77777777" w:rsidR="00375AE8" w:rsidRPr="00F04D18" w:rsidRDefault="00375AE8" w:rsidP="00F04D18">
            <w:pPr>
              <w:jc w:val="center"/>
              <w:rPr>
                <w:rFonts w:asciiTheme="majorHAnsi" w:hAnsiTheme="majorHAnsi"/>
                <w:sz w:val="16"/>
                <w:szCs w:val="16"/>
              </w:rPr>
            </w:pPr>
          </w:p>
        </w:tc>
        <w:tc>
          <w:tcPr>
            <w:tcW w:w="2414" w:type="dxa"/>
          </w:tcPr>
          <w:p w14:paraId="30FC445E" w14:textId="342EF5B9" w:rsidR="00375AE8" w:rsidRPr="00F04D18" w:rsidRDefault="00375AE8" w:rsidP="00F04D18">
            <w:pPr>
              <w:jc w:val="center"/>
              <w:rPr>
                <w:rFonts w:asciiTheme="majorHAnsi" w:hAnsiTheme="majorHAnsi"/>
                <w:sz w:val="16"/>
                <w:szCs w:val="16"/>
              </w:rPr>
            </w:pPr>
            <w:r>
              <w:rPr>
                <w:rFonts w:asciiTheme="majorHAnsi" w:hAnsiTheme="majorHAnsi"/>
                <w:sz w:val="16"/>
                <w:szCs w:val="16"/>
              </w:rPr>
              <w:t>Design and implementation of biodiversity-friendly tourism products and services</w:t>
            </w:r>
          </w:p>
        </w:tc>
        <w:tc>
          <w:tcPr>
            <w:tcW w:w="1309" w:type="dxa"/>
          </w:tcPr>
          <w:p w14:paraId="58D79D51" w14:textId="312B7FDC" w:rsidR="00375AE8" w:rsidRPr="00F04D18" w:rsidRDefault="00375AE8" w:rsidP="00F04D18">
            <w:pPr>
              <w:jc w:val="center"/>
              <w:rPr>
                <w:rFonts w:asciiTheme="majorHAnsi" w:hAnsiTheme="majorHAnsi"/>
                <w:sz w:val="16"/>
                <w:szCs w:val="16"/>
              </w:rPr>
            </w:pPr>
            <w:r>
              <w:rPr>
                <w:rFonts w:asciiTheme="majorHAnsi" w:hAnsiTheme="majorHAnsi"/>
                <w:sz w:val="16"/>
                <w:szCs w:val="16"/>
              </w:rPr>
              <w:t>Koror State and MNRET</w:t>
            </w:r>
          </w:p>
        </w:tc>
        <w:tc>
          <w:tcPr>
            <w:tcW w:w="610" w:type="dxa"/>
          </w:tcPr>
          <w:p w14:paraId="62BB1E17" w14:textId="77777777" w:rsidR="00375AE8" w:rsidRPr="00F04D18" w:rsidRDefault="00375AE8" w:rsidP="00F04D18">
            <w:pPr>
              <w:jc w:val="center"/>
              <w:rPr>
                <w:rFonts w:asciiTheme="majorHAnsi" w:hAnsiTheme="majorHAnsi"/>
                <w:sz w:val="16"/>
                <w:szCs w:val="16"/>
              </w:rPr>
            </w:pPr>
          </w:p>
        </w:tc>
        <w:tc>
          <w:tcPr>
            <w:tcW w:w="645" w:type="dxa"/>
          </w:tcPr>
          <w:p w14:paraId="3F7E4740" w14:textId="77777777" w:rsidR="00375AE8" w:rsidRPr="00F04D18" w:rsidRDefault="00375AE8" w:rsidP="00F04D18">
            <w:pPr>
              <w:jc w:val="center"/>
              <w:rPr>
                <w:rFonts w:asciiTheme="majorHAnsi" w:hAnsiTheme="majorHAnsi"/>
                <w:sz w:val="16"/>
                <w:szCs w:val="16"/>
              </w:rPr>
            </w:pPr>
          </w:p>
        </w:tc>
        <w:tc>
          <w:tcPr>
            <w:tcW w:w="690" w:type="dxa"/>
          </w:tcPr>
          <w:p w14:paraId="6A80357E" w14:textId="77777777" w:rsidR="00375AE8" w:rsidRPr="00F04D18" w:rsidRDefault="00375AE8" w:rsidP="00F04D18">
            <w:pPr>
              <w:jc w:val="center"/>
              <w:rPr>
                <w:rFonts w:asciiTheme="majorHAnsi" w:hAnsiTheme="majorHAnsi"/>
                <w:sz w:val="16"/>
                <w:szCs w:val="16"/>
              </w:rPr>
            </w:pPr>
          </w:p>
        </w:tc>
        <w:tc>
          <w:tcPr>
            <w:tcW w:w="587" w:type="dxa"/>
          </w:tcPr>
          <w:p w14:paraId="53911B68" w14:textId="77777777" w:rsidR="00375AE8" w:rsidRPr="00F04D18" w:rsidRDefault="00375AE8" w:rsidP="00F04D18">
            <w:pPr>
              <w:jc w:val="center"/>
              <w:rPr>
                <w:rFonts w:asciiTheme="majorHAnsi" w:hAnsiTheme="majorHAnsi"/>
                <w:sz w:val="16"/>
                <w:szCs w:val="16"/>
              </w:rPr>
            </w:pPr>
          </w:p>
        </w:tc>
        <w:tc>
          <w:tcPr>
            <w:tcW w:w="690" w:type="dxa"/>
          </w:tcPr>
          <w:p w14:paraId="00D54F8F" w14:textId="77777777" w:rsidR="00375AE8" w:rsidRPr="00F04D18" w:rsidRDefault="00375AE8" w:rsidP="00F04D18">
            <w:pPr>
              <w:jc w:val="center"/>
              <w:rPr>
                <w:rFonts w:asciiTheme="majorHAnsi" w:hAnsiTheme="majorHAnsi"/>
                <w:sz w:val="16"/>
                <w:szCs w:val="16"/>
              </w:rPr>
            </w:pPr>
          </w:p>
        </w:tc>
        <w:tc>
          <w:tcPr>
            <w:tcW w:w="540" w:type="dxa"/>
            <w:shd w:val="clear" w:color="auto" w:fill="FBD4B4" w:themeFill="accent6" w:themeFillTint="66"/>
          </w:tcPr>
          <w:p w14:paraId="1259CE36"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1A489602" w14:textId="77777777" w:rsidR="00375AE8" w:rsidRPr="00F04D18" w:rsidRDefault="00375AE8" w:rsidP="00F04D18">
            <w:pPr>
              <w:jc w:val="center"/>
              <w:rPr>
                <w:rFonts w:asciiTheme="majorHAnsi" w:hAnsiTheme="majorHAnsi"/>
                <w:sz w:val="16"/>
                <w:szCs w:val="16"/>
              </w:rPr>
            </w:pPr>
          </w:p>
        </w:tc>
        <w:tc>
          <w:tcPr>
            <w:tcW w:w="534" w:type="dxa"/>
            <w:shd w:val="clear" w:color="auto" w:fill="FBD4B4" w:themeFill="accent6" w:themeFillTint="66"/>
          </w:tcPr>
          <w:p w14:paraId="6DAF8608"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01B5C50D" w14:textId="77777777" w:rsidR="00375AE8" w:rsidRPr="00F04D18" w:rsidRDefault="00375AE8" w:rsidP="00F04D18">
            <w:pPr>
              <w:jc w:val="center"/>
              <w:rPr>
                <w:rFonts w:asciiTheme="majorHAnsi" w:hAnsiTheme="majorHAnsi"/>
                <w:sz w:val="16"/>
                <w:szCs w:val="16"/>
              </w:rPr>
            </w:pPr>
          </w:p>
        </w:tc>
        <w:tc>
          <w:tcPr>
            <w:tcW w:w="516" w:type="dxa"/>
            <w:shd w:val="clear" w:color="auto" w:fill="FBD4B4" w:themeFill="accent6" w:themeFillTint="66"/>
          </w:tcPr>
          <w:p w14:paraId="35554164"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22BA5F9E" w14:textId="77777777" w:rsidR="00375AE8" w:rsidRPr="00F04D18" w:rsidRDefault="00375AE8" w:rsidP="00F04D18">
            <w:pPr>
              <w:jc w:val="center"/>
              <w:rPr>
                <w:rFonts w:asciiTheme="majorHAnsi" w:hAnsiTheme="majorHAnsi"/>
                <w:sz w:val="16"/>
                <w:szCs w:val="16"/>
              </w:rPr>
            </w:pPr>
          </w:p>
        </w:tc>
        <w:tc>
          <w:tcPr>
            <w:tcW w:w="513" w:type="dxa"/>
            <w:shd w:val="clear" w:color="auto" w:fill="FBD4B4" w:themeFill="accent6" w:themeFillTint="66"/>
          </w:tcPr>
          <w:p w14:paraId="62F2E30C"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1AFD3B79" w14:textId="77777777" w:rsidR="00375AE8" w:rsidRPr="00F04D18" w:rsidRDefault="00375AE8" w:rsidP="00F04D18">
            <w:pPr>
              <w:jc w:val="center"/>
              <w:rPr>
                <w:rFonts w:asciiTheme="majorHAnsi" w:hAnsiTheme="majorHAnsi"/>
                <w:sz w:val="16"/>
                <w:szCs w:val="16"/>
              </w:rPr>
            </w:pPr>
          </w:p>
        </w:tc>
      </w:tr>
      <w:tr w:rsidR="00375AE8" w14:paraId="3C280552" w14:textId="77777777" w:rsidTr="00A34406">
        <w:tc>
          <w:tcPr>
            <w:tcW w:w="1441" w:type="dxa"/>
            <w:vMerge/>
          </w:tcPr>
          <w:p w14:paraId="292428AC" w14:textId="77777777" w:rsidR="00375AE8" w:rsidRPr="00F04D18" w:rsidRDefault="00375AE8" w:rsidP="00F04D18">
            <w:pPr>
              <w:jc w:val="center"/>
              <w:rPr>
                <w:rFonts w:asciiTheme="majorHAnsi" w:hAnsiTheme="majorHAnsi"/>
                <w:sz w:val="16"/>
                <w:szCs w:val="16"/>
              </w:rPr>
            </w:pPr>
          </w:p>
        </w:tc>
        <w:tc>
          <w:tcPr>
            <w:tcW w:w="1367" w:type="dxa"/>
            <w:vMerge w:val="restart"/>
          </w:tcPr>
          <w:p w14:paraId="6B391E35" w14:textId="5FD86651" w:rsidR="00375AE8" w:rsidRPr="00F04D18" w:rsidRDefault="00375AE8" w:rsidP="00A34406">
            <w:pPr>
              <w:jc w:val="left"/>
              <w:rPr>
                <w:rFonts w:asciiTheme="majorHAnsi" w:hAnsiTheme="majorHAnsi"/>
                <w:sz w:val="16"/>
                <w:szCs w:val="16"/>
              </w:rPr>
            </w:pPr>
            <w:r>
              <w:rPr>
                <w:rFonts w:asciiTheme="majorHAnsi" w:hAnsiTheme="majorHAnsi"/>
                <w:sz w:val="16"/>
                <w:szCs w:val="16"/>
              </w:rPr>
              <w:t xml:space="preserve">Implementation </w:t>
            </w:r>
          </w:p>
        </w:tc>
        <w:tc>
          <w:tcPr>
            <w:tcW w:w="2414" w:type="dxa"/>
          </w:tcPr>
          <w:p w14:paraId="0948BB49" w14:textId="2D52ECEF" w:rsidR="00375AE8" w:rsidRPr="00F04D18" w:rsidRDefault="00375AE8" w:rsidP="00A34406">
            <w:pPr>
              <w:tabs>
                <w:tab w:val="left" w:pos="560"/>
              </w:tabs>
              <w:jc w:val="center"/>
              <w:rPr>
                <w:rFonts w:asciiTheme="majorHAnsi" w:hAnsiTheme="majorHAnsi"/>
                <w:sz w:val="16"/>
                <w:szCs w:val="16"/>
              </w:rPr>
            </w:pPr>
            <w:r>
              <w:rPr>
                <w:rFonts w:asciiTheme="majorHAnsi" w:hAnsiTheme="majorHAnsi"/>
                <w:sz w:val="16"/>
                <w:szCs w:val="16"/>
              </w:rPr>
              <w:t>Trial best practices at use of native species for landscaping</w:t>
            </w:r>
          </w:p>
        </w:tc>
        <w:tc>
          <w:tcPr>
            <w:tcW w:w="1309" w:type="dxa"/>
          </w:tcPr>
          <w:p w14:paraId="4645A5E1" w14:textId="6CD4EBB1" w:rsidR="00375AE8" w:rsidRPr="00F04D18" w:rsidRDefault="00375AE8" w:rsidP="00A34406">
            <w:pPr>
              <w:jc w:val="center"/>
              <w:rPr>
                <w:rFonts w:asciiTheme="majorHAnsi" w:hAnsiTheme="majorHAnsi"/>
                <w:sz w:val="16"/>
                <w:szCs w:val="16"/>
              </w:rPr>
            </w:pPr>
            <w:r>
              <w:rPr>
                <w:rFonts w:asciiTheme="majorHAnsi" w:hAnsiTheme="majorHAnsi"/>
                <w:sz w:val="16"/>
                <w:szCs w:val="16"/>
              </w:rPr>
              <w:t>BOA</w:t>
            </w:r>
          </w:p>
        </w:tc>
        <w:tc>
          <w:tcPr>
            <w:tcW w:w="610" w:type="dxa"/>
          </w:tcPr>
          <w:p w14:paraId="78F971B7" w14:textId="77777777" w:rsidR="00375AE8" w:rsidRPr="00F04D18" w:rsidRDefault="00375AE8" w:rsidP="00A34406">
            <w:pPr>
              <w:jc w:val="center"/>
              <w:rPr>
                <w:rFonts w:asciiTheme="majorHAnsi" w:hAnsiTheme="majorHAnsi"/>
                <w:sz w:val="16"/>
                <w:szCs w:val="16"/>
              </w:rPr>
            </w:pPr>
          </w:p>
        </w:tc>
        <w:tc>
          <w:tcPr>
            <w:tcW w:w="645" w:type="dxa"/>
          </w:tcPr>
          <w:p w14:paraId="148C768A" w14:textId="77777777" w:rsidR="00375AE8" w:rsidRPr="00F04D18" w:rsidRDefault="00375AE8" w:rsidP="00A34406">
            <w:pPr>
              <w:jc w:val="center"/>
              <w:rPr>
                <w:rFonts w:asciiTheme="majorHAnsi" w:hAnsiTheme="majorHAnsi"/>
                <w:sz w:val="16"/>
                <w:szCs w:val="16"/>
              </w:rPr>
            </w:pPr>
          </w:p>
        </w:tc>
        <w:tc>
          <w:tcPr>
            <w:tcW w:w="690" w:type="dxa"/>
          </w:tcPr>
          <w:p w14:paraId="6BAC45C0" w14:textId="77777777" w:rsidR="00375AE8" w:rsidRPr="00F04D18" w:rsidRDefault="00375AE8" w:rsidP="00A34406">
            <w:pPr>
              <w:jc w:val="center"/>
              <w:rPr>
                <w:rFonts w:asciiTheme="majorHAnsi" w:hAnsiTheme="majorHAnsi"/>
                <w:sz w:val="16"/>
                <w:szCs w:val="16"/>
              </w:rPr>
            </w:pPr>
          </w:p>
        </w:tc>
        <w:tc>
          <w:tcPr>
            <w:tcW w:w="587" w:type="dxa"/>
            <w:shd w:val="clear" w:color="auto" w:fill="FBD4B4" w:themeFill="accent6" w:themeFillTint="66"/>
          </w:tcPr>
          <w:p w14:paraId="4AFCCABD" w14:textId="77777777" w:rsidR="00375AE8" w:rsidRPr="00F04D18" w:rsidRDefault="00375AE8" w:rsidP="00A34406">
            <w:pPr>
              <w:jc w:val="center"/>
              <w:rPr>
                <w:rFonts w:asciiTheme="majorHAnsi" w:hAnsiTheme="majorHAnsi"/>
                <w:sz w:val="16"/>
                <w:szCs w:val="16"/>
              </w:rPr>
            </w:pPr>
          </w:p>
        </w:tc>
        <w:tc>
          <w:tcPr>
            <w:tcW w:w="690" w:type="dxa"/>
            <w:shd w:val="clear" w:color="auto" w:fill="FBD4B4" w:themeFill="accent6" w:themeFillTint="66"/>
          </w:tcPr>
          <w:p w14:paraId="5EFA9564" w14:textId="77777777" w:rsidR="00375AE8" w:rsidRPr="00F04D18" w:rsidRDefault="00375AE8" w:rsidP="00A34406">
            <w:pPr>
              <w:jc w:val="center"/>
              <w:rPr>
                <w:rFonts w:asciiTheme="majorHAnsi" w:hAnsiTheme="majorHAnsi"/>
                <w:sz w:val="16"/>
                <w:szCs w:val="16"/>
              </w:rPr>
            </w:pPr>
          </w:p>
        </w:tc>
        <w:tc>
          <w:tcPr>
            <w:tcW w:w="540" w:type="dxa"/>
            <w:shd w:val="clear" w:color="auto" w:fill="FBD4B4" w:themeFill="accent6" w:themeFillTint="66"/>
          </w:tcPr>
          <w:p w14:paraId="4E420A46" w14:textId="77777777" w:rsidR="00375AE8" w:rsidRPr="00F04D18" w:rsidRDefault="00375AE8" w:rsidP="00A34406">
            <w:pPr>
              <w:jc w:val="center"/>
              <w:rPr>
                <w:rFonts w:asciiTheme="majorHAnsi" w:hAnsiTheme="majorHAnsi"/>
                <w:sz w:val="16"/>
                <w:szCs w:val="16"/>
              </w:rPr>
            </w:pPr>
          </w:p>
        </w:tc>
        <w:tc>
          <w:tcPr>
            <w:tcW w:w="690" w:type="dxa"/>
            <w:shd w:val="clear" w:color="auto" w:fill="FBD4B4" w:themeFill="accent6" w:themeFillTint="66"/>
          </w:tcPr>
          <w:p w14:paraId="5690FD50" w14:textId="77777777" w:rsidR="00375AE8" w:rsidRPr="00F04D18" w:rsidRDefault="00375AE8" w:rsidP="00A34406">
            <w:pPr>
              <w:jc w:val="center"/>
              <w:rPr>
                <w:rFonts w:asciiTheme="majorHAnsi" w:hAnsiTheme="majorHAnsi"/>
                <w:sz w:val="16"/>
                <w:szCs w:val="16"/>
              </w:rPr>
            </w:pPr>
          </w:p>
        </w:tc>
        <w:tc>
          <w:tcPr>
            <w:tcW w:w="534" w:type="dxa"/>
            <w:shd w:val="clear" w:color="auto" w:fill="FBD4B4" w:themeFill="accent6" w:themeFillTint="66"/>
          </w:tcPr>
          <w:p w14:paraId="1352D6C2" w14:textId="77777777" w:rsidR="00375AE8" w:rsidRPr="00F04D18" w:rsidRDefault="00375AE8" w:rsidP="00A34406">
            <w:pPr>
              <w:jc w:val="center"/>
              <w:rPr>
                <w:rFonts w:asciiTheme="majorHAnsi" w:hAnsiTheme="majorHAnsi"/>
                <w:sz w:val="16"/>
                <w:szCs w:val="16"/>
              </w:rPr>
            </w:pPr>
          </w:p>
        </w:tc>
        <w:tc>
          <w:tcPr>
            <w:tcW w:w="690" w:type="dxa"/>
            <w:shd w:val="clear" w:color="auto" w:fill="FBD4B4" w:themeFill="accent6" w:themeFillTint="66"/>
          </w:tcPr>
          <w:p w14:paraId="6C058B25" w14:textId="77777777" w:rsidR="00375AE8" w:rsidRPr="00F04D18" w:rsidRDefault="00375AE8" w:rsidP="00A34406">
            <w:pPr>
              <w:jc w:val="center"/>
              <w:rPr>
                <w:rFonts w:asciiTheme="majorHAnsi" w:hAnsiTheme="majorHAnsi"/>
                <w:sz w:val="16"/>
                <w:szCs w:val="16"/>
              </w:rPr>
            </w:pPr>
          </w:p>
        </w:tc>
        <w:tc>
          <w:tcPr>
            <w:tcW w:w="516" w:type="dxa"/>
          </w:tcPr>
          <w:p w14:paraId="2BB7ECE6" w14:textId="77777777" w:rsidR="00375AE8" w:rsidRPr="00F04D18" w:rsidRDefault="00375AE8" w:rsidP="00A34406">
            <w:pPr>
              <w:jc w:val="center"/>
              <w:rPr>
                <w:rFonts w:asciiTheme="majorHAnsi" w:hAnsiTheme="majorHAnsi"/>
                <w:sz w:val="16"/>
                <w:szCs w:val="16"/>
              </w:rPr>
            </w:pPr>
          </w:p>
        </w:tc>
        <w:tc>
          <w:tcPr>
            <w:tcW w:w="690" w:type="dxa"/>
          </w:tcPr>
          <w:p w14:paraId="4A08011B" w14:textId="77777777" w:rsidR="00375AE8" w:rsidRPr="00F04D18" w:rsidRDefault="00375AE8" w:rsidP="00A34406">
            <w:pPr>
              <w:jc w:val="center"/>
              <w:rPr>
                <w:rFonts w:asciiTheme="majorHAnsi" w:hAnsiTheme="majorHAnsi"/>
                <w:sz w:val="16"/>
                <w:szCs w:val="16"/>
              </w:rPr>
            </w:pPr>
          </w:p>
        </w:tc>
        <w:tc>
          <w:tcPr>
            <w:tcW w:w="513" w:type="dxa"/>
          </w:tcPr>
          <w:p w14:paraId="301F4293" w14:textId="77777777" w:rsidR="00375AE8" w:rsidRPr="00F04D18" w:rsidRDefault="00375AE8" w:rsidP="00A34406">
            <w:pPr>
              <w:jc w:val="center"/>
              <w:rPr>
                <w:rFonts w:asciiTheme="majorHAnsi" w:hAnsiTheme="majorHAnsi"/>
                <w:sz w:val="16"/>
                <w:szCs w:val="16"/>
              </w:rPr>
            </w:pPr>
          </w:p>
        </w:tc>
        <w:tc>
          <w:tcPr>
            <w:tcW w:w="690" w:type="dxa"/>
          </w:tcPr>
          <w:p w14:paraId="3A49CC1B" w14:textId="77777777" w:rsidR="00375AE8" w:rsidRPr="00F04D18" w:rsidRDefault="00375AE8" w:rsidP="00A34406">
            <w:pPr>
              <w:jc w:val="center"/>
              <w:rPr>
                <w:rFonts w:asciiTheme="majorHAnsi" w:hAnsiTheme="majorHAnsi"/>
                <w:sz w:val="16"/>
                <w:szCs w:val="16"/>
              </w:rPr>
            </w:pPr>
          </w:p>
        </w:tc>
      </w:tr>
      <w:tr w:rsidR="00375AE8" w14:paraId="703CA033" w14:textId="77777777" w:rsidTr="00A34406">
        <w:tc>
          <w:tcPr>
            <w:tcW w:w="1441" w:type="dxa"/>
            <w:vMerge/>
          </w:tcPr>
          <w:p w14:paraId="6660E8A3" w14:textId="77777777" w:rsidR="00375AE8" w:rsidRPr="00F04D18" w:rsidRDefault="00375AE8" w:rsidP="00F04D18">
            <w:pPr>
              <w:jc w:val="center"/>
              <w:rPr>
                <w:rFonts w:asciiTheme="majorHAnsi" w:hAnsiTheme="majorHAnsi"/>
                <w:sz w:val="16"/>
                <w:szCs w:val="16"/>
              </w:rPr>
            </w:pPr>
          </w:p>
        </w:tc>
        <w:tc>
          <w:tcPr>
            <w:tcW w:w="1367" w:type="dxa"/>
            <w:vMerge/>
          </w:tcPr>
          <w:p w14:paraId="2EC9AADB" w14:textId="77777777" w:rsidR="00375AE8" w:rsidRPr="00F04D18" w:rsidRDefault="00375AE8" w:rsidP="00A34406">
            <w:pPr>
              <w:jc w:val="left"/>
              <w:rPr>
                <w:rFonts w:asciiTheme="majorHAnsi" w:hAnsiTheme="majorHAnsi"/>
                <w:sz w:val="16"/>
                <w:szCs w:val="16"/>
              </w:rPr>
            </w:pPr>
          </w:p>
        </w:tc>
        <w:tc>
          <w:tcPr>
            <w:tcW w:w="2414" w:type="dxa"/>
          </w:tcPr>
          <w:p w14:paraId="09AC4DC8" w14:textId="4883B083" w:rsidR="00375AE8" w:rsidRPr="00F04D18" w:rsidRDefault="00375AE8" w:rsidP="00A34406">
            <w:pPr>
              <w:jc w:val="center"/>
              <w:rPr>
                <w:rFonts w:asciiTheme="majorHAnsi" w:hAnsiTheme="majorHAnsi"/>
                <w:sz w:val="16"/>
                <w:szCs w:val="16"/>
              </w:rPr>
            </w:pPr>
            <w:r>
              <w:rPr>
                <w:rFonts w:asciiTheme="majorHAnsi" w:hAnsiTheme="majorHAnsi"/>
                <w:sz w:val="16"/>
                <w:szCs w:val="16"/>
              </w:rPr>
              <w:t>Pilot private – community partnership for mangrove restoration</w:t>
            </w:r>
          </w:p>
        </w:tc>
        <w:tc>
          <w:tcPr>
            <w:tcW w:w="1309" w:type="dxa"/>
          </w:tcPr>
          <w:p w14:paraId="3230AA4E" w14:textId="3F62DE29" w:rsidR="00375AE8" w:rsidRPr="00F04D18" w:rsidRDefault="00375AE8" w:rsidP="00A34406">
            <w:pPr>
              <w:jc w:val="center"/>
              <w:rPr>
                <w:rFonts w:asciiTheme="majorHAnsi" w:hAnsiTheme="majorHAnsi"/>
                <w:sz w:val="16"/>
                <w:szCs w:val="16"/>
              </w:rPr>
            </w:pPr>
            <w:r>
              <w:rPr>
                <w:rFonts w:asciiTheme="majorHAnsi" w:hAnsiTheme="majorHAnsi"/>
                <w:sz w:val="16"/>
                <w:szCs w:val="16"/>
              </w:rPr>
              <w:t>BOA</w:t>
            </w:r>
          </w:p>
        </w:tc>
        <w:tc>
          <w:tcPr>
            <w:tcW w:w="610" w:type="dxa"/>
          </w:tcPr>
          <w:p w14:paraId="1002321A" w14:textId="77777777" w:rsidR="00375AE8" w:rsidRPr="00F04D18" w:rsidRDefault="00375AE8" w:rsidP="00A34406">
            <w:pPr>
              <w:jc w:val="center"/>
              <w:rPr>
                <w:rFonts w:asciiTheme="majorHAnsi" w:hAnsiTheme="majorHAnsi"/>
                <w:sz w:val="16"/>
                <w:szCs w:val="16"/>
              </w:rPr>
            </w:pPr>
          </w:p>
        </w:tc>
        <w:tc>
          <w:tcPr>
            <w:tcW w:w="645" w:type="dxa"/>
          </w:tcPr>
          <w:p w14:paraId="3F48D906" w14:textId="77777777" w:rsidR="00375AE8" w:rsidRPr="00F04D18" w:rsidRDefault="00375AE8" w:rsidP="00A34406">
            <w:pPr>
              <w:jc w:val="center"/>
              <w:rPr>
                <w:rFonts w:asciiTheme="majorHAnsi" w:hAnsiTheme="majorHAnsi"/>
                <w:sz w:val="16"/>
                <w:szCs w:val="16"/>
              </w:rPr>
            </w:pPr>
          </w:p>
        </w:tc>
        <w:tc>
          <w:tcPr>
            <w:tcW w:w="690" w:type="dxa"/>
          </w:tcPr>
          <w:p w14:paraId="68BAA341" w14:textId="77777777" w:rsidR="00375AE8" w:rsidRPr="00F04D18" w:rsidRDefault="00375AE8" w:rsidP="00A34406">
            <w:pPr>
              <w:jc w:val="center"/>
              <w:rPr>
                <w:rFonts w:asciiTheme="majorHAnsi" w:hAnsiTheme="majorHAnsi"/>
                <w:sz w:val="16"/>
                <w:szCs w:val="16"/>
              </w:rPr>
            </w:pPr>
          </w:p>
        </w:tc>
        <w:tc>
          <w:tcPr>
            <w:tcW w:w="587" w:type="dxa"/>
          </w:tcPr>
          <w:p w14:paraId="5B15D9EA" w14:textId="77777777" w:rsidR="00375AE8" w:rsidRPr="00F04D18" w:rsidRDefault="00375AE8" w:rsidP="00A34406">
            <w:pPr>
              <w:jc w:val="center"/>
              <w:rPr>
                <w:rFonts w:asciiTheme="majorHAnsi" w:hAnsiTheme="majorHAnsi"/>
                <w:sz w:val="16"/>
                <w:szCs w:val="16"/>
              </w:rPr>
            </w:pPr>
          </w:p>
        </w:tc>
        <w:tc>
          <w:tcPr>
            <w:tcW w:w="690" w:type="dxa"/>
          </w:tcPr>
          <w:p w14:paraId="7055D606" w14:textId="77777777" w:rsidR="00375AE8" w:rsidRPr="00F04D18" w:rsidRDefault="00375AE8" w:rsidP="00A34406">
            <w:pPr>
              <w:jc w:val="center"/>
              <w:rPr>
                <w:rFonts w:asciiTheme="majorHAnsi" w:hAnsiTheme="majorHAnsi"/>
                <w:sz w:val="16"/>
                <w:szCs w:val="16"/>
              </w:rPr>
            </w:pPr>
          </w:p>
        </w:tc>
        <w:tc>
          <w:tcPr>
            <w:tcW w:w="540" w:type="dxa"/>
            <w:shd w:val="clear" w:color="auto" w:fill="FBD4B4" w:themeFill="accent6" w:themeFillTint="66"/>
          </w:tcPr>
          <w:p w14:paraId="2800933A" w14:textId="77777777" w:rsidR="00375AE8" w:rsidRPr="00F04D18" w:rsidRDefault="00375AE8" w:rsidP="00A34406">
            <w:pPr>
              <w:jc w:val="center"/>
              <w:rPr>
                <w:rFonts w:asciiTheme="majorHAnsi" w:hAnsiTheme="majorHAnsi"/>
                <w:sz w:val="16"/>
                <w:szCs w:val="16"/>
              </w:rPr>
            </w:pPr>
          </w:p>
        </w:tc>
        <w:tc>
          <w:tcPr>
            <w:tcW w:w="690" w:type="dxa"/>
            <w:shd w:val="clear" w:color="auto" w:fill="FBD4B4" w:themeFill="accent6" w:themeFillTint="66"/>
          </w:tcPr>
          <w:p w14:paraId="391CD30A" w14:textId="77777777" w:rsidR="00375AE8" w:rsidRPr="00F04D18" w:rsidRDefault="00375AE8" w:rsidP="00A34406">
            <w:pPr>
              <w:jc w:val="center"/>
              <w:rPr>
                <w:rFonts w:asciiTheme="majorHAnsi" w:hAnsiTheme="majorHAnsi"/>
                <w:sz w:val="16"/>
                <w:szCs w:val="16"/>
              </w:rPr>
            </w:pPr>
          </w:p>
        </w:tc>
        <w:tc>
          <w:tcPr>
            <w:tcW w:w="534" w:type="dxa"/>
            <w:shd w:val="clear" w:color="auto" w:fill="FBD4B4" w:themeFill="accent6" w:themeFillTint="66"/>
          </w:tcPr>
          <w:p w14:paraId="21D8FE9A" w14:textId="77777777" w:rsidR="00375AE8" w:rsidRPr="00F04D18" w:rsidRDefault="00375AE8" w:rsidP="00A34406">
            <w:pPr>
              <w:jc w:val="center"/>
              <w:rPr>
                <w:rFonts w:asciiTheme="majorHAnsi" w:hAnsiTheme="majorHAnsi"/>
                <w:sz w:val="16"/>
                <w:szCs w:val="16"/>
              </w:rPr>
            </w:pPr>
          </w:p>
        </w:tc>
        <w:tc>
          <w:tcPr>
            <w:tcW w:w="690" w:type="dxa"/>
            <w:shd w:val="clear" w:color="auto" w:fill="FBD4B4" w:themeFill="accent6" w:themeFillTint="66"/>
          </w:tcPr>
          <w:p w14:paraId="1CAC16DD" w14:textId="77777777" w:rsidR="00375AE8" w:rsidRPr="00F04D18" w:rsidRDefault="00375AE8" w:rsidP="00A34406">
            <w:pPr>
              <w:jc w:val="center"/>
              <w:rPr>
                <w:rFonts w:asciiTheme="majorHAnsi" w:hAnsiTheme="majorHAnsi"/>
                <w:sz w:val="16"/>
                <w:szCs w:val="16"/>
              </w:rPr>
            </w:pPr>
          </w:p>
        </w:tc>
        <w:tc>
          <w:tcPr>
            <w:tcW w:w="516" w:type="dxa"/>
          </w:tcPr>
          <w:p w14:paraId="10F5E99D" w14:textId="77777777" w:rsidR="00375AE8" w:rsidRPr="00F04D18" w:rsidRDefault="00375AE8" w:rsidP="00A34406">
            <w:pPr>
              <w:jc w:val="center"/>
              <w:rPr>
                <w:rFonts w:asciiTheme="majorHAnsi" w:hAnsiTheme="majorHAnsi"/>
                <w:sz w:val="16"/>
                <w:szCs w:val="16"/>
              </w:rPr>
            </w:pPr>
          </w:p>
        </w:tc>
        <w:tc>
          <w:tcPr>
            <w:tcW w:w="690" w:type="dxa"/>
          </w:tcPr>
          <w:p w14:paraId="450FF0E5" w14:textId="77777777" w:rsidR="00375AE8" w:rsidRPr="00F04D18" w:rsidRDefault="00375AE8" w:rsidP="00A34406">
            <w:pPr>
              <w:jc w:val="center"/>
              <w:rPr>
                <w:rFonts w:asciiTheme="majorHAnsi" w:hAnsiTheme="majorHAnsi"/>
                <w:sz w:val="16"/>
                <w:szCs w:val="16"/>
              </w:rPr>
            </w:pPr>
          </w:p>
        </w:tc>
        <w:tc>
          <w:tcPr>
            <w:tcW w:w="513" w:type="dxa"/>
          </w:tcPr>
          <w:p w14:paraId="0F995843" w14:textId="77777777" w:rsidR="00375AE8" w:rsidRPr="00F04D18" w:rsidRDefault="00375AE8" w:rsidP="00A34406">
            <w:pPr>
              <w:jc w:val="center"/>
              <w:rPr>
                <w:rFonts w:asciiTheme="majorHAnsi" w:hAnsiTheme="majorHAnsi"/>
                <w:sz w:val="16"/>
                <w:szCs w:val="16"/>
              </w:rPr>
            </w:pPr>
          </w:p>
        </w:tc>
        <w:tc>
          <w:tcPr>
            <w:tcW w:w="690" w:type="dxa"/>
          </w:tcPr>
          <w:p w14:paraId="08DBB85E" w14:textId="77777777" w:rsidR="00375AE8" w:rsidRPr="00F04D18" w:rsidRDefault="00375AE8" w:rsidP="00A34406">
            <w:pPr>
              <w:jc w:val="center"/>
              <w:rPr>
                <w:rFonts w:asciiTheme="majorHAnsi" w:hAnsiTheme="majorHAnsi"/>
                <w:sz w:val="16"/>
                <w:szCs w:val="16"/>
              </w:rPr>
            </w:pPr>
          </w:p>
        </w:tc>
      </w:tr>
      <w:tr w:rsidR="00375AE8" w14:paraId="1B24608C" w14:textId="77777777" w:rsidTr="00A34406">
        <w:tc>
          <w:tcPr>
            <w:tcW w:w="1441" w:type="dxa"/>
            <w:vMerge/>
          </w:tcPr>
          <w:p w14:paraId="143582C9" w14:textId="77777777" w:rsidR="00375AE8" w:rsidRPr="00F04D18" w:rsidRDefault="00375AE8" w:rsidP="00F04D18">
            <w:pPr>
              <w:jc w:val="center"/>
              <w:rPr>
                <w:rFonts w:asciiTheme="majorHAnsi" w:hAnsiTheme="majorHAnsi"/>
                <w:sz w:val="16"/>
                <w:szCs w:val="16"/>
              </w:rPr>
            </w:pPr>
          </w:p>
        </w:tc>
        <w:tc>
          <w:tcPr>
            <w:tcW w:w="1367" w:type="dxa"/>
            <w:vMerge/>
          </w:tcPr>
          <w:p w14:paraId="63E7102A" w14:textId="77777777" w:rsidR="00375AE8" w:rsidRPr="00F04D18" w:rsidRDefault="00375AE8" w:rsidP="00A34406">
            <w:pPr>
              <w:jc w:val="left"/>
              <w:rPr>
                <w:rFonts w:asciiTheme="majorHAnsi" w:hAnsiTheme="majorHAnsi"/>
                <w:sz w:val="16"/>
                <w:szCs w:val="16"/>
              </w:rPr>
            </w:pPr>
          </w:p>
        </w:tc>
        <w:tc>
          <w:tcPr>
            <w:tcW w:w="2414" w:type="dxa"/>
          </w:tcPr>
          <w:p w14:paraId="32640F79" w14:textId="7F177D1C" w:rsidR="00375AE8" w:rsidRPr="00F04D18" w:rsidRDefault="00375AE8" w:rsidP="00A34406">
            <w:pPr>
              <w:jc w:val="center"/>
              <w:rPr>
                <w:rFonts w:asciiTheme="majorHAnsi" w:hAnsiTheme="majorHAnsi"/>
                <w:sz w:val="16"/>
                <w:szCs w:val="16"/>
              </w:rPr>
            </w:pPr>
            <w:r>
              <w:rPr>
                <w:rFonts w:asciiTheme="majorHAnsi" w:hAnsiTheme="majorHAnsi"/>
                <w:sz w:val="16"/>
                <w:szCs w:val="16"/>
              </w:rPr>
              <w:t>Pilot biosecurity measures into Green-Certification Program</w:t>
            </w:r>
          </w:p>
        </w:tc>
        <w:tc>
          <w:tcPr>
            <w:tcW w:w="1309" w:type="dxa"/>
          </w:tcPr>
          <w:p w14:paraId="43B2643B" w14:textId="4EF1A449" w:rsidR="00375AE8" w:rsidRPr="00F04D18" w:rsidRDefault="00375AE8" w:rsidP="00A34406">
            <w:pPr>
              <w:jc w:val="center"/>
              <w:rPr>
                <w:rFonts w:asciiTheme="majorHAnsi" w:hAnsiTheme="majorHAnsi"/>
                <w:sz w:val="16"/>
                <w:szCs w:val="16"/>
              </w:rPr>
            </w:pPr>
            <w:r>
              <w:rPr>
                <w:rFonts w:asciiTheme="majorHAnsi" w:hAnsiTheme="majorHAnsi"/>
                <w:sz w:val="16"/>
                <w:szCs w:val="16"/>
              </w:rPr>
              <w:t>BOA and NISCO</w:t>
            </w:r>
          </w:p>
        </w:tc>
        <w:tc>
          <w:tcPr>
            <w:tcW w:w="610" w:type="dxa"/>
          </w:tcPr>
          <w:p w14:paraId="2DBC0C05" w14:textId="77777777" w:rsidR="00375AE8" w:rsidRPr="00F04D18" w:rsidRDefault="00375AE8" w:rsidP="00A34406">
            <w:pPr>
              <w:jc w:val="center"/>
              <w:rPr>
                <w:rFonts w:asciiTheme="majorHAnsi" w:hAnsiTheme="majorHAnsi"/>
                <w:sz w:val="16"/>
                <w:szCs w:val="16"/>
              </w:rPr>
            </w:pPr>
          </w:p>
        </w:tc>
        <w:tc>
          <w:tcPr>
            <w:tcW w:w="645" w:type="dxa"/>
          </w:tcPr>
          <w:p w14:paraId="2225D477" w14:textId="77777777" w:rsidR="00375AE8" w:rsidRPr="00F04D18" w:rsidRDefault="00375AE8" w:rsidP="00A34406">
            <w:pPr>
              <w:jc w:val="center"/>
              <w:rPr>
                <w:rFonts w:asciiTheme="majorHAnsi" w:hAnsiTheme="majorHAnsi"/>
                <w:sz w:val="16"/>
                <w:szCs w:val="16"/>
              </w:rPr>
            </w:pPr>
          </w:p>
        </w:tc>
        <w:tc>
          <w:tcPr>
            <w:tcW w:w="690" w:type="dxa"/>
          </w:tcPr>
          <w:p w14:paraId="205498FF" w14:textId="77777777" w:rsidR="00375AE8" w:rsidRPr="00F04D18" w:rsidRDefault="00375AE8" w:rsidP="00A34406">
            <w:pPr>
              <w:jc w:val="center"/>
              <w:rPr>
                <w:rFonts w:asciiTheme="majorHAnsi" w:hAnsiTheme="majorHAnsi"/>
                <w:sz w:val="16"/>
                <w:szCs w:val="16"/>
              </w:rPr>
            </w:pPr>
          </w:p>
        </w:tc>
        <w:tc>
          <w:tcPr>
            <w:tcW w:w="587" w:type="dxa"/>
          </w:tcPr>
          <w:p w14:paraId="687E3837" w14:textId="77777777" w:rsidR="00375AE8" w:rsidRPr="00F04D18" w:rsidRDefault="00375AE8" w:rsidP="00A34406">
            <w:pPr>
              <w:jc w:val="center"/>
              <w:rPr>
                <w:rFonts w:asciiTheme="majorHAnsi" w:hAnsiTheme="majorHAnsi"/>
                <w:sz w:val="16"/>
                <w:szCs w:val="16"/>
              </w:rPr>
            </w:pPr>
          </w:p>
        </w:tc>
        <w:tc>
          <w:tcPr>
            <w:tcW w:w="690" w:type="dxa"/>
          </w:tcPr>
          <w:p w14:paraId="4D3F7E0E" w14:textId="77777777" w:rsidR="00375AE8" w:rsidRPr="00F04D18" w:rsidRDefault="00375AE8" w:rsidP="00A34406">
            <w:pPr>
              <w:jc w:val="center"/>
              <w:rPr>
                <w:rFonts w:asciiTheme="majorHAnsi" w:hAnsiTheme="majorHAnsi"/>
                <w:sz w:val="16"/>
                <w:szCs w:val="16"/>
              </w:rPr>
            </w:pPr>
          </w:p>
        </w:tc>
        <w:tc>
          <w:tcPr>
            <w:tcW w:w="540" w:type="dxa"/>
            <w:shd w:val="clear" w:color="auto" w:fill="FBD4B4" w:themeFill="accent6" w:themeFillTint="66"/>
          </w:tcPr>
          <w:p w14:paraId="17D3C464" w14:textId="77777777" w:rsidR="00375AE8" w:rsidRPr="00F04D18" w:rsidRDefault="00375AE8" w:rsidP="00A34406">
            <w:pPr>
              <w:jc w:val="center"/>
              <w:rPr>
                <w:rFonts w:asciiTheme="majorHAnsi" w:hAnsiTheme="majorHAnsi"/>
                <w:sz w:val="16"/>
                <w:szCs w:val="16"/>
              </w:rPr>
            </w:pPr>
          </w:p>
        </w:tc>
        <w:tc>
          <w:tcPr>
            <w:tcW w:w="690" w:type="dxa"/>
            <w:shd w:val="clear" w:color="auto" w:fill="FBD4B4" w:themeFill="accent6" w:themeFillTint="66"/>
          </w:tcPr>
          <w:p w14:paraId="3221F9FC" w14:textId="77777777" w:rsidR="00375AE8" w:rsidRPr="00F04D18" w:rsidRDefault="00375AE8" w:rsidP="00A34406">
            <w:pPr>
              <w:jc w:val="center"/>
              <w:rPr>
                <w:rFonts w:asciiTheme="majorHAnsi" w:hAnsiTheme="majorHAnsi"/>
                <w:sz w:val="16"/>
                <w:szCs w:val="16"/>
              </w:rPr>
            </w:pPr>
          </w:p>
        </w:tc>
        <w:tc>
          <w:tcPr>
            <w:tcW w:w="534" w:type="dxa"/>
            <w:shd w:val="clear" w:color="auto" w:fill="FBD4B4" w:themeFill="accent6" w:themeFillTint="66"/>
          </w:tcPr>
          <w:p w14:paraId="5C80013A" w14:textId="77777777" w:rsidR="00375AE8" w:rsidRPr="00F04D18" w:rsidRDefault="00375AE8" w:rsidP="00A34406">
            <w:pPr>
              <w:jc w:val="center"/>
              <w:rPr>
                <w:rFonts w:asciiTheme="majorHAnsi" w:hAnsiTheme="majorHAnsi"/>
                <w:sz w:val="16"/>
                <w:szCs w:val="16"/>
              </w:rPr>
            </w:pPr>
          </w:p>
        </w:tc>
        <w:tc>
          <w:tcPr>
            <w:tcW w:w="690" w:type="dxa"/>
            <w:shd w:val="clear" w:color="auto" w:fill="FBD4B4" w:themeFill="accent6" w:themeFillTint="66"/>
          </w:tcPr>
          <w:p w14:paraId="35BBEF41" w14:textId="77777777" w:rsidR="00375AE8" w:rsidRPr="00F04D18" w:rsidRDefault="00375AE8" w:rsidP="00A34406">
            <w:pPr>
              <w:jc w:val="center"/>
              <w:rPr>
                <w:rFonts w:asciiTheme="majorHAnsi" w:hAnsiTheme="majorHAnsi"/>
                <w:sz w:val="16"/>
                <w:szCs w:val="16"/>
              </w:rPr>
            </w:pPr>
          </w:p>
        </w:tc>
        <w:tc>
          <w:tcPr>
            <w:tcW w:w="516" w:type="dxa"/>
            <w:shd w:val="clear" w:color="auto" w:fill="FBD4B4" w:themeFill="accent6" w:themeFillTint="66"/>
          </w:tcPr>
          <w:p w14:paraId="05D65AA5" w14:textId="77777777" w:rsidR="00375AE8" w:rsidRPr="00F04D18" w:rsidRDefault="00375AE8" w:rsidP="00A34406">
            <w:pPr>
              <w:jc w:val="center"/>
              <w:rPr>
                <w:rFonts w:asciiTheme="majorHAnsi" w:hAnsiTheme="majorHAnsi"/>
                <w:sz w:val="16"/>
                <w:szCs w:val="16"/>
              </w:rPr>
            </w:pPr>
          </w:p>
        </w:tc>
        <w:tc>
          <w:tcPr>
            <w:tcW w:w="690" w:type="dxa"/>
            <w:shd w:val="clear" w:color="auto" w:fill="FBD4B4" w:themeFill="accent6" w:themeFillTint="66"/>
          </w:tcPr>
          <w:p w14:paraId="0B60311B" w14:textId="77777777" w:rsidR="00375AE8" w:rsidRPr="00F04D18" w:rsidRDefault="00375AE8" w:rsidP="00A34406">
            <w:pPr>
              <w:jc w:val="center"/>
              <w:rPr>
                <w:rFonts w:asciiTheme="majorHAnsi" w:hAnsiTheme="majorHAnsi"/>
                <w:sz w:val="16"/>
                <w:szCs w:val="16"/>
              </w:rPr>
            </w:pPr>
          </w:p>
        </w:tc>
        <w:tc>
          <w:tcPr>
            <w:tcW w:w="513" w:type="dxa"/>
          </w:tcPr>
          <w:p w14:paraId="04487F07" w14:textId="77777777" w:rsidR="00375AE8" w:rsidRPr="00F04D18" w:rsidRDefault="00375AE8" w:rsidP="00A34406">
            <w:pPr>
              <w:jc w:val="center"/>
              <w:rPr>
                <w:rFonts w:asciiTheme="majorHAnsi" w:hAnsiTheme="majorHAnsi"/>
                <w:sz w:val="16"/>
                <w:szCs w:val="16"/>
              </w:rPr>
            </w:pPr>
          </w:p>
        </w:tc>
        <w:tc>
          <w:tcPr>
            <w:tcW w:w="690" w:type="dxa"/>
          </w:tcPr>
          <w:p w14:paraId="6C3DD514" w14:textId="77777777" w:rsidR="00375AE8" w:rsidRPr="00F04D18" w:rsidRDefault="00375AE8" w:rsidP="00A34406">
            <w:pPr>
              <w:jc w:val="center"/>
              <w:rPr>
                <w:rFonts w:asciiTheme="majorHAnsi" w:hAnsiTheme="majorHAnsi"/>
                <w:sz w:val="16"/>
                <w:szCs w:val="16"/>
              </w:rPr>
            </w:pPr>
          </w:p>
        </w:tc>
      </w:tr>
      <w:tr w:rsidR="00375AE8" w14:paraId="00C39238" w14:textId="77777777" w:rsidTr="00A34406">
        <w:tc>
          <w:tcPr>
            <w:tcW w:w="1441" w:type="dxa"/>
            <w:vMerge/>
          </w:tcPr>
          <w:p w14:paraId="5D988D23" w14:textId="77777777" w:rsidR="00375AE8" w:rsidRPr="00F04D18" w:rsidRDefault="00375AE8" w:rsidP="00F04D18">
            <w:pPr>
              <w:jc w:val="center"/>
              <w:rPr>
                <w:rFonts w:asciiTheme="majorHAnsi" w:hAnsiTheme="majorHAnsi"/>
                <w:sz w:val="16"/>
                <w:szCs w:val="16"/>
              </w:rPr>
            </w:pPr>
          </w:p>
        </w:tc>
        <w:tc>
          <w:tcPr>
            <w:tcW w:w="1367" w:type="dxa"/>
            <w:vMerge/>
          </w:tcPr>
          <w:p w14:paraId="406B4CFC" w14:textId="77777777" w:rsidR="00375AE8" w:rsidRPr="00F04D18" w:rsidRDefault="00375AE8" w:rsidP="00A34406">
            <w:pPr>
              <w:jc w:val="left"/>
              <w:rPr>
                <w:rFonts w:asciiTheme="majorHAnsi" w:hAnsiTheme="majorHAnsi"/>
                <w:sz w:val="16"/>
                <w:szCs w:val="16"/>
              </w:rPr>
            </w:pPr>
          </w:p>
        </w:tc>
        <w:tc>
          <w:tcPr>
            <w:tcW w:w="2414" w:type="dxa"/>
          </w:tcPr>
          <w:p w14:paraId="6F752E25" w14:textId="7091802A" w:rsidR="00375AE8" w:rsidRPr="00F04D18" w:rsidRDefault="00375AE8" w:rsidP="00A34406">
            <w:pPr>
              <w:jc w:val="center"/>
              <w:rPr>
                <w:rFonts w:asciiTheme="majorHAnsi" w:hAnsiTheme="majorHAnsi"/>
                <w:sz w:val="16"/>
                <w:szCs w:val="16"/>
              </w:rPr>
            </w:pPr>
            <w:r>
              <w:rPr>
                <w:rFonts w:asciiTheme="majorHAnsi" w:hAnsiTheme="majorHAnsi"/>
                <w:sz w:val="16"/>
                <w:szCs w:val="16"/>
              </w:rPr>
              <w:t xml:space="preserve">Support best practices by tourist resorts </w:t>
            </w:r>
          </w:p>
        </w:tc>
        <w:tc>
          <w:tcPr>
            <w:tcW w:w="1309" w:type="dxa"/>
          </w:tcPr>
          <w:p w14:paraId="7D783008" w14:textId="273852BF" w:rsidR="00375AE8" w:rsidRPr="00F04D18" w:rsidRDefault="00375AE8" w:rsidP="00A34406">
            <w:pPr>
              <w:jc w:val="center"/>
              <w:rPr>
                <w:rFonts w:asciiTheme="majorHAnsi" w:hAnsiTheme="majorHAnsi"/>
                <w:sz w:val="16"/>
                <w:szCs w:val="16"/>
              </w:rPr>
            </w:pPr>
            <w:r>
              <w:rPr>
                <w:rFonts w:asciiTheme="majorHAnsi" w:hAnsiTheme="majorHAnsi"/>
                <w:sz w:val="16"/>
                <w:szCs w:val="16"/>
              </w:rPr>
              <w:t>BOA</w:t>
            </w:r>
          </w:p>
        </w:tc>
        <w:tc>
          <w:tcPr>
            <w:tcW w:w="610" w:type="dxa"/>
          </w:tcPr>
          <w:p w14:paraId="06D7A702" w14:textId="77777777" w:rsidR="00375AE8" w:rsidRPr="00F04D18" w:rsidRDefault="00375AE8" w:rsidP="00A34406">
            <w:pPr>
              <w:jc w:val="center"/>
              <w:rPr>
                <w:rFonts w:asciiTheme="majorHAnsi" w:hAnsiTheme="majorHAnsi"/>
                <w:sz w:val="16"/>
                <w:szCs w:val="16"/>
              </w:rPr>
            </w:pPr>
          </w:p>
        </w:tc>
        <w:tc>
          <w:tcPr>
            <w:tcW w:w="645" w:type="dxa"/>
          </w:tcPr>
          <w:p w14:paraId="1A2EB432" w14:textId="77777777" w:rsidR="00375AE8" w:rsidRPr="00F04D18" w:rsidRDefault="00375AE8" w:rsidP="00A34406">
            <w:pPr>
              <w:jc w:val="center"/>
              <w:rPr>
                <w:rFonts w:asciiTheme="majorHAnsi" w:hAnsiTheme="majorHAnsi"/>
                <w:sz w:val="16"/>
                <w:szCs w:val="16"/>
              </w:rPr>
            </w:pPr>
          </w:p>
        </w:tc>
        <w:tc>
          <w:tcPr>
            <w:tcW w:w="690" w:type="dxa"/>
          </w:tcPr>
          <w:p w14:paraId="0CC3AC0C" w14:textId="77777777" w:rsidR="00375AE8" w:rsidRPr="00F04D18" w:rsidRDefault="00375AE8" w:rsidP="00A34406">
            <w:pPr>
              <w:jc w:val="center"/>
              <w:rPr>
                <w:rFonts w:asciiTheme="majorHAnsi" w:hAnsiTheme="majorHAnsi"/>
                <w:sz w:val="16"/>
                <w:szCs w:val="16"/>
              </w:rPr>
            </w:pPr>
          </w:p>
        </w:tc>
        <w:tc>
          <w:tcPr>
            <w:tcW w:w="587" w:type="dxa"/>
            <w:shd w:val="clear" w:color="auto" w:fill="FBD4B4" w:themeFill="accent6" w:themeFillTint="66"/>
          </w:tcPr>
          <w:p w14:paraId="49ABFF95" w14:textId="77777777" w:rsidR="00375AE8" w:rsidRPr="00F04D18" w:rsidRDefault="00375AE8" w:rsidP="00A34406">
            <w:pPr>
              <w:jc w:val="center"/>
              <w:rPr>
                <w:rFonts w:asciiTheme="majorHAnsi" w:hAnsiTheme="majorHAnsi"/>
                <w:sz w:val="16"/>
                <w:szCs w:val="16"/>
              </w:rPr>
            </w:pPr>
          </w:p>
        </w:tc>
        <w:tc>
          <w:tcPr>
            <w:tcW w:w="690" w:type="dxa"/>
            <w:shd w:val="clear" w:color="auto" w:fill="FBD4B4" w:themeFill="accent6" w:themeFillTint="66"/>
          </w:tcPr>
          <w:p w14:paraId="6678CBF2" w14:textId="77777777" w:rsidR="00375AE8" w:rsidRPr="00F04D18" w:rsidRDefault="00375AE8" w:rsidP="00A34406">
            <w:pPr>
              <w:jc w:val="center"/>
              <w:rPr>
                <w:rFonts w:asciiTheme="majorHAnsi" w:hAnsiTheme="majorHAnsi"/>
                <w:sz w:val="16"/>
                <w:szCs w:val="16"/>
              </w:rPr>
            </w:pPr>
          </w:p>
        </w:tc>
        <w:tc>
          <w:tcPr>
            <w:tcW w:w="540" w:type="dxa"/>
            <w:shd w:val="clear" w:color="auto" w:fill="FBD4B4" w:themeFill="accent6" w:themeFillTint="66"/>
          </w:tcPr>
          <w:p w14:paraId="4334F46E" w14:textId="77777777" w:rsidR="00375AE8" w:rsidRPr="00F04D18" w:rsidRDefault="00375AE8" w:rsidP="00A34406">
            <w:pPr>
              <w:jc w:val="center"/>
              <w:rPr>
                <w:rFonts w:asciiTheme="majorHAnsi" w:hAnsiTheme="majorHAnsi"/>
                <w:sz w:val="16"/>
                <w:szCs w:val="16"/>
              </w:rPr>
            </w:pPr>
          </w:p>
        </w:tc>
        <w:tc>
          <w:tcPr>
            <w:tcW w:w="690" w:type="dxa"/>
            <w:shd w:val="clear" w:color="auto" w:fill="FBD4B4" w:themeFill="accent6" w:themeFillTint="66"/>
          </w:tcPr>
          <w:p w14:paraId="619200EB" w14:textId="77777777" w:rsidR="00375AE8" w:rsidRPr="00F04D18" w:rsidRDefault="00375AE8" w:rsidP="00A34406">
            <w:pPr>
              <w:jc w:val="center"/>
              <w:rPr>
                <w:rFonts w:asciiTheme="majorHAnsi" w:hAnsiTheme="majorHAnsi"/>
                <w:sz w:val="16"/>
                <w:szCs w:val="16"/>
              </w:rPr>
            </w:pPr>
          </w:p>
        </w:tc>
        <w:tc>
          <w:tcPr>
            <w:tcW w:w="534" w:type="dxa"/>
            <w:shd w:val="clear" w:color="auto" w:fill="FBD4B4" w:themeFill="accent6" w:themeFillTint="66"/>
          </w:tcPr>
          <w:p w14:paraId="393A12DC" w14:textId="77777777" w:rsidR="00375AE8" w:rsidRPr="00F04D18" w:rsidRDefault="00375AE8" w:rsidP="00A34406">
            <w:pPr>
              <w:jc w:val="center"/>
              <w:rPr>
                <w:rFonts w:asciiTheme="majorHAnsi" w:hAnsiTheme="majorHAnsi"/>
                <w:sz w:val="16"/>
                <w:szCs w:val="16"/>
              </w:rPr>
            </w:pPr>
          </w:p>
        </w:tc>
        <w:tc>
          <w:tcPr>
            <w:tcW w:w="690" w:type="dxa"/>
            <w:shd w:val="clear" w:color="auto" w:fill="FBD4B4" w:themeFill="accent6" w:themeFillTint="66"/>
          </w:tcPr>
          <w:p w14:paraId="03F25373" w14:textId="77777777" w:rsidR="00375AE8" w:rsidRPr="00F04D18" w:rsidRDefault="00375AE8" w:rsidP="00A34406">
            <w:pPr>
              <w:jc w:val="center"/>
              <w:rPr>
                <w:rFonts w:asciiTheme="majorHAnsi" w:hAnsiTheme="majorHAnsi"/>
                <w:sz w:val="16"/>
                <w:szCs w:val="16"/>
              </w:rPr>
            </w:pPr>
          </w:p>
        </w:tc>
        <w:tc>
          <w:tcPr>
            <w:tcW w:w="516" w:type="dxa"/>
            <w:shd w:val="clear" w:color="auto" w:fill="FBD4B4" w:themeFill="accent6" w:themeFillTint="66"/>
          </w:tcPr>
          <w:p w14:paraId="027807DF" w14:textId="77777777" w:rsidR="00375AE8" w:rsidRPr="00F04D18" w:rsidRDefault="00375AE8" w:rsidP="00A34406">
            <w:pPr>
              <w:jc w:val="center"/>
              <w:rPr>
                <w:rFonts w:asciiTheme="majorHAnsi" w:hAnsiTheme="majorHAnsi"/>
                <w:sz w:val="16"/>
                <w:szCs w:val="16"/>
              </w:rPr>
            </w:pPr>
          </w:p>
        </w:tc>
        <w:tc>
          <w:tcPr>
            <w:tcW w:w="690" w:type="dxa"/>
            <w:shd w:val="clear" w:color="auto" w:fill="FBD4B4" w:themeFill="accent6" w:themeFillTint="66"/>
          </w:tcPr>
          <w:p w14:paraId="51D2A61D" w14:textId="77777777" w:rsidR="00375AE8" w:rsidRPr="00F04D18" w:rsidRDefault="00375AE8" w:rsidP="00A34406">
            <w:pPr>
              <w:jc w:val="center"/>
              <w:rPr>
                <w:rFonts w:asciiTheme="majorHAnsi" w:hAnsiTheme="majorHAnsi"/>
                <w:sz w:val="16"/>
                <w:szCs w:val="16"/>
              </w:rPr>
            </w:pPr>
          </w:p>
        </w:tc>
        <w:tc>
          <w:tcPr>
            <w:tcW w:w="513" w:type="dxa"/>
          </w:tcPr>
          <w:p w14:paraId="193B97E8" w14:textId="77777777" w:rsidR="00375AE8" w:rsidRPr="00F04D18" w:rsidRDefault="00375AE8" w:rsidP="00A34406">
            <w:pPr>
              <w:jc w:val="center"/>
              <w:rPr>
                <w:rFonts w:asciiTheme="majorHAnsi" w:hAnsiTheme="majorHAnsi"/>
                <w:sz w:val="16"/>
                <w:szCs w:val="16"/>
              </w:rPr>
            </w:pPr>
          </w:p>
        </w:tc>
        <w:tc>
          <w:tcPr>
            <w:tcW w:w="690" w:type="dxa"/>
          </w:tcPr>
          <w:p w14:paraId="1E3F62F2" w14:textId="77777777" w:rsidR="00375AE8" w:rsidRPr="00F04D18" w:rsidRDefault="00375AE8" w:rsidP="00A34406">
            <w:pPr>
              <w:jc w:val="center"/>
              <w:rPr>
                <w:rFonts w:asciiTheme="majorHAnsi" w:hAnsiTheme="majorHAnsi"/>
                <w:sz w:val="16"/>
                <w:szCs w:val="16"/>
              </w:rPr>
            </w:pPr>
          </w:p>
        </w:tc>
      </w:tr>
      <w:tr w:rsidR="00375AE8" w14:paraId="0271B0AA" w14:textId="77777777" w:rsidTr="00A34406">
        <w:tc>
          <w:tcPr>
            <w:tcW w:w="1441" w:type="dxa"/>
            <w:vMerge/>
          </w:tcPr>
          <w:p w14:paraId="3E0ED692" w14:textId="77777777" w:rsidR="00375AE8" w:rsidRPr="00F04D18" w:rsidRDefault="00375AE8" w:rsidP="00F04D18">
            <w:pPr>
              <w:jc w:val="center"/>
              <w:rPr>
                <w:rFonts w:asciiTheme="majorHAnsi" w:hAnsiTheme="majorHAnsi"/>
                <w:sz w:val="16"/>
                <w:szCs w:val="16"/>
              </w:rPr>
            </w:pPr>
          </w:p>
        </w:tc>
        <w:tc>
          <w:tcPr>
            <w:tcW w:w="1367" w:type="dxa"/>
            <w:vMerge/>
          </w:tcPr>
          <w:p w14:paraId="5A4A7462" w14:textId="77777777" w:rsidR="00375AE8" w:rsidRPr="00F04D18" w:rsidRDefault="00375AE8" w:rsidP="00A34406">
            <w:pPr>
              <w:jc w:val="left"/>
              <w:rPr>
                <w:rFonts w:asciiTheme="majorHAnsi" w:hAnsiTheme="majorHAnsi"/>
                <w:sz w:val="16"/>
                <w:szCs w:val="16"/>
              </w:rPr>
            </w:pPr>
          </w:p>
        </w:tc>
        <w:tc>
          <w:tcPr>
            <w:tcW w:w="2414" w:type="dxa"/>
          </w:tcPr>
          <w:p w14:paraId="755FA92B" w14:textId="35785D12" w:rsidR="00375AE8" w:rsidRPr="00F04D18" w:rsidRDefault="00375AE8" w:rsidP="00A34406">
            <w:pPr>
              <w:jc w:val="center"/>
              <w:rPr>
                <w:rFonts w:asciiTheme="majorHAnsi" w:hAnsiTheme="majorHAnsi"/>
                <w:sz w:val="16"/>
                <w:szCs w:val="16"/>
              </w:rPr>
            </w:pPr>
            <w:r>
              <w:rPr>
                <w:rFonts w:asciiTheme="majorHAnsi" w:hAnsiTheme="majorHAnsi"/>
                <w:sz w:val="16"/>
                <w:szCs w:val="16"/>
              </w:rPr>
              <w:t>Support piloting of best practices in Peleliu in agriculture, aquaculture, tourism, forestry and fisheries</w:t>
            </w:r>
          </w:p>
        </w:tc>
        <w:tc>
          <w:tcPr>
            <w:tcW w:w="1309" w:type="dxa"/>
          </w:tcPr>
          <w:p w14:paraId="71E9C117" w14:textId="36CB3524" w:rsidR="00375AE8" w:rsidRPr="00F04D18" w:rsidRDefault="00375AE8" w:rsidP="00A34406">
            <w:pPr>
              <w:jc w:val="center"/>
              <w:rPr>
                <w:rFonts w:asciiTheme="majorHAnsi" w:hAnsiTheme="majorHAnsi"/>
                <w:sz w:val="16"/>
                <w:szCs w:val="16"/>
              </w:rPr>
            </w:pPr>
            <w:r>
              <w:rPr>
                <w:rFonts w:asciiTheme="majorHAnsi" w:hAnsiTheme="majorHAnsi"/>
                <w:sz w:val="16"/>
                <w:szCs w:val="16"/>
              </w:rPr>
              <w:t>MNRET</w:t>
            </w:r>
          </w:p>
        </w:tc>
        <w:tc>
          <w:tcPr>
            <w:tcW w:w="610" w:type="dxa"/>
          </w:tcPr>
          <w:p w14:paraId="2FA193E8" w14:textId="77777777" w:rsidR="00375AE8" w:rsidRPr="00F04D18" w:rsidRDefault="00375AE8" w:rsidP="00A34406">
            <w:pPr>
              <w:jc w:val="center"/>
              <w:rPr>
                <w:rFonts w:asciiTheme="majorHAnsi" w:hAnsiTheme="majorHAnsi"/>
                <w:sz w:val="16"/>
                <w:szCs w:val="16"/>
              </w:rPr>
            </w:pPr>
          </w:p>
        </w:tc>
        <w:tc>
          <w:tcPr>
            <w:tcW w:w="645" w:type="dxa"/>
          </w:tcPr>
          <w:p w14:paraId="64B3EB31" w14:textId="77777777" w:rsidR="00375AE8" w:rsidRPr="00F04D18" w:rsidRDefault="00375AE8" w:rsidP="00A34406">
            <w:pPr>
              <w:jc w:val="center"/>
              <w:rPr>
                <w:rFonts w:asciiTheme="majorHAnsi" w:hAnsiTheme="majorHAnsi"/>
                <w:sz w:val="16"/>
                <w:szCs w:val="16"/>
              </w:rPr>
            </w:pPr>
          </w:p>
        </w:tc>
        <w:tc>
          <w:tcPr>
            <w:tcW w:w="690" w:type="dxa"/>
          </w:tcPr>
          <w:p w14:paraId="6552B4AE" w14:textId="77777777" w:rsidR="00375AE8" w:rsidRPr="00F04D18" w:rsidRDefault="00375AE8" w:rsidP="00A34406">
            <w:pPr>
              <w:jc w:val="center"/>
              <w:rPr>
                <w:rFonts w:asciiTheme="majorHAnsi" w:hAnsiTheme="majorHAnsi"/>
                <w:sz w:val="16"/>
                <w:szCs w:val="16"/>
              </w:rPr>
            </w:pPr>
          </w:p>
        </w:tc>
        <w:tc>
          <w:tcPr>
            <w:tcW w:w="587" w:type="dxa"/>
          </w:tcPr>
          <w:p w14:paraId="30EA570C" w14:textId="77777777" w:rsidR="00375AE8" w:rsidRPr="00F04D18" w:rsidRDefault="00375AE8" w:rsidP="00A34406">
            <w:pPr>
              <w:jc w:val="center"/>
              <w:rPr>
                <w:rFonts w:asciiTheme="majorHAnsi" w:hAnsiTheme="majorHAnsi"/>
                <w:sz w:val="16"/>
                <w:szCs w:val="16"/>
              </w:rPr>
            </w:pPr>
          </w:p>
        </w:tc>
        <w:tc>
          <w:tcPr>
            <w:tcW w:w="690" w:type="dxa"/>
          </w:tcPr>
          <w:p w14:paraId="291A270D" w14:textId="77777777" w:rsidR="00375AE8" w:rsidRPr="00F04D18" w:rsidRDefault="00375AE8" w:rsidP="00A34406">
            <w:pPr>
              <w:jc w:val="center"/>
              <w:rPr>
                <w:rFonts w:asciiTheme="majorHAnsi" w:hAnsiTheme="majorHAnsi"/>
                <w:sz w:val="16"/>
                <w:szCs w:val="16"/>
              </w:rPr>
            </w:pPr>
          </w:p>
        </w:tc>
        <w:tc>
          <w:tcPr>
            <w:tcW w:w="540" w:type="dxa"/>
            <w:shd w:val="clear" w:color="auto" w:fill="FBD4B4" w:themeFill="accent6" w:themeFillTint="66"/>
          </w:tcPr>
          <w:p w14:paraId="6B58E055" w14:textId="77777777" w:rsidR="00375AE8" w:rsidRPr="00F04D18" w:rsidRDefault="00375AE8" w:rsidP="00A34406">
            <w:pPr>
              <w:jc w:val="center"/>
              <w:rPr>
                <w:rFonts w:asciiTheme="majorHAnsi" w:hAnsiTheme="majorHAnsi"/>
                <w:sz w:val="16"/>
                <w:szCs w:val="16"/>
              </w:rPr>
            </w:pPr>
          </w:p>
        </w:tc>
        <w:tc>
          <w:tcPr>
            <w:tcW w:w="690" w:type="dxa"/>
            <w:shd w:val="clear" w:color="auto" w:fill="FBD4B4" w:themeFill="accent6" w:themeFillTint="66"/>
          </w:tcPr>
          <w:p w14:paraId="4BA30913" w14:textId="77777777" w:rsidR="00375AE8" w:rsidRPr="00F04D18" w:rsidRDefault="00375AE8" w:rsidP="00A34406">
            <w:pPr>
              <w:jc w:val="center"/>
              <w:rPr>
                <w:rFonts w:asciiTheme="majorHAnsi" w:hAnsiTheme="majorHAnsi"/>
                <w:sz w:val="16"/>
                <w:szCs w:val="16"/>
              </w:rPr>
            </w:pPr>
          </w:p>
        </w:tc>
        <w:tc>
          <w:tcPr>
            <w:tcW w:w="534" w:type="dxa"/>
            <w:shd w:val="clear" w:color="auto" w:fill="FBD4B4" w:themeFill="accent6" w:themeFillTint="66"/>
          </w:tcPr>
          <w:p w14:paraId="48A002D5" w14:textId="77777777" w:rsidR="00375AE8" w:rsidRPr="00F04D18" w:rsidRDefault="00375AE8" w:rsidP="00A34406">
            <w:pPr>
              <w:jc w:val="center"/>
              <w:rPr>
                <w:rFonts w:asciiTheme="majorHAnsi" w:hAnsiTheme="majorHAnsi"/>
                <w:sz w:val="16"/>
                <w:szCs w:val="16"/>
              </w:rPr>
            </w:pPr>
          </w:p>
        </w:tc>
        <w:tc>
          <w:tcPr>
            <w:tcW w:w="690" w:type="dxa"/>
            <w:shd w:val="clear" w:color="auto" w:fill="FBD4B4" w:themeFill="accent6" w:themeFillTint="66"/>
          </w:tcPr>
          <w:p w14:paraId="3D99728E" w14:textId="77777777" w:rsidR="00375AE8" w:rsidRPr="00F04D18" w:rsidRDefault="00375AE8" w:rsidP="00A34406">
            <w:pPr>
              <w:jc w:val="center"/>
              <w:rPr>
                <w:rFonts w:asciiTheme="majorHAnsi" w:hAnsiTheme="majorHAnsi"/>
                <w:sz w:val="16"/>
                <w:szCs w:val="16"/>
              </w:rPr>
            </w:pPr>
          </w:p>
        </w:tc>
        <w:tc>
          <w:tcPr>
            <w:tcW w:w="516" w:type="dxa"/>
            <w:shd w:val="clear" w:color="auto" w:fill="FBD4B4" w:themeFill="accent6" w:themeFillTint="66"/>
          </w:tcPr>
          <w:p w14:paraId="42CC8EDF" w14:textId="77777777" w:rsidR="00375AE8" w:rsidRPr="00F04D18" w:rsidRDefault="00375AE8" w:rsidP="00A34406">
            <w:pPr>
              <w:jc w:val="center"/>
              <w:rPr>
                <w:rFonts w:asciiTheme="majorHAnsi" w:hAnsiTheme="majorHAnsi"/>
                <w:sz w:val="16"/>
                <w:szCs w:val="16"/>
              </w:rPr>
            </w:pPr>
          </w:p>
        </w:tc>
        <w:tc>
          <w:tcPr>
            <w:tcW w:w="690" w:type="dxa"/>
            <w:shd w:val="clear" w:color="auto" w:fill="FBD4B4" w:themeFill="accent6" w:themeFillTint="66"/>
          </w:tcPr>
          <w:p w14:paraId="3C91E052" w14:textId="77777777" w:rsidR="00375AE8" w:rsidRPr="00F04D18" w:rsidRDefault="00375AE8" w:rsidP="00A34406">
            <w:pPr>
              <w:jc w:val="center"/>
              <w:rPr>
                <w:rFonts w:asciiTheme="majorHAnsi" w:hAnsiTheme="majorHAnsi"/>
                <w:sz w:val="16"/>
                <w:szCs w:val="16"/>
              </w:rPr>
            </w:pPr>
          </w:p>
        </w:tc>
        <w:tc>
          <w:tcPr>
            <w:tcW w:w="513" w:type="dxa"/>
            <w:shd w:val="clear" w:color="auto" w:fill="FBD4B4" w:themeFill="accent6" w:themeFillTint="66"/>
          </w:tcPr>
          <w:p w14:paraId="4357856D" w14:textId="77777777" w:rsidR="00375AE8" w:rsidRPr="00F04D18" w:rsidRDefault="00375AE8" w:rsidP="00A34406">
            <w:pPr>
              <w:jc w:val="center"/>
              <w:rPr>
                <w:rFonts w:asciiTheme="majorHAnsi" w:hAnsiTheme="majorHAnsi"/>
                <w:sz w:val="16"/>
                <w:szCs w:val="16"/>
              </w:rPr>
            </w:pPr>
          </w:p>
        </w:tc>
        <w:tc>
          <w:tcPr>
            <w:tcW w:w="690" w:type="dxa"/>
            <w:shd w:val="clear" w:color="auto" w:fill="FBD4B4" w:themeFill="accent6" w:themeFillTint="66"/>
          </w:tcPr>
          <w:p w14:paraId="0FA6860F" w14:textId="77777777" w:rsidR="00375AE8" w:rsidRPr="00F04D18" w:rsidRDefault="00375AE8" w:rsidP="00A34406">
            <w:pPr>
              <w:jc w:val="center"/>
              <w:rPr>
                <w:rFonts w:asciiTheme="majorHAnsi" w:hAnsiTheme="majorHAnsi"/>
                <w:sz w:val="16"/>
                <w:szCs w:val="16"/>
              </w:rPr>
            </w:pPr>
          </w:p>
        </w:tc>
      </w:tr>
      <w:tr w:rsidR="00375AE8" w14:paraId="4BD803DE" w14:textId="77777777" w:rsidTr="00222E1F">
        <w:tc>
          <w:tcPr>
            <w:tcW w:w="1441" w:type="dxa"/>
            <w:vMerge w:val="restart"/>
          </w:tcPr>
          <w:p w14:paraId="7B0B4542" w14:textId="7AE3EE33" w:rsidR="00375AE8" w:rsidRPr="00F04D18" w:rsidRDefault="00375AE8" w:rsidP="00F04D18">
            <w:pPr>
              <w:jc w:val="center"/>
              <w:rPr>
                <w:rFonts w:asciiTheme="majorHAnsi" w:hAnsiTheme="majorHAnsi"/>
                <w:sz w:val="16"/>
                <w:szCs w:val="16"/>
              </w:rPr>
            </w:pPr>
            <w:r>
              <w:rPr>
                <w:rFonts w:asciiTheme="majorHAnsi" w:hAnsiTheme="majorHAnsi"/>
                <w:sz w:val="16"/>
                <w:szCs w:val="16"/>
              </w:rPr>
              <w:t>Improved surveillance and enforcement for tourism, aquaculture and fisheries</w:t>
            </w:r>
          </w:p>
        </w:tc>
        <w:tc>
          <w:tcPr>
            <w:tcW w:w="1367" w:type="dxa"/>
            <w:vMerge w:val="restart"/>
          </w:tcPr>
          <w:p w14:paraId="7A6CDE66" w14:textId="03E75ECD" w:rsidR="00375AE8" w:rsidRPr="00F04D18" w:rsidRDefault="00375AE8" w:rsidP="00A34406">
            <w:pPr>
              <w:jc w:val="center"/>
              <w:rPr>
                <w:rFonts w:asciiTheme="majorHAnsi" w:hAnsiTheme="majorHAnsi"/>
                <w:sz w:val="16"/>
                <w:szCs w:val="16"/>
              </w:rPr>
            </w:pPr>
            <w:r>
              <w:rPr>
                <w:rFonts w:asciiTheme="majorHAnsi" w:hAnsiTheme="majorHAnsi"/>
                <w:sz w:val="16"/>
                <w:szCs w:val="16"/>
              </w:rPr>
              <w:t xml:space="preserve">Laws and regulations </w:t>
            </w:r>
          </w:p>
        </w:tc>
        <w:tc>
          <w:tcPr>
            <w:tcW w:w="2414" w:type="dxa"/>
          </w:tcPr>
          <w:p w14:paraId="3D9CDEC6" w14:textId="71466DA9" w:rsidR="00375AE8" w:rsidRPr="00F04D18" w:rsidRDefault="00375AE8" w:rsidP="00F04D18">
            <w:pPr>
              <w:jc w:val="center"/>
              <w:rPr>
                <w:rFonts w:asciiTheme="majorHAnsi" w:hAnsiTheme="majorHAnsi"/>
                <w:sz w:val="16"/>
                <w:szCs w:val="16"/>
              </w:rPr>
            </w:pPr>
            <w:r>
              <w:rPr>
                <w:rFonts w:asciiTheme="majorHAnsi" w:hAnsiTheme="majorHAnsi"/>
                <w:sz w:val="16"/>
                <w:szCs w:val="16"/>
              </w:rPr>
              <w:t>Trial updated rules and regulations for enforcement</w:t>
            </w:r>
          </w:p>
        </w:tc>
        <w:tc>
          <w:tcPr>
            <w:tcW w:w="1309" w:type="dxa"/>
          </w:tcPr>
          <w:p w14:paraId="461B252D" w14:textId="2CC2720F" w:rsidR="00375AE8" w:rsidRPr="00F04D18" w:rsidRDefault="00375AE8" w:rsidP="00F04D18">
            <w:pPr>
              <w:jc w:val="center"/>
              <w:rPr>
                <w:rFonts w:asciiTheme="majorHAnsi" w:hAnsiTheme="majorHAnsi"/>
                <w:sz w:val="16"/>
                <w:szCs w:val="16"/>
              </w:rPr>
            </w:pPr>
            <w:r>
              <w:rPr>
                <w:rFonts w:asciiTheme="majorHAnsi" w:hAnsiTheme="majorHAnsi"/>
                <w:sz w:val="16"/>
                <w:szCs w:val="16"/>
              </w:rPr>
              <w:t>DFWP and Koror State</w:t>
            </w:r>
          </w:p>
        </w:tc>
        <w:tc>
          <w:tcPr>
            <w:tcW w:w="610" w:type="dxa"/>
          </w:tcPr>
          <w:p w14:paraId="1A6E019F" w14:textId="77777777" w:rsidR="00375AE8" w:rsidRPr="00F04D18" w:rsidRDefault="00375AE8" w:rsidP="00F04D18">
            <w:pPr>
              <w:jc w:val="center"/>
              <w:rPr>
                <w:rFonts w:asciiTheme="majorHAnsi" w:hAnsiTheme="majorHAnsi"/>
                <w:sz w:val="16"/>
                <w:szCs w:val="16"/>
              </w:rPr>
            </w:pPr>
          </w:p>
        </w:tc>
        <w:tc>
          <w:tcPr>
            <w:tcW w:w="645" w:type="dxa"/>
          </w:tcPr>
          <w:p w14:paraId="0940F52D" w14:textId="77777777" w:rsidR="00375AE8" w:rsidRPr="00F04D18" w:rsidRDefault="00375AE8" w:rsidP="00F04D18">
            <w:pPr>
              <w:jc w:val="center"/>
              <w:rPr>
                <w:rFonts w:asciiTheme="majorHAnsi" w:hAnsiTheme="majorHAnsi"/>
                <w:sz w:val="16"/>
                <w:szCs w:val="16"/>
              </w:rPr>
            </w:pPr>
          </w:p>
        </w:tc>
        <w:tc>
          <w:tcPr>
            <w:tcW w:w="690" w:type="dxa"/>
          </w:tcPr>
          <w:p w14:paraId="1C0A6C9B" w14:textId="77777777" w:rsidR="00375AE8" w:rsidRPr="00F04D18" w:rsidRDefault="00375AE8" w:rsidP="00F04D18">
            <w:pPr>
              <w:jc w:val="center"/>
              <w:rPr>
                <w:rFonts w:asciiTheme="majorHAnsi" w:hAnsiTheme="majorHAnsi"/>
                <w:sz w:val="16"/>
                <w:szCs w:val="16"/>
              </w:rPr>
            </w:pPr>
          </w:p>
        </w:tc>
        <w:tc>
          <w:tcPr>
            <w:tcW w:w="587" w:type="dxa"/>
            <w:shd w:val="clear" w:color="auto" w:fill="FBD4B4" w:themeFill="accent6" w:themeFillTint="66"/>
          </w:tcPr>
          <w:p w14:paraId="56F5450F"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1A67269F" w14:textId="77777777" w:rsidR="00375AE8" w:rsidRPr="00F04D18" w:rsidRDefault="00375AE8" w:rsidP="00F04D18">
            <w:pPr>
              <w:jc w:val="center"/>
              <w:rPr>
                <w:rFonts w:asciiTheme="majorHAnsi" w:hAnsiTheme="majorHAnsi"/>
                <w:sz w:val="16"/>
                <w:szCs w:val="16"/>
              </w:rPr>
            </w:pPr>
          </w:p>
        </w:tc>
        <w:tc>
          <w:tcPr>
            <w:tcW w:w="540" w:type="dxa"/>
            <w:shd w:val="clear" w:color="auto" w:fill="FBD4B4" w:themeFill="accent6" w:themeFillTint="66"/>
          </w:tcPr>
          <w:p w14:paraId="024150E5"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1EC91E56" w14:textId="77777777" w:rsidR="00375AE8" w:rsidRPr="00F04D18" w:rsidRDefault="00375AE8" w:rsidP="00F04D18">
            <w:pPr>
              <w:jc w:val="center"/>
              <w:rPr>
                <w:rFonts w:asciiTheme="majorHAnsi" w:hAnsiTheme="majorHAnsi"/>
                <w:sz w:val="16"/>
                <w:szCs w:val="16"/>
              </w:rPr>
            </w:pPr>
          </w:p>
        </w:tc>
        <w:tc>
          <w:tcPr>
            <w:tcW w:w="534" w:type="dxa"/>
          </w:tcPr>
          <w:p w14:paraId="249D851D" w14:textId="77777777" w:rsidR="00375AE8" w:rsidRPr="00F04D18" w:rsidRDefault="00375AE8" w:rsidP="00F04D18">
            <w:pPr>
              <w:jc w:val="center"/>
              <w:rPr>
                <w:rFonts w:asciiTheme="majorHAnsi" w:hAnsiTheme="majorHAnsi"/>
                <w:sz w:val="16"/>
                <w:szCs w:val="16"/>
              </w:rPr>
            </w:pPr>
          </w:p>
        </w:tc>
        <w:tc>
          <w:tcPr>
            <w:tcW w:w="690" w:type="dxa"/>
          </w:tcPr>
          <w:p w14:paraId="4A087909" w14:textId="77777777" w:rsidR="00375AE8" w:rsidRPr="00F04D18" w:rsidRDefault="00375AE8" w:rsidP="00F04D18">
            <w:pPr>
              <w:jc w:val="center"/>
              <w:rPr>
                <w:rFonts w:asciiTheme="majorHAnsi" w:hAnsiTheme="majorHAnsi"/>
                <w:sz w:val="16"/>
                <w:szCs w:val="16"/>
              </w:rPr>
            </w:pPr>
          </w:p>
        </w:tc>
        <w:tc>
          <w:tcPr>
            <w:tcW w:w="516" w:type="dxa"/>
          </w:tcPr>
          <w:p w14:paraId="42181D65" w14:textId="77777777" w:rsidR="00375AE8" w:rsidRPr="00F04D18" w:rsidRDefault="00375AE8" w:rsidP="00F04D18">
            <w:pPr>
              <w:jc w:val="center"/>
              <w:rPr>
                <w:rFonts w:asciiTheme="majorHAnsi" w:hAnsiTheme="majorHAnsi"/>
                <w:sz w:val="16"/>
                <w:szCs w:val="16"/>
              </w:rPr>
            </w:pPr>
          </w:p>
        </w:tc>
        <w:tc>
          <w:tcPr>
            <w:tcW w:w="690" w:type="dxa"/>
          </w:tcPr>
          <w:p w14:paraId="322C7E57" w14:textId="77777777" w:rsidR="00375AE8" w:rsidRPr="00F04D18" w:rsidRDefault="00375AE8" w:rsidP="00F04D18">
            <w:pPr>
              <w:jc w:val="center"/>
              <w:rPr>
                <w:rFonts w:asciiTheme="majorHAnsi" w:hAnsiTheme="majorHAnsi"/>
                <w:sz w:val="16"/>
                <w:szCs w:val="16"/>
              </w:rPr>
            </w:pPr>
          </w:p>
        </w:tc>
        <w:tc>
          <w:tcPr>
            <w:tcW w:w="513" w:type="dxa"/>
          </w:tcPr>
          <w:p w14:paraId="6FF7907E" w14:textId="77777777" w:rsidR="00375AE8" w:rsidRPr="00F04D18" w:rsidRDefault="00375AE8" w:rsidP="00F04D18">
            <w:pPr>
              <w:jc w:val="center"/>
              <w:rPr>
                <w:rFonts w:asciiTheme="majorHAnsi" w:hAnsiTheme="majorHAnsi"/>
                <w:sz w:val="16"/>
                <w:szCs w:val="16"/>
              </w:rPr>
            </w:pPr>
          </w:p>
        </w:tc>
        <w:tc>
          <w:tcPr>
            <w:tcW w:w="690" w:type="dxa"/>
          </w:tcPr>
          <w:p w14:paraId="076F1728" w14:textId="77777777" w:rsidR="00375AE8" w:rsidRPr="00F04D18" w:rsidRDefault="00375AE8" w:rsidP="00F04D18">
            <w:pPr>
              <w:jc w:val="center"/>
              <w:rPr>
                <w:rFonts w:asciiTheme="majorHAnsi" w:hAnsiTheme="majorHAnsi"/>
                <w:sz w:val="16"/>
                <w:szCs w:val="16"/>
              </w:rPr>
            </w:pPr>
          </w:p>
        </w:tc>
      </w:tr>
      <w:tr w:rsidR="00375AE8" w14:paraId="1A6913AC" w14:textId="77777777" w:rsidTr="00222E1F">
        <w:tc>
          <w:tcPr>
            <w:tcW w:w="1441" w:type="dxa"/>
            <w:vMerge/>
          </w:tcPr>
          <w:p w14:paraId="3919272D" w14:textId="77777777" w:rsidR="00375AE8" w:rsidRPr="00F04D18" w:rsidRDefault="00375AE8" w:rsidP="00F04D18">
            <w:pPr>
              <w:jc w:val="center"/>
              <w:rPr>
                <w:rFonts w:asciiTheme="majorHAnsi" w:hAnsiTheme="majorHAnsi"/>
                <w:sz w:val="16"/>
                <w:szCs w:val="16"/>
              </w:rPr>
            </w:pPr>
          </w:p>
        </w:tc>
        <w:tc>
          <w:tcPr>
            <w:tcW w:w="1367" w:type="dxa"/>
            <w:vMerge/>
          </w:tcPr>
          <w:p w14:paraId="1500C6C9" w14:textId="77777777" w:rsidR="00375AE8" w:rsidRPr="00F04D18" w:rsidRDefault="00375AE8" w:rsidP="00F04D18">
            <w:pPr>
              <w:jc w:val="center"/>
              <w:rPr>
                <w:rFonts w:asciiTheme="majorHAnsi" w:hAnsiTheme="majorHAnsi"/>
                <w:sz w:val="16"/>
                <w:szCs w:val="16"/>
              </w:rPr>
            </w:pPr>
          </w:p>
        </w:tc>
        <w:tc>
          <w:tcPr>
            <w:tcW w:w="2414" w:type="dxa"/>
          </w:tcPr>
          <w:p w14:paraId="59D6D3E7" w14:textId="35E9D299" w:rsidR="00375AE8" w:rsidRPr="00F04D18" w:rsidRDefault="00375AE8" w:rsidP="00F04D18">
            <w:pPr>
              <w:jc w:val="center"/>
              <w:rPr>
                <w:rFonts w:asciiTheme="majorHAnsi" w:hAnsiTheme="majorHAnsi"/>
                <w:sz w:val="16"/>
                <w:szCs w:val="16"/>
              </w:rPr>
            </w:pPr>
            <w:r>
              <w:rPr>
                <w:rFonts w:asciiTheme="majorHAnsi" w:hAnsiTheme="majorHAnsi"/>
                <w:sz w:val="16"/>
                <w:szCs w:val="16"/>
              </w:rPr>
              <w:t>Applying and modifying rules and regulations for penalties and misconduct at State level</w:t>
            </w:r>
          </w:p>
        </w:tc>
        <w:tc>
          <w:tcPr>
            <w:tcW w:w="1309" w:type="dxa"/>
          </w:tcPr>
          <w:p w14:paraId="218C1851" w14:textId="3A9E63F8" w:rsidR="00375AE8" w:rsidRPr="00F04D18" w:rsidRDefault="00375AE8" w:rsidP="00F04D18">
            <w:pPr>
              <w:jc w:val="center"/>
              <w:rPr>
                <w:rFonts w:asciiTheme="majorHAnsi" w:hAnsiTheme="majorHAnsi"/>
                <w:sz w:val="16"/>
                <w:szCs w:val="16"/>
              </w:rPr>
            </w:pPr>
            <w:r>
              <w:rPr>
                <w:rFonts w:asciiTheme="majorHAnsi" w:hAnsiTheme="majorHAnsi"/>
                <w:sz w:val="16"/>
                <w:szCs w:val="16"/>
              </w:rPr>
              <w:t>Koror State</w:t>
            </w:r>
          </w:p>
        </w:tc>
        <w:tc>
          <w:tcPr>
            <w:tcW w:w="610" w:type="dxa"/>
          </w:tcPr>
          <w:p w14:paraId="168D9546" w14:textId="77777777" w:rsidR="00375AE8" w:rsidRPr="00F04D18" w:rsidRDefault="00375AE8" w:rsidP="00F04D18">
            <w:pPr>
              <w:jc w:val="center"/>
              <w:rPr>
                <w:rFonts w:asciiTheme="majorHAnsi" w:hAnsiTheme="majorHAnsi"/>
                <w:sz w:val="16"/>
                <w:szCs w:val="16"/>
              </w:rPr>
            </w:pPr>
          </w:p>
        </w:tc>
        <w:tc>
          <w:tcPr>
            <w:tcW w:w="645" w:type="dxa"/>
          </w:tcPr>
          <w:p w14:paraId="50A45A99" w14:textId="77777777" w:rsidR="00375AE8" w:rsidRPr="00F04D18" w:rsidRDefault="00375AE8" w:rsidP="00F04D18">
            <w:pPr>
              <w:jc w:val="center"/>
              <w:rPr>
                <w:rFonts w:asciiTheme="majorHAnsi" w:hAnsiTheme="majorHAnsi"/>
                <w:sz w:val="16"/>
                <w:szCs w:val="16"/>
              </w:rPr>
            </w:pPr>
          </w:p>
        </w:tc>
        <w:tc>
          <w:tcPr>
            <w:tcW w:w="690" w:type="dxa"/>
          </w:tcPr>
          <w:p w14:paraId="4C3473F3" w14:textId="77777777" w:rsidR="00375AE8" w:rsidRPr="00F04D18" w:rsidRDefault="00375AE8" w:rsidP="00F04D18">
            <w:pPr>
              <w:jc w:val="center"/>
              <w:rPr>
                <w:rFonts w:asciiTheme="majorHAnsi" w:hAnsiTheme="majorHAnsi"/>
                <w:sz w:val="16"/>
                <w:szCs w:val="16"/>
              </w:rPr>
            </w:pPr>
          </w:p>
        </w:tc>
        <w:tc>
          <w:tcPr>
            <w:tcW w:w="587" w:type="dxa"/>
          </w:tcPr>
          <w:p w14:paraId="13511F5A" w14:textId="77777777" w:rsidR="00375AE8" w:rsidRPr="00F04D18" w:rsidRDefault="00375AE8" w:rsidP="00F04D18">
            <w:pPr>
              <w:jc w:val="center"/>
              <w:rPr>
                <w:rFonts w:asciiTheme="majorHAnsi" w:hAnsiTheme="majorHAnsi"/>
                <w:sz w:val="16"/>
                <w:szCs w:val="16"/>
              </w:rPr>
            </w:pPr>
          </w:p>
        </w:tc>
        <w:tc>
          <w:tcPr>
            <w:tcW w:w="690" w:type="dxa"/>
          </w:tcPr>
          <w:p w14:paraId="2A2C6CA7" w14:textId="77777777" w:rsidR="00375AE8" w:rsidRPr="00F04D18" w:rsidRDefault="00375AE8" w:rsidP="00F04D18">
            <w:pPr>
              <w:jc w:val="center"/>
              <w:rPr>
                <w:rFonts w:asciiTheme="majorHAnsi" w:hAnsiTheme="majorHAnsi"/>
                <w:sz w:val="16"/>
                <w:szCs w:val="16"/>
              </w:rPr>
            </w:pPr>
          </w:p>
        </w:tc>
        <w:tc>
          <w:tcPr>
            <w:tcW w:w="540" w:type="dxa"/>
            <w:shd w:val="clear" w:color="auto" w:fill="FBD4B4" w:themeFill="accent6" w:themeFillTint="66"/>
          </w:tcPr>
          <w:p w14:paraId="05511BE9"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13A879F0" w14:textId="77777777" w:rsidR="00375AE8" w:rsidRPr="00F04D18" w:rsidRDefault="00375AE8" w:rsidP="00F04D18">
            <w:pPr>
              <w:jc w:val="center"/>
              <w:rPr>
                <w:rFonts w:asciiTheme="majorHAnsi" w:hAnsiTheme="majorHAnsi"/>
                <w:sz w:val="16"/>
                <w:szCs w:val="16"/>
              </w:rPr>
            </w:pPr>
          </w:p>
        </w:tc>
        <w:tc>
          <w:tcPr>
            <w:tcW w:w="534" w:type="dxa"/>
          </w:tcPr>
          <w:p w14:paraId="415A99D2" w14:textId="77777777" w:rsidR="00375AE8" w:rsidRPr="00F04D18" w:rsidRDefault="00375AE8" w:rsidP="00F04D18">
            <w:pPr>
              <w:jc w:val="center"/>
              <w:rPr>
                <w:rFonts w:asciiTheme="majorHAnsi" w:hAnsiTheme="majorHAnsi"/>
                <w:sz w:val="16"/>
                <w:szCs w:val="16"/>
              </w:rPr>
            </w:pPr>
          </w:p>
        </w:tc>
        <w:tc>
          <w:tcPr>
            <w:tcW w:w="690" w:type="dxa"/>
          </w:tcPr>
          <w:p w14:paraId="4BCBD884" w14:textId="77777777" w:rsidR="00375AE8" w:rsidRPr="00F04D18" w:rsidRDefault="00375AE8" w:rsidP="00F04D18">
            <w:pPr>
              <w:jc w:val="center"/>
              <w:rPr>
                <w:rFonts w:asciiTheme="majorHAnsi" w:hAnsiTheme="majorHAnsi"/>
                <w:sz w:val="16"/>
                <w:szCs w:val="16"/>
              </w:rPr>
            </w:pPr>
          </w:p>
        </w:tc>
        <w:tc>
          <w:tcPr>
            <w:tcW w:w="516" w:type="dxa"/>
          </w:tcPr>
          <w:p w14:paraId="663E27E0" w14:textId="77777777" w:rsidR="00375AE8" w:rsidRPr="00F04D18" w:rsidRDefault="00375AE8" w:rsidP="00F04D18">
            <w:pPr>
              <w:jc w:val="center"/>
              <w:rPr>
                <w:rFonts w:asciiTheme="majorHAnsi" w:hAnsiTheme="majorHAnsi"/>
                <w:sz w:val="16"/>
                <w:szCs w:val="16"/>
              </w:rPr>
            </w:pPr>
          </w:p>
        </w:tc>
        <w:tc>
          <w:tcPr>
            <w:tcW w:w="690" w:type="dxa"/>
          </w:tcPr>
          <w:p w14:paraId="798CBA1A" w14:textId="77777777" w:rsidR="00375AE8" w:rsidRPr="00F04D18" w:rsidRDefault="00375AE8" w:rsidP="00F04D18">
            <w:pPr>
              <w:jc w:val="center"/>
              <w:rPr>
                <w:rFonts w:asciiTheme="majorHAnsi" w:hAnsiTheme="majorHAnsi"/>
                <w:sz w:val="16"/>
                <w:szCs w:val="16"/>
              </w:rPr>
            </w:pPr>
          </w:p>
        </w:tc>
        <w:tc>
          <w:tcPr>
            <w:tcW w:w="513" w:type="dxa"/>
          </w:tcPr>
          <w:p w14:paraId="26CC6FB5" w14:textId="77777777" w:rsidR="00375AE8" w:rsidRPr="00F04D18" w:rsidRDefault="00375AE8" w:rsidP="00F04D18">
            <w:pPr>
              <w:jc w:val="center"/>
              <w:rPr>
                <w:rFonts w:asciiTheme="majorHAnsi" w:hAnsiTheme="majorHAnsi"/>
                <w:sz w:val="16"/>
                <w:szCs w:val="16"/>
              </w:rPr>
            </w:pPr>
          </w:p>
        </w:tc>
        <w:tc>
          <w:tcPr>
            <w:tcW w:w="690" w:type="dxa"/>
          </w:tcPr>
          <w:p w14:paraId="0BE63AC3" w14:textId="77777777" w:rsidR="00375AE8" w:rsidRPr="00F04D18" w:rsidRDefault="00375AE8" w:rsidP="00F04D18">
            <w:pPr>
              <w:jc w:val="center"/>
              <w:rPr>
                <w:rFonts w:asciiTheme="majorHAnsi" w:hAnsiTheme="majorHAnsi"/>
                <w:sz w:val="16"/>
                <w:szCs w:val="16"/>
              </w:rPr>
            </w:pPr>
          </w:p>
        </w:tc>
      </w:tr>
      <w:tr w:rsidR="00375AE8" w14:paraId="7CDC3D41" w14:textId="77777777" w:rsidTr="00D744B6">
        <w:tc>
          <w:tcPr>
            <w:tcW w:w="1441" w:type="dxa"/>
            <w:vMerge/>
          </w:tcPr>
          <w:p w14:paraId="186D26F9" w14:textId="77777777" w:rsidR="00375AE8" w:rsidRPr="00F04D18" w:rsidRDefault="00375AE8" w:rsidP="00F04D18">
            <w:pPr>
              <w:jc w:val="center"/>
              <w:rPr>
                <w:rFonts w:asciiTheme="majorHAnsi" w:hAnsiTheme="majorHAnsi"/>
                <w:sz w:val="16"/>
                <w:szCs w:val="16"/>
              </w:rPr>
            </w:pPr>
          </w:p>
        </w:tc>
        <w:tc>
          <w:tcPr>
            <w:tcW w:w="1367" w:type="dxa"/>
          </w:tcPr>
          <w:p w14:paraId="2E7CD994" w14:textId="5323BE1E" w:rsidR="00375AE8" w:rsidRPr="00F04D18" w:rsidRDefault="00375AE8" w:rsidP="00D744B6">
            <w:pPr>
              <w:jc w:val="center"/>
              <w:rPr>
                <w:rFonts w:asciiTheme="majorHAnsi" w:hAnsiTheme="majorHAnsi"/>
                <w:sz w:val="16"/>
                <w:szCs w:val="16"/>
              </w:rPr>
            </w:pPr>
            <w:r>
              <w:rPr>
                <w:rFonts w:asciiTheme="majorHAnsi" w:hAnsiTheme="majorHAnsi"/>
                <w:sz w:val="16"/>
                <w:szCs w:val="16"/>
              </w:rPr>
              <w:t xml:space="preserve">Strengthened fisheries management </w:t>
            </w:r>
          </w:p>
        </w:tc>
        <w:tc>
          <w:tcPr>
            <w:tcW w:w="2414" w:type="dxa"/>
          </w:tcPr>
          <w:p w14:paraId="06B3C24F" w14:textId="73C72C08" w:rsidR="00375AE8" w:rsidRPr="00F04D18" w:rsidRDefault="00375AE8" w:rsidP="00F04D18">
            <w:pPr>
              <w:jc w:val="center"/>
              <w:rPr>
                <w:rFonts w:asciiTheme="majorHAnsi" w:hAnsiTheme="majorHAnsi"/>
                <w:sz w:val="16"/>
                <w:szCs w:val="16"/>
              </w:rPr>
            </w:pPr>
            <w:r>
              <w:rPr>
                <w:rFonts w:asciiTheme="majorHAnsi" w:hAnsiTheme="majorHAnsi"/>
                <w:sz w:val="16"/>
                <w:szCs w:val="16"/>
              </w:rPr>
              <w:t>Development of Strengthened protocols for fisheries management</w:t>
            </w:r>
          </w:p>
        </w:tc>
        <w:tc>
          <w:tcPr>
            <w:tcW w:w="1309" w:type="dxa"/>
          </w:tcPr>
          <w:p w14:paraId="39320560" w14:textId="696DF59C" w:rsidR="00375AE8" w:rsidRPr="00F04D18" w:rsidRDefault="00375AE8" w:rsidP="00F04D18">
            <w:pPr>
              <w:jc w:val="center"/>
              <w:rPr>
                <w:rFonts w:asciiTheme="majorHAnsi" w:hAnsiTheme="majorHAnsi"/>
                <w:sz w:val="16"/>
                <w:szCs w:val="16"/>
              </w:rPr>
            </w:pPr>
            <w:r>
              <w:rPr>
                <w:rFonts w:asciiTheme="majorHAnsi" w:hAnsiTheme="majorHAnsi"/>
                <w:sz w:val="16"/>
                <w:szCs w:val="16"/>
              </w:rPr>
              <w:t>MNRET</w:t>
            </w:r>
          </w:p>
        </w:tc>
        <w:tc>
          <w:tcPr>
            <w:tcW w:w="610" w:type="dxa"/>
          </w:tcPr>
          <w:p w14:paraId="4F0501F3" w14:textId="77777777" w:rsidR="00375AE8" w:rsidRPr="00F04D18" w:rsidRDefault="00375AE8" w:rsidP="00F04D18">
            <w:pPr>
              <w:jc w:val="center"/>
              <w:rPr>
                <w:rFonts w:asciiTheme="majorHAnsi" w:hAnsiTheme="majorHAnsi"/>
                <w:sz w:val="16"/>
                <w:szCs w:val="16"/>
              </w:rPr>
            </w:pPr>
          </w:p>
        </w:tc>
        <w:tc>
          <w:tcPr>
            <w:tcW w:w="645" w:type="dxa"/>
          </w:tcPr>
          <w:p w14:paraId="0E28AB76" w14:textId="77777777" w:rsidR="00375AE8" w:rsidRPr="00F04D18" w:rsidRDefault="00375AE8" w:rsidP="00F04D18">
            <w:pPr>
              <w:jc w:val="center"/>
              <w:rPr>
                <w:rFonts w:asciiTheme="majorHAnsi" w:hAnsiTheme="majorHAnsi"/>
                <w:sz w:val="16"/>
                <w:szCs w:val="16"/>
              </w:rPr>
            </w:pPr>
          </w:p>
        </w:tc>
        <w:tc>
          <w:tcPr>
            <w:tcW w:w="690" w:type="dxa"/>
          </w:tcPr>
          <w:p w14:paraId="49467BB9" w14:textId="77777777" w:rsidR="00375AE8" w:rsidRPr="00F04D18" w:rsidRDefault="00375AE8" w:rsidP="00F04D18">
            <w:pPr>
              <w:jc w:val="center"/>
              <w:rPr>
                <w:rFonts w:asciiTheme="majorHAnsi" w:hAnsiTheme="majorHAnsi"/>
                <w:sz w:val="16"/>
                <w:szCs w:val="16"/>
              </w:rPr>
            </w:pPr>
          </w:p>
        </w:tc>
        <w:tc>
          <w:tcPr>
            <w:tcW w:w="587" w:type="dxa"/>
          </w:tcPr>
          <w:p w14:paraId="30054857" w14:textId="77777777" w:rsidR="00375AE8" w:rsidRPr="00F04D18" w:rsidRDefault="00375AE8" w:rsidP="00F04D18">
            <w:pPr>
              <w:jc w:val="center"/>
              <w:rPr>
                <w:rFonts w:asciiTheme="majorHAnsi" w:hAnsiTheme="majorHAnsi"/>
                <w:sz w:val="16"/>
                <w:szCs w:val="16"/>
              </w:rPr>
            </w:pPr>
          </w:p>
        </w:tc>
        <w:tc>
          <w:tcPr>
            <w:tcW w:w="690" w:type="dxa"/>
          </w:tcPr>
          <w:p w14:paraId="55B50D2B" w14:textId="77777777" w:rsidR="00375AE8" w:rsidRPr="00F04D18" w:rsidRDefault="00375AE8" w:rsidP="00F04D18">
            <w:pPr>
              <w:jc w:val="center"/>
              <w:rPr>
                <w:rFonts w:asciiTheme="majorHAnsi" w:hAnsiTheme="majorHAnsi"/>
                <w:sz w:val="16"/>
                <w:szCs w:val="16"/>
              </w:rPr>
            </w:pPr>
          </w:p>
        </w:tc>
        <w:tc>
          <w:tcPr>
            <w:tcW w:w="540" w:type="dxa"/>
            <w:shd w:val="clear" w:color="auto" w:fill="FBD4B4" w:themeFill="accent6" w:themeFillTint="66"/>
          </w:tcPr>
          <w:p w14:paraId="1DC7031D"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76CF36DD" w14:textId="77777777" w:rsidR="00375AE8" w:rsidRPr="00F04D18" w:rsidRDefault="00375AE8" w:rsidP="00F04D18">
            <w:pPr>
              <w:jc w:val="center"/>
              <w:rPr>
                <w:rFonts w:asciiTheme="majorHAnsi" w:hAnsiTheme="majorHAnsi"/>
                <w:sz w:val="16"/>
                <w:szCs w:val="16"/>
              </w:rPr>
            </w:pPr>
          </w:p>
        </w:tc>
        <w:tc>
          <w:tcPr>
            <w:tcW w:w="534" w:type="dxa"/>
            <w:shd w:val="clear" w:color="auto" w:fill="FBD4B4" w:themeFill="accent6" w:themeFillTint="66"/>
          </w:tcPr>
          <w:p w14:paraId="0678B97F"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6070DE54" w14:textId="77777777" w:rsidR="00375AE8" w:rsidRPr="00F04D18" w:rsidRDefault="00375AE8" w:rsidP="00F04D18">
            <w:pPr>
              <w:jc w:val="center"/>
              <w:rPr>
                <w:rFonts w:asciiTheme="majorHAnsi" w:hAnsiTheme="majorHAnsi"/>
                <w:sz w:val="16"/>
                <w:szCs w:val="16"/>
              </w:rPr>
            </w:pPr>
          </w:p>
        </w:tc>
        <w:tc>
          <w:tcPr>
            <w:tcW w:w="516" w:type="dxa"/>
            <w:shd w:val="clear" w:color="auto" w:fill="FBD4B4" w:themeFill="accent6" w:themeFillTint="66"/>
          </w:tcPr>
          <w:p w14:paraId="650E2843"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6B2B73D2" w14:textId="77777777" w:rsidR="00375AE8" w:rsidRPr="00F04D18" w:rsidRDefault="00375AE8" w:rsidP="00F04D18">
            <w:pPr>
              <w:jc w:val="center"/>
              <w:rPr>
                <w:rFonts w:asciiTheme="majorHAnsi" w:hAnsiTheme="majorHAnsi"/>
                <w:sz w:val="16"/>
                <w:szCs w:val="16"/>
              </w:rPr>
            </w:pPr>
          </w:p>
        </w:tc>
        <w:tc>
          <w:tcPr>
            <w:tcW w:w="513" w:type="dxa"/>
            <w:shd w:val="clear" w:color="auto" w:fill="FBD4B4" w:themeFill="accent6" w:themeFillTint="66"/>
          </w:tcPr>
          <w:p w14:paraId="7D072530"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162AA3D7" w14:textId="77777777" w:rsidR="00375AE8" w:rsidRPr="00F04D18" w:rsidRDefault="00375AE8" w:rsidP="00F04D18">
            <w:pPr>
              <w:jc w:val="center"/>
              <w:rPr>
                <w:rFonts w:asciiTheme="majorHAnsi" w:hAnsiTheme="majorHAnsi"/>
                <w:sz w:val="16"/>
                <w:szCs w:val="16"/>
              </w:rPr>
            </w:pPr>
          </w:p>
        </w:tc>
      </w:tr>
      <w:tr w:rsidR="00375AE8" w14:paraId="5C1812A5" w14:textId="77777777" w:rsidTr="00D744B6">
        <w:tc>
          <w:tcPr>
            <w:tcW w:w="1441" w:type="dxa"/>
            <w:vMerge/>
          </w:tcPr>
          <w:p w14:paraId="2826D1C3" w14:textId="77777777" w:rsidR="00375AE8" w:rsidRPr="00F04D18" w:rsidRDefault="00375AE8" w:rsidP="00F04D18">
            <w:pPr>
              <w:jc w:val="center"/>
              <w:rPr>
                <w:rFonts w:asciiTheme="majorHAnsi" w:hAnsiTheme="majorHAnsi"/>
                <w:sz w:val="16"/>
                <w:szCs w:val="16"/>
              </w:rPr>
            </w:pPr>
          </w:p>
        </w:tc>
        <w:tc>
          <w:tcPr>
            <w:tcW w:w="1367" w:type="dxa"/>
            <w:vMerge w:val="restart"/>
          </w:tcPr>
          <w:p w14:paraId="7449F616" w14:textId="1D417A04" w:rsidR="00375AE8" w:rsidRPr="00F04D18" w:rsidRDefault="00375AE8" w:rsidP="00F04D18">
            <w:pPr>
              <w:jc w:val="center"/>
              <w:rPr>
                <w:rFonts w:asciiTheme="majorHAnsi" w:hAnsiTheme="majorHAnsi"/>
                <w:sz w:val="16"/>
                <w:szCs w:val="16"/>
              </w:rPr>
            </w:pPr>
            <w:r>
              <w:rPr>
                <w:rFonts w:asciiTheme="majorHAnsi" w:hAnsiTheme="majorHAnsi"/>
                <w:sz w:val="16"/>
                <w:szCs w:val="16"/>
              </w:rPr>
              <w:t>Strengthened biosecurity measures</w:t>
            </w:r>
          </w:p>
        </w:tc>
        <w:tc>
          <w:tcPr>
            <w:tcW w:w="2414" w:type="dxa"/>
          </w:tcPr>
          <w:p w14:paraId="54729870" w14:textId="0D2939F6" w:rsidR="00375AE8" w:rsidRPr="00F04D18" w:rsidRDefault="00375AE8" w:rsidP="00D744B6">
            <w:pPr>
              <w:jc w:val="center"/>
              <w:rPr>
                <w:rFonts w:asciiTheme="majorHAnsi" w:hAnsiTheme="majorHAnsi"/>
                <w:sz w:val="16"/>
                <w:szCs w:val="16"/>
              </w:rPr>
            </w:pPr>
            <w:r>
              <w:rPr>
                <w:rFonts w:asciiTheme="majorHAnsi" w:hAnsiTheme="majorHAnsi"/>
                <w:sz w:val="16"/>
                <w:szCs w:val="16"/>
              </w:rPr>
              <w:t xml:space="preserve">Implement biosecurity actions for air and seacraft </w:t>
            </w:r>
          </w:p>
        </w:tc>
        <w:tc>
          <w:tcPr>
            <w:tcW w:w="1309" w:type="dxa"/>
          </w:tcPr>
          <w:p w14:paraId="4B4ED0A3" w14:textId="3A745DAE" w:rsidR="00375AE8" w:rsidRPr="00F04D18" w:rsidRDefault="00375AE8" w:rsidP="00F04D18">
            <w:pPr>
              <w:jc w:val="center"/>
              <w:rPr>
                <w:rFonts w:asciiTheme="majorHAnsi" w:hAnsiTheme="majorHAnsi"/>
                <w:sz w:val="16"/>
                <w:szCs w:val="16"/>
              </w:rPr>
            </w:pPr>
            <w:r>
              <w:rPr>
                <w:rFonts w:asciiTheme="majorHAnsi" w:hAnsiTheme="majorHAnsi"/>
                <w:sz w:val="16"/>
                <w:szCs w:val="16"/>
              </w:rPr>
              <w:t>MNRET</w:t>
            </w:r>
          </w:p>
        </w:tc>
        <w:tc>
          <w:tcPr>
            <w:tcW w:w="610" w:type="dxa"/>
          </w:tcPr>
          <w:p w14:paraId="29A6CFCA" w14:textId="77777777" w:rsidR="00375AE8" w:rsidRPr="00F04D18" w:rsidRDefault="00375AE8" w:rsidP="00F04D18">
            <w:pPr>
              <w:jc w:val="center"/>
              <w:rPr>
                <w:rFonts w:asciiTheme="majorHAnsi" w:hAnsiTheme="majorHAnsi"/>
                <w:sz w:val="16"/>
                <w:szCs w:val="16"/>
              </w:rPr>
            </w:pPr>
          </w:p>
        </w:tc>
        <w:tc>
          <w:tcPr>
            <w:tcW w:w="645" w:type="dxa"/>
          </w:tcPr>
          <w:p w14:paraId="7F7E324D" w14:textId="77777777" w:rsidR="00375AE8" w:rsidRPr="00F04D18" w:rsidRDefault="00375AE8" w:rsidP="00F04D18">
            <w:pPr>
              <w:jc w:val="center"/>
              <w:rPr>
                <w:rFonts w:asciiTheme="majorHAnsi" w:hAnsiTheme="majorHAnsi"/>
                <w:sz w:val="16"/>
                <w:szCs w:val="16"/>
              </w:rPr>
            </w:pPr>
          </w:p>
        </w:tc>
        <w:tc>
          <w:tcPr>
            <w:tcW w:w="690" w:type="dxa"/>
          </w:tcPr>
          <w:p w14:paraId="275C9D79" w14:textId="77777777" w:rsidR="00375AE8" w:rsidRPr="00F04D18" w:rsidRDefault="00375AE8" w:rsidP="00F04D18">
            <w:pPr>
              <w:jc w:val="center"/>
              <w:rPr>
                <w:rFonts w:asciiTheme="majorHAnsi" w:hAnsiTheme="majorHAnsi"/>
                <w:sz w:val="16"/>
                <w:szCs w:val="16"/>
              </w:rPr>
            </w:pPr>
          </w:p>
        </w:tc>
        <w:tc>
          <w:tcPr>
            <w:tcW w:w="587" w:type="dxa"/>
          </w:tcPr>
          <w:p w14:paraId="2711FB35" w14:textId="77777777" w:rsidR="00375AE8" w:rsidRPr="00F04D18" w:rsidRDefault="00375AE8" w:rsidP="00F04D18">
            <w:pPr>
              <w:jc w:val="center"/>
              <w:rPr>
                <w:rFonts w:asciiTheme="majorHAnsi" w:hAnsiTheme="majorHAnsi"/>
                <w:sz w:val="16"/>
                <w:szCs w:val="16"/>
              </w:rPr>
            </w:pPr>
          </w:p>
        </w:tc>
        <w:tc>
          <w:tcPr>
            <w:tcW w:w="690" w:type="dxa"/>
          </w:tcPr>
          <w:p w14:paraId="77DEE855" w14:textId="77777777" w:rsidR="00375AE8" w:rsidRPr="00F04D18" w:rsidRDefault="00375AE8" w:rsidP="00F04D18">
            <w:pPr>
              <w:jc w:val="center"/>
              <w:rPr>
                <w:rFonts w:asciiTheme="majorHAnsi" w:hAnsiTheme="majorHAnsi"/>
                <w:sz w:val="16"/>
                <w:szCs w:val="16"/>
              </w:rPr>
            </w:pPr>
          </w:p>
        </w:tc>
        <w:tc>
          <w:tcPr>
            <w:tcW w:w="540" w:type="dxa"/>
          </w:tcPr>
          <w:p w14:paraId="3D83FB0B"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0B4299B5" w14:textId="77777777" w:rsidR="00375AE8" w:rsidRPr="00F04D18" w:rsidRDefault="00375AE8" w:rsidP="00F04D18">
            <w:pPr>
              <w:jc w:val="center"/>
              <w:rPr>
                <w:rFonts w:asciiTheme="majorHAnsi" w:hAnsiTheme="majorHAnsi"/>
                <w:sz w:val="16"/>
                <w:szCs w:val="16"/>
              </w:rPr>
            </w:pPr>
          </w:p>
        </w:tc>
        <w:tc>
          <w:tcPr>
            <w:tcW w:w="534" w:type="dxa"/>
            <w:shd w:val="clear" w:color="auto" w:fill="FBD4B4" w:themeFill="accent6" w:themeFillTint="66"/>
          </w:tcPr>
          <w:p w14:paraId="150F7DE3"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0E5D2BBC" w14:textId="77777777" w:rsidR="00375AE8" w:rsidRPr="00F04D18" w:rsidRDefault="00375AE8" w:rsidP="00F04D18">
            <w:pPr>
              <w:jc w:val="center"/>
              <w:rPr>
                <w:rFonts w:asciiTheme="majorHAnsi" w:hAnsiTheme="majorHAnsi"/>
                <w:sz w:val="16"/>
                <w:szCs w:val="16"/>
              </w:rPr>
            </w:pPr>
          </w:p>
        </w:tc>
        <w:tc>
          <w:tcPr>
            <w:tcW w:w="516" w:type="dxa"/>
            <w:shd w:val="clear" w:color="auto" w:fill="FBD4B4" w:themeFill="accent6" w:themeFillTint="66"/>
          </w:tcPr>
          <w:p w14:paraId="27637C9A"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2EAFE75A" w14:textId="77777777" w:rsidR="00375AE8" w:rsidRPr="00F04D18" w:rsidRDefault="00375AE8" w:rsidP="00F04D18">
            <w:pPr>
              <w:jc w:val="center"/>
              <w:rPr>
                <w:rFonts w:asciiTheme="majorHAnsi" w:hAnsiTheme="majorHAnsi"/>
                <w:sz w:val="16"/>
                <w:szCs w:val="16"/>
              </w:rPr>
            </w:pPr>
          </w:p>
        </w:tc>
        <w:tc>
          <w:tcPr>
            <w:tcW w:w="513" w:type="dxa"/>
            <w:shd w:val="clear" w:color="auto" w:fill="FBD4B4" w:themeFill="accent6" w:themeFillTint="66"/>
          </w:tcPr>
          <w:p w14:paraId="2D4B4582"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3BB64F96" w14:textId="77777777" w:rsidR="00375AE8" w:rsidRPr="00F04D18" w:rsidRDefault="00375AE8" w:rsidP="00F04D18">
            <w:pPr>
              <w:jc w:val="center"/>
              <w:rPr>
                <w:rFonts w:asciiTheme="majorHAnsi" w:hAnsiTheme="majorHAnsi"/>
                <w:sz w:val="16"/>
                <w:szCs w:val="16"/>
              </w:rPr>
            </w:pPr>
          </w:p>
        </w:tc>
      </w:tr>
      <w:tr w:rsidR="00375AE8" w14:paraId="56478757" w14:textId="77777777" w:rsidTr="005901FD">
        <w:tc>
          <w:tcPr>
            <w:tcW w:w="1441" w:type="dxa"/>
            <w:vMerge/>
          </w:tcPr>
          <w:p w14:paraId="0D401607" w14:textId="77777777" w:rsidR="00375AE8" w:rsidRPr="00F04D18" w:rsidRDefault="00375AE8" w:rsidP="00F04D18">
            <w:pPr>
              <w:jc w:val="center"/>
              <w:rPr>
                <w:rFonts w:asciiTheme="majorHAnsi" w:hAnsiTheme="majorHAnsi"/>
                <w:sz w:val="16"/>
                <w:szCs w:val="16"/>
              </w:rPr>
            </w:pPr>
          </w:p>
        </w:tc>
        <w:tc>
          <w:tcPr>
            <w:tcW w:w="1367" w:type="dxa"/>
            <w:vMerge/>
          </w:tcPr>
          <w:p w14:paraId="6E99B639" w14:textId="77777777" w:rsidR="00375AE8" w:rsidRPr="00F04D18" w:rsidRDefault="00375AE8" w:rsidP="00F04D18">
            <w:pPr>
              <w:jc w:val="center"/>
              <w:rPr>
                <w:rFonts w:asciiTheme="majorHAnsi" w:hAnsiTheme="majorHAnsi"/>
                <w:sz w:val="16"/>
                <w:szCs w:val="16"/>
              </w:rPr>
            </w:pPr>
          </w:p>
        </w:tc>
        <w:tc>
          <w:tcPr>
            <w:tcW w:w="2414" w:type="dxa"/>
          </w:tcPr>
          <w:p w14:paraId="19F0A4F1" w14:textId="01A15D00" w:rsidR="00375AE8" w:rsidRPr="00F04D18" w:rsidRDefault="00375AE8" w:rsidP="00F04D18">
            <w:pPr>
              <w:jc w:val="center"/>
              <w:rPr>
                <w:rFonts w:asciiTheme="majorHAnsi" w:hAnsiTheme="majorHAnsi"/>
                <w:sz w:val="16"/>
                <w:szCs w:val="16"/>
              </w:rPr>
            </w:pPr>
            <w:r>
              <w:rPr>
                <w:rFonts w:asciiTheme="majorHAnsi" w:hAnsiTheme="majorHAnsi"/>
                <w:sz w:val="16"/>
                <w:szCs w:val="16"/>
              </w:rPr>
              <w:t>Improving capacity for enforcement and regulatory staff</w:t>
            </w:r>
          </w:p>
        </w:tc>
        <w:tc>
          <w:tcPr>
            <w:tcW w:w="1309" w:type="dxa"/>
          </w:tcPr>
          <w:p w14:paraId="3FF46B52" w14:textId="1D3AA74B" w:rsidR="00375AE8" w:rsidRPr="00F04D18" w:rsidRDefault="00375AE8" w:rsidP="00F04D18">
            <w:pPr>
              <w:jc w:val="center"/>
              <w:rPr>
                <w:rFonts w:asciiTheme="majorHAnsi" w:hAnsiTheme="majorHAnsi"/>
                <w:sz w:val="16"/>
                <w:szCs w:val="16"/>
              </w:rPr>
            </w:pPr>
            <w:r>
              <w:rPr>
                <w:rFonts w:asciiTheme="majorHAnsi" w:hAnsiTheme="majorHAnsi"/>
                <w:sz w:val="16"/>
                <w:szCs w:val="16"/>
              </w:rPr>
              <w:t>MNRET</w:t>
            </w:r>
          </w:p>
        </w:tc>
        <w:tc>
          <w:tcPr>
            <w:tcW w:w="610" w:type="dxa"/>
          </w:tcPr>
          <w:p w14:paraId="1EC6045B" w14:textId="77777777" w:rsidR="00375AE8" w:rsidRPr="00F04D18" w:rsidRDefault="00375AE8" w:rsidP="00F04D18">
            <w:pPr>
              <w:jc w:val="center"/>
              <w:rPr>
                <w:rFonts w:asciiTheme="majorHAnsi" w:hAnsiTheme="majorHAnsi"/>
                <w:sz w:val="16"/>
                <w:szCs w:val="16"/>
              </w:rPr>
            </w:pPr>
          </w:p>
        </w:tc>
        <w:tc>
          <w:tcPr>
            <w:tcW w:w="645" w:type="dxa"/>
          </w:tcPr>
          <w:p w14:paraId="2DA1C930" w14:textId="77777777" w:rsidR="00375AE8" w:rsidRPr="00F04D18" w:rsidRDefault="00375AE8" w:rsidP="00F04D18">
            <w:pPr>
              <w:jc w:val="center"/>
              <w:rPr>
                <w:rFonts w:asciiTheme="majorHAnsi" w:hAnsiTheme="majorHAnsi"/>
                <w:sz w:val="16"/>
                <w:szCs w:val="16"/>
              </w:rPr>
            </w:pPr>
          </w:p>
        </w:tc>
        <w:tc>
          <w:tcPr>
            <w:tcW w:w="690" w:type="dxa"/>
          </w:tcPr>
          <w:p w14:paraId="32AFFDC5" w14:textId="77777777" w:rsidR="00375AE8" w:rsidRPr="00F04D18" w:rsidRDefault="00375AE8" w:rsidP="00F04D18">
            <w:pPr>
              <w:jc w:val="center"/>
              <w:rPr>
                <w:rFonts w:asciiTheme="majorHAnsi" w:hAnsiTheme="majorHAnsi"/>
                <w:sz w:val="16"/>
                <w:szCs w:val="16"/>
              </w:rPr>
            </w:pPr>
          </w:p>
        </w:tc>
        <w:tc>
          <w:tcPr>
            <w:tcW w:w="587" w:type="dxa"/>
            <w:shd w:val="clear" w:color="auto" w:fill="FBD4B4" w:themeFill="accent6" w:themeFillTint="66"/>
          </w:tcPr>
          <w:p w14:paraId="24A74569"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401E94A0" w14:textId="77777777" w:rsidR="00375AE8" w:rsidRPr="00F04D18" w:rsidRDefault="00375AE8" w:rsidP="00F04D18">
            <w:pPr>
              <w:jc w:val="center"/>
              <w:rPr>
                <w:rFonts w:asciiTheme="majorHAnsi" w:hAnsiTheme="majorHAnsi"/>
                <w:sz w:val="16"/>
                <w:szCs w:val="16"/>
              </w:rPr>
            </w:pPr>
          </w:p>
        </w:tc>
        <w:tc>
          <w:tcPr>
            <w:tcW w:w="540" w:type="dxa"/>
            <w:shd w:val="clear" w:color="auto" w:fill="FBD4B4" w:themeFill="accent6" w:themeFillTint="66"/>
          </w:tcPr>
          <w:p w14:paraId="7038A2E7"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47CE5D85" w14:textId="77777777" w:rsidR="00375AE8" w:rsidRPr="00F04D18" w:rsidRDefault="00375AE8" w:rsidP="00F04D18">
            <w:pPr>
              <w:jc w:val="center"/>
              <w:rPr>
                <w:rFonts w:asciiTheme="majorHAnsi" w:hAnsiTheme="majorHAnsi"/>
                <w:sz w:val="16"/>
                <w:szCs w:val="16"/>
              </w:rPr>
            </w:pPr>
          </w:p>
        </w:tc>
        <w:tc>
          <w:tcPr>
            <w:tcW w:w="534" w:type="dxa"/>
            <w:shd w:val="clear" w:color="auto" w:fill="FBD4B4" w:themeFill="accent6" w:themeFillTint="66"/>
          </w:tcPr>
          <w:p w14:paraId="52E69CD8"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741BE907" w14:textId="77777777" w:rsidR="00375AE8" w:rsidRPr="00F04D18" w:rsidRDefault="00375AE8" w:rsidP="00F04D18">
            <w:pPr>
              <w:jc w:val="center"/>
              <w:rPr>
                <w:rFonts w:asciiTheme="majorHAnsi" w:hAnsiTheme="majorHAnsi"/>
                <w:sz w:val="16"/>
                <w:szCs w:val="16"/>
              </w:rPr>
            </w:pPr>
          </w:p>
        </w:tc>
        <w:tc>
          <w:tcPr>
            <w:tcW w:w="516" w:type="dxa"/>
            <w:shd w:val="clear" w:color="auto" w:fill="FBD4B4" w:themeFill="accent6" w:themeFillTint="66"/>
          </w:tcPr>
          <w:p w14:paraId="6DC79439"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1C8E3117" w14:textId="77777777" w:rsidR="00375AE8" w:rsidRPr="00F04D18" w:rsidRDefault="00375AE8" w:rsidP="00F04D18">
            <w:pPr>
              <w:jc w:val="center"/>
              <w:rPr>
                <w:rFonts w:asciiTheme="majorHAnsi" w:hAnsiTheme="majorHAnsi"/>
                <w:sz w:val="16"/>
                <w:szCs w:val="16"/>
              </w:rPr>
            </w:pPr>
          </w:p>
        </w:tc>
        <w:tc>
          <w:tcPr>
            <w:tcW w:w="513" w:type="dxa"/>
            <w:shd w:val="clear" w:color="auto" w:fill="FBD4B4" w:themeFill="accent6" w:themeFillTint="66"/>
          </w:tcPr>
          <w:p w14:paraId="15FE05DE"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4D33C634" w14:textId="77777777" w:rsidR="00375AE8" w:rsidRPr="00F04D18" w:rsidRDefault="00375AE8" w:rsidP="00F04D18">
            <w:pPr>
              <w:jc w:val="center"/>
              <w:rPr>
                <w:rFonts w:asciiTheme="majorHAnsi" w:hAnsiTheme="majorHAnsi"/>
                <w:sz w:val="16"/>
                <w:szCs w:val="16"/>
              </w:rPr>
            </w:pPr>
          </w:p>
        </w:tc>
      </w:tr>
      <w:tr w:rsidR="00222E1F" w14:paraId="00BCB8FE" w14:textId="77777777" w:rsidTr="005901FD">
        <w:tc>
          <w:tcPr>
            <w:tcW w:w="14616" w:type="dxa"/>
            <w:gridSpan w:val="17"/>
            <w:shd w:val="clear" w:color="auto" w:fill="D6E3BC" w:themeFill="accent3" w:themeFillTint="66"/>
          </w:tcPr>
          <w:p w14:paraId="4F4E0FB0" w14:textId="1D9FE6DD" w:rsidR="00222E1F" w:rsidRPr="00F04D18" w:rsidRDefault="00222E1F" w:rsidP="005901FD">
            <w:pPr>
              <w:jc w:val="left"/>
              <w:rPr>
                <w:rFonts w:asciiTheme="majorHAnsi" w:hAnsiTheme="majorHAnsi"/>
                <w:sz w:val="16"/>
                <w:szCs w:val="16"/>
              </w:rPr>
            </w:pPr>
            <w:r>
              <w:rPr>
                <w:sz w:val="16"/>
                <w:szCs w:val="16"/>
              </w:rPr>
              <w:t>Planning and Implementation Phase</w:t>
            </w:r>
            <w:r w:rsidR="0085498B">
              <w:rPr>
                <w:sz w:val="16"/>
                <w:szCs w:val="16"/>
              </w:rPr>
              <w:t xml:space="preserve"> (</w:t>
            </w:r>
            <w:r w:rsidR="00375AE8">
              <w:rPr>
                <w:sz w:val="16"/>
                <w:szCs w:val="16"/>
              </w:rPr>
              <w:t xml:space="preserve">Knowledge Management and M&amp;E - </w:t>
            </w:r>
            <w:r w:rsidR="0085498B">
              <w:rPr>
                <w:sz w:val="16"/>
                <w:szCs w:val="16"/>
              </w:rPr>
              <w:t>National activities)</w:t>
            </w:r>
          </w:p>
        </w:tc>
      </w:tr>
      <w:tr w:rsidR="00375AE8" w14:paraId="0EC28AA4" w14:textId="77777777" w:rsidTr="005901FD">
        <w:tc>
          <w:tcPr>
            <w:tcW w:w="1441" w:type="dxa"/>
            <w:vMerge w:val="restart"/>
          </w:tcPr>
          <w:p w14:paraId="26153F90" w14:textId="2DBE0C2F" w:rsidR="00375AE8" w:rsidRPr="00F04D18" w:rsidRDefault="00375AE8" w:rsidP="00F04D18">
            <w:pPr>
              <w:jc w:val="center"/>
              <w:rPr>
                <w:rFonts w:asciiTheme="majorHAnsi" w:hAnsiTheme="majorHAnsi"/>
                <w:sz w:val="16"/>
                <w:szCs w:val="16"/>
              </w:rPr>
            </w:pPr>
            <w:r>
              <w:rPr>
                <w:rFonts w:asciiTheme="majorHAnsi" w:hAnsiTheme="majorHAnsi"/>
                <w:sz w:val="16"/>
                <w:szCs w:val="16"/>
              </w:rPr>
              <w:t xml:space="preserve">Communication and gender strategy </w:t>
            </w:r>
          </w:p>
        </w:tc>
        <w:tc>
          <w:tcPr>
            <w:tcW w:w="1367" w:type="dxa"/>
            <w:vMerge w:val="restart"/>
          </w:tcPr>
          <w:p w14:paraId="183442EB" w14:textId="2A8F0A4B" w:rsidR="00375AE8" w:rsidRPr="00F04D18" w:rsidRDefault="00375AE8" w:rsidP="00F04D18">
            <w:pPr>
              <w:jc w:val="center"/>
              <w:rPr>
                <w:rFonts w:asciiTheme="majorHAnsi" w:hAnsiTheme="majorHAnsi"/>
                <w:sz w:val="16"/>
                <w:szCs w:val="16"/>
              </w:rPr>
            </w:pPr>
            <w:r>
              <w:rPr>
                <w:rFonts w:asciiTheme="majorHAnsi" w:hAnsiTheme="majorHAnsi"/>
                <w:sz w:val="16"/>
                <w:szCs w:val="16"/>
              </w:rPr>
              <w:t>Communication and awareness</w:t>
            </w:r>
          </w:p>
        </w:tc>
        <w:tc>
          <w:tcPr>
            <w:tcW w:w="2414" w:type="dxa"/>
          </w:tcPr>
          <w:p w14:paraId="27F7EF6A" w14:textId="56162E3E" w:rsidR="00375AE8" w:rsidRPr="00F04D18" w:rsidRDefault="00375AE8" w:rsidP="00F04D18">
            <w:pPr>
              <w:jc w:val="center"/>
              <w:rPr>
                <w:rFonts w:asciiTheme="majorHAnsi" w:hAnsiTheme="majorHAnsi"/>
                <w:sz w:val="16"/>
                <w:szCs w:val="16"/>
              </w:rPr>
            </w:pPr>
            <w:r>
              <w:rPr>
                <w:rFonts w:asciiTheme="majorHAnsi" w:hAnsiTheme="majorHAnsi"/>
                <w:sz w:val="16"/>
                <w:szCs w:val="16"/>
              </w:rPr>
              <w:t xml:space="preserve">Development of communication materials and programs </w:t>
            </w:r>
          </w:p>
        </w:tc>
        <w:tc>
          <w:tcPr>
            <w:tcW w:w="1309" w:type="dxa"/>
          </w:tcPr>
          <w:p w14:paraId="6DA87844" w14:textId="5D8C8E78" w:rsidR="00375AE8" w:rsidRPr="00F04D18" w:rsidRDefault="00375AE8" w:rsidP="00F04D18">
            <w:pPr>
              <w:jc w:val="center"/>
              <w:rPr>
                <w:rFonts w:asciiTheme="majorHAnsi" w:hAnsiTheme="majorHAnsi"/>
                <w:sz w:val="16"/>
                <w:szCs w:val="16"/>
              </w:rPr>
            </w:pPr>
            <w:r>
              <w:rPr>
                <w:rFonts w:asciiTheme="majorHAnsi" w:hAnsiTheme="majorHAnsi"/>
                <w:sz w:val="16"/>
                <w:szCs w:val="16"/>
              </w:rPr>
              <w:t>MNRET</w:t>
            </w:r>
          </w:p>
        </w:tc>
        <w:tc>
          <w:tcPr>
            <w:tcW w:w="610" w:type="dxa"/>
          </w:tcPr>
          <w:p w14:paraId="731AC2D5" w14:textId="77777777" w:rsidR="00375AE8" w:rsidRPr="00F04D18" w:rsidRDefault="00375AE8" w:rsidP="00F04D18">
            <w:pPr>
              <w:jc w:val="center"/>
              <w:rPr>
                <w:rFonts w:asciiTheme="majorHAnsi" w:hAnsiTheme="majorHAnsi"/>
                <w:sz w:val="16"/>
                <w:szCs w:val="16"/>
              </w:rPr>
            </w:pPr>
          </w:p>
        </w:tc>
        <w:tc>
          <w:tcPr>
            <w:tcW w:w="645" w:type="dxa"/>
          </w:tcPr>
          <w:p w14:paraId="64B16894"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0505D1B5" w14:textId="77777777" w:rsidR="00375AE8" w:rsidRPr="00F04D18" w:rsidRDefault="00375AE8" w:rsidP="00F04D18">
            <w:pPr>
              <w:jc w:val="center"/>
              <w:rPr>
                <w:rFonts w:asciiTheme="majorHAnsi" w:hAnsiTheme="majorHAnsi"/>
                <w:sz w:val="16"/>
                <w:szCs w:val="16"/>
              </w:rPr>
            </w:pPr>
          </w:p>
        </w:tc>
        <w:tc>
          <w:tcPr>
            <w:tcW w:w="587" w:type="dxa"/>
            <w:shd w:val="clear" w:color="auto" w:fill="FBD4B4" w:themeFill="accent6" w:themeFillTint="66"/>
          </w:tcPr>
          <w:p w14:paraId="4B4ABB5C" w14:textId="77777777" w:rsidR="00375AE8" w:rsidRPr="00F04D18" w:rsidRDefault="00375AE8" w:rsidP="00F04D18">
            <w:pPr>
              <w:jc w:val="center"/>
              <w:rPr>
                <w:rFonts w:asciiTheme="majorHAnsi" w:hAnsiTheme="majorHAnsi"/>
                <w:sz w:val="16"/>
                <w:szCs w:val="16"/>
              </w:rPr>
            </w:pPr>
          </w:p>
        </w:tc>
        <w:tc>
          <w:tcPr>
            <w:tcW w:w="690" w:type="dxa"/>
          </w:tcPr>
          <w:p w14:paraId="0D029184" w14:textId="77777777" w:rsidR="00375AE8" w:rsidRPr="00F04D18" w:rsidRDefault="00375AE8" w:rsidP="00F04D18">
            <w:pPr>
              <w:jc w:val="center"/>
              <w:rPr>
                <w:rFonts w:asciiTheme="majorHAnsi" w:hAnsiTheme="majorHAnsi"/>
                <w:sz w:val="16"/>
                <w:szCs w:val="16"/>
              </w:rPr>
            </w:pPr>
          </w:p>
        </w:tc>
        <w:tc>
          <w:tcPr>
            <w:tcW w:w="540" w:type="dxa"/>
          </w:tcPr>
          <w:p w14:paraId="3695274E" w14:textId="77777777" w:rsidR="00375AE8" w:rsidRPr="00F04D18" w:rsidRDefault="00375AE8" w:rsidP="00F04D18">
            <w:pPr>
              <w:jc w:val="center"/>
              <w:rPr>
                <w:rFonts w:asciiTheme="majorHAnsi" w:hAnsiTheme="majorHAnsi"/>
                <w:sz w:val="16"/>
                <w:szCs w:val="16"/>
              </w:rPr>
            </w:pPr>
          </w:p>
        </w:tc>
        <w:tc>
          <w:tcPr>
            <w:tcW w:w="690" w:type="dxa"/>
          </w:tcPr>
          <w:p w14:paraId="1311B793" w14:textId="77777777" w:rsidR="00375AE8" w:rsidRPr="00F04D18" w:rsidRDefault="00375AE8" w:rsidP="00F04D18">
            <w:pPr>
              <w:jc w:val="center"/>
              <w:rPr>
                <w:rFonts w:asciiTheme="majorHAnsi" w:hAnsiTheme="majorHAnsi"/>
                <w:sz w:val="16"/>
                <w:szCs w:val="16"/>
              </w:rPr>
            </w:pPr>
          </w:p>
        </w:tc>
        <w:tc>
          <w:tcPr>
            <w:tcW w:w="534" w:type="dxa"/>
          </w:tcPr>
          <w:p w14:paraId="29BC4CE2" w14:textId="77777777" w:rsidR="00375AE8" w:rsidRPr="00F04D18" w:rsidRDefault="00375AE8" w:rsidP="00F04D18">
            <w:pPr>
              <w:jc w:val="center"/>
              <w:rPr>
                <w:rFonts w:asciiTheme="majorHAnsi" w:hAnsiTheme="majorHAnsi"/>
                <w:sz w:val="16"/>
                <w:szCs w:val="16"/>
              </w:rPr>
            </w:pPr>
          </w:p>
        </w:tc>
        <w:tc>
          <w:tcPr>
            <w:tcW w:w="690" w:type="dxa"/>
          </w:tcPr>
          <w:p w14:paraId="37DE42B5" w14:textId="77777777" w:rsidR="00375AE8" w:rsidRPr="00F04D18" w:rsidRDefault="00375AE8" w:rsidP="00F04D18">
            <w:pPr>
              <w:jc w:val="center"/>
              <w:rPr>
                <w:rFonts w:asciiTheme="majorHAnsi" w:hAnsiTheme="majorHAnsi"/>
                <w:sz w:val="16"/>
                <w:szCs w:val="16"/>
              </w:rPr>
            </w:pPr>
          </w:p>
        </w:tc>
        <w:tc>
          <w:tcPr>
            <w:tcW w:w="516" w:type="dxa"/>
          </w:tcPr>
          <w:p w14:paraId="64B1F3F7" w14:textId="77777777" w:rsidR="00375AE8" w:rsidRPr="00F04D18" w:rsidRDefault="00375AE8" w:rsidP="00F04D18">
            <w:pPr>
              <w:jc w:val="center"/>
              <w:rPr>
                <w:rFonts w:asciiTheme="majorHAnsi" w:hAnsiTheme="majorHAnsi"/>
                <w:sz w:val="16"/>
                <w:szCs w:val="16"/>
              </w:rPr>
            </w:pPr>
          </w:p>
        </w:tc>
        <w:tc>
          <w:tcPr>
            <w:tcW w:w="690" w:type="dxa"/>
          </w:tcPr>
          <w:p w14:paraId="19E93F3F" w14:textId="77777777" w:rsidR="00375AE8" w:rsidRPr="00F04D18" w:rsidRDefault="00375AE8" w:rsidP="00F04D18">
            <w:pPr>
              <w:jc w:val="center"/>
              <w:rPr>
                <w:rFonts w:asciiTheme="majorHAnsi" w:hAnsiTheme="majorHAnsi"/>
                <w:sz w:val="16"/>
                <w:szCs w:val="16"/>
              </w:rPr>
            </w:pPr>
          </w:p>
        </w:tc>
        <w:tc>
          <w:tcPr>
            <w:tcW w:w="513" w:type="dxa"/>
          </w:tcPr>
          <w:p w14:paraId="242C18AC" w14:textId="77777777" w:rsidR="00375AE8" w:rsidRPr="00F04D18" w:rsidRDefault="00375AE8" w:rsidP="00F04D18">
            <w:pPr>
              <w:jc w:val="center"/>
              <w:rPr>
                <w:rFonts w:asciiTheme="majorHAnsi" w:hAnsiTheme="majorHAnsi"/>
                <w:sz w:val="16"/>
                <w:szCs w:val="16"/>
              </w:rPr>
            </w:pPr>
          </w:p>
        </w:tc>
        <w:tc>
          <w:tcPr>
            <w:tcW w:w="690" w:type="dxa"/>
          </w:tcPr>
          <w:p w14:paraId="4ABB4E95" w14:textId="77777777" w:rsidR="00375AE8" w:rsidRPr="00F04D18" w:rsidRDefault="00375AE8" w:rsidP="00F04D18">
            <w:pPr>
              <w:jc w:val="center"/>
              <w:rPr>
                <w:rFonts w:asciiTheme="majorHAnsi" w:hAnsiTheme="majorHAnsi"/>
                <w:sz w:val="16"/>
                <w:szCs w:val="16"/>
              </w:rPr>
            </w:pPr>
          </w:p>
        </w:tc>
      </w:tr>
      <w:tr w:rsidR="00375AE8" w14:paraId="2E96820F" w14:textId="77777777" w:rsidTr="005901FD">
        <w:tc>
          <w:tcPr>
            <w:tcW w:w="1441" w:type="dxa"/>
            <w:vMerge/>
          </w:tcPr>
          <w:p w14:paraId="584D6741" w14:textId="77777777" w:rsidR="00375AE8" w:rsidRPr="00F04D18" w:rsidRDefault="00375AE8" w:rsidP="00F04D18">
            <w:pPr>
              <w:jc w:val="center"/>
              <w:rPr>
                <w:rFonts w:asciiTheme="majorHAnsi" w:hAnsiTheme="majorHAnsi"/>
                <w:sz w:val="16"/>
                <w:szCs w:val="16"/>
              </w:rPr>
            </w:pPr>
          </w:p>
        </w:tc>
        <w:tc>
          <w:tcPr>
            <w:tcW w:w="1367" w:type="dxa"/>
            <w:vMerge/>
          </w:tcPr>
          <w:p w14:paraId="2C7F12DD" w14:textId="77777777" w:rsidR="00375AE8" w:rsidRPr="00F04D18" w:rsidRDefault="00375AE8" w:rsidP="00F04D18">
            <w:pPr>
              <w:jc w:val="center"/>
              <w:rPr>
                <w:rFonts w:asciiTheme="majorHAnsi" w:hAnsiTheme="majorHAnsi"/>
                <w:sz w:val="16"/>
                <w:szCs w:val="16"/>
              </w:rPr>
            </w:pPr>
          </w:p>
        </w:tc>
        <w:tc>
          <w:tcPr>
            <w:tcW w:w="2414" w:type="dxa"/>
          </w:tcPr>
          <w:p w14:paraId="2203717E" w14:textId="4C8AB317" w:rsidR="00375AE8" w:rsidRPr="00F04D18" w:rsidRDefault="00375AE8" w:rsidP="00F04D18">
            <w:pPr>
              <w:jc w:val="center"/>
              <w:rPr>
                <w:rFonts w:asciiTheme="majorHAnsi" w:hAnsiTheme="majorHAnsi"/>
                <w:sz w:val="16"/>
                <w:szCs w:val="16"/>
              </w:rPr>
            </w:pPr>
            <w:r>
              <w:rPr>
                <w:rFonts w:asciiTheme="majorHAnsi" w:hAnsiTheme="majorHAnsi"/>
                <w:sz w:val="16"/>
                <w:szCs w:val="16"/>
              </w:rPr>
              <w:t>Implementation of awareness program</w:t>
            </w:r>
          </w:p>
        </w:tc>
        <w:tc>
          <w:tcPr>
            <w:tcW w:w="1309" w:type="dxa"/>
          </w:tcPr>
          <w:p w14:paraId="7925B401" w14:textId="74428116" w:rsidR="00375AE8" w:rsidRPr="00F04D18" w:rsidRDefault="00375AE8" w:rsidP="00F04D18">
            <w:pPr>
              <w:jc w:val="center"/>
              <w:rPr>
                <w:rFonts w:asciiTheme="majorHAnsi" w:hAnsiTheme="majorHAnsi"/>
                <w:sz w:val="16"/>
                <w:szCs w:val="16"/>
              </w:rPr>
            </w:pPr>
            <w:r>
              <w:rPr>
                <w:rFonts w:asciiTheme="majorHAnsi" w:hAnsiTheme="majorHAnsi"/>
                <w:sz w:val="16"/>
                <w:szCs w:val="16"/>
              </w:rPr>
              <w:t>MNRET</w:t>
            </w:r>
          </w:p>
        </w:tc>
        <w:tc>
          <w:tcPr>
            <w:tcW w:w="610" w:type="dxa"/>
          </w:tcPr>
          <w:p w14:paraId="36778446" w14:textId="77777777" w:rsidR="00375AE8" w:rsidRPr="00F04D18" w:rsidRDefault="00375AE8" w:rsidP="00F04D18">
            <w:pPr>
              <w:jc w:val="center"/>
              <w:rPr>
                <w:rFonts w:asciiTheme="majorHAnsi" w:hAnsiTheme="majorHAnsi"/>
                <w:sz w:val="16"/>
                <w:szCs w:val="16"/>
              </w:rPr>
            </w:pPr>
          </w:p>
        </w:tc>
        <w:tc>
          <w:tcPr>
            <w:tcW w:w="645" w:type="dxa"/>
          </w:tcPr>
          <w:p w14:paraId="221A394A" w14:textId="77777777" w:rsidR="00375AE8" w:rsidRPr="00F04D18" w:rsidRDefault="00375AE8" w:rsidP="00F04D18">
            <w:pPr>
              <w:jc w:val="center"/>
              <w:rPr>
                <w:rFonts w:asciiTheme="majorHAnsi" w:hAnsiTheme="majorHAnsi"/>
                <w:sz w:val="16"/>
                <w:szCs w:val="16"/>
              </w:rPr>
            </w:pPr>
          </w:p>
        </w:tc>
        <w:tc>
          <w:tcPr>
            <w:tcW w:w="690" w:type="dxa"/>
          </w:tcPr>
          <w:p w14:paraId="631486C6" w14:textId="77777777" w:rsidR="00375AE8" w:rsidRPr="00F04D18" w:rsidRDefault="00375AE8" w:rsidP="00F04D18">
            <w:pPr>
              <w:jc w:val="center"/>
              <w:rPr>
                <w:rFonts w:asciiTheme="majorHAnsi" w:hAnsiTheme="majorHAnsi"/>
                <w:sz w:val="16"/>
                <w:szCs w:val="16"/>
              </w:rPr>
            </w:pPr>
          </w:p>
        </w:tc>
        <w:tc>
          <w:tcPr>
            <w:tcW w:w="587" w:type="dxa"/>
            <w:shd w:val="clear" w:color="auto" w:fill="FBD4B4" w:themeFill="accent6" w:themeFillTint="66"/>
          </w:tcPr>
          <w:p w14:paraId="2583514B"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39D26B49" w14:textId="77777777" w:rsidR="00375AE8" w:rsidRPr="00F04D18" w:rsidRDefault="00375AE8" w:rsidP="00F04D18">
            <w:pPr>
              <w:jc w:val="center"/>
              <w:rPr>
                <w:rFonts w:asciiTheme="majorHAnsi" w:hAnsiTheme="majorHAnsi"/>
                <w:sz w:val="16"/>
                <w:szCs w:val="16"/>
              </w:rPr>
            </w:pPr>
          </w:p>
        </w:tc>
        <w:tc>
          <w:tcPr>
            <w:tcW w:w="540" w:type="dxa"/>
            <w:shd w:val="clear" w:color="auto" w:fill="FBD4B4" w:themeFill="accent6" w:themeFillTint="66"/>
          </w:tcPr>
          <w:p w14:paraId="586A9C78"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0D019657" w14:textId="77777777" w:rsidR="00375AE8" w:rsidRPr="00F04D18" w:rsidRDefault="00375AE8" w:rsidP="00F04D18">
            <w:pPr>
              <w:jc w:val="center"/>
              <w:rPr>
                <w:rFonts w:asciiTheme="majorHAnsi" w:hAnsiTheme="majorHAnsi"/>
                <w:sz w:val="16"/>
                <w:szCs w:val="16"/>
              </w:rPr>
            </w:pPr>
          </w:p>
        </w:tc>
        <w:tc>
          <w:tcPr>
            <w:tcW w:w="534" w:type="dxa"/>
            <w:shd w:val="clear" w:color="auto" w:fill="FBD4B4" w:themeFill="accent6" w:themeFillTint="66"/>
          </w:tcPr>
          <w:p w14:paraId="10F14CEB"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14208786" w14:textId="77777777" w:rsidR="00375AE8" w:rsidRPr="00F04D18" w:rsidRDefault="00375AE8" w:rsidP="00F04D18">
            <w:pPr>
              <w:jc w:val="center"/>
              <w:rPr>
                <w:rFonts w:asciiTheme="majorHAnsi" w:hAnsiTheme="majorHAnsi"/>
                <w:sz w:val="16"/>
                <w:szCs w:val="16"/>
              </w:rPr>
            </w:pPr>
          </w:p>
        </w:tc>
        <w:tc>
          <w:tcPr>
            <w:tcW w:w="516" w:type="dxa"/>
            <w:shd w:val="clear" w:color="auto" w:fill="FBD4B4" w:themeFill="accent6" w:themeFillTint="66"/>
          </w:tcPr>
          <w:p w14:paraId="3EFBE357"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604D5B44" w14:textId="77777777" w:rsidR="00375AE8" w:rsidRPr="00F04D18" w:rsidRDefault="00375AE8" w:rsidP="00F04D18">
            <w:pPr>
              <w:jc w:val="center"/>
              <w:rPr>
                <w:rFonts w:asciiTheme="majorHAnsi" w:hAnsiTheme="majorHAnsi"/>
                <w:sz w:val="16"/>
                <w:szCs w:val="16"/>
              </w:rPr>
            </w:pPr>
          </w:p>
        </w:tc>
        <w:tc>
          <w:tcPr>
            <w:tcW w:w="513" w:type="dxa"/>
            <w:shd w:val="clear" w:color="auto" w:fill="FBD4B4" w:themeFill="accent6" w:themeFillTint="66"/>
          </w:tcPr>
          <w:p w14:paraId="12B337AB"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006B472F" w14:textId="77777777" w:rsidR="00375AE8" w:rsidRPr="00F04D18" w:rsidRDefault="00375AE8" w:rsidP="00F04D18">
            <w:pPr>
              <w:jc w:val="center"/>
              <w:rPr>
                <w:rFonts w:asciiTheme="majorHAnsi" w:hAnsiTheme="majorHAnsi"/>
                <w:sz w:val="16"/>
                <w:szCs w:val="16"/>
              </w:rPr>
            </w:pPr>
          </w:p>
        </w:tc>
      </w:tr>
      <w:tr w:rsidR="00375AE8" w14:paraId="4F419D9E" w14:textId="77777777" w:rsidTr="005901FD">
        <w:tc>
          <w:tcPr>
            <w:tcW w:w="1441" w:type="dxa"/>
            <w:vMerge/>
          </w:tcPr>
          <w:p w14:paraId="7E2538E8" w14:textId="77777777" w:rsidR="00375AE8" w:rsidRPr="00F04D18" w:rsidRDefault="00375AE8" w:rsidP="00F04D18">
            <w:pPr>
              <w:jc w:val="center"/>
              <w:rPr>
                <w:rFonts w:asciiTheme="majorHAnsi" w:hAnsiTheme="majorHAnsi"/>
                <w:sz w:val="16"/>
                <w:szCs w:val="16"/>
              </w:rPr>
            </w:pPr>
          </w:p>
        </w:tc>
        <w:tc>
          <w:tcPr>
            <w:tcW w:w="1367" w:type="dxa"/>
          </w:tcPr>
          <w:p w14:paraId="75051044" w14:textId="216F797C" w:rsidR="00375AE8" w:rsidRPr="00F04D18" w:rsidRDefault="00375AE8" w:rsidP="00F04D18">
            <w:pPr>
              <w:jc w:val="center"/>
              <w:rPr>
                <w:rFonts w:asciiTheme="majorHAnsi" w:hAnsiTheme="majorHAnsi"/>
                <w:sz w:val="16"/>
                <w:szCs w:val="16"/>
              </w:rPr>
            </w:pPr>
            <w:r>
              <w:rPr>
                <w:rFonts w:asciiTheme="majorHAnsi" w:hAnsiTheme="majorHAnsi"/>
                <w:sz w:val="16"/>
                <w:szCs w:val="16"/>
              </w:rPr>
              <w:t>Gender mainstreaming</w:t>
            </w:r>
          </w:p>
        </w:tc>
        <w:tc>
          <w:tcPr>
            <w:tcW w:w="2414" w:type="dxa"/>
          </w:tcPr>
          <w:p w14:paraId="5E4E07CC" w14:textId="4C945DD1" w:rsidR="00375AE8" w:rsidRPr="00F04D18" w:rsidRDefault="00375AE8" w:rsidP="00F04D18">
            <w:pPr>
              <w:jc w:val="center"/>
              <w:rPr>
                <w:rFonts w:asciiTheme="majorHAnsi" w:hAnsiTheme="majorHAnsi"/>
                <w:sz w:val="16"/>
                <w:szCs w:val="16"/>
              </w:rPr>
            </w:pPr>
            <w:r>
              <w:rPr>
                <w:rFonts w:asciiTheme="majorHAnsi" w:hAnsiTheme="majorHAnsi"/>
                <w:sz w:val="16"/>
                <w:szCs w:val="16"/>
              </w:rPr>
              <w:t>Assessment of gender roles and responsibilities</w:t>
            </w:r>
          </w:p>
        </w:tc>
        <w:tc>
          <w:tcPr>
            <w:tcW w:w="1309" w:type="dxa"/>
          </w:tcPr>
          <w:p w14:paraId="728E0A21" w14:textId="365F24A0" w:rsidR="00375AE8" w:rsidRPr="00F04D18" w:rsidRDefault="00375AE8" w:rsidP="00F04D18">
            <w:pPr>
              <w:jc w:val="center"/>
              <w:rPr>
                <w:rFonts w:asciiTheme="majorHAnsi" w:hAnsiTheme="majorHAnsi"/>
                <w:sz w:val="16"/>
                <w:szCs w:val="16"/>
              </w:rPr>
            </w:pPr>
            <w:r>
              <w:rPr>
                <w:rFonts w:asciiTheme="majorHAnsi" w:hAnsiTheme="majorHAnsi"/>
                <w:sz w:val="16"/>
                <w:szCs w:val="16"/>
              </w:rPr>
              <w:t>MCCA</w:t>
            </w:r>
          </w:p>
        </w:tc>
        <w:tc>
          <w:tcPr>
            <w:tcW w:w="610" w:type="dxa"/>
          </w:tcPr>
          <w:p w14:paraId="4E2778D7" w14:textId="77777777" w:rsidR="00375AE8" w:rsidRPr="00F04D18" w:rsidRDefault="00375AE8" w:rsidP="00F04D18">
            <w:pPr>
              <w:jc w:val="center"/>
              <w:rPr>
                <w:rFonts w:asciiTheme="majorHAnsi" w:hAnsiTheme="majorHAnsi"/>
                <w:sz w:val="16"/>
                <w:szCs w:val="16"/>
              </w:rPr>
            </w:pPr>
          </w:p>
        </w:tc>
        <w:tc>
          <w:tcPr>
            <w:tcW w:w="645" w:type="dxa"/>
          </w:tcPr>
          <w:p w14:paraId="5B53BCD3"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367FD9FF" w14:textId="77777777" w:rsidR="00375AE8" w:rsidRPr="00F04D18" w:rsidRDefault="00375AE8" w:rsidP="00F04D18">
            <w:pPr>
              <w:jc w:val="center"/>
              <w:rPr>
                <w:rFonts w:asciiTheme="majorHAnsi" w:hAnsiTheme="majorHAnsi"/>
                <w:sz w:val="16"/>
                <w:szCs w:val="16"/>
              </w:rPr>
            </w:pPr>
          </w:p>
        </w:tc>
        <w:tc>
          <w:tcPr>
            <w:tcW w:w="587" w:type="dxa"/>
            <w:shd w:val="clear" w:color="auto" w:fill="FBD4B4" w:themeFill="accent6" w:themeFillTint="66"/>
          </w:tcPr>
          <w:p w14:paraId="61DAE254" w14:textId="77777777" w:rsidR="00375AE8" w:rsidRPr="00F04D18" w:rsidRDefault="00375AE8" w:rsidP="00F04D18">
            <w:pPr>
              <w:jc w:val="center"/>
              <w:rPr>
                <w:rFonts w:asciiTheme="majorHAnsi" w:hAnsiTheme="majorHAnsi"/>
                <w:sz w:val="16"/>
                <w:szCs w:val="16"/>
              </w:rPr>
            </w:pPr>
          </w:p>
        </w:tc>
        <w:tc>
          <w:tcPr>
            <w:tcW w:w="690" w:type="dxa"/>
          </w:tcPr>
          <w:p w14:paraId="2529906D" w14:textId="77777777" w:rsidR="00375AE8" w:rsidRPr="00F04D18" w:rsidRDefault="00375AE8" w:rsidP="00F04D18">
            <w:pPr>
              <w:jc w:val="center"/>
              <w:rPr>
                <w:rFonts w:asciiTheme="majorHAnsi" w:hAnsiTheme="majorHAnsi"/>
                <w:sz w:val="16"/>
                <w:szCs w:val="16"/>
              </w:rPr>
            </w:pPr>
          </w:p>
        </w:tc>
        <w:tc>
          <w:tcPr>
            <w:tcW w:w="540" w:type="dxa"/>
          </w:tcPr>
          <w:p w14:paraId="46966C41" w14:textId="77777777" w:rsidR="00375AE8" w:rsidRPr="00F04D18" w:rsidRDefault="00375AE8" w:rsidP="00F04D18">
            <w:pPr>
              <w:jc w:val="center"/>
              <w:rPr>
                <w:rFonts w:asciiTheme="majorHAnsi" w:hAnsiTheme="majorHAnsi"/>
                <w:sz w:val="16"/>
                <w:szCs w:val="16"/>
              </w:rPr>
            </w:pPr>
          </w:p>
        </w:tc>
        <w:tc>
          <w:tcPr>
            <w:tcW w:w="690" w:type="dxa"/>
          </w:tcPr>
          <w:p w14:paraId="13C3DE78" w14:textId="77777777" w:rsidR="00375AE8" w:rsidRPr="00F04D18" w:rsidRDefault="00375AE8" w:rsidP="00F04D18">
            <w:pPr>
              <w:jc w:val="center"/>
              <w:rPr>
                <w:rFonts w:asciiTheme="majorHAnsi" w:hAnsiTheme="majorHAnsi"/>
                <w:sz w:val="16"/>
                <w:szCs w:val="16"/>
              </w:rPr>
            </w:pPr>
          </w:p>
        </w:tc>
        <w:tc>
          <w:tcPr>
            <w:tcW w:w="534" w:type="dxa"/>
          </w:tcPr>
          <w:p w14:paraId="5C3A67CD" w14:textId="77777777" w:rsidR="00375AE8" w:rsidRPr="00F04D18" w:rsidRDefault="00375AE8" w:rsidP="00F04D18">
            <w:pPr>
              <w:jc w:val="center"/>
              <w:rPr>
                <w:rFonts w:asciiTheme="majorHAnsi" w:hAnsiTheme="majorHAnsi"/>
                <w:sz w:val="16"/>
                <w:szCs w:val="16"/>
              </w:rPr>
            </w:pPr>
          </w:p>
        </w:tc>
        <w:tc>
          <w:tcPr>
            <w:tcW w:w="690" w:type="dxa"/>
          </w:tcPr>
          <w:p w14:paraId="47AD04E1" w14:textId="77777777" w:rsidR="00375AE8" w:rsidRPr="00F04D18" w:rsidRDefault="00375AE8" w:rsidP="00F04D18">
            <w:pPr>
              <w:jc w:val="center"/>
              <w:rPr>
                <w:rFonts w:asciiTheme="majorHAnsi" w:hAnsiTheme="majorHAnsi"/>
                <w:sz w:val="16"/>
                <w:szCs w:val="16"/>
              </w:rPr>
            </w:pPr>
          </w:p>
        </w:tc>
        <w:tc>
          <w:tcPr>
            <w:tcW w:w="516" w:type="dxa"/>
          </w:tcPr>
          <w:p w14:paraId="53A10AAC" w14:textId="77777777" w:rsidR="00375AE8" w:rsidRPr="00F04D18" w:rsidRDefault="00375AE8" w:rsidP="00F04D18">
            <w:pPr>
              <w:jc w:val="center"/>
              <w:rPr>
                <w:rFonts w:asciiTheme="majorHAnsi" w:hAnsiTheme="majorHAnsi"/>
                <w:sz w:val="16"/>
                <w:szCs w:val="16"/>
              </w:rPr>
            </w:pPr>
          </w:p>
        </w:tc>
        <w:tc>
          <w:tcPr>
            <w:tcW w:w="690" w:type="dxa"/>
          </w:tcPr>
          <w:p w14:paraId="642347A4" w14:textId="77777777" w:rsidR="00375AE8" w:rsidRPr="00F04D18" w:rsidRDefault="00375AE8" w:rsidP="00F04D18">
            <w:pPr>
              <w:jc w:val="center"/>
              <w:rPr>
                <w:rFonts w:asciiTheme="majorHAnsi" w:hAnsiTheme="majorHAnsi"/>
                <w:sz w:val="16"/>
                <w:szCs w:val="16"/>
              </w:rPr>
            </w:pPr>
          </w:p>
        </w:tc>
        <w:tc>
          <w:tcPr>
            <w:tcW w:w="513" w:type="dxa"/>
          </w:tcPr>
          <w:p w14:paraId="388052A5" w14:textId="77777777" w:rsidR="00375AE8" w:rsidRPr="00F04D18" w:rsidRDefault="00375AE8" w:rsidP="00F04D18">
            <w:pPr>
              <w:jc w:val="center"/>
              <w:rPr>
                <w:rFonts w:asciiTheme="majorHAnsi" w:hAnsiTheme="majorHAnsi"/>
                <w:sz w:val="16"/>
                <w:szCs w:val="16"/>
              </w:rPr>
            </w:pPr>
          </w:p>
        </w:tc>
        <w:tc>
          <w:tcPr>
            <w:tcW w:w="690" w:type="dxa"/>
          </w:tcPr>
          <w:p w14:paraId="2DEF4548" w14:textId="77777777" w:rsidR="00375AE8" w:rsidRPr="00F04D18" w:rsidRDefault="00375AE8" w:rsidP="00F04D18">
            <w:pPr>
              <w:jc w:val="center"/>
              <w:rPr>
                <w:rFonts w:asciiTheme="majorHAnsi" w:hAnsiTheme="majorHAnsi"/>
                <w:sz w:val="16"/>
                <w:szCs w:val="16"/>
              </w:rPr>
            </w:pPr>
          </w:p>
        </w:tc>
      </w:tr>
      <w:tr w:rsidR="00375AE8" w14:paraId="54E6DD6A" w14:textId="77777777" w:rsidTr="005901FD">
        <w:tc>
          <w:tcPr>
            <w:tcW w:w="1441" w:type="dxa"/>
            <w:vMerge/>
          </w:tcPr>
          <w:p w14:paraId="234894A9" w14:textId="77777777" w:rsidR="00375AE8" w:rsidRPr="00F04D18" w:rsidRDefault="00375AE8" w:rsidP="00F04D18">
            <w:pPr>
              <w:jc w:val="center"/>
              <w:rPr>
                <w:rFonts w:asciiTheme="majorHAnsi" w:hAnsiTheme="majorHAnsi"/>
                <w:sz w:val="16"/>
                <w:szCs w:val="16"/>
              </w:rPr>
            </w:pPr>
          </w:p>
        </w:tc>
        <w:tc>
          <w:tcPr>
            <w:tcW w:w="1367" w:type="dxa"/>
          </w:tcPr>
          <w:p w14:paraId="327BDE34" w14:textId="77777777" w:rsidR="00375AE8" w:rsidRPr="00F04D18" w:rsidRDefault="00375AE8" w:rsidP="00F04D18">
            <w:pPr>
              <w:jc w:val="center"/>
              <w:rPr>
                <w:rFonts w:asciiTheme="majorHAnsi" w:hAnsiTheme="majorHAnsi"/>
                <w:sz w:val="16"/>
                <w:szCs w:val="16"/>
              </w:rPr>
            </w:pPr>
          </w:p>
        </w:tc>
        <w:tc>
          <w:tcPr>
            <w:tcW w:w="2414" w:type="dxa"/>
          </w:tcPr>
          <w:p w14:paraId="55083D51" w14:textId="76A60B21" w:rsidR="00375AE8" w:rsidRPr="00F04D18" w:rsidRDefault="00375AE8" w:rsidP="00F04D18">
            <w:pPr>
              <w:jc w:val="center"/>
              <w:rPr>
                <w:rFonts w:asciiTheme="majorHAnsi" w:hAnsiTheme="majorHAnsi"/>
                <w:sz w:val="16"/>
                <w:szCs w:val="16"/>
              </w:rPr>
            </w:pPr>
            <w:r>
              <w:rPr>
                <w:rFonts w:asciiTheme="majorHAnsi" w:hAnsiTheme="majorHAnsi"/>
                <w:sz w:val="16"/>
                <w:szCs w:val="16"/>
              </w:rPr>
              <w:t xml:space="preserve">Implementation of gender mainstreaming actions </w:t>
            </w:r>
          </w:p>
        </w:tc>
        <w:tc>
          <w:tcPr>
            <w:tcW w:w="1309" w:type="dxa"/>
          </w:tcPr>
          <w:p w14:paraId="382530C1" w14:textId="7B0CDCDF" w:rsidR="00375AE8" w:rsidRPr="00F04D18" w:rsidRDefault="00375AE8" w:rsidP="00F04D18">
            <w:pPr>
              <w:jc w:val="center"/>
              <w:rPr>
                <w:rFonts w:asciiTheme="majorHAnsi" w:hAnsiTheme="majorHAnsi"/>
                <w:sz w:val="16"/>
                <w:szCs w:val="16"/>
              </w:rPr>
            </w:pPr>
            <w:r>
              <w:rPr>
                <w:rFonts w:asciiTheme="majorHAnsi" w:hAnsiTheme="majorHAnsi"/>
                <w:sz w:val="16"/>
                <w:szCs w:val="16"/>
              </w:rPr>
              <w:t>MNRET</w:t>
            </w:r>
          </w:p>
        </w:tc>
        <w:tc>
          <w:tcPr>
            <w:tcW w:w="610" w:type="dxa"/>
          </w:tcPr>
          <w:p w14:paraId="05CC3E46" w14:textId="77777777" w:rsidR="00375AE8" w:rsidRPr="00F04D18" w:rsidRDefault="00375AE8" w:rsidP="00F04D18">
            <w:pPr>
              <w:jc w:val="center"/>
              <w:rPr>
                <w:rFonts w:asciiTheme="majorHAnsi" w:hAnsiTheme="majorHAnsi"/>
                <w:sz w:val="16"/>
                <w:szCs w:val="16"/>
              </w:rPr>
            </w:pPr>
          </w:p>
        </w:tc>
        <w:tc>
          <w:tcPr>
            <w:tcW w:w="645" w:type="dxa"/>
          </w:tcPr>
          <w:p w14:paraId="077DB4F6" w14:textId="77777777" w:rsidR="00375AE8" w:rsidRPr="00F04D18" w:rsidRDefault="00375AE8" w:rsidP="00F04D18">
            <w:pPr>
              <w:jc w:val="center"/>
              <w:rPr>
                <w:rFonts w:asciiTheme="majorHAnsi" w:hAnsiTheme="majorHAnsi"/>
                <w:sz w:val="16"/>
                <w:szCs w:val="16"/>
              </w:rPr>
            </w:pPr>
          </w:p>
        </w:tc>
        <w:tc>
          <w:tcPr>
            <w:tcW w:w="690" w:type="dxa"/>
          </w:tcPr>
          <w:p w14:paraId="7C93F750" w14:textId="77777777" w:rsidR="00375AE8" w:rsidRPr="00F04D18" w:rsidRDefault="00375AE8" w:rsidP="00F04D18">
            <w:pPr>
              <w:jc w:val="center"/>
              <w:rPr>
                <w:rFonts w:asciiTheme="majorHAnsi" w:hAnsiTheme="majorHAnsi"/>
                <w:sz w:val="16"/>
                <w:szCs w:val="16"/>
              </w:rPr>
            </w:pPr>
          </w:p>
        </w:tc>
        <w:tc>
          <w:tcPr>
            <w:tcW w:w="587" w:type="dxa"/>
            <w:shd w:val="clear" w:color="auto" w:fill="FBD4B4" w:themeFill="accent6" w:themeFillTint="66"/>
          </w:tcPr>
          <w:p w14:paraId="5383AFDF" w14:textId="537D49AF"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7DFEE8EE" w14:textId="77777777" w:rsidR="00375AE8" w:rsidRPr="00F04D18" w:rsidRDefault="00375AE8" w:rsidP="00F04D18">
            <w:pPr>
              <w:jc w:val="center"/>
              <w:rPr>
                <w:rFonts w:asciiTheme="majorHAnsi" w:hAnsiTheme="majorHAnsi"/>
                <w:sz w:val="16"/>
                <w:szCs w:val="16"/>
              </w:rPr>
            </w:pPr>
          </w:p>
        </w:tc>
        <w:tc>
          <w:tcPr>
            <w:tcW w:w="540" w:type="dxa"/>
            <w:shd w:val="clear" w:color="auto" w:fill="FBD4B4" w:themeFill="accent6" w:themeFillTint="66"/>
          </w:tcPr>
          <w:p w14:paraId="373AFA62"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6CA44842" w14:textId="77777777" w:rsidR="00375AE8" w:rsidRPr="00F04D18" w:rsidRDefault="00375AE8" w:rsidP="00F04D18">
            <w:pPr>
              <w:jc w:val="center"/>
              <w:rPr>
                <w:rFonts w:asciiTheme="majorHAnsi" w:hAnsiTheme="majorHAnsi"/>
                <w:sz w:val="16"/>
                <w:szCs w:val="16"/>
              </w:rPr>
            </w:pPr>
          </w:p>
        </w:tc>
        <w:tc>
          <w:tcPr>
            <w:tcW w:w="534" w:type="dxa"/>
            <w:shd w:val="clear" w:color="auto" w:fill="FBD4B4" w:themeFill="accent6" w:themeFillTint="66"/>
          </w:tcPr>
          <w:p w14:paraId="7574F0D4"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2247E1BD" w14:textId="77777777" w:rsidR="00375AE8" w:rsidRPr="00F04D18" w:rsidRDefault="00375AE8" w:rsidP="00F04D18">
            <w:pPr>
              <w:jc w:val="center"/>
              <w:rPr>
                <w:rFonts w:asciiTheme="majorHAnsi" w:hAnsiTheme="majorHAnsi"/>
                <w:sz w:val="16"/>
                <w:szCs w:val="16"/>
              </w:rPr>
            </w:pPr>
          </w:p>
        </w:tc>
        <w:tc>
          <w:tcPr>
            <w:tcW w:w="516" w:type="dxa"/>
            <w:shd w:val="clear" w:color="auto" w:fill="FBD4B4" w:themeFill="accent6" w:themeFillTint="66"/>
          </w:tcPr>
          <w:p w14:paraId="3AABD8B7"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6DA5C223" w14:textId="77777777" w:rsidR="00375AE8" w:rsidRPr="00F04D18" w:rsidRDefault="00375AE8" w:rsidP="00F04D18">
            <w:pPr>
              <w:jc w:val="center"/>
              <w:rPr>
                <w:rFonts w:asciiTheme="majorHAnsi" w:hAnsiTheme="majorHAnsi"/>
                <w:sz w:val="16"/>
                <w:szCs w:val="16"/>
              </w:rPr>
            </w:pPr>
          </w:p>
        </w:tc>
        <w:tc>
          <w:tcPr>
            <w:tcW w:w="513" w:type="dxa"/>
            <w:shd w:val="clear" w:color="auto" w:fill="FBD4B4" w:themeFill="accent6" w:themeFillTint="66"/>
          </w:tcPr>
          <w:p w14:paraId="0B15BADE"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5BAE9DC1" w14:textId="77777777" w:rsidR="00375AE8" w:rsidRPr="00F04D18" w:rsidRDefault="00375AE8" w:rsidP="00F04D18">
            <w:pPr>
              <w:jc w:val="center"/>
              <w:rPr>
                <w:rFonts w:asciiTheme="majorHAnsi" w:hAnsiTheme="majorHAnsi"/>
                <w:sz w:val="16"/>
                <w:szCs w:val="16"/>
              </w:rPr>
            </w:pPr>
          </w:p>
        </w:tc>
      </w:tr>
      <w:tr w:rsidR="00375AE8" w14:paraId="1B0773B0" w14:textId="77777777" w:rsidTr="005901FD">
        <w:tc>
          <w:tcPr>
            <w:tcW w:w="1441" w:type="dxa"/>
            <w:vMerge/>
          </w:tcPr>
          <w:p w14:paraId="0041CA37" w14:textId="77777777" w:rsidR="00375AE8" w:rsidRPr="00F04D18" w:rsidRDefault="00375AE8" w:rsidP="00F04D18">
            <w:pPr>
              <w:jc w:val="center"/>
              <w:rPr>
                <w:rFonts w:asciiTheme="majorHAnsi" w:hAnsiTheme="majorHAnsi"/>
                <w:sz w:val="16"/>
                <w:szCs w:val="16"/>
              </w:rPr>
            </w:pPr>
          </w:p>
        </w:tc>
        <w:tc>
          <w:tcPr>
            <w:tcW w:w="1367" w:type="dxa"/>
          </w:tcPr>
          <w:p w14:paraId="76F75D7F" w14:textId="5B05F6BC" w:rsidR="00375AE8" w:rsidRPr="00F04D18" w:rsidRDefault="00375AE8" w:rsidP="00F04D18">
            <w:pPr>
              <w:jc w:val="center"/>
              <w:rPr>
                <w:rFonts w:asciiTheme="majorHAnsi" w:hAnsiTheme="majorHAnsi"/>
                <w:sz w:val="16"/>
                <w:szCs w:val="16"/>
              </w:rPr>
            </w:pPr>
            <w:r>
              <w:rPr>
                <w:rFonts w:asciiTheme="majorHAnsi" w:hAnsiTheme="majorHAnsi"/>
                <w:sz w:val="16"/>
                <w:szCs w:val="16"/>
              </w:rPr>
              <w:t xml:space="preserve">Dissemination </w:t>
            </w:r>
          </w:p>
        </w:tc>
        <w:tc>
          <w:tcPr>
            <w:tcW w:w="2414" w:type="dxa"/>
          </w:tcPr>
          <w:p w14:paraId="0ACABB59" w14:textId="18A3804A" w:rsidR="00375AE8" w:rsidRPr="00F04D18" w:rsidRDefault="00375AE8" w:rsidP="00F04D18">
            <w:pPr>
              <w:jc w:val="center"/>
              <w:rPr>
                <w:rFonts w:asciiTheme="majorHAnsi" w:hAnsiTheme="majorHAnsi"/>
                <w:sz w:val="16"/>
                <w:szCs w:val="16"/>
              </w:rPr>
            </w:pPr>
            <w:r>
              <w:rPr>
                <w:rFonts w:asciiTheme="majorHAnsi" w:hAnsiTheme="majorHAnsi"/>
                <w:sz w:val="16"/>
                <w:szCs w:val="16"/>
              </w:rPr>
              <w:t>Annual Workshops to assess impact of awareness and gender mainstreaming activities</w:t>
            </w:r>
          </w:p>
        </w:tc>
        <w:tc>
          <w:tcPr>
            <w:tcW w:w="1309" w:type="dxa"/>
          </w:tcPr>
          <w:p w14:paraId="1E820A32" w14:textId="3782538B" w:rsidR="00375AE8" w:rsidRPr="00F04D18" w:rsidRDefault="00375AE8" w:rsidP="00F04D18">
            <w:pPr>
              <w:jc w:val="center"/>
              <w:rPr>
                <w:rFonts w:asciiTheme="majorHAnsi" w:hAnsiTheme="majorHAnsi"/>
                <w:sz w:val="16"/>
                <w:szCs w:val="16"/>
              </w:rPr>
            </w:pPr>
            <w:r>
              <w:rPr>
                <w:rFonts w:asciiTheme="majorHAnsi" w:hAnsiTheme="majorHAnsi"/>
                <w:sz w:val="16"/>
                <w:szCs w:val="16"/>
              </w:rPr>
              <w:t>MNRET</w:t>
            </w:r>
          </w:p>
        </w:tc>
        <w:tc>
          <w:tcPr>
            <w:tcW w:w="610" w:type="dxa"/>
          </w:tcPr>
          <w:p w14:paraId="7DCDD0DD" w14:textId="77777777" w:rsidR="00375AE8" w:rsidRPr="00F04D18" w:rsidRDefault="00375AE8" w:rsidP="00F04D18">
            <w:pPr>
              <w:jc w:val="center"/>
              <w:rPr>
                <w:rFonts w:asciiTheme="majorHAnsi" w:hAnsiTheme="majorHAnsi"/>
                <w:sz w:val="16"/>
                <w:szCs w:val="16"/>
              </w:rPr>
            </w:pPr>
          </w:p>
        </w:tc>
        <w:tc>
          <w:tcPr>
            <w:tcW w:w="645" w:type="dxa"/>
          </w:tcPr>
          <w:p w14:paraId="5BD2B109" w14:textId="77777777" w:rsidR="00375AE8" w:rsidRPr="00F04D18" w:rsidRDefault="00375AE8" w:rsidP="00F04D18">
            <w:pPr>
              <w:jc w:val="center"/>
              <w:rPr>
                <w:rFonts w:asciiTheme="majorHAnsi" w:hAnsiTheme="majorHAnsi"/>
                <w:sz w:val="16"/>
                <w:szCs w:val="16"/>
              </w:rPr>
            </w:pPr>
          </w:p>
        </w:tc>
        <w:tc>
          <w:tcPr>
            <w:tcW w:w="690" w:type="dxa"/>
          </w:tcPr>
          <w:p w14:paraId="3CDE7EC3" w14:textId="77777777" w:rsidR="00375AE8" w:rsidRPr="00F04D18" w:rsidRDefault="00375AE8" w:rsidP="00F04D18">
            <w:pPr>
              <w:jc w:val="center"/>
              <w:rPr>
                <w:rFonts w:asciiTheme="majorHAnsi" w:hAnsiTheme="majorHAnsi"/>
                <w:sz w:val="16"/>
                <w:szCs w:val="16"/>
              </w:rPr>
            </w:pPr>
          </w:p>
        </w:tc>
        <w:tc>
          <w:tcPr>
            <w:tcW w:w="587" w:type="dxa"/>
          </w:tcPr>
          <w:p w14:paraId="3EB1C62C"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450C5CD4" w14:textId="77777777" w:rsidR="00375AE8" w:rsidRPr="00F04D18" w:rsidRDefault="00375AE8" w:rsidP="00F04D18">
            <w:pPr>
              <w:jc w:val="center"/>
              <w:rPr>
                <w:rFonts w:asciiTheme="majorHAnsi" w:hAnsiTheme="majorHAnsi"/>
                <w:sz w:val="16"/>
                <w:szCs w:val="16"/>
              </w:rPr>
            </w:pPr>
          </w:p>
        </w:tc>
        <w:tc>
          <w:tcPr>
            <w:tcW w:w="540" w:type="dxa"/>
          </w:tcPr>
          <w:p w14:paraId="0651F880"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11B704EB" w14:textId="77777777" w:rsidR="00375AE8" w:rsidRPr="00F04D18" w:rsidRDefault="00375AE8" w:rsidP="00F04D18">
            <w:pPr>
              <w:jc w:val="center"/>
              <w:rPr>
                <w:rFonts w:asciiTheme="majorHAnsi" w:hAnsiTheme="majorHAnsi"/>
                <w:sz w:val="16"/>
                <w:szCs w:val="16"/>
              </w:rPr>
            </w:pPr>
          </w:p>
        </w:tc>
        <w:tc>
          <w:tcPr>
            <w:tcW w:w="534" w:type="dxa"/>
          </w:tcPr>
          <w:p w14:paraId="35446A9D"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1CBAC834" w14:textId="77777777" w:rsidR="00375AE8" w:rsidRPr="00F04D18" w:rsidRDefault="00375AE8" w:rsidP="00F04D18">
            <w:pPr>
              <w:jc w:val="center"/>
              <w:rPr>
                <w:rFonts w:asciiTheme="majorHAnsi" w:hAnsiTheme="majorHAnsi"/>
                <w:sz w:val="16"/>
                <w:szCs w:val="16"/>
              </w:rPr>
            </w:pPr>
          </w:p>
        </w:tc>
        <w:tc>
          <w:tcPr>
            <w:tcW w:w="516" w:type="dxa"/>
          </w:tcPr>
          <w:p w14:paraId="449F2B16"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2944CDAD" w14:textId="77777777" w:rsidR="00375AE8" w:rsidRPr="00F04D18" w:rsidRDefault="00375AE8" w:rsidP="00F04D18">
            <w:pPr>
              <w:jc w:val="center"/>
              <w:rPr>
                <w:rFonts w:asciiTheme="majorHAnsi" w:hAnsiTheme="majorHAnsi"/>
                <w:sz w:val="16"/>
                <w:szCs w:val="16"/>
              </w:rPr>
            </w:pPr>
          </w:p>
        </w:tc>
        <w:tc>
          <w:tcPr>
            <w:tcW w:w="513" w:type="dxa"/>
          </w:tcPr>
          <w:p w14:paraId="4F9321CA"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5A842836" w14:textId="77777777" w:rsidR="00375AE8" w:rsidRPr="00F04D18" w:rsidRDefault="00375AE8" w:rsidP="00F04D18">
            <w:pPr>
              <w:jc w:val="center"/>
              <w:rPr>
                <w:rFonts w:asciiTheme="majorHAnsi" w:hAnsiTheme="majorHAnsi"/>
                <w:sz w:val="16"/>
                <w:szCs w:val="16"/>
              </w:rPr>
            </w:pPr>
          </w:p>
        </w:tc>
      </w:tr>
      <w:tr w:rsidR="00375AE8" w14:paraId="20E2BF20" w14:textId="77777777" w:rsidTr="005901FD">
        <w:tc>
          <w:tcPr>
            <w:tcW w:w="1441" w:type="dxa"/>
            <w:vMerge w:val="restart"/>
          </w:tcPr>
          <w:p w14:paraId="07EDF923" w14:textId="05E50206" w:rsidR="00375AE8" w:rsidRPr="00F04D18" w:rsidRDefault="00375AE8" w:rsidP="0085498B">
            <w:pPr>
              <w:jc w:val="center"/>
              <w:rPr>
                <w:rFonts w:asciiTheme="majorHAnsi" w:hAnsiTheme="majorHAnsi"/>
                <w:sz w:val="16"/>
                <w:szCs w:val="16"/>
              </w:rPr>
            </w:pPr>
            <w:r>
              <w:rPr>
                <w:rFonts w:asciiTheme="majorHAnsi" w:hAnsiTheme="majorHAnsi"/>
                <w:sz w:val="16"/>
                <w:szCs w:val="16"/>
              </w:rPr>
              <w:t>Enhancing ridge to reef curriculum to include IAS and biosecurity</w:t>
            </w:r>
          </w:p>
        </w:tc>
        <w:tc>
          <w:tcPr>
            <w:tcW w:w="1367" w:type="dxa"/>
            <w:vMerge w:val="restart"/>
          </w:tcPr>
          <w:p w14:paraId="4F7B7128" w14:textId="3D8B49D7" w:rsidR="00375AE8" w:rsidRPr="00F04D18" w:rsidRDefault="00375AE8" w:rsidP="00F04D18">
            <w:pPr>
              <w:jc w:val="center"/>
              <w:rPr>
                <w:rFonts w:asciiTheme="majorHAnsi" w:hAnsiTheme="majorHAnsi"/>
                <w:sz w:val="16"/>
                <w:szCs w:val="16"/>
              </w:rPr>
            </w:pPr>
            <w:r>
              <w:rPr>
                <w:rFonts w:asciiTheme="majorHAnsi" w:hAnsiTheme="majorHAnsi"/>
                <w:sz w:val="16"/>
                <w:szCs w:val="16"/>
              </w:rPr>
              <w:t xml:space="preserve">Development of curriculum </w:t>
            </w:r>
          </w:p>
        </w:tc>
        <w:tc>
          <w:tcPr>
            <w:tcW w:w="2414" w:type="dxa"/>
          </w:tcPr>
          <w:p w14:paraId="4DB0E346" w14:textId="0FAA86F1" w:rsidR="00375AE8" w:rsidRPr="00F04D18" w:rsidRDefault="00375AE8" w:rsidP="0085498B">
            <w:pPr>
              <w:jc w:val="center"/>
              <w:rPr>
                <w:rFonts w:asciiTheme="majorHAnsi" w:hAnsiTheme="majorHAnsi"/>
                <w:sz w:val="16"/>
                <w:szCs w:val="16"/>
              </w:rPr>
            </w:pPr>
            <w:r>
              <w:rPr>
                <w:rFonts w:asciiTheme="majorHAnsi" w:hAnsiTheme="majorHAnsi"/>
                <w:sz w:val="16"/>
                <w:szCs w:val="16"/>
              </w:rPr>
              <w:t>Development of content, school lesson plan on IAS prevention and management and outreach to MOE</w:t>
            </w:r>
          </w:p>
        </w:tc>
        <w:tc>
          <w:tcPr>
            <w:tcW w:w="1309" w:type="dxa"/>
          </w:tcPr>
          <w:p w14:paraId="160BC2CF" w14:textId="1DCBD124" w:rsidR="00375AE8" w:rsidRPr="00F04D18" w:rsidRDefault="00375AE8" w:rsidP="00F04D18">
            <w:pPr>
              <w:jc w:val="center"/>
              <w:rPr>
                <w:rFonts w:asciiTheme="majorHAnsi" w:hAnsiTheme="majorHAnsi"/>
                <w:sz w:val="16"/>
                <w:szCs w:val="16"/>
              </w:rPr>
            </w:pPr>
            <w:r>
              <w:rPr>
                <w:rFonts w:asciiTheme="majorHAnsi" w:hAnsiTheme="majorHAnsi"/>
                <w:sz w:val="16"/>
                <w:szCs w:val="16"/>
              </w:rPr>
              <w:t>NISC</w:t>
            </w:r>
          </w:p>
        </w:tc>
        <w:tc>
          <w:tcPr>
            <w:tcW w:w="610" w:type="dxa"/>
          </w:tcPr>
          <w:p w14:paraId="5C3D3286" w14:textId="77777777" w:rsidR="00375AE8" w:rsidRPr="00F04D18" w:rsidRDefault="00375AE8" w:rsidP="00F04D18">
            <w:pPr>
              <w:jc w:val="center"/>
              <w:rPr>
                <w:rFonts w:asciiTheme="majorHAnsi" w:hAnsiTheme="majorHAnsi"/>
                <w:sz w:val="16"/>
                <w:szCs w:val="16"/>
              </w:rPr>
            </w:pPr>
          </w:p>
        </w:tc>
        <w:tc>
          <w:tcPr>
            <w:tcW w:w="645" w:type="dxa"/>
          </w:tcPr>
          <w:p w14:paraId="32C828C7" w14:textId="77777777" w:rsidR="00375AE8" w:rsidRPr="00F04D18" w:rsidRDefault="00375AE8" w:rsidP="00F04D18">
            <w:pPr>
              <w:jc w:val="center"/>
              <w:rPr>
                <w:rFonts w:asciiTheme="majorHAnsi" w:hAnsiTheme="majorHAnsi"/>
                <w:sz w:val="16"/>
                <w:szCs w:val="16"/>
              </w:rPr>
            </w:pPr>
          </w:p>
        </w:tc>
        <w:tc>
          <w:tcPr>
            <w:tcW w:w="690" w:type="dxa"/>
          </w:tcPr>
          <w:p w14:paraId="43D13BED" w14:textId="77777777" w:rsidR="00375AE8" w:rsidRPr="00F04D18" w:rsidRDefault="00375AE8" w:rsidP="00F04D18">
            <w:pPr>
              <w:jc w:val="center"/>
              <w:rPr>
                <w:rFonts w:asciiTheme="majorHAnsi" w:hAnsiTheme="majorHAnsi"/>
                <w:sz w:val="16"/>
                <w:szCs w:val="16"/>
              </w:rPr>
            </w:pPr>
          </w:p>
        </w:tc>
        <w:tc>
          <w:tcPr>
            <w:tcW w:w="587" w:type="dxa"/>
            <w:shd w:val="clear" w:color="auto" w:fill="FBD4B4" w:themeFill="accent6" w:themeFillTint="66"/>
          </w:tcPr>
          <w:p w14:paraId="4CF4C093"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648C9A32" w14:textId="77777777" w:rsidR="00375AE8" w:rsidRPr="00F04D18" w:rsidRDefault="00375AE8" w:rsidP="00F04D18">
            <w:pPr>
              <w:jc w:val="center"/>
              <w:rPr>
                <w:rFonts w:asciiTheme="majorHAnsi" w:hAnsiTheme="majorHAnsi"/>
                <w:sz w:val="16"/>
                <w:szCs w:val="16"/>
              </w:rPr>
            </w:pPr>
          </w:p>
        </w:tc>
        <w:tc>
          <w:tcPr>
            <w:tcW w:w="540" w:type="dxa"/>
          </w:tcPr>
          <w:p w14:paraId="0104655B" w14:textId="77777777" w:rsidR="00375AE8" w:rsidRPr="00F04D18" w:rsidRDefault="00375AE8" w:rsidP="00F04D18">
            <w:pPr>
              <w:jc w:val="center"/>
              <w:rPr>
                <w:rFonts w:asciiTheme="majorHAnsi" w:hAnsiTheme="majorHAnsi"/>
                <w:sz w:val="16"/>
                <w:szCs w:val="16"/>
              </w:rPr>
            </w:pPr>
          </w:p>
        </w:tc>
        <w:tc>
          <w:tcPr>
            <w:tcW w:w="690" w:type="dxa"/>
          </w:tcPr>
          <w:p w14:paraId="20B10AD5" w14:textId="77777777" w:rsidR="00375AE8" w:rsidRPr="00F04D18" w:rsidRDefault="00375AE8" w:rsidP="00F04D18">
            <w:pPr>
              <w:jc w:val="center"/>
              <w:rPr>
                <w:rFonts w:asciiTheme="majorHAnsi" w:hAnsiTheme="majorHAnsi"/>
                <w:sz w:val="16"/>
                <w:szCs w:val="16"/>
              </w:rPr>
            </w:pPr>
          </w:p>
        </w:tc>
        <w:tc>
          <w:tcPr>
            <w:tcW w:w="534" w:type="dxa"/>
          </w:tcPr>
          <w:p w14:paraId="42F95EC1" w14:textId="77777777" w:rsidR="00375AE8" w:rsidRPr="00F04D18" w:rsidRDefault="00375AE8" w:rsidP="00F04D18">
            <w:pPr>
              <w:jc w:val="center"/>
              <w:rPr>
                <w:rFonts w:asciiTheme="majorHAnsi" w:hAnsiTheme="majorHAnsi"/>
                <w:sz w:val="16"/>
                <w:szCs w:val="16"/>
              </w:rPr>
            </w:pPr>
          </w:p>
        </w:tc>
        <w:tc>
          <w:tcPr>
            <w:tcW w:w="690" w:type="dxa"/>
          </w:tcPr>
          <w:p w14:paraId="73B4DB21" w14:textId="77777777" w:rsidR="00375AE8" w:rsidRPr="00F04D18" w:rsidRDefault="00375AE8" w:rsidP="00F04D18">
            <w:pPr>
              <w:jc w:val="center"/>
              <w:rPr>
                <w:rFonts w:asciiTheme="majorHAnsi" w:hAnsiTheme="majorHAnsi"/>
                <w:sz w:val="16"/>
                <w:szCs w:val="16"/>
              </w:rPr>
            </w:pPr>
          </w:p>
        </w:tc>
        <w:tc>
          <w:tcPr>
            <w:tcW w:w="516" w:type="dxa"/>
          </w:tcPr>
          <w:p w14:paraId="7C476E61" w14:textId="77777777" w:rsidR="00375AE8" w:rsidRPr="00F04D18" w:rsidRDefault="00375AE8" w:rsidP="00F04D18">
            <w:pPr>
              <w:jc w:val="center"/>
              <w:rPr>
                <w:rFonts w:asciiTheme="majorHAnsi" w:hAnsiTheme="majorHAnsi"/>
                <w:sz w:val="16"/>
                <w:szCs w:val="16"/>
              </w:rPr>
            </w:pPr>
          </w:p>
        </w:tc>
        <w:tc>
          <w:tcPr>
            <w:tcW w:w="690" w:type="dxa"/>
          </w:tcPr>
          <w:p w14:paraId="5B6286EF" w14:textId="77777777" w:rsidR="00375AE8" w:rsidRPr="00F04D18" w:rsidRDefault="00375AE8" w:rsidP="00F04D18">
            <w:pPr>
              <w:jc w:val="center"/>
              <w:rPr>
                <w:rFonts w:asciiTheme="majorHAnsi" w:hAnsiTheme="majorHAnsi"/>
                <w:sz w:val="16"/>
                <w:szCs w:val="16"/>
              </w:rPr>
            </w:pPr>
          </w:p>
        </w:tc>
        <w:tc>
          <w:tcPr>
            <w:tcW w:w="513" w:type="dxa"/>
          </w:tcPr>
          <w:p w14:paraId="6DDF56DD" w14:textId="77777777" w:rsidR="00375AE8" w:rsidRPr="00F04D18" w:rsidRDefault="00375AE8" w:rsidP="00F04D18">
            <w:pPr>
              <w:jc w:val="center"/>
              <w:rPr>
                <w:rFonts w:asciiTheme="majorHAnsi" w:hAnsiTheme="majorHAnsi"/>
                <w:sz w:val="16"/>
                <w:szCs w:val="16"/>
              </w:rPr>
            </w:pPr>
          </w:p>
        </w:tc>
        <w:tc>
          <w:tcPr>
            <w:tcW w:w="690" w:type="dxa"/>
          </w:tcPr>
          <w:p w14:paraId="2C144689" w14:textId="77777777" w:rsidR="00375AE8" w:rsidRPr="00F04D18" w:rsidRDefault="00375AE8" w:rsidP="00F04D18">
            <w:pPr>
              <w:jc w:val="center"/>
              <w:rPr>
                <w:rFonts w:asciiTheme="majorHAnsi" w:hAnsiTheme="majorHAnsi"/>
                <w:sz w:val="16"/>
                <w:szCs w:val="16"/>
              </w:rPr>
            </w:pPr>
          </w:p>
        </w:tc>
      </w:tr>
      <w:tr w:rsidR="00375AE8" w14:paraId="3969B467" w14:textId="77777777" w:rsidTr="005901FD">
        <w:tc>
          <w:tcPr>
            <w:tcW w:w="1441" w:type="dxa"/>
            <w:vMerge/>
          </w:tcPr>
          <w:p w14:paraId="1812796F" w14:textId="77777777" w:rsidR="00375AE8" w:rsidRPr="00F04D18" w:rsidRDefault="00375AE8" w:rsidP="00F04D18">
            <w:pPr>
              <w:jc w:val="center"/>
              <w:rPr>
                <w:rFonts w:asciiTheme="majorHAnsi" w:hAnsiTheme="majorHAnsi"/>
                <w:sz w:val="16"/>
                <w:szCs w:val="16"/>
              </w:rPr>
            </w:pPr>
          </w:p>
        </w:tc>
        <w:tc>
          <w:tcPr>
            <w:tcW w:w="1367" w:type="dxa"/>
            <w:vMerge/>
          </w:tcPr>
          <w:p w14:paraId="17C95C7C" w14:textId="77777777" w:rsidR="00375AE8" w:rsidRPr="00F04D18" w:rsidRDefault="00375AE8" w:rsidP="00F04D18">
            <w:pPr>
              <w:jc w:val="center"/>
              <w:rPr>
                <w:rFonts w:asciiTheme="majorHAnsi" w:hAnsiTheme="majorHAnsi"/>
                <w:sz w:val="16"/>
                <w:szCs w:val="16"/>
              </w:rPr>
            </w:pPr>
          </w:p>
        </w:tc>
        <w:tc>
          <w:tcPr>
            <w:tcW w:w="2414" w:type="dxa"/>
          </w:tcPr>
          <w:p w14:paraId="22EDCDA0" w14:textId="67AF350E" w:rsidR="00375AE8" w:rsidRPr="00F04D18" w:rsidRDefault="00375AE8" w:rsidP="00F04D18">
            <w:pPr>
              <w:jc w:val="center"/>
              <w:rPr>
                <w:rFonts w:asciiTheme="majorHAnsi" w:hAnsiTheme="majorHAnsi"/>
                <w:sz w:val="16"/>
                <w:szCs w:val="16"/>
              </w:rPr>
            </w:pPr>
            <w:r>
              <w:rPr>
                <w:rFonts w:asciiTheme="majorHAnsi" w:hAnsiTheme="majorHAnsi"/>
                <w:sz w:val="16"/>
                <w:szCs w:val="16"/>
              </w:rPr>
              <w:t>Production of IAS school materials and teaching tools</w:t>
            </w:r>
          </w:p>
        </w:tc>
        <w:tc>
          <w:tcPr>
            <w:tcW w:w="1309" w:type="dxa"/>
          </w:tcPr>
          <w:p w14:paraId="17F63F08" w14:textId="2F231D28" w:rsidR="00375AE8" w:rsidRPr="00F04D18" w:rsidRDefault="00375AE8" w:rsidP="00F04D18">
            <w:pPr>
              <w:jc w:val="center"/>
              <w:rPr>
                <w:rFonts w:asciiTheme="majorHAnsi" w:hAnsiTheme="majorHAnsi"/>
                <w:sz w:val="16"/>
                <w:szCs w:val="16"/>
              </w:rPr>
            </w:pPr>
            <w:r>
              <w:rPr>
                <w:rFonts w:asciiTheme="majorHAnsi" w:hAnsiTheme="majorHAnsi"/>
                <w:sz w:val="16"/>
                <w:szCs w:val="16"/>
              </w:rPr>
              <w:t>NISC</w:t>
            </w:r>
          </w:p>
        </w:tc>
        <w:tc>
          <w:tcPr>
            <w:tcW w:w="610" w:type="dxa"/>
          </w:tcPr>
          <w:p w14:paraId="5CDCC975" w14:textId="77777777" w:rsidR="00375AE8" w:rsidRPr="00F04D18" w:rsidRDefault="00375AE8" w:rsidP="00F04D18">
            <w:pPr>
              <w:jc w:val="center"/>
              <w:rPr>
                <w:rFonts w:asciiTheme="majorHAnsi" w:hAnsiTheme="majorHAnsi"/>
                <w:sz w:val="16"/>
                <w:szCs w:val="16"/>
              </w:rPr>
            </w:pPr>
          </w:p>
        </w:tc>
        <w:tc>
          <w:tcPr>
            <w:tcW w:w="645" w:type="dxa"/>
          </w:tcPr>
          <w:p w14:paraId="1D296626" w14:textId="77777777" w:rsidR="00375AE8" w:rsidRPr="00F04D18" w:rsidRDefault="00375AE8" w:rsidP="00F04D18">
            <w:pPr>
              <w:jc w:val="center"/>
              <w:rPr>
                <w:rFonts w:asciiTheme="majorHAnsi" w:hAnsiTheme="majorHAnsi"/>
                <w:sz w:val="16"/>
                <w:szCs w:val="16"/>
              </w:rPr>
            </w:pPr>
          </w:p>
        </w:tc>
        <w:tc>
          <w:tcPr>
            <w:tcW w:w="690" w:type="dxa"/>
          </w:tcPr>
          <w:p w14:paraId="58406EB5" w14:textId="77777777" w:rsidR="00375AE8" w:rsidRPr="00F04D18" w:rsidRDefault="00375AE8" w:rsidP="00F04D18">
            <w:pPr>
              <w:jc w:val="center"/>
              <w:rPr>
                <w:rFonts w:asciiTheme="majorHAnsi" w:hAnsiTheme="majorHAnsi"/>
                <w:sz w:val="16"/>
                <w:szCs w:val="16"/>
              </w:rPr>
            </w:pPr>
          </w:p>
        </w:tc>
        <w:tc>
          <w:tcPr>
            <w:tcW w:w="587" w:type="dxa"/>
          </w:tcPr>
          <w:p w14:paraId="3AE40AB8"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597BFD13" w14:textId="77777777" w:rsidR="00375AE8" w:rsidRPr="00F04D18" w:rsidRDefault="00375AE8" w:rsidP="00F04D18">
            <w:pPr>
              <w:jc w:val="center"/>
              <w:rPr>
                <w:rFonts w:asciiTheme="majorHAnsi" w:hAnsiTheme="majorHAnsi"/>
                <w:sz w:val="16"/>
                <w:szCs w:val="16"/>
              </w:rPr>
            </w:pPr>
          </w:p>
        </w:tc>
        <w:tc>
          <w:tcPr>
            <w:tcW w:w="540" w:type="dxa"/>
            <w:shd w:val="clear" w:color="auto" w:fill="FBD4B4" w:themeFill="accent6" w:themeFillTint="66"/>
          </w:tcPr>
          <w:p w14:paraId="04A89FA4" w14:textId="77777777" w:rsidR="00375AE8" w:rsidRPr="00F04D18" w:rsidRDefault="00375AE8" w:rsidP="00F04D18">
            <w:pPr>
              <w:jc w:val="center"/>
              <w:rPr>
                <w:rFonts w:asciiTheme="majorHAnsi" w:hAnsiTheme="majorHAnsi"/>
                <w:sz w:val="16"/>
                <w:szCs w:val="16"/>
              </w:rPr>
            </w:pPr>
          </w:p>
        </w:tc>
        <w:tc>
          <w:tcPr>
            <w:tcW w:w="690" w:type="dxa"/>
          </w:tcPr>
          <w:p w14:paraId="540112F8" w14:textId="77777777" w:rsidR="00375AE8" w:rsidRPr="00F04D18" w:rsidRDefault="00375AE8" w:rsidP="00F04D18">
            <w:pPr>
              <w:jc w:val="center"/>
              <w:rPr>
                <w:rFonts w:asciiTheme="majorHAnsi" w:hAnsiTheme="majorHAnsi"/>
                <w:sz w:val="16"/>
                <w:szCs w:val="16"/>
              </w:rPr>
            </w:pPr>
          </w:p>
        </w:tc>
        <w:tc>
          <w:tcPr>
            <w:tcW w:w="534" w:type="dxa"/>
          </w:tcPr>
          <w:p w14:paraId="48419D5E" w14:textId="77777777" w:rsidR="00375AE8" w:rsidRPr="00F04D18" w:rsidRDefault="00375AE8" w:rsidP="00F04D18">
            <w:pPr>
              <w:jc w:val="center"/>
              <w:rPr>
                <w:rFonts w:asciiTheme="majorHAnsi" w:hAnsiTheme="majorHAnsi"/>
                <w:sz w:val="16"/>
                <w:szCs w:val="16"/>
              </w:rPr>
            </w:pPr>
          </w:p>
        </w:tc>
        <w:tc>
          <w:tcPr>
            <w:tcW w:w="690" w:type="dxa"/>
          </w:tcPr>
          <w:p w14:paraId="183F00DC" w14:textId="77777777" w:rsidR="00375AE8" w:rsidRPr="00F04D18" w:rsidRDefault="00375AE8" w:rsidP="00F04D18">
            <w:pPr>
              <w:jc w:val="center"/>
              <w:rPr>
                <w:rFonts w:asciiTheme="majorHAnsi" w:hAnsiTheme="majorHAnsi"/>
                <w:sz w:val="16"/>
                <w:szCs w:val="16"/>
              </w:rPr>
            </w:pPr>
          </w:p>
        </w:tc>
        <w:tc>
          <w:tcPr>
            <w:tcW w:w="516" w:type="dxa"/>
          </w:tcPr>
          <w:p w14:paraId="4410A601" w14:textId="77777777" w:rsidR="00375AE8" w:rsidRPr="00F04D18" w:rsidRDefault="00375AE8" w:rsidP="00F04D18">
            <w:pPr>
              <w:jc w:val="center"/>
              <w:rPr>
                <w:rFonts w:asciiTheme="majorHAnsi" w:hAnsiTheme="majorHAnsi"/>
                <w:sz w:val="16"/>
                <w:szCs w:val="16"/>
              </w:rPr>
            </w:pPr>
          </w:p>
        </w:tc>
        <w:tc>
          <w:tcPr>
            <w:tcW w:w="690" w:type="dxa"/>
          </w:tcPr>
          <w:p w14:paraId="4DBD430A" w14:textId="77777777" w:rsidR="00375AE8" w:rsidRPr="00F04D18" w:rsidRDefault="00375AE8" w:rsidP="00F04D18">
            <w:pPr>
              <w:jc w:val="center"/>
              <w:rPr>
                <w:rFonts w:asciiTheme="majorHAnsi" w:hAnsiTheme="majorHAnsi"/>
                <w:sz w:val="16"/>
                <w:szCs w:val="16"/>
              </w:rPr>
            </w:pPr>
          </w:p>
        </w:tc>
        <w:tc>
          <w:tcPr>
            <w:tcW w:w="513" w:type="dxa"/>
          </w:tcPr>
          <w:p w14:paraId="70C1A5D4" w14:textId="77777777" w:rsidR="00375AE8" w:rsidRPr="00F04D18" w:rsidRDefault="00375AE8" w:rsidP="00F04D18">
            <w:pPr>
              <w:jc w:val="center"/>
              <w:rPr>
                <w:rFonts w:asciiTheme="majorHAnsi" w:hAnsiTheme="majorHAnsi"/>
                <w:sz w:val="16"/>
                <w:szCs w:val="16"/>
              </w:rPr>
            </w:pPr>
          </w:p>
        </w:tc>
        <w:tc>
          <w:tcPr>
            <w:tcW w:w="690" w:type="dxa"/>
          </w:tcPr>
          <w:p w14:paraId="5003B5FE" w14:textId="77777777" w:rsidR="00375AE8" w:rsidRPr="00F04D18" w:rsidRDefault="00375AE8" w:rsidP="00F04D18">
            <w:pPr>
              <w:jc w:val="center"/>
              <w:rPr>
                <w:rFonts w:asciiTheme="majorHAnsi" w:hAnsiTheme="majorHAnsi"/>
                <w:sz w:val="16"/>
                <w:szCs w:val="16"/>
              </w:rPr>
            </w:pPr>
          </w:p>
        </w:tc>
      </w:tr>
      <w:tr w:rsidR="00375AE8" w14:paraId="7A2ECCAE" w14:textId="77777777" w:rsidTr="005901FD">
        <w:tc>
          <w:tcPr>
            <w:tcW w:w="1441" w:type="dxa"/>
            <w:vMerge/>
          </w:tcPr>
          <w:p w14:paraId="273AB92C" w14:textId="77777777" w:rsidR="00375AE8" w:rsidRPr="00F04D18" w:rsidRDefault="00375AE8" w:rsidP="00F04D18">
            <w:pPr>
              <w:jc w:val="center"/>
              <w:rPr>
                <w:rFonts w:asciiTheme="majorHAnsi" w:hAnsiTheme="majorHAnsi"/>
                <w:sz w:val="16"/>
                <w:szCs w:val="16"/>
              </w:rPr>
            </w:pPr>
          </w:p>
        </w:tc>
        <w:tc>
          <w:tcPr>
            <w:tcW w:w="1367" w:type="dxa"/>
            <w:vMerge/>
          </w:tcPr>
          <w:p w14:paraId="12DE9A17" w14:textId="77777777" w:rsidR="00375AE8" w:rsidRPr="00F04D18" w:rsidRDefault="00375AE8" w:rsidP="00F04D18">
            <w:pPr>
              <w:jc w:val="center"/>
              <w:rPr>
                <w:rFonts w:asciiTheme="majorHAnsi" w:hAnsiTheme="majorHAnsi"/>
                <w:sz w:val="16"/>
                <w:szCs w:val="16"/>
              </w:rPr>
            </w:pPr>
          </w:p>
        </w:tc>
        <w:tc>
          <w:tcPr>
            <w:tcW w:w="2414" w:type="dxa"/>
          </w:tcPr>
          <w:p w14:paraId="00CA1450" w14:textId="47935618" w:rsidR="00375AE8" w:rsidRPr="00F04D18" w:rsidRDefault="00375AE8" w:rsidP="00F04D18">
            <w:pPr>
              <w:jc w:val="center"/>
              <w:rPr>
                <w:rFonts w:asciiTheme="majorHAnsi" w:hAnsiTheme="majorHAnsi"/>
                <w:sz w:val="16"/>
                <w:szCs w:val="16"/>
              </w:rPr>
            </w:pPr>
            <w:r>
              <w:rPr>
                <w:rFonts w:asciiTheme="majorHAnsi" w:hAnsiTheme="majorHAnsi"/>
                <w:sz w:val="16"/>
                <w:szCs w:val="16"/>
              </w:rPr>
              <w:t>Teacher training on IAS</w:t>
            </w:r>
          </w:p>
        </w:tc>
        <w:tc>
          <w:tcPr>
            <w:tcW w:w="1309" w:type="dxa"/>
          </w:tcPr>
          <w:p w14:paraId="6379FE21" w14:textId="71226184" w:rsidR="00375AE8" w:rsidRPr="00F04D18" w:rsidRDefault="00375AE8" w:rsidP="00F04D18">
            <w:pPr>
              <w:jc w:val="center"/>
              <w:rPr>
                <w:rFonts w:asciiTheme="majorHAnsi" w:hAnsiTheme="majorHAnsi"/>
                <w:sz w:val="16"/>
                <w:szCs w:val="16"/>
              </w:rPr>
            </w:pPr>
            <w:r>
              <w:rPr>
                <w:rFonts w:asciiTheme="majorHAnsi" w:hAnsiTheme="majorHAnsi"/>
                <w:sz w:val="16"/>
                <w:szCs w:val="16"/>
              </w:rPr>
              <w:t>NISC</w:t>
            </w:r>
          </w:p>
        </w:tc>
        <w:tc>
          <w:tcPr>
            <w:tcW w:w="610" w:type="dxa"/>
          </w:tcPr>
          <w:p w14:paraId="5A171340" w14:textId="77777777" w:rsidR="00375AE8" w:rsidRPr="00F04D18" w:rsidRDefault="00375AE8" w:rsidP="00F04D18">
            <w:pPr>
              <w:jc w:val="center"/>
              <w:rPr>
                <w:rFonts w:asciiTheme="majorHAnsi" w:hAnsiTheme="majorHAnsi"/>
                <w:sz w:val="16"/>
                <w:szCs w:val="16"/>
              </w:rPr>
            </w:pPr>
          </w:p>
        </w:tc>
        <w:tc>
          <w:tcPr>
            <w:tcW w:w="645" w:type="dxa"/>
          </w:tcPr>
          <w:p w14:paraId="424A6CB2" w14:textId="77777777" w:rsidR="00375AE8" w:rsidRPr="00F04D18" w:rsidRDefault="00375AE8" w:rsidP="00F04D18">
            <w:pPr>
              <w:jc w:val="center"/>
              <w:rPr>
                <w:rFonts w:asciiTheme="majorHAnsi" w:hAnsiTheme="majorHAnsi"/>
                <w:sz w:val="16"/>
                <w:szCs w:val="16"/>
              </w:rPr>
            </w:pPr>
          </w:p>
        </w:tc>
        <w:tc>
          <w:tcPr>
            <w:tcW w:w="690" w:type="dxa"/>
          </w:tcPr>
          <w:p w14:paraId="3C38B877" w14:textId="77777777" w:rsidR="00375AE8" w:rsidRPr="00F04D18" w:rsidRDefault="00375AE8" w:rsidP="00F04D18">
            <w:pPr>
              <w:jc w:val="center"/>
              <w:rPr>
                <w:rFonts w:asciiTheme="majorHAnsi" w:hAnsiTheme="majorHAnsi"/>
                <w:sz w:val="16"/>
                <w:szCs w:val="16"/>
              </w:rPr>
            </w:pPr>
          </w:p>
        </w:tc>
        <w:tc>
          <w:tcPr>
            <w:tcW w:w="587" w:type="dxa"/>
          </w:tcPr>
          <w:p w14:paraId="670971DD"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706213CF" w14:textId="77777777" w:rsidR="00375AE8" w:rsidRPr="00F04D18" w:rsidRDefault="00375AE8" w:rsidP="00F04D18">
            <w:pPr>
              <w:jc w:val="center"/>
              <w:rPr>
                <w:rFonts w:asciiTheme="majorHAnsi" w:hAnsiTheme="majorHAnsi"/>
                <w:sz w:val="16"/>
                <w:szCs w:val="16"/>
              </w:rPr>
            </w:pPr>
          </w:p>
        </w:tc>
        <w:tc>
          <w:tcPr>
            <w:tcW w:w="540" w:type="dxa"/>
            <w:shd w:val="clear" w:color="auto" w:fill="FBD4B4" w:themeFill="accent6" w:themeFillTint="66"/>
          </w:tcPr>
          <w:p w14:paraId="7D9ED4F2" w14:textId="77777777" w:rsidR="00375AE8" w:rsidRPr="00F04D18" w:rsidRDefault="00375AE8" w:rsidP="00F04D18">
            <w:pPr>
              <w:jc w:val="center"/>
              <w:rPr>
                <w:rFonts w:asciiTheme="majorHAnsi" w:hAnsiTheme="majorHAnsi"/>
                <w:sz w:val="16"/>
                <w:szCs w:val="16"/>
              </w:rPr>
            </w:pPr>
          </w:p>
        </w:tc>
        <w:tc>
          <w:tcPr>
            <w:tcW w:w="690" w:type="dxa"/>
          </w:tcPr>
          <w:p w14:paraId="515C45B8" w14:textId="77777777" w:rsidR="00375AE8" w:rsidRPr="00F04D18" w:rsidRDefault="00375AE8" w:rsidP="00F04D18">
            <w:pPr>
              <w:jc w:val="center"/>
              <w:rPr>
                <w:rFonts w:asciiTheme="majorHAnsi" w:hAnsiTheme="majorHAnsi"/>
                <w:sz w:val="16"/>
                <w:szCs w:val="16"/>
              </w:rPr>
            </w:pPr>
          </w:p>
        </w:tc>
        <w:tc>
          <w:tcPr>
            <w:tcW w:w="534" w:type="dxa"/>
          </w:tcPr>
          <w:p w14:paraId="5BEB7CC8" w14:textId="77777777" w:rsidR="00375AE8" w:rsidRPr="00F04D18" w:rsidRDefault="00375AE8" w:rsidP="00F04D18">
            <w:pPr>
              <w:jc w:val="center"/>
              <w:rPr>
                <w:rFonts w:asciiTheme="majorHAnsi" w:hAnsiTheme="majorHAnsi"/>
                <w:sz w:val="16"/>
                <w:szCs w:val="16"/>
              </w:rPr>
            </w:pPr>
          </w:p>
        </w:tc>
        <w:tc>
          <w:tcPr>
            <w:tcW w:w="690" w:type="dxa"/>
          </w:tcPr>
          <w:p w14:paraId="741EF5CC" w14:textId="77777777" w:rsidR="00375AE8" w:rsidRPr="00F04D18" w:rsidRDefault="00375AE8" w:rsidP="00F04D18">
            <w:pPr>
              <w:jc w:val="center"/>
              <w:rPr>
                <w:rFonts w:asciiTheme="majorHAnsi" w:hAnsiTheme="majorHAnsi"/>
                <w:sz w:val="16"/>
                <w:szCs w:val="16"/>
              </w:rPr>
            </w:pPr>
          </w:p>
        </w:tc>
        <w:tc>
          <w:tcPr>
            <w:tcW w:w="516" w:type="dxa"/>
          </w:tcPr>
          <w:p w14:paraId="62C87796" w14:textId="77777777" w:rsidR="00375AE8" w:rsidRPr="00F04D18" w:rsidRDefault="00375AE8" w:rsidP="00F04D18">
            <w:pPr>
              <w:jc w:val="center"/>
              <w:rPr>
                <w:rFonts w:asciiTheme="majorHAnsi" w:hAnsiTheme="majorHAnsi"/>
                <w:sz w:val="16"/>
                <w:szCs w:val="16"/>
              </w:rPr>
            </w:pPr>
          </w:p>
        </w:tc>
        <w:tc>
          <w:tcPr>
            <w:tcW w:w="690" w:type="dxa"/>
          </w:tcPr>
          <w:p w14:paraId="3FA0A5A9" w14:textId="77777777" w:rsidR="00375AE8" w:rsidRPr="00F04D18" w:rsidRDefault="00375AE8" w:rsidP="00F04D18">
            <w:pPr>
              <w:jc w:val="center"/>
              <w:rPr>
                <w:rFonts w:asciiTheme="majorHAnsi" w:hAnsiTheme="majorHAnsi"/>
                <w:sz w:val="16"/>
                <w:szCs w:val="16"/>
              </w:rPr>
            </w:pPr>
          </w:p>
        </w:tc>
        <w:tc>
          <w:tcPr>
            <w:tcW w:w="513" w:type="dxa"/>
          </w:tcPr>
          <w:p w14:paraId="11001B04" w14:textId="77777777" w:rsidR="00375AE8" w:rsidRPr="00F04D18" w:rsidRDefault="00375AE8" w:rsidP="00F04D18">
            <w:pPr>
              <w:jc w:val="center"/>
              <w:rPr>
                <w:rFonts w:asciiTheme="majorHAnsi" w:hAnsiTheme="majorHAnsi"/>
                <w:sz w:val="16"/>
                <w:szCs w:val="16"/>
              </w:rPr>
            </w:pPr>
          </w:p>
        </w:tc>
        <w:tc>
          <w:tcPr>
            <w:tcW w:w="690" w:type="dxa"/>
          </w:tcPr>
          <w:p w14:paraId="4C191B08" w14:textId="77777777" w:rsidR="00375AE8" w:rsidRPr="00F04D18" w:rsidRDefault="00375AE8" w:rsidP="00F04D18">
            <w:pPr>
              <w:jc w:val="center"/>
              <w:rPr>
                <w:rFonts w:asciiTheme="majorHAnsi" w:hAnsiTheme="majorHAnsi"/>
                <w:sz w:val="16"/>
                <w:szCs w:val="16"/>
              </w:rPr>
            </w:pPr>
          </w:p>
        </w:tc>
      </w:tr>
      <w:tr w:rsidR="00375AE8" w14:paraId="5C17B7A4" w14:textId="77777777" w:rsidTr="005901FD">
        <w:tc>
          <w:tcPr>
            <w:tcW w:w="1441" w:type="dxa"/>
            <w:vMerge/>
          </w:tcPr>
          <w:p w14:paraId="706F3A0D" w14:textId="77777777" w:rsidR="00375AE8" w:rsidRPr="00F04D18" w:rsidRDefault="00375AE8" w:rsidP="00F04D18">
            <w:pPr>
              <w:jc w:val="center"/>
              <w:rPr>
                <w:rFonts w:asciiTheme="majorHAnsi" w:hAnsiTheme="majorHAnsi"/>
                <w:sz w:val="16"/>
                <w:szCs w:val="16"/>
              </w:rPr>
            </w:pPr>
          </w:p>
        </w:tc>
        <w:tc>
          <w:tcPr>
            <w:tcW w:w="1367" w:type="dxa"/>
            <w:vMerge w:val="restart"/>
          </w:tcPr>
          <w:p w14:paraId="7612F4E3" w14:textId="5ACEC26D" w:rsidR="00375AE8" w:rsidRPr="00F04D18" w:rsidRDefault="00375AE8" w:rsidP="00F04D18">
            <w:pPr>
              <w:jc w:val="center"/>
              <w:rPr>
                <w:rFonts w:asciiTheme="majorHAnsi" w:hAnsiTheme="majorHAnsi"/>
                <w:sz w:val="16"/>
                <w:szCs w:val="16"/>
              </w:rPr>
            </w:pPr>
            <w:r>
              <w:rPr>
                <w:rFonts w:asciiTheme="majorHAnsi" w:hAnsiTheme="majorHAnsi"/>
                <w:sz w:val="16"/>
                <w:szCs w:val="16"/>
              </w:rPr>
              <w:t>Integration into museum displays</w:t>
            </w:r>
          </w:p>
        </w:tc>
        <w:tc>
          <w:tcPr>
            <w:tcW w:w="2414" w:type="dxa"/>
          </w:tcPr>
          <w:p w14:paraId="5049A585" w14:textId="4905AFA8" w:rsidR="00375AE8" w:rsidRPr="00F04D18" w:rsidRDefault="00375AE8" w:rsidP="00F04D18">
            <w:pPr>
              <w:jc w:val="center"/>
              <w:rPr>
                <w:rFonts w:asciiTheme="majorHAnsi" w:hAnsiTheme="majorHAnsi"/>
                <w:sz w:val="16"/>
                <w:szCs w:val="16"/>
              </w:rPr>
            </w:pPr>
            <w:r>
              <w:rPr>
                <w:rFonts w:asciiTheme="majorHAnsi" w:hAnsiTheme="majorHAnsi"/>
                <w:sz w:val="16"/>
                <w:szCs w:val="16"/>
              </w:rPr>
              <w:t>Develop displays at PICRC</w:t>
            </w:r>
          </w:p>
        </w:tc>
        <w:tc>
          <w:tcPr>
            <w:tcW w:w="1309" w:type="dxa"/>
          </w:tcPr>
          <w:p w14:paraId="345FBF4D" w14:textId="4F040AED" w:rsidR="00375AE8" w:rsidRPr="00F04D18" w:rsidRDefault="00375AE8" w:rsidP="00F04D18">
            <w:pPr>
              <w:jc w:val="center"/>
              <w:rPr>
                <w:rFonts w:asciiTheme="majorHAnsi" w:hAnsiTheme="majorHAnsi"/>
                <w:sz w:val="16"/>
                <w:szCs w:val="16"/>
              </w:rPr>
            </w:pPr>
            <w:r>
              <w:rPr>
                <w:rFonts w:asciiTheme="majorHAnsi" w:hAnsiTheme="majorHAnsi"/>
                <w:sz w:val="16"/>
                <w:szCs w:val="16"/>
              </w:rPr>
              <w:t>PICRC</w:t>
            </w:r>
          </w:p>
        </w:tc>
        <w:tc>
          <w:tcPr>
            <w:tcW w:w="610" w:type="dxa"/>
          </w:tcPr>
          <w:p w14:paraId="583ABA99" w14:textId="77777777" w:rsidR="00375AE8" w:rsidRPr="00F04D18" w:rsidRDefault="00375AE8" w:rsidP="00F04D18">
            <w:pPr>
              <w:jc w:val="center"/>
              <w:rPr>
                <w:rFonts w:asciiTheme="majorHAnsi" w:hAnsiTheme="majorHAnsi"/>
                <w:sz w:val="16"/>
                <w:szCs w:val="16"/>
              </w:rPr>
            </w:pPr>
          </w:p>
        </w:tc>
        <w:tc>
          <w:tcPr>
            <w:tcW w:w="645" w:type="dxa"/>
          </w:tcPr>
          <w:p w14:paraId="60156050" w14:textId="77777777" w:rsidR="00375AE8" w:rsidRPr="00F04D18" w:rsidRDefault="00375AE8" w:rsidP="00F04D18">
            <w:pPr>
              <w:jc w:val="center"/>
              <w:rPr>
                <w:rFonts w:asciiTheme="majorHAnsi" w:hAnsiTheme="majorHAnsi"/>
                <w:sz w:val="16"/>
                <w:szCs w:val="16"/>
              </w:rPr>
            </w:pPr>
          </w:p>
        </w:tc>
        <w:tc>
          <w:tcPr>
            <w:tcW w:w="690" w:type="dxa"/>
          </w:tcPr>
          <w:p w14:paraId="2F1CCA02" w14:textId="77777777" w:rsidR="00375AE8" w:rsidRPr="00F04D18" w:rsidRDefault="00375AE8" w:rsidP="00F04D18">
            <w:pPr>
              <w:jc w:val="center"/>
              <w:rPr>
                <w:rFonts w:asciiTheme="majorHAnsi" w:hAnsiTheme="majorHAnsi"/>
                <w:sz w:val="16"/>
                <w:szCs w:val="16"/>
              </w:rPr>
            </w:pPr>
          </w:p>
        </w:tc>
        <w:tc>
          <w:tcPr>
            <w:tcW w:w="587" w:type="dxa"/>
          </w:tcPr>
          <w:p w14:paraId="7E7E8C9C" w14:textId="77777777" w:rsidR="00375AE8" w:rsidRPr="00F04D18" w:rsidRDefault="00375AE8" w:rsidP="00F04D18">
            <w:pPr>
              <w:jc w:val="center"/>
              <w:rPr>
                <w:rFonts w:asciiTheme="majorHAnsi" w:hAnsiTheme="majorHAnsi"/>
                <w:sz w:val="16"/>
                <w:szCs w:val="16"/>
              </w:rPr>
            </w:pPr>
          </w:p>
        </w:tc>
        <w:tc>
          <w:tcPr>
            <w:tcW w:w="690" w:type="dxa"/>
          </w:tcPr>
          <w:p w14:paraId="57E52D5D" w14:textId="77777777" w:rsidR="00375AE8" w:rsidRPr="00F04D18" w:rsidRDefault="00375AE8" w:rsidP="00F04D18">
            <w:pPr>
              <w:jc w:val="center"/>
              <w:rPr>
                <w:rFonts w:asciiTheme="majorHAnsi" w:hAnsiTheme="majorHAnsi"/>
                <w:sz w:val="16"/>
                <w:szCs w:val="16"/>
              </w:rPr>
            </w:pPr>
          </w:p>
        </w:tc>
        <w:tc>
          <w:tcPr>
            <w:tcW w:w="540" w:type="dxa"/>
            <w:shd w:val="clear" w:color="auto" w:fill="FBD4B4" w:themeFill="accent6" w:themeFillTint="66"/>
          </w:tcPr>
          <w:p w14:paraId="0E0A29D2"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36F31962" w14:textId="77777777" w:rsidR="00375AE8" w:rsidRPr="00F04D18" w:rsidRDefault="00375AE8" w:rsidP="00F04D18">
            <w:pPr>
              <w:jc w:val="center"/>
              <w:rPr>
                <w:rFonts w:asciiTheme="majorHAnsi" w:hAnsiTheme="majorHAnsi"/>
                <w:sz w:val="16"/>
                <w:szCs w:val="16"/>
              </w:rPr>
            </w:pPr>
          </w:p>
        </w:tc>
        <w:tc>
          <w:tcPr>
            <w:tcW w:w="534" w:type="dxa"/>
          </w:tcPr>
          <w:p w14:paraId="27219201" w14:textId="77777777" w:rsidR="00375AE8" w:rsidRPr="00F04D18" w:rsidRDefault="00375AE8" w:rsidP="00F04D18">
            <w:pPr>
              <w:jc w:val="center"/>
              <w:rPr>
                <w:rFonts w:asciiTheme="majorHAnsi" w:hAnsiTheme="majorHAnsi"/>
                <w:sz w:val="16"/>
                <w:szCs w:val="16"/>
              </w:rPr>
            </w:pPr>
          </w:p>
        </w:tc>
        <w:tc>
          <w:tcPr>
            <w:tcW w:w="690" w:type="dxa"/>
          </w:tcPr>
          <w:p w14:paraId="4DEAFC31" w14:textId="77777777" w:rsidR="00375AE8" w:rsidRPr="00F04D18" w:rsidRDefault="00375AE8" w:rsidP="00F04D18">
            <w:pPr>
              <w:jc w:val="center"/>
              <w:rPr>
                <w:rFonts w:asciiTheme="majorHAnsi" w:hAnsiTheme="majorHAnsi"/>
                <w:sz w:val="16"/>
                <w:szCs w:val="16"/>
              </w:rPr>
            </w:pPr>
          </w:p>
        </w:tc>
        <w:tc>
          <w:tcPr>
            <w:tcW w:w="516" w:type="dxa"/>
          </w:tcPr>
          <w:p w14:paraId="4AD9B6BF" w14:textId="77777777" w:rsidR="00375AE8" w:rsidRPr="00F04D18" w:rsidRDefault="00375AE8" w:rsidP="00F04D18">
            <w:pPr>
              <w:jc w:val="center"/>
              <w:rPr>
                <w:rFonts w:asciiTheme="majorHAnsi" w:hAnsiTheme="majorHAnsi"/>
                <w:sz w:val="16"/>
                <w:szCs w:val="16"/>
              </w:rPr>
            </w:pPr>
          </w:p>
        </w:tc>
        <w:tc>
          <w:tcPr>
            <w:tcW w:w="690" w:type="dxa"/>
          </w:tcPr>
          <w:p w14:paraId="1D449A26" w14:textId="77777777" w:rsidR="00375AE8" w:rsidRPr="00F04D18" w:rsidRDefault="00375AE8" w:rsidP="00F04D18">
            <w:pPr>
              <w:jc w:val="center"/>
              <w:rPr>
                <w:rFonts w:asciiTheme="majorHAnsi" w:hAnsiTheme="majorHAnsi"/>
                <w:sz w:val="16"/>
                <w:szCs w:val="16"/>
              </w:rPr>
            </w:pPr>
          </w:p>
        </w:tc>
        <w:tc>
          <w:tcPr>
            <w:tcW w:w="513" w:type="dxa"/>
          </w:tcPr>
          <w:p w14:paraId="6BDA78B2" w14:textId="77777777" w:rsidR="00375AE8" w:rsidRPr="00F04D18" w:rsidRDefault="00375AE8" w:rsidP="00F04D18">
            <w:pPr>
              <w:jc w:val="center"/>
              <w:rPr>
                <w:rFonts w:asciiTheme="majorHAnsi" w:hAnsiTheme="majorHAnsi"/>
                <w:sz w:val="16"/>
                <w:szCs w:val="16"/>
              </w:rPr>
            </w:pPr>
          </w:p>
        </w:tc>
        <w:tc>
          <w:tcPr>
            <w:tcW w:w="690" w:type="dxa"/>
          </w:tcPr>
          <w:p w14:paraId="37553D26" w14:textId="77777777" w:rsidR="00375AE8" w:rsidRPr="00F04D18" w:rsidRDefault="00375AE8" w:rsidP="00F04D18">
            <w:pPr>
              <w:jc w:val="center"/>
              <w:rPr>
                <w:rFonts w:asciiTheme="majorHAnsi" w:hAnsiTheme="majorHAnsi"/>
                <w:sz w:val="16"/>
                <w:szCs w:val="16"/>
              </w:rPr>
            </w:pPr>
          </w:p>
        </w:tc>
      </w:tr>
      <w:tr w:rsidR="00375AE8" w14:paraId="0E9CD640" w14:textId="77777777" w:rsidTr="005901FD">
        <w:tc>
          <w:tcPr>
            <w:tcW w:w="1441" w:type="dxa"/>
            <w:vMerge/>
          </w:tcPr>
          <w:p w14:paraId="14ECEA71" w14:textId="77777777" w:rsidR="00375AE8" w:rsidRPr="00F04D18" w:rsidRDefault="00375AE8" w:rsidP="00F04D18">
            <w:pPr>
              <w:jc w:val="center"/>
              <w:rPr>
                <w:rFonts w:asciiTheme="majorHAnsi" w:hAnsiTheme="majorHAnsi"/>
                <w:sz w:val="16"/>
                <w:szCs w:val="16"/>
              </w:rPr>
            </w:pPr>
          </w:p>
        </w:tc>
        <w:tc>
          <w:tcPr>
            <w:tcW w:w="1367" w:type="dxa"/>
            <w:vMerge/>
          </w:tcPr>
          <w:p w14:paraId="5FEABF0D" w14:textId="77777777" w:rsidR="00375AE8" w:rsidRPr="00F04D18" w:rsidRDefault="00375AE8" w:rsidP="00F04D18">
            <w:pPr>
              <w:jc w:val="center"/>
              <w:rPr>
                <w:rFonts w:asciiTheme="majorHAnsi" w:hAnsiTheme="majorHAnsi"/>
                <w:sz w:val="16"/>
                <w:szCs w:val="16"/>
              </w:rPr>
            </w:pPr>
          </w:p>
        </w:tc>
        <w:tc>
          <w:tcPr>
            <w:tcW w:w="2414" w:type="dxa"/>
          </w:tcPr>
          <w:p w14:paraId="4BB032EF" w14:textId="34C29ABD" w:rsidR="00375AE8" w:rsidRPr="00F04D18" w:rsidRDefault="00375AE8" w:rsidP="00F04D18">
            <w:pPr>
              <w:jc w:val="center"/>
              <w:rPr>
                <w:rFonts w:asciiTheme="majorHAnsi" w:hAnsiTheme="majorHAnsi"/>
                <w:sz w:val="16"/>
                <w:szCs w:val="16"/>
              </w:rPr>
            </w:pPr>
            <w:r>
              <w:rPr>
                <w:rFonts w:asciiTheme="majorHAnsi" w:hAnsiTheme="majorHAnsi"/>
                <w:sz w:val="16"/>
                <w:szCs w:val="16"/>
              </w:rPr>
              <w:t>Develop displays at Belau National Museum</w:t>
            </w:r>
          </w:p>
        </w:tc>
        <w:tc>
          <w:tcPr>
            <w:tcW w:w="1309" w:type="dxa"/>
          </w:tcPr>
          <w:p w14:paraId="419ED32A" w14:textId="6923F73E" w:rsidR="00375AE8" w:rsidRPr="00F04D18" w:rsidRDefault="00375AE8" w:rsidP="00F04D18">
            <w:pPr>
              <w:jc w:val="center"/>
              <w:rPr>
                <w:rFonts w:asciiTheme="majorHAnsi" w:hAnsiTheme="majorHAnsi"/>
                <w:sz w:val="16"/>
                <w:szCs w:val="16"/>
              </w:rPr>
            </w:pPr>
            <w:r>
              <w:rPr>
                <w:rFonts w:asciiTheme="majorHAnsi" w:hAnsiTheme="majorHAnsi"/>
                <w:sz w:val="16"/>
                <w:szCs w:val="16"/>
              </w:rPr>
              <w:t>BNM</w:t>
            </w:r>
          </w:p>
        </w:tc>
        <w:tc>
          <w:tcPr>
            <w:tcW w:w="610" w:type="dxa"/>
          </w:tcPr>
          <w:p w14:paraId="0517D205" w14:textId="77777777" w:rsidR="00375AE8" w:rsidRPr="00F04D18" w:rsidRDefault="00375AE8" w:rsidP="00F04D18">
            <w:pPr>
              <w:jc w:val="center"/>
              <w:rPr>
                <w:rFonts w:asciiTheme="majorHAnsi" w:hAnsiTheme="majorHAnsi"/>
                <w:sz w:val="16"/>
                <w:szCs w:val="16"/>
              </w:rPr>
            </w:pPr>
          </w:p>
        </w:tc>
        <w:tc>
          <w:tcPr>
            <w:tcW w:w="645" w:type="dxa"/>
          </w:tcPr>
          <w:p w14:paraId="7DE0C289" w14:textId="77777777" w:rsidR="00375AE8" w:rsidRPr="00F04D18" w:rsidRDefault="00375AE8" w:rsidP="00F04D18">
            <w:pPr>
              <w:jc w:val="center"/>
              <w:rPr>
                <w:rFonts w:asciiTheme="majorHAnsi" w:hAnsiTheme="majorHAnsi"/>
                <w:sz w:val="16"/>
                <w:szCs w:val="16"/>
              </w:rPr>
            </w:pPr>
          </w:p>
        </w:tc>
        <w:tc>
          <w:tcPr>
            <w:tcW w:w="690" w:type="dxa"/>
          </w:tcPr>
          <w:p w14:paraId="3293EEDE" w14:textId="77777777" w:rsidR="00375AE8" w:rsidRPr="00F04D18" w:rsidRDefault="00375AE8" w:rsidP="00F04D18">
            <w:pPr>
              <w:jc w:val="center"/>
              <w:rPr>
                <w:rFonts w:asciiTheme="majorHAnsi" w:hAnsiTheme="majorHAnsi"/>
                <w:sz w:val="16"/>
                <w:szCs w:val="16"/>
              </w:rPr>
            </w:pPr>
          </w:p>
        </w:tc>
        <w:tc>
          <w:tcPr>
            <w:tcW w:w="587" w:type="dxa"/>
          </w:tcPr>
          <w:p w14:paraId="703F801B" w14:textId="77777777" w:rsidR="00375AE8" w:rsidRPr="00F04D18" w:rsidRDefault="00375AE8" w:rsidP="00F04D18">
            <w:pPr>
              <w:jc w:val="center"/>
              <w:rPr>
                <w:rFonts w:asciiTheme="majorHAnsi" w:hAnsiTheme="majorHAnsi"/>
                <w:sz w:val="16"/>
                <w:szCs w:val="16"/>
              </w:rPr>
            </w:pPr>
          </w:p>
        </w:tc>
        <w:tc>
          <w:tcPr>
            <w:tcW w:w="690" w:type="dxa"/>
          </w:tcPr>
          <w:p w14:paraId="4F227442" w14:textId="77777777" w:rsidR="00375AE8" w:rsidRPr="00F04D18" w:rsidRDefault="00375AE8" w:rsidP="00F04D18">
            <w:pPr>
              <w:jc w:val="center"/>
              <w:rPr>
                <w:rFonts w:asciiTheme="majorHAnsi" w:hAnsiTheme="majorHAnsi"/>
                <w:sz w:val="16"/>
                <w:szCs w:val="16"/>
              </w:rPr>
            </w:pPr>
          </w:p>
        </w:tc>
        <w:tc>
          <w:tcPr>
            <w:tcW w:w="540" w:type="dxa"/>
          </w:tcPr>
          <w:p w14:paraId="77D2E9E8"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716452A1" w14:textId="77777777" w:rsidR="00375AE8" w:rsidRPr="00F04D18" w:rsidRDefault="00375AE8" w:rsidP="00F04D18">
            <w:pPr>
              <w:jc w:val="center"/>
              <w:rPr>
                <w:rFonts w:asciiTheme="majorHAnsi" w:hAnsiTheme="majorHAnsi"/>
                <w:sz w:val="16"/>
                <w:szCs w:val="16"/>
              </w:rPr>
            </w:pPr>
          </w:p>
        </w:tc>
        <w:tc>
          <w:tcPr>
            <w:tcW w:w="534" w:type="dxa"/>
            <w:shd w:val="clear" w:color="auto" w:fill="FBD4B4" w:themeFill="accent6" w:themeFillTint="66"/>
          </w:tcPr>
          <w:p w14:paraId="30C2D350" w14:textId="77777777" w:rsidR="00375AE8" w:rsidRPr="00F04D18" w:rsidRDefault="00375AE8" w:rsidP="00F04D18">
            <w:pPr>
              <w:jc w:val="center"/>
              <w:rPr>
                <w:rFonts w:asciiTheme="majorHAnsi" w:hAnsiTheme="majorHAnsi"/>
                <w:sz w:val="16"/>
                <w:szCs w:val="16"/>
              </w:rPr>
            </w:pPr>
          </w:p>
        </w:tc>
        <w:tc>
          <w:tcPr>
            <w:tcW w:w="690" w:type="dxa"/>
          </w:tcPr>
          <w:p w14:paraId="3D318266" w14:textId="77777777" w:rsidR="00375AE8" w:rsidRPr="00F04D18" w:rsidRDefault="00375AE8" w:rsidP="00F04D18">
            <w:pPr>
              <w:jc w:val="center"/>
              <w:rPr>
                <w:rFonts w:asciiTheme="majorHAnsi" w:hAnsiTheme="majorHAnsi"/>
                <w:sz w:val="16"/>
                <w:szCs w:val="16"/>
              </w:rPr>
            </w:pPr>
          </w:p>
        </w:tc>
        <w:tc>
          <w:tcPr>
            <w:tcW w:w="516" w:type="dxa"/>
          </w:tcPr>
          <w:p w14:paraId="2F6450D5" w14:textId="77777777" w:rsidR="00375AE8" w:rsidRPr="00F04D18" w:rsidRDefault="00375AE8" w:rsidP="00F04D18">
            <w:pPr>
              <w:jc w:val="center"/>
              <w:rPr>
                <w:rFonts w:asciiTheme="majorHAnsi" w:hAnsiTheme="majorHAnsi"/>
                <w:sz w:val="16"/>
                <w:szCs w:val="16"/>
              </w:rPr>
            </w:pPr>
          </w:p>
        </w:tc>
        <w:tc>
          <w:tcPr>
            <w:tcW w:w="690" w:type="dxa"/>
          </w:tcPr>
          <w:p w14:paraId="367DC3B0" w14:textId="77777777" w:rsidR="00375AE8" w:rsidRPr="00F04D18" w:rsidRDefault="00375AE8" w:rsidP="00F04D18">
            <w:pPr>
              <w:jc w:val="center"/>
              <w:rPr>
                <w:rFonts w:asciiTheme="majorHAnsi" w:hAnsiTheme="majorHAnsi"/>
                <w:sz w:val="16"/>
                <w:szCs w:val="16"/>
              </w:rPr>
            </w:pPr>
          </w:p>
        </w:tc>
        <w:tc>
          <w:tcPr>
            <w:tcW w:w="513" w:type="dxa"/>
          </w:tcPr>
          <w:p w14:paraId="11C8F548" w14:textId="77777777" w:rsidR="00375AE8" w:rsidRPr="00F04D18" w:rsidRDefault="00375AE8" w:rsidP="00F04D18">
            <w:pPr>
              <w:jc w:val="center"/>
              <w:rPr>
                <w:rFonts w:asciiTheme="majorHAnsi" w:hAnsiTheme="majorHAnsi"/>
                <w:sz w:val="16"/>
                <w:szCs w:val="16"/>
              </w:rPr>
            </w:pPr>
          </w:p>
        </w:tc>
        <w:tc>
          <w:tcPr>
            <w:tcW w:w="690" w:type="dxa"/>
          </w:tcPr>
          <w:p w14:paraId="6576836D" w14:textId="77777777" w:rsidR="00375AE8" w:rsidRPr="00F04D18" w:rsidRDefault="00375AE8" w:rsidP="00F04D18">
            <w:pPr>
              <w:jc w:val="center"/>
              <w:rPr>
                <w:rFonts w:asciiTheme="majorHAnsi" w:hAnsiTheme="majorHAnsi"/>
                <w:sz w:val="16"/>
                <w:szCs w:val="16"/>
              </w:rPr>
            </w:pPr>
          </w:p>
        </w:tc>
      </w:tr>
      <w:tr w:rsidR="00375AE8" w14:paraId="03E9649E" w14:textId="77777777" w:rsidTr="005901FD">
        <w:tc>
          <w:tcPr>
            <w:tcW w:w="1441" w:type="dxa"/>
            <w:vMerge w:val="restart"/>
          </w:tcPr>
          <w:p w14:paraId="65165AD3" w14:textId="0CAB9F37" w:rsidR="00375AE8" w:rsidRPr="00F04D18" w:rsidRDefault="00375AE8" w:rsidP="00F04D18">
            <w:pPr>
              <w:jc w:val="center"/>
              <w:rPr>
                <w:rFonts w:asciiTheme="majorHAnsi" w:hAnsiTheme="majorHAnsi"/>
                <w:sz w:val="16"/>
                <w:szCs w:val="16"/>
              </w:rPr>
            </w:pPr>
            <w:r>
              <w:rPr>
                <w:rFonts w:asciiTheme="majorHAnsi" w:hAnsiTheme="majorHAnsi"/>
                <w:sz w:val="16"/>
                <w:szCs w:val="16"/>
              </w:rPr>
              <w:t>Improved Knowledge management</w:t>
            </w:r>
          </w:p>
        </w:tc>
        <w:tc>
          <w:tcPr>
            <w:tcW w:w="1367" w:type="dxa"/>
            <w:vMerge w:val="restart"/>
          </w:tcPr>
          <w:p w14:paraId="25A7318A" w14:textId="2F07B788" w:rsidR="00375AE8" w:rsidRPr="00F04D18" w:rsidRDefault="00375AE8" w:rsidP="00F04D18">
            <w:pPr>
              <w:jc w:val="center"/>
              <w:rPr>
                <w:rFonts w:asciiTheme="majorHAnsi" w:hAnsiTheme="majorHAnsi"/>
                <w:sz w:val="16"/>
                <w:szCs w:val="16"/>
              </w:rPr>
            </w:pPr>
            <w:r>
              <w:rPr>
                <w:rFonts w:asciiTheme="majorHAnsi" w:hAnsiTheme="majorHAnsi"/>
                <w:sz w:val="16"/>
                <w:szCs w:val="16"/>
              </w:rPr>
              <w:t>Information sharing and transfer</w:t>
            </w:r>
          </w:p>
        </w:tc>
        <w:tc>
          <w:tcPr>
            <w:tcW w:w="2414" w:type="dxa"/>
          </w:tcPr>
          <w:p w14:paraId="1A24404B" w14:textId="394E7E14" w:rsidR="00375AE8" w:rsidRPr="00F04D18" w:rsidRDefault="00375AE8" w:rsidP="00F04D18">
            <w:pPr>
              <w:jc w:val="center"/>
              <w:rPr>
                <w:rFonts w:asciiTheme="majorHAnsi" w:hAnsiTheme="majorHAnsi"/>
                <w:sz w:val="16"/>
                <w:szCs w:val="16"/>
              </w:rPr>
            </w:pPr>
            <w:r>
              <w:rPr>
                <w:rFonts w:asciiTheme="majorHAnsi" w:hAnsiTheme="majorHAnsi"/>
                <w:sz w:val="16"/>
                <w:szCs w:val="16"/>
              </w:rPr>
              <w:t>Protocols for information sharing amongst agencies</w:t>
            </w:r>
          </w:p>
        </w:tc>
        <w:tc>
          <w:tcPr>
            <w:tcW w:w="1309" w:type="dxa"/>
          </w:tcPr>
          <w:p w14:paraId="7BC349D2" w14:textId="23D0FADD" w:rsidR="00375AE8" w:rsidRPr="00F04D18" w:rsidRDefault="00375AE8" w:rsidP="00F04D18">
            <w:pPr>
              <w:jc w:val="center"/>
              <w:rPr>
                <w:rFonts w:asciiTheme="majorHAnsi" w:hAnsiTheme="majorHAnsi"/>
                <w:sz w:val="16"/>
                <w:szCs w:val="16"/>
              </w:rPr>
            </w:pPr>
            <w:r>
              <w:rPr>
                <w:rFonts w:asciiTheme="majorHAnsi" w:hAnsiTheme="majorHAnsi"/>
                <w:sz w:val="16"/>
                <w:szCs w:val="16"/>
              </w:rPr>
              <w:t>PALARIS</w:t>
            </w:r>
          </w:p>
        </w:tc>
        <w:tc>
          <w:tcPr>
            <w:tcW w:w="610" w:type="dxa"/>
          </w:tcPr>
          <w:p w14:paraId="0DF3EF8F" w14:textId="77777777" w:rsidR="00375AE8" w:rsidRPr="00F04D18" w:rsidRDefault="00375AE8" w:rsidP="00F04D18">
            <w:pPr>
              <w:jc w:val="center"/>
              <w:rPr>
                <w:rFonts w:asciiTheme="majorHAnsi" w:hAnsiTheme="majorHAnsi"/>
                <w:sz w:val="16"/>
                <w:szCs w:val="16"/>
              </w:rPr>
            </w:pPr>
          </w:p>
        </w:tc>
        <w:tc>
          <w:tcPr>
            <w:tcW w:w="645" w:type="dxa"/>
          </w:tcPr>
          <w:p w14:paraId="6239F493" w14:textId="77777777" w:rsidR="00375AE8" w:rsidRPr="00F04D18" w:rsidRDefault="00375AE8" w:rsidP="00F04D18">
            <w:pPr>
              <w:jc w:val="center"/>
              <w:rPr>
                <w:rFonts w:asciiTheme="majorHAnsi" w:hAnsiTheme="majorHAnsi"/>
                <w:sz w:val="16"/>
                <w:szCs w:val="16"/>
              </w:rPr>
            </w:pPr>
          </w:p>
        </w:tc>
        <w:tc>
          <w:tcPr>
            <w:tcW w:w="690" w:type="dxa"/>
          </w:tcPr>
          <w:p w14:paraId="64688B02" w14:textId="77777777" w:rsidR="00375AE8" w:rsidRPr="00F04D18" w:rsidRDefault="00375AE8" w:rsidP="00F04D18">
            <w:pPr>
              <w:jc w:val="center"/>
              <w:rPr>
                <w:rFonts w:asciiTheme="majorHAnsi" w:hAnsiTheme="majorHAnsi"/>
                <w:sz w:val="16"/>
                <w:szCs w:val="16"/>
              </w:rPr>
            </w:pPr>
          </w:p>
        </w:tc>
        <w:tc>
          <w:tcPr>
            <w:tcW w:w="587" w:type="dxa"/>
          </w:tcPr>
          <w:p w14:paraId="19A9C33D"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20B3CA23" w14:textId="77777777" w:rsidR="00375AE8" w:rsidRPr="00F04D18" w:rsidRDefault="00375AE8" w:rsidP="00F04D18">
            <w:pPr>
              <w:jc w:val="center"/>
              <w:rPr>
                <w:rFonts w:asciiTheme="majorHAnsi" w:hAnsiTheme="majorHAnsi"/>
                <w:sz w:val="16"/>
                <w:szCs w:val="16"/>
              </w:rPr>
            </w:pPr>
          </w:p>
        </w:tc>
        <w:tc>
          <w:tcPr>
            <w:tcW w:w="540" w:type="dxa"/>
            <w:shd w:val="clear" w:color="auto" w:fill="FBD4B4" w:themeFill="accent6" w:themeFillTint="66"/>
          </w:tcPr>
          <w:p w14:paraId="2C5E656D" w14:textId="77777777" w:rsidR="00375AE8" w:rsidRPr="00F04D18" w:rsidRDefault="00375AE8" w:rsidP="00F04D18">
            <w:pPr>
              <w:jc w:val="center"/>
              <w:rPr>
                <w:rFonts w:asciiTheme="majorHAnsi" w:hAnsiTheme="majorHAnsi"/>
                <w:sz w:val="16"/>
                <w:szCs w:val="16"/>
              </w:rPr>
            </w:pPr>
          </w:p>
        </w:tc>
        <w:tc>
          <w:tcPr>
            <w:tcW w:w="690" w:type="dxa"/>
          </w:tcPr>
          <w:p w14:paraId="3C65CFBA" w14:textId="77777777" w:rsidR="00375AE8" w:rsidRPr="00F04D18" w:rsidRDefault="00375AE8" w:rsidP="00F04D18">
            <w:pPr>
              <w:jc w:val="center"/>
              <w:rPr>
                <w:rFonts w:asciiTheme="majorHAnsi" w:hAnsiTheme="majorHAnsi"/>
                <w:sz w:val="16"/>
                <w:szCs w:val="16"/>
              </w:rPr>
            </w:pPr>
          </w:p>
        </w:tc>
        <w:tc>
          <w:tcPr>
            <w:tcW w:w="534" w:type="dxa"/>
          </w:tcPr>
          <w:p w14:paraId="28DEF733" w14:textId="77777777" w:rsidR="00375AE8" w:rsidRPr="00F04D18" w:rsidRDefault="00375AE8" w:rsidP="00F04D18">
            <w:pPr>
              <w:jc w:val="center"/>
              <w:rPr>
                <w:rFonts w:asciiTheme="majorHAnsi" w:hAnsiTheme="majorHAnsi"/>
                <w:sz w:val="16"/>
                <w:szCs w:val="16"/>
              </w:rPr>
            </w:pPr>
          </w:p>
        </w:tc>
        <w:tc>
          <w:tcPr>
            <w:tcW w:w="690" w:type="dxa"/>
          </w:tcPr>
          <w:p w14:paraId="0CBE3732" w14:textId="77777777" w:rsidR="00375AE8" w:rsidRPr="00F04D18" w:rsidRDefault="00375AE8" w:rsidP="00F04D18">
            <w:pPr>
              <w:jc w:val="center"/>
              <w:rPr>
                <w:rFonts w:asciiTheme="majorHAnsi" w:hAnsiTheme="majorHAnsi"/>
                <w:sz w:val="16"/>
                <w:szCs w:val="16"/>
              </w:rPr>
            </w:pPr>
          </w:p>
        </w:tc>
        <w:tc>
          <w:tcPr>
            <w:tcW w:w="516" w:type="dxa"/>
          </w:tcPr>
          <w:p w14:paraId="78584091" w14:textId="77777777" w:rsidR="00375AE8" w:rsidRPr="00F04D18" w:rsidRDefault="00375AE8" w:rsidP="00F04D18">
            <w:pPr>
              <w:jc w:val="center"/>
              <w:rPr>
                <w:rFonts w:asciiTheme="majorHAnsi" w:hAnsiTheme="majorHAnsi"/>
                <w:sz w:val="16"/>
                <w:szCs w:val="16"/>
              </w:rPr>
            </w:pPr>
          </w:p>
        </w:tc>
        <w:tc>
          <w:tcPr>
            <w:tcW w:w="690" w:type="dxa"/>
          </w:tcPr>
          <w:p w14:paraId="6CB1FED9" w14:textId="77777777" w:rsidR="00375AE8" w:rsidRPr="00F04D18" w:rsidRDefault="00375AE8" w:rsidP="00F04D18">
            <w:pPr>
              <w:jc w:val="center"/>
              <w:rPr>
                <w:rFonts w:asciiTheme="majorHAnsi" w:hAnsiTheme="majorHAnsi"/>
                <w:sz w:val="16"/>
                <w:szCs w:val="16"/>
              </w:rPr>
            </w:pPr>
          </w:p>
        </w:tc>
        <w:tc>
          <w:tcPr>
            <w:tcW w:w="513" w:type="dxa"/>
          </w:tcPr>
          <w:p w14:paraId="038AB48F" w14:textId="77777777" w:rsidR="00375AE8" w:rsidRPr="00F04D18" w:rsidRDefault="00375AE8" w:rsidP="00F04D18">
            <w:pPr>
              <w:jc w:val="center"/>
              <w:rPr>
                <w:rFonts w:asciiTheme="majorHAnsi" w:hAnsiTheme="majorHAnsi"/>
                <w:sz w:val="16"/>
                <w:szCs w:val="16"/>
              </w:rPr>
            </w:pPr>
          </w:p>
        </w:tc>
        <w:tc>
          <w:tcPr>
            <w:tcW w:w="690" w:type="dxa"/>
          </w:tcPr>
          <w:p w14:paraId="7B3D90D0" w14:textId="77777777" w:rsidR="00375AE8" w:rsidRPr="00F04D18" w:rsidRDefault="00375AE8" w:rsidP="00F04D18">
            <w:pPr>
              <w:jc w:val="center"/>
              <w:rPr>
                <w:rFonts w:asciiTheme="majorHAnsi" w:hAnsiTheme="majorHAnsi"/>
                <w:sz w:val="16"/>
                <w:szCs w:val="16"/>
              </w:rPr>
            </w:pPr>
          </w:p>
        </w:tc>
      </w:tr>
      <w:tr w:rsidR="00375AE8" w14:paraId="0332BDCD" w14:textId="77777777" w:rsidTr="005901FD">
        <w:tc>
          <w:tcPr>
            <w:tcW w:w="1441" w:type="dxa"/>
            <w:vMerge/>
          </w:tcPr>
          <w:p w14:paraId="2BC5A7FD" w14:textId="77777777" w:rsidR="00375AE8" w:rsidRPr="00F04D18" w:rsidRDefault="00375AE8" w:rsidP="00F04D18">
            <w:pPr>
              <w:jc w:val="center"/>
              <w:rPr>
                <w:rFonts w:asciiTheme="majorHAnsi" w:hAnsiTheme="majorHAnsi"/>
                <w:sz w:val="16"/>
                <w:szCs w:val="16"/>
              </w:rPr>
            </w:pPr>
          </w:p>
        </w:tc>
        <w:tc>
          <w:tcPr>
            <w:tcW w:w="1367" w:type="dxa"/>
            <w:vMerge/>
          </w:tcPr>
          <w:p w14:paraId="58CA5D4A" w14:textId="77777777" w:rsidR="00375AE8" w:rsidRPr="00F04D18" w:rsidRDefault="00375AE8" w:rsidP="00F04D18">
            <w:pPr>
              <w:jc w:val="center"/>
              <w:rPr>
                <w:rFonts w:asciiTheme="majorHAnsi" w:hAnsiTheme="majorHAnsi"/>
                <w:sz w:val="16"/>
                <w:szCs w:val="16"/>
              </w:rPr>
            </w:pPr>
          </w:p>
        </w:tc>
        <w:tc>
          <w:tcPr>
            <w:tcW w:w="2414" w:type="dxa"/>
          </w:tcPr>
          <w:p w14:paraId="6669CB8E" w14:textId="1F4DF980" w:rsidR="00375AE8" w:rsidRPr="00F04D18" w:rsidRDefault="00375AE8" w:rsidP="00F04D18">
            <w:pPr>
              <w:jc w:val="center"/>
              <w:rPr>
                <w:rFonts w:asciiTheme="majorHAnsi" w:hAnsiTheme="majorHAnsi"/>
                <w:sz w:val="16"/>
                <w:szCs w:val="16"/>
              </w:rPr>
            </w:pPr>
            <w:r>
              <w:rPr>
                <w:rFonts w:asciiTheme="majorHAnsi" w:hAnsiTheme="majorHAnsi"/>
                <w:sz w:val="16"/>
                <w:szCs w:val="16"/>
              </w:rPr>
              <w:t>Develop biosecurity database protocols and design</w:t>
            </w:r>
          </w:p>
        </w:tc>
        <w:tc>
          <w:tcPr>
            <w:tcW w:w="1309" w:type="dxa"/>
          </w:tcPr>
          <w:p w14:paraId="03B2E11A" w14:textId="2334B4FF" w:rsidR="00375AE8" w:rsidRPr="00F04D18" w:rsidRDefault="00375AE8" w:rsidP="00F04D18">
            <w:pPr>
              <w:jc w:val="center"/>
              <w:rPr>
                <w:rFonts w:asciiTheme="majorHAnsi" w:hAnsiTheme="majorHAnsi"/>
                <w:sz w:val="16"/>
                <w:szCs w:val="16"/>
              </w:rPr>
            </w:pPr>
            <w:r>
              <w:rPr>
                <w:rFonts w:asciiTheme="majorHAnsi" w:hAnsiTheme="majorHAnsi"/>
                <w:sz w:val="16"/>
                <w:szCs w:val="16"/>
              </w:rPr>
              <w:t>PALARIS and NISCO</w:t>
            </w:r>
          </w:p>
        </w:tc>
        <w:tc>
          <w:tcPr>
            <w:tcW w:w="610" w:type="dxa"/>
          </w:tcPr>
          <w:p w14:paraId="0072661C" w14:textId="77777777" w:rsidR="00375AE8" w:rsidRPr="00F04D18" w:rsidRDefault="00375AE8" w:rsidP="00F04D18">
            <w:pPr>
              <w:jc w:val="center"/>
              <w:rPr>
                <w:rFonts w:asciiTheme="majorHAnsi" w:hAnsiTheme="majorHAnsi"/>
                <w:sz w:val="16"/>
                <w:szCs w:val="16"/>
              </w:rPr>
            </w:pPr>
          </w:p>
        </w:tc>
        <w:tc>
          <w:tcPr>
            <w:tcW w:w="645" w:type="dxa"/>
          </w:tcPr>
          <w:p w14:paraId="3FC3F479" w14:textId="77777777" w:rsidR="00375AE8" w:rsidRPr="00F04D18" w:rsidRDefault="00375AE8" w:rsidP="00F04D18">
            <w:pPr>
              <w:jc w:val="center"/>
              <w:rPr>
                <w:rFonts w:asciiTheme="majorHAnsi" w:hAnsiTheme="majorHAnsi"/>
                <w:sz w:val="16"/>
                <w:szCs w:val="16"/>
              </w:rPr>
            </w:pPr>
          </w:p>
        </w:tc>
        <w:tc>
          <w:tcPr>
            <w:tcW w:w="690" w:type="dxa"/>
          </w:tcPr>
          <w:p w14:paraId="5B86978E" w14:textId="77777777" w:rsidR="00375AE8" w:rsidRPr="00F04D18" w:rsidRDefault="00375AE8" w:rsidP="00F04D18">
            <w:pPr>
              <w:jc w:val="center"/>
              <w:rPr>
                <w:rFonts w:asciiTheme="majorHAnsi" w:hAnsiTheme="majorHAnsi"/>
                <w:sz w:val="16"/>
                <w:szCs w:val="16"/>
              </w:rPr>
            </w:pPr>
          </w:p>
        </w:tc>
        <w:tc>
          <w:tcPr>
            <w:tcW w:w="587" w:type="dxa"/>
          </w:tcPr>
          <w:p w14:paraId="55710078"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6B2BEC49" w14:textId="77777777" w:rsidR="00375AE8" w:rsidRPr="00F04D18" w:rsidRDefault="00375AE8" w:rsidP="00F04D18">
            <w:pPr>
              <w:jc w:val="center"/>
              <w:rPr>
                <w:rFonts w:asciiTheme="majorHAnsi" w:hAnsiTheme="majorHAnsi"/>
                <w:sz w:val="16"/>
                <w:szCs w:val="16"/>
              </w:rPr>
            </w:pPr>
          </w:p>
        </w:tc>
        <w:tc>
          <w:tcPr>
            <w:tcW w:w="540" w:type="dxa"/>
            <w:shd w:val="clear" w:color="auto" w:fill="FBD4B4" w:themeFill="accent6" w:themeFillTint="66"/>
          </w:tcPr>
          <w:p w14:paraId="0F148D8E" w14:textId="77777777" w:rsidR="00375AE8" w:rsidRPr="00F04D18" w:rsidRDefault="00375AE8" w:rsidP="00F04D18">
            <w:pPr>
              <w:jc w:val="center"/>
              <w:rPr>
                <w:rFonts w:asciiTheme="majorHAnsi" w:hAnsiTheme="majorHAnsi"/>
                <w:sz w:val="16"/>
                <w:szCs w:val="16"/>
              </w:rPr>
            </w:pPr>
          </w:p>
        </w:tc>
        <w:tc>
          <w:tcPr>
            <w:tcW w:w="690" w:type="dxa"/>
          </w:tcPr>
          <w:p w14:paraId="22873CC1" w14:textId="77777777" w:rsidR="00375AE8" w:rsidRPr="00F04D18" w:rsidRDefault="00375AE8" w:rsidP="00F04D18">
            <w:pPr>
              <w:jc w:val="center"/>
              <w:rPr>
                <w:rFonts w:asciiTheme="majorHAnsi" w:hAnsiTheme="majorHAnsi"/>
                <w:sz w:val="16"/>
                <w:szCs w:val="16"/>
              </w:rPr>
            </w:pPr>
          </w:p>
        </w:tc>
        <w:tc>
          <w:tcPr>
            <w:tcW w:w="534" w:type="dxa"/>
          </w:tcPr>
          <w:p w14:paraId="39328C7C" w14:textId="77777777" w:rsidR="00375AE8" w:rsidRPr="00F04D18" w:rsidRDefault="00375AE8" w:rsidP="00F04D18">
            <w:pPr>
              <w:jc w:val="center"/>
              <w:rPr>
                <w:rFonts w:asciiTheme="majorHAnsi" w:hAnsiTheme="majorHAnsi"/>
                <w:sz w:val="16"/>
                <w:szCs w:val="16"/>
              </w:rPr>
            </w:pPr>
          </w:p>
        </w:tc>
        <w:tc>
          <w:tcPr>
            <w:tcW w:w="690" w:type="dxa"/>
          </w:tcPr>
          <w:p w14:paraId="634438C0" w14:textId="77777777" w:rsidR="00375AE8" w:rsidRPr="00F04D18" w:rsidRDefault="00375AE8" w:rsidP="00F04D18">
            <w:pPr>
              <w:jc w:val="center"/>
              <w:rPr>
                <w:rFonts w:asciiTheme="majorHAnsi" w:hAnsiTheme="majorHAnsi"/>
                <w:sz w:val="16"/>
                <w:szCs w:val="16"/>
              </w:rPr>
            </w:pPr>
          </w:p>
        </w:tc>
        <w:tc>
          <w:tcPr>
            <w:tcW w:w="516" w:type="dxa"/>
          </w:tcPr>
          <w:p w14:paraId="4B42176F" w14:textId="77777777" w:rsidR="00375AE8" w:rsidRPr="00F04D18" w:rsidRDefault="00375AE8" w:rsidP="00F04D18">
            <w:pPr>
              <w:jc w:val="center"/>
              <w:rPr>
                <w:rFonts w:asciiTheme="majorHAnsi" w:hAnsiTheme="majorHAnsi"/>
                <w:sz w:val="16"/>
                <w:szCs w:val="16"/>
              </w:rPr>
            </w:pPr>
          </w:p>
        </w:tc>
        <w:tc>
          <w:tcPr>
            <w:tcW w:w="690" w:type="dxa"/>
          </w:tcPr>
          <w:p w14:paraId="4189D690" w14:textId="77777777" w:rsidR="00375AE8" w:rsidRPr="00F04D18" w:rsidRDefault="00375AE8" w:rsidP="00F04D18">
            <w:pPr>
              <w:jc w:val="center"/>
              <w:rPr>
                <w:rFonts w:asciiTheme="majorHAnsi" w:hAnsiTheme="majorHAnsi"/>
                <w:sz w:val="16"/>
                <w:szCs w:val="16"/>
              </w:rPr>
            </w:pPr>
          </w:p>
        </w:tc>
        <w:tc>
          <w:tcPr>
            <w:tcW w:w="513" w:type="dxa"/>
          </w:tcPr>
          <w:p w14:paraId="5FF938F6" w14:textId="77777777" w:rsidR="00375AE8" w:rsidRPr="00F04D18" w:rsidRDefault="00375AE8" w:rsidP="00F04D18">
            <w:pPr>
              <w:jc w:val="center"/>
              <w:rPr>
                <w:rFonts w:asciiTheme="majorHAnsi" w:hAnsiTheme="majorHAnsi"/>
                <w:sz w:val="16"/>
                <w:szCs w:val="16"/>
              </w:rPr>
            </w:pPr>
          </w:p>
        </w:tc>
        <w:tc>
          <w:tcPr>
            <w:tcW w:w="690" w:type="dxa"/>
          </w:tcPr>
          <w:p w14:paraId="770B2FB9" w14:textId="77777777" w:rsidR="00375AE8" w:rsidRPr="00F04D18" w:rsidRDefault="00375AE8" w:rsidP="00F04D18">
            <w:pPr>
              <w:jc w:val="center"/>
              <w:rPr>
                <w:rFonts w:asciiTheme="majorHAnsi" w:hAnsiTheme="majorHAnsi"/>
                <w:sz w:val="16"/>
                <w:szCs w:val="16"/>
              </w:rPr>
            </w:pPr>
          </w:p>
        </w:tc>
      </w:tr>
      <w:tr w:rsidR="00375AE8" w14:paraId="37D97439" w14:textId="77777777" w:rsidTr="005901FD">
        <w:tc>
          <w:tcPr>
            <w:tcW w:w="1441" w:type="dxa"/>
            <w:vMerge/>
          </w:tcPr>
          <w:p w14:paraId="4CA82309" w14:textId="77777777" w:rsidR="00375AE8" w:rsidRPr="00F04D18" w:rsidRDefault="00375AE8" w:rsidP="00F04D18">
            <w:pPr>
              <w:jc w:val="center"/>
              <w:rPr>
                <w:rFonts w:asciiTheme="majorHAnsi" w:hAnsiTheme="majorHAnsi"/>
                <w:sz w:val="16"/>
                <w:szCs w:val="16"/>
              </w:rPr>
            </w:pPr>
          </w:p>
        </w:tc>
        <w:tc>
          <w:tcPr>
            <w:tcW w:w="1367" w:type="dxa"/>
            <w:vMerge/>
          </w:tcPr>
          <w:p w14:paraId="6954E7A3" w14:textId="77777777" w:rsidR="00375AE8" w:rsidRPr="00F04D18" w:rsidRDefault="00375AE8" w:rsidP="00F04D18">
            <w:pPr>
              <w:jc w:val="center"/>
              <w:rPr>
                <w:rFonts w:asciiTheme="majorHAnsi" w:hAnsiTheme="majorHAnsi"/>
                <w:sz w:val="16"/>
                <w:szCs w:val="16"/>
              </w:rPr>
            </w:pPr>
          </w:p>
        </w:tc>
        <w:tc>
          <w:tcPr>
            <w:tcW w:w="2414" w:type="dxa"/>
          </w:tcPr>
          <w:p w14:paraId="7947411C" w14:textId="3670D3A5" w:rsidR="00375AE8" w:rsidRPr="00F04D18" w:rsidRDefault="00375AE8" w:rsidP="00F04D18">
            <w:pPr>
              <w:jc w:val="center"/>
              <w:rPr>
                <w:rFonts w:asciiTheme="majorHAnsi" w:hAnsiTheme="majorHAnsi"/>
                <w:sz w:val="16"/>
                <w:szCs w:val="16"/>
              </w:rPr>
            </w:pPr>
            <w:r>
              <w:rPr>
                <w:rFonts w:asciiTheme="majorHAnsi" w:hAnsiTheme="majorHAnsi"/>
                <w:sz w:val="16"/>
                <w:szCs w:val="16"/>
              </w:rPr>
              <w:t>Align database with land/seascape planning and EDRR requirements</w:t>
            </w:r>
          </w:p>
        </w:tc>
        <w:tc>
          <w:tcPr>
            <w:tcW w:w="1309" w:type="dxa"/>
          </w:tcPr>
          <w:p w14:paraId="3D99DAC4" w14:textId="381063C4" w:rsidR="00375AE8" w:rsidRPr="00F04D18" w:rsidRDefault="00375AE8" w:rsidP="00F04D18">
            <w:pPr>
              <w:jc w:val="center"/>
              <w:rPr>
                <w:rFonts w:asciiTheme="majorHAnsi" w:hAnsiTheme="majorHAnsi"/>
                <w:sz w:val="16"/>
                <w:szCs w:val="16"/>
              </w:rPr>
            </w:pPr>
            <w:r>
              <w:rPr>
                <w:rFonts w:asciiTheme="majorHAnsi" w:hAnsiTheme="majorHAnsi"/>
                <w:sz w:val="16"/>
                <w:szCs w:val="16"/>
              </w:rPr>
              <w:t>NISCO and BD</w:t>
            </w:r>
          </w:p>
        </w:tc>
        <w:tc>
          <w:tcPr>
            <w:tcW w:w="610" w:type="dxa"/>
          </w:tcPr>
          <w:p w14:paraId="526A53F7" w14:textId="77777777" w:rsidR="00375AE8" w:rsidRPr="00F04D18" w:rsidRDefault="00375AE8" w:rsidP="00F04D18">
            <w:pPr>
              <w:jc w:val="center"/>
              <w:rPr>
                <w:rFonts w:asciiTheme="majorHAnsi" w:hAnsiTheme="majorHAnsi"/>
                <w:sz w:val="16"/>
                <w:szCs w:val="16"/>
              </w:rPr>
            </w:pPr>
          </w:p>
        </w:tc>
        <w:tc>
          <w:tcPr>
            <w:tcW w:w="645" w:type="dxa"/>
          </w:tcPr>
          <w:p w14:paraId="5423FE80" w14:textId="77777777" w:rsidR="00375AE8" w:rsidRPr="00F04D18" w:rsidRDefault="00375AE8" w:rsidP="00F04D18">
            <w:pPr>
              <w:jc w:val="center"/>
              <w:rPr>
                <w:rFonts w:asciiTheme="majorHAnsi" w:hAnsiTheme="majorHAnsi"/>
                <w:sz w:val="16"/>
                <w:szCs w:val="16"/>
              </w:rPr>
            </w:pPr>
          </w:p>
        </w:tc>
        <w:tc>
          <w:tcPr>
            <w:tcW w:w="690" w:type="dxa"/>
          </w:tcPr>
          <w:p w14:paraId="03E75131" w14:textId="77777777" w:rsidR="00375AE8" w:rsidRPr="00F04D18" w:rsidRDefault="00375AE8" w:rsidP="00F04D18">
            <w:pPr>
              <w:jc w:val="center"/>
              <w:rPr>
                <w:rFonts w:asciiTheme="majorHAnsi" w:hAnsiTheme="majorHAnsi"/>
                <w:sz w:val="16"/>
                <w:szCs w:val="16"/>
              </w:rPr>
            </w:pPr>
          </w:p>
        </w:tc>
        <w:tc>
          <w:tcPr>
            <w:tcW w:w="587" w:type="dxa"/>
          </w:tcPr>
          <w:p w14:paraId="5C226C5D" w14:textId="77777777" w:rsidR="00375AE8" w:rsidRPr="00F04D18" w:rsidRDefault="00375AE8" w:rsidP="00F04D18">
            <w:pPr>
              <w:jc w:val="center"/>
              <w:rPr>
                <w:rFonts w:asciiTheme="majorHAnsi" w:hAnsiTheme="majorHAnsi"/>
                <w:sz w:val="16"/>
                <w:szCs w:val="16"/>
              </w:rPr>
            </w:pPr>
          </w:p>
        </w:tc>
        <w:tc>
          <w:tcPr>
            <w:tcW w:w="690" w:type="dxa"/>
          </w:tcPr>
          <w:p w14:paraId="2FA40207" w14:textId="77777777" w:rsidR="00375AE8" w:rsidRPr="00F04D18" w:rsidRDefault="00375AE8" w:rsidP="00F04D18">
            <w:pPr>
              <w:jc w:val="center"/>
              <w:rPr>
                <w:rFonts w:asciiTheme="majorHAnsi" w:hAnsiTheme="majorHAnsi"/>
                <w:sz w:val="16"/>
                <w:szCs w:val="16"/>
              </w:rPr>
            </w:pPr>
          </w:p>
        </w:tc>
        <w:tc>
          <w:tcPr>
            <w:tcW w:w="540" w:type="dxa"/>
            <w:shd w:val="clear" w:color="auto" w:fill="FBD4B4" w:themeFill="accent6" w:themeFillTint="66"/>
          </w:tcPr>
          <w:p w14:paraId="41EEA301"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7AF03CBE" w14:textId="77777777" w:rsidR="00375AE8" w:rsidRPr="00F04D18" w:rsidRDefault="00375AE8" w:rsidP="00F04D18">
            <w:pPr>
              <w:jc w:val="center"/>
              <w:rPr>
                <w:rFonts w:asciiTheme="majorHAnsi" w:hAnsiTheme="majorHAnsi"/>
                <w:sz w:val="16"/>
                <w:szCs w:val="16"/>
              </w:rPr>
            </w:pPr>
          </w:p>
        </w:tc>
        <w:tc>
          <w:tcPr>
            <w:tcW w:w="534" w:type="dxa"/>
          </w:tcPr>
          <w:p w14:paraId="6D574DFD" w14:textId="77777777" w:rsidR="00375AE8" w:rsidRPr="00F04D18" w:rsidRDefault="00375AE8" w:rsidP="00F04D18">
            <w:pPr>
              <w:jc w:val="center"/>
              <w:rPr>
                <w:rFonts w:asciiTheme="majorHAnsi" w:hAnsiTheme="majorHAnsi"/>
                <w:sz w:val="16"/>
                <w:szCs w:val="16"/>
              </w:rPr>
            </w:pPr>
          </w:p>
        </w:tc>
        <w:tc>
          <w:tcPr>
            <w:tcW w:w="690" w:type="dxa"/>
          </w:tcPr>
          <w:p w14:paraId="4957E49C" w14:textId="77777777" w:rsidR="00375AE8" w:rsidRPr="00F04D18" w:rsidRDefault="00375AE8" w:rsidP="00F04D18">
            <w:pPr>
              <w:jc w:val="center"/>
              <w:rPr>
                <w:rFonts w:asciiTheme="majorHAnsi" w:hAnsiTheme="majorHAnsi"/>
                <w:sz w:val="16"/>
                <w:szCs w:val="16"/>
              </w:rPr>
            </w:pPr>
          </w:p>
        </w:tc>
        <w:tc>
          <w:tcPr>
            <w:tcW w:w="516" w:type="dxa"/>
          </w:tcPr>
          <w:p w14:paraId="4BEA1EB2" w14:textId="77777777" w:rsidR="00375AE8" w:rsidRPr="00F04D18" w:rsidRDefault="00375AE8" w:rsidP="00F04D18">
            <w:pPr>
              <w:jc w:val="center"/>
              <w:rPr>
                <w:rFonts w:asciiTheme="majorHAnsi" w:hAnsiTheme="majorHAnsi"/>
                <w:sz w:val="16"/>
                <w:szCs w:val="16"/>
              </w:rPr>
            </w:pPr>
          </w:p>
        </w:tc>
        <w:tc>
          <w:tcPr>
            <w:tcW w:w="690" w:type="dxa"/>
          </w:tcPr>
          <w:p w14:paraId="6FA86D53" w14:textId="77777777" w:rsidR="00375AE8" w:rsidRPr="00F04D18" w:rsidRDefault="00375AE8" w:rsidP="00F04D18">
            <w:pPr>
              <w:jc w:val="center"/>
              <w:rPr>
                <w:rFonts w:asciiTheme="majorHAnsi" w:hAnsiTheme="majorHAnsi"/>
                <w:sz w:val="16"/>
                <w:szCs w:val="16"/>
              </w:rPr>
            </w:pPr>
          </w:p>
        </w:tc>
        <w:tc>
          <w:tcPr>
            <w:tcW w:w="513" w:type="dxa"/>
          </w:tcPr>
          <w:p w14:paraId="2B77011D" w14:textId="77777777" w:rsidR="00375AE8" w:rsidRPr="00F04D18" w:rsidRDefault="00375AE8" w:rsidP="00F04D18">
            <w:pPr>
              <w:jc w:val="center"/>
              <w:rPr>
                <w:rFonts w:asciiTheme="majorHAnsi" w:hAnsiTheme="majorHAnsi"/>
                <w:sz w:val="16"/>
                <w:szCs w:val="16"/>
              </w:rPr>
            </w:pPr>
          </w:p>
        </w:tc>
        <w:tc>
          <w:tcPr>
            <w:tcW w:w="690" w:type="dxa"/>
          </w:tcPr>
          <w:p w14:paraId="0F728809" w14:textId="77777777" w:rsidR="00375AE8" w:rsidRPr="00F04D18" w:rsidRDefault="00375AE8" w:rsidP="00F04D18">
            <w:pPr>
              <w:jc w:val="center"/>
              <w:rPr>
                <w:rFonts w:asciiTheme="majorHAnsi" w:hAnsiTheme="majorHAnsi"/>
                <w:sz w:val="16"/>
                <w:szCs w:val="16"/>
              </w:rPr>
            </w:pPr>
          </w:p>
        </w:tc>
      </w:tr>
      <w:tr w:rsidR="00375AE8" w14:paraId="34AE71AB" w14:textId="77777777" w:rsidTr="005901FD">
        <w:tc>
          <w:tcPr>
            <w:tcW w:w="1441" w:type="dxa"/>
            <w:vMerge/>
          </w:tcPr>
          <w:p w14:paraId="19D103B6" w14:textId="77777777" w:rsidR="00375AE8" w:rsidRPr="00F04D18" w:rsidRDefault="00375AE8" w:rsidP="00F04D18">
            <w:pPr>
              <w:jc w:val="center"/>
              <w:rPr>
                <w:rFonts w:asciiTheme="majorHAnsi" w:hAnsiTheme="majorHAnsi"/>
                <w:sz w:val="16"/>
                <w:szCs w:val="16"/>
              </w:rPr>
            </w:pPr>
          </w:p>
        </w:tc>
        <w:tc>
          <w:tcPr>
            <w:tcW w:w="1367" w:type="dxa"/>
            <w:vMerge/>
          </w:tcPr>
          <w:p w14:paraId="02881372" w14:textId="77777777" w:rsidR="00375AE8" w:rsidRPr="00F04D18" w:rsidRDefault="00375AE8" w:rsidP="00F04D18">
            <w:pPr>
              <w:jc w:val="center"/>
              <w:rPr>
                <w:rFonts w:asciiTheme="majorHAnsi" w:hAnsiTheme="majorHAnsi"/>
                <w:sz w:val="16"/>
                <w:szCs w:val="16"/>
              </w:rPr>
            </w:pPr>
          </w:p>
        </w:tc>
        <w:tc>
          <w:tcPr>
            <w:tcW w:w="2414" w:type="dxa"/>
          </w:tcPr>
          <w:p w14:paraId="395EA3FA" w14:textId="3173B267" w:rsidR="00375AE8" w:rsidRPr="00F04D18" w:rsidRDefault="00375AE8" w:rsidP="00F04D18">
            <w:pPr>
              <w:jc w:val="center"/>
              <w:rPr>
                <w:rFonts w:asciiTheme="majorHAnsi" w:hAnsiTheme="majorHAnsi"/>
                <w:sz w:val="16"/>
                <w:szCs w:val="16"/>
              </w:rPr>
            </w:pPr>
            <w:r>
              <w:rPr>
                <w:rFonts w:asciiTheme="majorHAnsi" w:hAnsiTheme="majorHAnsi"/>
                <w:sz w:val="16"/>
                <w:szCs w:val="16"/>
              </w:rPr>
              <w:t>Update NISC website and maintain</w:t>
            </w:r>
          </w:p>
        </w:tc>
        <w:tc>
          <w:tcPr>
            <w:tcW w:w="1309" w:type="dxa"/>
          </w:tcPr>
          <w:p w14:paraId="7EC58410" w14:textId="67D03AD4" w:rsidR="00375AE8" w:rsidRPr="00F04D18" w:rsidRDefault="00375AE8" w:rsidP="00F04D18">
            <w:pPr>
              <w:jc w:val="center"/>
              <w:rPr>
                <w:rFonts w:asciiTheme="majorHAnsi" w:hAnsiTheme="majorHAnsi"/>
                <w:sz w:val="16"/>
                <w:szCs w:val="16"/>
              </w:rPr>
            </w:pPr>
            <w:r>
              <w:rPr>
                <w:rFonts w:asciiTheme="majorHAnsi" w:hAnsiTheme="majorHAnsi"/>
                <w:sz w:val="16"/>
                <w:szCs w:val="16"/>
              </w:rPr>
              <w:t>NISC</w:t>
            </w:r>
          </w:p>
        </w:tc>
        <w:tc>
          <w:tcPr>
            <w:tcW w:w="610" w:type="dxa"/>
          </w:tcPr>
          <w:p w14:paraId="7A684D46" w14:textId="77777777" w:rsidR="00375AE8" w:rsidRPr="00F04D18" w:rsidRDefault="00375AE8" w:rsidP="00F04D18">
            <w:pPr>
              <w:jc w:val="center"/>
              <w:rPr>
                <w:rFonts w:asciiTheme="majorHAnsi" w:hAnsiTheme="majorHAnsi"/>
                <w:sz w:val="16"/>
                <w:szCs w:val="16"/>
              </w:rPr>
            </w:pPr>
          </w:p>
        </w:tc>
        <w:tc>
          <w:tcPr>
            <w:tcW w:w="645" w:type="dxa"/>
          </w:tcPr>
          <w:p w14:paraId="0E697330" w14:textId="77777777" w:rsidR="00375AE8" w:rsidRPr="00F04D18" w:rsidRDefault="00375AE8" w:rsidP="00F04D18">
            <w:pPr>
              <w:jc w:val="center"/>
              <w:rPr>
                <w:rFonts w:asciiTheme="majorHAnsi" w:hAnsiTheme="majorHAnsi"/>
                <w:sz w:val="16"/>
                <w:szCs w:val="16"/>
              </w:rPr>
            </w:pPr>
          </w:p>
        </w:tc>
        <w:tc>
          <w:tcPr>
            <w:tcW w:w="690" w:type="dxa"/>
          </w:tcPr>
          <w:p w14:paraId="7E74BC8B" w14:textId="77777777" w:rsidR="00375AE8" w:rsidRPr="00F04D18" w:rsidRDefault="00375AE8" w:rsidP="00F04D18">
            <w:pPr>
              <w:jc w:val="center"/>
              <w:rPr>
                <w:rFonts w:asciiTheme="majorHAnsi" w:hAnsiTheme="majorHAnsi"/>
                <w:sz w:val="16"/>
                <w:szCs w:val="16"/>
              </w:rPr>
            </w:pPr>
          </w:p>
        </w:tc>
        <w:tc>
          <w:tcPr>
            <w:tcW w:w="587" w:type="dxa"/>
          </w:tcPr>
          <w:p w14:paraId="5F7224F8" w14:textId="77777777" w:rsidR="00375AE8" w:rsidRPr="00F04D18" w:rsidRDefault="00375AE8" w:rsidP="00F04D18">
            <w:pPr>
              <w:jc w:val="center"/>
              <w:rPr>
                <w:rFonts w:asciiTheme="majorHAnsi" w:hAnsiTheme="majorHAnsi"/>
                <w:sz w:val="16"/>
                <w:szCs w:val="16"/>
              </w:rPr>
            </w:pPr>
          </w:p>
        </w:tc>
        <w:tc>
          <w:tcPr>
            <w:tcW w:w="690" w:type="dxa"/>
          </w:tcPr>
          <w:p w14:paraId="39011D54" w14:textId="77777777" w:rsidR="00375AE8" w:rsidRPr="00F04D18" w:rsidRDefault="00375AE8" w:rsidP="00F04D18">
            <w:pPr>
              <w:jc w:val="center"/>
              <w:rPr>
                <w:rFonts w:asciiTheme="majorHAnsi" w:hAnsiTheme="majorHAnsi"/>
                <w:sz w:val="16"/>
                <w:szCs w:val="16"/>
              </w:rPr>
            </w:pPr>
          </w:p>
        </w:tc>
        <w:tc>
          <w:tcPr>
            <w:tcW w:w="540" w:type="dxa"/>
            <w:shd w:val="clear" w:color="auto" w:fill="FBD4B4" w:themeFill="accent6" w:themeFillTint="66"/>
          </w:tcPr>
          <w:p w14:paraId="7ACEF42E"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707A92A7" w14:textId="77777777" w:rsidR="00375AE8" w:rsidRPr="00F04D18" w:rsidRDefault="00375AE8" w:rsidP="00F04D18">
            <w:pPr>
              <w:jc w:val="center"/>
              <w:rPr>
                <w:rFonts w:asciiTheme="majorHAnsi" w:hAnsiTheme="majorHAnsi"/>
                <w:sz w:val="16"/>
                <w:szCs w:val="16"/>
              </w:rPr>
            </w:pPr>
          </w:p>
        </w:tc>
        <w:tc>
          <w:tcPr>
            <w:tcW w:w="534" w:type="dxa"/>
            <w:shd w:val="clear" w:color="auto" w:fill="FBD4B4" w:themeFill="accent6" w:themeFillTint="66"/>
          </w:tcPr>
          <w:p w14:paraId="2958F9F2"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55797455" w14:textId="77777777" w:rsidR="00375AE8" w:rsidRPr="00F04D18" w:rsidRDefault="00375AE8" w:rsidP="00F04D18">
            <w:pPr>
              <w:jc w:val="center"/>
              <w:rPr>
                <w:rFonts w:asciiTheme="majorHAnsi" w:hAnsiTheme="majorHAnsi"/>
                <w:sz w:val="16"/>
                <w:szCs w:val="16"/>
              </w:rPr>
            </w:pPr>
          </w:p>
        </w:tc>
        <w:tc>
          <w:tcPr>
            <w:tcW w:w="516" w:type="dxa"/>
            <w:shd w:val="clear" w:color="auto" w:fill="FBD4B4" w:themeFill="accent6" w:themeFillTint="66"/>
          </w:tcPr>
          <w:p w14:paraId="2F70BC4B"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12F453CE" w14:textId="77777777" w:rsidR="00375AE8" w:rsidRPr="00F04D18" w:rsidRDefault="00375AE8" w:rsidP="00F04D18">
            <w:pPr>
              <w:jc w:val="center"/>
              <w:rPr>
                <w:rFonts w:asciiTheme="majorHAnsi" w:hAnsiTheme="majorHAnsi"/>
                <w:sz w:val="16"/>
                <w:szCs w:val="16"/>
              </w:rPr>
            </w:pPr>
          </w:p>
        </w:tc>
        <w:tc>
          <w:tcPr>
            <w:tcW w:w="513" w:type="dxa"/>
            <w:shd w:val="clear" w:color="auto" w:fill="FBD4B4" w:themeFill="accent6" w:themeFillTint="66"/>
          </w:tcPr>
          <w:p w14:paraId="423FAF0C"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202B3574" w14:textId="77777777" w:rsidR="00375AE8" w:rsidRPr="00F04D18" w:rsidRDefault="00375AE8" w:rsidP="00F04D18">
            <w:pPr>
              <w:jc w:val="center"/>
              <w:rPr>
                <w:rFonts w:asciiTheme="majorHAnsi" w:hAnsiTheme="majorHAnsi"/>
                <w:sz w:val="16"/>
                <w:szCs w:val="16"/>
              </w:rPr>
            </w:pPr>
          </w:p>
        </w:tc>
      </w:tr>
      <w:tr w:rsidR="00375AE8" w14:paraId="467E3F30" w14:textId="77777777" w:rsidTr="008F3376">
        <w:tc>
          <w:tcPr>
            <w:tcW w:w="1441" w:type="dxa"/>
            <w:vMerge/>
          </w:tcPr>
          <w:p w14:paraId="234B6E63" w14:textId="77777777" w:rsidR="00375AE8" w:rsidRPr="00F04D18" w:rsidRDefault="00375AE8" w:rsidP="00F04D18">
            <w:pPr>
              <w:jc w:val="center"/>
              <w:rPr>
                <w:rFonts w:asciiTheme="majorHAnsi" w:hAnsiTheme="majorHAnsi"/>
                <w:sz w:val="16"/>
                <w:szCs w:val="16"/>
              </w:rPr>
            </w:pPr>
          </w:p>
        </w:tc>
        <w:tc>
          <w:tcPr>
            <w:tcW w:w="1367" w:type="dxa"/>
            <w:vMerge/>
          </w:tcPr>
          <w:p w14:paraId="1FD68776" w14:textId="77777777" w:rsidR="00375AE8" w:rsidRPr="00F04D18" w:rsidRDefault="00375AE8" w:rsidP="00F04D18">
            <w:pPr>
              <w:jc w:val="center"/>
              <w:rPr>
                <w:rFonts w:asciiTheme="majorHAnsi" w:hAnsiTheme="majorHAnsi"/>
                <w:sz w:val="16"/>
                <w:szCs w:val="16"/>
              </w:rPr>
            </w:pPr>
          </w:p>
        </w:tc>
        <w:tc>
          <w:tcPr>
            <w:tcW w:w="2414" w:type="dxa"/>
          </w:tcPr>
          <w:p w14:paraId="041775E4" w14:textId="67B4E788" w:rsidR="00375AE8" w:rsidRPr="00F04D18" w:rsidRDefault="00375AE8" w:rsidP="00F04D18">
            <w:pPr>
              <w:jc w:val="center"/>
              <w:rPr>
                <w:rFonts w:asciiTheme="majorHAnsi" w:hAnsiTheme="majorHAnsi"/>
                <w:sz w:val="16"/>
                <w:szCs w:val="16"/>
              </w:rPr>
            </w:pPr>
            <w:r>
              <w:rPr>
                <w:rFonts w:asciiTheme="majorHAnsi" w:hAnsiTheme="majorHAnsi"/>
                <w:sz w:val="16"/>
                <w:szCs w:val="16"/>
              </w:rPr>
              <w:t>Identify, catalog, and share sources of information publicly across sectors</w:t>
            </w:r>
          </w:p>
        </w:tc>
        <w:tc>
          <w:tcPr>
            <w:tcW w:w="1309" w:type="dxa"/>
          </w:tcPr>
          <w:p w14:paraId="13124BE7" w14:textId="3A6DD50C" w:rsidR="00375AE8" w:rsidRPr="00F04D18" w:rsidRDefault="00375AE8" w:rsidP="00F04D18">
            <w:pPr>
              <w:jc w:val="center"/>
              <w:rPr>
                <w:rFonts w:asciiTheme="majorHAnsi" w:hAnsiTheme="majorHAnsi"/>
                <w:sz w:val="16"/>
                <w:szCs w:val="16"/>
              </w:rPr>
            </w:pPr>
            <w:r>
              <w:rPr>
                <w:rFonts w:asciiTheme="majorHAnsi" w:hAnsiTheme="majorHAnsi"/>
                <w:sz w:val="16"/>
                <w:szCs w:val="16"/>
              </w:rPr>
              <w:t>NISC and PALARIS</w:t>
            </w:r>
          </w:p>
        </w:tc>
        <w:tc>
          <w:tcPr>
            <w:tcW w:w="610" w:type="dxa"/>
          </w:tcPr>
          <w:p w14:paraId="3FF68681" w14:textId="77777777" w:rsidR="00375AE8" w:rsidRPr="00F04D18" w:rsidRDefault="00375AE8" w:rsidP="00F04D18">
            <w:pPr>
              <w:jc w:val="center"/>
              <w:rPr>
                <w:rFonts w:asciiTheme="majorHAnsi" w:hAnsiTheme="majorHAnsi"/>
                <w:sz w:val="16"/>
                <w:szCs w:val="16"/>
              </w:rPr>
            </w:pPr>
          </w:p>
        </w:tc>
        <w:tc>
          <w:tcPr>
            <w:tcW w:w="645" w:type="dxa"/>
          </w:tcPr>
          <w:p w14:paraId="6F92D56F" w14:textId="77777777" w:rsidR="00375AE8" w:rsidRPr="00F04D18" w:rsidRDefault="00375AE8" w:rsidP="00F04D18">
            <w:pPr>
              <w:jc w:val="center"/>
              <w:rPr>
                <w:rFonts w:asciiTheme="majorHAnsi" w:hAnsiTheme="majorHAnsi"/>
                <w:sz w:val="16"/>
                <w:szCs w:val="16"/>
              </w:rPr>
            </w:pPr>
          </w:p>
        </w:tc>
        <w:tc>
          <w:tcPr>
            <w:tcW w:w="690" w:type="dxa"/>
          </w:tcPr>
          <w:p w14:paraId="6F12E39B" w14:textId="77777777" w:rsidR="00375AE8" w:rsidRPr="00F04D18" w:rsidRDefault="00375AE8" w:rsidP="00F04D18">
            <w:pPr>
              <w:jc w:val="center"/>
              <w:rPr>
                <w:rFonts w:asciiTheme="majorHAnsi" w:hAnsiTheme="majorHAnsi"/>
                <w:sz w:val="16"/>
                <w:szCs w:val="16"/>
              </w:rPr>
            </w:pPr>
          </w:p>
        </w:tc>
        <w:tc>
          <w:tcPr>
            <w:tcW w:w="587" w:type="dxa"/>
          </w:tcPr>
          <w:p w14:paraId="42B29AE2" w14:textId="77777777" w:rsidR="00375AE8" w:rsidRPr="00F04D18" w:rsidRDefault="00375AE8" w:rsidP="00F04D18">
            <w:pPr>
              <w:jc w:val="center"/>
              <w:rPr>
                <w:rFonts w:asciiTheme="majorHAnsi" w:hAnsiTheme="majorHAnsi"/>
                <w:sz w:val="16"/>
                <w:szCs w:val="16"/>
              </w:rPr>
            </w:pPr>
          </w:p>
        </w:tc>
        <w:tc>
          <w:tcPr>
            <w:tcW w:w="690" w:type="dxa"/>
          </w:tcPr>
          <w:p w14:paraId="58ECA764" w14:textId="77777777" w:rsidR="00375AE8" w:rsidRPr="00F04D18" w:rsidRDefault="00375AE8" w:rsidP="00F04D18">
            <w:pPr>
              <w:jc w:val="center"/>
              <w:rPr>
                <w:rFonts w:asciiTheme="majorHAnsi" w:hAnsiTheme="majorHAnsi"/>
                <w:sz w:val="16"/>
                <w:szCs w:val="16"/>
              </w:rPr>
            </w:pPr>
          </w:p>
        </w:tc>
        <w:tc>
          <w:tcPr>
            <w:tcW w:w="540" w:type="dxa"/>
          </w:tcPr>
          <w:p w14:paraId="09DE98A0"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3B91D7D1" w14:textId="77777777" w:rsidR="00375AE8" w:rsidRPr="00F04D18" w:rsidRDefault="00375AE8" w:rsidP="00F04D18">
            <w:pPr>
              <w:jc w:val="center"/>
              <w:rPr>
                <w:rFonts w:asciiTheme="majorHAnsi" w:hAnsiTheme="majorHAnsi"/>
                <w:sz w:val="16"/>
                <w:szCs w:val="16"/>
              </w:rPr>
            </w:pPr>
          </w:p>
        </w:tc>
        <w:tc>
          <w:tcPr>
            <w:tcW w:w="534" w:type="dxa"/>
            <w:shd w:val="clear" w:color="auto" w:fill="FBD4B4" w:themeFill="accent6" w:themeFillTint="66"/>
          </w:tcPr>
          <w:p w14:paraId="65112E69" w14:textId="77777777" w:rsidR="00375AE8" w:rsidRPr="00F04D18" w:rsidRDefault="00375AE8" w:rsidP="00F04D18">
            <w:pPr>
              <w:jc w:val="center"/>
              <w:rPr>
                <w:rFonts w:asciiTheme="majorHAnsi" w:hAnsiTheme="majorHAnsi"/>
                <w:sz w:val="16"/>
                <w:szCs w:val="16"/>
              </w:rPr>
            </w:pPr>
          </w:p>
        </w:tc>
        <w:tc>
          <w:tcPr>
            <w:tcW w:w="690" w:type="dxa"/>
          </w:tcPr>
          <w:p w14:paraId="5F2E68E7" w14:textId="77777777" w:rsidR="00375AE8" w:rsidRPr="00F04D18" w:rsidRDefault="00375AE8" w:rsidP="00F04D18">
            <w:pPr>
              <w:jc w:val="center"/>
              <w:rPr>
                <w:rFonts w:asciiTheme="majorHAnsi" w:hAnsiTheme="majorHAnsi"/>
                <w:sz w:val="16"/>
                <w:szCs w:val="16"/>
              </w:rPr>
            </w:pPr>
          </w:p>
        </w:tc>
        <w:tc>
          <w:tcPr>
            <w:tcW w:w="516" w:type="dxa"/>
          </w:tcPr>
          <w:p w14:paraId="127B624D" w14:textId="77777777" w:rsidR="00375AE8" w:rsidRPr="00F04D18" w:rsidRDefault="00375AE8" w:rsidP="00F04D18">
            <w:pPr>
              <w:jc w:val="center"/>
              <w:rPr>
                <w:rFonts w:asciiTheme="majorHAnsi" w:hAnsiTheme="majorHAnsi"/>
                <w:sz w:val="16"/>
                <w:szCs w:val="16"/>
              </w:rPr>
            </w:pPr>
          </w:p>
        </w:tc>
        <w:tc>
          <w:tcPr>
            <w:tcW w:w="690" w:type="dxa"/>
          </w:tcPr>
          <w:p w14:paraId="2276EB88" w14:textId="77777777" w:rsidR="00375AE8" w:rsidRPr="00F04D18" w:rsidRDefault="00375AE8" w:rsidP="00F04D18">
            <w:pPr>
              <w:jc w:val="center"/>
              <w:rPr>
                <w:rFonts w:asciiTheme="majorHAnsi" w:hAnsiTheme="majorHAnsi"/>
                <w:sz w:val="16"/>
                <w:szCs w:val="16"/>
              </w:rPr>
            </w:pPr>
          </w:p>
        </w:tc>
        <w:tc>
          <w:tcPr>
            <w:tcW w:w="513" w:type="dxa"/>
          </w:tcPr>
          <w:p w14:paraId="473685CA" w14:textId="77777777" w:rsidR="00375AE8" w:rsidRPr="00F04D18" w:rsidRDefault="00375AE8" w:rsidP="00F04D18">
            <w:pPr>
              <w:jc w:val="center"/>
              <w:rPr>
                <w:rFonts w:asciiTheme="majorHAnsi" w:hAnsiTheme="majorHAnsi"/>
                <w:sz w:val="16"/>
                <w:szCs w:val="16"/>
              </w:rPr>
            </w:pPr>
          </w:p>
        </w:tc>
        <w:tc>
          <w:tcPr>
            <w:tcW w:w="690" w:type="dxa"/>
          </w:tcPr>
          <w:p w14:paraId="11B777DE" w14:textId="77777777" w:rsidR="00375AE8" w:rsidRPr="00F04D18" w:rsidRDefault="00375AE8" w:rsidP="00F04D18">
            <w:pPr>
              <w:jc w:val="center"/>
              <w:rPr>
                <w:rFonts w:asciiTheme="majorHAnsi" w:hAnsiTheme="majorHAnsi"/>
                <w:sz w:val="16"/>
                <w:szCs w:val="16"/>
              </w:rPr>
            </w:pPr>
          </w:p>
        </w:tc>
      </w:tr>
      <w:tr w:rsidR="00375AE8" w14:paraId="0A428BE0" w14:textId="77777777" w:rsidTr="008F3376">
        <w:tc>
          <w:tcPr>
            <w:tcW w:w="1441" w:type="dxa"/>
            <w:vMerge/>
          </w:tcPr>
          <w:p w14:paraId="744AEF79" w14:textId="77777777" w:rsidR="00375AE8" w:rsidRPr="00F04D18" w:rsidRDefault="00375AE8" w:rsidP="00F04D18">
            <w:pPr>
              <w:jc w:val="center"/>
              <w:rPr>
                <w:rFonts w:asciiTheme="majorHAnsi" w:hAnsiTheme="majorHAnsi"/>
                <w:sz w:val="16"/>
                <w:szCs w:val="16"/>
              </w:rPr>
            </w:pPr>
          </w:p>
        </w:tc>
        <w:tc>
          <w:tcPr>
            <w:tcW w:w="1367" w:type="dxa"/>
            <w:vMerge/>
          </w:tcPr>
          <w:p w14:paraId="79D1E964" w14:textId="77777777" w:rsidR="00375AE8" w:rsidRPr="00F04D18" w:rsidRDefault="00375AE8" w:rsidP="00F04D18">
            <w:pPr>
              <w:jc w:val="center"/>
              <w:rPr>
                <w:rFonts w:asciiTheme="majorHAnsi" w:hAnsiTheme="majorHAnsi"/>
                <w:sz w:val="16"/>
                <w:szCs w:val="16"/>
              </w:rPr>
            </w:pPr>
          </w:p>
        </w:tc>
        <w:tc>
          <w:tcPr>
            <w:tcW w:w="2414" w:type="dxa"/>
          </w:tcPr>
          <w:p w14:paraId="04F3AC06" w14:textId="1BEA6045" w:rsidR="00375AE8" w:rsidRPr="00F04D18" w:rsidRDefault="00375AE8" w:rsidP="005901FD">
            <w:pPr>
              <w:jc w:val="center"/>
              <w:rPr>
                <w:rFonts w:asciiTheme="majorHAnsi" w:hAnsiTheme="majorHAnsi"/>
                <w:sz w:val="16"/>
                <w:szCs w:val="16"/>
              </w:rPr>
            </w:pPr>
            <w:r>
              <w:rPr>
                <w:rFonts w:asciiTheme="majorHAnsi" w:hAnsiTheme="majorHAnsi"/>
                <w:sz w:val="16"/>
                <w:szCs w:val="16"/>
              </w:rPr>
              <w:t>Establish standards for information collection that are gender and socially inclusive</w:t>
            </w:r>
          </w:p>
        </w:tc>
        <w:tc>
          <w:tcPr>
            <w:tcW w:w="1309" w:type="dxa"/>
          </w:tcPr>
          <w:p w14:paraId="131B1E0D" w14:textId="2292F4C5" w:rsidR="00375AE8" w:rsidRPr="00F04D18" w:rsidRDefault="00375AE8" w:rsidP="00F04D18">
            <w:pPr>
              <w:jc w:val="center"/>
              <w:rPr>
                <w:rFonts w:asciiTheme="majorHAnsi" w:hAnsiTheme="majorHAnsi"/>
                <w:sz w:val="16"/>
                <w:szCs w:val="16"/>
              </w:rPr>
            </w:pPr>
            <w:r>
              <w:rPr>
                <w:rFonts w:asciiTheme="majorHAnsi" w:hAnsiTheme="majorHAnsi"/>
                <w:sz w:val="16"/>
                <w:szCs w:val="16"/>
              </w:rPr>
              <w:t>MCCA</w:t>
            </w:r>
          </w:p>
        </w:tc>
        <w:tc>
          <w:tcPr>
            <w:tcW w:w="610" w:type="dxa"/>
          </w:tcPr>
          <w:p w14:paraId="125C9139" w14:textId="77777777" w:rsidR="00375AE8" w:rsidRPr="00F04D18" w:rsidRDefault="00375AE8" w:rsidP="00F04D18">
            <w:pPr>
              <w:jc w:val="center"/>
              <w:rPr>
                <w:rFonts w:asciiTheme="majorHAnsi" w:hAnsiTheme="majorHAnsi"/>
                <w:sz w:val="16"/>
                <w:szCs w:val="16"/>
              </w:rPr>
            </w:pPr>
          </w:p>
        </w:tc>
        <w:tc>
          <w:tcPr>
            <w:tcW w:w="645" w:type="dxa"/>
          </w:tcPr>
          <w:p w14:paraId="043BE98A" w14:textId="77777777" w:rsidR="00375AE8" w:rsidRPr="00F04D18" w:rsidRDefault="00375AE8" w:rsidP="00F04D18">
            <w:pPr>
              <w:jc w:val="center"/>
              <w:rPr>
                <w:rFonts w:asciiTheme="majorHAnsi" w:hAnsiTheme="majorHAnsi"/>
                <w:sz w:val="16"/>
                <w:szCs w:val="16"/>
              </w:rPr>
            </w:pPr>
          </w:p>
        </w:tc>
        <w:tc>
          <w:tcPr>
            <w:tcW w:w="690" w:type="dxa"/>
          </w:tcPr>
          <w:p w14:paraId="097AFE98" w14:textId="77777777" w:rsidR="00375AE8" w:rsidRPr="00F04D18" w:rsidRDefault="00375AE8" w:rsidP="00F04D18">
            <w:pPr>
              <w:jc w:val="center"/>
              <w:rPr>
                <w:rFonts w:asciiTheme="majorHAnsi" w:hAnsiTheme="majorHAnsi"/>
                <w:sz w:val="16"/>
                <w:szCs w:val="16"/>
              </w:rPr>
            </w:pPr>
          </w:p>
        </w:tc>
        <w:tc>
          <w:tcPr>
            <w:tcW w:w="587" w:type="dxa"/>
          </w:tcPr>
          <w:p w14:paraId="4E85CE2E"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7E43A70E" w14:textId="77777777" w:rsidR="00375AE8" w:rsidRPr="00F04D18" w:rsidRDefault="00375AE8" w:rsidP="00F04D18">
            <w:pPr>
              <w:jc w:val="center"/>
              <w:rPr>
                <w:rFonts w:asciiTheme="majorHAnsi" w:hAnsiTheme="majorHAnsi"/>
                <w:sz w:val="16"/>
                <w:szCs w:val="16"/>
              </w:rPr>
            </w:pPr>
          </w:p>
        </w:tc>
        <w:tc>
          <w:tcPr>
            <w:tcW w:w="540" w:type="dxa"/>
            <w:shd w:val="clear" w:color="auto" w:fill="FBD4B4" w:themeFill="accent6" w:themeFillTint="66"/>
          </w:tcPr>
          <w:p w14:paraId="046CB6F4" w14:textId="77777777" w:rsidR="00375AE8" w:rsidRPr="00F04D18" w:rsidRDefault="00375AE8" w:rsidP="00F04D18">
            <w:pPr>
              <w:jc w:val="center"/>
              <w:rPr>
                <w:rFonts w:asciiTheme="majorHAnsi" w:hAnsiTheme="majorHAnsi"/>
                <w:sz w:val="16"/>
                <w:szCs w:val="16"/>
              </w:rPr>
            </w:pPr>
          </w:p>
        </w:tc>
        <w:tc>
          <w:tcPr>
            <w:tcW w:w="690" w:type="dxa"/>
          </w:tcPr>
          <w:p w14:paraId="59B373A6" w14:textId="77777777" w:rsidR="00375AE8" w:rsidRPr="00F04D18" w:rsidRDefault="00375AE8" w:rsidP="00F04D18">
            <w:pPr>
              <w:jc w:val="center"/>
              <w:rPr>
                <w:rFonts w:asciiTheme="majorHAnsi" w:hAnsiTheme="majorHAnsi"/>
                <w:sz w:val="16"/>
                <w:szCs w:val="16"/>
              </w:rPr>
            </w:pPr>
          </w:p>
        </w:tc>
        <w:tc>
          <w:tcPr>
            <w:tcW w:w="534" w:type="dxa"/>
          </w:tcPr>
          <w:p w14:paraId="54688C4F" w14:textId="77777777" w:rsidR="00375AE8" w:rsidRPr="00F04D18" w:rsidRDefault="00375AE8" w:rsidP="00F04D18">
            <w:pPr>
              <w:jc w:val="center"/>
              <w:rPr>
                <w:rFonts w:asciiTheme="majorHAnsi" w:hAnsiTheme="majorHAnsi"/>
                <w:sz w:val="16"/>
                <w:szCs w:val="16"/>
              </w:rPr>
            </w:pPr>
          </w:p>
        </w:tc>
        <w:tc>
          <w:tcPr>
            <w:tcW w:w="690" w:type="dxa"/>
          </w:tcPr>
          <w:p w14:paraId="49DB86D8" w14:textId="77777777" w:rsidR="00375AE8" w:rsidRPr="00F04D18" w:rsidRDefault="00375AE8" w:rsidP="00F04D18">
            <w:pPr>
              <w:jc w:val="center"/>
              <w:rPr>
                <w:rFonts w:asciiTheme="majorHAnsi" w:hAnsiTheme="majorHAnsi"/>
                <w:sz w:val="16"/>
                <w:szCs w:val="16"/>
              </w:rPr>
            </w:pPr>
          </w:p>
        </w:tc>
        <w:tc>
          <w:tcPr>
            <w:tcW w:w="516" w:type="dxa"/>
          </w:tcPr>
          <w:p w14:paraId="05D0E5A3" w14:textId="77777777" w:rsidR="00375AE8" w:rsidRPr="00F04D18" w:rsidRDefault="00375AE8" w:rsidP="00F04D18">
            <w:pPr>
              <w:jc w:val="center"/>
              <w:rPr>
                <w:rFonts w:asciiTheme="majorHAnsi" w:hAnsiTheme="majorHAnsi"/>
                <w:sz w:val="16"/>
                <w:szCs w:val="16"/>
              </w:rPr>
            </w:pPr>
          </w:p>
        </w:tc>
        <w:tc>
          <w:tcPr>
            <w:tcW w:w="690" w:type="dxa"/>
          </w:tcPr>
          <w:p w14:paraId="3A065789" w14:textId="77777777" w:rsidR="00375AE8" w:rsidRPr="00F04D18" w:rsidRDefault="00375AE8" w:rsidP="00F04D18">
            <w:pPr>
              <w:jc w:val="center"/>
              <w:rPr>
                <w:rFonts w:asciiTheme="majorHAnsi" w:hAnsiTheme="majorHAnsi"/>
                <w:sz w:val="16"/>
                <w:szCs w:val="16"/>
              </w:rPr>
            </w:pPr>
          </w:p>
        </w:tc>
        <w:tc>
          <w:tcPr>
            <w:tcW w:w="513" w:type="dxa"/>
          </w:tcPr>
          <w:p w14:paraId="2058FAE3" w14:textId="77777777" w:rsidR="00375AE8" w:rsidRPr="00F04D18" w:rsidRDefault="00375AE8" w:rsidP="00F04D18">
            <w:pPr>
              <w:jc w:val="center"/>
              <w:rPr>
                <w:rFonts w:asciiTheme="majorHAnsi" w:hAnsiTheme="majorHAnsi"/>
                <w:sz w:val="16"/>
                <w:szCs w:val="16"/>
              </w:rPr>
            </w:pPr>
          </w:p>
        </w:tc>
        <w:tc>
          <w:tcPr>
            <w:tcW w:w="690" w:type="dxa"/>
          </w:tcPr>
          <w:p w14:paraId="109DA152" w14:textId="77777777" w:rsidR="00375AE8" w:rsidRPr="00F04D18" w:rsidRDefault="00375AE8" w:rsidP="00F04D18">
            <w:pPr>
              <w:jc w:val="center"/>
              <w:rPr>
                <w:rFonts w:asciiTheme="majorHAnsi" w:hAnsiTheme="majorHAnsi"/>
                <w:sz w:val="16"/>
                <w:szCs w:val="16"/>
              </w:rPr>
            </w:pPr>
          </w:p>
        </w:tc>
      </w:tr>
      <w:tr w:rsidR="00375AE8" w14:paraId="399D3B19" w14:textId="77777777" w:rsidTr="008F3376">
        <w:tc>
          <w:tcPr>
            <w:tcW w:w="1441" w:type="dxa"/>
            <w:vMerge/>
          </w:tcPr>
          <w:p w14:paraId="543BEB80" w14:textId="77777777" w:rsidR="00375AE8" w:rsidRPr="00F04D18" w:rsidRDefault="00375AE8" w:rsidP="00F04D18">
            <w:pPr>
              <w:jc w:val="center"/>
              <w:rPr>
                <w:rFonts w:asciiTheme="majorHAnsi" w:hAnsiTheme="majorHAnsi"/>
                <w:sz w:val="16"/>
                <w:szCs w:val="16"/>
              </w:rPr>
            </w:pPr>
          </w:p>
        </w:tc>
        <w:tc>
          <w:tcPr>
            <w:tcW w:w="1367" w:type="dxa"/>
            <w:vMerge/>
          </w:tcPr>
          <w:p w14:paraId="19C662FF" w14:textId="77777777" w:rsidR="00375AE8" w:rsidRPr="00F04D18" w:rsidRDefault="00375AE8" w:rsidP="00F04D18">
            <w:pPr>
              <w:jc w:val="center"/>
              <w:rPr>
                <w:rFonts w:asciiTheme="majorHAnsi" w:hAnsiTheme="majorHAnsi"/>
                <w:sz w:val="16"/>
                <w:szCs w:val="16"/>
              </w:rPr>
            </w:pPr>
          </w:p>
        </w:tc>
        <w:tc>
          <w:tcPr>
            <w:tcW w:w="2414" w:type="dxa"/>
          </w:tcPr>
          <w:p w14:paraId="6AD08DC7" w14:textId="70CCDD27" w:rsidR="00375AE8" w:rsidRPr="00F04D18" w:rsidRDefault="00375AE8" w:rsidP="005901FD">
            <w:pPr>
              <w:jc w:val="center"/>
              <w:rPr>
                <w:rFonts w:asciiTheme="majorHAnsi" w:hAnsiTheme="majorHAnsi"/>
                <w:sz w:val="16"/>
                <w:szCs w:val="16"/>
              </w:rPr>
            </w:pPr>
            <w:r>
              <w:rPr>
                <w:rFonts w:asciiTheme="majorHAnsi" w:hAnsiTheme="majorHAnsi"/>
                <w:sz w:val="16"/>
                <w:szCs w:val="16"/>
              </w:rPr>
              <w:t xml:space="preserve">Training for biosecurity database </w:t>
            </w:r>
          </w:p>
        </w:tc>
        <w:tc>
          <w:tcPr>
            <w:tcW w:w="1309" w:type="dxa"/>
          </w:tcPr>
          <w:p w14:paraId="5DDBED86" w14:textId="7AC4E103" w:rsidR="00375AE8" w:rsidRPr="00F04D18" w:rsidRDefault="00375AE8" w:rsidP="00F04D18">
            <w:pPr>
              <w:jc w:val="center"/>
              <w:rPr>
                <w:rFonts w:asciiTheme="majorHAnsi" w:hAnsiTheme="majorHAnsi"/>
                <w:sz w:val="16"/>
                <w:szCs w:val="16"/>
              </w:rPr>
            </w:pPr>
            <w:r>
              <w:rPr>
                <w:rFonts w:asciiTheme="majorHAnsi" w:hAnsiTheme="majorHAnsi"/>
                <w:sz w:val="16"/>
                <w:szCs w:val="16"/>
              </w:rPr>
              <w:t>NISCO</w:t>
            </w:r>
          </w:p>
        </w:tc>
        <w:tc>
          <w:tcPr>
            <w:tcW w:w="610" w:type="dxa"/>
          </w:tcPr>
          <w:p w14:paraId="59340C9D" w14:textId="77777777" w:rsidR="00375AE8" w:rsidRPr="00F04D18" w:rsidRDefault="00375AE8" w:rsidP="00F04D18">
            <w:pPr>
              <w:jc w:val="center"/>
              <w:rPr>
                <w:rFonts w:asciiTheme="majorHAnsi" w:hAnsiTheme="majorHAnsi"/>
                <w:sz w:val="16"/>
                <w:szCs w:val="16"/>
              </w:rPr>
            </w:pPr>
          </w:p>
        </w:tc>
        <w:tc>
          <w:tcPr>
            <w:tcW w:w="645" w:type="dxa"/>
          </w:tcPr>
          <w:p w14:paraId="3CD4C232" w14:textId="77777777" w:rsidR="00375AE8" w:rsidRPr="00F04D18" w:rsidRDefault="00375AE8" w:rsidP="00F04D18">
            <w:pPr>
              <w:jc w:val="center"/>
              <w:rPr>
                <w:rFonts w:asciiTheme="majorHAnsi" w:hAnsiTheme="majorHAnsi"/>
                <w:sz w:val="16"/>
                <w:szCs w:val="16"/>
              </w:rPr>
            </w:pPr>
          </w:p>
        </w:tc>
        <w:tc>
          <w:tcPr>
            <w:tcW w:w="690" w:type="dxa"/>
          </w:tcPr>
          <w:p w14:paraId="492AC5DD" w14:textId="77777777" w:rsidR="00375AE8" w:rsidRPr="00F04D18" w:rsidRDefault="00375AE8" w:rsidP="00F04D18">
            <w:pPr>
              <w:jc w:val="center"/>
              <w:rPr>
                <w:rFonts w:asciiTheme="majorHAnsi" w:hAnsiTheme="majorHAnsi"/>
                <w:sz w:val="16"/>
                <w:szCs w:val="16"/>
              </w:rPr>
            </w:pPr>
          </w:p>
        </w:tc>
        <w:tc>
          <w:tcPr>
            <w:tcW w:w="587" w:type="dxa"/>
          </w:tcPr>
          <w:p w14:paraId="08F596FD" w14:textId="77777777" w:rsidR="00375AE8" w:rsidRPr="00F04D18" w:rsidRDefault="00375AE8" w:rsidP="00F04D18">
            <w:pPr>
              <w:jc w:val="center"/>
              <w:rPr>
                <w:rFonts w:asciiTheme="majorHAnsi" w:hAnsiTheme="majorHAnsi"/>
                <w:sz w:val="16"/>
                <w:szCs w:val="16"/>
              </w:rPr>
            </w:pPr>
          </w:p>
        </w:tc>
        <w:tc>
          <w:tcPr>
            <w:tcW w:w="690" w:type="dxa"/>
          </w:tcPr>
          <w:p w14:paraId="50AE2A5F" w14:textId="77777777" w:rsidR="00375AE8" w:rsidRPr="00F04D18" w:rsidRDefault="00375AE8" w:rsidP="00F04D18">
            <w:pPr>
              <w:jc w:val="center"/>
              <w:rPr>
                <w:rFonts w:asciiTheme="majorHAnsi" w:hAnsiTheme="majorHAnsi"/>
                <w:sz w:val="16"/>
                <w:szCs w:val="16"/>
              </w:rPr>
            </w:pPr>
          </w:p>
        </w:tc>
        <w:tc>
          <w:tcPr>
            <w:tcW w:w="540" w:type="dxa"/>
            <w:shd w:val="clear" w:color="auto" w:fill="FBD4B4" w:themeFill="accent6" w:themeFillTint="66"/>
          </w:tcPr>
          <w:p w14:paraId="449C5CC6"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3D9FDEBD" w14:textId="77777777" w:rsidR="00375AE8" w:rsidRPr="00F04D18" w:rsidRDefault="00375AE8" w:rsidP="00F04D18">
            <w:pPr>
              <w:jc w:val="center"/>
              <w:rPr>
                <w:rFonts w:asciiTheme="majorHAnsi" w:hAnsiTheme="majorHAnsi"/>
                <w:sz w:val="16"/>
                <w:szCs w:val="16"/>
              </w:rPr>
            </w:pPr>
          </w:p>
        </w:tc>
        <w:tc>
          <w:tcPr>
            <w:tcW w:w="534" w:type="dxa"/>
          </w:tcPr>
          <w:p w14:paraId="3930C516" w14:textId="77777777" w:rsidR="00375AE8" w:rsidRPr="00F04D18" w:rsidRDefault="00375AE8" w:rsidP="00F04D18">
            <w:pPr>
              <w:jc w:val="center"/>
              <w:rPr>
                <w:rFonts w:asciiTheme="majorHAnsi" w:hAnsiTheme="majorHAnsi"/>
                <w:sz w:val="16"/>
                <w:szCs w:val="16"/>
              </w:rPr>
            </w:pPr>
          </w:p>
        </w:tc>
        <w:tc>
          <w:tcPr>
            <w:tcW w:w="690" w:type="dxa"/>
          </w:tcPr>
          <w:p w14:paraId="1F05C153" w14:textId="77777777" w:rsidR="00375AE8" w:rsidRPr="00F04D18" w:rsidRDefault="00375AE8" w:rsidP="00F04D18">
            <w:pPr>
              <w:jc w:val="center"/>
              <w:rPr>
                <w:rFonts w:asciiTheme="majorHAnsi" w:hAnsiTheme="majorHAnsi"/>
                <w:sz w:val="16"/>
                <w:szCs w:val="16"/>
              </w:rPr>
            </w:pPr>
          </w:p>
        </w:tc>
        <w:tc>
          <w:tcPr>
            <w:tcW w:w="516" w:type="dxa"/>
          </w:tcPr>
          <w:p w14:paraId="3AD648F2" w14:textId="77777777" w:rsidR="00375AE8" w:rsidRPr="00F04D18" w:rsidRDefault="00375AE8" w:rsidP="00F04D18">
            <w:pPr>
              <w:jc w:val="center"/>
              <w:rPr>
                <w:rFonts w:asciiTheme="majorHAnsi" w:hAnsiTheme="majorHAnsi"/>
                <w:sz w:val="16"/>
                <w:szCs w:val="16"/>
              </w:rPr>
            </w:pPr>
          </w:p>
        </w:tc>
        <w:tc>
          <w:tcPr>
            <w:tcW w:w="690" w:type="dxa"/>
          </w:tcPr>
          <w:p w14:paraId="49B943CE" w14:textId="77777777" w:rsidR="00375AE8" w:rsidRPr="00F04D18" w:rsidRDefault="00375AE8" w:rsidP="00F04D18">
            <w:pPr>
              <w:jc w:val="center"/>
              <w:rPr>
                <w:rFonts w:asciiTheme="majorHAnsi" w:hAnsiTheme="majorHAnsi"/>
                <w:sz w:val="16"/>
                <w:szCs w:val="16"/>
              </w:rPr>
            </w:pPr>
          </w:p>
        </w:tc>
        <w:tc>
          <w:tcPr>
            <w:tcW w:w="513" w:type="dxa"/>
          </w:tcPr>
          <w:p w14:paraId="636B1225" w14:textId="77777777" w:rsidR="00375AE8" w:rsidRPr="00F04D18" w:rsidRDefault="00375AE8" w:rsidP="00F04D18">
            <w:pPr>
              <w:jc w:val="center"/>
              <w:rPr>
                <w:rFonts w:asciiTheme="majorHAnsi" w:hAnsiTheme="majorHAnsi"/>
                <w:sz w:val="16"/>
                <w:szCs w:val="16"/>
              </w:rPr>
            </w:pPr>
          </w:p>
        </w:tc>
        <w:tc>
          <w:tcPr>
            <w:tcW w:w="690" w:type="dxa"/>
          </w:tcPr>
          <w:p w14:paraId="1DA40D41" w14:textId="77777777" w:rsidR="00375AE8" w:rsidRPr="00F04D18" w:rsidRDefault="00375AE8" w:rsidP="00F04D18">
            <w:pPr>
              <w:jc w:val="center"/>
              <w:rPr>
                <w:rFonts w:asciiTheme="majorHAnsi" w:hAnsiTheme="majorHAnsi"/>
                <w:sz w:val="16"/>
                <w:szCs w:val="16"/>
              </w:rPr>
            </w:pPr>
          </w:p>
        </w:tc>
      </w:tr>
      <w:tr w:rsidR="00375AE8" w14:paraId="5C38E371" w14:textId="77777777" w:rsidTr="008F3376">
        <w:tc>
          <w:tcPr>
            <w:tcW w:w="1441" w:type="dxa"/>
            <w:vMerge/>
          </w:tcPr>
          <w:p w14:paraId="5FF108AB" w14:textId="77777777" w:rsidR="00375AE8" w:rsidRPr="00F04D18" w:rsidRDefault="00375AE8" w:rsidP="00F04D18">
            <w:pPr>
              <w:jc w:val="center"/>
              <w:rPr>
                <w:rFonts w:asciiTheme="majorHAnsi" w:hAnsiTheme="majorHAnsi"/>
                <w:sz w:val="16"/>
                <w:szCs w:val="16"/>
              </w:rPr>
            </w:pPr>
          </w:p>
        </w:tc>
        <w:tc>
          <w:tcPr>
            <w:tcW w:w="1367" w:type="dxa"/>
            <w:vMerge/>
          </w:tcPr>
          <w:p w14:paraId="3CE6791D" w14:textId="77777777" w:rsidR="00375AE8" w:rsidRPr="00F04D18" w:rsidRDefault="00375AE8" w:rsidP="00F04D18">
            <w:pPr>
              <w:jc w:val="center"/>
              <w:rPr>
                <w:rFonts w:asciiTheme="majorHAnsi" w:hAnsiTheme="majorHAnsi"/>
                <w:sz w:val="16"/>
                <w:szCs w:val="16"/>
              </w:rPr>
            </w:pPr>
          </w:p>
        </w:tc>
        <w:tc>
          <w:tcPr>
            <w:tcW w:w="2414" w:type="dxa"/>
          </w:tcPr>
          <w:p w14:paraId="70C12413" w14:textId="3149951C" w:rsidR="00375AE8" w:rsidRPr="00F04D18" w:rsidRDefault="00375AE8" w:rsidP="008F3376">
            <w:pPr>
              <w:jc w:val="center"/>
              <w:rPr>
                <w:rFonts w:asciiTheme="majorHAnsi" w:hAnsiTheme="majorHAnsi"/>
                <w:sz w:val="16"/>
                <w:szCs w:val="16"/>
              </w:rPr>
            </w:pPr>
            <w:r>
              <w:rPr>
                <w:rFonts w:asciiTheme="majorHAnsi" w:hAnsiTheme="majorHAnsi"/>
                <w:sz w:val="16"/>
                <w:szCs w:val="16"/>
              </w:rPr>
              <w:t>Update of national webpages</w:t>
            </w:r>
          </w:p>
        </w:tc>
        <w:tc>
          <w:tcPr>
            <w:tcW w:w="1309" w:type="dxa"/>
          </w:tcPr>
          <w:p w14:paraId="3C91E53D" w14:textId="6DF919D0" w:rsidR="00375AE8" w:rsidRPr="00F04D18" w:rsidRDefault="00375AE8" w:rsidP="00F04D18">
            <w:pPr>
              <w:jc w:val="center"/>
              <w:rPr>
                <w:rFonts w:asciiTheme="majorHAnsi" w:hAnsiTheme="majorHAnsi"/>
                <w:sz w:val="16"/>
                <w:szCs w:val="16"/>
              </w:rPr>
            </w:pPr>
            <w:r>
              <w:rPr>
                <w:rFonts w:asciiTheme="majorHAnsi" w:hAnsiTheme="majorHAnsi"/>
                <w:sz w:val="16"/>
                <w:szCs w:val="16"/>
              </w:rPr>
              <w:t>MNRET</w:t>
            </w:r>
          </w:p>
        </w:tc>
        <w:tc>
          <w:tcPr>
            <w:tcW w:w="610" w:type="dxa"/>
          </w:tcPr>
          <w:p w14:paraId="44142436" w14:textId="77777777" w:rsidR="00375AE8" w:rsidRPr="00F04D18" w:rsidRDefault="00375AE8" w:rsidP="00F04D18">
            <w:pPr>
              <w:jc w:val="center"/>
              <w:rPr>
                <w:rFonts w:asciiTheme="majorHAnsi" w:hAnsiTheme="majorHAnsi"/>
                <w:sz w:val="16"/>
                <w:szCs w:val="16"/>
              </w:rPr>
            </w:pPr>
          </w:p>
        </w:tc>
        <w:tc>
          <w:tcPr>
            <w:tcW w:w="645" w:type="dxa"/>
          </w:tcPr>
          <w:p w14:paraId="53BDF74B" w14:textId="77777777" w:rsidR="00375AE8" w:rsidRPr="00F04D18" w:rsidRDefault="00375AE8" w:rsidP="00F04D18">
            <w:pPr>
              <w:jc w:val="center"/>
              <w:rPr>
                <w:rFonts w:asciiTheme="majorHAnsi" w:hAnsiTheme="majorHAnsi"/>
                <w:sz w:val="16"/>
                <w:szCs w:val="16"/>
              </w:rPr>
            </w:pPr>
          </w:p>
        </w:tc>
        <w:tc>
          <w:tcPr>
            <w:tcW w:w="690" w:type="dxa"/>
          </w:tcPr>
          <w:p w14:paraId="39C4E39E" w14:textId="77777777" w:rsidR="00375AE8" w:rsidRPr="00F04D18" w:rsidRDefault="00375AE8" w:rsidP="00F04D18">
            <w:pPr>
              <w:jc w:val="center"/>
              <w:rPr>
                <w:rFonts w:asciiTheme="majorHAnsi" w:hAnsiTheme="majorHAnsi"/>
                <w:sz w:val="16"/>
                <w:szCs w:val="16"/>
              </w:rPr>
            </w:pPr>
          </w:p>
        </w:tc>
        <w:tc>
          <w:tcPr>
            <w:tcW w:w="587" w:type="dxa"/>
            <w:shd w:val="clear" w:color="auto" w:fill="FBD4B4" w:themeFill="accent6" w:themeFillTint="66"/>
          </w:tcPr>
          <w:p w14:paraId="515D0967" w14:textId="77777777" w:rsidR="00375AE8" w:rsidRPr="00F04D18" w:rsidRDefault="00375AE8" w:rsidP="00F04D18">
            <w:pPr>
              <w:jc w:val="center"/>
              <w:rPr>
                <w:rFonts w:asciiTheme="majorHAnsi" w:hAnsiTheme="majorHAnsi"/>
                <w:sz w:val="16"/>
                <w:szCs w:val="16"/>
              </w:rPr>
            </w:pPr>
          </w:p>
        </w:tc>
        <w:tc>
          <w:tcPr>
            <w:tcW w:w="690" w:type="dxa"/>
          </w:tcPr>
          <w:p w14:paraId="793E888F" w14:textId="77777777" w:rsidR="00375AE8" w:rsidRPr="00F04D18" w:rsidRDefault="00375AE8" w:rsidP="00F04D18">
            <w:pPr>
              <w:jc w:val="center"/>
              <w:rPr>
                <w:rFonts w:asciiTheme="majorHAnsi" w:hAnsiTheme="majorHAnsi"/>
                <w:sz w:val="16"/>
                <w:szCs w:val="16"/>
              </w:rPr>
            </w:pPr>
          </w:p>
        </w:tc>
        <w:tc>
          <w:tcPr>
            <w:tcW w:w="540" w:type="dxa"/>
            <w:shd w:val="clear" w:color="auto" w:fill="FBD4B4" w:themeFill="accent6" w:themeFillTint="66"/>
          </w:tcPr>
          <w:p w14:paraId="6F09D57A" w14:textId="77777777" w:rsidR="00375AE8" w:rsidRPr="00F04D18" w:rsidRDefault="00375AE8" w:rsidP="00F04D18">
            <w:pPr>
              <w:jc w:val="center"/>
              <w:rPr>
                <w:rFonts w:asciiTheme="majorHAnsi" w:hAnsiTheme="majorHAnsi"/>
                <w:sz w:val="16"/>
                <w:szCs w:val="16"/>
              </w:rPr>
            </w:pPr>
          </w:p>
        </w:tc>
        <w:tc>
          <w:tcPr>
            <w:tcW w:w="690" w:type="dxa"/>
          </w:tcPr>
          <w:p w14:paraId="674F8927" w14:textId="77777777" w:rsidR="00375AE8" w:rsidRPr="00F04D18" w:rsidRDefault="00375AE8" w:rsidP="00F04D18">
            <w:pPr>
              <w:jc w:val="center"/>
              <w:rPr>
                <w:rFonts w:asciiTheme="majorHAnsi" w:hAnsiTheme="majorHAnsi"/>
                <w:sz w:val="16"/>
                <w:szCs w:val="16"/>
              </w:rPr>
            </w:pPr>
          </w:p>
        </w:tc>
        <w:tc>
          <w:tcPr>
            <w:tcW w:w="534" w:type="dxa"/>
            <w:shd w:val="clear" w:color="auto" w:fill="FBD4B4" w:themeFill="accent6" w:themeFillTint="66"/>
          </w:tcPr>
          <w:p w14:paraId="714D834B" w14:textId="77777777" w:rsidR="00375AE8" w:rsidRPr="00F04D18" w:rsidRDefault="00375AE8" w:rsidP="00F04D18">
            <w:pPr>
              <w:jc w:val="center"/>
              <w:rPr>
                <w:rFonts w:asciiTheme="majorHAnsi" w:hAnsiTheme="majorHAnsi"/>
                <w:sz w:val="16"/>
                <w:szCs w:val="16"/>
              </w:rPr>
            </w:pPr>
          </w:p>
        </w:tc>
        <w:tc>
          <w:tcPr>
            <w:tcW w:w="690" w:type="dxa"/>
          </w:tcPr>
          <w:p w14:paraId="45B2C430" w14:textId="77777777" w:rsidR="00375AE8" w:rsidRPr="00F04D18" w:rsidRDefault="00375AE8" w:rsidP="00F04D18">
            <w:pPr>
              <w:jc w:val="center"/>
              <w:rPr>
                <w:rFonts w:asciiTheme="majorHAnsi" w:hAnsiTheme="majorHAnsi"/>
                <w:sz w:val="16"/>
                <w:szCs w:val="16"/>
              </w:rPr>
            </w:pPr>
          </w:p>
        </w:tc>
        <w:tc>
          <w:tcPr>
            <w:tcW w:w="516" w:type="dxa"/>
            <w:shd w:val="clear" w:color="auto" w:fill="FBD4B4" w:themeFill="accent6" w:themeFillTint="66"/>
          </w:tcPr>
          <w:p w14:paraId="761D4DA9" w14:textId="77777777" w:rsidR="00375AE8" w:rsidRPr="00F04D18" w:rsidRDefault="00375AE8" w:rsidP="00F04D18">
            <w:pPr>
              <w:jc w:val="center"/>
              <w:rPr>
                <w:rFonts w:asciiTheme="majorHAnsi" w:hAnsiTheme="majorHAnsi"/>
                <w:sz w:val="16"/>
                <w:szCs w:val="16"/>
              </w:rPr>
            </w:pPr>
          </w:p>
        </w:tc>
        <w:tc>
          <w:tcPr>
            <w:tcW w:w="690" w:type="dxa"/>
          </w:tcPr>
          <w:p w14:paraId="5D393FA2" w14:textId="77777777" w:rsidR="00375AE8" w:rsidRPr="00F04D18" w:rsidRDefault="00375AE8" w:rsidP="00F04D18">
            <w:pPr>
              <w:jc w:val="center"/>
              <w:rPr>
                <w:rFonts w:asciiTheme="majorHAnsi" w:hAnsiTheme="majorHAnsi"/>
                <w:sz w:val="16"/>
                <w:szCs w:val="16"/>
              </w:rPr>
            </w:pPr>
          </w:p>
        </w:tc>
        <w:tc>
          <w:tcPr>
            <w:tcW w:w="513" w:type="dxa"/>
            <w:shd w:val="clear" w:color="auto" w:fill="FBD4B4" w:themeFill="accent6" w:themeFillTint="66"/>
          </w:tcPr>
          <w:p w14:paraId="784B11C6" w14:textId="77777777" w:rsidR="00375AE8" w:rsidRPr="00F04D18" w:rsidRDefault="00375AE8" w:rsidP="00F04D18">
            <w:pPr>
              <w:jc w:val="center"/>
              <w:rPr>
                <w:rFonts w:asciiTheme="majorHAnsi" w:hAnsiTheme="majorHAnsi"/>
                <w:sz w:val="16"/>
                <w:szCs w:val="16"/>
              </w:rPr>
            </w:pPr>
          </w:p>
        </w:tc>
        <w:tc>
          <w:tcPr>
            <w:tcW w:w="690" w:type="dxa"/>
          </w:tcPr>
          <w:p w14:paraId="72F5D6A8" w14:textId="77777777" w:rsidR="00375AE8" w:rsidRPr="00F04D18" w:rsidRDefault="00375AE8" w:rsidP="00F04D18">
            <w:pPr>
              <w:jc w:val="center"/>
              <w:rPr>
                <w:rFonts w:asciiTheme="majorHAnsi" w:hAnsiTheme="majorHAnsi"/>
                <w:sz w:val="16"/>
                <w:szCs w:val="16"/>
              </w:rPr>
            </w:pPr>
          </w:p>
        </w:tc>
      </w:tr>
      <w:tr w:rsidR="00375AE8" w14:paraId="2D6812F2" w14:textId="77777777" w:rsidTr="0037719F">
        <w:tc>
          <w:tcPr>
            <w:tcW w:w="1441" w:type="dxa"/>
            <w:vMerge w:val="restart"/>
          </w:tcPr>
          <w:p w14:paraId="0D7A3BFF" w14:textId="71F6AF95" w:rsidR="00375AE8" w:rsidRPr="00F04D18" w:rsidRDefault="00375AE8" w:rsidP="00F04D18">
            <w:pPr>
              <w:jc w:val="center"/>
              <w:rPr>
                <w:rFonts w:asciiTheme="majorHAnsi" w:hAnsiTheme="majorHAnsi"/>
                <w:sz w:val="16"/>
                <w:szCs w:val="16"/>
              </w:rPr>
            </w:pPr>
            <w:r>
              <w:rPr>
                <w:rFonts w:asciiTheme="majorHAnsi" w:hAnsiTheme="majorHAnsi"/>
                <w:sz w:val="16"/>
                <w:szCs w:val="16"/>
              </w:rPr>
              <w:t>Monitoring and evaluation</w:t>
            </w:r>
          </w:p>
        </w:tc>
        <w:tc>
          <w:tcPr>
            <w:tcW w:w="1367" w:type="dxa"/>
            <w:vMerge w:val="restart"/>
          </w:tcPr>
          <w:p w14:paraId="255C663A" w14:textId="77777777" w:rsidR="00375AE8" w:rsidRPr="00F04D18" w:rsidRDefault="00375AE8" w:rsidP="00F04D18">
            <w:pPr>
              <w:jc w:val="center"/>
              <w:rPr>
                <w:rFonts w:asciiTheme="majorHAnsi" w:hAnsiTheme="majorHAnsi"/>
                <w:sz w:val="16"/>
                <w:szCs w:val="16"/>
              </w:rPr>
            </w:pPr>
          </w:p>
        </w:tc>
        <w:tc>
          <w:tcPr>
            <w:tcW w:w="2414" w:type="dxa"/>
          </w:tcPr>
          <w:p w14:paraId="64CA8893" w14:textId="1FBADC18" w:rsidR="00375AE8" w:rsidRPr="00F04D18" w:rsidRDefault="00375AE8" w:rsidP="00F04D18">
            <w:pPr>
              <w:jc w:val="center"/>
              <w:rPr>
                <w:rFonts w:asciiTheme="majorHAnsi" w:hAnsiTheme="majorHAnsi"/>
                <w:sz w:val="16"/>
                <w:szCs w:val="16"/>
              </w:rPr>
            </w:pPr>
            <w:r>
              <w:rPr>
                <w:rFonts w:asciiTheme="majorHAnsi" w:hAnsiTheme="majorHAnsi"/>
                <w:sz w:val="16"/>
                <w:szCs w:val="16"/>
              </w:rPr>
              <w:t>Inception workshop</w:t>
            </w:r>
          </w:p>
        </w:tc>
        <w:tc>
          <w:tcPr>
            <w:tcW w:w="1309" w:type="dxa"/>
          </w:tcPr>
          <w:p w14:paraId="48E65082" w14:textId="086025CB" w:rsidR="00375AE8" w:rsidRPr="00F04D18" w:rsidRDefault="00375AE8" w:rsidP="00F04D18">
            <w:pPr>
              <w:jc w:val="center"/>
              <w:rPr>
                <w:rFonts w:asciiTheme="majorHAnsi" w:hAnsiTheme="majorHAnsi"/>
                <w:sz w:val="16"/>
                <w:szCs w:val="16"/>
              </w:rPr>
            </w:pPr>
            <w:r>
              <w:rPr>
                <w:rFonts w:asciiTheme="majorHAnsi" w:hAnsiTheme="majorHAnsi"/>
                <w:sz w:val="16"/>
                <w:szCs w:val="16"/>
              </w:rPr>
              <w:t>MNRET</w:t>
            </w:r>
          </w:p>
        </w:tc>
        <w:tc>
          <w:tcPr>
            <w:tcW w:w="610" w:type="dxa"/>
          </w:tcPr>
          <w:p w14:paraId="46AB74A7" w14:textId="77777777" w:rsidR="00375AE8" w:rsidRPr="00F04D18" w:rsidRDefault="00375AE8" w:rsidP="00F04D18">
            <w:pPr>
              <w:jc w:val="center"/>
              <w:rPr>
                <w:rFonts w:asciiTheme="majorHAnsi" w:hAnsiTheme="majorHAnsi"/>
                <w:sz w:val="16"/>
                <w:szCs w:val="16"/>
              </w:rPr>
            </w:pPr>
          </w:p>
        </w:tc>
        <w:tc>
          <w:tcPr>
            <w:tcW w:w="645" w:type="dxa"/>
            <w:shd w:val="clear" w:color="auto" w:fill="FBD4B4" w:themeFill="accent6" w:themeFillTint="66"/>
          </w:tcPr>
          <w:p w14:paraId="3AA6F3F3" w14:textId="77777777" w:rsidR="00375AE8" w:rsidRPr="00F04D18" w:rsidRDefault="00375AE8" w:rsidP="00F04D18">
            <w:pPr>
              <w:jc w:val="center"/>
              <w:rPr>
                <w:rFonts w:asciiTheme="majorHAnsi" w:hAnsiTheme="majorHAnsi"/>
                <w:sz w:val="16"/>
                <w:szCs w:val="16"/>
              </w:rPr>
            </w:pPr>
          </w:p>
        </w:tc>
        <w:tc>
          <w:tcPr>
            <w:tcW w:w="690" w:type="dxa"/>
          </w:tcPr>
          <w:p w14:paraId="31E97D7B" w14:textId="77777777" w:rsidR="00375AE8" w:rsidRPr="00F04D18" w:rsidRDefault="00375AE8" w:rsidP="00F04D18">
            <w:pPr>
              <w:jc w:val="center"/>
              <w:rPr>
                <w:rFonts w:asciiTheme="majorHAnsi" w:hAnsiTheme="majorHAnsi"/>
                <w:sz w:val="16"/>
                <w:szCs w:val="16"/>
              </w:rPr>
            </w:pPr>
          </w:p>
        </w:tc>
        <w:tc>
          <w:tcPr>
            <w:tcW w:w="587" w:type="dxa"/>
          </w:tcPr>
          <w:p w14:paraId="657FA71B" w14:textId="77777777" w:rsidR="00375AE8" w:rsidRPr="00F04D18" w:rsidRDefault="00375AE8" w:rsidP="00F04D18">
            <w:pPr>
              <w:jc w:val="center"/>
              <w:rPr>
                <w:rFonts w:asciiTheme="majorHAnsi" w:hAnsiTheme="majorHAnsi"/>
                <w:sz w:val="16"/>
                <w:szCs w:val="16"/>
              </w:rPr>
            </w:pPr>
          </w:p>
        </w:tc>
        <w:tc>
          <w:tcPr>
            <w:tcW w:w="690" w:type="dxa"/>
          </w:tcPr>
          <w:p w14:paraId="6D3AA553" w14:textId="77777777" w:rsidR="00375AE8" w:rsidRPr="00F04D18" w:rsidRDefault="00375AE8" w:rsidP="00F04D18">
            <w:pPr>
              <w:jc w:val="center"/>
              <w:rPr>
                <w:rFonts w:asciiTheme="majorHAnsi" w:hAnsiTheme="majorHAnsi"/>
                <w:sz w:val="16"/>
                <w:szCs w:val="16"/>
              </w:rPr>
            </w:pPr>
          </w:p>
        </w:tc>
        <w:tc>
          <w:tcPr>
            <w:tcW w:w="540" w:type="dxa"/>
          </w:tcPr>
          <w:p w14:paraId="7DE55E47" w14:textId="77777777" w:rsidR="00375AE8" w:rsidRPr="00F04D18" w:rsidRDefault="00375AE8" w:rsidP="00F04D18">
            <w:pPr>
              <w:jc w:val="center"/>
              <w:rPr>
                <w:rFonts w:asciiTheme="majorHAnsi" w:hAnsiTheme="majorHAnsi"/>
                <w:sz w:val="16"/>
                <w:szCs w:val="16"/>
              </w:rPr>
            </w:pPr>
          </w:p>
        </w:tc>
        <w:tc>
          <w:tcPr>
            <w:tcW w:w="690" w:type="dxa"/>
          </w:tcPr>
          <w:p w14:paraId="635ED72E" w14:textId="77777777" w:rsidR="00375AE8" w:rsidRPr="00F04D18" w:rsidRDefault="00375AE8" w:rsidP="00F04D18">
            <w:pPr>
              <w:jc w:val="center"/>
              <w:rPr>
                <w:rFonts w:asciiTheme="majorHAnsi" w:hAnsiTheme="majorHAnsi"/>
                <w:sz w:val="16"/>
                <w:szCs w:val="16"/>
              </w:rPr>
            </w:pPr>
          </w:p>
        </w:tc>
        <w:tc>
          <w:tcPr>
            <w:tcW w:w="534" w:type="dxa"/>
          </w:tcPr>
          <w:p w14:paraId="4871F69F" w14:textId="77777777" w:rsidR="00375AE8" w:rsidRPr="00F04D18" w:rsidRDefault="00375AE8" w:rsidP="00F04D18">
            <w:pPr>
              <w:jc w:val="center"/>
              <w:rPr>
                <w:rFonts w:asciiTheme="majorHAnsi" w:hAnsiTheme="majorHAnsi"/>
                <w:sz w:val="16"/>
                <w:szCs w:val="16"/>
              </w:rPr>
            </w:pPr>
          </w:p>
        </w:tc>
        <w:tc>
          <w:tcPr>
            <w:tcW w:w="690" w:type="dxa"/>
          </w:tcPr>
          <w:p w14:paraId="570F15B7" w14:textId="77777777" w:rsidR="00375AE8" w:rsidRPr="00F04D18" w:rsidRDefault="00375AE8" w:rsidP="00F04D18">
            <w:pPr>
              <w:jc w:val="center"/>
              <w:rPr>
                <w:rFonts w:asciiTheme="majorHAnsi" w:hAnsiTheme="majorHAnsi"/>
                <w:sz w:val="16"/>
                <w:szCs w:val="16"/>
              </w:rPr>
            </w:pPr>
          </w:p>
        </w:tc>
        <w:tc>
          <w:tcPr>
            <w:tcW w:w="516" w:type="dxa"/>
          </w:tcPr>
          <w:p w14:paraId="78C0F328" w14:textId="77777777" w:rsidR="00375AE8" w:rsidRPr="00F04D18" w:rsidRDefault="00375AE8" w:rsidP="00F04D18">
            <w:pPr>
              <w:jc w:val="center"/>
              <w:rPr>
                <w:rFonts w:asciiTheme="majorHAnsi" w:hAnsiTheme="majorHAnsi"/>
                <w:sz w:val="16"/>
                <w:szCs w:val="16"/>
              </w:rPr>
            </w:pPr>
          </w:p>
        </w:tc>
        <w:tc>
          <w:tcPr>
            <w:tcW w:w="690" w:type="dxa"/>
          </w:tcPr>
          <w:p w14:paraId="1D3D3208" w14:textId="77777777" w:rsidR="00375AE8" w:rsidRPr="00F04D18" w:rsidRDefault="00375AE8" w:rsidP="00F04D18">
            <w:pPr>
              <w:jc w:val="center"/>
              <w:rPr>
                <w:rFonts w:asciiTheme="majorHAnsi" w:hAnsiTheme="majorHAnsi"/>
                <w:sz w:val="16"/>
                <w:szCs w:val="16"/>
              </w:rPr>
            </w:pPr>
          </w:p>
        </w:tc>
        <w:tc>
          <w:tcPr>
            <w:tcW w:w="513" w:type="dxa"/>
          </w:tcPr>
          <w:p w14:paraId="4FB510FB" w14:textId="77777777" w:rsidR="00375AE8" w:rsidRPr="00F04D18" w:rsidRDefault="00375AE8" w:rsidP="00F04D18">
            <w:pPr>
              <w:jc w:val="center"/>
              <w:rPr>
                <w:rFonts w:asciiTheme="majorHAnsi" w:hAnsiTheme="majorHAnsi"/>
                <w:sz w:val="16"/>
                <w:szCs w:val="16"/>
              </w:rPr>
            </w:pPr>
          </w:p>
        </w:tc>
        <w:tc>
          <w:tcPr>
            <w:tcW w:w="690" w:type="dxa"/>
          </w:tcPr>
          <w:p w14:paraId="7059503C" w14:textId="77777777" w:rsidR="00375AE8" w:rsidRPr="00F04D18" w:rsidRDefault="00375AE8" w:rsidP="00F04D18">
            <w:pPr>
              <w:jc w:val="center"/>
              <w:rPr>
                <w:rFonts w:asciiTheme="majorHAnsi" w:hAnsiTheme="majorHAnsi"/>
                <w:sz w:val="16"/>
                <w:szCs w:val="16"/>
              </w:rPr>
            </w:pPr>
          </w:p>
        </w:tc>
      </w:tr>
      <w:tr w:rsidR="00375AE8" w14:paraId="3A59D556" w14:textId="77777777" w:rsidTr="0037719F">
        <w:tc>
          <w:tcPr>
            <w:tcW w:w="1441" w:type="dxa"/>
            <w:vMerge/>
          </w:tcPr>
          <w:p w14:paraId="2859648C" w14:textId="77777777" w:rsidR="00375AE8" w:rsidRPr="00F04D18" w:rsidRDefault="00375AE8" w:rsidP="00F04D18">
            <w:pPr>
              <w:jc w:val="center"/>
              <w:rPr>
                <w:rFonts w:asciiTheme="majorHAnsi" w:hAnsiTheme="majorHAnsi"/>
                <w:sz w:val="16"/>
                <w:szCs w:val="16"/>
              </w:rPr>
            </w:pPr>
          </w:p>
        </w:tc>
        <w:tc>
          <w:tcPr>
            <w:tcW w:w="1367" w:type="dxa"/>
            <w:vMerge/>
          </w:tcPr>
          <w:p w14:paraId="087326FB" w14:textId="77777777" w:rsidR="00375AE8" w:rsidRPr="00F04D18" w:rsidRDefault="00375AE8" w:rsidP="00F04D18">
            <w:pPr>
              <w:jc w:val="center"/>
              <w:rPr>
                <w:rFonts w:asciiTheme="majorHAnsi" w:hAnsiTheme="majorHAnsi"/>
                <w:sz w:val="16"/>
                <w:szCs w:val="16"/>
              </w:rPr>
            </w:pPr>
          </w:p>
        </w:tc>
        <w:tc>
          <w:tcPr>
            <w:tcW w:w="2414" w:type="dxa"/>
          </w:tcPr>
          <w:p w14:paraId="44AB0FAC" w14:textId="5E9A4D06" w:rsidR="00375AE8" w:rsidRPr="00F04D18" w:rsidRDefault="00375AE8" w:rsidP="00F04D18">
            <w:pPr>
              <w:jc w:val="center"/>
              <w:rPr>
                <w:rFonts w:asciiTheme="majorHAnsi" w:hAnsiTheme="majorHAnsi"/>
                <w:sz w:val="16"/>
                <w:szCs w:val="16"/>
              </w:rPr>
            </w:pPr>
            <w:r>
              <w:rPr>
                <w:rFonts w:asciiTheme="majorHAnsi" w:hAnsiTheme="majorHAnsi"/>
                <w:sz w:val="16"/>
                <w:szCs w:val="16"/>
              </w:rPr>
              <w:t>Tracking indicators</w:t>
            </w:r>
          </w:p>
        </w:tc>
        <w:tc>
          <w:tcPr>
            <w:tcW w:w="1309" w:type="dxa"/>
          </w:tcPr>
          <w:p w14:paraId="718524EE" w14:textId="6B969F81" w:rsidR="00375AE8" w:rsidRPr="00F04D18" w:rsidRDefault="00375AE8" w:rsidP="00F04D18">
            <w:pPr>
              <w:jc w:val="center"/>
              <w:rPr>
                <w:rFonts w:asciiTheme="majorHAnsi" w:hAnsiTheme="majorHAnsi"/>
                <w:sz w:val="16"/>
                <w:szCs w:val="16"/>
              </w:rPr>
            </w:pPr>
            <w:r>
              <w:rPr>
                <w:rFonts w:asciiTheme="majorHAnsi" w:hAnsiTheme="majorHAnsi"/>
                <w:sz w:val="16"/>
                <w:szCs w:val="16"/>
              </w:rPr>
              <w:t>MNRET</w:t>
            </w:r>
          </w:p>
        </w:tc>
        <w:tc>
          <w:tcPr>
            <w:tcW w:w="610" w:type="dxa"/>
          </w:tcPr>
          <w:p w14:paraId="1BE6AA6F" w14:textId="77777777" w:rsidR="00375AE8" w:rsidRPr="00F04D18" w:rsidRDefault="00375AE8" w:rsidP="00F04D18">
            <w:pPr>
              <w:jc w:val="center"/>
              <w:rPr>
                <w:rFonts w:asciiTheme="majorHAnsi" w:hAnsiTheme="majorHAnsi"/>
                <w:sz w:val="16"/>
                <w:szCs w:val="16"/>
              </w:rPr>
            </w:pPr>
          </w:p>
        </w:tc>
        <w:tc>
          <w:tcPr>
            <w:tcW w:w="645" w:type="dxa"/>
            <w:shd w:val="clear" w:color="auto" w:fill="FBD4B4" w:themeFill="accent6" w:themeFillTint="66"/>
          </w:tcPr>
          <w:p w14:paraId="7B25346B"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5D58F3BE" w14:textId="77777777" w:rsidR="00375AE8" w:rsidRPr="00F04D18" w:rsidRDefault="00375AE8" w:rsidP="00F04D18">
            <w:pPr>
              <w:jc w:val="center"/>
              <w:rPr>
                <w:rFonts w:asciiTheme="majorHAnsi" w:hAnsiTheme="majorHAnsi"/>
                <w:sz w:val="16"/>
                <w:szCs w:val="16"/>
              </w:rPr>
            </w:pPr>
          </w:p>
        </w:tc>
        <w:tc>
          <w:tcPr>
            <w:tcW w:w="587" w:type="dxa"/>
            <w:shd w:val="clear" w:color="auto" w:fill="FBD4B4" w:themeFill="accent6" w:themeFillTint="66"/>
          </w:tcPr>
          <w:p w14:paraId="388B9811"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5E55880F" w14:textId="77777777" w:rsidR="00375AE8" w:rsidRPr="00F04D18" w:rsidRDefault="00375AE8" w:rsidP="00F04D18">
            <w:pPr>
              <w:jc w:val="center"/>
              <w:rPr>
                <w:rFonts w:asciiTheme="majorHAnsi" w:hAnsiTheme="majorHAnsi"/>
                <w:sz w:val="16"/>
                <w:szCs w:val="16"/>
              </w:rPr>
            </w:pPr>
          </w:p>
        </w:tc>
        <w:tc>
          <w:tcPr>
            <w:tcW w:w="540" w:type="dxa"/>
            <w:shd w:val="clear" w:color="auto" w:fill="FBD4B4" w:themeFill="accent6" w:themeFillTint="66"/>
          </w:tcPr>
          <w:p w14:paraId="12519705"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5F1B600C" w14:textId="77777777" w:rsidR="00375AE8" w:rsidRPr="00F04D18" w:rsidRDefault="00375AE8" w:rsidP="00F04D18">
            <w:pPr>
              <w:jc w:val="center"/>
              <w:rPr>
                <w:rFonts w:asciiTheme="majorHAnsi" w:hAnsiTheme="majorHAnsi"/>
                <w:sz w:val="16"/>
                <w:szCs w:val="16"/>
              </w:rPr>
            </w:pPr>
          </w:p>
        </w:tc>
        <w:tc>
          <w:tcPr>
            <w:tcW w:w="534" w:type="dxa"/>
            <w:shd w:val="clear" w:color="auto" w:fill="FBD4B4" w:themeFill="accent6" w:themeFillTint="66"/>
          </w:tcPr>
          <w:p w14:paraId="3840A645"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23376CDA" w14:textId="77777777" w:rsidR="00375AE8" w:rsidRPr="00F04D18" w:rsidRDefault="00375AE8" w:rsidP="00F04D18">
            <w:pPr>
              <w:jc w:val="center"/>
              <w:rPr>
                <w:rFonts w:asciiTheme="majorHAnsi" w:hAnsiTheme="majorHAnsi"/>
                <w:sz w:val="16"/>
                <w:szCs w:val="16"/>
              </w:rPr>
            </w:pPr>
          </w:p>
        </w:tc>
        <w:tc>
          <w:tcPr>
            <w:tcW w:w="516" w:type="dxa"/>
            <w:shd w:val="clear" w:color="auto" w:fill="FBD4B4" w:themeFill="accent6" w:themeFillTint="66"/>
          </w:tcPr>
          <w:p w14:paraId="20579B1F"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5BE6C961" w14:textId="77777777" w:rsidR="00375AE8" w:rsidRPr="00F04D18" w:rsidRDefault="00375AE8" w:rsidP="00F04D18">
            <w:pPr>
              <w:jc w:val="center"/>
              <w:rPr>
                <w:rFonts w:asciiTheme="majorHAnsi" w:hAnsiTheme="majorHAnsi"/>
                <w:sz w:val="16"/>
                <w:szCs w:val="16"/>
              </w:rPr>
            </w:pPr>
          </w:p>
        </w:tc>
        <w:tc>
          <w:tcPr>
            <w:tcW w:w="513" w:type="dxa"/>
            <w:shd w:val="clear" w:color="auto" w:fill="FBD4B4" w:themeFill="accent6" w:themeFillTint="66"/>
          </w:tcPr>
          <w:p w14:paraId="3FC87544"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0847822E" w14:textId="77777777" w:rsidR="00375AE8" w:rsidRPr="00F04D18" w:rsidRDefault="00375AE8" w:rsidP="00F04D18">
            <w:pPr>
              <w:jc w:val="center"/>
              <w:rPr>
                <w:rFonts w:asciiTheme="majorHAnsi" w:hAnsiTheme="majorHAnsi"/>
                <w:sz w:val="16"/>
                <w:szCs w:val="16"/>
              </w:rPr>
            </w:pPr>
          </w:p>
        </w:tc>
      </w:tr>
      <w:tr w:rsidR="00375AE8" w14:paraId="3781F9CF" w14:textId="77777777" w:rsidTr="0037719F">
        <w:tc>
          <w:tcPr>
            <w:tcW w:w="1441" w:type="dxa"/>
            <w:vMerge/>
          </w:tcPr>
          <w:p w14:paraId="235A07AE" w14:textId="77777777" w:rsidR="00375AE8" w:rsidRPr="00F04D18" w:rsidRDefault="00375AE8" w:rsidP="00F04D18">
            <w:pPr>
              <w:jc w:val="center"/>
              <w:rPr>
                <w:rFonts w:asciiTheme="majorHAnsi" w:hAnsiTheme="majorHAnsi"/>
                <w:sz w:val="16"/>
                <w:szCs w:val="16"/>
              </w:rPr>
            </w:pPr>
          </w:p>
        </w:tc>
        <w:tc>
          <w:tcPr>
            <w:tcW w:w="1367" w:type="dxa"/>
            <w:vMerge/>
          </w:tcPr>
          <w:p w14:paraId="4FE563F8" w14:textId="77777777" w:rsidR="00375AE8" w:rsidRPr="00F04D18" w:rsidRDefault="00375AE8" w:rsidP="00F04D18">
            <w:pPr>
              <w:jc w:val="center"/>
              <w:rPr>
                <w:rFonts w:asciiTheme="majorHAnsi" w:hAnsiTheme="majorHAnsi"/>
                <w:sz w:val="16"/>
                <w:szCs w:val="16"/>
              </w:rPr>
            </w:pPr>
          </w:p>
        </w:tc>
        <w:tc>
          <w:tcPr>
            <w:tcW w:w="2414" w:type="dxa"/>
          </w:tcPr>
          <w:p w14:paraId="2E38FF0E" w14:textId="131F8142" w:rsidR="00375AE8" w:rsidRPr="00F04D18" w:rsidRDefault="00375AE8" w:rsidP="00F04D18">
            <w:pPr>
              <w:jc w:val="center"/>
              <w:rPr>
                <w:rFonts w:asciiTheme="majorHAnsi" w:hAnsiTheme="majorHAnsi"/>
                <w:sz w:val="16"/>
                <w:szCs w:val="16"/>
              </w:rPr>
            </w:pPr>
            <w:r>
              <w:rPr>
                <w:rFonts w:asciiTheme="majorHAnsi" w:hAnsiTheme="majorHAnsi"/>
                <w:sz w:val="16"/>
                <w:szCs w:val="16"/>
              </w:rPr>
              <w:t>NIM Audits</w:t>
            </w:r>
          </w:p>
        </w:tc>
        <w:tc>
          <w:tcPr>
            <w:tcW w:w="1309" w:type="dxa"/>
          </w:tcPr>
          <w:p w14:paraId="5B9D8D62" w14:textId="0C721200" w:rsidR="00375AE8" w:rsidRPr="00F04D18" w:rsidRDefault="00375AE8" w:rsidP="00F04D18">
            <w:pPr>
              <w:jc w:val="center"/>
              <w:rPr>
                <w:rFonts w:asciiTheme="majorHAnsi" w:hAnsiTheme="majorHAnsi"/>
                <w:sz w:val="16"/>
                <w:szCs w:val="16"/>
              </w:rPr>
            </w:pPr>
            <w:r>
              <w:rPr>
                <w:rFonts w:asciiTheme="majorHAnsi" w:hAnsiTheme="majorHAnsi"/>
                <w:sz w:val="16"/>
                <w:szCs w:val="16"/>
              </w:rPr>
              <w:t>MNRET</w:t>
            </w:r>
          </w:p>
        </w:tc>
        <w:tc>
          <w:tcPr>
            <w:tcW w:w="610" w:type="dxa"/>
          </w:tcPr>
          <w:p w14:paraId="4645C583" w14:textId="77777777" w:rsidR="00375AE8" w:rsidRPr="00F04D18" w:rsidRDefault="00375AE8" w:rsidP="00F04D18">
            <w:pPr>
              <w:jc w:val="center"/>
              <w:rPr>
                <w:rFonts w:asciiTheme="majorHAnsi" w:hAnsiTheme="majorHAnsi"/>
                <w:sz w:val="16"/>
                <w:szCs w:val="16"/>
              </w:rPr>
            </w:pPr>
          </w:p>
        </w:tc>
        <w:tc>
          <w:tcPr>
            <w:tcW w:w="645" w:type="dxa"/>
          </w:tcPr>
          <w:p w14:paraId="7DB7156B"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73BD9A1C" w14:textId="77777777" w:rsidR="00375AE8" w:rsidRPr="00F04D18" w:rsidRDefault="00375AE8" w:rsidP="00F04D18">
            <w:pPr>
              <w:jc w:val="center"/>
              <w:rPr>
                <w:rFonts w:asciiTheme="majorHAnsi" w:hAnsiTheme="majorHAnsi"/>
                <w:sz w:val="16"/>
                <w:szCs w:val="16"/>
              </w:rPr>
            </w:pPr>
          </w:p>
        </w:tc>
        <w:tc>
          <w:tcPr>
            <w:tcW w:w="587" w:type="dxa"/>
          </w:tcPr>
          <w:p w14:paraId="4BCE2845"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3EEBC1E6" w14:textId="77777777" w:rsidR="00375AE8" w:rsidRPr="00F04D18" w:rsidRDefault="00375AE8" w:rsidP="00F04D18">
            <w:pPr>
              <w:jc w:val="center"/>
              <w:rPr>
                <w:rFonts w:asciiTheme="majorHAnsi" w:hAnsiTheme="majorHAnsi"/>
                <w:sz w:val="16"/>
                <w:szCs w:val="16"/>
              </w:rPr>
            </w:pPr>
          </w:p>
        </w:tc>
        <w:tc>
          <w:tcPr>
            <w:tcW w:w="540" w:type="dxa"/>
          </w:tcPr>
          <w:p w14:paraId="757A5E6E"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7285A5E8" w14:textId="77777777" w:rsidR="00375AE8" w:rsidRPr="00F04D18" w:rsidRDefault="00375AE8" w:rsidP="00F04D18">
            <w:pPr>
              <w:jc w:val="center"/>
              <w:rPr>
                <w:rFonts w:asciiTheme="majorHAnsi" w:hAnsiTheme="majorHAnsi"/>
                <w:sz w:val="16"/>
                <w:szCs w:val="16"/>
              </w:rPr>
            </w:pPr>
          </w:p>
        </w:tc>
        <w:tc>
          <w:tcPr>
            <w:tcW w:w="534" w:type="dxa"/>
          </w:tcPr>
          <w:p w14:paraId="0C3AB08B"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42937054" w14:textId="77777777" w:rsidR="00375AE8" w:rsidRPr="00F04D18" w:rsidRDefault="00375AE8" w:rsidP="00F04D18">
            <w:pPr>
              <w:jc w:val="center"/>
              <w:rPr>
                <w:rFonts w:asciiTheme="majorHAnsi" w:hAnsiTheme="majorHAnsi"/>
                <w:sz w:val="16"/>
                <w:szCs w:val="16"/>
              </w:rPr>
            </w:pPr>
          </w:p>
        </w:tc>
        <w:tc>
          <w:tcPr>
            <w:tcW w:w="516" w:type="dxa"/>
          </w:tcPr>
          <w:p w14:paraId="2D492A52"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6AE96387" w14:textId="77777777" w:rsidR="00375AE8" w:rsidRPr="00F04D18" w:rsidRDefault="00375AE8" w:rsidP="00F04D18">
            <w:pPr>
              <w:jc w:val="center"/>
              <w:rPr>
                <w:rFonts w:asciiTheme="majorHAnsi" w:hAnsiTheme="majorHAnsi"/>
                <w:sz w:val="16"/>
                <w:szCs w:val="16"/>
              </w:rPr>
            </w:pPr>
          </w:p>
        </w:tc>
        <w:tc>
          <w:tcPr>
            <w:tcW w:w="513" w:type="dxa"/>
          </w:tcPr>
          <w:p w14:paraId="169C26C9"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7F88A07E" w14:textId="77777777" w:rsidR="00375AE8" w:rsidRPr="00F04D18" w:rsidRDefault="00375AE8" w:rsidP="00F04D18">
            <w:pPr>
              <w:jc w:val="center"/>
              <w:rPr>
                <w:rFonts w:asciiTheme="majorHAnsi" w:hAnsiTheme="majorHAnsi"/>
                <w:sz w:val="16"/>
                <w:szCs w:val="16"/>
              </w:rPr>
            </w:pPr>
          </w:p>
        </w:tc>
      </w:tr>
      <w:tr w:rsidR="00375AE8" w14:paraId="01AB44C0" w14:textId="77777777" w:rsidTr="008F3376">
        <w:trPr>
          <w:trHeight w:val="359"/>
        </w:trPr>
        <w:tc>
          <w:tcPr>
            <w:tcW w:w="1441" w:type="dxa"/>
            <w:vMerge/>
          </w:tcPr>
          <w:p w14:paraId="105953BE" w14:textId="77777777" w:rsidR="00375AE8" w:rsidRPr="00F04D18" w:rsidRDefault="00375AE8" w:rsidP="00F04D18">
            <w:pPr>
              <w:jc w:val="center"/>
              <w:rPr>
                <w:rFonts w:asciiTheme="majorHAnsi" w:hAnsiTheme="majorHAnsi"/>
                <w:sz w:val="16"/>
                <w:szCs w:val="16"/>
              </w:rPr>
            </w:pPr>
          </w:p>
        </w:tc>
        <w:tc>
          <w:tcPr>
            <w:tcW w:w="1367" w:type="dxa"/>
            <w:vMerge/>
          </w:tcPr>
          <w:p w14:paraId="4DEE55D2" w14:textId="77777777" w:rsidR="00375AE8" w:rsidRPr="00F04D18" w:rsidRDefault="00375AE8" w:rsidP="00F04D18">
            <w:pPr>
              <w:jc w:val="center"/>
              <w:rPr>
                <w:rFonts w:asciiTheme="majorHAnsi" w:hAnsiTheme="majorHAnsi"/>
                <w:sz w:val="16"/>
                <w:szCs w:val="16"/>
              </w:rPr>
            </w:pPr>
          </w:p>
        </w:tc>
        <w:tc>
          <w:tcPr>
            <w:tcW w:w="2414" w:type="dxa"/>
          </w:tcPr>
          <w:p w14:paraId="4B5F432A" w14:textId="26BCB58F" w:rsidR="00375AE8" w:rsidRPr="00F04D18" w:rsidRDefault="00375AE8" w:rsidP="00F04D18">
            <w:pPr>
              <w:jc w:val="center"/>
              <w:rPr>
                <w:rFonts w:asciiTheme="majorHAnsi" w:hAnsiTheme="majorHAnsi"/>
                <w:sz w:val="16"/>
                <w:szCs w:val="16"/>
              </w:rPr>
            </w:pPr>
            <w:r>
              <w:rPr>
                <w:rFonts w:asciiTheme="majorHAnsi" w:hAnsiTheme="majorHAnsi"/>
                <w:sz w:val="16"/>
                <w:szCs w:val="16"/>
              </w:rPr>
              <w:t>Board Meetings</w:t>
            </w:r>
          </w:p>
        </w:tc>
        <w:tc>
          <w:tcPr>
            <w:tcW w:w="1309" w:type="dxa"/>
          </w:tcPr>
          <w:p w14:paraId="20A06EFD" w14:textId="0F29407A" w:rsidR="00375AE8" w:rsidRPr="00F04D18" w:rsidRDefault="00375AE8" w:rsidP="00F04D18">
            <w:pPr>
              <w:jc w:val="center"/>
              <w:rPr>
                <w:rFonts w:asciiTheme="majorHAnsi" w:hAnsiTheme="majorHAnsi"/>
                <w:sz w:val="16"/>
                <w:szCs w:val="16"/>
              </w:rPr>
            </w:pPr>
            <w:r>
              <w:rPr>
                <w:rFonts w:asciiTheme="majorHAnsi" w:hAnsiTheme="majorHAnsi"/>
                <w:sz w:val="16"/>
                <w:szCs w:val="16"/>
              </w:rPr>
              <w:t>MNRET</w:t>
            </w:r>
          </w:p>
        </w:tc>
        <w:tc>
          <w:tcPr>
            <w:tcW w:w="610" w:type="dxa"/>
          </w:tcPr>
          <w:p w14:paraId="45CE9363" w14:textId="77777777" w:rsidR="00375AE8" w:rsidRPr="00F04D18" w:rsidRDefault="00375AE8" w:rsidP="00F04D18">
            <w:pPr>
              <w:jc w:val="center"/>
              <w:rPr>
                <w:rFonts w:asciiTheme="majorHAnsi" w:hAnsiTheme="majorHAnsi"/>
                <w:sz w:val="16"/>
                <w:szCs w:val="16"/>
              </w:rPr>
            </w:pPr>
          </w:p>
        </w:tc>
        <w:tc>
          <w:tcPr>
            <w:tcW w:w="645" w:type="dxa"/>
            <w:shd w:val="clear" w:color="auto" w:fill="FBD4B4" w:themeFill="accent6" w:themeFillTint="66"/>
          </w:tcPr>
          <w:p w14:paraId="20F90EA4"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0DB35C9C" w14:textId="77777777" w:rsidR="00375AE8" w:rsidRPr="00F04D18" w:rsidRDefault="00375AE8" w:rsidP="00F04D18">
            <w:pPr>
              <w:jc w:val="center"/>
              <w:rPr>
                <w:rFonts w:asciiTheme="majorHAnsi" w:hAnsiTheme="majorHAnsi"/>
                <w:sz w:val="16"/>
                <w:szCs w:val="16"/>
              </w:rPr>
            </w:pPr>
          </w:p>
        </w:tc>
        <w:tc>
          <w:tcPr>
            <w:tcW w:w="587" w:type="dxa"/>
            <w:shd w:val="clear" w:color="auto" w:fill="FBD4B4" w:themeFill="accent6" w:themeFillTint="66"/>
          </w:tcPr>
          <w:p w14:paraId="34F47489"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21277786" w14:textId="77777777" w:rsidR="00375AE8" w:rsidRPr="00F04D18" w:rsidRDefault="00375AE8" w:rsidP="00F04D18">
            <w:pPr>
              <w:jc w:val="center"/>
              <w:rPr>
                <w:rFonts w:asciiTheme="majorHAnsi" w:hAnsiTheme="majorHAnsi"/>
                <w:sz w:val="16"/>
                <w:szCs w:val="16"/>
              </w:rPr>
            </w:pPr>
          </w:p>
        </w:tc>
        <w:tc>
          <w:tcPr>
            <w:tcW w:w="540" w:type="dxa"/>
            <w:shd w:val="clear" w:color="auto" w:fill="FBD4B4" w:themeFill="accent6" w:themeFillTint="66"/>
          </w:tcPr>
          <w:p w14:paraId="02211BA9"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4B2EDCEA" w14:textId="77777777" w:rsidR="00375AE8" w:rsidRPr="00F04D18" w:rsidRDefault="00375AE8" w:rsidP="00F04D18">
            <w:pPr>
              <w:jc w:val="center"/>
              <w:rPr>
                <w:rFonts w:asciiTheme="majorHAnsi" w:hAnsiTheme="majorHAnsi"/>
                <w:sz w:val="16"/>
                <w:szCs w:val="16"/>
              </w:rPr>
            </w:pPr>
          </w:p>
        </w:tc>
        <w:tc>
          <w:tcPr>
            <w:tcW w:w="534" w:type="dxa"/>
            <w:shd w:val="clear" w:color="auto" w:fill="FBD4B4" w:themeFill="accent6" w:themeFillTint="66"/>
          </w:tcPr>
          <w:p w14:paraId="5FDDD187"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5BBC14B0" w14:textId="77777777" w:rsidR="00375AE8" w:rsidRPr="00F04D18" w:rsidRDefault="00375AE8" w:rsidP="00F04D18">
            <w:pPr>
              <w:jc w:val="center"/>
              <w:rPr>
                <w:rFonts w:asciiTheme="majorHAnsi" w:hAnsiTheme="majorHAnsi"/>
                <w:sz w:val="16"/>
                <w:szCs w:val="16"/>
              </w:rPr>
            </w:pPr>
          </w:p>
        </w:tc>
        <w:tc>
          <w:tcPr>
            <w:tcW w:w="516" w:type="dxa"/>
            <w:shd w:val="clear" w:color="auto" w:fill="FBD4B4" w:themeFill="accent6" w:themeFillTint="66"/>
          </w:tcPr>
          <w:p w14:paraId="59728C50"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1A7DB3E1" w14:textId="77777777" w:rsidR="00375AE8" w:rsidRPr="00F04D18" w:rsidRDefault="00375AE8" w:rsidP="00F04D18">
            <w:pPr>
              <w:jc w:val="center"/>
              <w:rPr>
                <w:rFonts w:asciiTheme="majorHAnsi" w:hAnsiTheme="majorHAnsi"/>
                <w:sz w:val="16"/>
                <w:szCs w:val="16"/>
              </w:rPr>
            </w:pPr>
          </w:p>
        </w:tc>
        <w:tc>
          <w:tcPr>
            <w:tcW w:w="513" w:type="dxa"/>
            <w:shd w:val="clear" w:color="auto" w:fill="FBD4B4" w:themeFill="accent6" w:themeFillTint="66"/>
          </w:tcPr>
          <w:p w14:paraId="636A77E8"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0686EFD4" w14:textId="77777777" w:rsidR="00375AE8" w:rsidRPr="00F04D18" w:rsidRDefault="00375AE8" w:rsidP="00F04D18">
            <w:pPr>
              <w:jc w:val="center"/>
              <w:rPr>
                <w:rFonts w:asciiTheme="majorHAnsi" w:hAnsiTheme="majorHAnsi"/>
                <w:sz w:val="16"/>
                <w:szCs w:val="16"/>
              </w:rPr>
            </w:pPr>
          </w:p>
        </w:tc>
      </w:tr>
      <w:tr w:rsidR="00375AE8" w14:paraId="5CFE1B7A" w14:textId="77777777" w:rsidTr="008F3376">
        <w:tc>
          <w:tcPr>
            <w:tcW w:w="1441" w:type="dxa"/>
            <w:vMerge/>
          </w:tcPr>
          <w:p w14:paraId="22793E16" w14:textId="77777777" w:rsidR="00375AE8" w:rsidRPr="00F04D18" w:rsidRDefault="00375AE8" w:rsidP="00F04D18">
            <w:pPr>
              <w:jc w:val="center"/>
              <w:rPr>
                <w:rFonts w:asciiTheme="majorHAnsi" w:hAnsiTheme="majorHAnsi"/>
                <w:sz w:val="16"/>
                <w:szCs w:val="16"/>
              </w:rPr>
            </w:pPr>
          </w:p>
        </w:tc>
        <w:tc>
          <w:tcPr>
            <w:tcW w:w="1367" w:type="dxa"/>
            <w:vMerge/>
          </w:tcPr>
          <w:p w14:paraId="204F9EA6" w14:textId="77777777" w:rsidR="00375AE8" w:rsidRPr="00F04D18" w:rsidRDefault="00375AE8" w:rsidP="00F04D18">
            <w:pPr>
              <w:jc w:val="center"/>
              <w:rPr>
                <w:rFonts w:asciiTheme="majorHAnsi" w:hAnsiTheme="majorHAnsi"/>
                <w:sz w:val="16"/>
                <w:szCs w:val="16"/>
              </w:rPr>
            </w:pPr>
          </w:p>
        </w:tc>
        <w:tc>
          <w:tcPr>
            <w:tcW w:w="2414" w:type="dxa"/>
          </w:tcPr>
          <w:p w14:paraId="298609D1" w14:textId="308DFF80" w:rsidR="00375AE8" w:rsidRPr="00F04D18" w:rsidRDefault="00375AE8" w:rsidP="00F04D18">
            <w:pPr>
              <w:jc w:val="center"/>
              <w:rPr>
                <w:rFonts w:asciiTheme="majorHAnsi" w:hAnsiTheme="majorHAnsi"/>
                <w:sz w:val="16"/>
                <w:szCs w:val="16"/>
              </w:rPr>
            </w:pPr>
            <w:r>
              <w:rPr>
                <w:rFonts w:asciiTheme="majorHAnsi" w:hAnsiTheme="majorHAnsi"/>
                <w:sz w:val="16"/>
                <w:szCs w:val="16"/>
              </w:rPr>
              <w:t>Mid-Term Review</w:t>
            </w:r>
          </w:p>
        </w:tc>
        <w:tc>
          <w:tcPr>
            <w:tcW w:w="1309" w:type="dxa"/>
          </w:tcPr>
          <w:p w14:paraId="163363A8" w14:textId="7E1D3C0E" w:rsidR="00375AE8" w:rsidRPr="00F04D18" w:rsidRDefault="00375AE8" w:rsidP="00F04D18">
            <w:pPr>
              <w:jc w:val="center"/>
              <w:rPr>
                <w:rFonts w:asciiTheme="majorHAnsi" w:hAnsiTheme="majorHAnsi"/>
                <w:sz w:val="16"/>
                <w:szCs w:val="16"/>
              </w:rPr>
            </w:pPr>
            <w:r>
              <w:rPr>
                <w:rFonts w:asciiTheme="majorHAnsi" w:hAnsiTheme="majorHAnsi"/>
                <w:sz w:val="16"/>
                <w:szCs w:val="16"/>
              </w:rPr>
              <w:t>UNDP</w:t>
            </w:r>
          </w:p>
        </w:tc>
        <w:tc>
          <w:tcPr>
            <w:tcW w:w="610" w:type="dxa"/>
          </w:tcPr>
          <w:p w14:paraId="4C82D782" w14:textId="77777777" w:rsidR="00375AE8" w:rsidRPr="00F04D18" w:rsidRDefault="00375AE8" w:rsidP="00F04D18">
            <w:pPr>
              <w:jc w:val="center"/>
              <w:rPr>
                <w:rFonts w:asciiTheme="majorHAnsi" w:hAnsiTheme="majorHAnsi"/>
                <w:sz w:val="16"/>
                <w:szCs w:val="16"/>
              </w:rPr>
            </w:pPr>
          </w:p>
        </w:tc>
        <w:tc>
          <w:tcPr>
            <w:tcW w:w="645" w:type="dxa"/>
          </w:tcPr>
          <w:p w14:paraId="529267E6" w14:textId="77777777" w:rsidR="00375AE8" w:rsidRPr="00F04D18" w:rsidRDefault="00375AE8" w:rsidP="00F04D18">
            <w:pPr>
              <w:jc w:val="center"/>
              <w:rPr>
                <w:rFonts w:asciiTheme="majorHAnsi" w:hAnsiTheme="majorHAnsi"/>
                <w:sz w:val="16"/>
                <w:szCs w:val="16"/>
              </w:rPr>
            </w:pPr>
          </w:p>
        </w:tc>
        <w:tc>
          <w:tcPr>
            <w:tcW w:w="690" w:type="dxa"/>
          </w:tcPr>
          <w:p w14:paraId="55A8BBF1" w14:textId="77777777" w:rsidR="00375AE8" w:rsidRPr="00F04D18" w:rsidRDefault="00375AE8" w:rsidP="00F04D18">
            <w:pPr>
              <w:jc w:val="center"/>
              <w:rPr>
                <w:rFonts w:asciiTheme="majorHAnsi" w:hAnsiTheme="majorHAnsi"/>
                <w:sz w:val="16"/>
                <w:szCs w:val="16"/>
              </w:rPr>
            </w:pPr>
          </w:p>
        </w:tc>
        <w:tc>
          <w:tcPr>
            <w:tcW w:w="587" w:type="dxa"/>
          </w:tcPr>
          <w:p w14:paraId="453F0124" w14:textId="77777777" w:rsidR="00375AE8" w:rsidRPr="00F04D18" w:rsidRDefault="00375AE8" w:rsidP="00F04D18">
            <w:pPr>
              <w:jc w:val="center"/>
              <w:rPr>
                <w:rFonts w:asciiTheme="majorHAnsi" w:hAnsiTheme="majorHAnsi"/>
                <w:sz w:val="16"/>
                <w:szCs w:val="16"/>
              </w:rPr>
            </w:pPr>
          </w:p>
        </w:tc>
        <w:tc>
          <w:tcPr>
            <w:tcW w:w="690" w:type="dxa"/>
          </w:tcPr>
          <w:p w14:paraId="1D1B8DD5" w14:textId="77777777" w:rsidR="00375AE8" w:rsidRPr="00F04D18" w:rsidRDefault="00375AE8" w:rsidP="00F04D18">
            <w:pPr>
              <w:jc w:val="center"/>
              <w:rPr>
                <w:rFonts w:asciiTheme="majorHAnsi" w:hAnsiTheme="majorHAnsi"/>
                <w:sz w:val="16"/>
                <w:szCs w:val="16"/>
              </w:rPr>
            </w:pPr>
          </w:p>
        </w:tc>
        <w:tc>
          <w:tcPr>
            <w:tcW w:w="540" w:type="dxa"/>
          </w:tcPr>
          <w:p w14:paraId="451CF05B"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023DB3F2" w14:textId="77777777" w:rsidR="00375AE8" w:rsidRPr="00F04D18" w:rsidRDefault="00375AE8" w:rsidP="00F04D18">
            <w:pPr>
              <w:jc w:val="center"/>
              <w:rPr>
                <w:rFonts w:asciiTheme="majorHAnsi" w:hAnsiTheme="majorHAnsi"/>
                <w:sz w:val="16"/>
                <w:szCs w:val="16"/>
              </w:rPr>
            </w:pPr>
          </w:p>
        </w:tc>
        <w:tc>
          <w:tcPr>
            <w:tcW w:w="534" w:type="dxa"/>
          </w:tcPr>
          <w:p w14:paraId="142CF913" w14:textId="77777777" w:rsidR="00375AE8" w:rsidRPr="00F04D18" w:rsidRDefault="00375AE8" w:rsidP="00F04D18">
            <w:pPr>
              <w:jc w:val="center"/>
              <w:rPr>
                <w:rFonts w:asciiTheme="majorHAnsi" w:hAnsiTheme="majorHAnsi"/>
                <w:sz w:val="16"/>
                <w:szCs w:val="16"/>
              </w:rPr>
            </w:pPr>
          </w:p>
        </w:tc>
        <w:tc>
          <w:tcPr>
            <w:tcW w:w="690" w:type="dxa"/>
          </w:tcPr>
          <w:p w14:paraId="1C5BFD30" w14:textId="77777777" w:rsidR="00375AE8" w:rsidRPr="00F04D18" w:rsidRDefault="00375AE8" w:rsidP="00F04D18">
            <w:pPr>
              <w:jc w:val="center"/>
              <w:rPr>
                <w:rFonts w:asciiTheme="majorHAnsi" w:hAnsiTheme="majorHAnsi"/>
                <w:sz w:val="16"/>
                <w:szCs w:val="16"/>
              </w:rPr>
            </w:pPr>
          </w:p>
        </w:tc>
        <w:tc>
          <w:tcPr>
            <w:tcW w:w="516" w:type="dxa"/>
          </w:tcPr>
          <w:p w14:paraId="100CD629" w14:textId="77777777" w:rsidR="00375AE8" w:rsidRPr="00F04D18" w:rsidRDefault="00375AE8" w:rsidP="00F04D18">
            <w:pPr>
              <w:jc w:val="center"/>
              <w:rPr>
                <w:rFonts w:asciiTheme="majorHAnsi" w:hAnsiTheme="majorHAnsi"/>
                <w:sz w:val="16"/>
                <w:szCs w:val="16"/>
              </w:rPr>
            </w:pPr>
          </w:p>
        </w:tc>
        <w:tc>
          <w:tcPr>
            <w:tcW w:w="690" w:type="dxa"/>
          </w:tcPr>
          <w:p w14:paraId="57808D74" w14:textId="77777777" w:rsidR="00375AE8" w:rsidRPr="00F04D18" w:rsidRDefault="00375AE8" w:rsidP="00F04D18">
            <w:pPr>
              <w:jc w:val="center"/>
              <w:rPr>
                <w:rFonts w:asciiTheme="majorHAnsi" w:hAnsiTheme="majorHAnsi"/>
                <w:sz w:val="16"/>
                <w:szCs w:val="16"/>
              </w:rPr>
            </w:pPr>
          </w:p>
        </w:tc>
        <w:tc>
          <w:tcPr>
            <w:tcW w:w="513" w:type="dxa"/>
          </w:tcPr>
          <w:p w14:paraId="79BF7B92" w14:textId="77777777" w:rsidR="00375AE8" w:rsidRPr="00F04D18" w:rsidRDefault="00375AE8" w:rsidP="00F04D18">
            <w:pPr>
              <w:jc w:val="center"/>
              <w:rPr>
                <w:rFonts w:asciiTheme="majorHAnsi" w:hAnsiTheme="majorHAnsi"/>
                <w:sz w:val="16"/>
                <w:szCs w:val="16"/>
              </w:rPr>
            </w:pPr>
          </w:p>
        </w:tc>
        <w:tc>
          <w:tcPr>
            <w:tcW w:w="690" w:type="dxa"/>
          </w:tcPr>
          <w:p w14:paraId="41F4877A" w14:textId="77777777" w:rsidR="00375AE8" w:rsidRPr="00F04D18" w:rsidRDefault="00375AE8" w:rsidP="00F04D18">
            <w:pPr>
              <w:jc w:val="center"/>
              <w:rPr>
                <w:rFonts w:asciiTheme="majorHAnsi" w:hAnsiTheme="majorHAnsi"/>
                <w:sz w:val="16"/>
                <w:szCs w:val="16"/>
              </w:rPr>
            </w:pPr>
          </w:p>
        </w:tc>
      </w:tr>
      <w:tr w:rsidR="00375AE8" w14:paraId="571C596A" w14:textId="77777777" w:rsidTr="008F3376">
        <w:tc>
          <w:tcPr>
            <w:tcW w:w="1441" w:type="dxa"/>
            <w:vMerge/>
          </w:tcPr>
          <w:p w14:paraId="25A8C02E" w14:textId="77777777" w:rsidR="00375AE8" w:rsidRPr="00F04D18" w:rsidRDefault="00375AE8" w:rsidP="00F04D18">
            <w:pPr>
              <w:jc w:val="center"/>
              <w:rPr>
                <w:rFonts w:asciiTheme="majorHAnsi" w:hAnsiTheme="majorHAnsi"/>
                <w:sz w:val="16"/>
                <w:szCs w:val="16"/>
              </w:rPr>
            </w:pPr>
          </w:p>
        </w:tc>
        <w:tc>
          <w:tcPr>
            <w:tcW w:w="1367" w:type="dxa"/>
            <w:vMerge/>
          </w:tcPr>
          <w:p w14:paraId="55E16E5D" w14:textId="77777777" w:rsidR="00375AE8" w:rsidRPr="00F04D18" w:rsidRDefault="00375AE8" w:rsidP="00F04D18">
            <w:pPr>
              <w:jc w:val="center"/>
              <w:rPr>
                <w:rFonts w:asciiTheme="majorHAnsi" w:hAnsiTheme="majorHAnsi"/>
                <w:sz w:val="16"/>
                <w:szCs w:val="16"/>
              </w:rPr>
            </w:pPr>
          </w:p>
        </w:tc>
        <w:tc>
          <w:tcPr>
            <w:tcW w:w="2414" w:type="dxa"/>
          </w:tcPr>
          <w:p w14:paraId="4453D4D4" w14:textId="528F8F17" w:rsidR="00375AE8" w:rsidRPr="00F04D18" w:rsidRDefault="00375AE8" w:rsidP="00F04D18">
            <w:pPr>
              <w:jc w:val="center"/>
              <w:rPr>
                <w:rFonts w:asciiTheme="majorHAnsi" w:hAnsiTheme="majorHAnsi"/>
                <w:sz w:val="16"/>
                <w:szCs w:val="16"/>
              </w:rPr>
            </w:pPr>
            <w:r>
              <w:rPr>
                <w:rFonts w:asciiTheme="majorHAnsi" w:hAnsiTheme="majorHAnsi"/>
                <w:sz w:val="16"/>
                <w:szCs w:val="16"/>
              </w:rPr>
              <w:t>Terminal Evaluation</w:t>
            </w:r>
          </w:p>
        </w:tc>
        <w:tc>
          <w:tcPr>
            <w:tcW w:w="1309" w:type="dxa"/>
          </w:tcPr>
          <w:p w14:paraId="5F18AA32" w14:textId="0C6D2F7E" w:rsidR="00375AE8" w:rsidRPr="00F04D18" w:rsidRDefault="00375AE8" w:rsidP="00F04D18">
            <w:pPr>
              <w:jc w:val="center"/>
              <w:rPr>
                <w:rFonts w:asciiTheme="majorHAnsi" w:hAnsiTheme="majorHAnsi"/>
                <w:sz w:val="16"/>
                <w:szCs w:val="16"/>
              </w:rPr>
            </w:pPr>
            <w:r>
              <w:rPr>
                <w:rFonts w:asciiTheme="majorHAnsi" w:hAnsiTheme="majorHAnsi"/>
                <w:sz w:val="16"/>
                <w:szCs w:val="16"/>
              </w:rPr>
              <w:t>UNDP</w:t>
            </w:r>
          </w:p>
        </w:tc>
        <w:tc>
          <w:tcPr>
            <w:tcW w:w="610" w:type="dxa"/>
          </w:tcPr>
          <w:p w14:paraId="5046308E" w14:textId="77777777" w:rsidR="00375AE8" w:rsidRPr="00F04D18" w:rsidRDefault="00375AE8" w:rsidP="00F04D18">
            <w:pPr>
              <w:jc w:val="center"/>
              <w:rPr>
                <w:rFonts w:asciiTheme="majorHAnsi" w:hAnsiTheme="majorHAnsi"/>
                <w:sz w:val="16"/>
                <w:szCs w:val="16"/>
              </w:rPr>
            </w:pPr>
          </w:p>
        </w:tc>
        <w:tc>
          <w:tcPr>
            <w:tcW w:w="645" w:type="dxa"/>
          </w:tcPr>
          <w:p w14:paraId="2FC1A31C" w14:textId="77777777" w:rsidR="00375AE8" w:rsidRPr="00F04D18" w:rsidRDefault="00375AE8" w:rsidP="00F04D18">
            <w:pPr>
              <w:jc w:val="center"/>
              <w:rPr>
                <w:rFonts w:asciiTheme="majorHAnsi" w:hAnsiTheme="majorHAnsi"/>
                <w:sz w:val="16"/>
                <w:szCs w:val="16"/>
              </w:rPr>
            </w:pPr>
          </w:p>
        </w:tc>
        <w:tc>
          <w:tcPr>
            <w:tcW w:w="690" w:type="dxa"/>
          </w:tcPr>
          <w:p w14:paraId="329B35C0" w14:textId="77777777" w:rsidR="00375AE8" w:rsidRPr="00F04D18" w:rsidRDefault="00375AE8" w:rsidP="00F04D18">
            <w:pPr>
              <w:jc w:val="center"/>
              <w:rPr>
                <w:rFonts w:asciiTheme="majorHAnsi" w:hAnsiTheme="majorHAnsi"/>
                <w:sz w:val="16"/>
                <w:szCs w:val="16"/>
              </w:rPr>
            </w:pPr>
          </w:p>
        </w:tc>
        <w:tc>
          <w:tcPr>
            <w:tcW w:w="587" w:type="dxa"/>
          </w:tcPr>
          <w:p w14:paraId="0769D2A8" w14:textId="77777777" w:rsidR="00375AE8" w:rsidRPr="00F04D18" w:rsidRDefault="00375AE8" w:rsidP="00F04D18">
            <w:pPr>
              <w:jc w:val="center"/>
              <w:rPr>
                <w:rFonts w:asciiTheme="majorHAnsi" w:hAnsiTheme="majorHAnsi"/>
                <w:sz w:val="16"/>
                <w:szCs w:val="16"/>
              </w:rPr>
            </w:pPr>
          </w:p>
        </w:tc>
        <w:tc>
          <w:tcPr>
            <w:tcW w:w="690" w:type="dxa"/>
          </w:tcPr>
          <w:p w14:paraId="01C32A96" w14:textId="77777777" w:rsidR="00375AE8" w:rsidRPr="00F04D18" w:rsidRDefault="00375AE8" w:rsidP="00F04D18">
            <w:pPr>
              <w:jc w:val="center"/>
              <w:rPr>
                <w:rFonts w:asciiTheme="majorHAnsi" w:hAnsiTheme="majorHAnsi"/>
                <w:sz w:val="16"/>
                <w:szCs w:val="16"/>
              </w:rPr>
            </w:pPr>
          </w:p>
        </w:tc>
        <w:tc>
          <w:tcPr>
            <w:tcW w:w="540" w:type="dxa"/>
          </w:tcPr>
          <w:p w14:paraId="37456EC5" w14:textId="77777777" w:rsidR="00375AE8" w:rsidRPr="00F04D18" w:rsidRDefault="00375AE8" w:rsidP="00F04D18">
            <w:pPr>
              <w:jc w:val="center"/>
              <w:rPr>
                <w:rFonts w:asciiTheme="majorHAnsi" w:hAnsiTheme="majorHAnsi"/>
                <w:sz w:val="16"/>
                <w:szCs w:val="16"/>
              </w:rPr>
            </w:pPr>
          </w:p>
        </w:tc>
        <w:tc>
          <w:tcPr>
            <w:tcW w:w="690" w:type="dxa"/>
          </w:tcPr>
          <w:p w14:paraId="7DB750D5" w14:textId="77777777" w:rsidR="00375AE8" w:rsidRPr="00F04D18" w:rsidRDefault="00375AE8" w:rsidP="00F04D18">
            <w:pPr>
              <w:jc w:val="center"/>
              <w:rPr>
                <w:rFonts w:asciiTheme="majorHAnsi" w:hAnsiTheme="majorHAnsi"/>
                <w:sz w:val="16"/>
                <w:szCs w:val="16"/>
              </w:rPr>
            </w:pPr>
          </w:p>
        </w:tc>
        <w:tc>
          <w:tcPr>
            <w:tcW w:w="534" w:type="dxa"/>
          </w:tcPr>
          <w:p w14:paraId="7CA50757" w14:textId="77777777" w:rsidR="00375AE8" w:rsidRPr="00F04D18" w:rsidRDefault="00375AE8" w:rsidP="00F04D18">
            <w:pPr>
              <w:jc w:val="center"/>
              <w:rPr>
                <w:rFonts w:asciiTheme="majorHAnsi" w:hAnsiTheme="majorHAnsi"/>
                <w:sz w:val="16"/>
                <w:szCs w:val="16"/>
              </w:rPr>
            </w:pPr>
          </w:p>
        </w:tc>
        <w:tc>
          <w:tcPr>
            <w:tcW w:w="690" w:type="dxa"/>
          </w:tcPr>
          <w:p w14:paraId="6217A07F" w14:textId="77777777" w:rsidR="00375AE8" w:rsidRPr="00F04D18" w:rsidRDefault="00375AE8" w:rsidP="00F04D18">
            <w:pPr>
              <w:jc w:val="center"/>
              <w:rPr>
                <w:rFonts w:asciiTheme="majorHAnsi" w:hAnsiTheme="majorHAnsi"/>
                <w:sz w:val="16"/>
                <w:szCs w:val="16"/>
              </w:rPr>
            </w:pPr>
          </w:p>
        </w:tc>
        <w:tc>
          <w:tcPr>
            <w:tcW w:w="516" w:type="dxa"/>
          </w:tcPr>
          <w:p w14:paraId="3F7506C6" w14:textId="77777777" w:rsidR="00375AE8" w:rsidRPr="00F04D18" w:rsidRDefault="00375AE8" w:rsidP="00F04D18">
            <w:pPr>
              <w:jc w:val="center"/>
              <w:rPr>
                <w:rFonts w:asciiTheme="majorHAnsi" w:hAnsiTheme="majorHAnsi"/>
                <w:sz w:val="16"/>
                <w:szCs w:val="16"/>
              </w:rPr>
            </w:pPr>
          </w:p>
        </w:tc>
        <w:tc>
          <w:tcPr>
            <w:tcW w:w="690" w:type="dxa"/>
          </w:tcPr>
          <w:p w14:paraId="07919D38" w14:textId="77777777" w:rsidR="00375AE8" w:rsidRPr="00F04D18" w:rsidRDefault="00375AE8" w:rsidP="00F04D18">
            <w:pPr>
              <w:jc w:val="center"/>
              <w:rPr>
                <w:rFonts w:asciiTheme="majorHAnsi" w:hAnsiTheme="majorHAnsi"/>
                <w:sz w:val="16"/>
                <w:szCs w:val="16"/>
              </w:rPr>
            </w:pPr>
          </w:p>
        </w:tc>
        <w:tc>
          <w:tcPr>
            <w:tcW w:w="513" w:type="dxa"/>
          </w:tcPr>
          <w:p w14:paraId="7849252A" w14:textId="77777777" w:rsidR="00375AE8" w:rsidRPr="00F04D18" w:rsidRDefault="00375AE8" w:rsidP="00F04D18">
            <w:pPr>
              <w:jc w:val="center"/>
              <w:rPr>
                <w:rFonts w:asciiTheme="majorHAnsi" w:hAnsiTheme="majorHAnsi"/>
                <w:sz w:val="16"/>
                <w:szCs w:val="16"/>
              </w:rPr>
            </w:pPr>
          </w:p>
        </w:tc>
        <w:tc>
          <w:tcPr>
            <w:tcW w:w="690" w:type="dxa"/>
            <w:shd w:val="clear" w:color="auto" w:fill="FBD4B4" w:themeFill="accent6" w:themeFillTint="66"/>
          </w:tcPr>
          <w:p w14:paraId="2923A276" w14:textId="77777777" w:rsidR="00375AE8" w:rsidRPr="00F04D18" w:rsidRDefault="00375AE8" w:rsidP="00F04D18">
            <w:pPr>
              <w:jc w:val="center"/>
              <w:rPr>
                <w:rFonts w:asciiTheme="majorHAnsi" w:hAnsiTheme="majorHAnsi"/>
                <w:sz w:val="16"/>
                <w:szCs w:val="16"/>
              </w:rPr>
            </w:pPr>
          </w:p>
        </w:tc>
      </w:tr>
    </w:tbl>
    <w:p w14:paraId="4F0308AE" w14:textId="77777777" w:rsidR="001D459D" w:rsidRDefault="001D459D" w:rsidP="003B2A79">
      <w:pPr>
        <w:rPr>
          <w:szCs w:val="22"/>
        </w:rPr>
      </w:pPr>
    </w:p>
    <w:p w14:paraId="5CB21BD6" w14:textId="77777777" w:rsidR="00B24599" w:rsidRDefault="00B24599" w:rsidP="003B2A79">
      <w:pPr>
        <w:rPr>
          <w:szCs w:val="22"/>
        </w:rPr>
      </w:pPr>
    </w:p>
    <w:p w14:paraId="37E2D0B0" w14:textId="77777777" w:rsidR="00B24599" w:rsidRDefault="00B24599" w:rsidP="003B2A79">
      <w:pPr>
        <w:rPr>
          <w:szCs w:val="22"/>
        </w:rPr>
        <w:sectPr w:rsidR="00B24599" w:rsidSect="00C97C18">
          <w:pgSz w:w="15840" w:h="12240" w:orient="landscape" w:code="1"/>
          <w:pgMar w:top="720" w:right="720" w:bottom="720" w:left="720" w:header="720" w:footer="720" w:gutter="0"/>
          <w:cols w:space="720"/>
          <w:docGrid w:linePitch="360"/>
        </w:sectPr>
      </w:pPr>
    </w:p>
    <w:p w14:paraId="06D939DA" w14:textId="55BDC7C8" w:rsidR="007C21F1" w:rsidRDefault="00BD45ED" w:rsidP="003B2A79">
      <w:pPr>
        <w:rPr>
          <w:szCs w:val="22"/>
        </w:rPr>
      </w:pPr>
      <w:r>
        <w:rPr>
          <w:szCs w:val="22"/>
        </w:rPr>
        <w:t xml:space="preserve"> </w:t>
      </w:r>
    </w:p>
    <w:p w14:paraId="436FF785" w14:textId="3F0DBD0C" w:rsidR="008C0BCC" w:rsidRDefault="008C0BCC" w:rsidP="008C0BCC">
      <w:pPr>
        <w:jc w:val="right"/>
        <w:rPr>
          <w:b/>
          <w:szCs w:val="22"/>
        </w:rPr>
      </w:pPr>
      <w:r>
        <w:rPr>
          <w:b/>
          <w:szCs w:val="22"/>
        </w:rPr>
        <w:t xml:space="preserve">Annex </w:t>
      </w:r>
      <w:r w:rsidR="00BD45ED">
        <w:rPr>
          <w:b/>
          <w:szCs w:val="22"/>
        </w:rPr>
        <w:t>12</w:t>
      </w:r>
    </w:p>
    <w:p w14:paraId="6B30B3C2" w14:textId="2E7EBF1F" w:rsidR="003E3ABA" w:rsidRPr="0003763F" w:rsidRDefault="003E3ABA" w:rsidP="008C0BCC">
      <w:pPr>
        <w:jc w:val="center"/>
        <w:rPr>
          <w:b/>
          <w:szCs w:val="20"/>
        </w:rPr>
      </w:pPr>
      <w:r w:rsidRPr="0003763F">
        <w:rPr>
          <w:b/>
          <w:szCs w:val="22"/>
        </w:rPr>
        <w:t>Monitoring Plan</w:t>
      </w:r>
    </w:p>
    <w:p w14:paraId="5FBEB9B7" w14:textId="77777777" w:rsidR="003E3ABA" w:rsidRPr="0003763F" w:rsidRDefault="003E3ABA" w:rsidP="003B2A79">
      <w:pPr>
        <w:rPr>
          <w:i/>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0"/>
        <w:gridCol w:w="2463"/>
        <w:gridCol w:w="1970"/>
        <w:gridCol w:w="1540"/>
        <w:gridCol w:w="1170"/>
        <w:gridCol w:w="1440"/>
        <w:gridCol w:w="1620"/>
        <w:gridCol w:w="2898"/>
      </w:tblGrid>
      <w:tr w:rsidR="001F6249" w:rsidRPr="0003763F" w14:paraId="4F404EFC" w14:textId="77777777" w:rsidTr="00510714">
        <w:trPr>
          <w:trHeight w:val="737"/>
          <w:tblHeader/>
        </w:trPr>
        <w:tc>
          <w:tcPr>
            <w:tcW w:w="1520" w:type="dxa"/>
            <w:shd w:val="clear" w:color="auto" w:fill="D9D9D9"/>
          </w:tcPr>
          <w:p w14:paraId="32E79505" w14:textId="67499AE4" w:rsidR="003E3ABA" w:rsidRPr="00510714" w:rsidRDefault="003E3ABA" w:rsidP="00510714">
            <w:pPr>
              <w:spacing w:after="0"/>
              <w:jc w:val="center"/>
              <w:rPr>
                <w:b/>
                <w:sz w:val="18"/>
                <w:szCs w:val="18"/>
              </w:rPr>
            </w:pPr>
            <w:r w:rsidRPr="00510714">
              <w:rPr>
                <w:b/>
                <w:sz w:val="18"/>
                <w:szCs w:val="18"/>
              </w:rPr>
              <w:t>Monitoring</w:t>
            </w:r>
          </w:p>
        </w:tc>
        <w:tc>
          <w:tcPr>
            <w:tcW w:w="2463" w:type="dxa"/>
            <w:shd w:val="clear" w:color="auto" w:fill="D9D9D9"/>
          </w:tcPr>
          <w:p w14:paraId="794CBE19" w14:textId="77777777" w:rsidR="003E3ABA" w:rsidRPr="00510714" w:rsidRDefault="003E3ABA" w:rsidP="00510714">
            <w:pPr>
              <w:spacing w:after="0"/>
              <w:jc w:val="center"/>
              <w:rPr>
                <w:b/>
                <w:sz w:val="18"/>
                <w:szCs w:val="18"/>
              </w:rPr>
            </w:pPr>
            <w:r w:rsidRPr="00510714">
              <w:rPr>
                <w:b/>
                <w:sz w:val="18"/>
                <w:szCs w:val="18"/>
              </w:rPr>
              <w:t>Indicators</w:t>
            </w:r>
          </w:p>
        </w:tc>
        <w:tc>
          <w:tcPr>
            <w:tcW w:w="1970" w:type="dxa"/>
            <w:shd w:val="clear" w:color="auto" w:fill="D9D9D9"/>
          </w:tcPr>
          <w:p w14:paraId="76AE8A35" w14:textId="6EF34D6F" w:rsidR="003E3ABA" w:rsidRPr="00510714" w:rsidRDefault="003E3ABA" w:rsidP="00510714">
            <w:pPr>
              <w:spacing w:after="0"/>
              <w:jc w:val="center"/>
              <w:rPr>
                <w:b/>
                <w:sz w:val="18"/>
                <w:szCs w:val="18"/>
              </w:rPr>
            </w:pPr>
            <w:r w:rsidRPr="00510714">
              <w:rPr>
                <w:b/>
                <w:sz w:val="18"/>
                <w:szCs w:val="18"/>
              </w:rPr>
              <w:t>Description</w:t>
            </w:r>
          </w:p>
        </w:tc>
        <w:tc>
          <w:tcPr>
            <w:tcW w:w="1540" w:type="dxa"/>
            <w:shd w:val="clear" w:color="auto" w:fill="D9D9D9"/>
          </w:tcPr>
          <w:p w14:paraId="0B082850" w14:textId="06EE7BFC" w:rsidR="003E3ABA" w:rsidRPr="00510714" w:rsidRDefault="003E3ABA" w:rsidP="00510714">
            <w:pPr>
              <w:spacing w:after="0"/>
              <w:jc w:val="center"/>
              <w:rPr>
                <w:b/>
                <w:sz w:val="18"/>
                <w:szCs w:val="18"/>
              </w:rPr>
            </w:pPr>
            <w:r w:rsidRPr="00510714">
              <w:rPr>
                <w:b/>
                <w:sz w:val="18"/>
                <w:szCs w:val="18"/>
              </w:rPr>
              <w:t>Data source/Collection Methods</w:t>
            </w:r>
          </w:p>
        </w:tc>
        <w:tc>
          <w:tcPr>
            <w:tcW w:w="1170" w:type="dxa"/>
            <w:shd w:val="clear" w:color="auto" w:fill="D9D9D9"/>
          </w:tcPr>
          <w:p w14:paraId="52FF29A0" w14:textId="77777777" w:rsidR="003E3ABA" w:rsidRPr="00510714" w:rsidRDefault="003E3ABA" w:rsidP="00510714">
            <w:pPr>
              <w:spacing w:after="0"/>
              <w:jc w:val="center"/>
              <w:rPr>
                <w:b/>
                <w:sz w:val="18"/>
                <w:szCs w:val="18"/>
              </w:rPr>
            </w:pPr>
            <w:r w:rsidRPr="00510714">
              <w:rPr>
                <w:b/>
                <w:sz w:val="18"/>
                <w:szCs w:val="18"/>
              </w:rPr>
              <w:t>Frequency</w:t>
            </w:r>
          </w:p>
          <w:p w14:paraId="21ECD18B" w14:textId="77777777" w:rsidR="003E3ABA" w:rsidRPr="00510714" w:rsidRDefault="003E3ABA" w:rsidP="00510714">
            <w:pPr>
              <w:spacing w:after="0"/>
              <w:jc w:val="center"/>
              <w:rPr>
                <w:b/>
                <w:sz w:val="18"/>
                <w:szCs w:val="18"/>
              </w:rPr>
            </w:pPr>
          </w:p>
        </w:tc>
        <w:tc>
          <w:tcPr>
            <w:tcW w:w="1440" w:type="dxa"/>
            <w:shd w:val="clear" w:color="auto" w:fill="D9D9D9"/>
          </w:tcPr>
          <w:p w14:paraId="152F82FD" w14:textId="77777777" w:rsidR="003E3ABA" w:rsidRPr="00510714" w:rsidRDefault="003E3ABA" w:rsidP="00510714">
            <w:pPr>
              <w:spacing w:after="0"/>
              <w:jc w:val="center"/>
              <w:rPr>
                <w:b/>
                <w:sz w:val="18"/>
                <w:szCs w:val="18"/>
              </w:rPr>
            </w:pPr>
            <w:r w:rsidRPr="00510714">
              <w:rPr>
                <w:b/>
                <w:sz w:val="18"/>
                <w:szCs w:val="18"/>
              </w:rPr>
              <w:t>Responsible for data collection</w:t>
            </w:r>
          </w:p>
        </w:tc>
        <w:tc>
          <w:tcPr>
            <w:tcW w:w="1620" w:type="dxa"/>
            <w:shd w:val="clear" w:color="auto" w:fill="D9D9D9"/>
          </w:tcPr>
          <w:p w14:paraId="5AC0CDF2" w14:textId="77777777" w:rsidR="003E3ABA" w:rsidRPr="00510714" w:rsidRDefault="003E3ABA" w:rsidP="00510714">
            <w:pPr>
              <w:spacing w:after="0"/>
              <w:jc w:val="center"/>
              <w:rPr>
                <w:b/>
                <w:sz w:val="18"/>
                <w:szCs w:val="18"/>
              </w:rPr>
            </w:pPr>
            <w:r w:rsidRPr="00510714">
              <w:rPr>
                <w:b/>
                <w:sz w:val="18"/>
                <w:szCs w:val="18"/>
              </w:rPr>
              <w:t>Means of verification</w:t>
            </w:r>
          </w:p>
        </w:tc>
        <w:tc>
          <w:tcPr>
            <w:tcW w:w="2898" w:type="dxa"/>
            <w:shd w:val="clear" w:color="auto" w:fill="D9D9D9"/>
          </w:tcPr>
          <w:p w14:paraId="31A992EF" w14:textId="77777777" w:rsidR="003E3ABA" w:rsidRPr="00510714" w:rsidRDefault="003E3ABA" w:rsidP="00510714">
            <w:pPr>
              <w:spacing w:after="0"/>
              <w:jc w:val="center"/>
              <w:rPr>
                <w:b/>
                <w:sz w:val="18"/>
                <w:szCs w:val="18"/>
              </w:rPr>
            </w:pPr>
            <w:r w:rsidRPr="00510714">
              <w:rPr>
                <w:b/>
                <w:sz w:val="18"/>
                <w:szCs w:val="18"/>
              </w:rPr>
              <w:t>Assumptions and Risks</w:t>
            </w:r>
          </w:p>
          <w:p w14:paraId="5176A261" w14:textId="77777777" w:rsidR="003E3ABA" w:rsidRPr="00510714" w:rsidRDefault="003E3ABA" w:rsidP="00510714">
            <w:pPr>
              <w:spacing w:after="0"/>
              <w:jc w:val="center"/>
              <w:rPr>
                <w:b/>
                <w:sz w:val="18"/>
                <w:szCs w:val="18"/>
              </w:rPr>
            </w:pPr>
          </w:p>
        </w:tc>
      </w:tr>
      <w:tr w:rsidR="001F6249" w:rsidRPr="0003763F" w14:paraId="1B942ED3" w14:textId="77777777" w:rsidTr="001F6249">
        <w:trPr>
          <w:trHeight w:val="1358"/>
          <w:tblHeader/>
        </w:trPr>
        <w:tc>
          <w:tcPr>
            <w:tcW w:w="1520" w:type="dxa"/>
            <w:vMerge w:val="restart"/>
            <w:shd w:val="clear" w:color="auto" w:fill="auto"/>
          </w:tcPr>
          <w:p w14:paraId="7122FB07" w14:textId="10B9AF6A" w:rsidR="001F6249" w:rsidRPr="0003763F" w:rsidRDefault="001F6249" w:rsidP="001F6249">
            <w:pPr>
              <w:jc w:val="left"/>
              <w:rPr>
                <w:b/>
                <w:sz w:val="18"/>
                <w:szCs w:val="18"/>
              </w:rPr>
            </w:pPr>
            <w:r w:rsidRPr="008C0B6C">
              <w:rPr>
                <w:rFonts w:asciiTheme="majorHAnsi" w:eastAsia="Times New Roman" w:hAnsiTheme="majorHAnsi"/>
                <w:iCs/>
                <w:color w:val="000000"/>
                <w:sz w:val="18"/>
                <w:szCs w:val="18"/>
              </w:rPr>
              <w:t>To mainstream</w:t>
            </w:r>
            <w:r w:rsidRPr="008C0B6C">
              <w:rPr>
                <w:rFonts w:asciiTheme="majorHAnsi" w:eastAsia="Times New Roman" w:hAnsiTheme="majorHAnsi"/>
                <w:b/>
                <w:iCs/>
                <w:color w:val="000000"/>
                <w:sz w:val="18"/>
                <w:szCs w:val="18"/>
              </w:rPr>
              <w:t xml:space="preserve"> </w:t>
            </w:r>
            <w:r w:rsidRPr="008C0B6C">
              <w:rPr>
                <w:rFonts w:asciiTheme="majorHAnsi" w:eastAsia="Times New Roman" w:hAnsiTheme="majorHAnsi"/>
                <w:iCs/>
                <w:color w:val="000000"/>
                <w:sz w:val="18"/>
                <w:szCs w:val="18"/>
              </w:rPr>
              <w:t>biodiversity conservation into integrated land and seascape governance, planning and management in Palau</w:t>
            </w:r>
          </w:p>
        </w:tc>
        <w:tc>
          <w:tcPr>
            <w:tcW w:w="2463" w:type="dxa"/>
            <w:shd w:val="clear" w:color="auto" w:fill="auto"/>
          </w:tcPr>
          <w:p w14:paraId="6DE0ED73" w14:textId="79F29143" w:rsidR="001F6249" w:rsidRPr="0003763F" w:rsidRDefault="001F6249" w:rsidP="001F6249">
            <w:pPr>
              <w:jc w:val="left"/>
              <w:rPr>
                <w:i/>
                <w:sz w:val="18"/>
                <w:szCs w:val="18"/>
              </w:rPr>
            </w:pPr>
            <w:r w:rsidRPr="008C0B6C">
              <w:rPr>
                <w:rFonts w:asciiTheme="majorHAnsi" w:hAnsiTheme="majorHAnsi"/>
                <w:bCs/>
                <w:sz w:val="18"/>
                <w:szCs w:val="18"/>
              </w:rPr>
              <w:t>Area of sustainable management solutions at sub-national level for conservation of biodiversity and ecosystem services that benefit from integrated landscape and seascape planning and management approaches</w:t>
            </w:r>
          </w:p>
        </w:tc>
        <w:tc>
          <w:tcPr>
            <w:tcW w:w="1970" w:type="dxa"/>
          </w:tcPr>
          <w:p w14:paraId="69024937" w14:textId="69BBA9AE" w:rsidR="001F6249" w:rsidRPr="0003763F" w:rsidRDefault="001F6249" w:rsidP="001F6249">
            <w:pPr>
              <w:jc w:val="left"/>
              <w:rPr>
                <w:i/>
                <w:sz w:val="18"/>
                <w:szCs w:val="18"/>
              </w:rPr>
            </w:pPr>
            <w:r w:rsidRPr="008C0B6C">
              <w:rPr>
                <w:rFonts w:asciiTheme="majorHAnsi" w:hAnsiTheme="majorHAnsi"/>
                <w:bCs/>
                <w:i/>
                <w:sz w:val="18"/>
                <w:szCs w:val="18"/>
              </w:rPr>
              <w:t>At least a total of 240,000</w:t>
            </w:r>
            <w:r w:rsidRPr="008C0B6C">
              <w:rPr>
                <w:rStyle w:val="FootnoteReference"/>
                <w:rFonts w:asciiTheme="majorHAnsi" w:hAnsiTheme="majorHAnsi"/>
                <w:bCs/>
                <w:i/>
                <w:szCs w:val="18"/>
              </w:rPr>
              <w:footnoteReference w:id="47"/>
            </w:r>
            <w:r w:rsidRPr="008C0B6C">
              <w:rPr>
                <w:rFonts w:asciiTheme="majorHAnsi" w:hAnsiTheme="majorHAnsi"/>
                <w:bCs/>
                <w:i/>
                <w:sz w:val="18"/>
                <w:szCs w:val="18"/>
              </w:rPr>
              <w:t xml:space="preserve"> hectares of seascapes and landscapes effectively managed through participatory approaches</w:t>
            </w:r>
          </w:p>
        </w:tc>
        <w:tc>
          <w:tcPr>
            <w:tcW w:w="1540" w:type="dxa"/>
            <w:shd w:val="clear" w:color="auto" w:fill="auto"/>
          </w:tcPr>
          <w:p w14:paraId="17BFA750" w14:textId="679181FA" w:rsidR="001F6249" w:rsidRPr="0003763F" w:rsidRDefault="001F6249" w:rsidP="001F6249">
            <w:pPr>
              <w:jc w:val="left"/>
              <w:rPr>
                <w:i/>
                <w:sz w:val="18"/>
                <w:szCs w:val="18"/>
              </w:rPr>
            </w:pPr>
            <w:r>
              <w:rPr>
                <w:rFonts w:asciiTheme="majorHAnsi" w:hAnsiTheme="majorHAnsi"/>
                <w:i/>
                <w:sz w:val="18"/>
                <w:szCs w:val="18"/>
              </w:rPr>
              <w:t>Consultation with stakeholder groups, ground surveys, inventory, independent evaluations</w:t>
            </w:r>
          </w:p>
        </w:tc>
        <w:tc>
          <w:tcPr>
            <w:tcW w:w="1170" w:type="dxa"/>
            <w:shd w:val="clear" w:color="auto" w:fill="auto"/>
          </w:tcPr>
          <w:p w14:paraId="66413816" w14:textId="61C449BC" w:rsidR="001F6249" w:rsidRPr="0003763F" w:rsidRDefault="001F6249" w:rsidP="001F6249">
            <w:pPr>
              <w:jc w:val="left"/>
              <w:rPr>
                <w:sz w:val="18"/>
                <w:szCs w:val="18"/>
              </w:rPr>
            </w:pPr>
            <w:r w:rsidRPr="008C0B6C">
              <w:rPr>
                <w:rFonts w:asciiTheme="majorHAnsi" w:hAnsiTheme="majorHAnsi"/>
                <w:i/>
                <w:sz w:val="18"/>
                <w:szCs w:val="18"/>
              </w:rPr>
              <w:t>Mid-term and end-of-project</w:t>
            </w:r>
          </w:p>
        </w:tc>
        <w:tc>
          <w:tcPr>
            <w:tcW w:w="1440" w:type="dxa"/>
            <w:shd w:val="clear" w:color="auto" w:fill="auto"/>
          </w:tcPr>
          <w:p w14:paraId="7C83395B" w14:textId="77777777" w:rsidR="001F6249" w:rsidRPr="008C0B6C" w:rsidRDefault="001F6249" w:rsidP="001F6249">
            <w:pPr>
              <w:jc w:val="left"/>
              <w:rPr>
                <w:rFonts w:asciiTheme="majorHAnsi" w:hAnsiTheme="majorHAnsi"/>
                <w:i/>
                <w:sz w:val="18"/>
                <w:szCs w:val="18"/>
              </w:rPr>
            </w:pPr>
            <w:r>
              <w:rPr>
                <w:rFonts w:asciiTheme="majorHAnsi" w:hAnsiTheme="majorHAnsi"/>
                <w:i/>
                <w:sz w:val="18"/>
                <w:szCs w:val="18"/>
              </w:rPr>
              <w:t>PALARIS in collaboration with MNRET and State governments</w:t>
            </w:r>
          </w:p>
          <w:p w14:paraId="4D670E87" w14:textId="77777777" w:rsidR="001F6249" w:rsidRPr="0003763F" w:rsidRDefault="001F6249" w:rsidP="001F6249">
            <w:pPr>
              <w:jc w:val="left"/>
              <w:rPr>
                <w:i/>
                <w:sz w:val="18"/>
                <w:szCs w:val="18"/>
              </w:rPr>
            </w:pPr>
          </w:p>
        </w:tc>
        <w:tc>
          <w:tcPr>
            <w:tcW w:w="1620" w:type="dxa"/>
            <w:shd w:val="clear" w:color="auto" w:fill="auto"/>
          </w:tcPr>
          <w:p w14:paraId="65AA727A" w14:textId="77777777" w:rsidR="001F6249" w:rsidRPr="008C0B6C" w:rsidRDefault="001F6249" w:rsidP="001F6249">
            <w:pPr>
              <w:jc w:val="left"/>
              <w:rPr>
                <w:rFonts w:asciiTheme="majorHAnsi" w:hAnsiTheme="majorHAnsi"/>
                <w:i/>
                <w:sz w:val="18"/>
                <w:szCs w:val="18"/>
              </w:rPr>
            </w:pPr>
            <w:r>
              <w:rPr>
                <w:rFonts w:asciiTheme="majorHAnsi" w:hAnsiTheme="majorHAnsi"/>
                <w:i/>
                <w:sz w:val="18"/>
                <w:szCs w:val="18"/>
              </w:rPr>
              <w:t>Implementation status reports, annual work plan completion reports, METTs and other TTs</w:t>
            </w:r>
          </w:p>
          <w:p w14:paraId="341C4E91" w14:textId="77777777" w:rsidR="001F6249" w:rsidRPr="0003763F" w:rsidRDefault="001F6249" w:rsidP="001F6249">
            <w:pPr>
              <w:jc w:val="left"/>
              <w:rPr>
                <w:i/>
                <w:sz w:val="18"/>
                <w:szCs w:val="18"/>
              </w:rPr>
            </w:pPr>
          </w:p>
        </w:tc>
        <w:tc>
          <w:tcPr>
            <w:tcW w:w="2898" w:type="dxa"/>
            <w:vMerge w:val="restart"/>
            <w:shd w:val="clear" w:color="auto" w:fill="auto"/>
          </w:tcPr>
          <w:p w14:paraId="41220E63" w14:textId="77777777" w:rsidR="001F6249" w:rsidRPr="001F6249" w:rsidRDefault="001F6249" w:rsidP="001F6249">
            <w:pPr>
              <w:spacing w:after="0"/>
              <w:jc w:val="left"/>
              <w:rPr>
                <w:rFonts w:asciiTheme="majorHAnsi" w:hAnsiTheme="majorHAnsi"/>
                <w:bCs/>
                <w:i/>
                <w:sz w:val="18"/>
                <w:szCs w:val="18"/>
              </w:rPr>
            </w:pPr>
            <w:r w:rsidRPr="001F6249">
              <w:rPr>
                <w:rFonts w:asciiTheme="majorHAnsi" w:hAnsiTheme="majorHAnsi"/>
                <w:bCs/>
                <w:i/>
                <w:sz w:val="18"/>
                <w:szCs w:val="18"/>
                <w:u w:val="single"/>
              </w:rPr>
              <w:t xml:space="preserve">Assumptions: </w:t>
            </w:r>
            <w:r w:rsidRPr="001F6249">
              <w:rPr>
                <w:rFonts w:asciiTheme="majorHAnsi" w:hAnsiTheme="majorHAnsi"/>
                <w:bCs/>
                <w:i/>
                <w:sz w:val="18"/>
                <w:szCs w:val="18"/>
              </w:rPr>
              <w:t xml:space="preserve"> </w:t>
            </w:r>
          </w:p>
          <w:p w14:paraId="528EC4FB" w14:textId="7563B84F" w:rsidR="001F6249" w:rsidRPr="001F6249" w:rsidRDefault="001F6249" w:rsidP="001F6249">
            <w:pPr>
              <w:spacing w:after="0"/>
              <w:jc w:val="left"/>
              <w:rPr>
                <w:rFonts w:asciiTheme="majorHAnsi" w:hAnsiTheme="majorHAnsi"/>
                <w:bCs/>
                <w:i/>
                <w:sz w:val="18"/>
                <w:szCs w:val="18"/>
              </w:rPr>
            </w:pPr>
            <w:r w:rsidRPr="001F6249">
              <w:rPr>
                <w:rFonts w:asciiTheme="majorHAnsi" w:hAnsiTheme="majorHAnsi"/>
                <w:bCs/>
                <w:i/>
                <w:sz w:val="18"/>
                <w:szCs w:val="18"/>
              </w:rPr>
              <w:t>-Local communities and state governments understand</w:t>
            </w:r>
            <w:r w:rsidR="00510714">
              <w:rPr>
                <w:rFonts w:asciiTheme="majorHAnsi" w:hAnsiTheme="majorHAnsi"/>
                <w:bCs/>
                <w:i/>
                <w:sz w:val="18"/>
                <w:szCs w:val="18"/>
              </w:rPr>
              <w:t xml:space="preserve"> need for </w:t>
            </w:r>
            <w:r w:rsidRPr="001F6249">
              <w:rPr>
                <w:rFonts w:asciiTheme="majorHAnsi" w:hAnsiTheme="majorHAnsi"/>
                <w:bCs/>
                <w:i/>
                <w:sz w:val="18"/>
                <w:szCs w:val="18"/>
              </w:rPr>
              <w:t xml:space="preserve">ecological security </w:t>
            </w:r>
            <w:r w:rsidR="00510714">
              <w:rPr>
                <w:rFonts w:asciiTheme="majorHAnsi" w:hAnsiTheme="majorHAnsi"/>
                <w:bCs/>
                <w:i/>
                <w:sz w:val="18"/>
                <w:szCs w:val="18"/>
              </w:rPr>
              <w:t>and agree to</w:t>
            </w:r>
            <w:r w:rsidR="00510714" w:rsidRPr="001F6249">
              <w:rPr>
                <w:rFonts w:asciiTheme="majorHAnsi" w:hAnsiTheme="majorHAnsi"/>
                <w:bCs/>
                <w:i/>
                <w:sz w:val="18"/>
                <w:szCs w:val="18"/>
              </w:rPr>
              <w:t xml:space="preserve"> </w:t>
            </w:r>
            <w:r w:rsidRPr="001F6249">
              <w:rPr>
                <w:rFonts w:asciiTheme="majorHAnsi" w:hAnsiTheme="majorHAnsi"/>
                <w:bCs/>
                <w:i/>
                <w:sz w:val="18"/>
                <w:szCs w:val="18"/>
              </w:rPr>
              <w:t>participate in restoration work</w:t>
            </w:r>
            <w:r w:rsidR="00510714">
              <w:rPr>
                <w:rFonts w:asciiTheme="majorHAnsi" w:hAnsiTheme="majorHAnsi"/>
                <w:bCs/>
                <w:i/>
                <w:sz w:val="18"/>
                <w:szCs w:val="18"/>
              </w:rPr>
              <w:t>s</w:t>
            </w:r>
            <w:r w:rsidRPr="001F6249">
              <w:rPr>
                <w:rFonts w:asciiTheme="majorHAnsi" w:hAnsiTheme="majorHAnsi"/>
                <w:bCs/>
                <w:i/>
                <w:sz w:val="18"/>
                <w:szCs w:val="18"/>
              </w:rPr>
              <w:t xml:space="preserve">. </w:t>
            </w:r>
          </w:p>
          <w:p w14:paraId="0A756EEF" w14:textId="40636CBD" w:rsidR="001F6249" w:rsidRDefault="001F6249" w:rsidP="001F6249">
            <w:pPr>
              <w:spacing w:after="0"/>
              <w:jc w:val="left"/>
              <w:rPr>
                <w:rFonts w:asciiTheme="majorHAnsi" w:hAnsiTheme="majorHAnsi"/>
                <w:bCs/>
                <w:i/>
                <w:sz w:val="18"/>
                <w:szCs w:val="18"/>
              </w:rPr>
            </w:pPr>
            <w:r w:rsidRPr="001F6249">
              <w:rPr>
                <w:rFonts w:asciiTheme="majorHAnsi" w:hAnsiTheme="majorHAnsi"/>
                <w:bCs/>
                <w:i/>
                <w:sz w:val="18"/>
                <w:szCs w:val="18"/>
              </w:rPr>
              <w:t xml:space="preserve">- National and State Governments consider it priority to support integrated planning of its landscape and seascapes </w:t>
            </w:r>
          </w:p>
          <w:p w14:paraId="290495CB" w14:textId="77777777" w:rsidR="001F6249" w:rsidRPr="001F6249" w:rsidRDefault="001F6249" w:rsidP="001F6249">
            <w:pPr>
              <w:spacing w:after="0"/>
              <w:jc w:val="left"/>
              <w:rPr>
                <w:rFonts w:asciiTheme="majorHAnsi" w:hAnsiTheme="majorHAnsi"/>
                <w:bCs/>
                <w:i/>
                <w:sz w:val="18"/>
                <w:szCs w:val="18"/>
              </w:rPr>
            </w:pPr>
            <w:r w:rsidRPr="001F6249">
              <w:rPr>
                <w:rFonts w:asciiTheme="majorHAnsi" w:hAnsiTheme="majorHAnsi"/>
                <w:bCs/>
                <w:i/>
                <w:sz w:val="18"/>
                <w:szCs w:val="18"/>
                <w:u w:val="single"/>
              </w:rPr>
              <w:t>Risks:</w:t>
            </w:r>
            <w:r w:rsidRPr="001F6249">
              <w:rPr>
                <w:rFonts w:asciiTheme="majorHAnsi" w:hAnsiTheme="majorHAnsi"/>
                <w:bCs/>
                <w:i/>
                <w:sz w:val="18"/>
                <w:szCs w:val="18"/>
              </w:rPr>
              <w:t xml:space="preserve"> </w:t>
            </w:r>
          </w:p>
          <w:p w14:paraId="2FF35D38" w14:textId="77777777" w:rsidR="001F6249" w:rsidRPr="001F6249" w:rsidRDefault="001F6249" w:rsidP="001F6249">
            <w:pPr>
              <w:spacing w:after="0"/>
              <w:jc w:val="left"/>
              <w:rPr>
                <w:rFonts w:asciiTheme="majorHAnsi" w:hAnsiTheme="majorHAnsi"/>
                <w:bCs/>
                <w:i/>
                <w:sz w:val="18"/>
                <w:szCs w:val="18"/>
              </w:rPr>
            </w:pPr>
            <w:r w:rsidRPr="001F6249">
              <w:rPr>
                <w:rFonts w:asciiTheme="majorHAnsi" w:hAnsiTheme="majorHAnsi"/>
                <w:bCs/>
                <w:i/>
                <w:sz w:val="18"/>
                <w:szCs w:val="18"/>
              </w:rPr>
              <w:t>-Natural disaster/climate change may affect the restoration work.</w:t>
            </w:r>
          </w:p>
          <w:p w14:paraId="264C0A55" w14:textId="77777777" w:rsidR="001F6249" w:rsidRPr="001F6249" w:rsidRDefault="001F6249" w:rsidP="001F6249">
            <w:pPr>
              <w:spacing w:after="0"/>
              <w:jc w:val="left"/>
              <w:rPr>
                <w:rFonts w:asciiTheme="majorHAnsi" w:hAnsiTheme="majorHAnsi"/>
                <w:i/>
                <w:sz w:val="18"/>
                <w:szCs w:val="18"/>
              </w:rPr>
            </w:pPr>
            <w:r w:rsidRPr="001F6249">
              <w:rPr>
                <w:rFonts w:asciiTheme="majorHAnsi" w:hAnsiTheme="majorHAnsi"/>
                <w:i/>
                <w:sz w:val="18"/>
                <w:szCs w:val="18"/>
              </w:rPr>
              <w:t>-Lack of capacity in government and communities to meet obligations related to project.</w:t>
            </w:r>
          </w:p>
          <w:p w14:paraId="4E352250" w14:textId="58DE18D5" w:rsidR="001F6249" w:rsidRPr="001F6249" w:rsidRDefault="00510714" w:rsidP="001F6249">
            <w:pPr>
              <w:spacing w:after="0"/>
              <w:jc w:val="left"/>
              <w:rPr>
                <w:rFonts w:asciiTheme="majorHAnsi" w:hAnsiTheme="majorHAnsi"/>
                <w:i/>
                <w:sz w:val="18"/>
                <w:szCs w:val="18"/>
              </w:rPr>
            </w:pPr>
            <w:r>
              <w:rPr>
                <w:rFonts w:asciiTheme="majorHAnsi" w:hAnsiTheme="majorHAnsi"/>
                <w:i/>
                <w:sz w:val="18"/>
                <w:szCs w:val="18"/>
              </w:rPr>
              <w:t>-</w:t>
            </w:r>
            <w:r w:rsidR="001F6249" w:rsidRPr="001F6249">
              <w:rPr>
                <w:rFonts w:asciiTheme="majorHAnsi" w:hAnsiTheme="majorHAnsi"/>
                <w:i/>
                <w:sz w:val="18"/>
                <w:szCs w:val="18"/>
              </w:rPr>
              <w:t>Political transitions leave plans unused.</w:t>
            </w:r>
          </w:p>
          <w:p w14:paraId="6772432F" w14:textId="54D6D4C9" w:rsidR="001F6249" w:rsidRPr="00F73C3B" w:rsidRDefault="001F6249" w:rsidP="001F6249">
            <w:pPr>
              <w:spacing w:after="0"/>
              <w:jc w:val="left"/>
              <w:rPr>
                <w:rFonts w:ascii="Times New Roman" w:hAnsi="Times New Roman"/>
                <w:i/>
                <w:sz w:val="18"/>
                <w:szCs w:val="18"/>
              </w:rPr>
            </w:pPr>
            <w:r w:rsidRPr="001F6249">
              <w:rPr>
                <w:rFonts w:asciiTheme="majorHAnsi" w:hAnsiTheme="majorHAnsi"/>
                <w:i/>
                <w:sz w:val="18"/>
                <w:szCs w:val="18"/>
              </w:rPr>
              <w:t>-</w:t>
            </w:r>
            <w:r w:rsidRPr="00510714">
              <w:rPr>
                <w:rFonts w:asciiTheme="majorHAnsi" w:hAnsiTheme="majorHAnsi"/>
                <w:i/>
                <w:sz w:val="18"/>
                <w:szCs w:val="18"/>
              </w:rPr>
              <w:t>Livelihood benefits may be limited for communities to give up current unsustainable practices</w:t>
            </w:r>
          </w:p>
          <w:p w14:paraId="25884009" w14:textId="50ADFF8E" w:rsidR="001F6249" w:rsidRPr="00F73C3B" w:rsidRDefault="001F6249" w:rsidP="00510714">
            <w:pPr>
              <w:spacing w:after="0"/>
              <w:jc w:val="left"/>
              <w:rPr>
                <w:rFonts w:ascii="Times New Roman" w:hAnsi="Times New Roman"/>
                <w:i/>
                <w:sz w:val="18"/>
                <w:szCs w:val="18"/>
              </w:rPr>
            </w:pPr>
            <w:r w:rsidRPr="00F73C3B">
              <w:rPr>
                <w:rFonts w:ascii="Times New Roman" w:hAnsi="Times New Roman"/>
                <w:i/>
                <w:sz w:val="18"/>
                <w:szCs w:val="18"/>
              </w:rPr>
              <w:t xml:space="preserve">- </w:t>
            </w:r>
            <w:r w:rsidRPr="00510714">
              <w:rPr>
                <w:rFonts w:asciiTheme="majorHAnsi" w:hAnsiTheme="majorHAnsi"/>
                <w:i/>
                <w:sz w:val="18"/>
                <w:szCs w:val="18"/>
              </w:rPr>
              <w:t>Lack of involvement from private sector and/or resource users with continued unsustainable practices</w:t>
            </w:r>
          </w:p>
          <w:p w14:paraId="562D7594" w14:textId="770D6A90" w:rsidR="001F6249" w:rsidRPr="001F6249" w:rsidRDefault="001F6249" w:rsidP="001F6249">
            <w:pPr>
              <w:spacing w:after="0"/>
              <w:jc w:val="left"/>
              <w:rPr>
                <w:rFonts w:asciiTheme="majorHAnsi" w:hAnsiTheme="majorHAnsi"/>
                <w:bCs/>
                <w:i/>
                <w:sz w:val="18"/>
                <w:szCs w:val="18"/>
              </w:rPr>
            </w:pPr>
            <w:r w:rsidRPr="00510714">
              <w:rPr>
                <w:rFonts w:asciiTheme="majorHAnsi" w:hAnsiTheme="majorHAnsi"/>
                <w:i/>
                <w:sz w:val="18"/>
                <w:szCs w:val="18"/>
              </w:rPr>
              <w:t>-Conflicts over territorial issues</w:t>
            </w:r>
            <w:r w:rsidRPr="00F73C3B">
              <w:rPr>
                <w:rFonts w:ascii="Times New Roman" w:hAnsi="Times New Roman"/>
                <w:i/>
                <w:sz w:val="18"/>
                <w:szCs w:val="18"/>
              </w:rPr>
              <w:t xml:space="preserve"> </w:t>
            </w:r>
            <w:r w:rsidRPr="00510714">
              <w:rPr>
                <w:rFonts w:asciiTheme="majorHAnsi" w:hAnsiTheme="majorHAnsi"/>
                <w:i/>
                <w:sz w:val="18"/>
                <w:szCs w:val="18"/>
              </w:rPr>
              <w:t>between state and national entities</w:t>
            </w:r>
            <w:r w:rsidRPr="00F73C3B">
              <w:rPr>
                <w:rFonts w:ascii="Times New Roman" w:hAnsi="Times New Roman"/>
                <w:i/>
                <w:sz w:val="18"/>
                <w:szCs w:val="18"/>
              </w:rPr>
              <w:t xml:space="preserve"> </w:t>
            </w:r>
            <w:r w:rsidRPr="00510714">
              <w:rPr>
                <w:rFonts w:asciiTheme="majorHAnsi" w:hAnsiTheme="majorHAnsi"/>
                <w:i/>
                <w:sz w:val="18"/>
                <w:szCs w:val="18"/>
              </w:rPr>
              <w:t>could undermine efforts at promoting integrated planning</w:t>
            </w:r>
            <w:r w:rsidRPr="00F73C3B">
              <w:rPr>
                <w:rFonts w:ascii="Times New Roman" w:hAnsi="Times New Roman"/>
                <w:i/>
                <w:sz w:val="18"/>
                <w:szCs w:val="18"/>
              </w:rPr>
              <w:t xml:space="preserve"> approaches.</w:t>
            </w:r>
          </w:p>
          <w:p w14:paraId="6DA264D1" w14:textId="77777777" w:rsidR="001F6249" w:rsidRPr="00F73C3B" w:rsidRDefault="001F6249" w:rsidP="001F6249">
            <w:pPr>
              <w:spacing w:after="0"/>
              <w:jc w:val="left"/>
              <w:rPr>
                <w:rFonts w:ascii="Times New Roman" w:hAnsi="Times New Roman"/>
                <w:bCs/>
                <w:i/>
                <w:sz w:val="18"/>
                <w:szCs w:val="18"/>
              </w:rPr>
            </w:pPr>
            <w:r w:rsidRPr="001F6249">
              <w:rPr>
                <w:rFonts w:asciiTheme="majorHAnsi" w:hAnsiTheme="majorHAnsi"/>
                <w:bCs/>
                <w:i/>
                <w:sz w:val="18"/>
                <w:szCs w:val="18"/>
              </w:rPr>
              <w:t>-The States, CBOs, private sector and communities would work in close collaboration for preparation of landscape and seascape management frameworks</w:t>
            </w:r>
          </w:p>
          <w:p w14:paraId="20277FF8" w14:textId="34528A37" w:rsidR="001F6249" w:rsidRPr="0003763F" w:rsidRDefault="001F6249" w:rsidP="003B2A79">
            <w:pPr>
              <w:jc w:val="left"/>
              <w:rPr>
                <w:i/>
                <w:sz w:val="18"/>
                <w:szCs w:val="18"/>
              </w:rPr>
            </w:pPr>
          </w:p>
          <w:p w14:paraId="26650CDC" w14:textId="77777777" w:rsidR="001F6249" w:rsidRPr="0003763F" w:rsidRDefault="001F6249" w:rsidP="003B2A79">
            <w:pPr>
              <w:jc w:val="left"/>
              <w:rPr>
                <w:i/>
                <w:sz w:val="18"/>
                <w:szCs w:val="18"/>
              </w:rPr>
            </w:pPr>
            <w:r w:rsidRPr="0003763F">
              <w:rPr>
                <w:i/>
                <w:sz w:val="18"/>
                <w:szCs w:val="18"/>
              </w:rPr>
              <w:t>As above</w:t>
            </w:r>
          </w:p>
          <w:p w14:paraId="3CFEF1EF" w14:textId="0DAB1D81" w:rsidR="001F6249" w:rsidRPr="0003763F" w:rsidRDefault="001F6249" w:rsidP="003B2A79">
            <w:pPr>
              <w:jc w:val="left"/>
              <w:rPr>
                <w:i/>
                <w:sz w:val="18"/>
                <w:szCs w:val="18"/>
              </w:rPr>
            </w:pPr>
            <w:r w:rsidRPr="0003763F">
              <w:rPr>
                <w:i/>
                <w:sz w:val="18"/>
                <w:szCs w:val="18"/>
              </w:rPr>
              <w:t>As above</w:t>
            </w:r>
          </w:p>
        </w:tc>
      </w:tr>
      <w:tr w:rsidR="001F6249" w:rsidRPr="0003763F" w14:paraId="37C1DFF8" w14:textId="77777777" w:rsidTr="00510714">
        <w:trPr>
          <w:trHeight w:val="4229"/>
          <w:tblHeader/>
        </w:trPr>
        <w:tc>
          <w:tcPr>
            <w:tcW w:w="1520" w:type="dxa"/>
            <w:vMerge/>
            <w:shd w:val="clear" w:color="auto" w:fill="auto"/>
          </w:tcPr>
          <w:p w14:paraId="1ED515B1" w14:textId="77777777" w:rsidR="001F6249" w:rsidRPr="0003763F" w:rsidRDefault="001F6249" w:rsidP="003B2A79">
            <w:pPr>
              <w:rPr>
                <w:b/>
                <w:sz w:val="18"/>
                <w:szCs w:val="18"/>
              </w:rPr>
            </w:pPr>
          </w:p>
        </w:tc>
        <w:tc>
          <w:tcPr>
            <w:tcW w:w="2463" w:type="dxa"/>
            <w:shd w:val="clear" w:color="auto" w:fill="auto"/>
          </w:tcPr>
          <w:p w14:paraId="6FADF440" w14:textId="5D8D2DFB" w:rsidR="001F6249" w:rsidRPr="0003763F" w:rsidRDefault="001F6249" w:rsidP="001F6249">
            <w:pPr>
              <w:jc w:val="left"/>
              <w:rPr>
                <w:b/>
                <w:i/>
                <w:sz w:val="18"/>
                <w:szCs w:val="18"/>
              </w:rPr>
            </w:pPr>
            <w:r w:rsidRPr="008C0B6C">
              <w:rPr>
                <w:rFonts w:asciiTheme="majorHAnsi" w:hAnsiTheme="majorHAnsi"/>
                <w:bCs/>
                <w:sz w:val="18"/>
                <w:szCs w:val="18"/>
              </w:rPr>
              <w:t>Number of households benefiting from strengthened livelihoods through solutions for improved management of natural resources and provision of ecosystem services</w:t>
            </w:r>
          </w:p>
        </w:tc>
        <w:tc>
          <w:tcPr>
            <w:tcW w:w="1970" w:type="dxa"/>
          </w:tcPr>
          <w:p w14:paraId="7F8029FE" w14:textId="0C29D366" w:rsidR="001F6249" w:rsidRPr="0003763F" w:rsidRDefault="001F6249" w:rsidP="001F6249">
            <w:pPr>
              <w:jc w:val="left"/>
              <w:rPr>
                <w:i/>
                <w:sz w:val="18"/>
                <w:szCs w:val="18"/>
              </w:rPr>
            </w:pPr>
            <w:r>
              <w:rPr>
                <w:rFonts w:asciiTheme="majorHAnsi" w:hAnsiTheme="majorHAnsi"/>
                <w:bCs/>
                <w:i/>
                <w:sz w:val="18"/>
                <w:szCs w:val="18"/>
              </w:rPr>
              <w:t>At least 55% of HHs in Babeldoab</w:t>
            </w:r>
            <w:r w:rsidRPr="008C0B6C">
              <w:rPr>
                <w:rFonts w:asciiTheme="majorHAnsi" w:hAnsiTheme="majorHAnsi"/>
                <w:bCs/>
                <w:i/>
                <w:sz w:val="18"/>
                <w:szCs w:val="18"/>
              </w:rPr>
              <w:t xml:space="preserve"> states and Peleliu (at least 425HHs) </w:t>
            </w:r>
            <w:r w:rsidRPr="008C0B6C">
              <w:rPr>
                <w:rFonts w:asciiTheme="majorHAnsi" w:hAnsiTheme="majorHAnsi"/>
                <w:i/>
                <w:iCs/>
                <w:sz w:val="18"/>
                <w:szCs w:val="18"/>
              </w:rPr>
              <w:t>directly benefit through sustainable resource management approaches and incomes  (At least 50% of the beneficiaries would be women inclusive HHs)</w:t>
            </w:r>
          </w:p>
        </w:tc>
        <w:tc>
          <w:tcPr>
            <w:tcW w:w="1540" w:type="dxa"/>
            <w:shd w:val="clear" w:color="auto" w:fill="auto"/>
          </w:tcPr>
          <w:p w14:paraId="72D7E118" w14:textId="3B9FA208" w:rsidR="001F6249" w:rsidRPr="0003763F" w:rsidRDefault="001F6249" w:rsidP="001F6249">
            <w:pPr>
              <w:jc w:val="left"/>
              <w:rPr>
                <w:i/>
                <w:sz w:val="18"/>
                <w:szCs w:val="18"/>
              </w:rPr>
            </w:pPr>
            <w:r>
              <w:rPr>
                <w:rFonts w:asciiTheme="majorHAnsi" w:hAnsiTheme="majorHAnsi"/>
                <w:i/>
                <w:sz w:val="18"/>
                <w:szCs w:val="18"/>
              </w:rPr>
              <w:t>Committee, community participatory assessments, community surveys, etc.</w:t>
            </w:r>
          </w:p>
        </w:tc>
        <w:tc>
          <w:tcPr>
            <w:tcW w:w="1170" w:type="dxa"/>
            <w:shd w:val="clear" w:color="auto" w:fill="auto"/>
          </w:tcPr>
          <w:p w14:paraId="5EE33E3E" w14:textId="7617ECA9" w:rsidR="001F6249" w:rsidRPr="0003763F" w:rsidRDefault="001F6249" w:rsidP="001F6249">
            <w:pPr>
              <w:jc w:val="left"/>
              <w:rPr>
                <w:sz w:val="18"/>
                <w:szCs w:val="18"/>
              </w:rPr>
            </w:pPr>
            <w:r>
              <w:rPr>
                <w:rFonts w:asciiTheme="majorHAnsi" w:hAnsiTheme="majorHAnsi"/>
                <w:i/>
                <w:sz w:val="18"/>
                <w:szCs w:val="18"/>
              </w:rPr>
              <w:t>Annually</w:t>
            </w:r>
          </w:p>
        </w:tc>
        <w:tc>
          <w:tcPr>
            <w:tcW w:w="1440" w:type="dxa"/>
            <w:shd w:val="clear" w:color="auto" w:fill="auto"/>
          </w:tcPr>
          <w:p w14:paraId="4ED7B959" w14:textId="0EDF14D8" w:rsidR="001F6249" w:rsidRPr="0003763F" w:rsidRDefault="001F6249" w:rsidP="001F6249">
            <w:pPr>
              <w:jc w:val="left"/>
              <w:rPr>
                <w:i/>
                <w:sz w:val="18"/>
                <w:szCs w:val="18"/>
              </w:rPr>
            </w:pPr>
            <w:r>
              <w:rPr>
                <w:rFonts w:asciiTheme="majorHAnsi" w:hAnsiTheme="majorHAnsi"/>
                <w:i/>
                <w:sz w:val="18"/>
                <w:szCs w:val="18"/>
              </w:rPr>
              <w:t>State planning Teams, Technical Advisory teams</w:t>
            </w:r>
          </w:p>
        </w:tc>
        <w:tc>
          <w:tcPr>
            <w:tcW w:w="1620" w:type="dxa"/>
            <w:shd w:val="clear" w:color="auto" w:fill="auto"/>
          </w:tcPr>
          <w:p w14:paraId="44EE6998" w14:textId="1F2F6947" w:rsidR="001F6249" w:rsidRPr="0003763F" w:rsidRDefault="001F6249" w:rsidP="001F6249">
            <w:pPr>
              <w:jc w:val="left"/>
              <w:rPr>
                <w:i/>
                <w:sz w:val="18"/>
                <w:szCs w:val="18"/>
              </w:rPr>
            </w:pPr>
            <w:r>
              <w:rPr>
                <w:rFonts w:asciiTheme="majorHAnsi" w:hAnsiTheme="majorHAnsi"/>
                <w:i/>
                <w:sz w:val="18"/>
                <w:szCs w:val="18"/>
              </w:rPr>
              <w:t>Assessment and survey reports</w:t>
            </w:r>
          </w:p>
        </w:tc>
        <w:tc>
          <w:tcPr>
            <w:tcW w:w="2898" w:type="dxa"/>
            <w:vMerge/>
            <w:shd w:val="clear" w:color="auto" w:fill="auto"/>
          </w:tcPr>
          <w:p w14:paraId="0955B308" w14:textId="7F70A99A" w:rsidR="001F6249" w:rsidRPr="0003763F" w:rsidRDefault="001F6249" w:rsidP="003B2A79">
            <w:pPr>
              <w:jc w:val="left"/>
              <w:rPr>
                <w:i/>
                <w:sz w:val="18"/>
                <w:szCs w:val="18"/>
              </w:rPr>
            </w:pPr>
          </w:p>
        </w:tc>
      </w:tr>
      <w:tr w:rsidR="001F6249" w:rsidRPr="0003763F" w14:paraId="0A80B095" w14:textId="77777777" w:rsidTr="001F6249">
        <w:trPr>
          <w:trHeight w:val="260"/>
          <w:tblHeader/>
        </w:trPr>
        <w:tc>
          <w:tcPr>
            <w:tcW w:w="1520" w:type="dxa"/>
            <w:vMerge/>
            <w:shd w:val="clear" w:color="auto" w:fill="auto"/>
          </w:tcPr>
          <w:p w14:paraId="23BA116D" w14:textId="77777777" w:rsidR="001F6249" w:rsidRPr="0003763F" w:rsidRDefault="001F6249" w:rsidP="003B2A79">
            <w:pPr>
              <w:rPr>
                <w:b/>
                <w:sz w:val="18"/>
                <w:szCs w:val="18"/>
              </w:rPr>
            </w:pPr>
          </w:p>
        </w:tc>
        <w:tc>
          <w:tcPr>
            <w:tcW w:w="2463" w:type="dxa"/>
            <w:shd w:val="clear" w:color="auto" w:fill="auto"/>
          </w:tcPr>
          <w:p w14:paraId="343B3E64" w14:textId="78E69537" w:rsidR="001F6249" w:rsidRPr="0003763F" w:rsidRDefault="001F6249" w:rsidP="001F6249">
            <w:pPr>
              <w:jc w:val="left"/>
              <w:rPr>
                <w:b/>
                <w:i/>
                <w:sz w:val="18"/>
                <w:szCs w:val="18"/>
              </w:rPr>
            </w:pPr>
            <w:r w:rsidRPr="008C0B6C">
              <w:rPr>
                <w:rFonts w:asciiTheme="majorHAnsi" w:hAnsiTheme="majorHAnsi"/>
                <w:bCs/>
                <w:sz w:val="18"/>
                <w:szCs w:val="18"/>
              </w:rPr>
              <w:t>Extent to which Institutional frameworks are in place for integration of conservation, sustainable natural resource use, control and management of IAS, biodiversity and ecosystems and improved livelihoods into integrated land/seascape planning and management</w:t>
            </w:r>
          </w:p>
        </w:tc>
        <w:tc>
          <w:tcPr>
            <w:tcW w:w="1970" w:type="dxa"/>
          </w:tcPr>
          <w:p w14:paraId="5FD55A38" w14:textId="40F769AC" w:rsidR="001F6249" w:rsidRPr="0003763F" w:rsidRDefault="001F6249" w:rsidP="001F6249">
            <w:pPr>
              <w:jc w:val="left"/>
              <w:rPr>
                <w:i/>
                <w:sz w:val="18"/>
                <w:szCs w:val="18"/>
              </w:rPr>
            </w:pPr>
            <w:r w:rsidRPr="008C0B6C">
              <w:rPr>
                <w:rFonts w:asciiTheme="majorHAnsi" w:hAnsiTheme="majorHAnsi"/>
                <w:bCs/>
                <w:i/>
                <w:sz w:val="18"/>
                <w:szCs w:val="18"/>
              </w:rPr>
              <w:t>Multiple use and sustainable landscape and seascape approaches institutionalized by national legislative, policy, and institutional arrangements and planning and practice effected in 9 states</w:t>
            </w:r>
          </w:p>
        </w:tc>
        <w:tc>
          <w:tcPr>
            <w:tcW w:w="1540" w:type="dxa"/>
            <w:shd w:val="clear" w:color="auto" w:fill="auto"/>
          </w:tcPr>
          <w:p w14:paraId="16F2F2A9" w14:textId="6E9DCDB6" w:rsidR="001F6249" w:rsidRPr="0003763F" w:rsidRDefault="001F6249" w:rsidP="001F6249">
            <w:pPr>
              <w:jc w:val="left"/>
              <w:rPr>
                <w:i/>
                <w:sz w:val="18"/>
                <w:szCs w:val="18"/>
              </w:rPr>
            </w:pPr>
            <w:r>
              <w:rPr>
                <w:rFonts w:asciiTheme="majorHAnsi" w:hAnsiTheme="majorHAnsi"/>
                <w:i/>
                <w:sz w:val="18"/>
                <w:szCs w:val="18"/>
              </w:rPr>
              <w:t>Independent evaluations, institutional and collaborative agreements, consultative meetings, etc.</w:t>
            </w:r>
          </w:p>
        </w:tc>
        <w:tc>
          <w:tcPr>
            <w:tcW w:w="1170" w:type="dxa"/>
            <w:shd w:val="clear" w:color="auto" w:fill="auto"/>
          </w:tcPr>
          <w:p w14:paraId="0153E87C" w14:textId="36E9C457" w:rsidR="001F6249" w:rsidRPr="0003763F" w:rsidRDefault="001F6249" w:rsidP="001F6249">
            <w:pPr>
              <w:jc w:val="left"/>
              <w:rPr>
                <w:sz w:val="18"/>
                <w:szCs w:val="18"/>
              </w:rPr>
            </w:pPr>
            <w:r>
              <w:rPr>
                <w:rFonts w:asciiTheme="majorHAnsi" w:hAnsiTheme="majorHAnsi"/>
                <w:i/>
                <w:sz w:val="18"/>
                <w:szCs w:val="18"/>
              </w:rPr>
              <w:t>Mid-term and end-of-project</w:t>
            </w:r>
          </w:p>
        </w:tc>
        <w:tc>
          <w:tcPr>
            <w:tcW w:w="1440" w:type="dxa"/>
            <w:shd w:val="clear" w:color="auto" w:fill="auto"/>
          </w:tcPr>
          <w:p w14:paraId="4DEFACE2" w14:textId="77777777" w:rsidR="001F6249" w:rsidRPr="008C0B6C" w:rsidRDefault="001F6249" w:rsidP="001F6249">
            <w:pPr>
              <w:jc w:val="left"/>
              <w:rPr>
                <w:rFonts w:asciiTheme="majorHAnsi" w:hAnsiTheme="majorHAnsi"/>
                <w:i/>
                <w:sz w:val="18"/>
                <w:szCs w:val="18"/>
              </w:rPr>
            </w:pPr>
            <w:r>
              <w:rPr>
                <w:rFonts w:asciiTheme="majorHAnsi" w:hAnsiTheme="majorHAnsi"/>
                <w:i/>
                <w:sz w:val="18"/>
                <w:szCs w:val="18"/>
              </w:rPr>
              <w:t>PALARIS in collaboration with MNRET and State governments, and JCB</w:t>
            </w:r>
          </w:p>
          <w:p w14:paraId="0B0A7B2C" w14:textId="411E15F2" w:rsidR="001F6249" w:rsidRPr="0003763F" w:rsidRDefault="001F6249" w:rsidP="001F6249">
            <w:pPr>
              <w:jc w:val="left"/>
              <w:rPr>
                <w:i/>
                <w:sz w:val="18"/>
                <w:szCs w:val="18"/>
              </w:rPr>
            </w:pPr>
          </w:p>
        </w:tc>
        <w:tc>
          <w:tcPr>
            <w:tcW w:w="1620" w:type="dxa"/>
            <w:shd w:val="clear" w:color="auto" w:fill="auto"/>
          </w:tcPr>
          <w:p w14:paraId="2C23FB36" w14:textId="3A3CC4AC" w:rsidR="001F6249" w:rsidRPr="0003763F" w:rsidRDefault="001F6249" w:rsidP="001F6249">
            <w:pPr>
              <w:jc w:val="left"/>
              <w:rPr>
                <w:i/>
                <w:sz w:val="18"/>
                <w:szCs w:val="18"/>
              </w:rPr>
            </w:pPr>
            <w:r>
              <w:rPr>
                <w:rFonts w:asciiTheme="majorHAnsi" w:hAnsiTheme="majorHAnsi"/>
                <w:i/>
                <w:sz w:val="18"/>
                <w:szCs w:val="18"/>
              </w:rPr>
              <w:t>Independent and MTR and terminal evaluation reports</w:t>
            </w:r>
          </w:p>
        </w:tc>
        <w:tc>
          <w:tcPr>
            <w:tcW w:w="2898" w:type="dxa"/>
            <w:vMerge/>
            <w:shd w:val="clear" w:color="auto" w:fill="auto"/>
          </w:tcPr>
          <w:p w14:paraId="7B691CBE" w14:textId="07CA49BD" w:rsidR="001F6249" w:rsidRPr="0003763F" w:rsidRDefault="001F6249" w:rsidP="003B2A79">
            <w:pPr>
              <w:jc w:val="left"/>
              <w:rPr>
                <w:i/>
                <w:sz w:val="18"/>
                <w:szCs w:val="18"/>
              </w:rPr>
            </w:pPr>
          </w:p>
        </w:tc>
      </w:tr>
      <w:tr w:rsidR="003F1D79" w:rsidRPr="0003763F" w14:paraId="7442E7CE" w14:textId="77777777" w:rsidTr="001F6249">
        <w:trPr>
          <w:trHeight w:val="424"/>
          <w:tblHeader/>
        </w:trPr>
        <w:tc>
          <w:tcPr>
            <w:tcW w:w="1520" w:type="dxa"/>
            <w:vMerge w:val="restart"/>
            <w:shd w:val="clear" w:color="auto" w:fill="auto"/>
          </w:tcPr>
          <w:p w14:paraId="39C813A8" w14:textId="173A8B98" w:rsidR="003F1D79" w:rsidRPr="006D4FA7" w:rsidRDefault="003F1D79" w:rsidP="003F1D79">
            <w:pPr>
              <w:jc w:val="left"/>
              <w:rPr>
                <w:rFonts w:asciiTheme="majorHAnsi" w:hAnsiTheme="majorHAnsi"/>
                <w:b/>
                <w:sz w:val="18"/>
                <w:szCs w:val="18"/>
              </w:rPr>
            </w:pPr>
            <w:r w:rsidRPr="006D4FA7">
              <w:rPr>
                <w:rFonts w:asciiTheme="majorHAnsi" w:hAnsiTheme="majorHAnsi"/>
                <w:b/>
                <w:sz w:val="18"/>
                <w:szCs w:val="18"/>
              </w:rPr>
              <w:t xml:space="preserve">Project Outcome 1: </w:t>
            </w:r>
            <w:r w:rsidRPr="006D4FA7">
              <w:rPr>
                <w:rFonts w:asciiTheme="majorHAnsi" w:hAnsiTheme="majorHAnsi"/>
                <w:sz w:val="18"/>
                <w:szCs w:val="18"/>
              </w:rPr>
              <w:t>Enhanced national institutional capacities for integrated planning and management of land and seascapes</w:t>
            </w:r>
          </w:p>
        </w:tc>
        <w:tc>
          <w:tcPr>
            <w:tcW w:w="2463" w:type="dxa"/>
            <w:shd w:val="clear" w:color="auto" w:fill="auto"/>
          </w:tcPr>
          <w:p w14:paraId="4BA6DB4A" w14:textId="25311771" w:rsidR="003F1D79" w:rsidRPr="006D4FA7" w:rsidRDefault="003F1D79" w:rsidP="003F1D79">
            <w:pPr>
              <w:jc w:val="left"/>
              <w:rPr>
                <w:rFonts w:asciiTheme="majorHAnsi" w:hAnsiTheme="majorHAnsi"/>
                <w:b/>
                <w:i/>
                <w:sz w:val="18"/>
                <w:szCs w:val="18"/>
              </w:rPr>
            </w:pPr>
            <w:r w:rsidRPr="006D4FA7">
              <w:rPr>
                <w:rFonts w:asciiTheme="majorHAnsi" w:hAnsiTheme="majorHAnsi"/>
                <w:b/>
                <w:i/>
                <w:sz w:val="18"/>
                <w:szCs w:val="18"/>
              </w:rPr>
              <w:t xml:space="preserve">Indicator 1: </w:t>
            </w:r>
            <w:r w:rsidRPr="006D4FA7">
              <w:rPr>
                <w:rFonts w:asciiTheme="majorHAnsi" w:hAnsiTheme="majorHAnsi"/>
                <w:bCs/>
                <w:sz w:val="18"/>
                <w:szCs w:val="18"/>
              </w:rPr>
              <w:t xml:space="preserve">Level of </w:t>
            </w:r>
            <w:r w:rsidRPr="006D4FA7">
              <w:rPr>
                <w:rFonts w:asciiTheme="majorHAnsi" w:hAnsiTheme="majorHAnsi"/>
                <w:sz w:val="18"/>
                <w:szCs w:val="18"/>
              </w:rPr>
              <w:t>institutional capacities for planning, implementation and monitoring integrated land/seascape management plans as measured by UNDP land/seascape capacity development scorecard</w:t>
            </w:r>
          </w:p>
          <w:p w14:paraId="5B3775C1" w14:textId="77777777" w:rsidR="003F1D79" w:rsidRPr="0003763F" w:rsidRDefault="003F1D79" w:rsidP="003F1D79">
            <w:pPr>
              <w:jc w:val="left"/>
              <w:rPr>
                <w:sz w:val="18"/>
                <w:szCs w:val="18"/>
              </w:rPr>
            </w:pPr>
          </w:p>
        </w:tc>
        <w:tc>
          <w:tcPr>
            <w:tcW w:w="1970" w:type="dxa"/>
          </w:tcPr>
          <w:p w14:paraId="79AD5F13" w14:textId="675D1653" w:rsidR="003F1D79" w:rsidRPr="006D4FA7" w:rsidRDefault="003F1D79" w:rsidP="003F1D79">
            <w:pPr>
              <w:jc w:val="left"/>
              <w:rPr>
                <w:rFonts w:asciiTheme="majorHAnsi" w:hAnsiTheme="majorHAnsi"/>
                <w:i/>
                <w:sz w:val="18"/>
                <w:szCs w:val="18"/>
              </w:rPr>
            </w:pPr>
            <w:r w:rsidRPr="006D4FA7">
              <w:rPr>
                <w:rFonts w:asciiTheme="majorHAnsi" w:hAnsiTheme="majorHAnsi"/>
                <w:bCs/>
                <w:i/>
                <w:sz w:val="18"/>
                <w:szCs w:val="18"/>
              </w:rPr>
              <w:t xml:space="preserve">Average Increase of institutional capacity as measured by a 50 % increase in UNDP Landscape and Seascape Capacity Development Scorecard </w:t>
            </w:r>
            <w:r>
              <w:rPr>
                <w:rFonts w:asciiTheme="majorHAnsi" w:hAnsiTheme="majorHAnsi"/>
                <w:bCs/>
                <w:i/>
                <w:sz w:val="18"/>
                <w:szCs w:val="18"/>
              </w:rPr>
              <w:t xml:space="preserve">(national and state level), </w:t>
            </w:r>
            <w:r w:rsidRPr="006D4FA7">
              <w:rPr>
                <w:rFonts w:asciiTheme="majorHAnsi" w:hAnsiTheme="majorHAnsi"/>
                <w:bCs/>
                <w:i/>
                <w:sz w:val="18"/>
                <w:szCs w:val="18"/>
              </w:rPr>
              <w:t xml:space="preserve">National Environmental Management </w:t>
            </w:r>
            <w:r>
              <w:rPr>
                <w:rFonts w:asciiTheme="majorHAnsi" w:hAnsiTheme="majorHAnsi"/>
                <w:bCs/>
                <w:i/>
                <w:sz w:val="18"/>
                <w:szCs w:val="18"/>
              </w:rPr>
              <w:t xml:space="preserve">Capacity Scorecard, and </w:t>
            </w:r>
            <w:r w:rsidRPr="006D4FA7">
              <w:rPr>
                <w:rFonts w:asciiTheme="majorHAnsi" w:hAnsiTheme="majorHAnsi"/>
                <w:bCs/>
                <w:i/>
                <w:sz w:val="18"/>
                <w:szCs w:val="18"/>
              </w:rPr>
              <w:t>National biosecurity capacity score</w:t>
            </w:r>
            <w:r>
              <w:rPr>
                <w:rFonts w:asciiTheme="majorHAnsi" w:hAnsiTheme="majorHAnsi"/>
                <w:bCs/>
                <w:i/>
                <w:sz w:val="18"/>
                <w:szCs w:val="18"/>
              </w:rPr>
              <w:t xml:space="preserve">card </w:t>
            </w:r>
          </w:p>
        </w:tc>
        <w:tc>
          <w:tcPr>
            <w:tcW w:w="1540" w:type="dxa"/>
            <w:shd w:val="clear" w:color="auto" w:fill="auto"/>
          </w:tcPr>
          <w:p w14:paraId="0B2566AC" w14:textId="3D7EF2A7" w:rsidR="003F1D79" w:rsidRPr="00D80220" w:rsidRDefault="003F1D79" w:rsidP="00D80220">
            <w:pPr>
              <w:jc w:val="left"/>
              <w:rPr>
                <w:i/>
                <w:sz w:val="18"/>
                <w:szCs w:val="18"/>
              </w:rPr>
            </w:pPr>
            <w:r>
              <w:rPr>
                <w:i/>
                <w:sz w:val="18"/>
                <w:szCs w:val="18"/>
              </w:rPr>
              <w:t>Independent evaluations, consultations with national and state entities</w:t>
            </w:r>
          </w:p>
        </w:tc>
        <w:tc>
          <w:tcPr>
            <w:tcW w:w="1170" w:type="dxa"/>
            <w:shd w:val="clear" w:color="auto" w:fill="auto"/>
          </w:tcPr>
          <w:p w14:paraId="34E0973F" w14:textId="4A2FB5FA" w:rsidR="003F1D79" w:rsidRPr="00D80220" w:rsidRDefault="003F1D79" w:rsidP="00D80220">
            <w:pPr>
              <w:jc w:val="left"/>
              <w:rPr>
                <w:i/>
                <w:sz w:val="18"/>
                <w:szCs w:val="18"/>
              </w:rPr>
            </w:pPr>
            <w:r w:rsidRPr="00D80220">
              <w:rPr>
                <w:rFonts w:asciiTheme="majorHAnsi" w:hAnsiTheme="majorHAnsi"/>
                <w:i/>
                <w:sz w:val="18"/>
                <w:szCs w:val="18"/>
              </w:rPr>
              <w:t xml:space="preserve">Annually </w:t>
            </w:r>
          </w:p>
        </w:tc>
        <w:tc>
          <w:tcPr>
            <w:tcW w:w="1440" w:type="dxa"/>
            <w:shd w:val="clear" w:color="auto" w:fill="auto"/>
          </w:tcPr>
          <w:p w14:paraId="27171FA9" w14:textId="23651256" w:rsidR="003F1D79" w:rsidRPr="00D80220" w:rsidRDefault="003F1D79" w:rsidP="00D80220">
            <w:pPr>
              <w:jc w:val="left"/>
              <w:rPr>
                <w:i/>
                <w:sz w:val="18"/>
                <w:szCs w:val="18"/>
              </w:rPr>
            </w:pPr>
            <w:r>
              <w:rPr>
                <w:rFonts w:asciiTheme="majorHAnsi" w:hAnsiTheme="majorHAnsi"/>
                <w:i/>
                <w:sz w:val="18"/>
                <w:szCs w:val="18"/>
              </w:rPr>
              <w:t>EPU/MNRET under guidance from JCB/NEPC</w:t>
            </w:r>
          </w:p>
        </w:tc>
        <w:tc>
          <w:tcPr>
            <w:tcW w:w="1620" w:type="dxa"/>
            <w:shd w:val="clear" w:color="auto" w:fill="auto"/>
          </w:tcPr>
          <w:p w14:paraId="3D264CB8" w14:textId="777D30E6" w:rsidR="003F1D79" w:rsidRPr="00D80220" w:rsidRDefault="003F1D79" w:rsidP="00D80220">
            <w:pPr>
              <w:jc w:val="left"/>
              <w:rPr>
                <w:i/>
                <w:sz w:val="18"/>
                <w:szCs w:val="18"/>
              </w:rPr>
            </w:pPr>
            <w:r>
              <w:rPr>
                <w:rFonts w:asciiTheme="majorHAnsi" w:hAnsiTheme="majorHAnsi"/>
                <w:i/>
                <w:sz w:val="18"/>
                <w:szCs w:val="18"/>
              </w:rPr>
              <w:t>Independent and MTR and terminal evaluation reports facilitate Capacity Scorecard updates</w:t>
            </w:r>
            <w:r w:rsidRPr="003F1D79" w:rsidDel="00023270">
              <w:rPr>
                <w:i/>
                <w:sz w:val="18"/>
                <w:szCs w:val="18"/>
              </w:rPr>
              <w:t xml:space="preserve"> </w:t>
            </w:r>
          </w:p>
        </w:tc>
        <w:tc>
          <w:tcPr>
            <w:tcW w:w="2898" w:type="dxa"/>
            <w:shd w:val="clear" w:color="auto" w:fill="auto"/>
          </w:tcPr>
          <w:p w14:paraId="2C8BCBBC" w14:textId="77777777" w:rsidR="003F1D79" w:rsidRPr="006D4FA7" w:rsidRDefault="003F1D79" w:rsidP="003F1D79">
            <w:pPr>
              <w:spacing w:after="0"/>
              <w:jc w:val="left"/>
              <w:rPr>
                <w:rFonts w:asciiTheme="majorHAnsi" w:hAnsiTheme="majorHAnsi"/>
                <w:bCs/>
                <w:i/>
                <w:sz w:val="18"/>
                <w:szCs w:val="18"/>
              </w:rPr>
            </w:pPr>
            <w:r w:rsidRPr="006D4FA7">
              <w:rPr>
                <w:rFonts w:asciiTheme="majorHAnsi" w:hAnsiTheme="majorHAnsi"/>
                <w:bCs/>
                <w:i/>
                <w:sz w:val="18"/>
                <w:szCs w:val="18"/>
                <w:u w:val="single"/>
              </w:rPr>
              <w:t>Assumption:</w:t>
            </w:r>
            <w:r w:rsidRPr="006D4FA7">
              <w:rPr>
                <w:rFonts w:asciiTheme="majorHAnsi" w:hAnsiTheme="majorHAnsi"/>
                <w:bCs/>
                <w:i/>
                <w:sz w:val="18"/>
                <w:szCs w:val="18"/>
              </w:rPr>
              <w:t xml:space="preserve"> </w:t>
            </w:r>
          </w:p>
          <w:p w14:paraId="0A13B900" w14:textId="77777777" w:rsidR="003F1D79" w:rsidRPr="006D4FA7" w:rsidRDefault="003F1D79" w:rsidP="003F1D79">
            <w:pPr>
              <w:spacing w:after="0"/>
              <w:jc w:val="left"/>
              <w:rPr>
                <w:rFonts w:asciiTheme="majorHAnsi" w:hAnsiTheme="majorHAnsi"/>
                <w:bCs/>
                <w:i/>
                <w:sz w:val="18"/>
                <w:szCs w:val="18"/>
              </w:rPr>
            </w:pPr>
            <w:r w:rsidRPr="006D4FA7">
              <w:rPr>
                <w:rFonts w:asciiTheme="majorHAnsi" w:hAnsiTheme="majorHAnsi"/>
                <w:bCs/>
                <w:i/>
                <w:sz w:val="18"/>
                <w:szCs w:val="18"/>
              </w:rPr>
              <w:t xml:space="preserve">-The national government will develop appropriate legislative, policy, institutional and technical measures that facilitate integrated landscape and seascape planning and management in a timely manner. </w:t>
            </w:r>
          </w:p>
          <w:p w14:paraId="31ACF657" w14:textId="77777777" w:rsidR="003F1D79" w:rsidRPr="006D4FA7" w:rsidRDefault="003F1D79" w:rsidP="003F1D79">
            <w:pPr>
              <w:spacing w:after="0"/>
              <w:jc w:val="left"/>
              <w:rPr>
                <w:rFonts w:asciiTheme="majorHAnsi" w:hAnsiTheme="majorHAnsi"/>
                <w:bCs/>
                <w:i/>
                <w:sz w:val="18"/>
                <w:szCs w:val="18"/>
              </w:rPr>
            </w:pPr>
            <w:r w:rsidRPr="006D4FA7">
              <w:rPr>
                <w:rFonts w:asciiTheme="majorHAnsi" w:hAnsiTheme="majorHAnsi"/>
                <w:bCs/>
                <w:i/>
                <w:sz w:val="18"/>
                <w:szCs w:val="18"/>
              </w:rPr>
              <w:t xml:space="preserve">-Development strategies and management plans will be officially approved by State governments with allocation of appropriate staff and funding for their implementation  </w:t>
            </w:r>
          </w:p>
          <w:p w14:paraId="53732A11" w14:textId="77777777" w:rsidR="003F1D79" w:rsidRPr="006D4FA7" w:rsidRDefault="003F1D79" w:rsidP="003F1D79">
            <w:pPr>
              <w:spacing w:after="0"/>
              <w:jc w:val="left"/>
              <w:rPr>
                <w:rFonts w:asciiTheme="majorHAnsi" w:hAnsiTheme="majorHAnsi"/>
                <w:bCs/>
                <w:i/>
                <w:sz w:val="18"/>
                <w:szCs w:val="18"/>
              </w:rPr>
            </w:pPr>
            <w:r w:rsidRPr="006D4FA7">
              <w:rPr>
                <w:rFonts w:asciiTheme="majorHAnsi" w:hAnsiTheme="majorHAnsi"/>
                <w:bCs/>
                <w:i/>
                <w:sz w:val="18"/>
                <w:szCs w:val="18"/>
              </w:rPr>
              <w:t>-The States will take active part in developing the strategies and implementation using new knowledge and skills provided by the project</w:t>
            </w:r>
          </w:p>
          <w:p w14:paraId="0421AC71" w14:textId="77777777" w:rsidR="003F1D79" w:rsidRPr="006D4FA7" w:rsidRDefault="003F1D79" w:rsidP="003F1D79">
            <w:pPr>
              <w:jc w:val="left"/>
              <w:rPr>
                <w:rFonts w:asciiTheme="majorHAnsi" w:hAnsiTheme="majorHAnsi"/>
                <w:bCs/>
                <w:i/>
                <w:sz w:val="18"/>
                <w:szCs w:val="18"/>
              </w:rPr>
            </w:pPr>
            <w:r w:rsidRPr="006D4FA7">
              <w:rPr>
                <w:rFonts w:asciiTheme="majorHAnsi" w:hAnsiTheme="majorHAnsi"/>
                <w:bCs/>
                <w:i/>
                <w:sz w:val="18"/>
                <w:szCs w:val="18"/>
              </w:rPr>
              <w:t>-Local communities are convinced mainstreaming biodiversity into key development sectors is in their long-term interests</w:t>
            </w:r>
          </w:p>
          <w:p w14:paraId="1AE10B7F" w14:textId="77777777" w:rsidR="003F1D79" w:rsidRPr="006D4FA7" w:rsidRDefault="003F1D79" w:rsidP="003F1D79">
            <w:pPr>
              <w:jc w:val="left"/>
              <w:rPr>
                <w:rFonts w:asciiTheme="majorHAnsi" w:hAnsiTheme="majorHAnsi"/>
                <w:bCs/>
                <w:i/>
                <w:sz w:val="18"/>
                <w:szCs w:val="18"/>
                <w:u w:val="single"/>
              </w:rPr>
            </w:pPr>
            <w:r w:rsidRPr="006D4FA7">
              <w:rPr>
                <w:rFonts w:asciiTheme="majorHAnsi" w:hAnsiTheme="majorHAnsi"/>
                <w:bCs/>
                <w:i/>
                <w:sz w:val="18"/>
                <w:szCs w:val="18"/>
                <w:u w:val="single"/>
              </w:rPr>
              <w:t>Risks:</w:t>
            </w:r>
          </w:p>
          <w:p w14:paraId="4682D390" w14:textId="77777777" w:rsidR="003F1D79" w:rsidRPr="006D4FA7" w:rsidRDefault="003F1D79" w:rsidP="003F1D79">
            <w:pPr>
              <w:jc w:val="left"/>
              <w:rPr>
                <w:rFonts w:asciiTheme="majorHAnsi" w:hAnsiTheme="majorHAnsi"/>
                <w:bCs/>
                <w:i/>
                <w:sz w:val="18"/>
                <w:szCs w:val="18"/>
              </w:rPr>
            </w:pPr>
            <w:r w:rsidRPr="006D4FA7">
              <w:rPr>
                <w:rFonts w:asciiTheme="majorHAnsi" w:hAnsiTheme="majorHAnsi"/>
                <w:bCs/>
                <w:i/>
                <w:sz w:val="18"/>
                <w:szCs w:val="18"/>
              </w:rPr>
              <w:t xml:space="preserve">-Priorities of state governments and local communities might shift if development benefits take long to manifest </w:t>
            </w:r>
          </w:p>
          <w:p w14:paraId="23FB1FA5" w14:textId="77777777" w:rsidR="003F1D79" w:rsidRPr="006D4FA7" w:rsidRDefault="003F1D79" w:rsidP="003F1D79">
            <w:pPr>
              <w:jc w:val="left"/>
              <w:rPr>
                <w:rFonts w:asciiTheme="majorHAnsi" w:hAnsiTheme="majorHAnsi"/>
                <w:bCs/>
                <w:i/>
                <w:sz w:val="18"/>
                <w:szCs w:val="18"/>
              </w:rPr>
            </w:pPr>
            <w:r w:rsidRPr="006D4FA7">
              <w:rPr>
                <w:rFonts w:asciiTheme="majorHAnsi" w:hAnsiTheme="majorHAnsi"/>
                <w:bCs/>
                <w:i/>
                <w:sz w:val="18"/>
                <w:szCs w:val="18"/>
              </w:rPr>
              <w:t>- Plans are developed by not used, particularly by resource users (e.g. private sector)</w:t>
            </w:r>
          </w:p>
          <w:p w14:paraId="0159FCC6" w14:textId="792E6AE8" w:rsidR="003F1D79" w:rsidRPr="0003763F" w:rsidRDefault="003F1D79" w:rsidP="003F1D79">
            <w:pPr>
              <w:jc w:val="left"/>
              <w:rPr>
                <w:sz w:val="18"/>
                <w:szCs w:val="18"/>
              </w:rPr>
            </w:pPr>
            <w:r w:rsidRPr="006D4FA7">
              <w:rPr>
                <w:rFonts w:asciiTheme="majorHAnsi" w:hAnsiTheme="majorHAnsi"/>
                <w:bCs/>
                <w:i/>
                <w:sz w:val="18"/>
                <w:szCs w:val="18"/>
              </w:rPr>
              <w:t>- Planning bodies that build capacity are disbanded and knowledge is lost</w:t>
            </w:r>
          </w:p>
        </w:tc>
      </w:tr>
      <w:tr w:rsidR="001F6249" w:rsidRPr="0003763F" w14:paraId="5E89FF8E" w14:textId="77777777" w:rsidTr="001F6249">
        <w:trPr>
          <w:trHeight w:val="424"/>
        </w:trPr>
        <w:tc>
          <w:tcPr>
            <w:tcW w:w="1520" w:type="dxa"/>
            <w:vMerge/>
            <w:shd w:val="clear" w:color="auto" w:fill="auto"/>
          </w:tcPr>
          <w:p w14:paraId="45C3CCA9" w14:textId="77777777" w:rsidR="003E3ABA" w:rsidRPr="0003763F" w:rsidRDefault="003E3ABA" w:rsidP="003B2A79">
            <w:pPr>
              <w:rPr>
                <w:b/>
                <w:sz w:val="18"/>
                <w:szCs w:val="18"/>
              </w:rPr>
            </w:pPr>
          </w:p>
        </w:tc>
        <w:tc>
          <w:tcPr>
            <w:tcW w:w="2463" w:type="dxa"/>
            <w:shd w:val="clear" w:color="auto" w:fill="auto"/>
          </w:tcPr>
          <w:p w14:paraId="038F5A52" w14:textId="04C830AF" w:rsidR="003E3ABA" w:rsidRPr="006D4FA7" w:rsidRDefault="00B850BA" w:rsidP="003B2A79">
            <w:pPr>
              <w:jc w:val="left"/>
              <w:rPr>
                <w:rFonts w:asciiTheme="majorHAnsi" w:hAnsiTheme="majorHAnsi"/>
                <w:sz w:val="18"/>
                <w:szCs w:val="18"/>
              </w:rPr>
            </w:pPr>
            <w:r w:rsidRPr="006D4FA7">
              <w:rPr>
                <w:rFonts w:asciiTheme="majorHAnsi" w:hAnsiTheme="majorHAnsi"/>
                <w:bCs/>
                <w:sz w:val="18"/>
                <w:szCs w:val="18"/>
              </w:rPr>
              <w:t>Increase</w:t>
            </w:r>
            <w:r>
              <w:rPr>
                <w:rFonts w:asciiTheme="majorHAnsi" w:hAnsiTheme="majorHAnsi"/>
                <w:bCs/>
                <w:sz w:val="18"/>
                <w:szCs w:val="18"/>
              </w:rPr>
              <w:t>d</w:t>
            </w:r>
            <w:r w:rsidRPr="006D4FA7">
              <w:rPr>
                <w:rFonts w:asciiTheme="majorHAnsi" w:hAnsiTheme="majorHAnsi"/>
                <w:bCs/>
                <w:sz w:val="18"/>
                <w:szCs w:val="18"/>
              </w:rPr>
              <w:t xml:space="preserve"> percentage </w:t>
            </w:r>
            <w:r w:rsidRPr="006D4FA7">
              <w:rPr>
                <w:rFonts w:asciiTheme="majorHAnsi" w:hAnsiTheme="majorHAnsi"/>
                <w:sz w:val="18"/>
                <w:szCs w:val="18"/>
              </w:rPr>
              <w:t>of new permitted developments in the identified key sectors that trigger requirement for environmental assessment and integrates relevant national policies and practices that mainstream biodiversity</w:t>
            </w:r>
          </w:p>
        </w:tc>
        <w:tc>
          <w:tcPr>
            <w:tcW w:w="1970" w:type="dxa"/>
          </w:tcPr>
          <w:p w14:paraId="2D88B6FC" w14:textId="0F005A5B" w:rsidR="003E3ABA" w:rsidRPr="006D4FA7" w:rsidRDefault="00B850BA" w:rsidP="006D4FA7">
            <w:pPr>
              <w:jc w:val="left"/>
              <w:rPr>
                <w:rFonts w:asciiTheme="majorHAnsi" w:hAnsiTheme="majorHAnsi"/>
                <w:i/>
                <w:sz w:val="18"/>
                <w:szCs w:val="18"/>
              </w:rPr>
            </w:pPr>
            <w:r w:rsidRPr="006D4FA7">
              <w:rPr>
                <w:rFonts w:asciiTheme="majorHAnsi" w:hAnsiTheme="majorHAnsi"/>
                <w:i/>
                <w:sz w:val="18"/>
                <w:szCs w:val="18"/>
              </w:rPr>
              <w:t xml:space="preserve">At least 15% of new developments in the identified key sectors integrates relevant national policies and practices that mainstream biodiversity and </w:t>
            </w:r>
            <w:r>
              <w:rPr>
                <w:rFonts w:asciiTheme="majorHAnsi" w:hAnsiTheme="majorHAnsi"/>
                <w:i/>
                <w:sz w:val="18"/>
                <w:szCs w:val="18"/>
              </w:rPr>
              <w:t xml:space="preserve">EA </w:t>
            </w:r>
            <w:r w:rsidRPr="006D4FA7">
              <w:rPr>
                <w:rFonts w:asciiTheme="majorHAnsi" w:hAnsiTheme="majorHAnsi"/>
                <w:i/>
                <w:sz w:val="18"/>
                <w:szCs w:val="18"/>
              </w:rPr>
              <w:t>violations down to 5%</w:t>
            </w:r>
          </w:p>
        </w:tc>
        <w:tc>
          <w:tcPr>
            <w:tcW w:w="1540" w:type="dxa"/>
            <w:shd w:val="clear" w:color="auto" w:fill="auto"/>
          </w:tcPr>
          <w:p w14:paraId="70E0A80D" w14:textId="18C9E895" w:rsidR="003E3ABA" w:rsidRPr="0003763F" w:rsidRDefault="003F1D79" w:rsidP="003B2A79">
            <w:pPr>
              <w:rPr>
                <w:i/>
                <w:sz w:val="18"/>
                <w:szCs w:val="18"/>
              </w:rPr>
            </w:pPr>
            <w:r>
              <w:rPr>
                <w:i/>
                <w:sz w:val="18"/>
                <w:szCs w:val="18"/>
              </w:rPr>
              <w:t>Environmental assessments, compliance review, etc.</w:t>
            </w:r>
          </w:p>
        </w:tc>
        <w:tc>
          <w:tcPr>
            <w:tcW w:w="1170" w:type="dxa"/>
            <w:shd w:val="clear" w:color="auto" w:fill="auto"/>
          </w:tcPr>
          <w:p w14:paraId="759BF800" w14:textId="14EC6DE1" w:rsidR="003E3ABA" w:rsidRPr="0003763F" w:rsidRDefault="003F1D79" w:rsidP="003B2A79">
            <w:pPr>
              <w:jc w:val="left"/>
              <w:rPr>
                <w:sz w:val="18"/>
                <w:szCs w:val="18"/>
              </w:rPr>
            </w:pPr>
            <w:r>
              <w:rPr>
                <w:i/>
                <w:sz w:val="18"/>
                <w:szCs w:val="18"/>
              </w:rPr>
              <w:t>Annually</w:t>
            </w:r>
          </w:p>
        </w:tc>
        <w:tc>
          <w:tcPr>
            <w:tcW w:w="1440" w:type="dxa"/>
            <w:shd w:val="clear" w:color="auto" w:fill="auto"/>
          </w:tcPr>
          <w:p w14:paraId="7B860CCF" w14:textId="4D400ABB" w:rsidR="003E3ABA" w:rsidRPr="0003763F" w:rsidRDefault="003F1D79" w:rsidP="003B2A79">
            <w:pPr>
              <w:rPr>
                <w:sz w:val="18"/>
                <w:szCs w:val="18"/>
              </w:rPr>
            </w:pPr>
            <w:r>
              <w:rPr>
                <w:i/>
                <w:sz w:val="18"/>
                <w:szCs w:val="18"/>
              </w:rPr>
              <w:t>EQPB</w:t>
            </w:r>
          </w:p>
        </w:tc>
        <w:tc>
          <w:tcPr>
            <w:tcW w:w="1620" w:type="dxa"/>
            <w:shd w:val="clear" w:color="auto" w:fill="auto"/>
          </w:tcPr>
          <w:p w14:paraId="60A6684B" w14:textId="2CE89867" w:rsidR="003E3ABA" w:rsidRPr="0003763F" w:rsidRDefault="003F1D79" w:rsidP="003B2A79">
            <w:pPr>
              <w:rPr>
                <w:sz w:val="18"/>
                <w:szCs w:val="18"/>
              </w:rPr>
            </w:pPr>
            <w:r>
              <w:rPr>
                <w:i/>
                <w:sz w:val="18"/>
                <w:szCs w:val="18"/>
              </w:rPr>
              <w:t xml:space="preserve">EA and EIS reports, </w:t>
            </w:r>
          </w:p>
        </w:tc>
        <w:tc>
          <w:tcPr>
            <w:tcW w:w="2898" w:type="dxa"/>
            <w:shd w:val="clear" w:color="auto" w:fill="auto"/>
          </w:tcPr>
          <w:p w14:paraId="44AAB534" w14:textId="77777777" w:rsidR="00B850BA" w:rsidRPr="006D4FA7" w:rsidRDefault="00B850BA" w:rsidP="006D4FA7">
            <w:pPr>
              <w:jc w:val="left"/>
              <w:rPr>
                <w:rFonts w:asciiTheme="majorHAnsi" w:hAnsiTheme="majorHAnsi"/>
                <w:bCs/>
                <w:i/>
                <w:sz w:val="18"/>
                <w:szCs w:val="18"/>
              </w:rPr>
            </w:pPr>
            <w:r w:rsidRPr="006D4FA7">
              <w:rPr>
                <w:rFonts w:asciiTheme="majorHAnsi" w:hAnsiTheme="majorHAnsi"/>
                <w:bCs/>
                <w:i/>
                <w:sz w:val="18"/>
                <w:szCs w:val="18"/>
              </w:rPr>
              <w:t xml:space="preserve">Assumptions: </w:t>
            </w:r>
          </w:p>
          <w:p w14:paraId="63F66282" w14:textId="77777777" w:rsidR="00B850BA" w:rsidRPr="006D4FA7" w:rsidRDefault="00B850BA" w:rsidP="006D4FA7">
            <w:pPr>
              <w:spacing w:after="0"/>
              <w:jc w:val="left"/>
              <w:rPr>
                <w:rFonts w:asciiTheme="majorHAnsi" w:hAnsiTheme="majorHAnsi"/>
                <w:bCs/>
                <w:i/>
                <w:sz w:val="18"/>
                <w:szCs w:val="18"/>
              </w:rPr>
            </w:pPr>
            <w:r w:rsidRPr="006D4FA7">
              <w:rPr>
                <w:rFonts w:asciiTheme="majorHAnsi" w:hAnsiTheme="majorHAnsi"/>
                <w:bCs/>
                <w:sz w:val="18"/>
                <w:szCs w:val="18"/>
              </w:rPr>
              <w:t>-</w:t>
            </w:r>
            <w:r w:rsidRPr="006D4FA7">
              <w:rPr>
                <w:rFonts w:asciiTheme="majorHAnsi" w:hAnsiTheme="majorHAnsi"/>
                <w:bCs/>
                <w:i/>
                <w:sz w:val="18"/>
                <w:szCs w:val="18"/>
              </w:rPr>
              <w:t>EQPB capacity effectively enhanced to develop, monitor and enforce regulations</w:t>
            </w:r>
          </w:p>
          <w:p w14:paraId="7E2DEE2A" w14:textId="77777777" w:rsidR="00B850BA" w:rsidRPr="006D4FA7" w:rsidRDefault="00B850BA" w:rsidP="006D4FA7">
            <w:pPr>
              <w:spacing w:after="0"/>
              <w:jc w:val="left"/>
              <w:rPr>
                <w:rFonts w:asciiTheme="majorHAnsi" w:hAnsiTheme="majorHAnsi"/>
                <w:bCs/>
                <w:i/>
                <w:sz w:val="18"/>
                <w:szCs w:val="18"/>
              </w:rPr>
            </w:pPr>
            <w:r w:rsidRPr="006D4FA7">
              <w:rPr>
                <w:rFonts w:asciiTheme="majorHAnsi" w:hAnsiTheme="majorHAnsi"/>
                <w:bCs/>
                <w:i/>
                <w:sz w:val="18"/>
                <w:szCs w:val="18"/>
              </w:rPr>
              <w:t>-National policies are in-place that provide specific direction to management priorities granting EQPB sufficient authority to manage environmental consequences of development through impact reduction, avoidance or mitigation).</w:t>
            </w:r>
          </w:p>
          <w:p w14:paraId="4316B266" w14:textId="77777777" w:rsidR="00B850BA" w:rsidRPr="006D4FA7" w:rsidRDefault="00B850BA" w:rsidP="006D4FA7">
            <w:pPr>
              <w:spacing w:after="0"/>
              <w:jc w:val="left"/>
              <w:rPr>
                <w:rFonts w:asciiTheme="majorHAnsi" w:hAnsiTheme="majorHAnsi"/>
                <w:bCs/>
                <w:i/>
                <w:sz w:val="18"/>
                <w:szCs w:val="18"/>
              </w:rPr>
            </w:pPr>
            <w:r w:rsidRPr="006D4FA7">
              <w:rPr>
                <w:rFonts w:asciiTheme="majorHAnsi" w:hAnsiTheme="majorHAnsi"/>
                <w:bCs/>
                <w:i/>
                <w:sz w:val="18"/>
                <w:szCs w:val="18"/>
              </w:rPr>
              <w:t>Policy/regulations on size/types of development requiring permits revised</w:t>
            </w:r>
          </w:p>
          <w:p w14:paraId="58C6D7AF" w14:textId="77777777" w:rsidR="00B850BA" w:rsidRPr="006D4FA7" w:rsidRDefault="00B850BA" w:rsidP="006D4FA7">
            <w:pPr>
              <w:spacing w:after="0"/>
              <w:jc w:val="left"/>
              <w:rPr>
                <w:rFonts w:asciiTheme="majorHAnsi" w:hAnsiTheme="majorHAnsi"/>
                <w:bCs/>
                <w:i/>
                <w:sz w:val="18"/>
                <w:szCs w:val="18"/>
                <w:u w:val="single"/>
              </w:rPr>
            </w:pPr>
            <w:r w:rsidRPr="006D4FA7">
              <w:rPr>
                <w:rFonts w:asciiTheme="majorHAnsi" w:hAnsiTheme="majorHAnsi"/>
                <w:bCs/>
                <w:i/>
                <w:sz w:val="18"/>
                <w:szCs w:val="18"/>
                <w:u w:val="single"/>
              </w:rPr>
              <w:t xml:space="preserve">Risks:  </w:t>
            </w:r>
          </w:p>
          <w:p w14:paraId="5F4D2C3D" w14:textId="77777777" w:rsidR="00B850BA" w:rsidRPr="006D4FA7" w:rsidRDefault="00B850BA" w:rsidP="006D4FA7">
            <w:pPr>
              <w:spacing w:after="0"/>
              <w:jc w:val="left"/>
              <w:rPr>
                <w:rFonts w:asciiTheme="majorHAnsi" w:hAnsiTheme="majorHAnsi"/>
                <w:bCs/>
                <w:i/>
                <w:sz w:val="18"/>
                <w:szCs w:val="18"/>
              </w:rPr>
            </w:pPr>
            <w:r w:rsidRPr="006D4FA7">
              <w:rPr>
                <w:rFonts w:asciiTheme="majorHAnsi" w:hAnsiTheme="majorHAnsi"/>
                <w:bCs/>
                <w:i/>
                <w:sz w:val="18"/>
                <w:szCs w:val="18"/>
              </w:rPr>
              <w:t>- The state ownership of resources can complicate as to which body, the state or EQPB has authority over environmental management issues.</w:t>
            </w:r>
          </w:p>
          <w:p w14:paraId="6AFBF244" w14:textId="1B97120E" w:rsidR="003E3ABA" w:rsidRPr="0003763F" w:rsidRDefault="00B850BA" w:rsidP="006D4FA7">
            <w:pPr>
              <w:spacing w:after="0"/>
              <w:jc w:val="left"/>
              <w:rPr>
                <w:i/>
                <w:sz w:val="18"/>
                <w:szCs w:val="18"/>
              </w:rPr>
            </w:pPr>
            <w:r w:rsidRPr="006D4FA7">
              <w:rPr>
                <w:rFonts w:asciiTheme="majorHAnsi" w:hAnsiTheme="majorHAnsi"/>
                <w:bCs/>
                <w:i/>
                <w:sz w:val="18"/>
                <w:szCs w:val="18"/>
              </w:rPr>
              <w:t>- Political pressure limits the number of projects that require EAs.</w:t>
            </w:r>
          </w:p>
        </w:tc>
      </w:tr>
      <w:tr w:rsidR="00D80220" w:rsidRPr="0003763F" w14:paraId="5BFFFA56" w14:textId="77777777" w:rsidTr="001F6249">
        <w:trPr>
          <w:trHeight w:val="424"/>
        </w:trPr>
        <w:tc>
          <w:tcPr>
            <w:tcW w:w="1520" w:type="dxa"/>
            <w:vMerge/>
            <w:shd w:val="clear" w:color="auto" w:fill="auto"/>
          </w:tcPr>
          <w:p w14:paraId="6F1DD74E" w14:textId="77777777" w:rsidR="00D80220" w:rsidRPr="0003763F" w:rsidRDefault="00D80220" w:rsidP="00D80220">
            <w:pPr>
              <w:rPr>
                <w:b/>
                <w:sz w:val="18"/>
                <w:szCs w:val="18"/>
              </w:rPr>
            </w:pPr>
          </w:p>
        </w:tc>
        <w:tc>
          <w:tcPr>
            <w:tcW w:w="2463" w:type="dxa"/>
            <w:shd w:val="clear" w:color="auto" w:fill="auto"/>
          </w:tcPr>
          <w:p w14:paraId="66D9BAAD" w14:textId="0D9C5105" w:rsidR="00D80220" w:rsidRPr="006D4FA7" w:rsidRDefault="00D80220" w:rsidP="00D80220">
            <w:pPr>
              <w:jc w:val="left"/>
              <w:rPr>
                <w:rFonts w:asciiTheme="majorHAnsi" w:hAnsiTheme="majorHAnsi"/>
                <w:sz w:val="18"/>
                <w:szCs w:val="18"/>
              </w:rPr>
            </w:pPr>
            <w:r w:rsidRPr="006D4FA7">
              <w:rPr>
                <w:rFonts w:asciiTheme="majorHAnsi" w:hAnsiTheme="majorHAnsi"/>
                <w:sz w:val="18"/>
                <w:szCs w:val="18"/>
              </w:rPr>
              <w:t>Comprehensiveness of national level IAS management framework and ability to prevent IAS of high risk to biodiversity from entering Palau, as measured by IAS Tracking Tool</w:t>
            </w:r>
          </w:p>
        </w:tc>
        <w:tc>
          <w:tcPr>
            <w:tcW w:w="1970" w:type="dxa"/>
          </w:tcPr>
          <w:p w14:paraId="49DB7C0D" w14:textId="40DCED8E" w:rsidR="00D80220" w:rsidRPr="00B46B12" w:rsidRDefault="00D80220" w:rsidP="00B46B12">
            <w:pPr>
              <w:jc w:val="left"/>
              <w:rPr>
                <w:rFonts w:asciiTheme="majorHAnsi" w:hAnsiTheme="majorHAnsi"/>
                <w:i/>
                <w:sz w:val="18"/>
                <w:szCs w:val="18"/>
              </w:rPr>
            </w:pPr>
            <w:r w:rsidRPr="00B46B12">
              <w:rPr>
                <w:rFonts w:asciiTheme="majorHAnsi" w:hAnsiTheme="majorHAnsi"/>
                <w:i/>
                <w:sz w:val="18"/>
                <w:szCs w:val="18"/>
              </w:rPr>
              <w:t>Improved surveillance and controls for prevention of high risk IAS from entering Palau as measured by 50% increased score in the GEF IAS Tracking Tool (from baseline 9 to 15)</w:t>
            </w:r>
          </w:p>
        </w:tc>
        <w:tc>
          <w:tcPr>
            <w:tcW w:w="1540" w:type="dxa"/>
            <w:shd w:val="clear" w:color="auto" w:fill="auto"/>
          </w:tcPr>
          <w:p w14:paraId="0432EC92" w14:textId="3C3AC54C" w:rsidR="00D80220" w:rsidRPr="00D80220" w:rsidRDefault="00D80220" w:rsidP="00D80220">
            <w:pPr>
              <w:jc w:val="left"/>
              <w:rPr>
                <w:i/>
                <w:sz w:val="18"/>
                <w:szCs w:val="18"/>
              </w:rPr>
            </w:pPr>
            <w:r w:rsidRPr="00D80220">
              <w:rPr>
                <w:rFonts w:asciiTheme="majorHAnsi" w:hAnsiTheme="majorHAnsi"/>
                <w:i/>
                <w:sz w:val="18"/>
                <w:szCs w:val="18"/>
              </w:rPr>
              <w:t xml:space="preserve">Consultations with </w:t>
            </w:r>
            <w:r>
              <w:rPr>
                <w:rFonts w:asciiTheme="majorHAnsi" w:hAnsiTheme="majorHAnsi"/>
                <w:i/>
                <w:sz w:val="18"/>
                <w:szCs w:val="18"/>
              </w:rPr>
              <w:t xml:space="preserve">regulatory agency </w:t>
            </w:r>
            <w:r w:rsidRPr="00D80220">
              <w:rPr>
                <w:rFonts w:asciiTheme="majorHAnsi" w:hAnsiTheme="majorHAnsi"/>
                <w:i/>
                <w:sz w:val="18"/>
                <w:szCs w:val="18"/>
              </w:rPr>
              <w:t>staff and importers</w:t>
            </w:r>
          </w:p>
        </w:tc>
        <w:tc>
          <w:tcPr>
            <w:tcW w:w="1170" w:type="dxa"/>
            <w:shd w:val="clear" w:color="auto" w:fill="auto"/>
          </w:tcPr>
          <w:p w14:paraId="30AA5B75" w14:textId="07FC8A52" w:rsidR="00D80220" w:rsidRPr="00D80220" w:rsidRDefault="00D80220" w:rsidP="00D80220">
            <w:pPr>
              <w:jc w:val="left"/>
              <w:rPr>
                <w:i/>
                <w:sz w:val="18"/>
                <w:szCs w:val="18"/>
              </w:rPr>
            </w:pPr>
            <w:r w:rsidRPr="00D80220">
              <w:rPr>
                <w:rFonts w:asciiTheme="majorHAnsi" w:hAnsiTheme="majorHAnsi"/>
                <w:i/>
                <w:sz w:val="18"/>
                <w:szCs w:val="18"/>
              </w:rPr>
              <w:t>Annually</w:t>
            </w:r>
          </w:p>
        </w:tc>
        <w:tc>
          <w:tcPr>
            <w:tcW w:w="1440" w:type="dxa"/>
            <w:shd w:val="clear" w:color="auto" w:fill="auto"/>
          </w:tcPr>
          <w:p w14:paraId="128356BF" w14:textId="27B6E860" w:rsidR="00D80220" w:rsidRPr="00D80220" w:rsidRDefault="00D80220" w:rsidP="00D80220">
            <w:pPr>
              <w:jc w:val="left"/>
              <w:rPr>
                <w:i/>
                <w:sz w:val="18"/>
                <w:szCs w:val="18"/>
              </w:rPr>
            </w:pPr>
            <w:r>
              <w:rPr>
                <w:rFonts w:asciiTheme="majorHAnsi" w:hAnsiTheme="majorHAnsi"/>
                <w:i/>
                <w:sz w:val="18"/>
                <w:szCs w:val="18"/>
              </w:rPr>
              <w:t>Project Manager</w:t>
            </w:r>
            <w:r w:rsidR="00B97E2E">
              <w:rPr>
                <w:rFonts w:asciiTheme="majorHAnsi" w:hAnsiTheme="majorHAnsi"/>
                <w:i/>
                <w:sz w:val="18"/>
                <w:szCs w:val="18"/>
              </w:rPr>
              <w:t xml:space="preserve"> in consultation with NISC</w:t>
            </w:r>
          </w:p>
        </w:tc>
        <w:tc>
          <w:tcPr>
            <w:tcW w:w="1620" w:type="dxa"/>
            <w:shd w:val="clear" w:color="auto" w:fill="auto"/>
          </w:tcPr>
          <w:p w14:paraId="53A39C8D" w14:textId="302274FE" w:rsidR="00D80220" w:rsidRPr="00D80220" w:rsidRDefault="00B97E2E" w:rsidP="00B97E2E">
            <w:pPr>
              <w:jc w:val="left"/>
              <w:rPr>
                <w:i/>
                <w:sz w:val="18"/>
                <w:szCs w:val="18"/>
              </w:rPr>
            </w:pPr>
            <w:r>
              <w:rPr>
                <w:rFonts w:asciiTheme="majorHAnsi" w:hAnsiTheme="majorHAnsi"/>
                <w:i/>
                <w:sz w:val="18"/>
                <w:szCs w:val="18"/>
              </w:rPr>
              <w:t>Capacity development records, legislation and policy approval records, b</w:t>
            </w:r>
            <w:r w:rsidR="00D80220">
              <w:rPr>
                <w:rFonts w:asciiTheme="majorHAnsi" w:hAnsiTheme="majorHAnsi"/>
                <w:i/>
                <w:sz w:val="18"/>
                <w:szCs w:val="18"/>
              </w:rPr>
              <w:t>iosecurity</w:t>
            </w:r>
            <w:r w:rsidR="00D80220" w:rsidRPr="00D80220">
              <w:rPr>
                <w:rFonts w:asciiTheme="majorHAnsi" w:hAnsiTheme="majorHAnsi"/>
                <w:i/>
                <w:sz w:val="18"/>
                <w:szCs w:val="18"/>
              </w:rPr>
              <w:t xml:space="preserve"> inspection disposition, and procurement records</w:t>
            </w:r>
            <w:r>
              <w:rPr>
                <w:rFonts w:asciiTheme="majorHAnsi" w:hAnsiTheme="majorHAnsi"/>
                <w:i/>
                <w:sz w:val="18"/>
                <w:szCs w:val="18"/>
              </w:rPr>
              <w:t xml:space="preserve">, </w:t>
            </w:r>
            <w:r w:rsidR="00D80220" w:rsidRPr="00D80220">
              <w:rPr>
                <w:rFonts w:asciiTheme="majorHAnsi" w:hAnsiTheme="majorHAnsi"/>
                <w:i/>
                <w:sz w:val="18"/>
                <w:szCs w:val="18"/>
              </w:rPr>
              <w:t>EDRR responses; and</w:t>
            </w:r>
            <w:r>
              <w:rPr>
                <w:rFonts w:asciiTheme="majorHAnsi" w:hAnsiTheme="majorHAnsi"/>
                <w:i/>
                <w:sz w:val="18"/>
                <w:szCs w:val="18"/>
              </w:rPr>
              <w:t xml:space="preserve"> </w:t>
            </w:r>
            <w:r w:rsidR="00D80220" w:rsidRPr="00D80220">
              <w:rPr>
                <w:rFonts w:asciiTheme="majorHAnsi" w:hAnsiTheme="majorHAnsi"/>
                <w:i/>
                <w:sz w:val="18"/>
                <w:szCs w:val="18"/>
              </w:rPr>
              <w:t xml:space="preserve">outreach </w:t>
            </w:r>
            <w:r w:rsidRPr="00D80220">
              <w:rPr>
                <w:rFonts w:asciiTheme="majorHAnsi" w:hAnsiTheme="majorHAnsi"/>
                <w:i/>
                <w:sz w:val="18"/>
                <w:szCs w:val="18"/>
              </w:rPr>
              <w:t>activit</w:t>
            </w:r>
            <w:r>
              <w:rPr>
                <w:rFonts w:asciiTheme="majorHAnsi" w:hAnsiTheme="majorHAnsi"/>
                <w:i/>
                <w:sz w:val="18"/>
                <w:szCs w:val="18"/>
              </w:rPr>
              <w:t>y records</w:t>
            </w:r>
          </w:p>
        </w:tc>
        <w:tc>
          <w:tcPr>
            <w:tcW w:w="2898" w:type="dxa"/>
            <w:shd w:val="clear" w:color="auto" w:fill="auto"/>
          </w:tcPr>
          <w:p w14:paraId="3901D2AE" w14:textId="77777777" w:rsidR="00D80220" w:rsidRPr="006D4FA7" w:rsidRDefault="00D80220" w:rsidP="00D80220">
            <w:pPr>
              <w:spacing w:after="0"/>
              <w:jc w:val="left"/>
              <w:rPr>
                <w:rFonts w:asciiTheme="majorHAnsi" w:hAnsiTheme="majorHAnsi"/>
                <w:bCs/>
                <w:i/>
                <w:sz w:val="18"/>
                <w:szCs w:val="18"/>
                <w:u w:val="single"/>
              </w:rPr>
            </w:pPr>
            <w:r w:rsidRPr="006D4FA7">
              <w:rPr>
                <w:rFonts w:asciiTheme="majorHAnsi" w:hAnsiTheme="majorHAnsi"/>
                <w:bCs/>
                <w:i/>
                <w:sz w:val="18"/>
                <w:szCs w:val="18"/>
                <w:u w:val="single"/>
              </w:rPr>
              <w:t>Assumptions:</w:t>
            </w:r>
          </w:p>
          <w:p w14:paraId="15FC2A8A" w14:textId="77777777" w:rsidR="00D80220" w:rsidRPr="006D4FA7" w:rsidRDefault="00D80220" w:rsidP="00D80220">
            <w:pPr>
              <w:spacing w:after="0"/>
              <w:jc w:val="left"/>
              <w:rPr>
                <w:rFonts w:asciiTheme="majorHAnsi" w:hAnsiTheme="majorHAnsi"/>
                <w:bCs/>
                <w:i/>
                <w:sz w:val="18"/>
                <w:szCs w:val="18"/>
              </w:rPr>
            </w:pPr>
            <w:r w:rsidRPr="006D4FA7">
              <w:rPr>
                <w:rFonts w:asciiTheme="majorHAnsi" w:hAnsiTheme="majorHAnsi"/>
                <w:bCs/>
                <w:i/>
                <w:sz w:val="18"/>
                <w:szCs w:val="18"/>
              </w:rPr>
              <w:t>-Additional revenues can be developed to support inspection and quarantine services throughout the country</w:t>
            </w:r>
          </w:p>
          <w:p w14:paraId="05F8B4FF" w14:textId="77777777" w:rsidR="00D80220" w:rsidRPr="006D4FA7" w:rsidRDefault="00D80220" w:rsidP="00D80220">
            <w:pPr>
              <w:spacing w:after="0"/>
              <w:jc w:val="left"/>
              <w:rPr>
                <w:rFonts w:asciiTheme="majorHAnsi" w:hAnsiTheme="majorHAnsi"/>
                <w:bCs/>
                <w:i/>
                <w:sz w:val="18"/>
                <w:szCs w:val="18"/>
              </w:rPr>
            </w:pPr>
            <w:r w:rsidRPr="006D4FA7">
              <w:rPr>
                <w:rFonts w:asciiTheme="majorHAnsi" w:hAnsiTheme="majorHAnsi"/>
                <w:bCs/>
                <w:i/>
                <w:sz w:val="18"/>
                <w:szCs w:val="18"/>
              </w:rPr>
              <w:t>-Adequate laws and regulations are in place to support improved inspection and quarantine services national wide</w:t>
            </w:r>
          </w:p>
          <w:p w14:paraId="31444B57" w14:textId="77777777" w:rsidR="00D80220" w:rsidRPr="006D4FA7" w:rsidRDefault="00D80220" w:rsidP="00D80220">
            <w:pPr>
              <w:spacing w:after="0"/>
              <w:ind w:right="-108"/>
              <w:jc w:val="left"/>
              <w:rPr>
                <w:rFonts w:asciiTheme="majorHAnsi" w:hAnsiTheme="majorHAnsi"/>
                <w:i/>
                <w:sz w:val="18"/>
                <w:szCs w:val="18"/>
              </w:rPr>
            </w:pPr>
            <w:r w:rsidRPr="006D4FA7">
              <w:rPr>
                <w:rFonts w:asciiTheme="majorHAnsi" w:hAnsiTheme="majorHAnsi"/>
                <w:bCs/>
                <w:i/>
                <w:sz w:val="18"/>
                <w:szCs w:val="18"/>
              </w:rPr>
              <w:t>-</w:t>
            </w:r>
            <w:r w:rsidRPr="006D4FA7">
              <w:rPr>
                <w:rFonts w:asciiTheme="majorHAnsi" w:hAnsiTheme="majorHAnsi"/>
                <w:i/>
                <w:sz w:val="18"/>
                <w:szCs w:val="18"/>
              </w:rPr>
              <w:t xml:space="preserve"> Local actors understand the role of IAS management in reducing social vulnerability</w:t>
            </w:r>
          </w:p>
          <w:p w14:paraId="5A96FCB0" w14:textId="620D331A" w:rsidR="00D80220" w:rsidRPr="006D4FA7" w:rsidRDefault="00D80220" w:rsidP="00D80220">
            <w:pPr>
              <w:spacing w:after="0"/>
              <w:jc w:val="left"/>
              <w:rPr>
                <w:rFonts w:asciiTheme="majorHAnsi" w:hAnsiTheme="majorHAnsi"/>
                <w:i/>
                <w:sz w:val="18"/>
                <w:szCs w:val="18"/>
              </w:rPr>
            </w:pPr>
            <w:r w:rsidRPr="006D4FA7">
              <w:rPr>
                <w:rFonts w:asciiTheme="majorHAnsi" w:hAnsiTheme="majorHAnsi"/>
                <w:i/>
                <w:sz w:val="18"/>
                <w:szCs w:val="18"/>
              </w:rPr>
              <w:t>-Buy-in at all levels of society, including timely reporting of novel species encounters</w:t>
            </w:r>
          </w:p>
          <w:p w14:paraId="6D68D2A9" w14:textId="77777777" w:rsidR="00D80220" w:rsidRPr="006D4FA7" w:rsidRDefault="00D80220" w:rsidP="00D80220">
            <w:pPr>
              <w:spacing w:after="0"/>
              <w:jc w:val="left"/>
              <w:rPr>
                <w:rFonts w:asciiTheme="majorHAnsi" w:hAnsiTheme="majorHAnsi"/>
                <w:bCs/>
                <w:i/>
                <w:sz w:val="18"/>
                <w:szCs w:val="18"/>
                <w:u w:val="single"/>
              </w:rPr>
            </w:pPr>
            <w:r w:rsidRPr="006D4FA7">
              <w:rPr>
                <w:rFonts w:asciiTheme="majorHAnsi" w:hAnsiTheme="majorHAnsi"/>
                <w:i/>
                <w:sz w:val="18"/>
                <w:szCs w:val="18"/>
              </w:rPr>
              <w:t>Risk:</w:t>
            </w:r>
          </w:p>
          <w:p w14:paraId="69669EB8" w14:textId="77777777" w:rsidR="00D80220" w:rsidRPr="006D4FA7" w:rsidRDefault="00D80220" w:rsidP="00D80220">
            <w:pPr>
              <w:spacing w:after="0"/>
              <w:jc w:val="left"/>
              <w:rPr>
                <w:rFonts w:asciiTheme="majorHAnsi" w:hAnsiTheme="majorHAnsi"/>
                <w:bCs/>
                <w:i/>
                <w:sz w:val="18"/>
                <w:szCs w:val="18"/>
              </w:rPr>
            </w:pPr>
            <w:r w:rsidRPr="006D4FA7">
              <w:rPr>
                <w:rFonts w:asciiTheme="majorHAnsi" w:hAnsiTheme="majorHAnsi"/>
                <w:bCs/>
                <w:i/>
                <w:sz w:val="18"/>
                <w:szCs w:val="18"/>
              </w:rPr>
              <w:t>-Adequate resources to implement comprehensive inspection and quarantine coverage may not be provided</w:t>
            </w:r>
          </w:p>
          <w:p w14:paraId="46B9ABC8" w14:textId="76923806" w:rsidR="00D80220" w:rsidRPr="0003763F" w:rsidRDefault="00D80220" w:rsidP="00D80220">
            <w:pPr>
              <w:jc w:val="left"/>
              <w:rPr>
                <w:i/>
                <w:sz w:val="18"/>
                <w:szCs w:val="18"/>
              </w:rPr>
            </w:pPr>
            <w:r w:rsidRPr="006D4FA7">
              <w:rPr>
                <w:rFonts w:asciiTheme="majorHAnsi" w:hAnsiTheme="majorHAnsi"/>
                <w:bCs/>
                <w:i/>
                <w:sz w:val="18"/>
                <w:szCs w:val="18"/>
              </w:rPr>
              <w:t>-Sufficient trained and committed personnel unavailable to provide adequate coverage</w:t>
            </w:r>
          </w:p>
        </w:tc>
      </w:tr>
      <w:tr w:rsidR="003B73EE" w:rsidRPr="0003763F" w14:paraId="5C2D2F93" w14:textId="77777777" w:rsidTr="001F6249">
        <w:trPr>
          <w:trHeight w:val="424"/>
        </w:trPr>
        <w:tc>
          <w:tcPr>
            <w:tcW w:w="1520" w:type="dxa"/>
            <w:vMerge w:val="restart"/>
            <w:shd w:val="clear" w:color="auto" w:fill="auto"/>
          </w:tcPr>
          <w:p w14:paraId="0633978D" w14:textId="77777777" w:rsidR="003B73EE" w:rsidRPr="0003763F" w:rsidRDefault="003B73EE" w:rsidP="003B2A79">
            <w:pPr>
              <w:rPr>
                <w:b/>
                <w:sz w:val="18"/>
                <w:szCs w:val="18"/>
              </w:rPr>
            </w:pPr>
          </w:p>
          <w:p w14:paraId="0449BBB1" w14:textId="44ACC602" w:rsidR="003B73EE" w:rsidRPr="0003763F" w:rsidRDefault="003B73EE" w:rsidP="004348B5">
            <w:pPr>
              <w:jc w:val="left"/>
              <w:rPr>
                <w:b/>
                <w:sz w:val="18"/>
                <w:szCs w:val="18"/>
              </w:rPr>
            </w:pPr>
            <w:r w:rsidRPr="0003763F">
              <w:rPr>
                <w:b/>
                <w:sz w:val="18"/>
                <w:szCs w:val="18"/>
              </w:rPr>
              <w:t>Project Outcome 2</w:t>
            </w:r>
            <w:r>
              <w:rPr>
                <w:b/>
                <w:sz w:val="18"/>
                <w:szCs w:val="18"/>
              </w:rPr>
              <w:t xml:space="preserve">: </w:t>
            </w:r>
            <w:r w:rsidRPr="00B46B12">
              <w:rPr>
                <w:rFonts w:asciiTheme="majorHAnsi" w:hAnsiTheme="majorHAnsi"/>
                <w:sz w:val="18"/>
                <w:szCs w:val="18"/>
              </w:rPr>
              <w:t xml:space="preserve">Integrating </w:t>
            </w:r>
            <w:r w:rsidR="0021132C">
              <w:rPr>
                <w:rFonts w:asciiTheme="majorHAnsi" w:hAnsiTheme="majorHAnsi"/>
                <w:sz w:val="18"/>
                <w:szCs w:val="18"/>
              </w:rPr>
              <w:t>multi-sector</w:t>
            </w:r>
            <w:r w:rsidRPr="00B46B12">
              <w:rPr>
                <w:rFonts w:asciiTheme="majorHAnsi" w:hAnsiTheme="majorHAnsi"/>
                <w:sz w:val="18"/>
                <w:szCs w:val="18"/>
              </w:rPr>
              <w:t xml:space="preserve"> land and seascape planning and management operational in Babeldaob states</w:t>
            </w:r>
            <w:r w:rsidRPr="00B46B12">
              <w:rPr>
                <w:rStyle w:val="FootnoteReference"/>
                <w:rFonts w:asciiTheme="majorHAnsi" w:hAnsiTheme="majorHAnsi"/>
                <w:szCs w:val="18"/>
              </w:rPr>
              <w:footnoteReference w:id="48"/>
            </w:r>
            <w:r w:rsidRPr="00B46B12">
              <w:rPr>
                <w:rFonts w:asciiTheme="majorHAnsi" w:hAnsiTheme="majorHAnsi"/>
                <w:sz w:val="18"/>
                <w:szCs w:val="18"/>
              </w:rPr>
              <w:t xml:space="preserve">  to reduce threats to biodiversity and improve ecosystem services to benefit communities and state economies</w:t>
            </w:r>
          </w:p>
        </w:tc>
        <w:tc>
          <w:tcPr>
            <w:tcW w:w="2463" w:type="dxa"/>
            <w:shd w:val="clear" w:color="auto" w:fill="auto"/>
          </w:tcPr>
          <w:p w14:paraId="1BF5D5ED" w14:textId="52451CF9" w:rsidR="003B73EE" w:rsidRPr="00B46B12" w:rsidRDefault="003B73EE" w:rsidP="00B46B12">
            <w:pPr>
              <w:jc w:val="left"/>
              <w:rPr>
                <w:rFonts w:asciiTheme="majorHAnsi" w:hAnsiTheme="majorHAnsi"/>
                <w:sz w:val="18"/>
                <w:szCs w:val="18"/>
              </w:rPr>
            </w:pPr>
            <w:r w:rsidRPr="00B46B12">
              <w:rPr>
                <w:rFonts w:asciiTheme="majorHAnsi" w:hAnsiTheme="majorHAnsi"/>
                <w:sz w:val="18"/>
                <w:szCs w:val="18"/>
              </w:rPr>
              <w:t xml:space="preserve">Number of hectares of high conservation value ecosystems, including forests, mangroves and marine areas zoned/allocated for non-exhaustive use </w:t>
            </w:r>
          </w:p>
        </w:tc>
        <w:tc>
          <w:tcPr>
            <w:tcW w:w="1970" w:type="dxa"/>
          </w:tcPr>
          <w:p w14:paraId="411CA28A" w14:textId="37EAF57D" w:rsidR="003B73EE" w:rsidRPr="00B46B12" w:rsidRDefault="003B73EE" w:rsidP="00894685">
            <w:pPr>
              <w:jc w:val="left"/>
              <w:rPr>
                <w:rFonts w:asciiTheme="majorHAnsi" w:hAnsiTheme="majorHAnsi"/>
                <w:i/>
                <w:sz w:val="18"/>
                <w:szCs w:val="18"/>
              </w:rPr>
            </w:pPr>
            <w:r w:rsidRPr="00B46B12">
              <w:rPr>
                <w:rFonts w:asciiTheme="majorHAnsi" w:hAnsiTheme="majorHAnsi"/>
                <w:i/>
                <w:sz w:val="18"/>
                <w:szCs w:val="18"/>
              </w:rPr>
              <w:t>High conservation value forests, (including mangroves and marine areas) allocated for non-exhaustive use of at least 15,000 ha, resulting in total avoided</w:t>
            </w:r>
            <w:r w:rsidR="00894685">
              <w:rPr>
                <w:rFonts w:asciiTheme="majorHAnsi" w:hAnsiTheme="majorHAnsi"/>
                <w:i/>
                <w:sz w:val="18"/>
                <w:szCs w:val="18"/>
              </w:rPr>
              <w:t xml:space="preserve"> 2.46-3.09</w:t>
            </w:r>
            <w:r w:rsidRPr="00B46B12">
              <w:rPr>
                <w:rFonts w:asciiTheme="majorHAnsi" w:hAnsiTheme="majorHAnsi"/>
                <w:i/>
                <w:sz w:val="18"/>
                <w:szCs w:val="18"/>
              </w:rPr>
              <w:t xml:space="preserve"> million </w:t>
            </w:r>
            <w:r w:rsidR="00894685">
              <w:rPr>
                <w:rFonts w:asciiTheme="majorHAnsi" w:hAnsiTheme="majorHAnsi"/>
                <w:i/>
                <w:sz w:val="18"/>
                <w:szCs w:val="18"/>
              </w:rPr>
              <w:t>t</w:t>
            </w:r>
            <w:r w:rsidRPr="00B46B12">
              <w:rPr>
                <w:rFonts w:asciiTheme="majorHAnsi" w:hAnsiTheme="majorHAnsi"/>
                <w:i/>
                <w:sz w:val="18"/>
                <w:szCs w:val="18"/>
              </w:rPr>
              <w:t>CO</w:t>
            </w:r>
            <w:r w:rsidRPr="00B46B12">
              <w:rPr>
                <w:rFonts w:asciiTheme="majorHAnsi" w:hAnsiTheme="majorHAnsi"/>
                <w:i/>
                <w:sz w:val="18"/>
                <w:szCs w:val="18"/>
                <w:vertAlign w:val="subscript"/>
              </w:rPr>
              <w:t xml:space="preserve">2 </w:t>
            </w:r>
            <w:r w:rsidRPr="00B46B12">
              <w:rPr>
                <w:rFonts w:asciiTheme="majorHAnsi" w:hAnsiTheme="majorHAnsi"/>
                <w:i/>
                <w:sz w:val="18"/>
                <w:szCs w:val="18"/>
              </w:rPr>
              <w:t>over 30 year period</w:t>
            </w:r>
          </w:p>
        </w:tc>
        <w:tc>
          <w:tcPr>
            <w:tcW w:w="1540" w:type="dxa"/>
            <w:shd w:val="clear" w:color="auto" w:fill="auto"/>
          </w:tcPr>
          <w:p w14:paraId="02945FE1" w14:textId="30AEE537" w:rsidR="003B73EE" w:rsidRPr="0003763F" w:rsidRDefault="003B73EE" w:rsidP="003262EF">
            <w:pPr>
              <w:jc w:val="left"/>
              <w:rPr>
                <w:sz w:val="18"/>
                <w:szCs w:val="18"/>
              </w:rPr>
            </w:pPr>
            <w:r>
              <w:rPr>
                <w:i/>
                <w:sz w:val="18"/>
                <w:szCs w:val="18"/>
              </w:rPr>
              <w:t>Conservation mapping, PAN data, field surveys, etc.</w:t>
            </w:r>
          </w:p>
        </w:tc>
        <w:tc>
          <w:tcPr>
            <w:tcW w:w="1170" w:type="dxa"/>
            <w:shd w:val="clear" w:color="auto" w:fill="auto"/>
          </w:tcPr>
          <w:p w14:paraId="112EE2C1" w14:textId="44C5476E" w:rsidR="003B73EE" w:rsidRPr="0003763F" w:rsidRDefault="003B73EE" w:rsidP="003262EF">
            <w:pPr>
              <w:jc w:val="left"/>
              <w:rPr>
                <w:sz w:val="18"/>
                <w:szCs w:val="18"/>
              </w:rPr>
            </w:pPr>
            <w:r>
              <w:rPr>
                <w:i/>
                <w:sz w:val="18"/>
                <w:szCs w:val="18"/>
              </w:rPr>
              <w:t>Annually</w:t>
            </w:r>
          </w:p>
        </w:tc>
        <w:tc>
          <w:tcPr>
            <w:tcW w:w="1440" w:type="dxa"/>
            <w:shd w:val="clear" w:color="auto" w:fill="auto"/>
          </w:tcPr>
          <w:p w14:paraId="4EBDB971" w14:textId="5F5219E8" w:rsidR="003B73EE" w:rsidRPr="0003763F" w:rsidRDefault="003B73EE" w:rsidP="003262EF">
            <w:pPr>
              <w:jc w:val="left"/>
              <w:rPr>
                <w:sz w:val="18"/>
                <w:szCs w:val="18"/>
              </w:rPr>
            </w:pPr>
            <w:r>
              <w:rPr>
                <w:i/>
                <w:sz w:val="18"/>
                <w:szCs w:val="18"/>
              </w:rPr>
              <w:t>PALARIS, PAN Office</w:t>
            </w:r>
          </w:p>
        </w:tc>
        <w:tc>
          <w:tcPr>
            <w:tcW w:w="1620" w:type="dxa"/>
            <w:shd w:val="clear" w:color="auto" w:fill="auto"/>
          </w:tcPr>
          <w:p w14:paraId="5F7FFECA" w14:textId="6BB8B60A" w:rsidR="003B73EE" w:rsidRPr="0003763F" w:rsidRDefault="003B73EE" w:rsidP="003262EF">
            <w:pPr>
              <w:jc w:val="left"/>
              <w:rPr>
                <w:sz w:val="18"/>
                <w:szCs w:val="18"/>
              </w:rPr>
            </w:pPr>
            <w:r>
              <w:rPr>
                <w:i/>
                <w:sz w:val="18"/>
                <w:szCs w:val="18"/>
              </w:rPr>
              <w:t>PAN notification records, C data records</w:t>
            </w:r>
          </w:p>
        </w:tc>
        <w:tc>
          <w:tcPr>
            <w:tcW w:w="2898" w:type="dxa"/>
            <w:vMerge w:val="restart"/>
            <w:shd w:val="clear" w:color="auto" w:fill="auto"/>
          </w:tcPr>
          <w:p w14:paraId="37731890" w14:textId="77777777" w:rsidR="003B73EE" w:rsidRPr="003262EF" w:rsidRDefault="003B73EE" w:rsidP="003262EF">
            <w:pPr>
              <w:spacing w:after="0"/>
              <w:jc w:val="left"/>
              <w:rPr>
                <w:rFonts w:asciiTheme="majorHAnsi" w:hAnsiTheme="majorHAnsi"/>
                <w:bCs/>
                <w:i/>
                <w:sz w:val="18"/>
                <w:szCs w:val="18"/>
              </w:rPr>
            </w:pPr>
            <w:r w:rsidRPr="003262EF">
              <w:rPr>
                <w:rFonts w:asciiTheme="majorHAnsi" w:hAnsiTheme="majorHAnsi"/>
                <w:bCs/>
                <w:i/>
                <w:sz w:val="18"/>
                <w:szCs w:val="18"/>
                <w:u w:val="single"/>
              </w:rPr>
              <w:t>Assumption:</w:t>
            </w:r>
            <w:r w:rsidRPr="003262EF">
              <w:rPr>
                <w:rFonts w:asciiTheme="majorHAnsi" w:hAnsiTheme="majorHAnsi"/>
                <w:bCs/>
                <w:i/>
                <w:sz w:val="18"/>
                <w:szCs w:val="18"/>
              </w:rPr>
              <w:t xml:space="preserve"> </w:t>
            </w:r>
          </w:p>
          <w:p w14:paraId="5582294C" w14:textId="14469719" w:rsidR="003B73EE" w:rsidRPr="003262EF" w:rsidRDefault="003B73EE" w:rsidP="003262EF">
            <w:pPr>
              <w:spacing w:after="0"/>
              <w:jc w:val="left"/>
              <w:rPr>
                <w:rFonts w:asciiTheme="majorHAnsi" w:hAnsiTheme="majorHAnsi"/>
                <w:bCs/>
                <w:i/>
                <w:sz w:val="18"/>
                <w:szCs w:val="18"/>
              </w:rPr>
            </w:pPr>
            <w:r w:rsidRPr="003262EF">
              <w:rPr>
                <w:rFonts w:asciiTheme="majorHAnsi" w:hAnsiTheme="majorHAnsi"/>
                <w:bCs/>
                <w:i/>
                <w:sz w:val="18"/>
                <w:szCs w:val="18"/>
              </w:rPr>
              <w:t xml:space="preserve">-Development strategies and management plans will be officially approved by State governments with allocation of funding for their implementation  </w:t>
            </w:r>
          </w:p>
          <w:p w14:paraId="7D773268" w14:textId="6E030BE3" w:rsidR="003B73EE" w:rsidRPr="003262EF" w:rsidRDefault="003B73EE" w:rsidP="003262EF">
            <w:pPr>
              <w:spacing w:after="0"/>
              <w:jc w:val="left"/>
              <w:rPr>
                <w:rFonts w:asciiTheme="majorHAnsi" w:hAnsiTheme="majorHAnsi"/>
                <w:bCs/>
                <w:i/>
                <w:sz w:val="18"/>
                <w:szCs w:val="18"/>
              </w:rPr>
            </w:pPr>
            <w:r>
              <w:rPr>
                <w:rFonts w:asciiTheme="majorHAnsi" w:hAnsiTheme="majorHAnsi"/>
                <w:bCs/>
                <w:i/>
                <w:sz w:val="18"/>
                <w:szCs w:val="18"/>
              </w:rPr>
              <w:t>-</w:t>
            </w:r>
            <w:r w:rsidRPr="003262EF">
              <w:rPr>
                <w:rFonts w:asciiTheme="majorHAnsi" w:hAnsiTheme="majorHAnsi"/>
                <w:bCs/>
                <w:i/>
                <w:sz w:val="18"/>
                <w:szCs w:val="18"/>
              </w:rPr>
              <w:t>The States will take active part in developing the strategies and implementation using new knowledge and skills</w:t>
            </w:r>
            <w:r>
              <w:rPr>
                <w:rFonts w:asciiTheme="majorHAnsi" w:hAnsiTheme="majorHAnsi"/>
                <w:bCs/>
                <w:i/>
                <w:sz w:val="18"/>
                <w:szCs w:val="18"/>
              </w:rPr>
              <w:t xml:space="preserve"> from project</w:t>
            </w:r>
          </w:p>
          <w:p w14:paraId="60D5ABE7" w14:textId="49DCCE4D" w:rsidR="003B73EE" w:rsidRPr="003262EF" w:rsidRDefault="003B73EE" w:rsidP="003262EF">
            <w:pPr>
              <w:spacing w:after="0"/>
              <w:jc w:val="left"/>
              <w:rPr>
                <w:rFonts w:asciiTheme="majorHAnsi" w:hAnsiTheme="majorHAnsi"/>
                <w:bCs/>
                <w:i/>
                <w:sz w:val="18"/>
                <w:szCs w:val="18"/>
              </w:rPr>
            </w:pPr>
            <w:r>
              <w:rPr>
                <w:rFonts w:asciiTheme="majorHAnsi" w:hAnsiTheme="majorHAnsi"/>
                <w:bCs/>
                <w:i/>
                <w:sz w:val="18"/>
                <w:szCs w:val="18"/>
              </w:rPr>
              <w:t>-</w:t>
            </w:r>
            <w:r w:rsidRPr="003262EF">
              <w:rPr>
                <w:rFonts w:asciiTheme="majorHAnsi" w:hAnsiTheme="majorHAnsi"/>
                <w:bCs/>
                <w:i/>
                <w:sz w:val="18"/>
                <w:szCs w:val="18"/>
              </w:rPr>
              <w:t xml:space="preserve">Local communities are convinced that critical habitats in their vicinities will benefit livelihoods and ecological security to them and they will participate in conservation </w:t>
            </w:r>
          </w:p>
          <w:p w14:paraId="00309AF5" w14:textId="77777777" w:rsidR="003B73EE" w:rsidRPr="003262EF" w:rsidRDefault="003B73EE" w:rsidP="003262EF">
            <w:pPr>
              <w:spacing w:after="0"/>
              <w:jc w:val="left"/>
              <w:rPr>
                <w:rFonts w:asciiTheme="majorHAnsi" w:hAnsiTheme="majorHAnsi"/>
                <w:bCs/>
                <w:i/>
                <w:sz w:val="18"/>
                <w:szCs w:val="18"/>
              </w:rPr>
            </w:pPr>
            <w:r w:rsidRPr="003262EF">
              <w:rPr>
                <w:rFonts w:asciiTheme="majorHAnsi" w:hAnsiTheme="majorHAnsi"/>
                <w:bCs/>
                <w:i/>
                <w:sz w:val="18"/>
                <w:szCs w:val="18"/>
              </w:rPr>
              <w:t>-Local community based institutions would establish an effective institutional mechanism to facilitate conservation outcomes</w:t>
            </w:r>
          </w:p>
          <w:p w14:paraId="63B55AE8" w14:textId="77777777" w:rsidR="003B73EE" w:rsidRPr="003262EF" w:rsidRDefault="003B73EE" w:rsidP="003262EF">
            <w:pPr>
              <w:spacing w:after="0"/>
              <w:jc w:val="left"/>
              <w:rPr>
                <w:rFonts w:asciiTheme="majorHAnsi" w:hAnsiTheme="majorHAnsi"/>
                <w:bCs/>
                <w:i/>
                <w:sz w:val="18"/>
                <w:szCs w:val="18"/>
              </w:rPr>
            </w:pPr>
            <w:r w:rsidRPr="003262EF">
              <w:rPr>
                <w:rFonts w:asciiTheme="majorHAnsi" w:hAnsiTheme="majorHAnsi"/>
                <w:bCs/>
                <w:i/>
                <w:sz w:val="18"/>
                <w:szCs w:val="18"/>
              </w:rPr>
              <w:t>- Division of Forestry capacity enhanced to provide adequate leadership and support to states</w:t>
            </w:r>
          </w:p>
          <w:p w14:paraId="3F6D4F13" w14:textId="77777777" w:rsidR="003B73EE" w:rsidRPr="003262EF" w:rsidRDefault="003B73EE" w:rsidP="003262EF">
            <w:pPr>
              <w:spacing w:after="0"/>
              <w:jc w:val="left"/>
              <w:rPr>
                <w:rFonts w:asciiTheme="majorHAnsi" w:hAnsiTheme="majorHAnsi"/>
                <w:bCs/>
                <w:i/>
                <w:sz w:val="18"/>
                <w:szCs w:val="18"/>
              </w:rPr>
            </w:pPr>
            <w:r w:rsidRPr="003262EF">
              <w:rPr>
                <w:rFonts w:asciiTheme="majorHAnsi" w:hAnsiTheme="majorHAnsi"/>
                <w:bCs/>
                <w:i/>
                <w:sz w:val="18"/>
                <w:szCs w:val="18"/>
              </w:rPr>
              <w:t xml:space="preserve"> </w:t>
            </w:r>
          </w:p>
          <w:p w14:paraId="5F7F5721" w14:textId="77777777" w:rsidR="003B73EE" w:rsidRPr="003262EF" w:rsidRDefault="003B73EE" w:rsidP="003262EF">
            <w:pPr>
              <w:spacing w:after="0"/>
              <w:jc w:val="left"/>
              <w:rPr>
                <w:rFonts w:asciiTheme="majorHAnsi" w:hAnsiTheme="majorHAnsi"/>
                <w:bCs/>
                <w:i/>
                <w:sz w:val="18"/>
                <w:szCs w:val="18"/>
              </w:rPr>
            </w:pPr>
            <w:r w:rsidRPr="003262EF">
              <w:rPr>
                <w:rFonts w:asciiTheme="majorHAnsi" w:hAnsiTheme="majorHAnsi"/>
                <w:bCs/>
                <w:i/>
                <w:sz w:val="18"/>
                <w:szCs w:val="18"/>
                <w:u w:val="single"/>
              </w:rPr>
              <w:t>Risk:</w:t>
            </w:r>
            <w:r w:rsidRPr="003262EF">
              <w:rPr>
                <w:rFonts w:asciiTheme="majorHAnsi" w:hAnsiTheme="majorHAnsi"/>
                <w:bCs/>
                <w:i/>
                <w:sz w:val="18"/>
                <w:szCs w:val="18"/>
              </w:rPr>
              <w:t xml:space="preserve"> </w:t>
            </w:r>
          </w:p>
          <w:p w14:paraId="333E74EA" w14:textId="77777777" w:rsidR="003B73EE" w:rsidRPr="003262EF" w:rsidRDefault="003B73EE" w:rsidP="003262EF">
            <w:pPr>
              <w:spacing w:after="0"/>
              <w:jc w:val="left"/>
              <w:rPr>
                <w:rFonts w:asciiTheme="majorHAnsi" w:hAnsiTheme="majorHAnsi"/>
                <w:bCs/>
                <w:i/>
                <w:sz w:val="18"/>
                <w:szCs w:val="18"/>
              </w:rPr>
            </w:pPr>
            <w:r w:rsidRPr="003262EF">
              <w:rPr>
                <w:rFonts w:asciiTheme="majorHAnsi" w:hAnsiTheme="majorHAnsi"/>
                <w:bCs/>
                <w:i/>
                <w:sz w:val="18"/>
                <w:szCs w:val="18"/>
              </w:rPr>
              <w:t xml:space="preserve">-Administrative/political changes may undermine the implementation of the management plan strategies </w:t>
            </w:r>
          </w:p>
          <w:p w14:paraId="7E180C5F" w14:textId="77777777" w:rsidR="003B73EE" w:rsidRPr="003262EF" w:rsidRDefault="003B73EE" w:rsidP="003262EF">
            <w:pPr>
              <w:spacing w:after="0"/>
              <w:jc w:val="left"/>
              <w:rPr>
                <w:rFonts w:asciiTheme="majorHAnsi" w:hAnsiTheme="majorHAnsi"/>
                <w:bCs/>
                <w:i/>
                <w:sz w:val="18"/>
                <w:szCs w:val="18"/>
              </w:rPr>
            </w:pPr>
            <w:r w:rsidRPr="003262EF">
              <w:rPr>
                <w:rFonts w:asciiTheme="majorHAnsi" w:hAnsiTheme="majorHAnsi"/>
                <w:i/>
                <w:sz w:val="18"/>
                <w:szCs w:val="18"/>
              </w:rPr>
              <w:t>-Lack of capacity in government and communities to meet obligations related to project</w:t>
            </w:r>
          </w:p>
          <w:p w14:paraId="7B9F90C5" w14:textId="77777777" w:rsidR="003B73EE" w:rsidRPr="003262EF" w:rsidRDefault="003B73EE" w:rsidP="003262EF">
            <w:pPr>
              <w:spacing w:after="0"/>
              <w:jc w:val="left"/>
              <w:rPr>
                <w:rFonts w:asciiTheme="majorHAnsi" w:hAnsiTheme="majorHAnsi"/>
                <w:bCs/>
                <w:i/>
                <w:sz w:val="18"/>
                <w:szCs w:val="18"/>
              </w:rPr>
            </w:pPr>
            <w:r w:rsidRPr="003262EF">
              <w:rPr>
                <w:rFonts w:asciiTheme="majorHAnsi" w:hAnsiTheme="majorHAnsi"/>
                <w:i/>
                <w:sz w:val="18"/>
                <w:szCs w:val="18"/>
              </w:rPr>
              <w:t>-Conflicts between national, state local communities regarding management and access to natural resources</w:t>
            </w:r>
            <w:r w:rsidRPr="003262EF">
              <w:rPr>
                <w:rFonts w:asciiTheme="majorHAnsi" w:hAnsiTheme="majorHAnsi"/>
                <w:bCs/>
                <w:i/>
                <w:sz w:val="18"/>
                <w:szCs w:val="18"/>
              </w:rPr>
              <w:t xml:space="preserve"> may undermine integrated planning approaches</w:t>
            </w:r>
          </w:p>
          <w:p w14:paraId="4C5E63F3" w14:textId="53E90AFC" w:rsidR="003B73EE" w:rsidRPr="0003763F" w:rsidRDefault="003B73EE" w:rsidP="003262EF">
            <w:pPr>
              <w:jc w:val="left"/>
              <w:rPr>
                <w:sz w:val="18"/>
                <w:szCs w:val="18"/>
              </w:rPr>
            </w:pPr>
            <w:r w:rsidRPr="003262EF">
              <w:rPr>
                <w:rFonts w:asciiTheme="majorHAnsi" w:hAnsiTheme="majorHAnsi"/>
                <w:bCs/>
                <w:i/>
                <w:sz w:val="18"/>
                <w:szCs w:val="18"/>
              </w:rPr>
              <w:t>- Natural disasters/Climate drivers exacerbate degradation</w:t>
            </w:r>
          </w:p>
        </w:tc>
      </w:tr>
      <w:tr w:rsidR="005723C8" w:rsidRPr="0003763F" w14:paraId="18AB86ED" w14:textId="77777777" w:rsidTr="001F6249">
        <w:trPr>
          <w:trHeight w:val="424"/>
        </w:trPr>
        <w:tc>
          <w:tcPr>
            <w:tcW w:w="1520" w:type="dxa"/>
            <w:vMerge/>
            <w:shd w:val="clear" w:color="auto" w:fill="auto"/>
          </w:tcPr>
          <w:p w14:paraId="4C87137C" w14:textId="77777777" w:rsidR="005723C8" w:rsidRPr="0003763F" w:rsidRDefault="005723C8" w:rsidP="005723C8">
            <w:pPr>
              <w:rPr>
                <w:b/>
                <w:sz w:val="18"/>
                <w:szCs w:val="18"/>
              </w:rPr>
            </w:pPr>
          </w:p>
        </w:tc>
        <w:tc>
          <w:tcPr>
            <w:tcW w:w="2463" w:type="dxa"/>
            <w:shd w:val="clear" w:color="auto" w:fill="auto"/>
          </w:tcPr>
          <w:p w14:paraId="75036A43" w14:textId="7239FF3C" w:rsidR="005723C8" w:rsidRPr="00B46B12" w:rsidRDefault="005723C8" w:rsidP="005723C8">
            <w:pPr>
              <w:jc w:val="left"/>
              <w:rPr>
                <w:rFonts w:asciiTheme="majorHAnsi" w:hAnsiTheme="majorHAnsi"/>
                <w:b/>
                <w:i/>
                <w:sz w:val="18"/>
                <w:szCs w:val="18"/>
              </w:rPr>
            </w:pPr>
            <w:r w:rsidRPr="00B46B12">
              <w:rPr>
                <w:rFonts w:asciiTheme="majorHAnsi" w:hAnsiTheme="majorHAnsi"/>
                <w:sz w:val="18"/>
                <w:szCs w:val="18"/>
              </w:rPr>
              <w:t>Number of hectares of degraded forests and grasslands and coastal and marine areas outside PAN network rehabilitated</w:t>
            </w:r>
          </w:p>
        </w:tc>
        <w:tc>
          <w:tcPr>
            <w:tcW w:w="1970" w:type="dxa"/>
          </w:tcPr>
          <w:p w14:paraId="1F1093F6" w14:textId="4DAD1692" w:rsidR="005723C8" w:rsidRPr="00B46B12" w:rsidRDefault="005723C8" w:rsidP="00894685">
            <w:pPr>
              <w:tabs>
                <w:tab w:val="left" w:pos="144"/>
              </w:tabs>
              <w:jc w:val="left"/>
              <w:rPr>
                <w:rFonts w:asciiTheme="majorHAnsi" w:hAnsiTheme="majorHAnsi"/>
                <w:i/>
                <w:sz w:val="18"/>
                <w:szCs w:val="18"/>
              </w:rPr>
            </w:pPr>
            <w:r w:rsidRPr="00B46B12">
              <w:rPr>
                <w:rFonts w:asciiTheme="majorHAnsi" w:hAnsiTheme="majorHAnsi"/>
                <w:i/>
                <w:sz w:val="18"/>
                <w:szCs w:val="18"/>
              </w:rPr>
              <w:t xml:space="preserve">At least 1,000 ha of degraded forests, grasslands and marine ecosystems restored through community actions resulting in total </w:t>
            </w:r>
            <w:r w:rsidR="00894685" w:rsidRPr="00B46B12">
              <w:rPr>
                <w:rFonts w:asciiTheme="majorHAnsi" w:hAnsiTheme="majorHAnsi"/>
                <w:i/>
                <w:sz w:val="18"/>
                <w:szCs w:val="18"/>
              </w:rPr>
              <w:t>sequestrat</w:t>
            </w:r>
            <w:r w:rsidR="00894685">
              <w:rPr>
                <w:rFonts w:asciiTheme="majorHAnsi" w:hAnsiTheme="majorHAnsi"/>
                <w:i/>
                <w:sz w:val="18"/>
                <w:szCs w:val="18"/>
              </w:rPr>
              <w:t>ion of</w:t>
            </w:r>
            <w:r w:rsidR="00894685" w:rsidRPr="00B46B12">
              <w:rPr>
                <w:rFonts w:asciiTheme="majorHAnsi" w:hAnsiTheme="majorHAnsi"/>
                <w:i/>
                <w:sz w:val="18"/>
                <w:szCs w:val="18"/>
              </w:rPr>
              <w:t xml:space="preserve"> </w:t>
            </w:r>
            <w:r w:rsidR="00894685">
              <w:rPr>
                <w:rFonts w:asciiTheme="majorHAnsi" w:hAnsiTheme="majorHAnsi"/>
                <w:i/>
                <w:sz w:val="18"/>
                <w:szCs w:val="18"/>
              </w:rPr>
              <w:t xml:space="preserve">0.804-0.859 </w:t>
            </w:r>
            <w:r w:rsidRPr="00B46B12">
              <w:rPr>
                <w:rFonts w:asciiTheme="majorHAnsi" w:hAnsiTheme="majorHAnsi"/>
                <w:i/>
                <w:sz w:val="18"/>
                <w:szCs w:val="18"/>
              </w:rPr>
              <w:t xml:space="preserve">milion </w:t>
            </w:r>
            <w:r w:rsidR="00894685">
              <w:rPr>
                <w:rFonts w:asciiTheme="majorHAnsi" w:hAnsiTheme="majorHAnsi"/>
                <w:i/>
                <w:sz w:val="18"/>
                <w:szCs w:val="18"/>
              </w:rPr>
              <w:t>t</w:t>
            </w:r>
            <w:r w:rsidRPr="00B46B12">
              <w:rPr>
                <w:rFonts w:asciiTheme="majorHAnsi" w:hAnsiTheme="majorHAnsi"/>
                <w:i/>
                <w:sz w:val="18"/>
                <w:szCs w:val="18"/>
              </w:rPr>
              <w:t>CO</w:t>
            </w:r>
            <w:r w:rsidRPr="00B46B12">
              <w:rPr>
                <w:rFonts w:asciiTheme="majorHAnsi" w:hAnsiTheme="majorHAnsi"/>
                <w:i/>
                <w:sz w:val="18"/>
                <w:szCs w:val="18"/>
                <w:vertAlign w:val="subscript"/>
              </w:rPr>
              <w:t xml:space="preserve">2 </w:t>
            </w:r>
            <w:r w:rsidRPr="00B46B12">
              <w:rPr>
                <w:rFonts w:asciiTheme="majorHAnsi" w:hAnsiTheme="majorHAnsi"/>
                <w:i/>
                <w:sz w:val="18"/>
                <w:szCs w:val="18"/>
              </w:rPr>
              <w:t>over 30 year period</w:t>
            </w:r>
          </w:p>
        </w:tc>
        <w:tc>
          <w:tcPr>
            <w:tcW w:w="1540" w:type="dxa"/>
            <w:shd w:val="clear" w:color="auto" w:fill="auto"/>
          </w:tcPr>
          <w:p w14:paraId="5A091583" w14:textId="157A5B41" w:rsidR="005723C8" w:rsidRPr="005723C8" w:rsidRDefault="005723C8" w:rsidP="00883F24">
            <w:pPr>
              <w:jc w:val="left"/>
              <w:rPr>
                <w:i/>
                <w:sz w:val="18"/>
                <w:szCs w:val="18"/>
              </w:rPr>
            </w:pPr>
            <w:r w:rsidRPr="00883F24">
              <w:rPr>
                <w:rFonts w:asciiTheme="majorHAnsi" w:hAnsiTheme="majorHAnsi"/>
                <w:i/>
                <w:sz w:val="18"/>
                <w:szCs w:val="18"/>
              </w:rPr>
              <w:t xml:space="preserve">Consultations with </w:t>
            </w:r>
            <w:r w:rsidRPr="005723C8">
              <w:rPr>
                <w:rFonts w:asciiTheme="majorHAnsi" w:hAnsiTheme="majorHAnsi"/>
                <w:i/>
                <w:sz w:val="18"/>
                <w:szCs w:val="18"/>
              </w:rPr>
              <w:t xml:space="preserve">State officials, </w:t>
            </w:r>
            <w:r>
              <w:rPr>
                <w:rFonts w:asciiTheme="majorHAnsi" w:hAnsiTheme="majorHAnsi"/>
                <w:i/>
                <w:sz w:val="18"/>
                <w:szCs w:val="18"/>
              </w:rPr>
              <w:t>PAN</w:t>
            </w:r>
            <w:r w:rsidRPr="00883F24">
              <w:rPr>
                <w:rFonts w:asciiTheme="majorHAnsi" w:hAnsiTheme="majorHAnsi"/>
                <w:i/>
                <w:sz w:val="18"/>
                <w:szCs w:val="18"/>
              </w:rPr>
              <w:t>, community groups, etc.</w:t>
            </w:r>
          </w:p>
        </w:tc>
        <w:tc>
          <w:tcPr>
            <w:tcW w:w="1170" w:type="dxa"/>
            <w:shd w:val="clear" w:color="auto" w:fill="auto"/>
          </w:tcPr>
          <w:p w14:paraId="298B37EE" w14:textId="120B84E3" w:rsidR="005723C8" w:rsidRPr="005723C8" w:rsidRDefault="005723C8" w:rsidP="00883F24">
            <w:pPr>
              <w:jc w:val="left"/>
              <w:rPr>
                <w:i/>
                <w:sz w:val="18"/>
                <w:szCs w:val="18"/>
              </w:rPr>
            </w:pPr>
            <w:r w:rsidRPr="00883F24">
              <w:rPr>
                <w:rFonts w:asciiTheme="majorHAnsi" w:hAnsiTheme="majorHAnsi"/>
                <w:i/>
                <w:sz w:val="18"/>
                <w:szCs w:val="18"/>
              </w:rPr>
              <w:t>Annually</w:t>
            </w:r>
          </w:p>
        </w:tc>
        <w:tc>
          <w:tcPr>
            <w:tcW w:w="1440" w:type="dxa"/>
            <w:shd w:val="clear" w:color="auto" w:fill="auto"/>
          </w:tcPr>
          <w:p w14:paraId="53A1D561" w14:textId="4DB190EB" w:rsidR="005723C8" w:rsidRPr="00883F24" w:rsidRDefault="005723C8" w:rsidP="005723C8">
            <w:pPr>
              <w:spacing w:after="0"/>
              <w:jc w:val="left"/>
              <w:rPr>
                <w:rFonts w:asciiTheme="majorHAnsi" w:hAnsiTheme="majorHAnsi"/>
                <w:i/>
                <w:sz w:val="18"/>
                <w:szCs w:val="18"/>
              </w:rPr>
            </w:pPr>
            <w:r>
              <w:rPr>
                <w:rFonts w:asciiTheme="majorHAnsi" w:hAnsiTheme="majorHAnsi"/>
                <w:i/>
                <w:sz w:val="18"/>
                <w:szCs w:val="18"/>
              </w:rPr>
              <w:t>State Agencies and PALARIS</w:t>
            </w:r>
          </w:p>
          <w:p w14:paraId="5CED6A2B" w14:textId="5EF5BBC0" w:rsidR="005723C8" w:rsidRPr="005723C8" w:rsidRDefault="005723C8" w:rsidP="00883F24">
            <w:pPr>
              <w:jc w:val="left"/>
              <w:rPr>
                <w:i/>
                <w:sz w:val="18"/>
                <w:szCs w:val="18"/>
              </w:rPr>
            </w:pPr>
          </w:p>
        </w:tc>
        <w:tc>
          <w:tcPr>
            <w:tcW w:w="1620" w:type="dxa"/>
            <w:shd w:val="clear" w:color="auto" w:fill="auto"/>
          </w:tcPr>
          <w:p w14:paraId="1B0EE31E" w14:textId="143092F0" w:rsidR="005723C8" w:rsidRPr="005723C8" w:rsidRDefault="005723C8" w:rsidP="00883F24">
            <w:pPr>
              <w:jc w:val="left"/>
              <w:rPr>
                <w:i/>
                <w:sz w:val="18"/>
                <w:szCs w:val="18"/>
              </w:rPr>
            </w:pPr>
            <w:r w:rsidRPr="00883F24">
              <w:rPr>
                <w:rFonts w:asciiTheme="majorHAnsi" w:hAnsiTheme="majorHAnsi"/>
                <w:i/>
                <w:sz w:val="18"/>
                <w:szCs w:val="18"/>
              </w:rPr>
              <w:t xml:space="preserve">Rehabilitation plans, monitored restoration plans, </w:t>
            </w:r>
            <w:r>
              <w:rPr>
                <w:rFonts w:asciiTheme="majorHAnsi" w:hAnsiTheme="majorHAnsi"/>
                <w:i/>
                <w:sz w:val="18"/>
                <w:szCs w:val="18"/>
              </w:rPr>
              <w:t xml:space="preserve">mapping, </w:t>
            </w:r>
            <w:r w:rsidRPr="00883F24">
              <w:rPr>
                <w:rFonts w:asciiTheme="majorHAnsi" w:hAnsiTheme="majorHAnsi"/>
                <w:i/>
                <w:sz w:val="18"/>
                <w:szCs w:val="18"/>
              </w:rPr>
              <w:t>etc.</w:t>
            </w:r>
          </w:p>
        </w:tc>
        <w:tc>
          <w:tcPr>
            <w:tcW w:w="2898" w:type="dxa"/>
            <w:vMerge/>
            <w:shd w:val="clear" w:color="auto" w:fill="auto"/>
          </w:tcPr>
          <w:p w14:paraId="252BB42A" w14:textId="161F049C" w:rsidR="005723C8" w:rsidRPr="0003763F" w:rsidRDefault="005723C8" w:rsidP="005723C8">
            <w:pPr>
              <w:rPr>
                <w:i/>
                <w:sz w:val="18"/>
                <w:szCs w:val="18"/>
              </w:rPr>
            </w:pPr>
          </w:p>
        </w:tc>
      </w:tr>
      <w:tr w:rsidR="005723C8" w:rsidRPr="0003763F" w14:paraId="4CED3035" w14:textId="77777777" w:rsidTr="001F6249">
        <w:trPr>
          <w:trHeight w:val="424"/>
        </w:trPr>
        <w:tc>
          <w:tcPr>
            <w:tcW w:w="1520" w:type="dxa"/>
            <w:vMerge/>
            <w:shd w:val="clear" w:color="auto" w:fill="auto"/>
          </w:tcPr>
          <w:p w14:paraId="0763F982" w14:textId="77777777" w:rsidR="005723C8" w:rsidRPr="0003763F" w:rsidRDefault="005723C8" w:rsidP="005723C8">
            <w:pPr>
              <w:rPr>
                <w:b/>
                <w:sz w:val="18"/>
                <w:szCs w:val="18"/>
              </w:rPr>
            </w:pPr>
          </w:p>
        </w:tc>
        <w:tc>
          <w:tcPr>
            <w:tcW w:w="2463" w:type="dxa"/>
            <w:shd w:val="clear" w:color="auto" w:fill="auto"/>
          </w:tcPr>
          <w:p w14:paraId="2167A7AD" w14:textId="72058475" w:rsidR="005723C8" w:rsidRPr="003B73EE" w:rsidRDefault="005723C8" w:rsidP="005723C8">
            <w:pPr>
              <w:jc w:val="left"/>
              <w:rPr>
                <w:rFonts w:asciiTheme="majorHAnsi" w:hAnsiTheme="majorHAnsi"/>
                <w:b/>
                <w:i/>
                <w:sz w:val="18"/>
                <w:szCs w:val="18"/>
              </w:rPr>
            </w:pPr>
            <w:r w:rsidRPr="003262EF">
              <w:rPr>
                <w:rFonts w:asciiTheme="majorHAnsi" w:hAnsiTheme="majorHAnsi"/>
                <w:sz w:val="18"/>
                <w:szCs w:val="18"/>
              </w:rPr>
              <w:t>Change in status of populations of Micronesian Imperial Pigeon and Palau</w:t>
            </w:r>
            <w:r>
              <w:rPr>
                <w:rFonts w:asciiTheme="majorHAnsi" w:hAnsiTheme="majorHAnsi"/>
                <w:sz w:val="18"/>
                <w:szCs w:val="18"/>
              </w:rPr>
              <w:t>a</w:t>
            </w:r>
            <w:r w:rsidRPr="003262EF">
              <w:rPr>
                <w:rFonts w:asciiTheme="majorHAnsi" w:hAnsiTheme="majorHAnsi"/>
                <w:sz w:val="18"/>
                <w:szCs w:val="18"/>
              </w:rPr>
              <w:t>n Fruit Dove</w:t>
            </w:r>
            <w:r w:rsidRPr="003B73EE" w:rsidDel="003B73EE">
              <w:rPr>
                <w:rFonts w:asciiTheme="majorHAnsi" w:hAnsiTheme="majorHAnsi"/>
                <w:sz w:val="18"/>
                <w:szCs w:val="18"/>
              </w:rPr>
              <w:t xml:space="preserve"> </w:t>
            </w:r>
          </w:p>
        </w:tc>
        <w:tc>
          <w:tcPr>
            <w:tcW w:w="1970" w:type="dxa"/>
          </w:tcPr>
          <w:p w14:paraId="20985B36" w14:textId="4CCDE824" w:rsidR="005723C8" w:rsidRPr="00B46B12" w:rsidRDefault="005723C8" w:rsidP="005723C8">
            <w:pPr>
              <w:jc w:val="left"/>
              <w:rPr>
                <w:rFonts w:asciiTheme="majorHAnsi" w:hAnsiTheme="majorHAnsi"/>
                <w:i/>
                <w:sz w:val="18"/>
                <w:szCs w:val="18"/>
              </w:rPr>
            </w:pPr>
            <w:r w:rsidRPr="00B46B12">
              <w:rPr>
                <w:rFonts w:asciiTheme="majorHAnsi" w:hAnsiTheme="majorHAnsi"/>
                <w:i/>
                <w:sz w:val="18"/>
                <w:szCs w:val="18"/>
              </w:rPr>
              <w:t>Maintained or improved populations of</w:t>
            </w:r>
            <w:r w:rsidRPr="00B46B12">
              <w:rPr>
                <w:rFonts w:asciiTheme="majorHAnsi" w:hAnsiTheme="majorHAnsi"/>
                <w:bCs/>
                <w:i/>
                <w:sz w:val="18"/>
                <w:szCs w:val="18"/>
              </w:rPr>
              <w:t xml:space="preserve"> Micronesian Imperial Pigeon and Palau</w:t>
            </w:r>
            <w:r>
              <w:rPr>
                <w:rFonts w:asciiTheme="majorHAnsi" w:hAnsiTheme="majorHAnsi"/>
                <w:bCs/>
                <w:i/>
                <w:sz w:val="18"/>
                <w:szCs w:val="18"/>
              </w:rPr>
              <w:t>a</w:t>
            </w:r>
            <w:r w:rsidRPr="00B46B12">
              <w:rPr>
                <w:rFonts w:asciiTheme="majorHAnsi" w:hAnsiTheme="majorHAnsi"/>
                <w:bCs/>
                <w:i/>
                <w:sz w:val="18"/>
                <w:szCs w:val="18"/>
              </w:rPr>
              <w:t>n Fruit Dove</w:t>
            </w:r>
            <w:r w:rsidRPr="00B46B12">
              <w:rPr>
                <w:rFonts w:asciiTheme="majorHAnsi" w:hAnsiTheme="majorHAnsi"/>
                <w:i/>
                <w:sz w:val="18"/>
                <w:szCs w:val="18"/>
              </w:rPr>
              <w:t xml:space="preserve"> from current baselines </w:t>
            </w:r>
            <w:r w:rsidRPr="00B46B12">
              <w:rPr>
                <w:rFonts w:asciiTheme="majorHAnsi" w:hAnsiTheme="majorHAnsi"/>
                <w:bCs/>
                <w:i/>
                <w:sz w:val="18"/>
                <w:szCs w:val="18"/>
              </w:rPr>
              <w:t>of 3,000 and 1,600 individuals respectively (2014)</w:t>
            </w:r>
            <w:r w:rsidRPr="00F73C3B">
              <w:rPr>
                <w:rFonts w:ascii="Times New Roman" w:hAnsi="Times New Roman"/>
                <w:bCs/>
                <w:i/>
                <w:sz w:val="18"/>
                <w:szCs w:val="18"/>
              </w:rPr>
              <w:t xml:space="preserve"> </w:t>
            </w:r>
          </w:p>
        </w:tc>
        <w:tc>
          <w:tcPr>
            <w:tcW w:w="1540" w:type="dxa"/>
            <w:shd w:val="clear" w:color="auto" w:fill="auto"/>
          </w:tcPr>
          <w:p w14:paraId="0FEFE569" w14:textId="2681C107" w:rsidR="005723C8" w:rsidRPr="005723C8" w:rsidRDefault="005723C8" w:rsidP="00883F24">
            <w:pPr>
              <w:jc w:val="left"/>
              <w:rPr>
                <w:i/>
                <w:sz w:val="18"/>
                <w:szCs w:val="18"/>
              </w:rPr>
            </w:pPr>
            <w:r w:rsidRPr="00883F24">
              <w:rPr>
                <w:rFonts w:asciiTheme="majorHAnsi" w:hAnsiTheme="majorHAnsi"/>
                <w:i/>
                <w:sz w:val="18"/>
                <w:szCs w:val="18"/>
              </w:rPr>
              <w:t>Baseline and monitoring surveys of populations</w:t>
            </w:r>
          </w:p>
        </w:tc>
        <w:tc>
          <w:tcPr>
            <w:tcW w:w="1170" w:type="dxa"/>
            <w:shd w:val="clear" w:color="auto" w:fill="auto"/>
          </w:tcPr>
          <w:p w14:paraId="0140A8DE" w14:textId="5AD6FA17" w:rsidR="005723C8" w:rsidRPr="005723C8" w:rsidRDefault="005723C8" w:rsidP="00883F24">
            <w:pPr>
              <w:jc w:val="left"/>
              <w:rPr>
                <w:i/>
                <w:sz w:val="18"/>
                <w:szCs w:val="18"/>
              </w:rPr>
            </w:pPr>
            <w:r w:rsidRPr="00883F24">
              <w:rPr>
                <w:i/>
                <w:sz w:val="18"/>
                <w:szCs w:val="18"/>
              </w:rPr>
              <w:t>Annually</w:t>
            </w:r>
          </w:p>
        </w:tc>
        <w:tc>
          <w:tcPr>
            <w:tcW w:w="1440" w:type="dxa"/>
            <w:shd w:val="clear" w:color="auto" w:fill="auto"/>
          </w:tcPr>
          <w:p w14:paraId="289AF736" w14:textId="3B371278" w:rsidR="005723C8" w:rsidRPr="005723C8" w:rsidRDefault="0037719F" w:rsidP="00883F24">
            <w:pPr>
              <w:jc w:val="left"/>
              <w:rPr>
                <w:i/>
                <w:sz w:val="18"/>
                <w:szCs w:val="18"/>
              </w:rPr>
            </w:pPr>
            <w:r>
              <w:rPr>
                <w:i/>
                <w:sz w:val="18"/>
                <w:szCs w:val="18"/>
              </w:rPr>
              <w:t>Palau National Museum</w:t>
            </w:r>
          </w:p>
        </w:tc>
        <w:tc>
          <w:tcPr>
            <w:tcW w:w="1620" w:type="dxa"/>
            <w:shd w:val="clear" w:color="auto" w:fill="auto"/>
          </w:tcPr>
          <w:p w14:paraId="5C0A8CB0" w14:textId="6C284460" w:rsidR="005723C8" w:rsidRPr="005723C8" w:rsidRDefault="005723C8" w:rsidP="00883F24">
            <w:pPr>
              <w:jc w:val="left"/>
              <w:rPr>
                <w:i/>
                <w:sz w:val="18"/>
                <w:szCs w:val="18"/>
              </w:rPr>
            </w:pPr>
            <w:r w:rsidRPr="00883F24">
              <w:rPr>
                <w:i/>
                <w:sz w:val="18"/>
                <w:szCs w:val="18"/>
              </w:rPr>
              <w:t xml:space="preserve">Survey </w:t>
            </w:r>
            <w:r>
              <w:rPr>
                <w:i/>
                <w:sz w:val="18"/>
                <w:szCs w:val="18"/>
              </w:rPr>
              <w:t xml:space="preserve">and monitoring </w:t>
            </w:r>
            <w:r w:rsidRPr="00883F24">
              <w:rPr>
                <w:i/>
                <w:sz w:val="18"/>
                <w:szCs w:val="18"/>
              </w:rPr>
              <w:t>reports</w:t>
            </w:r>
          </w:p>
        </w:tc>
        <w:tc>
          <w:tcPr>
            <w:tcW w:w="2898" w:type="dxa"/>
            <w:shd w:val="clear" w:color="auto" w:fill="auto"/>
          </w:tcPr>
          <w:p w14:paraId="3861DDBF" w14:textId="77777777" w:rsidR="005723C8" w:rsidRPr="003262EF" w:rsidRDefault="005723C8" w:rsidP="005723C8">
            <w:pPr>
              <w:spacing w:after="0"/>
              <w:jc w:val="left"/>
              <w:rPr>
                <w:rFonts w:asciiTheme="majorHAnsi" w:hAnsiTheme="majorHAnsi"/>
                <w:bCs/>
                <w:i/>
                <w:sz w:val="18"/>
                <w:szCs w:val="18"/>
                <w:u w:val="single"/>
              </w:rPr>
            </w:pPr>
            <w:r w:rsidRPr="003262EF">
              <w:rPr>
                <w:rFonts w:asciiTheme="majorHAnsi" w:hAnsiTheme="majorHAnsi"/>
                <w:bCs/>
                <w:i/>
                <w:sz w:val="18"/>
                <w:szCs w:val="18"/>
                <w:u w:val="single"/>
              </w:rPr>
              <w:t xml:space="preserve">Assumption: </w:t>
            </w:r>
          </w:p>
          <w:p w14:paraId="1D84C53A" w14:textId="77777777" w:rsidR="005723C8" w:rsidRPr="003262EF" w:rsidRDefault="005723C8" w:rsidP="005723C8">
            <w:pPr>
              <w:spacing w:after="0"/>
              <w:jc w:val="left"/>
              <w:rPr>
                <w:rFonts w:asciiTheme="majorHAnsi" w:hAnsiTheme="majorHAnsi"/>
                <w:bCs/>
                <w:i/>
                <w:sz w:val="18"/>
                <w:szCs w:val="18"/>
              </w:rPr>
            </w:pPr>
            <w:r w:rsidRPr="003262EF">
              <w:rPr>
                <w:rFonts w:asciiTheme="majorHAnsi" w:hAnsiTheme="majorHAnsi"/>
                <w:bCs/>
                <w:i/>
                <w:sz w:val="18"/>
                <w:szCs w:val="18"/>
                <w:u w:val="single"/>
              </w:rPr>
              <w:t>-</w:t>
            </w:r>
            <w:r w:rsidRPr="003262EF">
              <w:rPr>
                <w:rFonts w:asciiTheme="majorHAnsi" w:hAnsiTheme="majorHAnsi"/>
                <w:bCs/>
                <w:i/>
                <w:sz w:val="18"/>
                <w:szCs w:val="18"/>
              </w:rPr>
              <w:t>Adequate technical capacity available for undertaking monitoring species populations</w:t>
            </w:r>
          </w:p>
          <w:p w14:paraId="098EF793" w14:textId="77777777" w:rsidR="005723C8" w:rsidRPr="003262EF" w:rsidRDefault="005723C8" w:rsidP="005723C8">
            <w:pPr>
              <w:spacing w:after="0"/>
              <w:jc w:val="left"/>
              <w:rPr>
                <w:rFonts w:asciiTheme="majorHAnsi" w:hAnsiTheme="majorHAnsi"/>
                <w:bCs/>
                <w:i/>
                <w:sz w:val="18"/>
                <w:szCs w:val="18"/>
              </w:rPr>
            </w:pPr>
            <w:r w:rsidRPr="003262EF">
              <w:rPr>
                <w:rFonts w:asciiTheme="majorHAnsi" w:hAnsiTheme="majorHAnsi"/>
                <w:bCs/>
                <w:i/>
                <w:sz w:val="18"/>
                <w:szCs w:val="18"/>
              </w:rPr>
              <w:t>-Pigeons are declining because of hunting, and improved enforcement will increase population</w:t>
            </w:r>
          </w:p>
          <w:p w14:paraId="4CBC6A0A" w14:textId="77777777" w:rsidR="005723C8" w:rsidRPr="003262EF" w:rsidRDefault="005723C8" w:rsidP="005723C8">
            <w:pPr>
              <w:spacing w:after="0"/>
              <w:jc w:val="left"/>
              <w:rPr>
                <w:rFonts w:asciiTheme="majorHAnsi" w:hAnsiTheme="majorHAnsi"/>
                <w:bCs/>
                <w:i/>
                <w:sz w:val="18"/>
                <w:szCs w:val="18"/>
              </w:rPr>
            </w:pPr>
            <w:r w:rsidRPr="003262EF">
              <w:rPr>
                <w:rFonts w:asciiTheme="majorHAnsi" w:hAnsiTheme="majorHAnsi"/>
                <w:bCs/>
                <w:i/>
                <w:sz w:val="18"/>
                <w:szCs w:val="18"/>
              </w:rPr>
              <w:t>-Fruit doves are declining because of habitat loss or degradation, and use of set-asides and best practices will lead to an increase</w:t>
            </w:r>
          </w:p>
          <w:p w14:paraId="733CDED7" w14:textId="77777777" w:rsidR="005723C8" w:rsidRPr="003262EF" w:rsidRDefault="005723C8" w:rsidP="005723C8">
            <w:pPr>
              <w:spacing w:after="0"/>
              <w:jc w:val="left"/>
              <w:rPr>
                <w:rFonts w:asciiTheme="majorHAnsi" w:hAnsiTheme="majorHAnsi"/>
                <w:bCs/>
                <w:i/>
                <w:sz w:val="18"/>
                <w:szCs w:val="18"/>
              </w:rPr>
            </w:pPr>
            <w:r w:rsidRPr="003262EF">
              <w:rPr>
                <w:rFonts w:asciiTheme="majorHAnsi" w:hAnsiTheme="majorHAnsi"/>
                <w:bCs/>
                <w:i/>
                <w:sz w:val="18"/>
                <w:szCs w:val="18"/>
              </w:rPr>
              <w:t>-Current monitoring of populations continues</w:t>
            </w:r>
          </w:p>
          <w:p w14:paraId="013DDCD0" w14:textId="77777777" w:rsidR="005723C8" w:rsidRPr="003262EF" w:rsidRDefault="005723C8" w:rsidP="005723C8">
            <w:pPr>
              <w:spacing w:after="0"/>
              <w:jc w:val="left"/>
              <w:rPr>
                <w:rFonts w:asciiTheme="majorHAnsi" w:hAnsiTheme="majorHAnsi"/>
                <w:bCs/>
                <w:i/>
                <w:sz w:val="18"/>
                <w:szCs w:val="18"/>
                <w:u w:val="single"/>
              </w:rPr>
            </w:pPr>
            <w:r w:rsidRPr="003262EF">
              <w:rPr>
                <w:rFonts w:asciiTheme="majorHAnsi" w:hAnsiTheme="majorHAnsi"/>
                <w:bCs/>
                <w:i/>
                <w:sz w:val="18"/>
                <w:szCs w:val="18"/>
                <w:u w:val="single"/>
              </w:rPr>
              <w:t>Risk:</w:t>
            </w:r>
          </w:p>
          <w:p w14:paraId="1BC41884" w14:textId="63D70E42" w:rsidR="005723C8" w:rsidRPr="0003763F" w:rsidRDefault="005723C8" w:rsidP="005723C8">
            <w:pPr>
              <w:spacing w:after="0"/>
              <w:jc w:val="left"/>
              <w:rPr>
                <w:i/>
                <w:sz w:val="18"/>
                <w:szCs w:val="18"/>
              </w:rPr>
            </w:pPr>
            <w:r w:rsidRPr="003262EF">
              <w:rPr>
                <w:rFonts w:asciiTheme="majorHAnsi" w:hAnsiTheme="majorHAnsi"/>
                <w:bCs/>
                <w:i/>
                <w:sz w:val="18"/>
                <w:szCs w:val="18"/>
              </w:rPr>
              <w:t>-External factors beyond the control of the project (e.g. climate change) might effect bird populations negatively</w:t>
            </w:r>
          </w:p>
        </w:tc>
      </w:tr>
      <w:tr w:rsidR="005723C8" w:rsidRPr="0003763F" w14:paraId="29F1D11C" w14:textId="77777777" w:rsidTr="001F6249">
        <w:trPr>
          <w:trHeight w:val="424"/>
        </w:trPr>
        <w:tc>
          <w:tcPr>
            <w:tcW w:w="1520" w:type="dxa"/>
            <w:vMerge/>
            <w:shd w:val="clear" w:color="auto" w:fill="auto"/>
          </w:tcPr>
          <w:p w14:paraId="3BC6A738" w14:textId="77777777" w:rsidR="005723C8" w:rsidRPr="0003763F" w:rsidRDefault="005723C8" w:rsidP="005723C8">
            <w:pPr>
              <w:rPr>
                <w:b/>
                <w:sz w:val="18"/>
                <w:szCs w:val="18"/>
              </w:rPr>
            </w:pPr>
          </w:p>
        </w:tc>
        <w:tc>
          <w:tcPr>
            <w:tcW w:w="2463" w:type="dxa"/>
            <w:shd w:val="clear" w:color="auto" w:fill="auto"/>
          </w:tcPr>
          <w:p w14:paraId="4F09E669" w14:textId="69C25149" w:rsidR="005723C8" w:rsidRPr="00B46B12" w:rsidRDefault="005723C8" w:rsidP="005723C8">
            <w:pPr>
              <w:jc w:val="left"/>
              <w:rPr>
                <w:rFonts w:asciiTheme="majorHAnsi" w:hAnsiTheme="majorHAnsi"/>
                <w:sz w:val="18"/>
                <w:szCs w:val="18"/>
              </w:rPr>
            </w:pPr>
            <w:r w:rsidRPr="00B46B12">
              <w:rPr>
                <w:rFonts w:asciiTheme="majorHAnsi" w:hAnsiTheme="majorHAnsi"/>
                <w:sz w:val="18"/>
                <w:szCs w:val="18"/>
              </w:rPr>
              <w:t>Extent of community-based land, forest, coastal and marine management regimes applied, including resultant changes in community incomes from current levels</w:t>
            </w:r>
          </w:p>
        </w:tc>
        <w:tc>
          <w:tcPr>
            <w:tcW w:w="1970" w:type="dxa"/>
          </w:tcPr>
          <w:p w14:paraId="49D92688" w14:textId="17B9F174" w:rsidR="005723C8" w:rsidRPr="00B46B12" w:rsidRDefault="005723C8" w:rsidP="005723C8">
            <w:pPr>
              <w:jc w:val="left"/>
              <w:rPr>
                <w:rFonts w:asciiTheme="majorHAnsi" w:hAnsiTheme="majorHAnsi"/>
                <w:i/>
                <w:sz w:val="18"/>
                <w:szCs w:val="18"/>
              </w:rPr>
            </w:pPr>
            <w:r w:rsidRPr="00B46B12">
              <w:rPr>
                <w:rFonts w:asciiTheme="majorHAnsi" w:hAnsiTheme="majorHAnsi"/>
                <w:i/>
                <w:sz w:val="18"/>
                <w:szCs w:val="18"/>
              </w:rPr>
              <w:t>Community-based land, forest, coastal and marine management regimes applied in at least 500 ha of additional areas resulting in 25% average increase in community incomes from current levels, of which at least 50% of beneficiaries are women</w:t>
            </w:r>
          </w:p>
        </w:tc>
        <w:tc>
          <w:tcPr>
            <w:tcW w:w="1540" w:type="dxa"/>
            <w:shd w:val="clear" w:color="auto" w:fill="auto"/>
          </w:tcPr>
          <w:p w14:paraId="2AA807D3" w14:textId="5B2AABEF" w:rsidR="005723C8" w:rsidRPr="005723C8" w:rsidRDefault="005723C8" w:rsidP="00883F24">
            <w:pPr>
              <w:jc w:val="left"/>
              <w:rPr>
                <w:i/>
                <w:sz w:val="18"/>
                <w:szCs w:val="18"/>
              </w:rPr>
            </w:pPr>
            <w:r w:rsidRPr="00883F24">
              <w:rPr>
                <w:rFonts w:asciiTheme="majorHAnsi" w:hAnsiTheme="majorHAnsi"/>
                <w:i/>
                <w:sz w:val="18"/>
                <w:szCs w:val="18"/>
              </w:rPr>
              <w:t xml:space="preserve">Consultations community groups, </w:t>
            </w:r>
            <w:r>
              <w:rPr>
                <w:rFonts w:asciiTheme="majorHAnsi" w:hAnsiTheme="majorHAnsi"/>
                <w:i/>
                <w:sz w:val="18"/>
                <w:szCs w:val="18"/>
              </w:rPr>
              <w:t xml:space="preserve">NGOs, etc. </w:t>
            </w:r>
          </w:p>
        </w:tc>
        <w:tc>
          <w:tcPr>
            <w:tcW w:w="1170" w:type="dxa"/>
            <w:shd w:val="clear" w:color="auto" w:fill="auto"/>
          </w:tcPr>
          <w:p w14:paraId="0B40EA05" w14:textId="155FA0FF" w:rsidR="005723C8" w:rsidRPr="005723C8" w:rsidRDefault="005723C8" w:rsidP="00883F24">
            <w:pPr>
              <w:jc w:val="left"/>
              <w:rPr>
                <w:i/>
                <w:sz w:val="18"/>
                <w:szCs w:val="18"/>
              </w:rPr>
            </w:pPr>
            <w:r w:rsidRPr="00883F24">
              <w:rPr>
                <w:rFonts w:asciiTheme="majorHAnsi" w:hAnsiTheme="majorHAnsi"/>
                <w:i/>
                <w:sz w:val="18"/>
                <w:szCs w:val="18"/>
              </w:rPr>
              <w:t>Annually</w:t>
            </w:r>
          </w:p>
        </w:tc>
        <w:tc>
          <w:tcPr>
            <w:tcW w:w="1440" w:type="dxa"/>
            <w:shd w:val="clear" w:color="auto" w:fill="auto"/>
          </w:tcPr>
          <w:p w14:paraId="10B024CA" w14:textId="14E7FD43" w:rsidR="005723C8" w:rsidRPr="00883F24" w:rsidRDefault="005723C8" w:rsidP="005723C8">
            <w:pPr>
              <w:spacing w:after="0"/>
              <w:jc w:val="left"/>
              <w:rPr>
                <w:rFonts w:asciiTheme="majorHAnsi" w:hAnsiTheme="majorHAnsi"/>
                <w:i/>
                <w:sz w:val="18"/>
                <w:szCs w:val="18"/>
              </w:rPr>
            </w:pPr>
            <w:r w:rsidRPr="00883F24">
              <w:rPr>
                <w:rFonts w:asciiTheme="majorHAnsi" w:hAnsiTheme="majorHAnsi"/>
                <w:i/>
                <w:sz w:val="18"/>
                <w:szCs w:val="18"/>
              </w:rPr>
              <w:t xml:space="preserve">State </w:t>
            </w:r>
            <w:r>
              <w:rPr>
                <w:rFonts w:asciiTheme="majorHAnsi" w:hAnsiTheme="majorHAnsi"/>
                <w:i/>
                <w:sz w:val="18"/>
                <w:szCs w:val="18"/>
              </w:rPr>
              <w:t>Entities, NGOs and Project Manager</w:t>
            </w:r>
          </w:p>
          <w:p w14:paraId="545E766A" w14:textId="77777777" w:rsidR="005723C8" w:rsidRPr="005723C8" w:rsidRDefault="005723C8" w:rsidP="00883F24">
            <w:pPr>
              <w:jc w:val="left"/>
              <w:rPr>
                <w:i/>
                <w:sz w:val="18"/>
                <w:szCs w:val="18"/>
              </w:rPr>
            </w:pPr>
          </w:p>
        </w:tc>
        <w:tc>
          <w:tcPr>
            <w:tcW w:w="1620" w:type="dxa"/>
            <w:shd w:val="clear" w:color="auto" w:fill="auto"/>
          </w:tcPr>
          <w:p w14:paraId="46F1ADFA" w14:textId="60DA8FE5" w:rsidR="005723C8" w:rsidRPr="005723C8" w:rsidRDefault="005723C8" w:rsidP="00883F24">
            <w:pPr>
              <w:jc w:val="left"/>
              <w:rPr>
                <w:i/>
                <w:sz w:val="18"/>
                <w:szCs w:val="18"/>
              </w:rPr>
            </w:pPr>
            <w:r>
              <w:rPr>
                <w:rFonts w:asciiTheme="majorHAnsi" w:hAnsiTheme="majorHAnsi"/>
                <w:i/>
                <w:sz w:val="18"/>
                <w:szCs w:val="18"/>
              </w:rPr>
              <w:t xml:space="preserve">Best practice monitoring plans, community income assessment reports, </w:t>
            </w:r>
            <w:r w:rsidRPr="00883F24">
              <w:rPr>
                <w:rFonts w:asciiTheme="majorHAnsi" w:hAnsiTheme="majorHAnsi"/>
                <w:i/>
                <w:sz w:val="18"/>
                <w:szCs w:val="18"/>
              </w:rPr>
              <w:t>monitored restoration plans, etc.</w:t>
            </w:r>
          </w:p>
        </w:tc>
        <w:tc>
          <w:tcPr>
            <w:tcW w:w="2898" w:type="dxa"/>
            <w:shd w:val="clear" w:color="auto" w:fill="auto"/>
          </w:tcPr>
          <w:p w14:paraId="24012FEC" w14:textId="77777777" w:rsidR="005723C8" w:rsidRPr="003262EF" w:rsidRDefault="005723C8" w:rsidP="005723C8">
            <w:pPr>
              <w:spacing w:after="0"/>
              <w:jc w:val="left"/>
              <w:rPr>
                <w:rFonts w:asciiTheme="majorHAnsi" w:hAnsiTheme="majorHAnsi"/>
                <w:bCs/>
                <w:i/>
                <w:sz w:val="18"/>
                <w:szCs w:val="18"/>
              </w:rPr>
            </w:pPr>
            <w:r w:rsidRPr="003262EF">
              <w:rPr>
                <w:rFonts w:asciiTheme="majorHAnsi" w:hAnsiTheme="majorHAnsi"/>
                <w:bCs/>
                <w:i/>
                <w:sz w:val="18"/>
                <w:szCs w:val="18"/>
                <w:u w:val="single"/>
              </w:rPr>
              <w:t>Assumption:</w:t>
            </w:r>
            <w:r w:rsidRPr="003262EF">
              <w:rPr>
                <w:rFonts w:asciiTheme="majorHAnsi" w:hAnsiTheme="majorHAnsi"/>
                <w:bCs/>
                <w:i/>
                <w:sz w:val="18"/>
                <w:szCs w:val="18"/>
              </w:rPr>
              <w:t xml:space="preserve"> </w:t>
            </w:r>
          </w:p>
          <w:p w14:paraId="5C983ECF" w14:textId="78786504" w:rsidR="005723C8" w:rsidRPr="003262EF" w:rsidRDefault="005723C8" w:rsidP="005723C8">
            <w:pPr>
              <w:spacing w:after="0"/>
              <w:jc w:val="left"/>
              <w:rPr>
                <w:rFonts w:asciiTheme="majorHAnsi" w:hAnsiTheme="majorHAnsi"/>
                <w:bCs/>
                <w:i/>
                <w:sz w:val="18"/>
                <w:szCs w:val="18"/>
              </w:rPr>
            </w:pPr>
            <w:r w:rsidRPr="003262EF">
              <w:rPr>
                <w:rFonts w:asciiTheme="majorHAnsi" w:hAnsiTheme="majorHAnsi"/>
                <w:bCs/>
                <w:i/>
                <w:sz w:val="18"/>
                <w:szCs w:val="18"/>
              </w:rPr>
              <w:t xml:space="preserve">-Capacities of the CSOs on planning and developing sustainable practices sufficient after training </w:t>
            </w:r>
          </w:p>
          <w:p w14:paraId="57AE6F61" w14:textId="77777777" w:rsidR="005723C8" w:rsidRPr="003262EF" w:rsidRDefault="005723C8" w:rsidP="005723C8">
            <w:pPr>
              <w:spacing w:after="0"/>
              <w:jc w:val="left"/>
              <w:rPr>
                <w:rFonts w:asciiTheme="majorHAnsi" w:hAnsiTheme="majorHAnsi"/>
                <w:bCs/>
                <w:i/>
                <w:sz w:val="18"/>
                <w:szCs w:val="18"/>
              </w:rPr>
            </w:pPr>
            <w:r w:rsidRPr="003262EF">
              <w:rPr>
                <w:rFonts w:asciiTheme="majorHAnsi" w:hAnsiTheme="majorHAnsi"/>
                <w:bCs/>
                <w:i/>
                <w:sz w:val="18"/>
                <w:szCs w:val="18"/>
              </w:rPr>
              <w:t xml:space="preserve">-Local communities have economic interest in development of sustainable and new practices because they can provide more benefits than unsustainable ones. </w:t>
            </w:r>
          </w:p>
          <w:p w14:paraId="59F3B075" w14:textId="77777777" w:rsidR="005723C8" w:rsidRPr="003262EF" w:rsidRDefault="005723C8" w:rsidP="005723C8">
            <w:pPr>
              <w:spacing w:after="0"/>
              <w:jc w:val="left"/>
              <w:rPr>
                <w:rFonts w:asciiTheme="majorHAnsi" w:hAnsiTheme="majorHAnsi"/>
                <w:bCs/>
                <w:i/>
                <w:sz w:val="18"/>
                <w:szCs w:val="18"/>
              </w:rPr>
            </w:pPr>
          </w:p>
          <w:p w14:paraId="3DC84E8D" w14:textId="77777777" w:rsidR="005723C8" w:rsidRDefault="005723C8" w:rsidP="005723C8">
            <w:pPr>
              <w:spacing w:after="0"/>
              <w:jc w:val="left"/>
              <w:rPr>
                <w:rFonts w:asciiTheme="majorHAnsi" w:hAnsiTheme="majorHAnsi"/>
                <w:bCs/>
                <w:i/>
                <w:sz w:val="18"/>
                <w:szCs w:val="18"/>
              </w:rPr>
            </w:pPr>
            <w:r w:rsidRPr="003262EF">
              <w:rPr>
                <w:rFonts w:asciiTheme="majorHAnsi" w:hAnsiTheme="majorHAnsi"/>
                <w:bCs/>
                <w:i/>
                <w:sz w:val="18"/>
                <w:szCs w:val="18"/>
                <w:u w:val="single"/>
              </w:rPr>
              <w:t>Risks:</w:t>
            </w:r>
            <w:r w:rsidRPr="003262EF">
              <w:rPr>
                <w:rFonts w:asciiTheme="majorHAnsi" w:hAnsiTheme="majorHAnsi"/>
                <w:bCs/>
                <w:i/>
                <w:sz w:val="18"/>
                <w:szCs w:val="18"/>
              </w:rPr>
              <w:t xml:space="preserve"> </w:t>
            </w:r>
          </w:p>
          <w:p w14:paraId="74C558A2" w14:textId="07A8A552" w:rsidR="005723C8" w:rsidRPr="003262EF" w:rsidRDefault="005723C8" w:rsidP="005723C8">
            <w:pPr>
              <w:spacing w:after="0"/>
              <w:jc w:val="left"/>
              <w:rPr>
                <w:rFonts w:asciiTheme="majorHAnsi" w:hAnsiTheme="majorHAnsi"/>
                <w:bCs/>
                <w:i/>
                <w:sz w:val="18"/>
                <w:szCs w:val="18"/>
              </w:rPr>
            </w:pPr>
            <w:r w:rsidRPr="003262EF">
              <w:rPr>
                <w:rFonts w:asciiTheme="majorHAnsi" w:hAnsiTheme="majorHAnsi"/>
                <w:bCs/>
                <w:i/>
                <w:sz w:val="18"/>
                <w:szCs w:val="18"/>
              </w:rPr>
              <w:t>Priorities of relevant state agencies in implementation of plans might be inconsistent with the objectives of conservation and livelihood development creating conflicts in sustainable natural resources use.</w:t>
            </w:r>
          </w:p>
          <w:p w14:paraId="51E640C7" w14:textId="77777777" w:rsidR="005723C8" w:rsidRPr="003262EF" w:rsidRDefault="005723C8" w:rsidP="005723C8">
            <w:pPr>
              <w:spacing w:after="0"/>
              <w:jc w:val="left"/>
              <w:rPr>
                <w:rFonts w:asciiTheme="majorHAnsi" w:hAnsiTheme="majorHAnsi"/>
                <w:bCs/>
                <w:i/>
                <w:sz w:val="18"/>
                <w:szCs w:val="18"/>
              </w:rPr>
            </w:pPr>
            <w:r w:rsidRPr="003262EF">
              <w:rPr>
                <w:rFonts w:asciiTheme="majorHAnsi" w:hAnsiTheme="majorHAnsi"/>
                <w:bCs/>
                <w:i/>
                <w:sz w:val="18"/>
                <w:szCs w:val="18"/>
              </w:rPr>
              <w:t>-Any policy change (such as promotion of uncontrolled developments in tourism and infrastructure) that is not consistent with sustainable development may reduce impacts of project interventions</w:t>
            </w:r>
          </w:p>
          <w:p w14:paraId="094FEAF0" w14:textId="6BDAE93E" w:rsidR="005723C8" w:rsidRPr="003262EF" w:rsidRDefault="005723C8" w:rsidP="005723C8">
            <w:pPr>
              <w:spacing w:after="0"/>
              <w:jc w:val="left"/>
              <w:rPr>
                <w:rFonts w:asciiTheme="majorHAnsi" w:hAnsiTheme="majorHAnsi"/>
                <w:bCs/>
                <w:i/>
                <w:sz w:val="18"/>
                <w:szCs w:val="18"/>
              </w:rPr>
            </w:pPr>
            <w:r w:rsidRPr="003262EF">
              <w:rPr>
                <w:rFonts w:asciiTheme="majorHAnsi" w:hAnsiTheme="majorHAnsi"/>
                <w:bCs/>
                <w:i/>
                <w:sz w:val="18"/>
                <w:szCs w:val="18"/>
              </w:rPr>
              <w:t>-Natural calamities may affect the ability of local communities to respond positively to holistic approaches to sustainable management of land and sea.</w:t>
            </w:r>
          </w:p>
          <w:p w14:paraId="40AC381F" w14:textId="59F4A817" w:rsidR="005723C8" w:rsidRPr="0003763F" w:rsidRDefault="005723C8" w:rsidP="005723C8">
            <w:pPr>
              <w:jc w:val="left"/>
              <w:rPr>
                <w:i/>
                <w:sz w:val="18"/>
                <w:szCs w:val="18"/>
              </w:rPr>
            </w:pPr>
            <w:r w:rsidRPr="003262EF">
              <w:rPr>
                <w:rFonts w:asciiTheme="majorHAnsi" w:hAnsiTheme="majorHAnsi"/>
                <w:bCs/>
                <w:i/>
                <w:sz w:val="18"/>
                <w:szCs w:val="18"/>
              </w:rPr>
              <w:t>-Partner Organizations (NGOs) are unable to mobilize adequate manpower and technical resources to support sustainable actions</w:t>
            </w:r>
          </w:p>
        </w:tc>
      </w:tr>
      <w:tr w:rsidR="00883F24" w:rsidRPr="0003763F" w14:paraId="5BDE4A89" w14:textId="77777777" w:rsidTr="001F6249">
        <w:trPr>
          <w:trHeight w:val="424"/>
        </w:trPr>
        <w:tc>
          <w:tcPr>
            <w:tcW w:w="1520" w:type="dxa"/>
            <w:vMerge w:val="restart"/>
            <w:shd w:val="clear" w:color="auto" w:fill="auto"/>
          </w:tcPr>
          <w:p w14:paraId="5A485AF1" w14:textId="17150855" w:rsidR="00883F24" w:rsidRPr="00665E52" w:rsidRDefault="00883F24" w:rsidP="004348B5">
            <w:pPr>
              <w:jc w:val="left"/>
              <w:rPr>
                <w:rFonts w:asciiTheme="majorHAnsi" w:hAnsiTheme="majorHAnsi"/>
                <w:b/>
                <w:i/>
                <w:sz w:val="18"/>
                <w:szCs w:val="18"/>
              </w:rPr>
            </w:pPr>
            <w:r w:rsidRPr="00665E52">
              <w:rPr>
                <w:rFonts w:asciiTheme="majorHAnsi" w:hAnsiTheme="majorHAnsi"/>
                <w:b/>
                <w:sz w:val="18"/>
                <w:szCs w:val="18"/>
              </w:rPr>
              <w:t xml:space="preserve">Project Outcome 3: </w:t>
            </w:r>
            <w:r w:rsidRPr="00665E52">
              <w:rPr>
                <w:rFonts w:asciiTheme="majorHAnsi" w:hAnsiTheme="majorHAnsi"/>
                <w:sz w:val="18"/>
                <w:szCs w:val="18"/>
              </w:rPr>
              <w:t xml:space="preserve">Integrated </w:t>
            </w:r>
            <w:r w:rsidR="0021132C">
              <w:rPr>
                <w:rFonts w:asciiTheme="majorHAnsi" w:hAnsiTheme="majorHAnsi"/>
                <w:sz w:val="18"/>
                <w:szCs w:val="18"/>
              </w:rPr>
              <w:t>multi-sector</w:t>
            </w:r>
            <w:r w:rsidRPr="00665E52">
              <w:rPr>
                <w:rFonts w:asciiTheme="majorHAnsi" w:hAnsiTheme="majorHAnsi"/>
                <w:sz w:val="18"/>
                <w:szCs w:val="18"/>
              </w:rPr>
              <w:t xml:space="preserve"> planning and management operational in 264,686 ha of seascapes and coastal areas</w:t>
            </w:r>
            <w:r w:rsidRPr="00665E52">
              <w:rPr>
                <w:rStyle w:val="FootnoteReference"/>
                <w:rFonts w:asciiTheme="majorHAnsi" w:hAnsiTheme="majorHAnsi"/>
                <w:szCs w:val="18"/>
              </w:rPr>
              <w:footnoteReference w:id="49"/>
            </w:r>
            <w:r w:rsidRPr="00665E52">
              <w:rPr>
                <w:rFonts w:asciiTheme="majorHAnsi" w:hAnsiTheme="majorHAnsi"/>
                <w:sz w:val="18"/>
                <w:szCs w:val="18"/>
              </w:rPr>
              <w:t xml:space="preserve"> in the Southern Lagoon to reduce threats to biodiversity and improve ecosystem services to benefit communities and state economies</w:t>
            </w:r>
          </w:p>
        </w:tc>
        <w:tc>
          <w:tcPr>
            <w:tcW w:w="2463" w:type="dxa"/>
            <w:shd w:val="clear" w:color="auto" w:fill="auto"/>
          </w:tcPr>
          <w:p w14:paraId="356860A3" w14:textId="34AA3EBF" w:rsidR="00883F24" w:rsidRPr="00665E52" w:rsidRDefault="00883F24" w:rsidP="00665E52">
            <w:pPr>
              <w:jc w:val="left"/>
              <w:rPr>
                <w:rFonts w:asciiTheme="majorHAnsi" w:hAnsiTheme="majorHAnsi"/>
                <w:i/>
                <w:sz w:val="18"/>
                <w:szCs w:val="18"/>
              </w:rPr>
            </w:pPr>
            <w:r w:rsidRPr="00665E52">
              <w:rPr>
                <w:rFonts w:asciiTheme="majorHAnsi" w:hAnsiTheme="majorHAnsi"/>
                <w:sz w:val="18"/>
                <w:szCs w:val="18"/>
              </w:rPr>
              <w:t>Change in status of fish stocks in designated reef and sea grass areas based on biomass indices</w:t>
            </w:r>
          </w:p>
        </w:tc>
        <w:tc>
          <w:tcPr>
            <w:tcW w:w="1970" w:type="dxa"/>
          </w:tcPr>
          <w:p w14:paraId="00501CDE" w14:textId="0235EDB2" w:rsidR="00883F24" w:rsidRPr="00665E52" w:rsidRDefault="00883F24" w:rsidP="00665E52">
            <w:pPr>
              <w:jc w:val="left"/>
              <w:rPr>
                <w:rFonts w:asciiTheme="majorHAnsi" w:hAnsiTheme="majorHAnsi"/>
                <w:sz w:val="18"/>
                <w:szCs w:val="18"/>
              </w:rPr>
            </w:pPr>
            <w:r w:rsidRPr="00665E52">
              <w:rPr>
                <w:rFonts w:asciiTheme="majorHAnsi" w:hAnsiTheme="majorHAnsi"/>
                <w:i/>
                <w:sz w:val="18"/>
                <w:szCs w:val="18"/>
              </w:rPr>
              <w:t xml:space="preserve">Maintained or improved fish stocks in designated zones from existing baselines </w:t>
            </w:r>
            <w:r w:rsidRPr="00883F24">
              <w:rPr>
                <w:rFonts w:asciiTheme="majorHAnsi" w:hAnsiTheme="majorHAnsi"/>
                <w:i/>
                <w:sz w:val="18"/>
                <w:szCs w:val="18"/>
              </w:rPr>
              <w:t xml:space="preserve">of </w:t>
            </w:r>
            <w:r w:rsidRPr="00665E52">
              <w:rPr>
                <w:rFonts w:asciiTheme="majorHAnsi" w:hAnsiTheme="majorHAnsi"/>
                <w:bCs/>
                <w:i/>
                <w:sz w:val="18"/>
                <w:szCs w:val="18"/>
              </w:rPr>
              <w:t>Protected exposed reefs (outer reefs and channels) of 714kg/ha (with unprotected exposed reefs having 63% of this figure compared with MPAs) and 258kg/ha in protected inner reefs (black reefs and patch reefs/reef flats) with unprotected reefs having 57% of this figure compared with MPAs</w:t>
            </w:r>
          </w:p>
        </w:tc>
        <w:tc>
          <w:tcPr>
            <w:tcW w:w="1540" w:type="dxa"/>
            <w:shd w:val="clear" w:color="auto" w:fill="auto"/>
          </w:tcPr>
          <w:p w14:paraId="1C702759" w14:textId="69EC8401" w:rsidR="00883F24" w:rsidRPr="00665E52" w:rsidRDefault="00883F24" w:rsidP="00665E52">
            <w:pPr>
              <w:jc w:val="left"/>
              <w:rPr>
                <w:i/>
                <w:sz w:val="18"/>
                <w:szCs w:val="18"/>
              </w:rPr>
            </w:pPr>
            <w:r w:rsidRPr="00665E52">
              <w:rPr>
                <w:rFonts w:asciiTheme="majorHAnsi" w:hAnsiTheme="majorHAnsi"/>
                <w:i/>
                <w:sz w:val="18"/>
                <w:szCs w:val="18"/>
              </w:rPr>
              <w:t>Baseline and monitoring surveys of populations</w:t>
            </w:r>
          </w:p>
        </w:tc>
        <w:tc>
          <w:tcPr>
            <w:tcW w:w="1170" w:type="dxa"/>
            <w:shd w:val="clear" w:color="auto" w:fill="auto"/>
          </w:tcPr>
          <w:p w14:paraId="15A24BBD" w14:textId="3190F900" w:rsidR="00883F24" w:rsidRPr="00665E52" w:rsidRDefault="00883F24" w:rsidP="00665E52">
            <w:pPr>
              <w:jc w:val="left"/>
              <w:rPr>
                <w:i/>
                <w:sz w:val="18"/>
                <w:szCs w:val="18"/>
              </w:rPr>
            </w:pPr>
            <w:r w:rsidRPr="00665E52">
              <w:rPr>
                <w:i/>
                <w:sz w:val="18"/>
                <w:szCs w:val="18"/>
              </w:rPr>
              <w:t>Annually</w:t>
            </w:r>
          </w:p>
        </w:tc>
        <w:tc>
          <w:tcPr>
            <w:tcW w:w="1440" w:type="dxa"/>
            <w:shd w:val="clear" w:color="auto" w:fill="auto"/>
          </w:tcPr>
          <w:p w14:paraId="0E4061B0" w14:textId="245D9347" w:rsidR="00883F24" w:rsidRPr="00665E52" w:rsidRDefault="0037719F" w:rsidP="00665E52">
            <w:pPr>
              <w:jc w:val="left"/>
              <w:rPr>
                <w:i/>
                <w:sz w:val="18"/>
                <w:szCs w:val="18"/>
              </w:rPr>
            </w:pPr>
            <w:r>
              <w:rPr>
                <w:i/>
                <w:sz w:val="18"/>
                <w:szCs w:val="18"/>
              </w:rPr>
              <w:t>PICRC</w:t>
            </w:r>
          </w:p>
        </w:tc>
        <w:tc>
          <w:tcPr>
            <w:tcW w:w="1620" w:type="dxa"/>
            <w:shd w:val="clear" w:color="auto" w:fill="auto"/>
          </w:tcPr>
          <w:p w14:paraId="56F0501D" w14:textId="10C79F01" w:rsidR="00883F24" w:rsidRPr="00665E52" w:rsidRDefault="00883F24" w:rsidP="00665E52">
            <w:pPr>
              <w:jc w:val="left"/>
              <w:rPr>
                <w:i/>
                <w:sz w:val="18"/>
                <w:szCs w:val="18"/>
              </w:rPr>
            </w:pPr>
            <w:r>
              <w:rPr>
                <w:i/>
                <w:sz w:val="18"/>
                <w:szCs w:val="18"/>
              </w:rPr>
              <w:t xml:space="preserve">Fish stock </w:t>
            </w:r>
            <w:r w:rsidRPr="00883F24">
              <w:rPr>
                <w:i/>
                <w:sz w:val="18"/>
                <w:szCs w:val="18"/>
              </w:rPr>
              <w:t>s</w:t>
            </w:r>
            <w:r w:rsidRPr="00665E52">
              <w:rPr>
                <w:i/>
                <w:sz w:val="18"/>
                <w:szCs w:val="18"/>
              </w:rPr>
              <w:t xml:space="preserve">urvey </w:t>
            </w:r>
            <w:r>
              <w:rPr>
                <w:i/>
                <w:sz w:val="18"/>
                <w:szCs w:val="18"/>
              </w:rPr>
              <w:t xml:space="preserve">and assessment </w:t>
            </w:r>
            <w:r w:rsidRPr="00665E52">
              <w:rPr>
                <w:i/>
                <w:sz w:val="18"/>
                <w:szCs w:val="18"/>
              </w:rPr>
              <w:t>reports</w:t>
            </w:r>
          </w:p>
        </w:tc>
        <w:tc>
          <w:tcPr>
            <w:tcW w:w="2898" w:type="dxa"/>
            <w:vMerge w:val="restart"/>
            <w:shd w:val="clear" w:color="auto" w:fill="auto"/>
          </w:tcPr>
          <w:p w14:paraId="57B584B8" w14:textId="77777777" w:rsidR="00883F24" w:rsidRPr="00665E52" w:rsidRDefault="00883F24" w:rsidP="00665E52">
            <w:pPr>
              <w:spacing w:after="0"/>
              <w:jc w:val="left"/>
              <w:rPr>
                <w:rFonts w:asciiTheme="majorHAnsi" w:hAnsiTheme="majorHAnsi"/>
                <w:bCs/>
                <w:i/>
                <w:sz w:val="18"/>
                <w:szCs w:val="18"/>
                <w:u w:val="single"/>
              </w:rPr>
            </w:pPr>
            <w:r w:rsidRPr="00665E52">
              <w:rPr>
                <w:rFonts w:asciiTheme="majorHAnsi" w:hAnsiTheme="majorHAnsi"/>
                <w:bCs/>
                <w:i/>
                <w:sz w:val="18"/>
                <w:szCs w:val="18"/>
                <w:u w:val="single"/>
              </w:rPr>
              <w:t>Assumptions:</w:t>
            </w:r>
          </w:p>
          <w:p w14:paraId="69B15A76" w14:textId="77777777" w:rsidR="00883F24" w:rsidRPr="00665E52" w:rsidRDefault="00883F24" w:rsidP="00665E52">
            <w:pPr>
              <w:spacing w:after="0"/>
              <w:jc w:val="left"/>
              <w:rPr>
                <w:rFonts w:asciiTheme="majorHAnsi" w:hAnsiTheme="majorHAnsi"/>
                <w:bCs/>
                <w:i/>
                <w:sz w:val="18"/>
                <w:szCs w:val="18"/>
              </w:rPr>
            </w:pPr>
            <w:r w:rsidRPr="00665E52">
              <w:rPr>
                <w:rFonts w:asciiTheme="majorHAnsi" w:hAnsiTheme="majorHAnsi"/>
                <w:bCs/>
                <w:i/>
                <w:sz w:val="18"/>
                <w:szCs w:val="18"/>
              </w:rPr>
              <w:t>-Adequate capacity and technical support available to monitor changes in species populations and ecosystem conditions</w:t>
            </w:r>
          </w:p>
          <w:p w14:paraId="53E855FB" w14:textId="77777777" w:rsidR="00883F24" w:rsidRPr="00665E52" w:rsidRDefault="00883F24" w:rsidP="00665E52">
            <w:pPr>
              <w:spacing w:after="0"/>
              <w:jc w:val="left"/>
              <w:rPr>
                <w:rFonts w:asciiTheme="majorHAnsi" w:hAnsiTheme="majorHAnsi"/>
                <w:bCs/>
                <w:i/>
                <w:sz w:val="18"/>
                <w:szCs w:val="18"/>
              </w:rPr>
            </w:pPr>
            <w:r w:rsidRPr="00665E52">
              <w:rPr>
                <w:rFonts w:asciiTheme="majorHAnsi" w:hAnsiTheme="majorHAnsi"/>
                <w:bCs/>
                <w:i/>
                <w:sz w:val="18"/>
                <w:szCs w:val="18"/>
              </w:rPr>
              <w:t>-NGOs and other agencies will have adequate commitment and resources to implement rat eradication programs</w:t>
            </w:r>
          </w:p>
          <w:p w14:paraId="1337545B" w14:textId="77777777" w:rsidR="00883F24" w:rsidRPr="00665E52" w:rsidRDefault="00883F24" w:rsidP="00665E52">
            <w:pPr>
              <w:spacing w:after="0"/>
              <w:jc w:val="left"/>
              <w:rPr>
                <w:rFonts w:asciiTheme="majorHAnsi" w:hAnsiTheme="majorHAnsi"/>
                <w:bCs/>
                <w:i/>
                <w:sz w:val="18"/>
                <w:szCs w:val="18"/>
              </w:rPr>
            </w:pPr>
            <w:r w:rsidRPr="00665E52">
              <w:rPr>
                <w:rFonts w:asciiTheme="majorHAnsi" w:hAnsiTheme="majorHAnsi"/>
                <w:bCs/>
                <w:i/>
                <w:sz w:val="18"/>
                <w:szCs w:val="18"/>
              </w:rPr>
              <w:t>-Adequate biosecurity measures will be instituted by state governments to prevent potential re-establishment of rats in cleared islands</w:t>
            </w:r>
          </w:p>
          <w:p w14:paraId="4CABD630" w14:textId="77777777" w:rsidR="00883F24" w:rsidRDefault="00883F24" w:rsidP="00665E52">
            <w:pPr>
              <w:spacing w:after="0"/>
              <w:jc w:val="left"/>
              <w:rPr>
                <w:rFonts w:asciiTheme="majorHAnsi" w:eastAsiaTheme="majorEastAsia" w:hAnsiTheme="majorHAnsi" w:cstheme="majorBidi"/>
                <w:bCs/>
                <w:i/>
                <w:iCs/>
                <w:color w:val="404040" w:themeColor="text1" w:themeTint="BF"/>
                <w:sz w:val="18"/>
                <w:szCs w:val="18"/>
              </w:rPr>
            </w:pPr>
            <w:r w:rsidRPr="00665E52">
              <w:rPr>
                <w:rFonts w:asciiTheme="majorHAnsi" w:hAnsiTheme="majorHAnsi"/>
                <w:bCs/>
                <w:i/>
                <w:sz w:val="18"/>
                <w:szCs w:val="18"/>
              </w:rPr>
              <w:t>-Current fish stock monitoring programs continue</w:t>
            </w:r>
          </w:p>
          <w:p w14:paraId="7A7DFF37" w14:textId="77777777" w:rsidR="00883F24" w:rsidRPr="00665E52" w:rsidRDefault="00883F24" w:rsidP="00665E52">
            <w:pPr>
              <w:spacing w:after="0"/>
              <w:jc w:val="left"/>
              <w:rPr>
                <w:rFonts w:asciiTheme="majorHAnsi" w:hAnsiTheme="majorHAnsi"/>
                <w:bCs/>
                <w:i/>
                <w:sz w:val="18"/>
                <w:szCs w:val="18"/>
              </w:rPr>
            </w:pPr>
          </w:p>
          <w:p w14:paraId="7744D2F0" w14:textId="77777777" w:rsidR="00883F24" w:rsidRPr="00665E52" w:rsidRDefault="00883F24" w:rsidP="00665E52">
            <w:pPr>
              <w:spacing w:after="0"/>
              <w:jc w:val="left"/>
              <w:rPr>
                <w:rFonts w:asciiTheme="majorHAnsi" w:hAnsiTheme="majorHAnsi"/>
                <w:bCs/>
                <w:i/>
                <w:sz w:val="18"/>
                <w:szCs w:val="18"/>
                <w:u w:val="single"/>
              </w:rPr>
            </w:pPr>
            <w:r w:rsidRPr="00665E52">
              <w:rPr>
                <w:rFonts w:asciiTheme="majorHAnsi" w:hAnsiTheme="majorHAnsi"/>
                <w:bCs/>
                <w:i/>
                <w:sz w:val="18"/>
                <w:szCs w:val="18"/>
                <w:u w:val="single"/>
              </w:rPr>
              <w:t>Risks:</w:t>
            </w:r>
          </w:p>
          <w:p w14:paraId="265D49C9" w14:textId="77777777" w:rsidR="00883F24" w:rsidRPr="00665E52" w:rsidRDefault="00883F24" w:rsidP="00665E52">
            <w:pPr>
              <w:spacing w:after="0"/>
              <w:jc w:val="left"/>
              <w:rPr>
                <w:rFonts w:asciiTheme="majorHAnsi" w:hAnsiTheme="majorHAnsi"/>
                <w:bCs/>
                <w:i/>
                <w:sz w:val="18"/>
                <w:szCs w:val="18"/>
              </w:rPr>
            </w:pPr>
            <w:r w:rsidRPr="00665E52">
              <w:rPr>
                <w:rFonts w:asciiTheme="majorHAnsi" w:hAnsiTheme="majorHAnsi"/>
                <w:bCs/>
                <w:i/>
                <w:sz w:val="18"/>
                <w:szCs w:val="18"/>
              </w:rPr>
              <w:t>- Project period may be too short to reflect any substantial or measurable changes to population numbers and ecosystem conditions</w:t>
            </w:r>
          </w:p>
          <w:p w14:paraId="5C3E44B2" w14:textId="71FDEC2A" w:rsidR="00883F24" w:rsidRPr="0003763F" w:rsidRDefault="00883F24" w:rsidP="00665E52">
            <w:pPr>
              <w:spacing w:after="0"/>
              <w:jc w:val="left"/>
              <w:rPr>
                <w:b/>
                <w:spacing w:val="15"/>
                <w:sz w:val="18"/>
                <w:szCs w:val="18"/>
              </w:rPr>
            </w:pPr>
            <w:r w:rsidRPr="00665E52">
              <w:rPr>
                <w:rFonts w:asciiTheme="majorHAnsi" w:hAnsiTheme="majorHAnsi"/>
                <w:bCs/>
                <w:i/>
                <w:sz w:val="18"/>
                <w:szCs w:val="18"/>
              </w:rPr>
              <w:t>-External events, beyond the control of the project (climate events or other man-made actions) may have wide ranging impacts of species and ecosystem conditions, including movement of rats on floating debris from typhoons and storms</w:t>
            </w:r>
          </w:p>
        </w:tc>
      </w:tr>
      <w:tr w:rsidR="00883F24" w:rsidRPr="0003763F" w14:paraId="0E7A2B8F" w14:textId="77777777" w:rsidTr="001F6249">
        <w:trPr>
          <w:trHeight w:val="424"/>
        </w:trPr>
        <w:tc>
          <w:tcPr>
            <w:tcW w:w="1520" w:type="dxa"/>
            <w:vMerge/>
            <w:shd w:val="clear" w:color="auto" w:fill="auto"/>
          </w:tcPr>
          <w:p w14:paraId="79DE5CDB" w14:textId="77777777" w:rsidR="00883F24" w:rsidRPr="00665E52" w:rsidRDefault="00883F24" w:rsidP="00665E52">
            <w:pPr>
              <w:jc w:val="left"/>
              <w:rPr>
                <w:rFonts w:asciiTheme="majorHAnsi" w:hAnsiTheme="majorHAnsi"/>
                <w:b/>
                <w:i/>
                <w:sz w:val="18"/>
                <w:szCs w:val="18"/>
              </w:rPr>
            </w:pPr>
          </w:p>
        </w:tc>
        <w:tc>
          <w:tcPr>
            <w:tcW w:w="2463" w:type="dxa"/>
            <w:shd w:val="clear" w:color="auto" w:fill="auto"/>
          </w:tcPr>
          <w:p w14:paraId="629D3DC2" w14:textId="355A0B95" w:rsidR="00883F24" w:rsidRPr="00665E52" w:rsidRDefault="00883F24" w:rsidP="00665E52">
            <w:pPr>
              <w:jc w:val="left"/>
              <w:rPr>
                <w:rFonts w:asciiTheme="majorHAnsi" w:hAnsiTheme="majorHAnsi"/>
                <w:b/>
                <w:sz w:val="18"/>
                <w:szCs w:val="18"/>
              </w:rPr>
            </w:pPr>
            <w:r w:rsidRPr="00665E52">
              <w:rPr>
                <w:rFonts w:asciiTheme="majorHAnsi" w:hAnsiTheme="majorHAnsi"/>
                <w:sz w:val="18"/>
                <w:szCs w:val="18"/>
              </w:rPr>
              <w:t xml:space="preserve">Change in status of coral cover at designated sites </w:t>
            </w:r>
          </w:p>
        </w:tc>
        <w:tc>
          <w:tcPr>
            <w:tcW w:w="1970" w:type="dxa"/>
          </w:tcPr>
          <w:p w14:paraId="45573396" w14:textId="5A7B2493" w:rsidR="00883F24" w:rsidRPr="00665E52" w:rsidRDefault="00883F24" w:rsidP="00665E52">
            <w:pPr>
              <w:jc w:val="left"/>
              <w:rPr>
                <w:rFonts w:asciiTheme="majorHAnsi" w:hAnsiTheme="majorHAnsi"/>
                <w:i/>
                <w:sz w:val="18"/>
                <w:szCs w:val="18"/>
              </w:rPr>
            </w:pPr>
            <w:r w:rsidRPr="00665E52">
              <w:rPr>
                <w:rFonts w:asciiTheme="majorHAnsi" w:hAnsiTheme="majorHAnsi"/>
                <w:i/>
                <w:sz w:val="18"/>
                <w:szCs w:val="18"/>
              </w:rPr>
              <w:t>Maintained or increased percentage coral cover at designated sites from existing baseline</w:t>
            </w:r>
            <w:r>
              <w:rPr>
                <w:rFonts w:asciiTheme="majorHAnsi" w:hAnsiTheme="majorHAnsi"/>
                <w:i/>
                <w:sz w:val="18"/>
                <w:szCs w:val="18"/>
              </w:rPr>
              <w:t xml:space="preserve"> of</w:t>
            </w:r>
            <w:r w:rsidRPr="00665E52">
              <w:rPr>
                <w:rFonts w:asciiTheme="majorHAnsi" w:hAnsiTheme="majorHAnsi"/>
                <w:i/>
                <w:sz w:val="18"/>
                <w:szCs w:val="18"/>
              </w:rPr>
              <w:t xml:space="preserve"> </w:t>
            </w:r>
            <w:r w:rsidRPr="00F73C3B">
              <w:rPr>
                <w:rFonts w:ascii="Times New Roman" w:hAnsi="Times New Roman"/>
                <w:bCs/>
                <w:i/>
                <w:sz w:val="18"/>
                <w:szCs w:val="18"/>
              </w:rPr>
              <w:t>27% of reefs hav</w:t>
            </w:r>
            <w:r>
              <w:rPr>
                <w:rFonts w:ascii="Times New Roman" w:hAnsi="Times New Roman"/>
                <w:bCs/>
                <w:i/>
                <w:sz w:val="18"/>
                <w:szCs w:val="18"/>
              </w:rPr>
              <w:t>ing</w:t>
            </w:r>
            <w:r w:rsidRPr="00F73C3B">
              <w:rPr>
                <w:rFonts w:ascii="Times New Roman" w:hAnsi="Times New Roman"/>
                <w:bCs/>
                <w:i/>
                <w:sz w:val="18"/>
                <w:szCs w:val="18"/>
              </w:rPr>
              <w:t xml:space="preserve"> “medium” coral cover (25-50% </w:t>
            </w:r>
            <w:r>
              <w:rPr>
                <w:rFonts w:ascii="Times New Roman" w:hAnsi="Times New Roman"/>
                <w:bCs/>
                <w:i/>
                <w:sz w:val="18"/>
                <w:szCs w:val="18"/>
              </w:rPr>
              <w:t xml:space="preserve">cover), while 13% of reefs having </w:t>
            </w:r>
            <w:r w:rsidRPr="00F73C3B">
              <w:rPr>
                <w:rFonts w:ascii="Times New Roman" w:hAnsi="Times New Roman"/>
                <w:bCs/>
                <w:i/>
                <w:sz w:val="18"/>
                <w:szCs w:val="18"/>
              </w:rPr>
              <w:t>“low” coral cover (&lt;10% cover)</w:t>
            </w:r>
          </w:p>
        </w:tc>
        <w:tc>
          <w:tcPr>
            <w:tcW w:w="1540" w:type="dxa"/>
            <w:shd w:val="clear" w:color="auto" w:fill="auto"/>
          </w:tcPr>
          <w:p w14:paraId="3D62E1DA" w14:textId="41370640" w:rsidR="00883F24" w:rsidRPr="00883F24" w:rsidRDefault="00883F24" w:rsidP="00665E52">
            <w:pPr>
              <w:jc w:val="left"/>
              <w:rPr>
                <w:i/>
                <w:sz w:val="18"/>
                <w:szCs w:val="18"/>
              </w:rPr>
            </w:pPr>
            <w:r w:rsidRPr="00665E52">
              <w:rPr>
                <w:rFonts w:asciiTheme="majorHAnsi" w:hAnsiTheme="majorHAnsi"/>
                <w:i/>
                <w:sz w:val="18"/>
                <w:szCs w:val="18"/>
              </w:rPr>
              <w:t>Baseline and monitoring surveys of populations</w:t>
            </w:r>
          </w:p>
        </w:tc>
        <w:tc>
          <w:tcPr>
            <w:tcW w:w="1170" w:type="dxa"/>
            <w:shd w:val="clear" w:color="auto" w:fill="auto"/>
          </w:tcPr>
          <w:p w14:paraId="157F324D" w14:textId="76F79FD6" w:rsidR="00883F24" w:rsidRPr="00883F24" w:rsidRDefault="00883F24" w:rsidP="00665E52">
            <w:pPr>
              <w:jc w:val="left"/>
              <w:rPr>
                <w:b/>
                <w:i/>
                <w:spacing w:val="15"/>
                <w:sz w:val="18"/>
                <w:szCs w:val="18"/>
              </w:rPr>
            </w:pPr>
            <w:r w:rsidRPr="00665E52">
              <w:rPr>
                <w:i/>
                <w:sz w:val="18"/>
                <w:szCs w:val="18"/>
              </w:rPr>
              <w:t>Annually</w:t>
            </w:r>
          </w:p>
        </w:tc>
        <w:tc>
          <w:tcPr>
            <w:tcW w:w="1440" w:type="dxa"/>
            <w:shd w:val="clear" w:color="auto" w:fill="auto"/>
          </w:tcPr>
          <w:p w14:paraId="4BB98019" w14:textId="4ACC5BD6" w:rsidR="00883F24" w:rsidRPr="00883F24" w:rsidRDefault="0037719F" w:rsidP="00665E52">
            <w:pPr>
              <w:jc w:val="left"/>
              <w:rPr>
                <w:i/>
                <w:sz w:val="18"/>
                <w:szCs w:val="18"/>
              </w:rPr>
            </w:pPr>
            <w:r>
              <w:rPr>
                <w:i/>
                <w:sz w:val="18"/>
                <w:szCs w:val="18"/>
              </w:rPr>
              <w:t>PICRC</w:t>
            </w:r>
          </w:p>
        </w:tc>
        <w:tc>
          <w:tcPr>
            <w:tcW w:w="1620" w:type="dxa"/>
            <w:shd w:val="clear" w:color="auto" w:fill="auto"/>
          </w:tcPr>
          <w:p w14:paraId="26742DE7" w14:textId="029D93D8" w:rsidR="00883F24" w:rsidRPr="00883F24" w:rsidRDefault="00883F24" w:rsidP="00665E52">
            <w:pPr>
              <w:jc w:val="left"/>
              <w:rPr>
                <w:b/>
                <w:i/>
                <w:spacing w:val="15"/>
                <w:sz w:val="18"/>
                <w:szCs w:val="18"/>
              </w:rPr>
            </w:pPr>
            <w:r>
              <w:rPr>
                <w:i/>
                <w:sz w:val="18"/>
                <w:szCs w:val="18"/>
              </w:rPr>
              <w:t>Monitoring and s</w:t>
            </w:r>
            <w:r w:rsidRPr="00665E52">
              <w:rPr>
                <w:i/>
                <w:sz w:val="18"/>
                <w:szCs w:val="18"/>
              </w:rPr>
              <w:t>urvey reports</w:t>
            </w:r>
          </w:p>
        </w:tc>
        <w:tc>
          <w:tcPr>
            <w:tcW w:w="2898" w:type="dxa"/>
            <w:vMerge/>
            <w:shd w:val="clear" w:color="auto" w:fill="auto"/>
          </w:tcPr>
          <w:p w14:paraId="5211C332" w14:textId="275E0606" w:rsidR="00883F24" w:rsidRPr="0003763F" w:rsidRDefault="00883F24" w:rsidP="00883F24">
            <w:pPr>
              <w:rPr>
                <w:i/>
                <w:sz w:val="18"/>
                <w:szCs w:val="18"/>
              </w:rPr>
            </w:pPr>
          </w:p>
        </w:tc>
      </w:tr>
      <w:tr w:rsidR="00883F24" w:rsidRPr="0003763F" w14:paraId="5413C265" w14:textId="77777777" w:rsidTr="001F6249">
        <w:trPr>
          <w:trHeight w:val="424"/>
        </w:trPr>
        <w:tc>
          <w:tcPr>
            <w:tcW w:w="1520" w:type="dxa"/>
            <w:vMerge/>
            <w:shd w:val="clear" w:color="auto" w:fill="auto"/>
          </w:tcPr>
          <w:p w14:paraId="7FE5D0FB" w14:textId="77777777" w:rsidR="00883F24" w:rsidRPr="00665E52" w:rsidRDefault="00883F24" w:rsidP="00665E52">
            <w:pPr>
              <w:jc w:val="left"/>
              <w:rPr>
                <w:rFonts w:asciiTheme="majorHAnsi" w:hAnsiTheme="majorHAnsi"/>
                <w:b/>
                <w:i/>
                <w:sz w:val="18"/>
                <w:szCs w:val="18"/>
              </w:rPr>
            </w:pPr>
          </w:p>
        </w:tc>
        <w:tc>
          <w:tcPr>
            <w:tcW w:w="2463" w:type="dxa"/>
            <w:shd w:val="clear" w:color="auto" w:fill="auto"/>
          </w:tcPr>
          <w:p w14:paraId="2E8F2AB1" w14:textId="723D7113" w:rsidR="00883F24" w:rsidRPr="00665E52" w:rsidRDefault="00883F24" w:rsidP="00665E52">
            <w:pPr>
              <w:jc w:val="left"/>
              <w:rPr>
                <w:rFonts w:asciiTheme="majorHAnsi" w:hAnsiTheme="majorHAnsi"/>
                <w:b/>
                <w:sz w:val="18"/>
                <w:szCs w:val="18"/>
              </w:rPr>
            </w:pPr>
            <w:r w:rsidRPr="00665E52">
              <w:rPr>
                <w:rFonts w:asciiTheme="majorHAnsi" w:hAnsiTheme="majorHAnsi"/>
                <w:bCs/>
                <w:sz w:val="18"/>
                <w:szCs w:val="18"/>
              </w:rPr>
              <w:t xml:space="preserve">Change in </w:t>
            </w:r>
            <w:r w:rsidRPr="00665E52">
              <w:rPr>
                <w:rFonts w:asciiTheme="majorHAnsi" w:hAnsiTheme="majorHAnsi"/>
                <w:sz w:val="18"/>
                <w:szCs w:val="18"/>
              </w:rPr>
              <w:t xml:space="preserve">nesting success rates (number of nests, number of eggs, hatchlings and survival rates) for Micronesian megapodes in selected sites previously occupied by rats </w:t>
            </w:r>
          </w:p>
        </w:tc>
        <w:tc>
          <w:tcPr>
            <w:tcW w:w="1970" w:type="dxa"/>
          </w:tcPr>
          <w:p w14:paraId="4565855E" w14:textId="3A27DB2B" w:rsidR="00883F24" w:rsidRPr="00665E52" w:rsidRDefault="00883F24" w:rsidP="00665E52">
            <w:pPr>
              <w:jc w:val="left"/>
              <w:rPr>
                <w:rFonts w:asciiTheme="majorHAnsi" w:hAnsiTheme="majorHAnsi"/>
                <w:i/>
                <w:sz w:val="18"/>
                <w:szCs w:val="18"/>
              </w:rPr>
            </w:pPr>
            <w:r w:rsidRPr="00665E52">
              <w:rPr>
                <w:rFonts w:asciiTheme="majorHAnsi" w:hAnsiTheme="majorHAnsi"/>
                <w:i/>
                <w:sz w:val="18"/>
                <w:szCs w:val="18"/>
              </w:rPr>
              <w:t xml:space="preserve">Increased nesting success rates of Micronesian megapodes from selected sites previously occupied by rats from baseline values </w:t>
            </w:r>
            <w:r>
              <w:rPr>
                <w:rFonts w:asciiTheme="majorHAnsi" w:hAnsiTheme="majorHAnsi"/>
                <w:i/>
                <w:sz w:val="18"/>
                <w:szCs w:val="18"/>
              </w:rPr>
              <w:t>to be established in Year 1</w:t>
            </w:r>
          </w:p>
        </w:tc>
        <w:tc>
          <w:tcPr>
            <w:tcW w:w="1540" w:type="dxa"/>
            <w:shd w:val="clear" w:color="auto" w:fill="auto"/>
          </w:tcPr>
          <w:p w14:paraId="62BA4269" w14:textId="260FD55E" w:rsidR="00883F24" w:rsidRPr="00883F24" w:rsidRDefault="00883F24" w:rsidP="00665E52">
            <w:pPr>
              <w:jc w:val="left"/>
              <w:rPr>
                <w:i/>
                <w:sz w:val="18"/>
                <w:szCs w:val="18"/>
              </w:rPr>
            </w:pPr>
            <w:r w:rsidRPr="00665E52">
              <w:rPr>
                <w:rFonts w:asciiTheme="majorHAnsi" w:hAnsiTheme="majorHAnsi"/>
                <w:i/>
                <w:sz w:val="18"/>
                <w:szCs w:val="18"/>
              </w:rPr>
              <w:t>Baseline and monitoring surveys of populations</w:t>
            </w:r>
          </w:p>
        </w:tc>
        <w:tc>
          <w:tcPr>
            <w:tcW w:w="1170" w:type="dxa"/>
            <w:shd w:val="clear" w:color="auto" w:fill="auto"/>
          </w:tcPr>
          <w:p w14:paraId="1E929921" w14:textId="48793B55" w:rsidR="00883F24" w:rsidRPr="00883F24" w:rsidRDefault="00883F24" w:rsidP="00665E52">
            <w:pPr>
              <w:jc w:val="left"/>
              <w:rPr>
                <w:b/>
                <w:i/>
                <w:spacing w:val="15"/>
                <w:sz w:val="18"/>
                <w:szCs w:val="18"/>
              </w:rPr>
            </w:pPr>
            <w:r w:rsidRPr="00665E52">
              <w:rPr>
                <w:i/>
                <w:sz w:val="18"/>
                <w:szCs w:val="18"/>
              </w:rPr>
              <w:t>Annually</w:t>
            </w:r>
          </w:p>
        </w:tc>
        <w:tc>
          <w:tcPr>
            <w:tcW w:w="1440" w:type="dxa"/>
            <w:shd w:val="clear" w:color="auto" w:fill="auto"/>
          </w:tcPr>
          <w:p w14:paraId="79093870" w14:textId="1CEBFD35" w:rsidR="00883F24" w:rsidRPr="00883F24" w:rsidRDefault="0037719F" w:rsidP="00665E52">
            <w:pPr>
              <w:jc w:val="left"/>
              <w:rPr>
                <w:b/>
                <w:i/>
                <w:spacing w:val="15"/>
                <w:sz w:val="18"/>
                <w:szCs w:val="18"/>
              </w:rPr>
            </w:pPr>
            <w:r>
              <w:rPr>
                <w:b/>
                <w:i/>
                <w:spacing w:val="15"/>
                <w:sz w:val="18"/>
                <w:szCs w:val="18"/>
              </w:rPr>
              <w:t>Palau National Museum</w:t>
            </w:r>
          </w:p>
        </w:tc>
        <w:tc>
          <w:tcPr>
            <w:tcW w:w="1620" w:type="dxa"/>
            <w:shd w:val="clear" w:color="auto" w:fill="auto"/>
          </w:tcPr>
          <w:p w14:paraId="71C71C64" w14:textId="2E25621E" w:rsidR="00883F24" w:rsidRPr="00883F24" w:rsidRDefault="00883F24" w:rsidP="00665E52">
            <w:pPr>
              <w:jc w:val="left"/>
              <w:rPr>
                <w:b/>
                <w:i/>
                <w:spacing w:val="15"/>
                <w:sz w:val="18"/>
                <w:szCs w:val="18"/>
              </w:rPr>
            </w:pPr>
            <w:r>
              <w:rPr>
                <w:i/>
                <w:sz w:val="18"/>
                <w:szCs w:val="18"/>
              </w:rPr>
              <w:t xml:space="preserve">Monitoring and </w:t>
            </w:r>
            <w:r w:rsidRPr="00883F24">
              <w:rPr>
                <w:i/>
                <w:sz w:val="18"/>
                <w:szCs w:val="18"/>
              </w:rPr>
              <w:t>s</w:t>
            </w:r>
            <w:r w:rsidRPr="00665E52">
              <w:rPr>
                <w:i/>
                <w:sz w:val="18"/>
                <w:szCs w:val="18"/>
              </w:rPr>
              <w:t>urvey reports</w:t>
            </w:r>
          </w:p>
        </w:tc>
        <w:tc>
          <w:tcPr>
            <w:tcW w:w="2898" w:type="dxa"/>
            <w:vMerge/>
            <w:shd w:val="clear" w:color="auto" w:fill="auto"/>
          </w:tcPr>
          <w:p w14:paraId="7E992455" w14:textId="4CECC677" w:rsidR="00883F24" w:rsidRPr="0003763F" w:rsidRDefault="00883F24" w:rsidP="00883F24">
            <w:pPr>
              <w:rPr>
                <w:i/>
                <w:sz w:val="18"/>
                <w:szCs w:val="18"/>
              </w:rPr>
            </w:pPr>
          </w:p>
        </w:tc>
      </w:tr>
      <w:tr w:rsidR="00A55348" w:rsidRPr="0003763F" w14:paraId="79050E21" w14:textId="77777777" w:rsidTr="006E787D">
        <w:trPr>
          <w:trHeight w:val="2519"/>
        </w:trPr>
        <w:tc>
          <w:tcPr>
            <w:tcW w:w="1520" w:type="dxa"/>
            <w:vMerge w:val="restart"/>
            <w:shd w:val="clear" w:color="auto" w:fill="auto"/>
          </w:tcPr>
          <w:p w14:paraId="15157DBA" w14:textId="77777777" w:rsidR="00A55348" w:rsidRPr="0003763F" w:rsidRDefault="00A55348" w:rsidP="00A55348">
            <w:pPr>
              <w:rPr>
                <w:b/>
                <w:sz w:val="18"/>
                <w:szCs w:val="18"/>
              </w:rPr>
            </w:pPr>
          </w:p>
          <w:p w14:paraId="25EE2FE8" w14:textId="77777777" w:rsidR="00A55348" w:rsidRPr="00665E52" w:rsidRDefault="00A55348" w:rsidP="00A55348">
            <w:pPr>
              <w:rPr>
                <w:rFonts w:asciiTheme="majorHAnsi" w:hAnsiTheme="majorHAnsi"/>
                <w:b/>
                <w:bCs/>
                <w:sz w:val="18"/>
                <w:szCs w:val="18"/>
              </w:rPr>
            </w:pPr>
            <w:r w:rsidRPr="00665E52">
              <w:rPr>
                <w:rFonts w:asciiTheme="majorHAnsi" w:hAnsiTheme="majorHAnsi"/>
                <w:b/>
                <w:sz w:val="18"/>
                <w:szCs w:val="18"/>
              </w:rPr>
              <w:t xml:space="preserve">Project Outcome 4: </w:t>
            </w:r>
            <w:r w:rsidRPr="00665E52">
              <w:rPr>
                <w:rFonts w:asciiTheme="majorHAnsi" w:hAnsiTheme="majorHAnsi"/>
                <w:color w:val="000000"/>
                <w:sz w:val="18"/>
                <w:szCs w:val="18"/>
              </w:rPr>
              <w:t>Knowledge management, monitoring and evaluation support, equitable gender benefits and biodiversity conservation</w:t>
            </w:r>
          </w:p>
          <w:p w14:paraId="748504A9" w14:textId="2F4FDD6B" w:rsidR="00A55348" w:rsidRPr="0003763F" w:rsidRDefault="00A55348" w:rsidP="00A55348">
            <w:pPr>
              <w:rPr>
                <w:b/>
                <w:sz w:val="18"/>
                <w:szCs w:val="18"/>
              </w:rPr>
            </w:pPr>
          </w:p>
        </w:tc>
        <w:tc>
          <w:tcPr>
            <w:tcW w:w="2463" w:type="dxa"/>
            <w:shd w:val="clear" w:color="auto" w:fill="auto"/>
          </w:tcPr>
          <w:p w14:paraId="52E8DFCC" w14:textId="7582169B" w:rsidR="00A55348" w:rsidRPr="00665E52" w:rsidRDefault="00A55348" w:rsidP="00A55348">
            <w:pPr>
              <w:jc w:val="left"/>
              <w:rPr>
                <w:rFonts w:asciiTheme="majorHAnsi" w:hAnsiTheme="majorHAnsi"/>
                <w:sz w:val="18"/>
                <w:szCs w:val="18"/>
              </w:rPr>
            </w:pPr>
            <w:r w:rsidRPr="00665E52">
              <w:rPr>
                <w:rFonts w:asciiTheme="majorHAnsi" w:hAnsiTheme="majorHAnsi"/>
                <w:color w:val="000000"/>
                <w:sz w:val="18"/>
                <w:szCs w:val="18"/>
              </w:rPr>
              <w:t>Increase in percentage of sampled community members, tour operators and sector agency staff aware of potential conservation threats and adverse impacts of IAS</w:t>
            </w:r>
          </w:p>
        </w:tc>
        <w:tc>
          <w:tcPr>
            <w:tcW w:w="1970" w:type="dxa"/>
          </w:tcPr>
          <w:p w14:paraId="4ADE6F06" w14:textId="7D842521" w:rsidR="00A55348" w:rsidRPr="00665E52" w:rsidRDefault="00A55348" w:rsidP="00A55348">
            <w:pPr>
              <w:jc w:val="left"/>
              <w:rPr>
                <w:rFonts w:asciiTheme="majorHAnsi" w:hAnsiTheme="majorHAnsi"/>
                <w:sz w:val="18"/>
                <w:szCs w:val="18"/>
              </w:rPr>
            </w:pPr>
            <w:r w:rsidRPr="00665E52">
              <w:rPr>
                <w:rFonts w:asciiTheme="majorHAnsi" w:hAnsiTheme="majorHAnsi"/>
                <w:i/>
                <w:color w:val="000000"/>
                <w:sz w:val="18"/>
                <w:szCs w:val="18"/>
              </w:rPr>
              <w:t>At least 25% of sampled community members and 75% of tour operators and sector agency staff aware of potential conservation threats and adverse impacts of IAS with equitable knowledge among genders and social groups</w:t>
            </w:r>
            <w:r w:rsidR="00F570CB">
              <w:rPr>
                <w:rFonts w:asciiTheme="majorHAnsi" w:hAnsiTheme="majorHAnsi"/>
                <w:i/>
                <w:color w:val="000000"/>
                <w:sz w:val="18"/>
                <w:szCs w:val="18"/>
              </w:rPr>
              <w:t xml:space="preserve"> of which at least 40% are women</w:t>
            </w:r>
          </w:p>
        </w:tc>
        <w:tc>
          <w:tcPr>
            <w:tcW w:w="1540" w:type="dxa"/>
            <w:shd w:val="clear" w:color="auto" w:fill="auto"/>
          </w:tcPr>
          <w:p w14:paraId="525611D2" w14:textId="50FC6792" w:rsidR="00A55348" w:rsidRPr="006E787D" w:rsidRDefault="00A55348" w:rsidP="006E787D">
            <w:pPr>
              <w:jc w:val="left"/>
              <w:rPr>
                <w:i/>
                <w:sz w:val="18"/>
                <w:szCs w:val="18"/>
              </w:rPr>
            </w:pPr>
            <w:r w:rsidRPr="006E787D">
              <w:rPr>
                <w:rFonts w:asciiTheme="majorHAnsi" w:hAnsiTheme="majorHAnsi"/>
                <w:i/>
                <w:sz w:val="18"/>
                <w:szCs w:val="18"/>
              </w:rPr>
              <w:t xml:space="preserve">Household </w:t>
            </w:r>
            <w:r>
              <w:rPr>
                <w:rFonts w:asciiTheme="majorHAnsi" w:hAnsiTheme="majorHAnsi"/>
                <w:i/>
                <w:sz w:val="18"/>
                <w:szCs w:val="18"/>
              </w:rPr>
              <w:t xml:space="preserve">and tourism sector </w:t>
            </w:r>
            <w:r w:rsidRPr="006E787D">
              <w:rPr>
                <w:rFonts w:asciiTheme="majorHAnsi" w:hAnsiTheme="majorHAnsi"/>
                <w:i/>
                <w:sz w:val="18"/>
                <w:szCs w:val="18"/>
              </w:rPr>
              <w:t>surveys</w:t>
            </w:r>
          </w:p>
        </w:tc>
        <w:tc>
          <w:tcPr>
            <w:tcW w:w="1170" w:type="dxa"/>
            <w:shd w:val="clear" w:color="auto" w:fill="auto"/>
          </w:tcPr>
          <w:p w14:paraId="4AF67A8F" w14:textId="7E1E3430" w:rsidR="00A55348" w:rsidRPr="006E787D" w:rsidRDefault="00A55348" w:rsidP="006E787D">
            <w:pPr>
              <w:jc w:val="left"/>
              <w:rPr>
                <w:i/>
                <w:sz w:val="18"/>
                <w:szCs w:val="18"/>
              </w:rPr>
            </w:pPr>
            <w:r w:rsidRPr="006E787D">
              <w:rPr>
                <w:rFonts w:asciiTheme="majorHAnsi" w:hAnsiTheme="majorHAnsi"/>
                <w:i/>
                <w:sz w:val="18"/>
                <w:szCs w:val="18"/>
              </w:rPr>
              <w:t>Annually</w:t>
            </w:r>
          </w:p>
        </w:tc>
        <w:tc>
          <w:tcPr>
            <w:tcW w:w="1440" w:type="dxa"/>
            <w:shd w:val="clear" w:color="auto" w:fill="auto"/>
          </w:tcPr>
          <w:p w14:paraId="6CC88E8C" w14:textId="67C501B5" w:rsidR="00A55348" w:rsidRPr="006E787D" w:rsidRDefault="00A55348" w:rsidP="006E787D">
            <w:pPr>
              <w:jc w:val="left"/>
              <w:rPr>
                <w:i/>
                <w:sz w:val="18"/>
                <w:szCs w:val="18"/>
              </w:rPr>
            </w:pPr>
            <w:r>
              <w:rPr>
                <w:rFonts w:asciiTheme="majorHAnsi" w:hAnsiTheme="majorHAnsi"/>
                <w:i/>
                <w:sz w:val="18"/>
                <w:szCs w:val="18"/>
              </w:rPr>
              <w:t>Project manager with support from consultancy services</w:t>
            </w:r>
          </w:p>
        </w:tc>
        <w:tc>
          <w:tcPr>
            <w:tcW w:w="1620" w:type="dxa"/>
            <w:shd w:val="clear" w:color="auto" w:fill="auto"/>
          </w:tcPr>
          <w:p w14:paraId="65117F74" w14:textId="0BDF68BB" w:rsidR="00A55348" w:rsidRPr="006E787D" w:rsidRDefault="00A55348" w:rsidP="006E787D">
            <w:pPr>
              <w:jc w:val="left"/>
              <w:rPr>
                <w:i/>
                <w:sz w:val="18"/>
                <w:szCs w:val="18"/>
              </w:rPr>
            </w:pPr>
            <w:r w:rsidRPr="006E787D">
              <w:rPr>
                <w:rFonts w:asciiTheme="majorHAnsi" w:hAnsiTheme="majorHAnsi"/>
                <w:i/>
                <w:sz w:val="18"/>
                <w:szCs w:val="18"/>
              </w:rPr>
              <w:t xml:space="preserve">Attitudinal survey reports </w:t>
            </w:r>
          </w:p>
        </w:tc>
        <w:tc>
          <w:tcPr>
            <w:tcW w:w="2898" w:type="dxa"/>
            <w:vMerge w:val="restart"/>
            <w:shd w:val="clear" w:color="auto" w:fill="auto"/>
          </w:tcPr>
          <w:p w14:paraId="206D801F" w14:textId="77777777" w:rsidR="00A55348" w:rsidRPr="00665E52" w:rsidRDefault="00A55348" w:rsidP="00A55348">
            <w:pPr>
              <w:spacing w:after="0"/>
              <w:jc w:val="left"/>
              <w:rPr>
                <w:rFonts w:asciiTheme="majorHAnsi" w:hAnsiTheme="majorHAnsi"/>
                <w:bCs/>
                <w:i/>
                <w:sz w:val="18"/>
                <w:szCs w:val="18"/>
              </w:rPr>
            </w:pPr>
            <w:r w:rsidRPr="00665E52">
              <w:rPr>
                <w:rFonts w:asciiTheme="majorHAnsi" w:hAnsiTheme="majorHAnsi"/>
                <w:bCs/>
                <w:i/>
                <w:sz w:val="18"/>
                <w:szCs w:val="18"/>
                <w:u w:val="single"/>
              </w:rPr>
              <w:t>Assumption</w:t>
            </w:r>
            <w:r w:rsidRPr="00665E52">
              <w:rPr>
                <w:rFonts w:asciiTheme="majorHAnsi" w:hAnsiTheme="majorHAnsi"/>
                <w:bCs/>
                <w:i/>
                <w:sz w:val="18"/>
                <w:szCs w:val="18"/>
              </w:rPr>
              <w:t xml:space="preserve">: </w:t>
            </w:r>
          </w:p>
          <w:p w14:paraId="23D8F477" w14:textId="77777777" w:rsidR="00A55348" w:rsidRPr="00665E52" w:rsidRDefault="00A55348" w:rsidP="00A55348">
            <w:pPr>
              <w:spacing w:after="0"/>
              <w:jc w:val="left"/>
              <w:rPr>
                <w:rFonts w:asciiTheme="majorHAnsi" w:hAnsiTheme="majorHAnsi"/>
                <w:bCs/>
                <w:i/>
                <w:sz w:val="18"/>
                <w:szCs w:val="18"/>
              </w:rPr>
            </w:pPr>
            <w:r w:rsidRPr="00665E52">
              <w:rPr>
                <w:rFonts w:asciiTheme="majorHAnsi" w:hAnsiTheme="majorHAnsi"/>
                <w:bCs/>
                <w:i/>
                <w:sz w:val="18"/>
                <w:szCs w:val="18"/>
              </w:rPr>
              <w:t>- Gender and Social Inclusion Mainstreaming Plan followed and benefits distributed equitably.</w:t>
            </w:r>
          </w:p>
          <w:p w14:paraId="55272C7B" w14:textId="77777777" w:rsidR="00A55348" w:rsidRPr="00665E52" w:rsidRDefault="00A55348" w:rsidP="00A55348">
            <w:pPr>
              <w:spacing w:after="0"/>
              <w:jc w:val="left"/>
              <w:rPr>
                <w:rFonts w:asciiTheme="majorHAnsi" w:hAnsiTheme="majorHAnsi"/>
                <w:bCs/>
                <w:i/>
                <w:sz w:val="18"/>
                <w:szCs w:val="18"/>
              </w:rPr>
            </w:pPr>
            <w:r w:rsidRPr="00665E52">
              <w:rPr>
                <w:rFonts w:asciiTheme="majorHAnsi" w:hAnsiTheme="majorHAnsi"/>
                <w:bCs/>
                <w:i/>
                <w:sz w:val="18"/>
                <w:szCs w:val="18"/>
              </w:rPr>
              <w:t>-Stakeholders willing to actively participate in the review process.</w:t>
            </w:r>
          </w:p>
          <w:p w14:paraId="5AE24DD0" w14:textId="77777777" w:rsidR="00A55348" w:rsidRPr="00665E52" w:rsidRDefault="00A55348" w:rsidP="00A55348">
            <w:pPr>
              <w:pStyle w:val="Tabletext"/>
              <w:keepNext/>
              <w:framePr w:hSpace="0" w:wrap="auto" w:vAnchor="margin" w:xAlign="left" w:yAlign="inline"/>
              <w:widowControl w:val="0"/>
              <w:tabs>
                <w:tab w:val="left" w:pos="2160"/>
                <w:tab w:val="left" w:pos="9360"/>
              </w:tabs>
              <w:suppressOverlap w:val="0"/>
              <w:outlineLvl w:val="2"/>
              <w:rPr>
                <w:rFonts w:asciiTheme="majorHAnsi" w:hAnsiTheme="majorHAnsi" w:cs="Times New Roman"/>
              </w:rPr>
            </w:pPr>
            <w:r w:rsidRPr="00665E52">
              <w:rPr>
                <w:rFonts w:asciiTheme="majorHAnsi" w:hAnsiTheme="majorHAnsi" w:cs="Times New Roman"/>
              </w:rPr>
              <w:t>-Project management will be able to identify, document and disseminate the best practices</w:t>
            </w:r>
          </w:p>
          <w:p w14:paraId="36D00A51" w14:textId="77777777" w:rsidR="00A55348" w:rsidRPr="00665E52" w:rsidRDefault="00A55348" w:rsidP="00A55348">
            <w:pPr>
              <w:spacing w:after="0"/>
              <w:jc w:val="left"/>
              <w:rPr>
                <w:rFonts w:asciiTheme="majorHAnsi" w:hAnsiTheme="majorHAnsi"/>
                <w:bCs/>
                <w:i/>
                <w:sz w:val="18"/>
                <w:szCs w:val="18"/>
              </w:rPr>
            </w:pPr>
            <w:r w:rsidRPr="00665E52">
              <w:rPr>
                <w:rFonts w:asciiTheme="majorHAnsi" w:hAnsiTheme="majorHAnsi"/>
                <w:i/>
                <w:sz w:val="18"/>
                <w:szCs w:val="18"/>
              </w:rPr>
              <w:t>-Mid Term Review and End of Project Evaluation of the project will also contribute to identifying the best practices</w:t>
            </w:r>
          </w:p>
          <w:p w14:paraId="66289286" w14:textId="77777777" w:rsidR="00A55348" w:rsidRPr="00665E52" w:rsidRDefault="00A55348" w:rsidP="00A55348">
            <w:pPr>
              <w:spacing w:after="0"/>
              <w:jc w:val="left"/>
              <w:rPr>
                <w:rFonts w:asciiTheme="majorHAnsi" w:hAnsiTheme="majorHAnsi"/>
                <w:bCs/>
                <w:i/>
                <w:sz w:val="18"/>
                <w:szCs w:val="18"/>
              </w:rPr>
            </w:pPr>
            <w:r w:rsidRPr="00665E52">
              <w:rPr>
                <w:rFonts w:asciiTheme="majorHAnsi" w:hAnsiTheme="majorHAnsi"/>
                <w:bCs/>
                <w:i/>
                <w:sz w:val="18"/>
                <w:szCs w:val="18"/>
                <w:u w:val="single"/>
              </w:rPr>
              <w:t>-</w:t>
            </w:r>
            <w:r w:rsidRPr="00665E52">
              <w:rPr>
                <w:rFonts w:asciiTheme="majorHAnsi" w:hAnsiTheme="majorHAnsi"/>
                <w:bCs/>
                <w:i/>
                <w:sz w:val="18"/>
                <w:szCs w:val="18"/>
              </w:rPr>
              <w:t>Best practices from GEF 5 on sustainable resource management readily available to resource users</w:t>
            </w:r>
          </w:p>
          <w:p w14:paraId="3D8A1B5C" w14:textId="77777777" w:rsidR="00A55348" w:rsidRPr="00665E52" w:rsidRDefault="00A55348" w:rsidP="00A55348">
            <w:pPr>
              <w:spacing w:after="0"/>
              <w:jc w:val="left"/>
              <w:rPr>
                <w:rFonts w:asciiTheme="majorHAnsi" w:hAnsiTheme="majorHAnsi"/>
                <w:bCs/>
                <w:i/>
                <w:sz w:val="18"/>
                <w:szCs w:val="18"/>
                <w:u w:val="single"/>
              </w:rPr>
            </w:pPr>
            <w:r w:rsidRPr="00665E52">
              <w:rPr>
                <w:rFonts w:asciiTheme="majorHAnsi" w:hAnsiTheme="majorHAnsi"/>
                <w:bCs/>
                <w:i/>
                <w:sz w:val="18"/>
                <w:szCs w:val="18"/>
              </w:rPr>
              <w:t>-Coordination arrangements between GEF 5 and GEF 6 effective</w:t>
            </w:r>
          </w:p>
          <w:p w14:paraId="76487BD9" w14:textId="77777777" w:rsidR="00A55348" w:rsidRPr="00665E52" w:rsidRDefault="00A55348" w:rsidP="00A55348">
            <w:pPr>
              <w:spacing w:after="0"/>
              <w:jc w:val="left"/>
              <w:rPr>
                <w:rFonts w:asciiTheme="majorHAnsi" w:hAnsiTheme="majorHAnsi"/>
                <w:bCs/>
                <w:i/>
                <w:sz w:val="18"/>
                <w:szCs w:val="18"/>
                <w:u w:val="single"/>
              </w:rPr>
            </w:pPr>
            <w:r w:rsidRPr="00665E52">
              <w:rPr>
                <w:rFonts w:asciiTheme="majorHAnsi" w:hAnsiTheme="majorHAnsi"/>
                <w:bCs/>
                <w:i/>
                <w:sz w:val="18"/>
                <w:szCs w:val="18"/>
                <w:u w:val="single"/>
              </w:rPr>
              <w:t xml:space="preserve">Risks:  </w:t>
            </w:r>
          </w:p>
          <w:p w14:paraId="55C43575" w14:textId="77777777" w:rsidR="00A55348" w:rsidRPr="00665E52" w:rsidRDefault="00A55348" w:rsidP="00A55348">
            <w:pPr>
              <w:spacing w:after="0"/>
              <w:jc w:val="left"/>
              <w:rPr>
                <w:rFonts w:asciiTheme="majorHAnsi" w:hAnsiTheme="majorHAnsi"/>
                <w:i/>
                <w:sz w:val="18"/>
                <w:szCs w:val="18"/>
              </w:rPr>
            </w:pPr>
            <w:r w:rsidRPr="00665E52">
              <w:rPr>
                <w:rFonts w:asciiTheme="majorHAnsi" w:hAnsiTheme="majorHAnsi"/>
                <w:bCs/>
                <w:i/>
                <w:sz w:val="18"/>
                <w:szCs w:val="18"/>
                <w:u w:val="single"/>
              </w:rPr>
              <w:t>-</w:t>
            </w:r>
            <w:r w:rsidRPr="00665E52">
              <w:rPr>
                <w:rFonts w:asciiTheme="majorHAnsi" w:hAnsiTheme="majorHAnsi"/>
                <w:i/>
                <w:sz w:val="18"/>
                <w:szCs w:val="18"/>
              </w:rPr>
              <w:t>Government priorities may change from due to political pressure from resource users</w:t>
            </w:r>
          </w:p>
          <w:p w14:paraId="6343ACA2" w14:textId="77777777" w:rsidR="00A55348" w:rsidRPr="00665E52" w:rsidRDefault="00A55348" w:rsidP="00A55348">
            <w:pPr>
              <w:spacing w:after="0"/>
              <w:jc w:val="left"/>
              <w:rPr>
                <w:rFonts w:asciiTheme="majorHAnsi" w:hAnsiTheme="majorHAnsi"/>
                <w:bCs/>
                <w:i/>
                <w:sz w:val="18"/>
                <w:szCs w:val="18"/>
              </w:rPr>
            </w:pPr>
            <w:r w:rsidRPr="00665E52">
              <w:rPr>
                <w:rFonts w:asciiTheme="majorHAnsi" w:hAnsiTheme="majorHAnsi"/>
                <w:bCs/>
                <w:i/>
                <w:sz w:val="18"/>
                <w:szCs w:val="18"/>
              </w:rPr>
              <w:t>-Actions among the assorted agencies and NGOs remain uncoordinated</w:t>
            </w:r>
          </w:p>
          <w:p w14:paraId="3642A89B" w14:textId="77777777" w:rsidR="00A55348" w:rsidRPr="00665E52" w:rsidRDefault="00A55348" w:rsidP="00A55348">
            <w:pPr>
              <w:spacing w:after="0"/>
              <w:jc w:val="left"/>
              <w:rPr>
                <w:rFonts w:asciiTheme="majorHAnsi" w:hAnsiTheme="majorHAnsi"/>
                <w:bCs/>
                <w:i/>
                <w:sz w:val="18"/>
                <w:szCs w:val="18"/>
              </w:rPr>
            </w:pPr>
            <w:r w:rsidRPr="00665E52">
              <w:rPr>
                <w:rFonts w:asciiTheme="majorHAnsi" w:hAnsiTheme="majorHAnsi"/>
                <w:bCs/>
                <w:i/>
                <w:sz w:val="18"/>
                <w:szCs w:val="18"/>
              </w:rPr>
              <w:t>-Community diversity will not be a hindrance to outreach activities</w:t>
            </w:r>
          </w:p>
          <w:p w14:paraId="6B5362E0" w14:textId="05F38C04" w:rsidR="00A55348" w:rsidRPr="0003763F" w:rsidRDefault="00A55348" w:rsidP="00A55348">
            <w:pPr>
              <w:spacing w:after="0"/>
              <w:jc w:val="left"/>
              <w:rPr>
                <w:b/>
                <w:spacing w:val="15"/>
                <w:sz w:val="18"/>
                <w:szCs w:val="18"/>
              </w:rPr>
            </w:pPr>
            <w:r w:rsidRPr="00665E52">
              <w:rPr>
                <w:rFonts w:asciiTheme="majorHAnsi" w:hAnsiTheme="majorHAnsi"/>
                <w:bCs/>
                <w:i/>
                <w:sz w:val="18"/>
                <w:szCs w:val="18"/>
              </w:rPr>
              <w:t>- Vulnerable groups are left out and continue using poor practices</w:t>
            </w:r>
          </w:p>
        </w:tc>
      </w:tr>
      <w:tr w:rsidR="00A55348" w:rsidRPr="0003763F" w14:paraId="493D0DA0" w14:textId="77777777" w:rsidTr="001F6249">
        <w:trPr>
          <w:trHeight w:val="424"/>
        </w:trPr>
        <w:tc>
          <w:tcPr>
            <w:tcW w:w="1520" w:type="dxa"/>
            <w:vMerge/>
            <w:shd w:val="clear" w:color="auto" w:fill="auto"/>
          </w:tcPr>
          <w:p w14:paraId="51FBF169" w14:textId="77777777" w:rsidR="00A55348" w:rsidRPr="0003763F" w:rsidRDefault="00A55348" w:rsidP="003B2A79">
            <w:pPr>
              <w:rPr>
                <w:b/>
                <w:sz w:val="18"/>
                <w:szCs w:val="18"/>
              </w:rPr>
            </w:pPr>
          </w:p>
        </w:tc>
        <w:tc>
          <w:tcPr>
            <w:tcW w:w="2463" w:type="dxa"/>
            <w:shd w:val="clear" w:color="auto" w:fill="auto"/>
          </w:tcPr>
          <w:p w14:paraId="496938DD" w14:textId="5A48EB04" w:rsidR="00A55348" w:rsidRPr="00665E52" w:rsidRDefault="00A55348" w:rsidP="00665E52">
            <w:pPr>
              <w:jc w:val="left"/>
              <w:rPr>
                <w:rFonts w:asciiTheme="majorHAnsi" w:hAnsiTheme="majorHAnsi"/>
                <w:b/>
                <w:i/>
                <w:sz w:val="18"/>
                <w:szCs w:val="18"/>
              </w:rPr>
            </w:pPr>
            <w:r w:rsidRPr="00665E52">
              <w:rPr>
                <w:rFonts w:asciiTheme="majorHAnsi" w:hAnsiTheme="majorHAnsi"/>
                <w:color w:val="000000"/>
                <w:sz w:val="18"/>
                <w:szCs w:val="18"/>
              </w:rPr>
              <w:t>Percentage of fifth-grade students received updated “ridge to reef” curriculum, including IAS</w:t>
            </w:r>
            <w:r w:rsidR="00F570CB">
              <w:rPr>
                <w:rFonts w:asciiTheme="majorHAnsi" w:hAnsiTheme="majorHAnsi"/>
                <w:color w:val="000000"/>
                <w:sz w:val="18"/>
                <w:szCs w:val="18"/>
              </w:rPr>
              <w:t xml:space="preserve"> </w:t>
            </w:r>
          </w:p>
        </w:tc>
        <w:tc>
          <w:tcPr>
            <w:tcW w:w="1970" w:type="dxa"/>
          </w:tcPr>
          <w:p w14:paraId="64B74974" w14:textId="58C20E89" w:rsidR="00A55348" w:rsidRPr="00665E52" w:rsidRDefault="00A55348" w:rsidP="00665E52">
            <w:pPr>
              <w:jc w:val="left"/>
              <w:rPr>
                <w:rFonts w:asciiTheme="majorHAnsi" w:hAnsiTheme="majorHAnsi"/>
                <w:i/>
                <w:sz w:val="18"/>
                <w:szCs w:val="18"/>
              </w:rPr>
            </w:pPr>
            <w:r w:rsidRPr="00665E52">
              <w:rPr>
                <w:rFonts w:asciiTheme="majorHAnsi" w:hAnsiTheme="majorHAnsi"/>
                <w:i/>
                <w:color w:val="000000"/>
                <w:sz w:val="18"/>
                <w:szCs w:val="18"/>
              </w:rPr>
              <w:t>At least 90% of fifth-grade students received updated “ridge to reef” curriculum, including IAS, of which 50% are girls</w:t>
            </w:r>
          </w:p>
        </w:tc>
        <w:tc>
          <w:tcPr>
            <w:tcW w:w="1540" w:type="dxa"/>
            <w:shd w:val="clear" w:color="auto" w:fill="auto"/>
          </w:tcPr>
          <w:p w14:paraId="6689D8CE" w14:textId="14C17799" w:rsidR="00A55348" w:rsidRPr="0003763F" w:rsidRDefault="00A55348" w:rsidP="003B2A79">
            <w:pPr>
              <w:rPr>
                <w:i/>
                <w:sz w:val="18"/>
                <w:szCs w:val="18"/>
              </w:rPr>
            </w:pPr>
            <w:r>
              <w:rPr>
                <w:i/>
                <w:sz w:val="18"/>
                <w:szCs w:val="18"/>
              </w:rPr>
              <w:t>Surveys</w:t>
            </w:r>
          </w:p>
        </w:tc>
        <w:tc>
          <w:tcPr>
            <w:tcW w:w="1170" w:type="dxa"/>
            <w:shd w:val="clear" w:color="auto" w:fill="auto"/>
          </w:tcPr>
          <w:p w14:paraId="514F45BB" w14:textId="5D15DBC2" w:rsidR="00A55348" w:rsidRPr="0003763F" w:rsidRDefault="00A55348" w:rsidP="006E787D">
            <w:pPr>
              <w:jc w:val="left"/>
              <w:rPr>
                <w:i/>
                <w:sz w:val="18"/>
                <w:szCs w:val="18"/>
              </w:rPr>
            </w:pPr>
            <w:r>
              <w:rPr>
                <w:rFonts w:asciiTheme="majorHAnsi" w:hAnsiTheme="majorHAnsi"/>
                <w:i/>
                <w:sz w:val="18"/>
                <w:szCs w:val="18"/>
              </w:rPr>
              <w:t>Annually</w:t>
            </w:r>
          </w:p>
        </w:tc>
        <w:tc>
          <w:tcPr>
            <w:tcW w:w="1440" w:type="dxa"/>
            <w:shd w:val="clear" w:color="auto" w:fill="auto"/>
          </w:tcPr>
          <w:p w14:paraId="6932EA2D" w14:textId="508CC016" w:rsidR="00A55348" w:rsidRPr="0003763F" w:rsidRDefault="00A55348" w:rsidP="006E787D">
            <w:pPr>
              <w:jc w:val="left"/>
              <w:rPr>
                <w:i/>
                <w:sz w:val="18"/>
                <w:szCs w:val="18"/>
              </w:rPr>
            </w:pPr>
            <w:r w:rsidRPr="00E05078">
              <w:rPr>
                <w:rFonts w:asciiTheme="majorHAnsi" w:hAnsiTheme="majorHAnsi"/>
                <w:i/>
                <w:sz w:val="18"/>
                <w:szCs w:val="18"/>
              </w:rPr>
              <w:t>Project manager with support from consultancy services</w:t>
            </w:r>
          </w:p>
        </w:tc>
        <w:tc>
          <w:tcPr>
            <w:tcW w:w="1620" w:type="dxa"/>
            <w:shd w:val="clear" w:color="auto" w:fill="auto"/>
          </w:tcPr>
          <w:p w14:paraId="614EB8FB" w14:textId="42B1FF15" w:rsidR="00A55348" w:rsidRPr="0003763F" w:rsidRDefault="00A55348" w:rsidP="006E787D">
            <w:pPr>
              <w:jc w:val="left"/>
              <w:rPr>
                <w:i/>
                <w:sz w:val="18"/>
                <w:szCs w:val="18"/>
              </w:rPr>
            </w:pPr>
            <w:r>
              <w:rPr>
                <w:i/>
                <w:sz w:val="18"/>
                <w:szCs w:val="18"/>
              </w:rPr>
              <w:t xml:space="preserve">Student surveys and curriculum </w:t>
            </w:r>
          </w:p>
        </w:tc>
        <w:tc>
          <w:tcPr>
            <w:tcW w:w="2898" w:type="dxa"/>
            <w:vMerge/>
            <w:shd w:val="clear" w:color="auto" w:fill="auto"/>
          </w:tcPr>
          <w:p w14:paraId="241B5FF5" w14:textId="53CC9C84" w:rsidR="00A55348" w:rsidRPr="0003763F" w:rsidRDefault="00A55348" w:rsidP="003B2A79">
            <w:pPr>
              <w:rPr>
                <w:i/>
                <w:sz w:val="18"/>
                <w:szCs w:val="18"/>
              </w:rPr>
            </w:pPr>
          </w:p>
        </w:tc>
      </w:tr>
      <w:tr w:rsidR="00A55348" w:rsidRPr="0003763F" w14:paraId="6C1009A1" w14:textId="77777777" w:rsidTr="001F6249">
        <w:trPr>
          <w:trHeight w:val="424"/>
        </w:trPr>
        <w:tc>
          <w:tcPr>
            <w:tcW w:w="1520" w:type="dxa"/>
            <w:vMerge/>
            <w:shd w:val="clear" w:color="auto" w:fill="auto"/>
          </w:tcPr>
          <w:p w14:paraId="464081E0" w14:textId="77777777" w:rsidR="00A55348" w:rsidRPr="0003763F" w:rsidRDefault="00A55348" w:rsidP="00A55348">
            <w:pPr>
              <w:rPr>
                <w:b/>
                <w:sz w:val="18"/>
                <w:szCs w:val="18"/>
              </w:rPr>
            </w:pPr>
          </w:p>
        </w:tc>
        <w:tc>
          <w:tcPr>
            <w:tcW w:w="2463" w:type="dxa"/>
            <w:shd w:val="clear" w:color="auto" w:fill="auto"/>
          </w:tcPr>
          <w:p w14:paraId="33C3448B" w14:textId="27B4798F" w:rsidR="00A55348" w:rsidRPr="00665E52" w:rsidRDefault="00A55348" w:rsidP="00A55348">
            <w:pPr>
              <w:jc w:val="left"/>
              <w:rPr>
                <w:rFonts w:asciiTheme="majorHAnsi" w:hAnsiTheme="majorHAnsi"/>
                <w:b/>
                <w:i/>
                <w:sz w:val="18"/>
                <w:szCs w:val="18"/>
              </w:rPr>
            </w:pPr>
            <w:r w:rsidRPr="00665E52">
              <w:rPr>
                <w:rFonts w:asciiTheme="majorHAnsi" w:hAnsiTheme="majorHAnsi"/>
                <w:color w:val="000000"/>
                <w:sz w:val="18"/>
                <w:szCs w:val="18"/>
              </w:rPr>
              <w:t>Number of best practices of sustainable land, coastal and marine resource use up-scaled by communities/households</w:t>
            </w:r>
          </w:p>
        </w:tc>
        <w:tc>
          <w:tcPr>
            <w:tcW w:w="1970" w:type="dxa"/>
          </w:tcPr>
          <w:p w14:paraId="65295DFD" w14:textId="51A829FB" w:rsidR="00A55348" w:rsidRPr="00665E52" w:rsidRDefault="00A55348" w:rsidP="00A55348">
            <w:pPr>
              <w:jc w:val="left"/>
              <w:rPr>
                <w:rFonts w:asciiTheme="majorHAnsi" w:hAnsiTheme="majorHAnsi"/>
                <w:i/>
                <w:sz w:val="18"/>
                <w:szCs w:val="18"/>
              </w:rPr>
            </w:pPr>
            <w:r w:rsidRPr="00665E52">
              <w:rPr>
                <w:rFonts w:asciiTheme="majorHAnsi" w:hAnsiTheme="majorHAnsi"/>
                <w:i/>
                <w:color w:val="000000"/>
                <w:sz w:val="18"/>
                <w:szCs w:val="18"/>
              </w:rPr>
              <w:t>At least eighteen best practices of sustainable land, coastal and marine resource use being up-scaled by 9 communities and being used by both genders and multiple social groups.</w:t>
            </w:r>
          </w:p>
        </w:tc>
        <w:tc>
          <w:tcPr>
            <w:tcW w:w="1540" w:type="dxa"/>
            <w:shd w:val="clear" w:color="auto" w:fill="auto"/>
          </w:tcPr>
          <w:p w14:paraId="7F079669" w14:textId="4193A278" w:rsidR="00A55348" w:rsidRPr="006E787D" w:rsidRDefault="006E787D" w:rsidP="006E787D">
            <w:pPr>
              <w:jc w:val="left"/>
              <w:rPr>
                <w:i/>
                <w:sz w:val="18"/>
                <w:szCs w:val="18"/>
              </w:rPr>
            </w:pPr>
            <w:r>
              <w:rPr>
                <w:rFonts w:asciiTheme="majorHAnsi" w:hAnsiTheme="majorHAnsi"/>
                <w:i/>
                <w:sz w:val="18"/>
                <w:szCs w:val="18"/>
              </w:rPr>
              <w:t>Documentation and field observations</w:t>
            </w:r>
          </w:p>
        </w:tc>
        <w:tc>
          <w:tcPr>
            <w:tcW w:w="1170" w:type="dxa"/>
            <w:shd w:val="clear" w:color="auto" w:fill="auto"/>
          </w:tcPr>
          <w:p w14:paraId="612242BD" w14:textId="57CCA744" w:rsidR="00A55348" w:rsidRPr="006E787D" w:rsidRDefault="00A55348" w:rsidP="006E787D">
            <w:pPr>
              <w:jc w:val="left"/>
              <w:rPr>
                <w:i/>
                <w:sz w:val="18"/>
                <w:szCs w:val="18"/>
              </w:rPr>
            </w:pPr>
            <w:r w:rsidRPr="006E787D">
              <w:rPr>
                <w:rFonts w:asciiTheme="majorHAnsi" w:hAnsiTheme="majorHAnsi"/>
                <w:i/>
                <w:sz w:val="18"/>
                <w:szCs w:val="18"/>
              </w:rPr>
              <w:t>MTR and Project Completion</w:t>
            </w:r>
          </w:p>
        </w:tc>
        <w:tc>
          <w:tcPr>
            <w:tcW w:w="1440" w:type="dxa"/>
            <w:shd w:val="clear" w:color="auto" w:fill="auto"/>
          </w:tcPr>
          <w:p w14:paraId="7A672B97" w14:textId="6139B517" w:rsidR="00A55348" w:rsidRPr="006E787D" w:rsidRDefault="006E787D" w:rsidP="006E787D">
            <w:pPr>
              <w:jc w:val="left"/>
              <w:rPr>
                <w:i/>
                <w:sz w:val="18"/>
                <w:szCs w:val="18"/>
              </w:rPr>
            </w:pPr>
            <w:r w:rsidRPr="00E05078">
              <w:rPr>
                <w:rFonts w:asciiTheme="majorHAnsi" w:hAnsiTheme="majorHAnsi"/>
                <w:i/>
                <w:sz w:val="18"/>
                <w:szCs w:val="18"/>
              </w:rPr>
              <w:t>Project manager with support from consultancy services</w:t>
            </w:r>
          </w:p>
        </w:tc>
        <w:tc>
          <w:tcPr>
            <w:tcW w:w="1620" w:type="dxa"/>
            <w:shd w:val="clear" w:color="auto" w:fill="auto"/>
          </w:tcPr>
          <w:p w14:paraId="63004560" w14:textId="7DE527F1" w:rsidR="00A55348" w:rsidRPr="006E787D" w:rsidRDefault="00A55348" w:rsidP="006E787D">
            <w:pPr>
              <w:jc w:val="left"/>
              <w:rPr>
                <w:i/>
                <w:sz w:val="18"/>
                <w:szCs w:val="18"/>
              </w:rPr>
            </w:pPr>
            <w:r w:rsidRPr="006E787D">
              <w:rPr>
                <w:rFonts w:asciiTheme="majorHAnsi" w:hAnsiTheme="majorHAnsi"/>
                <w:i/>
                <w:sz w:val="18"/>
                <w:szCs w:val="18"/>
              </w:rPr>
              <w:t>Best practice documents and proceedings of dissemination events and implementation reports</w:t>
            </w:r>
          </w:p>
        </w:tc>
        <w:tc>
          <w:tcPr>
            <w:tcW w:w="2898" w:type="dxa"/>
            <w:vMerge/>
            <w:shd w:val="clear" w:color="auto" w:fill="auto"/>
          </w:tcPr>
          <w:p w14:paraId="1C726817" w14:textId="3AB9F1BB" w:rsidR="00A55348" w:rsidRPr="0003763F" w:rsidRDefault="00A55348" w:rsidP="00A55348">
            <w:pPr>
              <w:rPr>
                <w:i/>
                <w:sz w:val="18"/>
                <w:szCs w:val="18"/>
              </w:rPr>
            </w:pPr>
          </w:p>
        </w:tc>
      </w:tr>
      <w:tr w:rsidR="00665E52" w:rsidRPr="0003763F" w14:paraId="2F2BE947" w14:textId="77777777" w:rsidTr="001F6249">
        <w:trPr>
          <w:trHeight w:val="424"/>
        </w:trPr>
        <w:tc>
          <w:tcPr>
            <w:tcW w:w="1520" w:type="dxa"/>
            <w:shd w:val="clear" w:color="auto" w:fill="auto"/>
          </w:tcPr>
          <w:p w14:paraId="3E4E4612" w14:textId="557996EB" w:rsidR="00665E52" w:rsidRPr="0003763F" w:rsidRDefault="00665E52" w:rsidP="006E787D">
            <w:pPr>
              <w:spacing w:after="0"/>
              <w:jc w:val="left"/>
              <w:rPr>
                <w:b/>
                <w:i/>
                <w:sz w:val="18"/>
                <w:szCs w:val="18"/>
              </w:rPr>
            </w:pPr>
            <w:r w:rsidRPr="0003763F">
              <w:rPr>
                <w:b/>
                <w:i/>
                <w:sz w:val="18"/>
                <w:szCs w:val="18"/>
              </w:rPr>
              <w:t>Mid-term GEF Tracking Tool</w:t>
            </w:r>
            <w:r>
              <w:rPr>
                <w:b/>
                <w:i/>
                <w:sz w:val="18"/>
                <w:szCs w:val="18"/>
              </w:rPr>
              <w:t xml:space="preserve"> </w:t>
            </w:r>
          </w:p>
        </w:tc>
        <w:tc>
          <w:tcPr>
            <w:tcW w:w="2463" w:type="dxa"/>
            <w:shd w:val="clear" w:color="auto" w:fill="auto"/>
          </w:tcPr>
          <w:p w14:paraId="5BE2FF9F" w14:textId="5B3A3AAA" w:rsidR="00665E52" w:rsidRPr="0003763F" w:rsidRDefault="00665E52" w:rsidP="006E787D">
            <w:pPr>
              <w:spacing w:after="0"/>
              <w:rPr>
                <w:sz w:val="18"/>
                <w:szCs w:val="18"/>
              </w:rPr>
            </w:pPr>
          </w:p>
        </w:tc>
        <w:tc>
          <w:tcPr>
            <w:tcW w:w="1970" w:type="dxa"/>
          </w:tcPr>
          <w:p w14:paraId="2E7563DC" w14:textId="63E97E2C" w:rsidR="00665E52" w:rsidRPr="0003763F" w:rsidRDefault="00A55348" w:rsidP="006E787D">
            <w:pPr>
              <w:spacing w:after="0"/>
              <w:jc w:val="left"/>
              <w:rPr>
                <w:sz w:val="18"/>
                <w:szCs w:val="18"/>
              </w:rPr>
            </w:pPr>
            <w:r>
              <w:rPr>
                <w:i/>
                <w:sz w:val="18"/>
                <w:szCs w:val="18"/>
              </w:rPr>
              <w:t>Completed in timely fashion</w:t>
            </w:r>
          </w:p>
        </w:tc>
        <w:tc>
          <w:tcPr>
            <w:tcW w:w="1540" w:type="dxa"/>
            <w:shd w:val="clear" w:color="auto" w:fill="auto"/>
          </w:tcPr>
          <w:p w14:paraId="4608D5B0" w14:textId="0F9A45D7" w:rsidR="00665E52" w:rsidRPr="0003763F" w:rsidRDefault="00665E52" w:rsidP="006E787D">
            <w:pPr>
              <w:spacing w:after="0"/>
              <w:jc w:val="left"/>
              <w:rPr>
                <w:sz w:val="18"/>
                <w:szCs w:val="18"/>
              </w:rPr>
            </w:pPr>
            <w:r>
              <w:rPr>
                <w:sz w:val="18"/>
                <w:szCs w:val="18"/>
              </w:rPr>
              <w:t xml:space="preserve">Standard GEF Tracking Tool available at </w:t>
            </w:r>
            <w:hyperlink r:id="rId36" w:history="1">
              <w:r w:rsidRPr="003A634C">
                <w:rPr>
                  <w:rStyle w:val="Hyperlink"/>
                  <w:sz w:val="18"/>
                  <w:szCs w:val="18"/>
                </w:rPr>
                <w:t>www.thegef.org</w:t>
              </w:r>
            </w:hyperlink>
            <w:r>
              <w:rPr>
                <w:sz w:val="18"/>
                <w:szCs w:val="18"/>
              </w:rPr>
              <w:t xml:space="preserve"> B</w:t>
            </w:r>
            <w:r w:rsidRPr="0003763F">
              <w:rPr>
                <w:sz w:val="18"/>
                <w:szCs w:val="18"/>
              </w:rPr>
              <w:t>aseline GEF Tracking Tool included in Annex</w:t>
            </w:r>
            <w:r>
              <w:rPr>
                <w:sz w:val="18"/>
                <w:szCs w:val="18"/>
              </w:rPr>
              <w:t>.</w:t>
            </w:r>
          </w:p>
        </w:tc>
        <w:tc>
          <w:tcPr>
            <w:tcW w:w="1170" w:type="dxa"/>
            <w:shd w:val="clear" w:color="auto" w:fill="auto"/>
          </w:tcPr>
          <w:p w14:paraId="5BFAA2B8" w14:textId="77777777" w:rsidR="00665E52" w:rsidRPr="0003763F" w:rsidRDefault="00665E52" w:rsidP="006E787D">
            <w:pPr>
              <w:spacing w:after="0"/>
              <w:jc w:val="left"/>
              <w:rPr>
                <w:sz w:val="18"/>
                <w:szCs w:val="18"/>
              </w:rPr>
            </w:pPr>
            <w:r w:rsidRPr="0003763F">
              <w:rPr>
                <w:sz w:val="18"/>
                <w:szCs w:val="18"/>
              </w:rPr>
              <w:t>After 2</w:t>
            </w:r>
            <w:r w:rsidRPr="0003763F">
              <w:rPr>
                <w:sz w:val="18"/>
                <w:szCs w:val="18"/>
                <w:vertAlign w:val="superscript"/>
              </w:rPr>
              <w:t>nd</w:t>
            </w:r>
            <w:r w:rsidRPr="0003763F">
              <w:rPr>
                <w:sz w:val="18"/>
                <w:szCs w:val="18"/>
              </w:rPr>
              <w:t xml:space="preserve"> PIR submitted to GEF</w:t>
            </w:r>
          </w:p>
        </w:tc>
        <w:tc>
          <w:tcPr>
            <w:tcW w:w="1440" w:type="dxa"/>
            <w:shd w:val="clear" w:color="auto" w:fill="auto"/>
          </w:tcPr>
          <w:p w14:paraId="39414842" w14:textId="69B00BFE" w:rsidR="00665E52" w:rsidRPr="0003763F" w:rsidRDefault="00665E52" w:rsidP="006E787D">
            <w:pPr>
              <w:spacing w:after="0"/>
              <w:jc w:val="left"/>
              <w:rPr>
                <w:i/>
                <w:sz w:val="18"/>
                <w:szCs w:val="18"/>
              </w:rPr>
            </w:pPr>
            <w:r w:rsidRPr="00E71284">
              <w:rPr>
                <w:i/>
                <w:sz w:val="18"/>
                <w:szCs w:val="18"/>
              </w:rPr>
              <w:t>Project Manager</w:t>
            </w:r>
            <w:r>
              <w:rPr>
                <w:i/>
                <w:sz w:val="18"/>
                <w:szCs w:val="18"/>
              </w:rPr>
              <w:t xml:space="preserve"> and UNDP CO</w:t>
            </w:r>
          </w:p>
        </w:tc>
        <w:tc>
          <w:tcPr>
            <w:tcW w:w="1620" w:type="dxa"/>
            <w:shd w:val="clear" w:color="auto" w:fill="auto"/>
          </w:tcPr>
          <w:p w14:paraId="187DD688" w14:textId="77777777" w:rsidR="00665E52" w:rsidRPr="0003763F" w:rsidRDefault="00665E52" w:rsidP="006E787D">
            <w:pPr>
              <w:spacing w:after="0"/>
              <w:jc w:val="left"/>
              <w:rPr>
                <w:sz w:val="18"/>
                <w:szCs w:val="18"/>
              </w:rPr>
            </w:pPr>
            <w:r>
              <w:rPr>
                <w:sz w:val="18"/>
                <w:szCs w:val="18"/>
              </w:rPr>
              <w:t>Completed GEF Tracking Tool</w:t>
            </w:r>
          </w:p>
        </w:tc>
        <w:tc>
          <w:tcPr>
            <w:tcW w:w="2898" w:type="dxa"/>
            <w:shd w:val="clear" w:color="auto" w:fill="auto"/>
          </w:tcPr>
          <w:p w14:paraId="2E9BEEFB" w14:textId="21C8FA7F" w:rsidR="00665E52" w:rsidRPr="00665E52" w:rsidRDefault="00665E52" w:rsidP="006E787D">
            <w:pPr>
              <w:spacing w:after="0"/>
              <w:jc w:val="left"/>
              <w:rPr>
                <w:i/>
                <w:sz w:val="18"/>
                <w:szCs w:val="18"/>
              </w:rPr>
            </w:pPr>
            <w:r w:rsidRPr="00665E52">
              <w:rPr>
                <w:rFonts w:asciiTheme="majorHAnsi" w:hAnsiTheme="majorHAnsi"/>
                <w:i/>
                <w:sz w:val="18"/>
                <w:szCs w:val="18"/>
                <w:u w:val="single"/>
              </w:rPr>
              <w:t>Assumption:</w:t>
            </w:r>
            <w:r w:rsidRPr="00665E52">
              <w:rPr>
                <w:rFonts w:asciiTheme="majorHAnsi" w:hAnsiTheme="majorHAnsi"/>
                <w:i/>
                <w:sz w:val="18"/>
                <w:szCs w:val="18"/>
              </w:rPr>
              <w:t xml:space="preserve">  </w:t>
            </w:r>
            <w:r>
              <w:rPr>
                <w:rFonts w:asciiTheme="majorHAnsi" w:hAnsiTheme="majorHAnsi"/>
                <w:i/>
                <w:sz w:val="18"/>
                <w:szCs w:val="18"/>
              </w:rPr>
              <w:t>National</w:t>
            </w:r>
            <w:r w:rsidRPr="00665E52">
              <w:rPr>
                <w:rFonts w:asciiTheme="majorHAnsi" w:hAnsiTheme="majorHAnsi"/>
                <w:i/>
                <w:sz w:val="18"/>
                <w:szCs w:val="18"/>
              </w:rPr>
              <w:t xml:space="preserve"> and State government commitments to assessment </w:t>
            </w:r>
          </w:p>
        </w:tc>
      </w:tr>
      <w:tr w:rsidR="00665E52" w:rsidRPr="0003763F" w14:paraId="1420B0D7" w14:textId="77777777" w:rsidTr="001F6249">
        <w:trPr>
          <w:trHeight w:val="424"/>
        </w:trPr>
        <w:tc>
          <w:tcPr>
            <w:tcW w:w="1520" w:type="dxa"/>
            <w:shd w:val="clear" w:color="auto" w:fill="auto"/>
          </w:tcPr>
          <w:p w14:paraId="42A11751" w14:textId="77777777" w:rsidR="00665E52" w:rsidRPr="0003763F" w:rsidRDefault="00665E52" w:rsidP="006E787D">
            <w:pPr>
              <w:spacing w:after="0"/>
              <w:jc w:val="left"/>
              <w:rPr>
                <w:b/>
                <w:sz w:val="18"/>
                <w:szCs w:val="18"/>
              </w:rPr>
            </w:pPr>
            <w:r>
              <w:rPr>
                <w:b/>
                <w:sz w:val="18"/>
                <w:szCs w:val="18"/>
              </w:rPr>
              <w:t>Termina</w:t>
            </w:r>
            <w:r w:rsidRPr="0003763F">
              <w:rPr>
                <w:b/>
                <w:sz w:val="18"/>
                <w:szCs w:val="18"/>
              </w:rPr>
              <w:t>l GEF Tracking Tool</w:t>
            </w:r>
          </w:p>
        </w:tc>
        <w:tc>
          <w:tcPr>
            <w:tcW w:w="2463" w:type="dxa"/>
            <w:shd w:val="clear" w:color="auto" w:fill="auto"/>
          </w:tcPr>
          <w:p w14:paraId="3908660D" w14:textId="2C75F324" w:rsidR="00665E52" w:rsidRPr="0003763F" w:rsidRDefault="00665E52" w:rsidP="006E787D">
            <w:pPr>
              <w:spacing w:after="0"/>
              <w:rPr>
                <w:sz w:val="18"/>
                <w:szCs w:val="18"/>
              </w:rPr>
            </w:pPr>
          </w:p>
        </w:tc>
        <w:tc>
          <w:tcPr>
            <w:tcW w:w="1970" w:type="dxa"/>
          </w:tcPr>
          <w:p w14:paraId="123FE295" w14:textId="43FD8219" w:rsidR="00665E52" w:rsidRPr="0003763F" w:rsidRDefault="00A55348" w:rsidP="006E787D">
            <w:pPr>
              <w:spacing w:after="0"/>
              <w:jc w:val="left"/>
              <w:rPr>
                <w:sz w:val="18"/>
                <w:szCs w:val="18"/>
              </w:rPr>
            </w:pPr>
            <w:r>
              <w:rPr>
                <w:i/>
                <w:sz w:val="18"/>
                <w:szCs w:val="18"/>
              </w:rPr>
              <w:t>Completed in timely fashion</w:t>
            </w:r>
          </w:p>
        </w:tc>
        <w:tc>
          <w:tcPr>
            <w:tcW w:w="1540" w:type="dxa"/>
            <w:shd w:val="clear" w:color="auto" w:fill="auto"/>
          </w:tcPr>
          <w:p w14:paraId="37E42A26" w14:textId="77777777" w:rsidR="00665E52" w:rsidRPr="0003763F" w:rsidRDefault="00665E52" w:rsidP="006E787D">
            <w:pPr>
              <w:spacing w:after="0"/>
              <w:jc w:val="left"/>
              <w:rPr>
                <w:sz w:val="18"/>
                <w:szCs w:val="18"/>
              </w:rPr>
            </w:pPr>
            <w:r>
              <w:rPr>
                <w:sz w:val="18"/>
                <w:szCs w:val="18"/>
              </w:rPr>
              <w:t xml:space="preserve">Standard GEF Tracking Tool available at </w:t>
            </w:r>
            <w:hyperlink r:id="rId37" w:history="1">
              <w:r w:rsidRPr="003A634C">
                <w:rPr>
                  <w:rStyle w:val="Hyperlink"/>
                  <w:sz w:val="18"/>
                  <w:szCs w:val="18"/>
                </w:rPr>
                <w:t>www.thegef.org</w:t>
              </w:r>
            </w:hyperlink>
            <w:r>
              <w:rPr>
                <w:sz w:val="18"/>
                <w:szCs w:val="18"/>
              </w:rPr>
              <w:t xml:space="preserve"> B</w:t>
            </w:r>
            <w:r w:rsidRPr="0003763F">
              <w:rPr>
                <w:sz w:val="18"/>
                <w:szCs w:val="18"/>
              </w:rPr>
              <w:t>aseline GEF Tracking Tool included in Annex</w:t>
            </w:r>
            <w:r>
              <w:rPr>
                <w:sz w:val="18"/>
                <w:szCs w:val="18"/>
              </w:rPr>
              <w:t>.</w:t>
            </w:r>
          </w:p>
        </w:tc>
        <w:tc>
          <w:tcPr>
            <w:tcW w:w="1170" w:type="dxa"/>
            <w:shd w:val="clear" w:color="auto" w:fill="auto"/>
          </w:tcPr>
          <w:p w14:paraId="4731BA3D" w14:textId="77777777" w:rsidR="00665E52" w:rsidRPr="0003763F" w:rsidRDefault="00665E52" w:rsidP="006E787D">
            <w:pPr>
              <w:spacing w:after="0"/>
              <w:jc w:val="left"/>
              <w:rPr>
                <w:sz w:val="18"/>
                <w:szCs w:val="18"/>
              </w:rPr>
            </w:pPr>
            <w:r w:rsidRPr="0003763F">
              <w:rPr>
                <w:sz w:val="18"/>
                <w:szCs w:val="18"/>
              </w:rPr>
              <w:t>After final PIR submitted to GEF</w:t>
            </w:r>
          </w:p>
        </w:tc>
        <w:tc>
          <w:tcPr>
            <w:tcW w:w="1440" w:type="dxa"/>
            <w:shd w:val="clear" w:color="auto" w:fill="auto"/>
          </w:tcPr>
          <w:p w14:paraId="59C2861B" w14:textId="770877FA" w:rsidR="00665E52" w:rsidRPr="0003763F" w:rsidRDefault="00665E52" w:rsidP="006E787D">
            <w:pPr>
              <w:spacing w:after="0"/>
              <w:jc w:val="left"/>
              <w:rPr>
                <w:sz w:val="18"/>
                <w:szCs w:val="18"/>
                <w:highlight w:val="yellow"/>
              </w:rPr>
            </w:pPr>
            <w:r>
              <w:rPr>
                <w:i/>
                <w:sz w:val="18"/>
                <w:szCs w:val="18"/>
              </w:rPr>
              <w:t xml:space="preserve">Project Manager and </w:t>
            </w:r>
            <w:r w:rsidRPr="00E71284">
              <w:rPr>
                <w:i/>
                <w:sz w:val="18"/>
                <w:szCs w:val="18"/>
              </w:rPr>
              <w:t>UNDP CO</w:t>
            </w:r>
          </w:p>
        </w:tc>
        <w:tc>
          <w:tcPr>
            <w:tcW w:w="1620" w:type="dxa"/>
            <w:shd w:val="clear" w:color="auto" w:fill="auto"/>
          </w:tcPr>
          <w:p w14:paraId="169FB2BF" w14:textId="77777777" w:rsidR="00665E52" w:rsidRPr="0003763F" w:rsidRDefault="00665E52" w:rsidP="006E787D">
            <w:pPr>
              <w:spacing w:after="0"/>
              <w:jc w:val="left"/>
              <w:rPr>
                <w:sz w:val="18"/>
                <w:szCs w:val="18"/>
              </w:rPr>
            </w:pPr>
            <w:r>
              <w:rPr>
                <w:sz w:val="18"/>
                <w:szCs w:val="18"/>
              </w:rPr>
              <w:t>Completed GEF Tracking Tool</w:t>
            </w:r>
          </w:p>
        </w:tc>
        <w:tc>
          <w:tcPr>
            <w:tcW w:w="2898" w:type="dxa"/>
            <w:shd w:val="clear" w:color="auto" w:fill="auto"/>
          </w:tcPr>
          <w:p w14:paraId="0799034F" w14:textId="1AEFB339" w:rsidR="00665E52" w:rsidRPr="00665E52" w:rsidRDefault="00665E52" w:rsidP="006E787D">
            <w:pPr>
              <w:spacing w:after="0"/>
              <w:jc w:val="left"/>
              <w:rPr>
                <w:i/>
                <w:sz w:val="18"/>
                <w:szCs w:val="18"/>
              </w:rPr>
            </w:pPr>
            <w:r w:rsidRPr="00665E52">
              <w:rPr>
                <w:rFonts w:asciiTheme="majorHAnsi" w:hAnsiTheme="majorHAnsi"/>
                <w:i/>
                <w:sz w:val="18"/>
                <w:szCs w:val="18"/>
                <w:u w:val="single"/>
              </w:rPr>
              <w:t>Assumption:</w:t>
            </w:r>
            <w:r w:rsidRPr="00665E52">
              <w:rPr>
                <w:rFonts w:asciiTheme="majorHAnsi" w:hAnsiTheme="majorHAnsi"/>
                <w:i/>
                <w:sz w:val="18"/>
                <w:szCs w:val="18"/>
              </w:rPr>
              <w:t xml:space="preserve">  </w:t>
            </w:r>
            <w:r>
              <w:rPr>
                <w:rFonts w:asciiTheme="majorHAnsi" w:hAnsiTheme="majorHAnsi"/>
                <w:i/>
                <w:sz w:val="18"/>
                <w:szCs w:val="18"/>
              </w:rPr>
              <w:t>National</w:t>
            </w:r>
            <w:r w:rsidRPr="00665E52">
              <w:rPr>
                <w:rFonts w:asciiTheme="majorHAnsi" w:hAnsiTheme="majorHAnsi"/>
                <w:i/>
                <w:sz w:val="18"/>
                <w:szCs w:val="18"/>
              </w:rPr>
              <w:t xml:space="preserve"> and State government commitments to assessment</w:t>
            </w:r>
          </w:p>
        </w:tc>
      </w:tr>
      <w:tr w:rsidR="00665E52" w:rsidRPr="0003763F" w14:paraId="7BE0AF02" w14:textId="77777777" w:rsidTr="001F6249">
        <w:trPr>
          <w:trHeight w:val="424"/>
        </w:trPr>
        <w:tc>
          <w:tcPr>
            <w:tcW w:w="1520" w:type="dxa"/>
            <w:shd w:val="clear" w:color="auto" w:fill="auto"/>
          </w:tcPr>
          <w:p w14:paraId="452CD1FE" w14:textId="78BB5FDB" w:rsidR="00665E52" w:rsidRPr="0003763F" w:rsidRDefault="00665E52" w:rsidP="006E787D">
            <w:pPr>
              <w:spacing w:after="0"/>
              <w:jc w:val="left"/>
              <w:rPr>
                <w:b/>
                <w:i/>
                <w:sz w:val="18"/>
                <w:szCs w:val="18"/>
              </w:rPr>
            </w:pPr>
            <w:r w:rsidRPr="0003763F">
              <w:rPr>
                <w:b/>
                <w:i/>
                <w:sz w:val="18"/>
                <w:szCs w:val="18"/>
              </w:rPr>
              <w:t xml:space="preserve">Mid-term Review </w:t>
            </w:r>
          </w:p>
        </w:tc>
        <w:tc>
          <w:tcPr>
            <w:tcW w:w="2463" w:type="dxa"/>
            <w:shd w:val="clear" w:color="auto" w:fill="auto"/>
          </w:tcPr>
          <w:p w14:paraId="6380C55A" w14:textId="6F74C0A3" w:rsidR="00665E52" w:rsidRPr="0003763F" w:rsidRDefault="00665E52" w:rsidP="006E787D">
            <w:pPr>
              <w:spacing w:after="0"/>
              <w:rPr>
                <w:sz w:val="18"/>
                <w:szCs w:val="18"/>
              </w:rPr>
            </w:pPr>
          </w:p>
        </w:tc>
        <w:tc>
          <w:tcPr>
            <w:tcW w:w="1970" w:type="dxa"/>
          </w:tcPr>
          <w:p w14:paraId="5E2003DB" w14:textId="6D0F18F6" w:rsidR="00665E52" w:rsidRPr="0003763F" w:rsidRDefault="00A55348" w:rsidP="006E787D">
            <w:pPr>
              <w:spacing w:after="0"/>
              <w:jc w:val="left"/>
              <w:rPr>
                <w:sz w:val="18"/>
                <w:szCs w:val="18"/>
              </w:rPr>
            </w:pPr>
            <w:r>
              <w:rPr>
                <w:i/>
                <w:sz w:val="18"/>
                <w:szCs w:val="18"/>
              </w:rPr>
              <w:t>Completed in timely fashion</w:t>
            </w:r>
          </w:p>
        </w:tc>
        <w:tc>
          <w:tcPr>
            <w:tcW w:w="1540" w:type="dxa"/>
            <w:shd w:val="clear" w:color="auto" w:fill="auto"/>
          </w:tcPr>
          <w:p w14:paraId="0D40D38F" w14:textId="77777777" w:rsidR="00665E52" w:rsidRPr="0003763F" w:rsidRDefault="00665E52" w:rsidP="006E787D">
            <w:pPr>
              <w:spacing w:after="0"/>
              <w:jc w:val="left"/>
              <w:rPr>
                <w:sz w:val="18"/>
                <w:szCs w:val="18"/>
              </w:rPr>
            </w:pPr>
            <w:r>
              <w:rPr>
                <w:sz w:val="18"/>
                <w:szCs w:val="18"/>
              </w:rPr>
              <w:t>To be outlined in MTR inception report</w:t>
            </w:r>
          </w:p>
        </w:tc>
        <w:tc>
          <w:tcPr>
            <w:tcW w:w="1170" w:type="dxa"/>
            <w:shd w:val="clear" w:color="auto" w:fill="auto"/>
          </w:tcPr>
          <w:p w14:paraId="0B00D71D" w14:textId="77777777" w:rsidR="00665E52" w:rsidRPr="0003763F" w:rsidRDefault="00665E52" w:rsidP="006E787D">
            <w:pPr>
              <w:spacing w:after="0"/>
              <w:jc w:val="left"/>
              <w:rPr>
                <w:sz w:val="18"/>
                <w:szCs w:val="18"/>
              </w:rPr>
            </w:pPr>
            <w:r w:rsidRPr="0003763F">
              <w:rPr>
                <w:sz w:val="18"/>
                <w:szCs w:val="18"/>
              </w:rPr>
              <w:t>Submitted to GEF same year as 3</w:t>
            </w:r>
            <w:r w:rsidRPr="0003763F">
              <w:rPr>
                <w:sz w:val="18"/>
                <w:szCs w:val="18"/>
                <w:vertAlign w:val="superscript"/>
              </w:rPr>
              <w:t>rd</w:t>
            </w:r>
            <w:r w:rsidRPr="0003763F">
              <w:rPr>
                <w:sz w:val="18"/>
                <w:szCs w:val="18"/>
              </w:rPr>
              <w:t xml:space="preserve"> PIR</w:t>
            </w:r>
          </w:p>
        </w:tc>
        <w:tc>
          <w:tcPr>
            <w:tcW w:w="1440" w:type="dxa"/>
            <w:shd w:val="clear" w:color="auto" w:fill="auto"/>
          </w:tcPr>
          <w:p w14:paraId="3A4935EC" w14:textId="47593FB5" w:rsidR="00665E52" w:rsidRPr="00665E52" w:rsidRDefault="00665E52" w:rsidP="00A55348">
            <w:pPr>
              <w:spacing w:after="0"/>
              <w:rPr>
                <w:i/>
                <w:sz w:val="18"/>
                <w:szCs w:val="18"/>
              </w:rPr>
            </w:pPr>
            <w:r w:rsidRPr="00665E52">
              <w:rPr>
                <w:i/>
                <w:sz w:val="18"/>
                <w:szCs w:val="18"/>
              </w:rPr>
              <w:t>Project Manager and UNDP CO</w:t>
            </w:r>
          </w:p>
        </w:tc>
        <w:tc>
          <w:tcPr>
            <w:tcW w:w="1620" w:type="dxa"/>
            <w:shd w:val="clear" w:color="auto" w:fill="auto"/>
          </w:tcPr>
          <w:p w14:paraId="25A67607" w14:textId="77777777" w:rsidR="00665E52" w:rsidRPr="0003763F" w:rsidRDefault="00665E52" w:rsidP="006E787D">
            <w:pPr>
              <w:spacing w:after="0"/>
              <w:rPr>
                <w:sz w:val="18"/>
                <w:szCs w:val="18"/>
              </w:rPr>
            </w:pPr>
            <w:r>
              <w:rPr>
                <w:sz w:val="18"/>
                <w:szCs w:val="18"/>
              </w:rPr>
              <w:t>Completed MTR</w:t>
            </w:r>
          </w:p>
        </w:tc>
        <w:tc>
          <w:tcPr>
            <w:tcW w:w="2898" w:type="dxa"/>
            <w:shd w:val="clear" w:color="auto" w:fill="auto"/>
          </w:tcPr>
          <w:p w14:paraId="7E0AB578" w14:textId="09E2D50A" w:rsidR="00665E52" w:rsidRPr="0003763F" w:rsidRDefault="00665E52" w:rsidP="006E787D">
            <w:pPr>
              <w:spacing w:after="0"/>
              <w:jc w:val="left"/>
              <w:rPr>
                <w:i/>
                <w:sz w:val="18"/>
                <w:szCs w:val="18"/>
              </w:rPr>
            </w:pPr>
            <w:r w:rsidRPr="002814A6">
              <w:rPr>
                <w:rFonts w:asciiTheme="majorHAnsi" w:hAnsiTheme="majorHAnsi"/>
                <w:i/>
                <w:sz w:val="18"/>
                <w:szCs w:val="18"/>
                <w:u w:val="single"/>
              </w:rPr>
              <w:t>Assumption:</w:t>
            </w:r>
            <w:r w:rsidRPr="002814A6">
              <w:rPr>
                <w:rFonts w:asciiTheme="majorHAnsi" w:hAnsiTheme="majorHAnsi"/>
                <w:i/>
                <w:sz w:val="18"/>
                <w:szCs w:val="18"/>
              </w:rPr>
              <w:t xml:space="preserve">  </w:t>
            </w:r>
            <w:r>
              <w:rPr>
                <w:rFonts w:asciiTheme="majorHAnsi" w:hAnsiTheme="majorHAnsi"/>
                <w:i/>
                <w:sz w:val="18"/>
                <w:szCs w:val="18"/>
              </w:rPr>
              <w:t>National</w:t>
            </w:r>
            <w:r w:rsidRPr="002814A6">
              <w:rPr>
                <w:rFonts w:asciiTheme="majorHAnsi" w:hAnsiTheme="majorHAnsi"/>
                <w:i/>
                <w:sz w:val="18"/>
                <w:szCs w:val="18"/>
              </w:rPr>
              <w:t xml:space="preserve"> and State government commitments to assessment</w:t>
            </w:r>
          </w:p>
        </w:tc>
      </w:tr>
      <w:tr w:rsidR="00665E52" w:rsidRPr="0003763F" w14:paraId="4D279BF1" w14:textId="77777777" w:rsidTr="001F6249">
        <w:trPr>
          <w:trHeight w:val="424"/>
        </w:trPr>
        <w:tc>
          <w:tcPr>
            <w:tcW w:w="1520" w:type="dxa"/>
            <w:shd w:val="clear" w:color="auto" w:fill="auto"/>
          </w:tcPr>
          <w:p w14:paraId="75A6C7A6" w14:textId="77777777" w:rsidR="00665E52" w:rsidRPr="00226584" w:rsidRDefault="00665E52" w:rsidP="006E787D">
            <w:pPr>
              <w:spacing w:after="0"/>
              <w:jc w:val="left"/>
              <w:rPr>
                <w:b/>
                <w:sz w:val="18"/>
                <w:szCs w:val="18"/>
              </w:rPr>
            </w:pPr>
            <w:r w:rsidRPr="00226584">
              <w:rPr>
                <w:b/>
                <w:sz w:val="18"/>
                <w:szCs w:val="18"/>
              </w:rPr>
              <w:t>Environmental and Social risks and management plans, as relevant.</w:t>
            </w:r>
          </w:p>
        </w:tc>
        <w:tc>
          <w:tcPr>
            <w:tcW w:w="2463" w:type="dxa"/>
            <w:shd w:val="clear" w:color="auto" w:fill="auto"/>
          </w:tcPr>
          <w:p w14:paraId="1A46291D" w14:textId="773D76FF" w:rsidR="00665E52" w:rsidRPr="0003763F" w:rsidRDefault="00665E52" w:rsidP="006E787D">
            <w:pPr>
              <w:spacing w:after="0"/>
              <w:rPr>
                <w:sz w:val="18"/>
                <w:szCs w:val="18"/>
              </w:rPr>
            </w:pPr>
          </w:p>
        </w:tc>
        <w:tc>
          <w:tcPr>
            <w:tcW w:w="1970" w:type="dxa"/>
          </w:tcPr>
          <w:p w14:paraId="10A3F01D" w14:textId="0C0B088E" w:rsidR="00665E52" w:rsidRPr="0003763F" w:rsidRDefault="00A55348" w:rsidP="006E787D">
            <w:pPr>
              <w:spacing w:after="0"/>
              <w:jc w:val="left"/>
              <w:rPr>
                <w:sz w:val="18"/>
                <w:szCs w:val="18"/>
              </w:rPr>
            </w:pPr>
            <w:r>
              <w:rPr>
                <w:i/>
                <w:sz w:val="18"/>
                <w:szCs w:val="18"/>
              </w:rPr>
              <w:t>Completed in timely and diligent manner</w:t>
            </w:r>
          </w:p>
        </w:tc>
        <w:tc>
          <w:tcPr>
            <w:tcW w:w="1540" w:type="dxa"/>
            <w:shd w:val="clear" w:color="auto" w:fill="auto"/>
          </w:tcPr>
          <w:p w14:paraId="7C3F534F" w14:textId="77777777" w:rsidR="00665E52" w:rsidRPr="0003763F" w:rsidRDefault="00665E52" w:rsidP="006E787D">
            <w:pPr>
              <w:spacing w:after="0"/>
              <w:jc w:val="left"/>
              <w:rPr>
                <w:sz w:val="18"/>
                <w:szCs w:val="18"/>
              </w:rPr>
            </w:pPr>
            <w:r>
              <w:rPr>
                <w:sz w:val="18"/>
                <w:szCs w:val="18"/>
              </w:rPr>
              <w:t>Updated SESP and management plans</w:t>
            </w:r>
          </w:p>
        </w:tc>
        <w:tc>
          <w:tcPr>
            <w:tcW w:w="1170" w:type="dxa"/>
            <w:shd w:val="clear" w:color="auto" w:fill="auto"/>
          </w:tcPr>
          <w:p w14:paraId="246C088B" w14:textId="77777777" w:rsidR="00665E52" w:rsidRPr="0003763F" w:rsidRDefault="00665E52" w:rsidP="006E787D">
            <w:pPr>
              <w:spacing w:after="0"/>
              <w:jc w:val="left"/>
              <w:rPr>
                <w:sz w:val="18"/>
                <w:szCs w:val="18"/>
              </w:rPr>
            </w:pPr>
            <w:r>
              <w:rPr>
                <w:sz w:val="18"/>
                <w:szCs w:val="18"/>
              </w:rPr>
              <w:t>Annually</w:t>
            </w:r>
          </w:p>
        </w:tc>
        <w:tc>
          <w:tcPr>
            <w:tcW w:w="1440" w:type="dxa"/>
            <w:shd w:val="clear" w:color="auto" w:fill="auto"/>
          </w:tcPr>
          <w:p w14:paraId="5F90864D" w14:textId="77777777" w:rsidR="00665E52" w:rsidRPr="00665E52" w:rsidRDefault="00665E52" w:rsidP="00A55348">
            <w:pPr>
              <w:spacing w:after="0"/>
              <w:jc w:val="left"/>
              <w:rPr>
                <w:i/>
                <w:sz w:val="18"/>
                <w:szCs w:val="18"/>
              </w:rPr>
            </w:pPr>
            <w:r w:rsidRPr="00665E52">
              <w:rPr>
                <w:i/>
                <w:sz w:val="18"/>
                <w:szCs w:val="18"/>
              </w:rPr>
              <w:t>Project Manager</w:t>
            </w:r>
          </w:p>
          <w:p w14:paraId="467D0E97" w14:textId="77777777" w:rsidR="00665E52" w:rsidRPr="00665E52" w:rsidRDefault="00665E52" w:rsidP="006E787D">
            <w:pPr>
              <w:spacing w:after="0"/>
              <w:rPr>
                <w:i/>
                <w:sz w:val="18"/>
                <w:szCs w:val="18"/>
              </w:rPr>
            </w:pPr>
            <w:r w:rsidRPr="00665E52">
              <w:rPr>
                <w:i/>
                <w:sz w:val="18"/>
                <w:szCs w:val="18"/>
              </w:rPr>
              <w:t>UNDP CO</w:t>
            </w:r>
          </w:p>
        </w:tc>
        <w:tc>
          <w:tcPr>
            <w:tcW w:w="1620" w:type="dxa"/>
            <w:shd w:val="clear" w:color="auto" w:fill="auto"/>
          </w:tcPr>
          <w:p w14:paraId="46A58FCC" w14:textId="77777777" w:rsidR="00665E52" w:rsidRPr="0003763F" w:rsidRDefault="00665E52" w:rsidP="006E787D">
            <w:pPr>
              <w:spacing w:after="0"/>
              <w:rPr>
                <w:sz w:val="18"/>
                <w:szCs w:val="18"/>
              </w:rPr>
            </w:pPr>
            <w:r>
              <w:rPr>
                <w:sz w:val="18"/>
                <w:szCs w:val="18"/>
              </w:rPr>
              <w:t>Updated SESP</w:t>
            </w:r>
          </w:p>
        </w:tc>
        <w:tc>
          <w:tcPr>
            <w:tcW w:w="2898" w:type="dxa"/>
            <w:shd w:val="clear" w:color="auto" w:fill="auto"/>
          </w:tcPr>
          <w:p w14:paraId="588A4FE3" w14:textId="4753970E" w:rsidR="00665E52" w:rsidRPr="00665E52" w:rsidRDefault="00665E52" w:rsidP="006E787D">
            <w:pPr>
              <w:spacing w:after="0"/>
              <w:jc w:val="left"/>
              <w:rPr>
                <w:i/>
                <w:sz w:val="18"/>
                <w:szCs w:val="18"/>
              </w:rPr>
            </w:pPr>
            <w:r w:rsidRPr="00665E52">
              <w:rPr>
                <w:rFonts w:asciiTheme="majorHAnsi" w:hAnsiTheme="majorHAnsi"/>
                <w:i/>
                <w:sz w:val="18"/>
                <w:szCs w:val="18"/>
                <w:u w:val="single"/>
              </w:rPr>
              <w:t>Assumption:</w:t>
            </w:r>
            <w:r w:rsidRPr="00665E52">
              <w:rPr>
                <w:rFonts w:asciiTheme="majorHAnsi" w:hAnsiTheme="majorHAnsi"/>
                <w:i/>
                <w:sz w:val="18"/>
                <w:szCs w:val="18"/>
              </w:rPr>
              <w:t xml:space="preserve"> </w:t>
            </w:r>
            <w:r>
              <w:rPr>
                <w:rFonts w:asciiTheme="majorHAnsi" w:hAnsiTheme="majorHAnsi"/>
                <w:i/>
                <w:sz w:val="18"/>
                <w:szCs w:val="18"/>
              </w:rPr>
              <w:t xml:space="preserve">National and </w:t>
            </w:r>
            <w:r w:rsidRPr="00665E52">
              <w:rPr>
                <w:rFonts w:asciiTheme="majorHAnsi" w:hAnsiTheme="majorHAnsi"/>
                <w:i/>
                <w:sz w:val="18"/>
                <w:szCs w:val="18"/>
              </w:rPr>
              <w:t>State governments recognize and committed to manage social and environmental risks</w:t>
            </w:r>
          </w:p>
        </w:tc>
      </w:tr>
    </w:tbl>
    <w:p w14:paraId="0F481788" w14:textId="77777777" w:rsidR="008C0BCC" w:rsidRDefault="003E3ABA" w:rsidP="003B2A79">
      <w:pPr>
        <w:pStyle w:val="ListParagraph"/>
        <w:spacing w:after="60"/>
        <w:ind w:left="360"/>
        <w:rPr>
          <w:rFonts w:ascii="Arial (W1)" w:hAnsi="Arial (W1)" w:cs="Arial"/>
          <w:b/>
          <w:smallCaps/>
          <w:szCs w:val="22"/>
        </w:rPr>
      </w:pPr>
      <w:r w:rsidRPr="009B0091">
        <w:rPr>
          <w:rFonts w:ascii="Arial (W1)" w:hAnsi="Arial (W1)" w:cs="Arial"/>
          <w:b/>
          <w:smallCaps/>
          <w:szCs w:val="22"/>
        </w:rPr>
        <w:br w:type="page"/>
      </w:r>
    </w:p>
    <w:p w14:paraId="42EAC9D0" w14:textId="0D1A40D1" w:rsidR="008C0BCC" w:rsidRPr="00BD45ED" w:rsidRDefault="008C0BCC" w:rsidP="008C0BCC">
      <w:pPr>
        <w:pStyle w:val="ListParagraph"/>
        <w:spacing w:after="60"/>
        <w:ind w:left="360"/>
        <w:jc w:val="right"/>
        <w:rPr>
          <w:rFonts w:asciiTheme="majorHAnsi" w:hAnsiTheme="majorHAnsi"/>
          <w:b/>
          <w:smallCaps/>
          <w:sz w:val="20"/>
          <w:szCs w:val="20"/>
        </w:rPr>
      </w:pPr>
      <w:r w:rsidRPr="00BD45ED">
        <w:rPr>
          <w:rFonts w:asciiTheme="majorHAnsi" w:hAnsiTheme="majorHAnsi"/>
          <w:b/>
          <w:smallCaps/>
          <w:sz w:val="20"/>
          <w:szCs w:val="20"/>
        </w:rPr>
        <w:t>Annex</w:t>
      </w:r>
      <w:r w:rsidR="00BD45ED">
        <w:rPr>
          <w:rFonts w:asciiTheme="majorHAnsi" w:hAnsiTheme="majorHAnsi"/>
          <w:b/>
          <w:smallCaps/>
          <w:sz w:val="20"/>
          <w:szCs w:val="20"/>
        </w:rPr>
        <w:t xml:space="preserve"> 13</w:t>
      </w:r>
      <w:r w:rsidRPr="00BD45ED">
        <w:rPr>
          <w:rFonts w:asciiTheme="majorHAnsi" w:hAnsiTheme="majorHAnsi"/>
          <w:b/>
          <w:smallCaps/>
          <w:sz w:val="20"/>
          <w:szCs w:val="20"/>
        </w:rPr>
        <w:t xml:space="preserve"> </w:t>
      </w:r>
    </w:p>
    <w:p w14:paraId="03965CA6" w14:textId="4F76C8B3" w:rsidR="003E3ABA" w:rsidRPr="0003763F" w:rsidRDefault="008C0BCC" w:rsidP="008C0BCC">
      <w:pPr>
        <w:pStyle w:val="ListParagraph"/>
        <w:spacing w:after="60"/>
        <w:ind w:left="360"/>
        <w:jc w:val="center"/>
        <w:rPr>
          <w:rFonts w:ascii="Calibri" w:hAnsi="Calibri"/>
          <w:b/>
          <w:sz w:val="20"/>
          <w:szCs w:val="20"/>
        </w:rPr>
      </w:pPr>
      <w:r>
        <w:rPr>
          <w:rFonts w:ascii="Calibri" w:hAnsi="Calibri"/>
          <w:b/>
          <w:sz w:val="20"/>
          <w:szCs w:val="20"/>
        </w:rPr>
        <w:t>Evaluation Plan</w:t>
      </w:r>
    </w:p>
    <w:p w14:paraId="3A6CF597" w14:textId="77777777" w:rsidR="003E3ABA" w:rsidRPr="0003763F" w:rsidRDefault="003E3ABA" w:rsidP="003B2A79">
      <w:pPr>
        <w:rPr>
          <w:i/>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650"/>
        <w:gridCol w:w="2782"/>
        <w:gridCol w:w="2509"/>
        <w:gridCol w:w="2128"/>
        <w:gridCol w:w="1722"/>
        <w:gridCol w:w="1983"/>
      </w:tblGrid>
      <w:tr w:rsidR="0069012A" w:rsidRPr="0003763F" w14:paraId="47F44958" w14:textId="77777777" w:rsidTr="0069012A">
        <w:trPr>
          <w:trHeight w:val="980"/>
        </w:trPr>
        <w:tc>
          <w:tcPr>
            <w:tcW w:w="1621" w:type="dxa"/>
            <w:shd w:val="clear" w:color="auto" w:fill="D9D9D9"/>
          </w:tcPr>
          <w:p w14:paraId="01167EEC" w14:textId="77777777" w:rsidR="0069012A" w:rsidRPr="008C0BCC" w:rsidRDefault="0069012A" w:rsidP="003B2A79">
            <w:pPr>
              <w:jc w:val="center"/>
              <w:rPr>
                <w:rFonts w:asciiTheme="majorHAnsi" w:hAnsiTheme="majorHAnsi"/>
                <w:b/>
                <w:sz w:val="20"/>
                <w:szCs w:val="20"/>
              </w:rPr>
            </w:pPr>
            <w:r w:rsidRPr="008C0BCC">
              <w:rPr>
                <w:rFonts w:asciiTheme="majorHAnsi" w:hAnsiTheme="majorHAnsi"/>
                <w:b/>
                <w:sz w:val="20"/>
                <w:szCs w:val="20"/>
              </w:rPr>
              <w:t>Evaluation Title</w:t>
            </w:r>
          </w:p>
        </w:tc>
        <w:tc>
          <w:tcPr>
            <w:tcW w:w="1650" w:type="dxa"/>
            <w:shd w:val="clear" w:color="auto" w:fill="D9D9D9"/>
          </w:tcPr>
          <w:p w14:paraId="570FC7C6" w14:textId="77777777" w:rsidR="0069012A" w:rsidRPr="008C0BCC" w:rsidRDefault="0069012A" w:rsidP="003B2A79">
            <w:pPr>
              <w:jc w:val="center"/>
              <w:rPr>
                <w:rFonts w:asciiTheme="majorHAnsi" w:hAnsiTheme="majorHAnsi"/>
                <w:b/>
                <w:sz w:val="20"/>
                <w:szCs w:val="20"/>
              </w:rPr>
            </w:pPr>
            <w:r w:rsidRPr="008C0BCC">
              <w:rPr>
                <w:rFonts w:asciiTheme="majorHAnsi" w:hAnsiTheme="majorHAnsi"/>
                <w:b/>
                <w:sz w:val="20"/>
                <w:szCs w:val="20"/>
              </w:rPr>
              <w:t>Planned start date</w:t>
            </w:r>
          </w:p>
          <w:p w14:paraId="136FDEEF" w14:textId="77777777" w:rsidR="0069012A" w:rsidRPr="008C0BCC" w:rsidRDefault="0069012A" w:rsidP="003B2A79">
            <w:pPr>
              <w:jc w:val="center"/>
              <w:rPr>
                <w:rFonts w:asciiTheme="majorHAnsi" w:hAnsiTheme="majorHAnsi"/>
                <w:b/>
                <w:sz w:val="20"/>
                <w:szCs w:val="20"/>
              </w:rPr>
            </w:pPr>
            <w:r w:rsidRPr="008C0BCC">
              <w:rPr>
                <w:rFonts w:asciiTheme="majorHAnsi" w:hAnsiTheme="majorHAnsi"/>
                <w:b/>
                <w:sz w:val="20"/>
                <w:szCs w:val="20"/>
              </w:rPr>
              <w:t>Month/year</w:t>
            </w:r>
          </w:p>
        </w:tc>
        <w:tc>
          <w:tcPr>
            <w:tcW w:w="2782" w:type="dxa"/>
            <w:shd w:val="clear" w:color="auto" w:fill="D9D9D9"/>
          </w:tcPr>
          <w:p w14:paraId="45C83A42" w14:textId="77777777" w:rsidR="0069012A" w:rsidRPr="008C0BCC" w:rsidRDefault="0069012A" w:rsidP="003B2A79">
            <w:pPr>
              <w:jc w:val="center"/>
              <w:rPr>
                <w:rFonts w:asciiTheme="majorHAnsi" w:hAnsiTheme="majorHAnsi"/>
                <w:b/>
                <w:sz w:val="20"/>
                <w:szCs w:val="20"/>
              </w:rPr>
            </w:pPr>
            <w:r w:rsidRPr="008C0BCC">
              <w:rPr>
                <w:rFonts w:asciiTheme="majorHAnsi" w:hAnsiTheme="majorHAnsi"/>
                <w:b/>
                <w:sz w:val="20"/>
                <w:szCs w:val="20"/>
              </w:rPr>
              <w:t>Planned end date</w:t>
            </w:r>
          </w:p>
          <w:p w14:paraId="2D6FE219" w14:textId="77777777" w:rsidR="0069012A" w:rsidRPr="008C0BCC" w:rsidRDefault="0069012A" w:rsidP="003B2A79">
            <w:pPr>
              <w:jc w:val="center"/>
              <w:rPr>
                <w:rFonts w:asciiTheme="majorHAnsi" w:hAnsiTheme="majorHAnsi"/>
                <w:b/>
                <w:sz w:val="20"/>
                <w:szCs w:val="20"/>
              </w:rPr>
            </w:pPr>
            <w:r w:rsidRPr="008C0BCC">
              <w:rPr>
                <w:rFonts w:asciiTheme="majorHAnsi" w:hAnsiTheme="majorHAnsi"/>
                <w:b/>
                <w:sz w:val="20"/>
                <w:szCs w:val="20"/>
              </w:rPr>
              <w:t>Month/year</w:t>
            </w:r>
          </w:p>
        </w:tc>
        <w:tc>
          <w:tcPr>
            <w:tcW w:w="2509" w:type="dxa"/>
            <w:shd w:val="clear" w:color="auto" w:fill="D9D9D9"/>
          </w:tcPr>
          <w:p w14:paraId="3841B70B" w14:textId="77777777" w:rsidR="0069012A" w:rsidRPr="008C0BCC" w:rsidRDefault="0069012A" w:rsidP="003B2A79">
            <w:pPr>
              <w:jc w:val="center"/>
              <w:rPr>
                <w:rFonts w:asciiTheme="majorHAnsi" w:hAnsiTheme="majorHAnsi"/>
                <w:b/>
                <w:sz w:val="20"/>
                <w:szCs w:val="20"/>
              </w:rPr>
            </w:pPr>
            <w:r w:rsidRPr="008C0BCC">
              <w:rPr>
                <w:rFonts w:asciiTheme="majorHAnsi" w:hAnsiTheme="majorHAnsi"/>
                <w:b/>
                <w:sz w:val="20"/>
                <w:szCs w:val="20"/>
              </w:rPr>
              <w:t>Included in the Country Office Evaluation Plan</w:t>
            </w:r>
          </w:p>
        </w:tc>
        <w:tc>
          <w:tcPr>
            <w:tcW w:w="2128" w:type="dxa"/>
            <w:shd w:val="clear" w:color="auto" w:fill="D9D9D9"/>
          </w:tcPr>
          <w:p w14:paraId="4C17F24B" w14:textId="77777777" w:rsidR="0069012A" w:rsidRPr="008C0BCC" w:rsidRDefault="0069012A" w:rsidP="003B2A79">
            <w:pPr>
              <w:jc w:val="center"/>
              <w:rPr>
                <w:rFonts w:asciiTheme="majorHAnsi" w:hAnsiTheme="majorHAnsi"/>
                <w:b/>
                <w:sz w:val="20"/>
                <w:szCs w:val="20"/>
              </w:rPr>
            </w:pPr>
            <w:r w:rsidRPr="008C0BCC">
              <w:rPr>
                <w:rFonts w:asciiTheme="majorHAnsi" w:hAnsiTheme="majorHAnsi"/>
                <w:b/>
                <w:sz w:val="20"/>
                <w:szCs w:val="20"/>
              </w:rPr>
              <w:t>Budget for consultants</w:t>
            </w:r>
            <w:r w:rsidRPr="008C0BCC">
              <w:rPr>
                <w:rStyle w:val="FootnoteReference"/>
                <w:rFonts w:asciiTheme="majorHAnsi" w:hAnsiTheme="majorHAnsi"/>
                <w:b/>
                <w:sz w:val="20"/>
                <w:szCs w:val="20"/>
              </w:rPr>
              <w:footnoteReference w:id="50"/>
            </w:r>
          </w:p>
          <w:p w14:paraId="4DB70428" w14:textId="77777777" w:rsidR="0069012A" w:rsidRPr="008C0BCC" w:rsidRDefault="0069012A" w:rsidP="003B2A79">
            <w:pPr>
              <w:jc w:val="center"/>
              <w:rPr>
                <w:rFonts w:asciiTheme="majorHAnsi" w:hAnsiTheme="majorHAnsi"/>
                <w:b/>
                <w:sz w:val="20"/>
                <w:szCs w:val="20"/>
              </w:rPr>
            </w:pPr>
          </w:p>
        </w:tc>
        <w:tc>
          <w:tcPr>
            <w:tcW w:w="1722" w:type="dxa"/>
            <w:shd w:val="clear" w:color="auto" w:fill="D9D9D9"/>
          </w:tcPr>
          <w:p w14:paraId="0127555E" w14:textId="1AFE5CF6" w:rsidR="0069012A" w:rsidRPr="008C0BCC" w:rsidRDefault="0069012A" w:rsidP="003B2A79">
            <w:pPr>
              <w:jc w:val="center"/>
              <w:rPr>
                <w:rFonts w:asciiTheme="majorHAnsi" w:hAnsiTheme="majorHAnsi"/>
                <w:b/>
                <w:sz w:val="20"/>
                <w:szCs w:val="20"/>
              </w:rPr>
            </w:pPr>
            <w:r w:rsidRPr="008C0BCC">
              <w:rPr>
                <w:rFonts w:asciiTheme="majorHAnsi" w:hAnsiTheme="majorHAnsi"/>
                <w:b/>
                <w:sz w:val="20"/>
                <w:szCs w:val="20"/>
              </w:rPr>
              <w:t>Other budget (i.e. travel, site visits etc</w:t>
            </w:r>
            <w:r w:rsidR="008C0BCC">
              <w:rPr>
                <w:rFonts w:asciiTheme="majorHAnsi" w:hAnsiTheme="majorHAnsi"/>
                <w:b/>
                <w:sz w:val="20"/>
                <w:szCs w:val="20"/>
              </w:rPr>
              <w:t>.</w:t>
            </w:r>
            <w:r w:rsidRPr="008C0BCC">
              <w:rPr>
                <w:rFonts w:asciiTheme="majorHAnsi" w:hAnsiTheme="majorHAnsi"/>
                <w:b/>
                <w:sz w:val="20"/>
                <w:szCs w:val="20"/>
              </w:rPr>
              <w:t>)</w:t>
            </w:r>
          </w:p>
        </w:tc>
        <w:tc>
          <w:tcPr>
            <w:tcW w:w="1983" w:type="dxa"/>
            <w:shd w:val="clear" w:color="auto" w:fill="D9D9D9"/>
          </w:tcPr>
          <w:p w14:paraId="5D029AAA" w14:textId="77777777" w:rsidR="0069012A" w:rsidRPr="008C0BCC" w:rsidRDefault="0069012A" w:rsidP="003B2A79">
            <w:pPr>
              <w:jc w:val="center"/>
              <w:rPr>
                <w:rFonts w:asciiTheme="majorHAnsi" w:hAnsiTheme="majorHAnsi"/>
                <w:b/>
                <w:sz w:val="20"/>
                <w:szCs w:val="20"/>
              </w:rPr>
            </w:pPr>
            <w:r w:rsidRPr="008C0BCC">
              <w:rPr>
                <w:rFonts w:asciiTheme="majorHAnsi" w:hAnsiTheme="majorHAnsi"/>
                <w:b/>
                <w:sz w:val="20"/>
                <w:szCs w:val="20"/>
              </w:rPr>
              <w:t xml:space="preserve">Budget for translation </w:t>
            </w:r>
          </w:p>
        </w:tc>
      </w:tr>
      <w:tr w:rsidR="0069012A" w:rsidRPr="0003763F" w14:paraId="31BEA0BC" w14:textId="77777777" w:rsidTr="0069012A">
        <w:trPr>
          <w:trHeight w:val="424"/>
        </w:trPr>
        <w:tc>
          <w:tcPr>
            <w:tcW w:w="1621" w:type="dxa"/>
            <w:shd w:val="clear" w:color="auto" w:fill="auto"/>
          </w:tcPr>
          <w:p w14:paraId="01AE9541" w14:textId="77777777" w:rsidR="0069012A" w:rsidRPr="0003763F" w:rsidRDefault="0069012A" w:rsidP="003B2A79">
            <w:pPr>
              <w:rPr>
                <w:b/>
                <w:sz w:val="18"/>
                <w:szCs w:val="18"/>
              </w:rPr>
            </w:pPr>
            <w:r w:rsidRPr="0003763F">
              <w:rPr>
                <w:b/>
                <w:sz w:val="18"/>
                <w:szCs w:val="18"/>
              </w:rPr>
              <w:t>Terminal Evaluation</w:t>
            </w:r>
          </w:p>
        </w:tc>
        <w:tc>
          <w:tcPr>
            <w:tcW w:w="1650" w:type="dxa"/>
            <w:shd w:val="clear" w:color="auto" w:fill="auto"/>
          </w:tcPr>
          <w:p w14:paraId="2DEC5322" w14:textId="11799328" w:rsidR="00445D64" w:rsidRDefault="00445D64" w:rsidP="003B2A79">
            <w:pPr>
              <w:jc w:val="left"/>
              <w:rPr>
                <w:i/>
                <w:sz w:val="18"/>
                <w:szCs w:val="18"/>
              </w:rPr>
            </w:pPr>
            <w:r>
              <w:rPr>
                <w:i/>
                <w:sz w:val="18"/>
                <w:szCs w:val="18"/>
              </w:rPr>
              <w:t>March 30, 2024</w:t>
            </w:r>
          </w:p>
          <w:p w14:paraId="2A6A1301" w14:textId="77777777" w:rsidR="0069012A" w:rsidRPr="0069012A" w:rsidRDefault="0069012A" w:rsidP="003B2A79">
            <w:pPr>
              <w:jc w:val="left"/>
              <w:rPr>
                <w:i/>
                <w:sz w:val="18"/>
                <w:szCs w:val="18"/>
              </w:rPr>
            </w:pPr>
            <w:r w:rsidRPr="0069012A">
              <w:rPr>
                <w:i/>
                <w:sz w:val="18"/>
                <w:szCs w:val="18"/>
              </w:rPr>
              <w:t>3 months before operation closure</w:t>
            </w:r>
          </w:p>
        </w:tc>
        <w:tc>
          <w:tcPr>
            <w:tcW w:w="2782" w:type="dxa"/>
          </w:tcPr>
          <w:p w14:paraId="0E7068F4" w14:textId="000F2E84" w:rsidR="00445D64" w:rsidRDefault="00445D64" w:rsidP="007D7590">
            <w:pPr>
              <w:jc w:val="left"/>
              <w:rPr>
                <w:i/>
                <w:sz w:val="18"/>
                <w:szCs w:val="18"/>
              </w:rPr>
            </w:pPr>
            <w:r>
              <w:rPr>
                <w:i/>
                <w:sz w:val="18"/>
                <w:szCs w:val="18"/>
              </w:rPr>
              <w:t>September 30, 2024</w:t>
            </w:r>
          </w:p>
          <w:p w14:paraId="222700BA" w14:textId="77777777" w:rsidR="0069012A" w:rsidRPr="0069012A" w:rsidRDefault="0069012A" w:rsidP="007D7590">
            <w:pPr>
              <w:jc w:val="left"/>
              <w:rPr>
                <w:i/>
                <w:sz w:val="18"/>
                <w:szCs w:val="18"/>
              </w:rPr>
            </w:pPr>
            <w:r w:rsidRPr="0069012A">
              <w:rPr>
                <w:i/>
                <w:sz w:val="18"/>
                <w:szCs w:val="18"/>
              </w:rPr>
              <w:t>To be submitted to GEF within three months of operational closure</w:t>
            </w:r>
          </w:p>
        </w:tc>
        <w:tc>
          <w:tcPr>
            <w:tcW w:w="2509" w:type="dxa"/>
          </w:tcPr>
          <w:p w14:paraId="4D53A507" w14:textId="61782E48" w:rsidR="0069012A" w:rsidRDefault="0069012A" w:rsidP="003B2A79">
            <w:pPr>
              <w:jc w:val="center"/>
              <w:rPr>
                <w:sz w:val="18"/>
                <w:szCs w:val="18"/>
              </w:rPr>
            </w:pPr>
            <w:r>
              <w:rPr>
                <w:sz w:val="18"/>
                <w:szCs w:val="18"/>
              </w:rPr>
              <w:t>Yes</w:t>
            </w:r>
          </w:p>
          <w:p w14:paraId="1CEEE5FF" w14:textId="77777777" w:rsidR="0069012A" w:rsidRPr="0069012A" w:rsidRDefault="0069012A" w:rsidP="003B2A79">
            <w:pPr>
              <w:jc w:val="center"/>
              <w:rPr>
                <w:i/>
                <w:sz w:val="18"/>
                <w:szCs w:val="18"/>
              </w:rPr>
            </w:pPr>
            <w:r w:rsidRPr="0069012A">
              <w:rPr>
                <w:i/>
                <w:sz w:val="18"/>
                <w:szCs w:val="18"/>
              </w:rPr>
              <w:t>Mandatory</w:t>
            </w:r>
          </w:p>
        </w:tc>
        <w:tc>
          <w:tcPr>
            <w:tcW w:w="2128" w:type="dxa"/>
            <w:shd w:val="clear" w:color="auto" w:fill="auto"/>
          </w:tcPr>
          <w:p w14:paraId="13FA230F" w14:textId="5A946011" w:rsidR="0069012A" w:rsidRPr="0069012A" w:rsidRDefault="0069012A" w:rsidP="00445D64">
            <w:pPr>
              <w:jc w:val="center"/>
              <w:rPr>
                <w:i/>
                <w:sz w:val="18"/>
                <w:szCs w:val="18"/>
              </w:rPr>
            </w:pPr>
            <w:r w:rsidRPr="0069012A">
              <w:rPr>
                <w:i/>
                <w:sz w:val="18"/>
                <w:szCs w:val="18"/>
              </w:rPr>
              <w:t xml:space="preserve">USD </w:t>
            </w:r>
            <w:r w:rsidR="00445D64">
              <w:rPr>
                <w:i/>
                <w:sz w:val="18"/>
                <w:szCs w:val="18"/>
              </w:rPr>
              <w:t>30,000</w:t>
            </w:r>
          </w:p>
        </w:tc>
        <w:tc>
          <w:tcPr>
            <w:tcW w:w="1722" w:type="dxa"/>
          </w:tcPr>
          <w:p w14:paraId="7E1FAB7F" w14:textId="09364079" w:rsidR="0069012A" w:rsidRPr="0069012A" w:rsidRDefault="00445D64" w:rsidP="003B2A79">
            <w:pPr>
              <w:jc w:val="center"/>
              <w:rPr>
                <w:i/>
                <w:sz w:val="18"/>
                <w:szCs w:val="18"/>
              </w:rPr>
            </w:pPr>
            <w:r>
              <w:rPr>
                <w:i/>
                <w:sz w:val="18"/>
                <w:szCs w:val="18"/>
              </w:rPr>
              <w:t>8,000</w:t>
            </w:r>
          </w:p>
        </w:tc>
        <w:tc>
          <w:tcPr>
            <w:tcW w:w="1983" w:type="dxa"/>
          </w:tcPr>
          <w:p w14:paraId="2003180E" w14:textId="015422B3" w:rsidR="0069012A" w:rsidRPr="0069012A" w:rsidRDefault="00445D64" w:rsidP="003B2A79">
            <w:pPr>
              <w:jc w:val="center"/>
              <w:rPr>
                <w:i/>
                <w:sz w:val="18"/>
                <w:szCs w:val="18"/>
              </w:rPr>
            </w:pPr>
            <w:r>
              <w:rPr>
                <w:i/>
                <w:sz w:val="18"/>
                <w:szCs w:val="18"/>
              </w:rPr>
              <w:t>2,000</w:t>
            </w:r>
          </w:p>
        </w:tc>
      </w:tr>
      <w:tr w:rsidR="003E3ABA" w:rsidRPr="0003763F" w14:paraId="013C1EBB" w14:textId="77777777" w:rsidTr="00787CD1">
        <w:trPr>
          <w:trHeight w:val="424"/>
        </w:trPr>
        <w:tc>
          <w:tcPr>
            <w:tcW w:w="8562" w:type="dxa"/>
            <w:gridSpan w:val="4"/>
            <w:shd w:val="clear" w:color="auto" w:fill="auto"/>
          </w:tcPr>
          <w:p w14:paraId="7929295B" w14:textId="77777777" w:rsidR="003E3ABA" w:rsidRPr="0003763F" w:rsidRDefault="003E3ABA" w:rsidP="003B2A79">
            <w:pPr>
              <w:jc w:val="right"/>
              <w:rPr>
                <w:b/>
                <w:sz w:val="18"/>
                <w:szCs w:val="18"/>
              </w:rPr>
            </w:pPr>
            <w:r w:rsidRPr="0003763F">
              <w:rPr>
                <w:b/>
                <w:sz w:val="18"/>
                <w:szCs w:val="18"/>
              </w:rPr>
              <w:t>Total evaluation budget</w:t>
            </w:r>
          </w:p>
        </w:tc>
        <w:tc>
          <w:tcPr>
            <w:tcW w:w="5833" w:type="dxa"/>
            <w:gridSpan w:val="3"/>
            <w:shd w:val="clear" w:color="auto" w:fill="auto"/>
          </w:tcPr>
          <w:p w14:paraId="3B2478D4" w14:textId="66381B3B" w:rsidR="003E3ABA" w:rsidRPr="0003763F" w:rsidRDefault="004A1475" w:rsidP="004A1475">
            <w:pPr>
              <w:rPr>
                <w:sz w:val="18"/>
                <w:szCs w:val="18"/>
              </w:rPr>
            </w:pPr>
            <w:r>
              <w:rPr>
                <w:sz w:val="18"/>
                <w:szCs w:val="18"/>
              </w:rPr>
              <w:t>USD</w:t>
            </w:r>
            <w:r w:rsidR="00445D64">
              <w:rPr>
                <w:sz w:val="18"/>
                <w:szCs w:val="18"/>
              </w:rPr>
              <w:t xml:space="preserve"> 40,000</w:t>
            </w:r>
          </w:p>
        </w:tc>
      </w:tr>
      <w:bookmarkEnd w:id="13"/>
      <w:bookmarkEnd w:id="14"/>
    </w:tbl>
    <w:p w14:paraId="7A73AADF" w14:textId="77777777" w:rsidR="003E3ABA" w:rsidRDefault="003E3ABA" w:rsidP="003B2A79">
      <w:pPr>
        <w:rPr>
          <w:b/>
          <w:szCs w:val="20"/>
        </w:rPr>
      </w:pPr>
    </w:p>
    <w:p w14:paraId="71A87740" w14:textId="77777777" w:rsidR="008C0BCC" w:rsidRDefault="00415B14" w:rsidP="00415B14">
      <w:pPr>
        <w:pStyle w:val="Heading3"/>
        <w:rPr>
          <w:b w:val="0"/>
        </w:rPr>
      </w:pPr>
      <w:r>
        <w:rPr>
          <w:b w:val="0"/>
        </w:rPr>
        <w:br w:type="page"/>
      </w:r>
    </w:p>
    <w:p w14:paraId="328D0182" w14:textId="43354208" w:rsidR="008C0BCC" w:rsidRPr="008C0BCC" w:rsidRDefault="008C0BCC" w:rsidP="008C0BCC">
      <w:pPr>
        <w:pStyle w:val="Heading3"/>
        <w:jc w:val="right"/>
        <w:rPr>
          <w:rFonts w:asciiTheme="majorHAnsi" w:hAnsiTheme="majorHAnsi"/>
          <w:sz w:val="20"/>
        </w:rPr>
      </w:pPr>
      <w:r w:rsidRPr="008C0BCC">
        <w:rPr>
          <w:rFonts w:asciiTheme="majorHAnsi" w:hAnsiTheme="majorHAnsi"/>
          <w:sz w:val="20"/>
        </w:rPr>
        <w:t xml:space="preserve">Annex </w:t>
      </w:r>
      <w:r w:rsidR="00BD45ED">
        <w:rPr>
          <w:rFonts w:asciiTheme="majorHAnsi" w:hAnsiTheme="majorHAnsi"/>
          <w:sz w:val="20"/>
        </w:rPr>
        <w:t xml:space="preserve"> 14</w:t>
      </w:r>
    </w:p>
    <w:p w14:paraId="426F1D08" w14:textId="5E407DA2" w:rsidR="00415B14" w:rsidRDefault="00415B14" w:rsidP="00415B14">
      <w:pPr>
        <w:pStyle w:val="Heading3"/>
        <w:rPr>
          <w:rFonts w:ascii="Calibri" w:hAnsi="Calibri"/>
          <w:sz w:val="20"/>
        </w:rPr>
      </w:pPr>
      <w:r w:rsidRPr="00EC0BD0">
        <w:rPr>
          <w:rFonts w:ascii="Calibri" w:hAnsi="Calibri"/>
          <w:sz w:val="20"/>
        </w:rPr>
        <w:t xml:space="preserve">Summary of Consultants and Contractual Services Financed by the Project </w:t>
      </w:r>
    </w:p>
    <w:tbl>
      <w:tblPr>
        <w:tblW w:w="13661" w:type="dxa"/>
        <w:tblLayout w:type="fixed"/>
        <w:tblCellMar>
          <w:top w:w="15" w:type="dxa"/>
          <w:left w:w="15" w:type="dxa"/>
          <w:bottom w:w="15" w:type="dxa"/>
          <w:right w:w="15" w:type="dxa"/>
        </w:tblCellMar>
        <w:tblLook w:val="04A0" w:firstRow="1" w:lastRow="0" w:firstColumn="1" w:lastColumn="0" w:noHBand="0" w:noVBand="1"/>
      </w:tblPr>
      <w:tblGrid>
        <w:gridCol w:w="2155"/>
        <w:gridCol w:w="3865"/>
        <w:gridCol w:w="2441"/>
        <w:gridCol w:w="2250"/>
        <w:gridCol w:w="1159"/>
        <w:gridCol w:w="1791"/>
      </w:tblGrid>
      <w:tr w:rsidR="001160AF" w:rsidRPr="00A01750" w14:paraId="086F6614" w14:textId="77777777" w:rsidTr="00D32FA2">
        <w:trPr>
          <w:trHeight w:val="195"/>
          <w:tblHeader/>
        </w:trPr>
        <w:tc>
          <w:tcPr>
            <w:tcW w:w="2155" w:type="dxa"/>
            <w:tcBorders>
              <w:top w:val="single" w:sz="8" w:space="0" w:color="000000"/>
              <w:left w:val="single" w:sz="8" w:space="0" w:color="000000"/>
              <w:bottom w:val="single" w:sz="8" w:space="0" w:color="000000"/>
              <w:right w:val="single" w:sz="8" w:space="0" w:color="000000"/>
            </w:tcBorders>
            <w:shd w:val="clear" w:color="auto" w:fill="C2D69B"/>
            <w:tcMar>
              <w:top w:w="100" w:type="dxa"/>
              <w:left w:w="100" w:type="dxa"/>
              <w:bottom w:w="100" w:type="dxa"/>
              <w:right w:w="100" w:type="dxa"/>
            </w:tcMar>
            <w:hideMark/>
          </w:tcPr>
          <w:p w14:paraId="16C97994" w14:textId="77777777" w:rsidR="001160AF" w:rsidRPr="001160AF" w:rsidRDefault="001160AF" w:rsidP="00D32FA2">
            <w:pPr>
              <w:spacing w:after="0"/>
              <w:jc w:val="left"/>
              <w:rPr>
                <w:rFonts w:asciiTheme="majorHAnsi" w:eastAsia="Times New Roman" w:hAnsiTheme="majorHAnsi"/>
                <w:b/>
                <w:color w:val="000000" w:themeColor="text1"/>
                <w:sz w:val="18"/>
                <w:szCs w:val="18"/>
              </w:rPr>
            </w:pPr>
            <w:r w:rsidRPr="001160AF">
              <w:rPr>
                <w:rFonts w:asciiTheme="majorHAnsi" w:eastAsia="Times New Roman" w:hAnsiTheme="majorHAnsi" w:cs="Arial"/>
                <w:b/>
                <w:bCs/>
                <w:color w:val="000000" w:themeColor="text1"/>
                <w:sz w:val="18"/>
                <w:szCs w:val="18"/>
              </w:rPr>
              <w:t>Consultant Assignment</w:t>
            </w:r>
          </w:p>
        </w:tc>
        <w:tc>
          <w:tcPr>
            <w:tcW w:w="3865" w:type="dxa"/>
            <w:tcBorders>
              <w:top w:val="single" w:sz="8" w:space="0" w:color="000000"/>
              <w:left w:val="single" w:sz="8" w:space="0" w:color="000000"/>
              <w:bottom w:val="single" w:sz="8" w:space="0" w:color="000000"/>
              <w:right w:val="single" w:sz="8" w:space="0" w:color="000000"/>
            </w:tcBorders>
            <w:shd w:val="clear" w:color="auto" w:fill="C2D69B"/>
            <w:tcMar>
              <w:top w:w="100" w:type="dxa"/>
              <w:left w:w="100" w:type="dxa"/>
              <w:bottom w:w="100" w:type="dxa"/>
              <w:right w:w="100" w:type="dxa"/>
            </w:tcMar>
            <w:hideMark/>
          </w:tcPr>
          <w:p w14:paraId="4A49D019"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b/>
                <w:bCs/>
                <w:color w:val="000000" w:themeColor="text1"/>
                <w:sz w:val="18"/>
                <w:szCs w:val="18"/>
              </w:rPr>
              <w:t>Main Tasks</w:t>
            </w:r>
          </w:p>
        </w:tc>
        <w:tc>
          <w:tcPr>
            <w:tcW w:w="2441" w:type="dxa"/>
            <w:tcBorders>
              <w:top w:val="single" w:sz="8" w:space="0" w:color="000000"/>
              <w:left w:val="single" w:sz="8" w:space="0" w:color="000000"/>
              <w:bottom w:val="single" w:sz="8" w:space="0" w:color="000000"/>
              <w:right w:val="single" w:sz="8" w:space="0" w:color="000000"/>
            </w:tcBorders>
            <w:shd w:val="clear" w:color="auto" w:fill="C2D69B"/>
            <w:tcMar>
              <w:top w:w="100" w:type="dxa"/>
              <w:left w:w="100" w:type="dxa"/>
              <w:bottom w:w="100" w:type="dxa"/>
              <w:right w:w="100" w:type="dxa"/>
            </w:tcMar>
            <w:hideMark/>
          </w:tcPr>
          <w:p w14:paraId="0CC124CE"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b/>
                <w:bCs/>
                <w:color w:val="000000" w:themeColor="text1"/>
                <w:sz w:val="18"/>
                <w:szCs w:val="18"/>
              </w:rPr>
              <w:t>Required Qualifications</w:t>
            </w:r>
          </w:p>
        </w:tc>
        <w:tc>
          <w:tcPr>
            <w:tcW w:w="2250" w:type="dxa"/>
            <w:tcBorders>
              <w:top w:val="single" w:sz="8" w:space="0" w:color="000000"/>
              <w:left w:val="single" w:sz="8" w:space="0" w:color="000000"/>
              <w:bottom w:val="single" w:sz="8" w:space="0" w:color="000000"/>
              <w:right w:val="single" w:sz="8" w:space="0" w:color="000000"/>
            </w:tcBorders>
            <w:shd w:val="clear" w:color="auto" w:fill="C2D69B"/>
            <w:tcMar>
              <w:top w:w="100" w:type="dxa"/>
              <w:left w:w="100" w:type="dxa"/>
              <w:bottom w:w="100" w:type="dxa"/>
              <w:right w:w="100" w:type="dxa"/>
            </w:tcMar>
            <w:hideMark/>
          </w:tcPr>
          <w:p w14:paraId="68AD9E84"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b/>
                <w:bCs/>
                <w:color w:val="000000" w:themeColor="text1"/>
                <w:sz w:val="18"/>
                <w:szCs w:val="18"/>
              </w:rPr>
              <w:t>Deliverables</w:t>
            </w:r>
          </w:p>
        </w:tc>
        <w:tc>
          <w:tcPr>
            <w:tcW w:w="1159" w:type="dxa"/>
            <w:tcBorders>
              <w:top w:val="single" w:sz="8" w:space="0" w:color="000000"/>
              <w:left w:val="single" w:sz="8" w:space="0" w:color="000000"/>
              <w:bottom w:val="single" w:sz="8" w:space="0" w:color="000000"/>
              <w:right w:val="single" w:sz="8" w:space="0" w:color="000000"/>
            </w:tcBorders>
            <w:shd w:val="clear" w:color="auto" w:fill="C2D69B"/>
            <w:tcMar>
              <w:top w:w="100" w:type="dxa"/>
              <w:left w:w="100" w:type="dxa"/>
              <w:bottom w:w="100" w:type="dxa"/>
              <w:right w:w="100" w:type="dxa"/>
            </w:tcMar>
            <w:hideMark/>
          </w:tcPr>
          <w:p w14:paraId="67A72A2F"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b/>
                <w:bCs/>
                <w:color w:val="000000" w:themeColor="text1"/>
                <w:sz w:val="18"/>
                <w:szCs w:val="18"/>
              </w:rPr>
              <w:t>Man Months</w:t>
            </w:r>
          </w:p>
        </w:tc>
        <w:tc>
          <w:tcPr>
            <w:tcW w:w="1791" w:type="dxa"/>
            <w:tcBorders>
              <w:top w:val="single" w:sz="8" w:space="0" w:color="000000"/>
              <w:left w:val="single" w:sz="8" w:space="0" w:color="000000"/>
              <w:bottom w:val="single" w:sz="8" w:space="0" w:color="000000"/>
              <w:right w:val="single" w:sz="8" w:space="0" w:color="000000"/>
            </w:tcBorders>
            <w:shd w:val="clear" w:color="auto" w:fill="C2D69B"/>
            <w:tcMar>
              <w:top w:w="100" w:type="dxa"/>
              <w:left w:w="100" w:type="dxa"/>
              <w:bottom w:w="100" w:type="dxa"/>
              <w:right w:w="100" w:type="dxa"/>
            </w:tcMar>
            <w:hideMark/>
          </w:tcPr>
          <w:p w14:paraId="130A2D0F" w14:textId="77777777" w:rsidR="001160AF" w:rsidRPr="001160AF" w:rsidRDefault="001160AF" w:rsidP="00D32FA2">
            <w:pPr>
              <w:spacing w:after="0"/>
              <w:ind w:firstLine="40"/>
              <w:jc w:val="left"/>
              <w:rPr>
                <w:rFonts w:asciiTheme="majorHAnsi" w:eastAsia="Times New Roman" w:hAnsiTheme="majorHAnsi"/>
                <w:color w:val="000000" w:themeColor="text1"/>
                <w:sz w:val="18"/>
                <w:szCs w:val="18"/>
              </w:rPr>
            </w:pPr>
            <w:r w:rsidRPr="001160AF">
              <w:rPr>
                <w:rFonts w:asciiTheme="majorHAnsi" w:eastAsia="Times New Roman" w:hAnsiTheme="majorHAnsi" w:cs="Arial"/>
                <w:b/>
                <w:bCs/>
                <w:color w:val="000000" w:themeColor="text1"/>
                <w:sz w:val="18"/>
                <w:szCs w:val="18"/>
              </w:rPr>
              <w:t>Total Costs (USD)</w:t>
            </w:r>
          </w:p>
        </w:tc>
      </w:tr>
      <w:tr w:rsidR="001160AF" w:rsidRPr="00A01750" w14:paraId="3D167ECC" w14:textId="77777777" w:rsidTr="00D32FA2">
        <w:trPr>
          <w:trHeight w:val="20"/>
        </w:trPr>
        <w:tc>
          <w:tcPr>
            <w:tcW w:w="13661" w:type="dxa"/>
            <w:gridSpan w:val="6"/>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hideMark/>
          </w:tcPr>
          <w:p w14:paraId="34ABC7A3" w14:textId="77777777" w:rsidR="001160AF" w:rsidRPr="001160AF" w:rsidRDefault="001160AF" w:rsidP="00D32FA2">
            <w:pPr>
              <w:spacing w:after="0"/>
              <w:jc w:val="left"/>
              <w:rPr>
                <w:rFonts w:asciiTheme="majorHAnsi" w:eastAsia="Times New Roman" w:hAnsiTheme="majorHAnsi"/>
                <w:b/>
                <w:color w:val="000000" w:themeColor="text1"/>
                <w:sz w:val="18"/>
                <w:szCs w:val="18"/>
              </w:rPr>
            </w:pPr>
            <w:r w:rsidRPr="001160AF">
              <w:rPr>
                <w:rFonts w:asciiTheme="majorHAnsi" w:eastAsia="Times New Roman" w:hAnsiTheme="majorHAnsi" w:cs="Arial"/>
                <w:b/>
                <w:bCs/>
                <w:color w:val="000000" w:themeColor="text1"/>
                <w:sz w:val="18"/>
                <w:szCs w:val="18"/>
              </w:rPr>
              <w:t>International Consultants (Individuals and/or Firms)</w:t>
            </w:r>
          </w:p>
        </w:tc>
      </w:tr>
      <w:tr w:rsidR="001160AF" w:rsidRPr="00A01750" w14:paraId="4BA1B24F" w14:textId="77777777" w:rsidTr="00D32FA2">
        <w:trPr>
          <w:trHeight w:val="1400"/>
        </w:trPr>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0B35FF" w14:textId="1BA78B45" w:rsidR="001160AF" w:rsidRPr="001160AF" w:rsidRDefault="001160AF" w:rsidP="00D32FA2">
            <w:pPr>
              <w:spacing w:after="0"/>
              <w:jc w:val="left"/>
              <w:rPr>
                <w:rFonts w:asciiTheme="majorHAnsi" w:eastAsia="Times New Roman" w:hAnsiTheme="majorHAnsi"/>
                <w:b/>
                <w:color w:val="000000" w:themeColor="text1"/>
                <w:sz w:val="18"/>
                <w:szCs w:val="18"/>
              </w:rPr>
            </w:pPr>
            <w:r w:rsidRPr="001160AF">
              <w:rPr>
                <w:rFonts w:asciiTheme="majorHAnsi" w:eastAsia="Times New Roman" w:hAnsiTheme="majorHAnsi" w:cs="Arial"/>
                <w:b/>
                <w:color w:val="000000" w:themeColor="text1"/>
                <w:sz w:val="18"/>
                <w:szCs w:val="18"/>
              </w:rPr>
              <w:t>1</w:t>
            </w:r>
            <w:r w:rsidR="00194AA1">
              <w:rPr>
                <w:rFonts w:asciiTheme="majorHAnsi" w:eastAsia="Times New Roman" w:hAnsiTheme="majorHAnsi" w:cs="Arial"/>
                <w:b/>
                <w:color w:val="000000" w:themeColor="text1"/>
                <w:sz w:val="18"/>
                <w:szCs w:val="18"/>
              </w:rPr>
              <w:t xml:space="preserve">. </w:t>
            </w:r>
            <w:r w:rsidRPr="001160AF">
              <w:rPr>
                <w:rFonts w:asciiTheme="majorHAnsi" w:eastAsia="Times New Roman" w:hAnsiTheme="majorHAnsi" w:cs="Arial"/>
                <w:b/>
                <w:color w:val="000000" w:themeColor="text1"/>
                <w:sz w:val="18"/>
                <w:szCs w:val="18"/>
              </w:rPr>
              <w:t>Biodiversity and Biosecurity Mapping (Outputs 2.1 and 3.1)</w:t>
            </w:r>
          </w:p>
        </w:tc>
        <w:tc>
          <w:tcPr>
            <w:tcW w:w="3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2341F8" w14:textId="77777777" w:rsidR="001160AF" w:rsidRPr="001160AF" w:rsidRDefault="001160AF" w:rsidP="00D32FA2">
            <w:pPr>
              <w:spacing w:before="60"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b/>
                <w:color w:val="000000" w:themeColor="text1"/>
                <w:sz w:val="18"/>
                <w:szCs w:val="18"/>
              </w:rPr>
              <w:t>Island-wide mapping of environmental and socio-economic factors by</w:t>
            </w:r>
            <w:r w:rsidRPr="001160AF">
              <w:rPr>
                <w:rFonts w:asciiTheme="majorHAnsi" w:eastAsia="Times New Roman" w:hAnsiTheme="majorHAnsi" w:cs="Arial"/>
                <w:color w:val="000000" w:themeColor="text1"/>
                <w:sz w:val="18"/>
                <w:szCs w:val="18"/>
              </w:rPr>
              <w:t xml:space="preserve"> 1) Defining and zoning the biological landscape; 2) Defining the human resource use or socio-economic land/seascape; 3) Intersecting the biological land/seascape with the human resource use and socio-economic factors; and 4) Identification of the Target Areas for Intervention within the Land/seascape:   </w:t>
            </w:r>
            <w:r w:rsidRPr="001160AF">
              <w:rPr>
                <w:rFonts w:asciiTheme="majorHAnsi" w:eastAsia="Times New Roman" w:hAnsiTheme="majorHAnsi" w:cs="Arial"/>
                <w:b/>
                <w:bCs/>
                <w:iCs/>
                <w:color w:val="000000" w:themeColor="text1"/>
                <w:sz w:val="18"/>
                <w:szCs w:val="18"/>
              </w:rPr>
              <w:t xml:space="preserve">    </w:t>
            </w:r>
          </w:p>
          <w:p w14:paraId="63A681C3" w14:textId="77777777" w:rsidR="001160AF" w:rsidRPr="001160AF" w:rsidRDefault="001160AF" w:rsidP="00D17561">
            <w:pPr>
              <w:numPr>
                <w:ilvl w:val="0"/>
                <w:numId w:val="143"/>
              </w:numPr>
              <w:spacing w:before="60" w:after="0"/>
              <w:ind w:left="360"/>
              <w:jc w:val="left"/>
              <w:textAlignment w:val="baseline"/>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 xml:space="preserve">Using existing maps and resources in country, development of 2 separate thematic maps for the Babeldaob and Southern Lagoon landscapes/seascapes (1:50,000) that depict the spatial and temporal distribution of threatened species, biodiversity hotspots, hydrology, land/resource use, land/benthic cover, bio-corridors and critical wildlife habitats for further analysis and preparation of comprehensive landscape level conservation plans </w:t>
            </w:r>
          </w:p>
          <w:p w14:paraId="05CCF84D" w14:textId="77777777" w:rsidR="001160AF" w:rsidRPr="001160AF" w:rsidRDefault="001160AF" w:rsidP="00D17561">
            <w:pPr>
              <w:numPr>
                <w:ilvl w:val="0"/>
                <w:numId w:val="144"/>
              </w:numPr>
              <w:spacing w:after="0"/>
              <w:ind w:left="360"/>
              <w:jc w:val="left"/>
              <w:textAlignment w:val="baseline"/>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Identification of Biological Indicators for Assessing Conservation Values, including rapid assessment of distribution of key species and potential indicator species for monitoring changes and prepare inventory of species in different vegetation types and habitats; develop baseline inventories of the key indicator species and distribution maps and define standardized tools and techniques and monitoring protocols; develop a training package with modules to train staff and local communities in monitoring these indicators; define fixed sampling points; and development of  within the landscape that can be monitored over the next years to quantify abundance and change in species. Monitoring protocol to be used for monitoring of the landscape condition, with indicators, baseline and monitoring and reporting arrangements.</w:t>
            </w:r>
          </w:p>
          <w:p w14:paraId="235E5766" w14:textId="77777777" w:rsidR="001160AF" w:rsidRPr="001160AF" w:rsidRDefault="001160AF" w:rsidP="00D17561">
            <w:pPr>
              <w:numPr>
                <w:ilvl w:val="0"/>
                <w:numId w:val="144"/>
              </w:numPr>
              <w:spacing w:after="0"/>
              <w:ind w:left="360"/>
              <w:jc w:val="left"/>
              <w:textAlignment w:val="baseline"/>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Mapping of the socio-economic parameters including demography, production, dependencies and livelihoods and development activities through rapid assessment</w:t>
            </w:r>
          </w:p>
          <w:p w14:paraId="754BAB15" w14:textId="77777777" w:rsidR="001160AF" w:rsidRPr="001160AF" w:rsidRDefault="001160AF" w:rsidP="00D17561">
            <w:pPr>
              <w:numPr>
                <w:ilvl w:val="0"/>
                <w:numId w:val="144"/>
              </w:numPr>
              <w:spacing w:after="0"/>
              <w:ind w:left="360"/>
              <w:jc w:val="left"/>
              <w:textAlignment w:val="baseline"/>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Based on above features, map options and opportunities for Sustainable Resource Use and Livelihood and Conservation of Biodiversity.</w:t>
            </w:r>
          </w:p>
        </w:tc>
        <w:tc>
          <w:tcPr>
            <w:tcW w:w="2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F4C52" w14:textId="77777777" w:rsidR="001160AF" w:rsidRPr="001160AF" w:rsidRDefault="001160AF" w:rsidP="00D32FA2">
            <w:pPr>
              <w:spacing w:after="0"/>
              <w:ind w:right="271"/>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Institutions/Firms with extensive experience in GIS, remote sensing, resource mapping, conservation planning, wildlife management, training capability and preferably having in-house expertise in biological, social, wildlife, and forestry.</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4FE431" w14:textId="77777777" w:rsidR="001160AF" w:rsidRPr="001160AF" w:rsidRDefault="001160AF" w:rsidP="00D17561">
            <w:pPr>
              <w:pStyle w:val="ListParagraph"/>
              <w:numPr>
                <w:ilvl w:val="0"/>
                <w:numId w:val="176"/>
              </w:numPr>
              <w:contextualSpacing/>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A map or series of maps showing land/seascape zones or land/seascape areas for Babeldaob Island and Southern Lagoon characterized by degrees of conservation potential, compatible development potential and presence of competing or conflicting interests based on threats and opportunities</w:t>
            </w:r>
          </w:p>
          <w:p w14:paraId="50F21620" w14:textId="4AB32A54" w:rsidR="001160AF" w:rsidRPr="001160AF" w:rsidRDefault="001160AF" w:rsidP="00D17561">
            <w:pPr>
              <w:pStyle w:val="ListParagraph"/>
              <w:numPr>
                <w:ilvl w:val="0"/>
                <w:numId w:val="176"/>
              </w:numPr>
              <w:contextualSpacing/>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Recommendations regarding conservation, sustainable land uses and livelihood activities suitable for different areas of the land/seascape based on threats and opportunities</w:t>
            </w:r>
            <w:r w:rsidR="00194AA1">
              <w:rPr>
                <w:rFonts w:asciiTheme="majorHAnsi" w:eastAsia="Times New Roman" w:hAnsiTheme="majorHAnsi"/>
                <w:color w:val="000000" w:themeColor="text1"/>
                <w:sz w:val="18"/>
                <w:szCs w:val="18"/>
              </w:rPr>
              <w:t xml:space="preserve">. </w:t>
            </w:r>
            <w:r w:rsidRPr="001160AF">
              <w:rPr>
                <w:rFonts w:asciiTheme="majorHAnsi" w:eastAsia="Times New Roman" w:hAnsiTheme="majorHAnsi"/>
                <w:color w:val="000000" w:themeColor="text1"/>
                <w:sz w:val="18"/>
                <w:szCs w:val="18"/>
              </w:rPr>
              <w:t>In additional, there would be an outcome relating to recognition of institutional and coordination needs, capacity building and training required to enable convergence in planning, and implementation of activities at the land/seascape level.</w:t>
            </w:r>
          </w:p>
        </w:tc>
        <w:tc>
          <w:tcPr>
            <w:tcW w:w="1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799CC"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14 MMs (Year 1)</w:t>
            </w:r>
          </w:p>
        </w:tc>
        <w:tc>
          <w:tcPr>
            <w:tcW w:w="1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E40E96"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195,000 (Travel separate)</w:t>
            </w:r>
          </w:p>
          <w:p w14:paraId="2B10647D"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2EEBDAA4" w14:textId="77777777" w:rsidR="001160AF" w:rsidRPr="001160AF" w:rsidRDefault="001160AF" w:rsidP="00D17561">
            <w:pPr>
              <w:numPr>
                <w:ilvl w:val="0"/>
                <w:numId w:val="145"/>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85,000 (Babeldoab) +</w:t>
            </w:r>
          </w:p>
          <w:p w14:paraId="292F8724" w14:textId="77777777" w:rsidR="001160AF" w:rsidRPr="001160AF" w:rsidRDefault="001160AF" w:rsidP="00D17561">
            <w:pPr>
              <w:numPr>
                <w:ilvl w:val="0"/>
                <w:numId w:val="145"/>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80,000 (Southern Lagoon)</w:t>
            </w:r>
          </w:p>
          <w:p w14:paraId="1F604772" w14:textId="77777777" w:rsidR="001160AF" w:rsidRPr="001160AF" w:rsidRDefault="001160AF" w:rsidP="00D17561">
            <w:pPr>
              <w:numPr>
                <w:ilvl w:val="0"/>
                <w:numId w:val="145"/>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+ 30,000 Travel</w:t>
            </w:r>
          </w:p>
        </w:tc>
      </w:tr>
      <w:tr w:rsidR="001160AF" w:rsidRPr="00A01750" w14:paraId="642A8DAE" w14:textId="77777777" w:rsidTr="00D32FA2">
        <w:trPr>
          <w:trHeight w:val="800"/>
        </w:trPr>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26EFF" w14:textId="7F37FC59" w:rsidR="001160AF" w:rsidRPr="001160AF" w:rsidRDefault="001160AF" w:rsidP="00D32FA2">
            <w:pPr>
              <w:spacing w:after="0"/>
              <w:jc w:val="left"/>
              <w:rPr>
                <w:rFonts w:asciiTheme="majorHAnsi" w:eastAsia="Times New Roman" w:hAnsiTheme="majorHAnsi"/>
                <w:b/>
                <w:color w:val="000000" w:themeColor="text1"/>
                <w:sz w:val="18"/>
                <w:szCs w:val="18"/>
              </w:rPr>
            </w:pPr>
            <w:r w:rsidRPr="001160AF">
              <w:rPr>
                <w:rFonts w:asciiTheme="majorHAnsi" w:eastAsia="Times New Roman" w:hAnsiTheme="majorHAnsi" w:cs="Arial"/>
                <w:b/>
                <w:color w:val="000000" w:themeColor="text1"/>
                <w:sz w:val="18"/>
                <w:szCs w:val="18"/>
              </w:rPr>
              <w:t>2</w:t>
            </w:r>
            <w:r w:rsidR="00194AA1">
              <w:rPr>
                <w:rFonts w:asciiTheme="majorHAnsi" w:eastAsia="Times New Roman" w:hAnsiTheme="majorHAnsi" w:cs="Arial"/>
                <w:b/>
                <w:color w:val="000000" w:themeColor="text1"/>
                <w:sz w:val="18"/>
                <w:szCs w:val="18"/>
              </w:rPr>
              <w:t xml:space="preserve">. </w:t>
            </w:r>
            <w:r w:rsidRPr="001160AF">
              <w:rPr>
                <w:rFonts w:asciiTheme="majorHAnsi" w:eastAsia="Times New Roman" w:hAnsiTheme="majorHAnsi" w:cs="Arial"/>
                <w:b/>
                <w:color w:val="000000" w:themeColor="text1"/>
                <w:sz w:val="18"/>
                <w:szCs w:val="18"/>
              </w:rPr>
              <w:t>Database development (combines planning and biosecurity database work; Outputs 1.2 and 4.3)</w:t>
            </w:r>
          </w:p>
        </w:tc>
        <w:tc>
          <w:tcPr>
            <w:tcW w:w="3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A8EE80" w14:textId="77777777" w:rsidR="001160AF" w:rsidRPr="001160AF" w:rsidRDefault="001160AF" w:rsidP="00D32FA2">
            <w:pPr>
              <w:spacing w:before="60"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b/>
                <w:bCs/>
                <w:color w:val="000000" w:themeColor="text1"/>
                <w:sz w:val="18"/>
                <w:szCs w:val="18"/>
              </w:rPr>
              <w:t>Develop 2 linked/aligned databases:</w:t>
            </w:r>
          </w:p>
          <w:p w14:paraId="5BD27160" w14:textId="77777777" w:rsidR="001160AF" w:rsidRPr="001160AF" w:rsidRDefault="001160AF" w:rsidP="00D32FA2">
            <w:pPr>
              <w:spacing w:before="60"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b/>
                <w:bCs/>
                <w:color w:val="000000" w:themeColor="text1"/>
                <w:sz w:val="18"/>
                <w:szCs w:val="18"/>
              </w:rPr>
              <w:t>1) Planning</w:t>
            </w:r>
            <w:r w:rsidRPr="001160AF">
              <w:rPr>
                <w:rFonts w:asciiTheme="majorHAnsi" w:eastAsia="Times New Roman" w:hAnsiTheme="majorHAnsi" w:cs="Arial"/>
                <w:color w:val="000000" w:themeColor="text1"/>
                <w:sz w:val="18"/>
                <w:szCs w:val="18"/>
              </w:rPr>
              <w:t>: Develop a protocol to improve the PALARIS database, including minimum standards for GIS data, aligned with the landscape/seascape planning process; and Identify and improve coordination of existing landscape/seascape data</w:t>
            </w:r>
          </w:p>
          <w:p w14:paraId="335457A7" w14:textId="77777777" w:rsidR="001160AF" w:rsidRPr="001160AF" w:rsidRDefault="001160AF" w:rsidP="00D17561">
            <w:pPr>
              <w:numPr>
                <w:ilvl w:val="0"/>
                <w:numId w:val="146"/>
              </w:numPr>
              <w:spacing w:before="60"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Conduct desk review of the existing geodatabases on biodiversity and other related topics</w:t>
            </w:r>
          </w:p>
          <w:p w14:paraId="45B36B19" w14:textId="77777777" w:rsidR="001160AF" w:rsidRPr="001160AF" w:rsidRDefault="001160AF" w:rsidP="00D17561">
            <w:pPr>
              <w:numPr>
                <w:ilvl w:val="0"/>
                <w:numId w:val="146"/>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Provide the guidelines and the specific technical protocols to developed an integrated geodatabase, in order to enable the landscape/seascape planning activities</w:t>
            </w:r>
          </w:p>
          <w:p w14:paraId="0F207839" w14:textId="77777777" w:rsidR="001160AF" w:rsidRPr="001160AF" w:rsidRDefault="001160AF" w:rsidP="00D17561">
            <w:pPr>
              <w:numPr>
                <w:ilvl w:val="0"/>
                <w:numId w:val="146"/>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Provide a training course on the guidelines, specific technical protocols, including geodatabase’s update and maintenance</w:t>
            </w:r>
          </w:p>
          <w:p w14:paraId="6BB0E9E3" w14:textId="77777777" w:rsidR="001160AF" w:rsidRPr="001160AF" w:rsidRDefault="001160AF" w:rsidP="00D17561">
            <w:pPr>
              <w:numPr>
                <w:ilvl w:val="0"/>
                <w:numId w:val="146"/>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Oversee and support the geodatabase development (conducted by PALARIS officers) and verify the outputs</w:t>
            </w:r>
          </w:p>
          <w:p w14:paraId="7D0998BB" w14:textId="77777777" w:rsidR="001160AF" w:rsidRPr="001160AF" w:rsidRDefault="001160AF" w:rsidP="00D17561">
            <w:pPr>
              <w:numPr>
                <w:ilvl w:val="0"/>
                <w:numId w:val="146"/>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Test and validate the geodatabase</w:t>
            </w:r>
          </w:p>
          <w:p w14:paraId="74353418" w14:textId="77777777" w:rsidR="001160AF" w:rsidRPr="001160AF" w:rsidRDefault="001160AF" w:rsidP="00D17561">
            <w:pPr>
              <w:numPr>
                <w:ilvl w:val="0"/>
                <w:numId w:val="146"/>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Provide a short handbook for the maintenance and update of the geodatabase</w:t>
            </w:r>
          </w:p>
          <w:p w14:paraId="381C67CB" w14:textId="77777777" w:rsidR="001160AF" w:rsidRPr="001160AF" w:rsidRDefault="001160AF" w:rsidP="00D17561">
            <w:pPr>
              <w:numPr>
                <w:ilvl w:val="0"/>
                <w:numId w:val="146"/>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Identify the needs in terms of equipment, software, hardware and specific services (for instance: web content and interoperability tools) and provide the tender technical documentation to purchase them</w:t>
            </w:r>
          </w:p>
          <w:p w14:paraId="34C69FF4" w14:textId="77777777" w:rsidR="001160AF" w:rsidRPr="001160AF" w:rsidRDefault="001160AF" w:rsidP="00D32FA2">
            <w:pPr>
              <w:spacing w:before="60" w:after="0"/>
              <w:jc w:val="left"/>
              <w:rPr>
                <w:rFonts w:asciiTheme="majorHAnsi" w:eastAsia="Times New Roman" w:hAnsiTheme="majorHAnsi" w:cs="Arial"/>
                <w:color w:val="000000" w:themeColor="text1"/>
                <w:sz w:val="18"/>
                <w:szCs w:val="18"/>
              </w:rPr>
            </w:pPr>
            <w:r w:rsidRPr="001160AF">
              <w:rPr>
                <w:rFonts w:asciiTheme="majorHAnsi" w:eastAsia="Times New Roman" w:hAnsiTheme="majorHAnsi" w:cs="Arial"/>
                <w:b/>
                <w:bCs/>
                <w:color w:val="000000" w:themeColor="text1"/>
                <w:sz w:val="18"/>
                <w:szCs w:val="18"/>
              </w:rPr>
              <w:t>2) Biosecurity</w:t>
            </w:r>
            <w:r w:rsidRPr="001160AF">
              <w:rPr>
                <w:rFonts w:asciiTheme="majorHAnsi" w:eastAsia="Times New Roman" w:hAnsiTheme="majorHAnsi" w:cs="Arial"/>
                <w:color w:val="000000" w:themeColor="text1"/>
                <w:sz w:val="18"/>
                <w:szCs w:val="18"/>
              </w:rPr>
              <w:t xml:space="preserve">: </w:t>
            </w:r>
          </w:p>
          <w:p w14:paraId="42F318E0" w14:textId="05AB0A3A" w:rsidR="001160AF" w:rsidRPr="001160AF" w:rsidRDefault="001160AF" w:rsidP="00D17561">
            <w:pPr>
              <w:pStyle w:val="ListParagraph"/>
              <w:numPr>
                <w:ilvl w:val="0"/>
                <w:numId w:val="175"/>
              </w:numPr>
              <w:spacing w:before="60"/>
              <w:contextualSpacing/>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Develop a biosecurity database to hold detailed information on interceptions, treatments, fees collected, risk assessments conducted, novel organism reports, follow-up interviews, response field actions, monitoring and surveill</w:t>
            </w:r>
            <w:r w:rsidR="0031479A">
              <w:rPr>
                <w:rFonts w:asciiTheme="majorHAnsi" w:eastAsia="Times New Roman" w:hAnsiTheme="majorHAnsi" w:cs="Arial"/>
                <w:color w:val="000000" w:themeColor="text1"/>
                <w:sz w:val="18"/>
                <w:szCs w:val="18"/>
              </w:rPr>
              <w:t>a</w:t>
            </w:r>
            <w:r w:rsidRPr="001160AF">
              <w:rPr>
                <w:rFonts w:asciiTheme="majorHAnsi" w:eastAsia="Times New Roman" w:hAnsiTheme="majorHAnsi" w:cs="Arial"/>
                <w:color w:val="000000" w:themeColor="text1"/>
                <w:sz w:val="18"/>
                <w:szCs w:val="18"/>
              </w:rPr>
              <w:t>nce activities, organisms recovered, dispositions of all organisms recovered, current IAS established in the country and within each state, distribution of each established IAS at the state level, etc</w:t>
            </w:r>
            <w:r w:rsidR="0031479A">
              <w:rPr>
                <w:rFonts w:asciiTheme="majorHAnsi" w:eastAsia="Times New Roman" w:hAnsiTheme="majorHAnsi" w:cs="Arial"/>
                <w:color w:val="000000" w:themeColor="text1"/>
                <w:sz w:val="18"/>
                <w:szCs w:val="18"/>
              </w:rPr>
              <w:t>.</w:t>
            </w:r>
            <w:r w:rsidRPr="001160AF">
              <w:rPr>
                <w:rFonts w:asciiTheme="majorHAnsi" w:eastAsia="Times New Roman" w:hAnsiTheme="majorHAnsi" w:cs="Arial"/>
                <w:color w:val="000000" w:themeColor="text1"/>
                <w:sz w:val="18"/>
                <w:szCs w:val="18"/>
              </w:rPr>
              <w:t xml:space="preserve">, with procedure for updating and access. </w:t>
            </w:r>
          </w:p>
          <w:p w14:paraId="030E1CED" w14:textId="77777777" w:rsidR="001160AF" w:rsidRPr="001160AF" w:rsidRDefault="001160AF" w:rsidP="00D17561">
            <w:pPr>
              <w:pStyle w:val="ListParagraph"/>
              <w:numPr>
                <w:ilvl w:val="0"/>
                <w:numId w:val="175"/>
              </w:numPr>
              <w:spacing w:before="60"/>
              <w:contextualSpacing/>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 xml:space="preserve">Align database and recording sheets for Landscape Planning, NISSAP, and EDRR with national database. </w:t>
            </w:r>
          </w:p>
          <w:p w14:paraId="4F785184" w14:textId="77777777" w:rsidR="001160AF" w:rsidRPr="001160AF" w:rsidRDefault="001160AF" w:rsidP="00D17561">
            <w:pPr>
              <w:pStyle w:val="ListParagraph"/>
              <w:numPr>
                <w:ilvl w:val="0"/>
                <w:numId w:val="175"/>
              </w:numPr>
              <w:spacing w:before="60"/>
              <w:contextualSpacing/>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Train local counterparts in use of Biosecurity Database in conjunction with data collection sheets.</w:t>
            </w:r>
          </w:p>
          <w:p w14:paraId="55DC0F3E" w14:textId="77777777" w:rsidR="001160AF" w:rsidRPr="001160AF" w:rsidRDefault="001160AF" w:rsidP="00D32FA2">
            <w:pPr>
              <w:spacing w:before="60"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b/>
                <w:bCs/>
                <w:color w:val="000000" w:themeColor="text1"/>
                <w:sz w:val="18"/>
                <w:szCs w:val="18"/>
              </w:rPr>
              <w:t>3) Alignment</w:t>
            </w:r>
            <w:r w:rsidRPr="001160AF">
              <w:rPr>
                <w:rFonts w:asciiTheme="majorHAnsi" w:eastAsia="Times New Roman" w:hAnsiTheme="majorHAnsi" w:cs="Arial"/>
                <w:color w:val="000000" w:themeColor="text1"/>
                <w:sz w:val="18"/>
                <w:szCs w:val="18"/>
              </w:rPr>
              <w:t>: Ensure alignment between PALARIS database and Biosecurity Database, as well as data sharing mechanism.</w:t>
            </w:r>
          </w:p>
        </w:tc>
        <w:tc>
          <w:tcPr>
            <w:tcW w:w="2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1A9A4" w14:textId="77777777" w:rsidR="001160AF" w:rsidRPr="001160AF" w:rsidRDefault="001160AF" w:rsidP="00D32FA2">
            <w:pPr>
              <w:spacing w:before="60" w:after="0"/>
              <w:jc w:val="left"/>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Master’s degree or higher in environmental science, computer science, spatial planning or related field; at least five years of relevant progressive work experience in GIS database development; sound knowledge of GIS applied to biodiversity conservation and/or landscape/seascape planning;</w:t>
            </w:r>
          </w:p>
          <w:p w14:paraId="5015FCE7" w14:textId="77777777" w:rsidR="001160AF" w:rsidRPr="001160AF" w:rsidRDefault="001160AF" w:rsidP="00D32FA2">
            <w:pPr>
              <w:spacing w:before="60" w:after="0"/>
              <w:jc w:val="left"/>
              <w:rPr>
                <w:rFonts w:asciiTheme="majorHAnsi" w:eastAsia="Times New Roman" w:hAnsiTheme="majorHAnsi"/>
                <w:color w:val="000000" w:themeColor="text1"/>
                <w:sz w:val="18"/>
                <w:szCs w:val="18"/>
              </w:rPr>
            </w:pPr>
          </w:p>
          <w:p w14:paraId="7693FB5D" w14:textId="77777777" w:rsidR="001160AF" w:rsidRPr="001160AF" w:rsidRDefault="001160AF" w:rsidP="00D32FA2">
            <w:pPr>
              <w:spacing w:before="60"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Previous experience in GIS capacity building;</w:t>
            </w:r>
          </w:p>
          <w:p w14:paraId="261F09A3" w14:textId="77777777" w:rsidR="001160AF" w:rsidRPr="001160AF" w:rsidRDefault="001160AF" w:rsidP="00D32FA2">
            <w:pPr>
              <w:spacing w:before="60" w:after="0"/>
              <w:jc w:val="left"/>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 xml:space="preserve">Excellent analytical and report writing skills in English. </w:t>
            </w:r>
          </w:p>
          <w:p w14:paraId="0FC16698" w14:textId="77777777" w:rsidR="001160AF" w:rsidRPr="001160AF" w:rsidRDefault="001160AF" w:rsidP="00D32FA2">
            <w:pPr>
              <w:spacing w:before="60" w:after="0"/>
              <w:jc w:val="left"/>
              <w:rPr>
                <w:rFonts w:asciiTheme="majorHAnsi" w:eastAsia="Times New Roman" w:hAnsiTheme="majorHAnsi"/>
                <w:color w:val="000000" w:themeColor="text1"/>
                <w:sz w:val="18"/>
                <w:szCs w:val="18"/>
              </w:rPr>
            </w:pPr>
          </w:p>
          <w:p w14:paraId="0989876D" w14:textId="77777777" w:rsidR="001160AF" w:rsidRPr="001160AF" w:rsidRDefault="001160AF" w:rsidP="00D32FA2">
            <w:pPr>
              <w:spacing w:before="60"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Previous experience in webGIS platforms development is an advantage.</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D0888" w14:textId="77777777" w:rsidR="001160AF" w:rsidRPr="001160AF" w:rsidRDefault="001160AF" w:rsidP="00D17561">
            <w:pPr>
              <w:pStyle w:val="ListParagraph"/>
              <w:numPr>
                <w:ilvl w:val="0"/>
                <w:numId w:val="174"/>
              </w:numPr>
              <w:contextualSpacing/>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Guidelines and specific protocols for the integrated PALARIS geodatabase</w:t>
            </w:r>
          </w:p>
          <w:p w14:paraId="00DD427F" w14:textId="77777777" w:rsidR="001160AF" w:rsidRPr="001160AF" w:rsidRDefault="001160AF" w:rsidP="00D17561">
            <w:pPr>
              <w:pStyle w:val="ListParagraph"/>
              <w:numPr>
                <w:ilvl w:val="0"/>
                <w:numId w:val="174"/>
              </w:numPr>
              <w:contextualSpacing/>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New biosecurity database, with guidelines and protocols for alignment and sharing with PALARIS database</w:t>
            </w:r>
          </w:p>
          <w:p w14:paraId="434CA3A1" w14:textId="77777777" w:rsidR="001160AF" w:rsidRPr="001160AF" w:rsidRDefault="001160AF" w:rsidP="00D17561">
            <w:pPr>
              <w:pStyle w:val="ListParagraph"/>
              <w:numPr>
                <w:ilvl w:val="0"/>
                <w:numId w:val="174"/>
              </w:numPr>
              <w:contextualSpacing/>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Training course materials</w:t>
            </w:r>
          </w:p>
          <w:p w14:paraId="6E2E38BE" w14:textId="77777777" w:rsidR="001160AF" w:rsidRPr="001160AF" w:rsidRDefault="001160AF" w:rsidP="00D17561">
            <w:pPr>
              <w:pStyle w:val="ListParagraph"/>
              <w:numPr>
                <w:ilvl w:val="0"/>
                <w:numId w:val="174"/>
              </w:numPr>
              <w:contextualSpacing/>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Validation report of the integrated geodatabase</w:t>
            </w:r>
          </w:p>
          <w:p w14:paraId="7E43D3D8" w14:textId="77777777" w:rsidR="001160AF" w:rsidRPr="001160AF" w:rsidRDefault="001160AF" w:rsidP="00D17561">
            <w:pPr>
              <w:pStyle w:val="ListParagraph"/>
              <w:numPr>
                <w:ilvl w:val="0"/>
                <w:numId w:val="174"/>
              </w:numPr>
              <w:spacing w:before="60"/>
              <w:contextualSpacing/>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Handbook for the maintenance and update of the geodatabase</w:t>
            </w:r>
          </w:p>
          <w:p w14:paraId="0B230B5F" w14:textId="77777777" w:rsidR="001160AF" w:rsidRPr="001160AF" w:rsidRDefault="001160AF" w:rsidP="00D17561">
            <w:pPr>
              <w:pStyle w:val="ListParagraph"/>
              <w:numPr>
                <w:ilvl w:val="0"/>
                <w:numId w:val="174"/>
              </w:numPr>
              <w:spacing w:before="60"/>
              <w:contextualSpacing/>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 xml:space="preserve">Technical reports tender technical documentation for equipment, software, hardware and specific services </w:t>
            </w:r>
          </w:p>
          <w:p w14:paraId="5A77DF67" w14:textId="77777777" w:rsidR="001160AF" w:rsidRPr="001160AF" w:rsidRDefault="001160AF" w:rsidP="00D32FA2">
            <w:pPr>
              <w:spacing w:after="240"/>
              <w:jc w:val="left"/>
              <w:rPr>
                <w:rFonts w:asciiTheme="majorHAnsi" w:eastAsia="Times New Roman" w:hAnsiTheme="majorHAnsi"/>
                <w:color w:val="000000" w:themeColor="text1"/>
                <w:sz w:val="18"/>
                <w:szCs w:val="18"/>
              </w:rPr>
            </w:pPr>
          </w:p>
        </w:tc>
        <w:tc>
          <w:tcPr>
            <w:tcW w:w="1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C24C7B"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6 MM (Years 2-4)</w:t>
            </w:r>
          </w:p>
        </w:tc>
        <w:tc>
          <w:tcPr>
            <w:tcW w:w="1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CF144"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73,000 (Travel separate)</w:t>
            </w:r>
          </w:p>
          <w:p w14:paraId="75C0645D"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70D7397F" w14:textId="77777777" w:rsidR="001160AF" w:rsidRPr="001160AF" w:rsidRDefault="001160AF" w:rsidP="00D17561">
            <w:pPr>
              <w:numPr>
                <w:ilvl w:val="0"/>
                <w:numId w:val="147"/>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 xml:space="preserve">18,000 (Palaris) + </w:t>
            </w:r>
          </w:p>
          <w:p w14:paraId="0BC5A4C4" w14:textId="77777777" w:rsidR="001160AF" w:rsidRPr="001160AF" w:rsidRDefault="001160AF" w:rsidP="00D17561">
            <w:pPr>
              <w:numPr>
                <w:ilvl w:val="0"/>
                <w:numId w:val="147"/>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 xml:space="preserve">38,000 (Biosecurity) + </w:t>
            </w:r>
          </w:p>
          <w:p w14:paraId="384EAEC6" w14:textId="77777777" w:rsidR="001160AF" w:rsidRPr="001160AF" w:rsidRDefault="001160AF" w:rsidP="00D17561">
            <w:pPr>
              <w:numPr>
                <w:ilvl w:val="0"/>
                <w:numId w:val="147"/>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 xml:space="preserve">10,000 (Align EDRR) + </w:t>
            </w:r>
          </w:p>
          <w:p w14:paraId="3D93A4EB" w14:textId="77777777" w:rsidR="001160AF" w:rsidRPr="001160AF" w:rsidRDefault="001160AF" w:rsidP="00D17561">
            <w:pPr>
              <w:numPr>
                <w:ilvl w:val="0"/>
                <w:numId w:val="147"/>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7,000 (Travel)</w:t>
            </w:r>
          </w:p>
        </w:tc>
      </w:tr>
      <w:tr w:rsidR="001160AF" w:rsidRPr="00A01750" w14:paraId="1BE8186E" w14:textId="77777777" w:rsidTr="00D32FA2">
        <w:trPr>
          <w:trHeight w:val="800"/>
        </w:trPr>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A42E6" w14:textId="190CECCB" w:rsidR="001160AF" w:rsidRPr="001160AF" w:rsidRDefault="001160AF" w:rsidP="00D32FA2">
            <w:pPr>
              <w:spacing w:after="0"/>
              <w:jc w:val="left"/>
              <w:rPr>
                <w:rFonts w:asciiTheme="majorHAnsi" w:eastAsia="Times New Roman" w:hAnsiTheme="majorHAnsi"/>
                <w:b/>
                <w:color w:val="000000" w:themeColor="text1"/>
                <w:sz w:val="18"/>
                <w:szCs w:val="18"/>
              </w:rPr>
            </w:pPr>
            <w:r w:rsidRPr="001160AF">
              <w:rPr>
                <w:rFonts w:asciiTheme="majorHAnsi" w:eastAsia="Times New Roman" w:hAnsiTheme="majorHAnsi" w:cs="Arial"/>
                <w:b/>
                <w:color w:val="000000" w:themeColor="text1"/>
                <w:sz w:val="18"/>
                <w:szCs w:val="18"/>
              </w:rPr>
              <w:t>3</w:t>
            </w:r>
            <w:r w:rsidR="00194AA1">
              <w:rPr>
                <w:rFonts w:asciiTheme="majorHAnsi" w:eastAsia="Times New Roman" w:hAnsiTheme="majorHAnsi" w:cs="Arial"/>
                <w:b/>
                <w:color w:val="000000" w:themeColor="text1"/>
                <w:sz w:val="18"/>
                <w:szCs w:val="18"/>
              </w:rPr>
              <w:t xml:space="preserve">. </w:t>
            </w:r>
            <w:r w:rsidRPr="001160AF">
              <w:rPr>
                <w:rFonts w:asciiTheme="majorHAnsi" w:eastAsia="Times New Roman" w:hAnsiTheme="majorHAnsi" w:cs="Arial"/>
                <w:b/>
                <w:color w:val="000000" w:themeColor="text1"/>
                <w:sz w:val="18"/>
                <w:szCs w:val="18"/>
              </w:rPr>
              <w:t>EDRR Development (Output 1.3)</w:t>
            </w:r>
          </w:p>
        </w:tc>
        <w:tc>
          <w:tcPr>
            <w:tcW w:w="3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5409C" w14:textId="77777777" w:rsidR="001160AF" w:rsidRPr="001160AF" w:rsidRDefault="001160AF" w:rsidP="00D32FA2">
            <w:pPr>
              <w:spacing w:before="60" w:after="0"/>
              <w:rPr>
                <w:rFonts w:asciiTheme="majorHAnsi" w:eastAsia="Times New Roman" w:hAnsiTheme="majorHAnsi"/>
                <w:b/>
                <w:color w:val="000000" w:themeColor="text1"/>
                <w:sz w:val="18"/>
                <w:szCs w:val="18"/>
              </w:rPr>
            </w:pPr>
            <w:r w:rsidRPr="001160AF">
              <w:rPr>
                <w:rFonts w:asciiTheme="majorHAnsi" w:eastAsia="Times New Roman" w:hAnsiTheme="majorHAnsi"/>
                <w:b/>
                <w:color w:val="000000" w:themeColor="text1"/>
                <w:sz w:val="18"/>
                <w:szCs w:val="18"/>
              </w:rPr>
              <w:t>Develop 2 levels of EDRR systems, one at the national and one at the state level, with alignment:</w:t>
            </w:r>
          </w:p>
          <w:p w14:paraId="43FC45FC" w14:textId="77777777" w:rsidR="001160AF" w:rsidRPr="001160AF" w:rsidRDefault="001160AF" w:rsidP="00D32FA2">
            <w:pPr>
              <w:spacing w:before="60" w:after="0"/>
              <w:rPr>
                <w:rFonts w:asciiTheme="majorHAnsi" w:eastAsia="Times New Roman" w:hAnsiTheme="majorHAnsi"/>
                <w:color w:val="000000" w:themeColor="text1"/>
                <w:sz w:val="18"/>
                <w:szCs w:val="18"/>
              </w:rPr>
            </w:pPr>
            <w:r w:rsidRPr="001160AF">
              <w:rPr>
                <w:rFonts w:asciiTheme="majorHAnsi" w:eastAsia="Times New Roman" w:hAnsiTheme="majorHAnsi"/>
                <w:b/>
                <w:color w:val="000000" w:themeColor="text1"/>
                <w:sz w:val="18"/>
                <w:szCs w:val="18"/>
              </w:rPr>
              <w:t>1) Development of national-state EDRR strategy</w:t>
            </w:r>
            <w:r w:rsidRPr="001160AF">
              <w:rPr>
                <w:rFonts w:asciiTheme="majorHAnsi" w:eastAsia="Times New Roman" w:hAnsiTheme="majorHAnsi"/>
                <w:color w:val="000000" w:themeColor="text1"/>
                <w:sz w:val="18"/>
                <w:szCs w:val="18"/>
              </w:rPr>
              <w:t xml:space="preserve"> (aligned with NISSAP) with a functional reporting system and capacity to conduct EDRR activities, consisting at a minimum of these elements:</w:t>
            </w:r>
          </w:p>
          <w:p w14:paraId="4015BFEB" w14:textId="77777777" w:rsidR="001160AF" w:rsidRPr="001160AF" w:rsidRDefault="001160AF" w:rsidP="00D17561">
            <w:pPr>
              <w:numPr>
                <w:ilvl w:val="0"/>
                <w:numId w:val="148"/>
              </w:numPr>
              <w:spacing w:before="60" w:after="0"/>
              <w:jc w:val="left"/>
              <w:textAlignment w:val="baseline"/>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Detection and Reporting (including identifying the potential volunteer/identifier base and their trainings needs, lists of potential target species and communication tools, and volunteer identification and data collection tools via website, walk-in, and telephone tools)</w:t>
            </w:r>
          </w:p>
          <w:p w14:paraId="1D707F60" w14:textId="77777777" w:rsidR="001160AF" w:rsidRPr="001160AF" w:rsidRDefault="001160AF" w:rsidP="00D17561">
            <w:pPr>
              <w:numPr>
                <w:ilvl w:val="0"/>
                <w:numId w:val="148"/>
              </w:numPr>
              <w:spacing w:after="0"/>
              <w:jc w:val="left"/>
              <w:textAlignment w:val="baseline"/>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Identification and Vouchering (to include a mapping module as part of a verification system)</w:t>
            </w:r>
          </w:p>
          <w:p w14:paraId="7FD35A04" w14:textId="77777777" w:rsidR="001160AF" w:rsidRPr="001160AF" w:rsidRDefault="001160AF" w:rsidP="00D17561">
            <w:pPr>
              <w:numPr>
                <w:ilvl w:val="0"/>
                <w:numId w:val="148"/>
              </w:numPr>
              <w:spacing w:after="0"/>
              <w:jc w:val="left"/>
              <w:textAlignment w:val="baseline"/>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Rapid Assessment</w:t>
            </w:r>
          </w:p>
          <w:p w14:paraId="6A314AFB" w14:textId="77777777" w:rsidR="001160AF" w:rsidRPr="001160AF" w:rsidRDefault="001160AF" w:rsidP="00D17561">
            <w:pPr>
              <w:numPr>
                <w:ilvl w:val="0"/>
                <w:numId w:val="148"/>
              </w:numPr>
              <w:spacing w:after="0"/>
              <w:jc w:val="left"/>
              <w:textAlignment w:val="baseline"/>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Planning</w:t>
            </w:r>
          </w:p>
          <w:p w14:paraId="00165F05" w14:textId="77777777" w:rsidR="001160AF" w:rsidRPr="001160AF" w:rsidRDefault="001160AF" w:rsidP="00D17561">
            <w:pPr>
              <w:numPr>
                <w:ilvl w:val="0"/>
                <w:numId w:val="148"/>
              </w:numPr>
              <w:spacing w:after="0"/>
              <w:jc w:val="left"/>
              <w:textAlignment w:val="baseline"/>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Rapid Response (and identify members of rapid response network and procedures/protocols)</w:t>
            </w:r>
          </w:p>
          <w:p w14:paraId="75480281"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6694F7D6" w14:textId="77777777" w:rsidR="001160AF" w:rsidRPr="001160AF" w:rsidRDefault="001160AF" w:rsidP="00D32FA2">
            <w:pPr>
              <w:spacing w:before="60" w:after="0"/>
              <w:rPr>
                <w:rFonts w:asciiTheme="majorHAnsi" w:eastAsia="Times New Roman" w:hAnsiTheme="majorHAnsi"/>
                <w:color w:val="000000" w:themeColor="text1"/>
                <w:sz w:val="18"/>
                <w:szCs w:val="18"/>
              </w:rPr>
            </w:pPr>
            <w:r w:rsidRPr="001160AF">
              <w:rPr>
                <w:rFonts w:asciiTheme="majorHAnsi" w:eastAsia="Times New Roman" w:hAnsiTheme="majorHAnsi"/>
                <w:b/>
                <w:color w:val="000000" w:themeColor="text1"/>
                <w:sz w:val="18"/>
                <w:szCs w:val="18"/>
              </w:rPr>
              <w:t>2) Develop, capacitate and utilize a core state level EDRR</w:t>
            </w:r>
            <w:r w:rsidRPr="001160AF">
              <w:rPr>
                <w:rFonts w:asciiTheme="majorHAnsi" w:eastAsia="Times New Roman" w:hAnsiTheme="majorHAnsi"/>
                <w:color w:val="000000" w:themeColor="text1"/>
                <w:sz w:val="18"/>
                <w:szCs w:val="18"/>
              </w:rPr>
              <w:t xml:space="preserve"> response mechanism (as demonstration for later scaling up nationally) with oversight at national level and integrate into ILSMP</w:t>
            </w:r>
          </w:p>
        </w:tc>
        <w:tc>
          <w:tcPr>
            <w:tcW w:w="2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4C6A6"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 xml:space="preserve">Bachelor’s degree in environmental science and/or specific experience working in Invasive species, preferably in the Pacific. </w:t>
            </w:r>
          </w:p>
          <w:p w14:paraId="7875BC72"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57CB6237"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Ability to work well with community and agency partners in a developing country situation.</w:t>
            </w:r>
          </w:p>
          <w:p w14:paraId="3083BB1D"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48AE06ED" w14:textId="77777777" w:rsidR="001160AF" w:rsidRPr="001160AF" w:rsidRDefault="001160AF" w:rsidP="00D32FA2">
            <w:pPr>
              <w:spacing w:before="60"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Previous experience in IAS planning, NISSAP, or EDRR;</w:t>
            </w:r>
          </w:p>
          <w:p w14:paraId="574C7F33" w14:textId="77777777" w:rsidR="001160AF" w:rsidRPr="001160AF" w:rsidRDefault="001160AF" w:rsidP="00D32FA2">
            <w:pPr>
              <w:spacing w:before="60"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 xml:space="preserve">Excellent analytical and report writing skills in English. </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89DD9" w14:textId="77777777" w:rsidR="001160AF" w:rsidRPr="001160AF" w:rsidRDefault="001160AF" w:rsidP="00D17561">
            <w:pPr>
              <w:numPr>
                <w:ilvl w:val="0"/>
                <w:numId w:val="149"/>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Written EDRR plan developed in participation with teams on the ground and with financial analyst (for cost-recovery);</w:t>
            </w:r>
          </w:p>
          <w:p w14:paraId="418C4AE6" w14:textId="77777777" w:rsidR="001160AF" w:rsidRPr="001160AF" w:rsidRDefault="001160AF" w:rsidP="00D17561">
            <w:pPr>
              <w:numPr>
                <w:ilvl w:val="0"/>
                <w:numId w:val="149"/>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Worksheets and data collection tools</w:t>
            </w:r>
          </w:p>
          <w:p w14:paraId="3E2234D1" w14:textId="77777777" w:rsidR="001160AF" w:rsidRPr="001160AF" w:rsidRDefault="001160AF" w:rsidP="00D17561">
            <w:pPr>
              <w:numPr>
                <w:ilvl w:val="0"/>
                <w:numId w:val="149"/>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Content for training modules and materials</w:t>
            </w:r>
          </w:p>
        </w:tc>
        <w:tc>
          <w:tcPr>
            <w:tcW w:w="1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118E8"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4 MM (Year 2)</w:t>
            </w:r>
          </w:p>
        </w:tc>
        <w:tc>
          <w:tcPr>
            <w:tcW w:w="1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355418"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45,000 (Total; Travel inclusive)</w:t>
            </w:r>
          </w:p>
        </w:tc>
      </w:tr>
      <w:tr w:rsidR="001160AF" w:rsidRPr="00A01750" w14:paraId="52021594" w14:textId="77777777" w:rsidTr="00D32FA2">
        <w:trPr>
          <w:trHeight w:val="1100"/>
        </w:trPr>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FDE32B" w14:textId="2D1664B6" w:rsidR="001160AF" w:rsidRPr="001160AF" w:rsidRDefault="001160AF" w:rsidP="00D32FA2">
            <w:pPr>
              <w:spacing w:after="0"/>
              <w:jc w:val="left"/>
              <w:rPr>
                <w:rFonts w:asciiTheme="majorHAnsi" w:eastAsia="Times New Roman" w:hAnsiTheme="majorHAnsi"/>
                <w:b/>
                <w:color w:val="000000" w:themeColor="text1"/>
                <w:sz w:val="18"/>
                <w:szCs w:val="18"/>
              </w:rPr>
            </w:pPr>
            <w:r w:rsidRPr="001160AF">
              <w:rPr>
                <w:rFonts w:asciiTheme="majorHAnsi" w:eastAsia="Times New Roman" w:hAnsiTheme="majorHAnsi" w:cs="Arial"/>
                <w:b/>
                <w:color w:val="000000" w:themeColor="text1"/>
                <w:sz w:val="18"/>
                <w:szCs w:val="18"/>
              </w:rPr>
              <w:t>4</w:t>
            </w:r>
            <w:r w:rsidR="00194AA1">
              <w:rPr>
                <w:rFonts w:asciiTheme="majorHAnsi" w:eastAsia="Times New Roman" w:hAnsiTheme="majorHAnsi" w:cs="Arial"/>
                <w:b/>
                <w:color w:val="000000" w:themeColor="text1"/>
                <w:sz w:val="18"/>
                <w:szCs w:val="18"/>
              </w:rPr>
              <w:t xml:space="preserve">. </w:t>
            </w:r>
            <w:r w:rsidRPr="001160AF">
              <w:rPr>
                <w:rFonts w:asciiTheme="majorHAnsi" w:eastAsia="Times New Roman" w:hAnsiTheme="majorHAnsi" w:cs="Arial"/>
                <w:b/>
                <w:color w:val="000000" w:themeColor="text1"/>
                <w:sz w:val="18"/>
                <w:szCs w:val="18"/>
              </w:rPr>
              <w:t>Financial Analysis and Development (combines planning/best practice and biosecurity work; Outputs 1.3 and 2.2)</w:t>
            </w:r>
          </w:p>
        </w:tc>
        <w:tc>
          <w:tcPr>
            <w:tcW w:w="3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00ACBA" w14:textId="77777777" w:rsidR="001160AF" w:rsidRPr="001160AF" w:rsidRDefault="001160AF" w:rsidP="00D32FA2">
            <w:pPr>
              <w:spacing w:before="60" w:after="0"/>
              <w:jc w:val="left"/>
              <w:rPr>
                <w:rFonts w:asciiTheme="majorHAnsi" w:eastAsia="Times New Roman" w:hAnsiTheme="majorHAnsi" w:cs="Arial"/>
                <w:b/>
                <w:bCs/>
                <w:color w:val="000000" w:themeColor="text1"/>
                <w:sz w:val="18"/>
                <w:szCs w:val="18"/>
              </w:rPr>
            </w:pPr>
            <w:r w:rsidRPr="001160AF">
              <w:rPr>
                <w:rFonts w:asciiTheme="majorHAnsi" w:eastAsia="Times New Roman" w:hAnsiTheme="majorHAnsi" w:cs="Arial"/>
                <w:b/>
                <w:bCs/>
                <w:color w:val="000000" w:themeColor="text1"/>
                <w:sz w:val="18"/>
                <w:szCs w:val="18"/>
              </w:rPr>
              <w:t>Prepare Financial Analyses and Action Plans for 2 aligned areas:</w:t>
            </w:r>
          </w:p>
          <w:p w14:paraId="58EF600B" w14:textId="77777777" w:rsidR="001160AF" w:rsidRPr="001160AF" w:rsidRDefault="001160AF" w:rsidP="00D32FA2">
            <w:pPr>
              <w:spacing w:before="60"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b/>
                <w:bCs/>
                <w:color w:val="000000" w:themeColor="text1"/>
                <w:sz w:val="18"/>
                <w:szCs w:val="18"/>
              </w:rPr>
              <w:t>1) Biosecurity</w:t>
            </w:r>
            <w:r w:rsidRPr="001160AF">
              <w:rPr>
                <w:rFonts w:asciiTheme="majorHAnsi" w:eastAsia="Times New Roman" w:hAnsiTheme="majorHAnsi" w:cs="Arial"/>
                <w:color w:val="000000" w:themeColor="text1"/>
                <w:sz w:val="18"/>
                <w:szCs w:val="18"/>
              </w:rPr>
              <w:t>: Biosecurity Cost Recovery mechanisms development, to include at minimum:</w:t>
            </w:r>
          </w:p>
          <w:p w14:paraId="7244653A" w14:textId="77777777" w:rsidR="001160AF" w:rsidRPr="001160AF" w:rsidRDefault="001160AF" w:rsidP="00D17561">
            <w:pPr>
              <w:numPr>
                <w:ilvl w:val="0"/>
                <w:numId w:val="150"/>
              </w:numPr>
              <w:spacing w:before="60"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Identification of the purpose and appropriate application,</w:t>
            </w:r>
          </w:p>
          <w:p w14:paraId="44EC5D1A" w14:textId="77777777" w:rsidR="001160AF" w:rsidRPr="001160AF" w:rsidRDefault="001160AF" w:rsidP="00D17561">
            <w:pPr>
              <w:numPr>
                <w:ilvl w:val="0"/>
                <w:numId w:val="150"/>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Authority and entities with authority (including recommendations for changes to regulations, policies, plans, or organizational structures)</w:t>
            </w:r>
          </w:p>
          <w:p w14:paraId="3ABC922D" w14:textId="77777777" w:rsidR="001160AF" w:rsidRPr="001160AF" w:rsidRDefault="001160AF" w:rsidP="00D17561">
            <w:pPr>
              <w:numPr>
                <w:ilvl w:val="0"/>
                <w:numId w:val="150"/>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Stakeholder assessment and action plan</w:t>
            </w:r>
          </w:p>
          <w:p w14:paraId="6F40991E" w14:textId="77777777" w:rsidR="001160AF" w:rsidRPr="001160AF" w:rsidRDefault="001160AF" w:rsidP="00D17561">
            <w:pPr>
              <w:numPr>
                <w:ilvl w:val="0"/>
                <w:numId w:val="150"/>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 xml:space="preserve">Identify potential challenges/problems and possible solutions. </w:t>
            </w:r>
          </w:p>
          <w:p w14:paraId="1C3F0CC3" w14:textId="77777777" w:rsidR="001160AF" w:rsidRPr="001160AF" w:rsidRDefault="001160AF" w:rsidP="00D17561">
            <w:pPr>
              <w:numPr>
                <w:ilvl w:val="0"/>
                <w:numId w:val="150"/>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Cost-Recovery methodology, to include cost-base, cost-models, applicable activities, and forecasts under potential scenarios</w:t>
            </w:r>
          </w:p>
          <w:p w14:paraId="39D947DE" w14:textId="77777777" w:rsidR="001160AF" w:rsidRPr="001160AF" w:rsidRDefault="001160AF" w:rsidP="00D17561">
            <w:pPr>
              <w:numPr>
                <w:ilvl w:val="0"/>
                <w:numId w:val="150"/>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Templates and worksheets</w:t>
            </w:r>
          </w:p>
          <w:p w14:paraId="5FA6DDDF" w14:textId="77777777" w:rsidR="001160AF" w:rsidRPr="001160AF" w:rsidRDefault="001160AF" w:rsidP="00D17561">
            <w:pPr>
              <w:numPr>
                <w:ilvl w:val="0"/>
                <w:numId w:val="150"/>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Performance reporting and Assurance procedures</w:t>
            </w:r>
          </w:p>
          <w:p w14:paraId="1F9AA621" w14:textId="77777777" w:rsidR="001160AF" w:rsidRPr="001160AF" w:rsidRDefault="001160AF" w:rsidP="00D17561">
            <w:pPr>
              <w:numPr>
                <w:ilvl w:val="0"/>
                <w:numId w:val="150"/>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Proposed schedule of fees and charging structure</w:t>
            </w:r>
          </w:p>
          <w:p w14:paraId="0AE40BF8"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69ABE39C" w14:textId="77777777" w:rsidR="001160AF" w:rsidRPr="001160AF" w:rsidRDefault="001160AF" w:rsidP="00D32FA2">
            <w:pPr>
              <w:spacing w:before="60" w:after="0"/>
              <w:jc w:val="left"/>
              <w:rPr>
                <w:rFonts w:asciiTheme="majorHAnsi" w:eastAsia="Times New Roman" w:hAnsiTheme="majorHAnsi"/>
                <w:b/>
                <w:color w:val="000000" w:themeColor="text1"/>
                <w:sz w:val="18"/>
                <w:szCs w:val="18"/>
              </w:rPr>
            </w:pPr>
            <w:r w:rsidRPr="001160AF">
              <w:rPr>
                <w:rFonts w:asciiTheme="majorHAnsi" w:eastAsia="Times New Roman" w:hAnsiTheme="majorHAnsi" w:cs="Arial"/>
                <w:b/>
                <w:color w:val="000000" w:themeColor="text1"/>
                <w:sz w:val="18"/>
                <w:szCs w:val="18"/>
              </w:rPr>
              <w:t>2) Planning and Best Practices:</w:t>
            </w:r>
          </w:p>
          <w:p w14:paraId="0247D28F" w14:textId="77777777" w:rsidR="001160AF" w:rsidRPr="001160AF" w:rsidRDefault="001160AF" w:rsidP="00D17561">
            <w:pPr>
              <w:numPr>
                <w:ilvl w:val="0"/>
                <w:numId w:val="151"/>
              </w:numPr>
              <w:spacing w:before="60"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Design specific arrangements for benefit-sharing (e.g. financial benefits) and testing of financial incentives and tools, including analysis of Payment for Ecosystem Services and Carbon Credits, tax deductions, credits, etc. as part of establishment of new set-asides.</w:t>
            </w:r>
          </w:p>
        </w:tc>
        <w:tc>
          <w:tcPr>
            <w:tcW w:w="2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5673B" w14:textId="77777777" w:rsidR="001160AF" w:rsidRPr="001160AF" w:rsidRDefault="001160AF" w:rsidP="00D32FA2">
            <w:p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 xml:space="preserve">Bachelor’s degree in a relevant field such as finance, business development studies, economics, environmental economics. Masters degrees will be an added advantage. </w:t>
            </w:r>
          </w:p>
          <w:p w14:paraId="05360D85" w14:textId="77777777" w:rsidR="001160AF" w:rsidRPr="001160AF" w:rsidRDefault="001160AF" w:rsidP="00D32FA2">
            <w:pPr>
              <w:spacing w:after="0"/>
              <w:jc w:val="left"/>
              <w:textAlignment w:val="baseline"/>
              <w:rPr>
                <w:rFonts w:asciiTheme="majorHAnsi" w:eastAsia="Times New Roman" w:hAnsiTheme="majorHAnsi" w:cs="Arial"/>
                <w:color w:val="000000" w:themeColor="text1"/>
                <w:sz w:val="18"/>
                <w:szCs w:val="18"/>
              </w:rPr>
            </w:pPr>
          </w:p>
          <w:p w14:paraId="05B14B96" w14:textId="77777777" w:rsidR="001160AF" w:rsidRPr="001160AF" w:rsidRDefault="001160AF" w:rsidP="00D32FA2">
            <w:p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At least 10 years of overall professional experience in financial analysis, with at least some experience in  cost-recovery assessments.</w:t>
            </w:r>
          </w:p>
          <w:p w14:paraId="7DAD69AB" w14:textId="77777777" w:rsidR="001160AF" w:rsidRPr="001160AF" w:rsidRDefault="001160AF" w:rsidP="00D32FA2">
            <w:pPr>
              <w:spacing w:after="0"/>
              <w:jc w:val="left"/>
              <w:textAlignment w:val="baseline"/>
              <w:rPr>
                <w:rFonts w:asciiTheme="majorHAnsi" w:eastAsia="Times New Roman" w:hAnsiTheme="majorHAnsi" w:cs="Arial"/>
                <w:color w:val="000000" w:themeColor="text1"/>
                <w:sz w:val="18"/>
                <w:szCs w:val="18"/>
              </w:rPr>
            </w:pPr>
          </w:p>
          <w:p w14:paraId="00BBBD76" w14:textId="77777777" w:rsidR="001160AF" w:rsidRPr="001160AF" w:rsidRDefault="001160AF" w:rsidP="00D32FA2">
            <w:p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Experience in participatory research and documentation and analysis of cost-recovery systems in the Pacific is preferred.</w:t>
            </w:r>
          </w:p>
          <w:p w14:paraId="3D60008E" w14:textId="77777777" w:rsidR="001160AF" w:rsidRPr="001160AF" w:rsidRDefault="001160AF" w:rsidP="00D32FA2">
            <w:pPr>
              <w:spacing w:after="0"/>
              <w:jc w:val="left"/>
              <w:textAlignment w:val="baseline"/>
              <w:rPr>
                <w:rFonts w:asciiTheme="majorHAnsi" w:eastAsia="Times New Roman" w:hAnsiTheme="majorHAnsi" w:cs="Arial"/>
                <w:color w:val="000000" w:themeColor="text1"/>
                <w:sz w:val="18"/>
                <w:szCs w:val="18"/>
              </w:rPr>
            </w:pPr>
          </w:p>
          <w:p w14:paraId="27021344" w14:textId="77777777" w:rsidR="001160AF" w:rsidRPr="001160AF" w:rsidRDefault="001160AF" w:rsidP="00D32FA2">
            <w:p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Knowledge and experience of IAS/Biosecurity.</w:t>
            </w:r>
          </w:p>
          <w:p w14:paraId="15A9E82E" w14:textId="77777777" w:rsidR="001160AF" w:rsidRPr="001160AF" w:rsidRDefault="001160AF" w:rsidP="00D32FA2">
            <w:pPr>
              <w:spacing w:after="0"/>
              <w:jc w:val="left"/>
              <w:textAlignment w:val="baseline"/>
              <w:rPr>
                <w:rFonts w:asciiTheme="majorHAnsi" w:eastAsia="Times New Roman" w:hAnsiTheme="majorHAnsi" w:cs="Arial"/>
                <w:color w:val="000000" w:themeColor="text1"/>
                <w:sz w:val="18"/>
                <w:szCs w:val="18"/>
              </w:rPr>
            </w:pPr>
          </w:p>
          <w:p w14:paraId="323CE356" w14:textId="77777777" w:rsidR="001160AF" w:rsidRPr="001160AF" w:rsidRDefault="001160AF" w:rsidP="00D32FA2">
            <w:p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Demonstrated track record in preparation of documents, project proposals, evaluation reports.</w:t>
            </w:r>
          </w:p>
          <w:p w14:paraId="64EA1DAD" w14:textId="77777777" w:rsidR="001160AF" w:rsidRPr="001160AF" w:rsidRDefault="001160AF" w:rsidP="00D32FA2">
            <w:p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 xml:space="preserve"> </w:t>
            </w:r>
          </w:p>
          <w:p w14:paraId="048161F9" w14:textId="77777777" w:rsidR="001160AF" w:rsidRPr="001160AF" w:rsidRDefault="001160AF" w:rsidP="00D32FA2">
            <w:p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 xml:space="preserve">Excellent mastery of written English. </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8450D" w14:textId="77777777" w:rsidR="001160AF" w:rsidRPr="001160AF" w:rsidRDefault="001160AF" w:rsidP="00D17561">
            <w:pPr>
              <w:numPr>
                <w:ilvl w:val="0"/>
                <w:numId w:val="177"/>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Biosecurity Cost-Recovery Statement and Action Plan</w:t>
            </w:r>
          </w:p>
          <w:p w14:paraId="569DFB62" w14:textId="77777777" w:rsidR="001160AF" w:rsidRPr="001160AF" w:rsidRDefault="001160AF" w:rsidP="00D17561">
            <w:pPr>
              <w:numPr>
                <w:ilvl w:val="0"/>
                <w:numId w:val="177"/>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 xml:space="preserve">Feasibility Analysis of potential benefit-sharing </w:t>
            </w:r>
          </w:p>
        </w:tc>
        <w:tc>
          <w:tcPr>
            <w:tcW w:w="1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1BB97"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4 MM (Years 1, 2, and 4)</w:t>
            </w:r>
          </w:p>
        </w:tc>
        <w:tc>
          <w:tcPr>
            <w:tcW w:w="1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6534A"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70,000 (Total, Travel inclusive)</w:t>
            </w:r>
          </w:p>
          <w:p w14:paraId="48F62A01"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26B64666" w14:textId="77777777" w:rsidR="001160AF" w:rsidRPr="001160AF" w:rsidRDefault="001160AF" w:rsidP="00D17561">
            <w:pPr>
              <w:numPr>
                <w:ilvl w:val="0"/>
                <w:numId w:val="152"/>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50,000 (Biosecurity) +</w:t>
            </w:r>
          </w:p>
          <w:p w14:paraId="39B78F52" w14:textId="77777777" w:rsidR="001160AF" w:rsidRPr="001160AF" w:rsidRDefault="001160AF" w:rsidP="00D17561">
            <w:pPr>
              <w:numPr>
                <w:ilvl w:val="0"/>
                <w:numId w:val="152"/>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 xml:space="preserve">20,000 (Benefit-sharing) </w:t>
            </w:r>
          </w:p>
        </w:tc>
      </w:tr>
      <w:tr w:rsidR="001160AF" w:rsidRPr="00A01750" w14:paraId="2C573BDE" w14:textId="77777777" w:rsidTr="00D32FA2">
        <w:trPr>
          <w:trHeight w:val="800"/>
        </w:trPr>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2B1F9" w14:textId="7706B856" w:rsidR="001160AF" w:rsidRPr="001160AF" w:rsidRDefault="001160AF" w:rsidP="00D32FA2">
            <w:pPr>
              <w:spacing w:after="0"/>
              <w:jc w:val="left"/>
              <w:rPr>
                <w:rFonts w:asciiTheme="majorHAnsi" w:eastAsia="Times New Roman" w:hAnsiTheme="majorHAnsi"/>
                <w:b/>
                <w:color w:val="000000" w:themeColor="text1"/>
                <w:sz w:val="18"/>
                <w:szCs w:val="18"/>
              </w:rPr>
            </w:pPr>
            <w:r w:rsidRPr="001160AF">
              <w:rPr>
                <w:rFonts w:asciiTheme="majorHAnsi" w:eastAsia="Times New Roman" w:hAnsiTheme="majorHAnsi" w:cs="Arial"/>
                <w:b/>
                <w:color w:val="000000" w:themeColor="text1"/>
                <w:sz w:val="18"/>
                <w:szCs w:val="18"/>
              </w:rPr>
              <w:t>5</w:t>
            </w:r>
            <w:r w:rsidR="00194AA1">
              <w:rPr>
                <w:rFonts w:asciiTheme="majorHAnsi" w:eastAsia="Times New Roman" w:hAnsiTheme="majorHAnsi" w:cs="Arial"/>
                <w:b/>
                <w:color w:val="000000" w:themeColor="text1"/>
                <w:sz w:val="18"/>
                <w:szCs w:val="18"/>
              </w:rPr>
              <w:t xml:space="preserve">. </w:t>
            </w:r>
            <w:r w:rsidRPr="001160AF">
              <w:rPr>
                <w:rFonts w:asciiTheme="majorHAnsi" w:eastAsia="Times New Roman" w:hAnsiTheme="majorHAnsi" w:cs="Arial"/>
                <w:b/>
                <w:color w:val="000000" w:themeColor="text1"/>
                <w:sz w:val="18"/>
                <w:szCs w:val="18"/>
              </w:rPr>
              <w:t>NISSAP and Associated (Output 1.3)</w:t>
            </w:r>
          </w:p>
        </w:tc>
        <w:tc>
          <w:tcPr>
            <w:tcW w:w="3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263D1" w14:textId="77777777" w:rsidR="001160AF" w:rsidRPr="001160AF" w:rsidRDefault="001160AF" w:rsidP="00D32FA2">
            <w:pPr>
              <w:spacing w:after="0"/>
              <w:jc w:val="left"/>
              <w:textAlignment w:val="baseline"/>
              <w:rPr>
                <w:rFonts w:asciiTheme="majorHAnsi" w:eastAsia="Times New Roman" w:hAnsiTheme="majorHAnsi" w:cs="Arial"/>
                <w:b/>
                <w:color w:val="000000" w:themeColor="text1"/>
                <w:sz w:val="18"/>
                <w:szCs w:val="18"/>
              </w:rPr>
            </w:pPr>
            <w:r w:rsidRPr="001160AF">
              <w:rPr>
                <w:rFonts w:asciiTheme="majorHAnsi" w:eastAsia="Times New Roman" w:hAnsiTheme="majorHAnsi" w:cs="Arial"/>
                <w:b/>
                <w:color w:val="000000" w:themeColor="text1"/>
                <w:sz w:val="18"/>
                <w:szCs w:val="18"/>
              </w:rPr>
              <w:t>Development of Country-level NISSAP and associated materials for its implementation:</w:t>
            </w:r>
          </w:p>
          <w:p w14:paraId="166C11E9" w14:textId="77777777" w:rsidR="001160AF" w:rsidRPr="001160AF" w:rsidRDefault="001160AF" w:rsidP="00D17561">
            <w:pPr>
              <w:numPr>
                <w:ilvl w:val="0"/>
                <w:numId w:val="153"/>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Drafting and approval of the NISSAP</w:t>
            </w:r>
          </w:p>
          <w:p w14:paraId="4AF7C7F9" w14:textId="77777777" w:rsidR="001160AF" w:rsidRPr="001160AF" w:rsidRDefault="001160AF" w:rsidP="00D17561">
            <w:pPr>
              <w:numPr>
                <w:ilvl w:val="0"/>
                <w:numId w:val="153"/>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Develop and implement specific protocols for risk assessments for proposed species importation (risk assessments should be funded by the importer and conducted by topical experts selected by BOA); including red and green lists</w:t>
            </w:r>
          </w:p>
          <w:p w14:paraId="1EBF7B5E" w14:textId="77777777" w:rsidR="001160AF" w:rsidRPr="001160AF" w:rsidRDefault="001160AF" w:rsidP="00D17561">
            <w:pPr>
              <w:numPr>
                <w:ilvl w:val="0"/>
                <w:numId w:val="153"/>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Develop protocols for new biosecurity regulations, policies, etc. including specific elements to address marine biosecurity including hull inspection and treatment options; protocols for addressing novel species at ports</w:t>
            </w:r>
          </w:p>
          <w:p w14:paraId="32EC8BCF" w14:textId="77777777" w:rsidR="001160AF" w:rsidRPr="001160AF" w:rsidRDefault="001160AF" w:rsidP="00D32FA2">
            <w:pPr>
              <w:spacing w:after="0"/>
              <w:jc w:val="left"/>
              <w:rPr>
                <w:rFonts w:asciiTheme="majorHAnsi" w:eastAsia="Times New Roman" w:hAnsiTheme="majorHAnsi"/>
                <w:color w:val="000000" w:themeColor="text1"/>
                <w:sz w:val="18"/>
                <w:szCs w:val="18"/>
              </w:rPr>
            </w:pPr>
          </w:p>
        </w:tc>
        <w:tc>
          <w:tcPr>
            <w:tcW w:w="2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BC42B1"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 xml:space="preserve">Bachelor’s degree in environmental science and/or specific experience working in Invasive species, preferably in the Pacific. </w:t>
            </w:r>
          </w:p>
          <w:p w14:paraId="4C574682"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4B38CAA2"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Ability to work well with community and agency partners in a developing country situation.</w:t>
            </w:r>
          </w:p>
          <w:p w14:paraId="5CC287C9"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2DE0092E" w14:textId="77777777" w:rsidR="001160AF" w:rsidRPr="001160AF" w:rsidRDefault="001160AF" w:rsidP="00D32FA2">
            <w:pPr>
              <w:spacing w:before="60"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Previous experience in IAS planning, NISSAP, or EDRR;</w:t>
            </w:r>
          </w:p>
          <w:p w14:paraId="06CCF76A"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Excellent analytical and report writing skills in English.</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C5ED9"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 xml:space="preserve">Written NISSAP document, to include: </w:t>
            </w:r>
          </w:p>
          <w:p w14:paraId="270F6D4C" w14:textId="77777777" w:rsidR="001160AF" w:rsidRPr="001160AF" w:rsidRDefault="001160AF" w:rsidP="00D17561">
            <w:pPr>
              <w:numPr>
                <w:ilvl w:val="0"/>
                <w:numId w:val="154"/>
              </w:numPr>
              <w:spacing w:after="0"/>
              <w:ind w:left="36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Introduction and Palau context</w:t>
            </w:r>
          </w:p>
          <w:p w14:paraId="15E0B483" w14:textId="77777777" w:rsidR="001160AF" w:rsidRPr="001160AF" w:rsidRDefault="001160AF" w:rsidP="00D17561">
            <w:pPr>
              <w:numPr>
                <w:ilvl w:val="0"/>
                <w:numId w:val="155"/>
              </w:numPr>
              <w:spacing w:after="0"/>
              <w:ind w:left="36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NISSAP linkages to other strategies, plans, frameworks, guidelines, etc.</w:t>
            </w:r>
          </w:p>
          <w:p w14:paraId="6879B46B" w14:textId="77777777" w:rsidR="001160AF" w:rsidRPr="001160AF" w:rsidRDefault="001160AF" w:rsidP="00D17561">
            <w:pPr>
              <w:numPr>
                <w:ilvl w:val="0"/>
                <w:numId w:val="155"/>
              </w:numPr>
              <w:spacing w:after="0"/>
              <w:ind w:left="36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Guiding principles</w:t>
            </w:r>
          </w:p>
          <w:p w14:paraId="200B5ADE" w14:textId="77777777" w:rsidR="001160AF" w:rsidRPr="001160AF" w:rsidRDefault="001160AF" w:rsidP="00D17561">
            <w:pPr>
              <w:numPr>
                <w:ilvl w:val="0"/>
                <w:numId w:val="155"/>
              </w:numPr>
              <w:spacing w:after="0"/>
              <w:ind w:left="36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Goals, Themes and Outcomes</w:t>
            </w:r>
          </w:p>
          <w:p w14:paraId="6EA9C2FF" w14:textId="77777777" w:rsidR="001160AF" w:rsidRPr="001160AF" w:rsidRDefault="001160AF" w:rsidP="00D17561">
            <w:pPr>
              <w:numPr>
                <w:ilvl w:val="0"/>
                <w:numId w:val="155"/>
              </w:numPr>
              <w:spacing w:after="0"/>
              <w:ind w:left="36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Pathways analysis (international and internal)</w:t>
            </w:r>
          </w:p>
          <w:p w14:paraId="01AAB45D" w14:textId="77777777" w:rsidR="001160AF" w:rsidRPr="001160AF" w:rsidRDefault="001160AF" w:rsidP="00D17561">
            <w:pPr>
              <w:numPr>
                <w:ilvl w:val="0"/>
                <w:numId w:val="155"/>
              </w:numPr>
              <w:spacing w:after="0"/>
              <w:ind w:left="36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Roles and responsibilities</w:t>
            </w:r>
          </w:p>
          <w:p w14:paraId="0CD613DA" w14:textId="77777777" w:rsidR="001160AF" w:rsidRPr="001160AF" w:rsidRDefault="001160AF" w:rsidP="00D17561">
            <w:pPr>
              <w:numPr>
                <w:ilvl w:val="0"/>
                <w:numId w:val="155"/>
              </w:numPr>
              <w:spacing w:after="0"/>
              <w:ind w:left="36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Past and current programs/capacity (pre-border, border, and post-border)</w:t>
            </w:r>
          </w:p>
          <w:p w14:paraId="0BC4514A" w14:textId="77777777" w:rsidR="001160AF" w:rsidRPr="001160AF" w:rsidRDefault="001160AF" w:rsidP="00D17561">
            <w:pPr>
              <w:numPr>
                <w:ilvl w:val="0"/>
                <w:numId w:val="155"/>
              </w:numPr>
              <w:spacing w:after="0"/>
              <w:ind w:left="36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Legislation, conventions and agreements</w:t>
            </w:r>
          </w:p>
          <w:p w14:paraId="056F4C1C" w14:textId="77777777" w:rsidR="001160AF" w:rsidRPr="001160AF" w:rsidRDefault="001160AF" w:rsidP="00D17561">
            <w:pPr>
              <w:numPr>
                <w:ilvl w:val="0"/>
                <w:numId w:val="155"/>
              </w:numPr>
              <w:spacing w:after="0"/>
              <w:ind w:left="36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Action Plan, including: indicators, risks, costs, timing and responsibilities</w:t>
            </w:r>
          </w:p>
          <w:p w14:paraId="19C7764A" w14:textId="77777777" w:rsidR="001160AF" w:rsidRPr="001160AF" w:rsidRDefault="001160AF" w:rsidP="00D17561">
            <w:pPr>
              <w:numPr>
                <w:ilvl w:val="0"/>
                <w:numId w:val="155"/>
              </w:numPr>
              <w:spacing w:after="200"/>
              <w:ind w:left="36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Monitoring and evaluation</w:t>
            </w:r>
          </w:p>
        </w:tc>
        <w:tc>
          <w:tcPr>
            <w:tcW w:w="1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1B697"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5 MM (Years 1-2)</w:t>
            </w:r>
          </w:p>
        </w:tc>
        <w:tc>
          <w:tcPr>
            <w:tcW w:w="1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66E8D"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70,000 (Total, Travel inclusive)</w:t>
            </w:r>
          </w:p>
          <w:p w14:paraId="541BCF15"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49E42F22" w14:textId="77777777" w:rsidR="001160AF" w:rsidRPr="001160AF" w:rsidRDefault="001160AF" w:rsidP="00D17561">
            <w:pPr>
              <w:numPr>
                <w:ilvl w:val="0"/>
                <w:numId w:val="156"/>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40,000 (NISSAP) +</w:t>
            </w:r>
          </w:p>
          <w:p w14:paraId="51F10D0F" w14:textId="77777777" w:rsidR="001160AF" w:rsidRPr="001160AF" w:rsidRDefault="001160AF" w:rsidP="00D17561">
            <w:pPr>
              <w:numPr>
                <w:ilvl w:val="0"/>
                <w:numId w:val="156"/>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 xml:space="preserve">10,000 (Risk Assessments) + </w:t>
            </w:r>
          </w:p>
          <w:p w14:paraId="278ECCE5" w14:textId="77777777" w:rsidR="001160AF" w:rsidRPr="001160AF" w:rsidRDefault="001160AF" w:rsidP="00D17561">
            <w:pPr>
              <w:numPr>
                <w:ilvl w:val="0"/>
                <w:numId w:val="156"/>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20,000 (Protocols for regulations)</w:t>
            </w:r>
          </w:p>
        </w:tc>
      </w:tr>
      <w:tr w:rsidR="001160AF" w:rsidRPr="00A01750" w14:paraId="7440575B" w14:textId="77777777" w:rsidTr="00D32FA2">
        <w:trPr>
          <w:trHeight w:val="800"/>
        </w:trPr>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082D9" w14:textId="7E66E9F2" w:rsidR="001160AF" w:rsidRPr="001160AF" w:rsidRDefault="001160AF" w:rsidP="00D32FA2">
            <w:pPr>
              <w:spacing w:after="0"/>
              <w:jc w:val="left"/>
              <w:rPr>
                <w:rFonts w:asciiTheme="majorHAnsi" w:eastAsia="Times New Roman" w:hAnsiTheme="majorHAnsi"/>
                <w:b/>
                <w:color w:val="000000" w:themeColor="text1"/>
                <w:sz w:val="18"/>
                <w:szCs w:val="18"/>
              </w:rPr>
            </w:pPr>
            <w:r w:rsidRPr="001160AF">
              <w:rPr>
                <w:rFonts w:asciiTheme="majorHAnsi" w:eastAsia="Times New Roman" w:hAnsiTheme="majorHAnsi" w:cs="Arial"/>
                <w:b/>
                <w:color w:val="000000" w:themeColor="text1"/>
                <w:sz w:val="18"/>
                <w:szCs w:val="18"/>
              </w:rPr>
              <w:t>6</w:t>
            </w:r>
            <w:r w:rsidR="00194AA1">
              <w:rPr>
                <w:rFonts w:asciiTheme="majorHAnsi" w:eastAsia="Times New Roman" w:hAnsiTheme="majorHAnsi" w:cs="Arial"/>
                <w:b/>
                <w:color w:val="000000" w:themeColor="text1"/>
                <w:sz w:val="18"/>
                <w:szCs w:val="18"/>
              </w:rPr>
              <w:t xml:space="preserve">. </w:t>
            </w:r>
            <w:r w:rsidRPr="001160AF">
              <w:rPr>
                <w:rFonts w:asciiTheme="majorHAnsi" w:eastAsia="Times New Roman" w:hAnsiTheme="majorHAnsi" w:cs="Arial"/>
                <w:b/>
                <w:color w:val="000000" w:themeColor="text1"/>
                <w:sz w:val="18"/>
                <w:szCs w:val="18"/>
              </w:rPr>
              <w:t>Political Advocacy (Outputs 2.1 and 3.1)</w:t>
            </w:r>
          </w:p>
        </w:tc>
        <w:tc>
          <w:tcPr>
            <w:tcW w:w="3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89873" w14:textId="77777777" w:rsidR="001160AF" w:rsidRPr="001160AF" w:rsidRDefault="001160AF" w:rsidP="00D32FA2">
            <w:pPr>
              <w:spacing w:before="60" w:after="0"/>
              <w:jc w:val="left"/>
              <w:rPr>
                <w:rFonts w:asciiTheme="majorHAnsi" w:eastAsia="Times New Roman" w:hAnsiTheme="majorHAnsi"/>
                <w:b/>
                <w:color w:val="000000" w:themeColor="text1"/>
                <w:sz w:val="18"/>
                <w:szCs w:val="18"/>
              </w:rPr>
            </w:pPr>
            <w:r w:rsidRPr="001160AF">
              <w:rPr>
                <w:rFonts w:asciiTheme="majorHAnsi" w:eastAsia="Times New Roman" w:hAnsiTheme="majorHAnsi"/>
                <w:b/>
                <w:color w:val="000000" w:themeColor="text1"/>
                <w:sz w:val="18"/>
                <w:szCs w:val="18"/>
              </w:rPr>
              <w:t>Lobby and Advocate for ILSMPs:</w:t>
            </w:r>
          </w:p>
          <w:p w14:paraId="638D308B" w14:textId="77777777" w:rsidR="001160AF" w:rsidRPr="001160AF" w:rsidRDefault="001160AF" w:rsidP="00D17561">
            <w:pPr>
              <w:pStyle w:val="ListParagraph"/>
              <w:numPr>
                <w:ilvl w:val="0"/>
                <w:numId w:val="155"/>
              </w:numPr>
              <w:spacing w:before="60"/>
              <w:contextualSpacing/>
              <w:rPr>
                <w:rFonts w:asciiTheme="majorHAnsi" w:eastAsia="Times New Roman" w:hAnsiTheme="majorHAnsi"/>
                <w:color w:val="000000" w:themeColor="text1"/>
                <w:sz w:val="18"/>
                <w:szCs w:val="18"/>
              </w:rPr>
            </w:pPr>
            <w:r w:rsidRPr="001160AF">
              <w:rPr>
                <w:rFonts w:asciiTheme="majorHAnsi" w:eastAsia="Times New Roman" w:hAnsiTheme="majorHAnsi"/>
                <w:b/>
                <w:color w:val="000000" w:themeColor="text1"/>
                <w:sz w:val="18"/>
                <w:szCs w:val="18"/>
              </w:rPr>
              <w:t>Conduct outreach and political advocacy</w:t>
            </w:r>
            <w:r w:rsidRPr="001160AF">
              <w:rPr>
                <w:rFonts w:asciiTheme="majorHAnsi" w:eastAsia="Times New Roman" w:hAnsiTheme="majorHAnsi"/>
                <w:color w:val="000000" w:themeColor="text1"/>
                <w:sz w:val="18"/>
                <w:szCs w:val="18"/>
              </w:rPr>
              <w:t xml:space="preserve"> with high level national and state elected and traditional leaders to create support for Integrated Land Use/Spatial Planning. </w:t>
            </w:r>
          </w:p>
          <w:p w14:paraId="3A8C2A40" w14:textId="77777777" w:rsidR="001160AF" w:rsidRPr="001160AF" w:rsidRDefault="001160AF" w:rsidP="00D17561">
            <w:pPr>
              <w:pStyle w:val="ListParagraph"/>
              <w:numPr>
                <w:ilvl w:val="0"/>
                <w:numId w:val="155"/>
              </w:numPr>
              <w:spacing w:before="60"/>
              <w:contextualSpacing/>
              <w:rPr>
                <w:rFonts w:asciiTheme="majorHAnsi" w:eastAsia="Times New Roman" w:hAnsiTheme="majorHAnsi"/>
                <w:color w:val="000000" w:themeColor="text1"/>
                <w:sz w:val="18"/>
                <w:szCs w:val="18"/>
              </w:rPr>
            </w:pPr>
            <w:r w:rsidRPr="001160AF">
              <w:rPr>
                <w:rFonts w:asciiTheme="majorHAnsi" w:eastAsia="Times New Roman" w:hAnsiTheme="majorHAnsi"/>
                <w:b/>
                <w:color w:val="000000" w:themeColor="text1"/>
                <w:sz w:val="18"/>
                <w:szCs w:val="18"/>
              </w:rPr>
              <w:t>Develop educational and outreach materials</w:t>
            </w:r>
            <w:r w:rsidRPr="001160AF">
              <w:rPr>
                <w:rFonts w:asciiTheme="majorHAnsi" w:eastAsia="Times New Roman" w:hAnsiTheme="majorHAnsi"/>
                <w:color w:val="000000" w:themeColor="text1"/>
                <w:sz w:val="18"/>
                <w:szCs w:val="18"/>
              </w:rPr>
              <w:t xml:space="preserve"> that are specific to the Palauan context and which can be reused by local partners.</w:t>
            </w:r>
          </w:p>
        </w:tc>
        <w:tc>
          <w:tcPr>
            <w:tcW w:w="2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DA65A"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Expertise in Integrated Land Use Planning</w:t>
            </w:r>
          </w:p>
          <w:p w14:paraId="0E23A104"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07E4D386"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Excellent Communication Skills (oral and written) and good powers of persuasion.</w:t>
            </w:r>
          </w:p>
          <w:p w14:paraId="70937094"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6352C0BE"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Awareness and understanding of the Palauan context and ability to connect with stakeholders.</w:t>
            </w:r>
          </w:p>
          <w:p w14:paraId="78B93746"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748A7B1A"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Excellent partnership skills.</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18C41" w14:textId="77777777" w:rsidR="001160AF" w:rsidRPr="001160AF" w:rsidRDefault="001160AF" w:rsidP="00D17561">
            <w:pPr>
              <w:pStyle w:val="ListParagraph"/>
              <w:numPr>
                <w:ilvl w:val="0"/>
                <w:numId w:val="178"/>
              </w:numPr>
              <w:ind w:left="360"/>
              <w:contextualSpacing/>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Report on in-person visits</w:t>
            </w:r>
          </w:p>
          <w:p w14:paraId="738E8488" w14:textId="77777777" w:rsidR="001160AF" w:rsidRPr="001160AF" w:rsidRDefault="001160AF" w:rsidP="00D17561">
            <w:pPr>
              <w:pStyle w:val="ListParagraph"/>
              <w:numPr>
                <w:ilvl w:val="0"/>
                <w:numId w:val="178"/>
              </w:numPr>
              <w:ind w:left="360"/>
              <w:contextualSpacing/>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Communication and outreach materials that can be reused</w:t>
            </w:r>
          </w:p>
        </w:tc>
        <w:tc>
          <w:tcPr>
            <w:tcW w:w="1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7F5D67"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1 MM (Year 1)</w:t>
            </w:r>
          </w:p>
        </w:tc>
        <w:tc>
          <w:tcPr>
            <w:tcW w:w="1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2F05F8"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18,000 (Travel separate)</w:t>
            </w:r>
          </w:p>
          <w:p w14:paraId="5904D4DB"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2966C6A1" w14:textId="77777777" w:rsidR="001160AF" w:rsidRPr="001160AF" w:rsidRDefault="001160AF" w:rsidP="00D17561">
            <w:pPr>
              <w:numPr>
                <w:ilvl w:val="0"/>
                <w:numId w:val="157"/>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 xml:space="preserve">8,000 (Outreach on Babeldaob) </w:t>
            </w:r>
          </w:p>
          <w:p w14:paraId="66DEC5A2" w14:textId="77777777" w:rsidR="001160AF" w:rsidRPr="001160AF" w:rsidRDefault="001160AF" w:rsidP="00D17561">
            <w:pPr>
              <w:numPr>
                <w:ilvl w:val="0"/>
                <w:numId w:val="157"/>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 xml:space="preserve">+ 5,000 (Outreach on Southern Lagoon) </w:t>
            </w:r>
          </w:p>
          <w:p w14:paraId="0B50CC12" w14:textId="77777777" w:rsidR="001160AF" w:rsidRPr="001160AF" w:rsidRDefault="001160AF" w:rsidP="00D17561">
            <w:pPr>
              <w:numPr>
                <w:ilvl w:val="0"/>
                <w:numId w:val="157"/>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+ 5,000 (Travel)</w:t>
            </w:r>
          </w:p>
          <w:p w14:paraId="35B17773" w14:textId="77777777" w:rsidR="001160AF" w:rsidRPr="001160AF" w:rsidRDefault="001160AF" w:rsidP="00D32FA2">
            <w:pPr>
              <w:spacing w:after="0"/>
              <w:jc w:val="left"/>
              <w:rPr>
                <w:rFonts w:asciiTheme="majorHAnsi" w:eastAsia="Times New Roman" w:hAnsiTheme="majorHAnsi"/>
                <w:color w:val="000000" w:themeColor="text1"/>
                <w:sz w:val="18"/>
                <w:szCs w:val="18"/>
              </w:rPr>
            </w:pPr>
          </w:p>
        </w:tc>
      </w:tr>
      <w:tr w:rsidR="001160AF" w:rsidRPr="00A01750" w14:paraId="020DF62B" w14:textId="77777777" w:rsidTr="00D32FA2">
        <w:trPr>
          <w:trHeight w:val="620"/>
        </w:trPr>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4436E" w14:textId="5CB88C05" w:rsidR="001160AF" w:rsidRPr="001160AF" w:rsidRDefault="001160AF" w:rsidP="00D32FA2">
            <w:pPr>
              <w:spacing w:after="0"/>
              <w:jc w:val="left"/>
              <w:rPr>
                <w:rFonts w:asciiTheme="majorHAnsi" w:eastAsia="Times New Roman" w:hAnsiTheme="majorHAnsi" w:cs="Arial"/>
                <w:b/>
                <w:color w:val="000000" w:themeColor="text1"/>
                <w:sz w:val="18"/>
                <w:szCs w:val="18"/>
              </w:rPr>
            </w:pPr>
            <w:r w:rsidRPr="001160AF">
              <w:rPr>
                <w:rFonts w:asciiTheme="majorHAnsi" w:eastAsia="Times New Roman" w:hAnsiTheme="majorHAnsi" w:cs="Arial"/>
                <w:b/>
                <w:color w:val="000000" w:themeColor="text1"/>
                <w:sz w:val="18"/>
                <w:szCs w:val="18"/>
              </w:rPr>
              <w:t>7</w:t>
            </w:r>
            <w:r w:rsidR="00194AA1">
              <w:rPr>
                <w:rFonts w:asciiTheme="majorHAnsi" w:eastAsia="Times New Roman" w:hAnsiTheme="majorHAnsi" w:cs="Arial"/>
                <w:b/>
                <w:color w:val="000000" w:themeColor="text1"/>
                <w:sz w:val="18"/>
                <w:szCs w:val="18"/>
              </w:rPr>
              <w:t xml:space="preserve">. </w:t>
            </w:r>
            <w:r w:rsidRPr="001160AF">
              <w:rPr>
                <w:rFonts w:asciiTheme="majorHAnsi" w:eastAsia="Times New Roman" w:hAnsiTheme="majorHAnsi" w:cs="Arial"/>
                <w:b/>
                <w:color w:val="000000" w:themeColor="text1"/>
                <w:sz w:val="18"/>
                <w:szCs w:val="18"/>
              </w:rPr>
              <w:t>SEA (Outputs 1.2, 2.1, and 3.1)</w:t>
            </w:r>
          </w:p>
        </w:tc>
        <w:tc>
          <w:tcPr>
            <w:tcW w:w="3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BB917" w14:textId="77777777" w:rsidR="001160AF" w:rsidRPr="001160AF" w:rsidRDefault="001160AF" w:rsidP="00D32FA2">
            <w:p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b/>
                <w:color w:val="000000" w:themeColor="text1"/>
                <w:sz w:val="18"/>
                <w:szCs w:val="18"/>
              </w:rPr>
              <w:t>Develop and Apply SEA methodology and build capacity within country to continue SEAs post-project,</w:t>
            </w:r>
            <w:r w:rsidRPr="001160AF">
              <w:rPr>
                <w:rFonts w:asciiTheme="majorHAnsi" w:eastAsia="Times New Roman" w:hAnsiTheme="majorHAnsi" w:cs="Arial"/>
                <w:color w:val="000000" w:themeColor="text1"/>
                <w:sz w:val="18"/>
                <w:szCs w:val="18"/>
              </w:rPr>
              <w:t xml:space="preserve"> through:</w:t>
            </w:r>
          </w:p>
          <w:p w14:paraId="5D7870EF" w14:textId="77777777" w:rsidR="001160AF" w:rsidRPr="001160AF" w:rsidRDefault="001160AF" w:rsidP="00D17561">
            <w:pPr>
              <w:numPr>
                <w:ilvl w:val="0"/>
                <w:numId w:val="158"/>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Provide the guidelines for the application of SEA to landscape/seascape plans and biodiversity conservation policies in Palau</w:t>
            </w:r>
          </w:p>
          <w:p w14:paraId="709168E6" w14:textId="77777777" w:rsidR="001160AF" w:rsidRPr="001160AF" w:rsidRDefault="001160AF" w:rsidP="00D17561">
            <w:pPr>
              <w:numPr>
                <w:ilvl w:val="0"/>
                <w:numId w:val="158"/>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Draft the methodology of the SEA process</w:t>
            </w:r>
          </w:p>
          <w:p w14:paraId="157224DC" w14:textId="77777777" w:rsidR="001160AF" w:rsidRPr="001160AF" w:rsidRDefault="001160AF" w:rsidP="00D17561">
            <w:pPr>
              <w:numPr>
                <w:ilvl w:val="0"/>
                <w:numId w:val="158"/>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Provide a training course for national officers and consultants</w:t>
            </w:r>
          </w:p>
          <w:p w14:paraId="56FCD593" w14:textId="77777777" w:rsidR="001160AF" w:rsidRPr="001160AF" w:rsidRDefault="001160AF" w:rsidP="00D17561">
            <w:pPr>
              <w:numPr>
                <w:ilvl w:val="0"/>
                <w:numId w:val="158"/>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Conduct the key environmental analysis and assessments and report them in the SEA environmental reports</w:t>
            </w:r>
          </w:p>
          <w:p w14:paraId="3C9A5772" w14:textId="77777777" w:rsidR="001160AF" w:rsidRPr="001160AF" w:rsidRDefault="001160AF" w:rsidP="00D17561">
            <w:pPr>
              <w:numPr>
                <w:ilvl w:val="0"/>
                <w:numId w:val="158"/>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Coordinate and oversee the activities of the national officers and consultants and review their technical outputs (reports and maps)</w:t>
            </w:r>
          </w:p>
          <w:p w14:paraId="0819919A" w14:textId="77777777" w:rsidR="001160AF" w:rsidRPr="001160AF" w:rsidRDefault="001160AF" w:rsidP="00D17561">
            <w:pPr>
              <w:numPr>
                <w:ilvl w:val="0"/>
                <w:numId w:val="158"/>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Provide suggestions and recommendations in order to monitor and follow-up the SEA results and update the guidelines</w:t>
            </w:r>
          </w:p>
          <w:p w14:paraId="57F3649C" w14:textId="77777777" w:rsidR="001160AF" w:rsidRPr="001160AF" w:rsidRDefault="001160AF" w:rsidP="00D17561">
            <w:pPr>
              <w:numPr>
                <w:ilvl w:val="0"/>
                <w:numId w:val="158"/>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Participate the main meetings with the national, states and local authorities and the key players</w:t>
            </w:r>
          </w:p>
        </w:tc>
        <w:tc>
          <w:tcPr>
            <w:tcW w:w="2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67A032"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Master’s degree or higher in environmental science  or related field;</w:t>
            </w:r>
          </w:p>
          <w:p w14:paraId="35796ABE"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at least ten years of relevant progressive work experience in conducting SEA process;</w:t>
            </w:r>
          </w:p>
          <w:p w14:paraId="0E00C6EE"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sound knowledge of biodiversity conservation and landscape/seascape planning;</w:t>
            </w:r>
          </w:p>
          <w:p w14:paraId="4EDC4C03" w14:textId="77777777" w:rsidR="001160AF" w:rsidRPr="001160AF" w:rsidRDefault="001160AF" w:rsidP="00D32FA2">
            <w:pPr>
              <w:spacing w:before="60"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Previous experience in environmental reporting (SEA environmental reports, Environmental Impact Statements, etc.);</w:t>
            </w:r>
          </w:p>
          <w:p w14:paraId="745CE7BA" w14:textId="77777777" w:rsidR="001160AF" w:rsidRPr="001160AF" w:rsidRDefault="001160AF" w:rsidP="00D32FA2">
            <w:pPr>
              <w:spacing w:before="60"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Previous experience in providing guidelines, handbooks or manuals for the application of the SEA;</w:t>
            </w:r>
          </w:p>
          <w:p w14:paraId="2B32C634" w14:textId="77777777" w:rsidR="001160AF" w:rsidRPr="001160AF" w:rsidRDefault="001160AF" w:rsidP="00D32FA2">
            <w:pPr>
              <w:spacing w:before="60"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 xml:space="preserve">Excellent analytical and report writing skills in English. </w:t>
            </w:r>
          </w:p>
          <w:p w14:paraId="55EA87A4" w14:textId="77777777" w:rsidR="001160AF" w:rsidRPr="001160AF" w:rsidRDefault="001160AF" w:rsidP="00D32FA2">
            <w:pPr>
              <w:spacing w:before="60"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Previous experience in small islands is an advantage.</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274BF" w14:textId="77777777" w:rsidR="001160AF" w:rsidRPr="001160AF" w:rsidRDefault="001160AF" w:rsidP="00D32FA2">
            <w:pPr>
              <w:spacing w:after="0"/>
              <w:jc w:val="left"/>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Written guidelines for the application of SEA to landscape/seascape plans and biodiversity conservation policies in Palau.</w:t>
            </w:r>
          </w:p>
          <w:p w14:paraId="592598E1"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1266D33F" w14:textId="77777777" w:rsidR="001160AF" w:rsidRPr="001160AF" w:rsidRDefault="001160AF" w:rsidP="00D17561">
            <w:pPr>
              <w:pStyle w:val="ListParagraph"/>
              <w:numPr>
                <w:ilvl w:val="0"/>
                <w:numId w:val="179"/>
              </w:numPr>
              <w:ind w:left="360"/>
              <w:contextualSpacing/>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Specific sections of the SEA reports (methodology, key environmental analysis and assessments, monitoring and follow-up).</w:t>
            </w:r>
          </w:p>
          <w:p w14:paraId="0DC2D3C2" w14:textId="77777777" w:rsidR="001160AF" w:rsidRPr="001160AF" w:rsidRDefault="001160AF" w:rsidP="00D17561">
            <w:pPr>
              <w:pStyle w:val="ListParagraph"/>
              <w:numPr>
                <w:ilvl w:val="0"/>
                <w:numId w:val="179"/>
              </w:numPr>
              <w:ind w:left="360"/>
              <w:contextualSpacing/>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Review of the SEA technical outputs.</w:t>
            </w:r>
          </w:p>
        </w:tc>
        <w:tc>
          <w:tcPr>
            <w:tcW w:w="1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271FA"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6 MM over the entire duration of the SEA processes</w:t>
            </w:r>
          </w:p>
        </w:tc>
        <w:tc>
          <w:tcPr>
            <w:tcW w:w="1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B35A6"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69,000 (Total; Travel inclusive)</w:t>
            </w:r>
          </w:p>
          <w:p w14:paraId="34E5F321"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74ACF9F3" w14:textId="77777777" w:rsidR="001160AF" w:rsidRPr="001160AF" w:rsidRDefault="001160AF" w:rsidP="00D17561">
            <w:pPr>
              <w:numPr>
                <w:ilvl w:val="0"/>
                <w:numId w:val="159"/>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 xml:space="preserve">50,000 (Integrated with EQPB) + </w:t>
            </w:r>
          </w:p>
          <w:p w14:paraId="2AFDCBA0" w14:textId="77777777" w:rsidR="001160AF" w:rsidRPr="001160AF" w:rsidRDefault="001160AF" w:rsidP="00D17561">
            <w:pPr>
              <w:numPr>
                <w:ilvl w:val="0"/>
                <w:numId w:val="159"/>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 xml:space="preserve">14,000 (Babeldaob) + </w:t>
            </w:r>
          </w:p>
          <w:p w14:paraId="657985C6" w14:textId="77777777" w:rsidR="001160AF" w:rsidRPr="001160AF" w:rsidRDefault="001160AF" w:rsidP="00D17561">
            <w:pPr>
              <w:numPr>
                <w:ilvl w:val="0"/>
                <w:numId w:val="159"/>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5,000 (Koror)</w:t>
            </w:r>
          </w:p>
        </w:tc>
      </w:tr>
      <w:tr w:rsidR="001160AF" w:rsidRPr="00A01750" w14:paraId="1BC42B03" w14:textId="77777777" w:rsidTr="00D32FA2">
        <w:trPr>
          <w:trHeight w:val="620"/>
        </w:trPr>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97F0C" w14:textId="77777777" w:rsidR="001160AF" w:rsidRPr="001160AF" w:rsidRDefault="001160AF" w:rsidP="00D32FA2">
            <w:pPr>
              <w:spacing w:after="0"/>
              <w:jc w:val="left"/>
              <w:rPr>
                <w:rFonts w:asciiTheme="majorHAnsi" w:eastAsia="Times New Roman" w:hAnsiTheme="majorHAnsi"/>
                <w:b/>
                <w:color w:val="000000" w:themeColor="text1"/>
                <w:sz w:val="18"/>
                <w:szCs w:val="18"/>
              </w:rPr>
            </w:pPr>
            <w:r w:rsidRPr="001160AF">
              <w:rPr>
                <w:rFonts w:asciiTheme="majorHAnsi" w:eastAsia="Times New Roman" w:hAnsiTheme="majorHAnsi" w:cs="Arial"/>
                <w:b/>
                <w:color w:val="000000" w:themeColor="text1"/>
                <w:sz w:val="18"/>
                <w:szCs w:val="18"/>
              </w:rPr>
              <w:t>8. Landscape/ Seascape Planner (Senior Advisor for ISLMPs) (Output 1.2)</w:t>
            </w:r>
          </w:p>
        </w:tc>
        <w:tc>
          <w:tcPr>
            <w:tcW w:w="3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7BEEBE" w14:textId="77777777" w:rsidR="001160AF" w:rsidRPr="001160AF" w:rsidRDefault="001160AF" w:rsidP="00D32FA2">
            <w:pPr>
              <w:spacing w:after="0"/>
              <w:jc w:val="left"/>
              <w:textAlignment w:val="baseline"/>
              <w:rPr>
                <w:rFonts w:asciiTheme="majorHAnsi" w:eastAsia="Times New Roman" w:hAnsiTheme="majorHAnsi" w:cs="Arial"/>
                <w:b/>
                <w:color w:val="000000" w:themeColor="text1"/>
                <w:sz w:val="18"/>
                <w:szCs w:val="18"/>
              </w:rPr>
            </w:pPr>
            <w:r w:rsidRPr="001160AF">
              <w:rPr>
                <w:rFonts w:asciiTheme="majorHAnsi" w:eastAsia="Times New Roman" w:hAnsiTheme="majorHAnsi" w:cs="Arial"/>
                <w:b/>
                <w:color w:val="000000" w:themeColor="text1"/>
                <w:sz w:val="18"/>
                <w:szCs w:val="18"/>
              </w:rPr>
              <w:t>Set up procedures and advise planning, including:</w:t>
            </w:r>
          </w:p>
          <w:p w14:paraId="5682B17C" w14:textId="77777777" w:rsidR="001160AF" w:rsidRPr="001160AF" w:rsidRDefault="001160AF" w:rsidP="00D17561">
            <w:pPr>
              <w:numPr>
                <w:ilvl w:val="0"/>
                <w:numId w:val="160"/>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Provide the guidelines for the landscape/seascape plans in Palau</w:t>
            </w:r>
          </w:p>
          <w:p w14:paraId="6EDFC04E" w14:textId="77777777" w:rsidR="001160AF" w:rsidRPr="001160AF" w:rsidRDefault="001160AF" w:rsidP="00D17561">
            <w:pPr>
              <w:numPr>
                <w:ilvl w:val="0"/>
                <w:numId w:val="160"/>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Draft the methodology of the landscape/seascape plans</w:t>
            </w:r>
          </w:p>
          <w:p w14:paraId="18E15D82" w14:textId="77777777" w:rsidR="001160AF" w:rsidRPr="001160AF" w:rsidRDefault="001160AF" w:rsidP="00D17561">
            <w:pPr>
              <w:numPr>
                <w:ilvl w:val="0"/>
                <w:numId w:val="160"/>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Provide a training course for national officers and consultants</w:t>
            </w:r>
          </w:p>
          <w:p w14:paraId="18CD10BB" w14:textId="77777777" w:rsidR="001160AF" w:rsidRPr="001160AF" w:rsidRDefault="001160AF" w:rsidP="00D17561">
            <w:pPr>
              <w:numPr>
                <w:ilvl w:val="0"/>
                <w:numId w:val="160"/>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Design the first landscape/seascape plan in Palau and  coordinate and oversee the activities of the national officers and consultants and review their technical outputs (reports and maps)</w:t>
            </w:r>
          </w:p>
          <w:p w14:paraId="0E079ADF" w14:textId="77777777" w:rsidR="001160AF" w:rsidRPr="001160AF" w:rsidRDefault="001160AF" w:rsidP="00D17561">
            <w:pPr>
              <w:numPr>
                <w:ilvl w:val="0"/>
                <w:numId w:val="160"/>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For the following landscape/seascape plans, coordinate and oversee the activities of the national officers and consultants and review their technical outputs (reports and maps)</w:t>
            </w:r>
          </w:p>
          <w:p w14:paraId="54CD14AF" w14:textId="77777777" w:rsidR="001160AF" w:rsidRPr="001160AF" w:rsidRDefault="001160AF" w:rsidP="00D17561">
            <w:pPr>
              <w:numPr>
                <w:ilvl w:val="0"/>
                <w:numId w:val="160"/>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Provide suggestions and recommendations in order to monitor and follow-up the plans’ results and update the guidelines</w:t>
            </w:r>
          </w:p>
          <w:p w14:paraId="5A9F55D7" w14:textId="77777777" w:rsidR="001160AF" w:rsidRPr="001160AF" w:rsidRDefault="001160AF" w:rsidP="00D17561">
            <w:pPr>
              <w:numPr>
                <w:ilvl w:val="0"/>
                <w:numId w:val="160"/>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Participate in the main meetings with the national, states and local authorities and the key players</w:t>
            </w:r>
          </w:p>
          <w:p w14:paraId="2DACF1E6" w14:textId="77777777" w:rsidR="001160AF" w:rsidRPr="001160AF" w:rsidRDefault="001160AF" w:rsidP="00D32FA2">
            <w:pPr>
              <w:spacing w:after="0"/>
              <w:jc w:val="left"/>
              <w:textAlignment w:val="baseline"/>
              <w:rPr>
                <w:rFonts w:asciiTheme="majorHAnsi" w:eastAsia="Times New Roman" w:hAnsiTheme="majorHAnsi" w:cs="Arial"/>
                <w:color w:val="000000" w:themeColor="text1"/>
                <w:sz w:val="18"/>
                <w:szCs w:val="18"/>
              </w:rPr>
            </w:pPr>
          </w:p>
          <w:p w14:paraId="5EC8C165" w14:textId="77777777" w:rsidR="001160AF" w:rsidRPr="001160AF" w:rsidRDefault="001160AF" w:rsidP="00D32FA2">
            <w:p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In Year 3, conduct a review of plans that have been produced so far to determine level of mainstreaming and level of compliance with national biodiversity and biosecurity policies.</w:t>
            </w:r>
          </w:p>
        </w:tc>
        <w:tc>
          <w:tcPr>
            <w:tcW w:w="2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02C69" w14:textId="77777777" w:rsidR="001160AF" w:rsidRPr="001160AF" w:rsidRDefault="001160AF" w:rsidP="00D32FA2">
            <w:pPr>
              <w:spacing w:after="0"/>
              <w:jc w:val="left"/>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Master’s degree or higher in environmental science, spatial planning  or related field;</w:t>
            </w:r>
          </w:p>
          <w:p w14:paraId="3FA4A77D"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2ABA3D1B" w14:textId="4B979B1F" w:rsidR="001160AF" w:rsidRPr="001160AF" w:rsidRDefault="001160AF" w:rsidP="00D17561">
            <w:pPr>
              <w:pStyle w:val="ListParagraph"/>
              <w:numPr>
                <w:ilvl w:val="0"/>
                <w:numId w:val="182"/>
              </w:numPr>
              <w:contextualSpacing/>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At least ten years of relevant progressive work experience in conducting landscape/seascape plans, protected areas plans, biodiversity conservation programs;</w:t>
            </w:r>
          </w:p>
          <w:p w14:paraId="45C6EE5A" w14:textId="77777777" w:rsidR="001160AF" w:rsidRPr="001160AF" w:rsidRDefault="001160AF" w:rsidP="00D17561">
            <w:pPr>
              <w:pStyle w:val="ListParagraph"/>
              <w:numPr>
                <w:ilvl w:val="0"/>
                <w:numId w:val="182"/>
              </w:numPr>
              <w:spacing w:before="60"/>
              <w:contextualSpacing/>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Previous experience in providing guidelines, handbooks or manuals for biodiversity conservation policies, landscape/ seascape planning and/or mainstreaming biodiversity conservation into the identified key sectors (fisheries, aquaculture, agriculture, forestry, tourism);</w:t>
            </w:r>
          </w:p>
          <w:p w14:paraId="7BB2DFB6" w14:textId="77777777" w:rsidR="001160AF" w:rsidRPr="001160AF" w:rsidRDefault="001160AF" w:rsidP="00D17561">
            <w:pPr>
              <w:pStyle w:val="ListParagraph"/>
              <w:numPr>
                <w:ilvl w:val="0"/>
                <w:numId w:val="182"/>
              </w:numPr>
              <w:spacing w:before="60"/>
              <w:contextualSpacing/>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Previous experience in small islands is an advantage.</w:t>
            </w:r>
          </w:p>
          <w:p w14:paraId="183D5456" w14:textId="77777777" w:rsidR="001160AF" w:rsidRPr="001160AF" w:rsidRDefault="001160AF" w:rsidP="00D17561">
            <w:pPr>
              <w:pStyle w:val="ListParagraph"/>
              <w:numPr>
                <w:ilvl w:val="0"/>
                <w:numId w:val="182"/>
              </w:numPr>
              <w:spacing w:before="60"/>
              <w:contextualSpacing/>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Specific knowledge of one or more of the key sectors is an asset.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92D9B" w14:textId="77777777" w:rsidR="001160AF" w:rsidRPr="001160AF" w:rsidRDefault="001160AF" w:rsidP="00D32FA2">
            <w:pPr>
              <w:spacing w:after="0"/>
              <w:jc w:val="left"/>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Guidelines for the landscape/seascape plans in Palau</w:t>
            </w:r>
          </w:p>
          <w:p w14:paraId="3DB735ED"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389C9BCA"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Specific sections of the first plan outputs (methodology, main orientations, strategy, actions, zoning, follow-up)</w:t>
            </w:r>
          </w:p>
          <w:p w14:paraId="6B11744A"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Review of the plans’ technical outputs (maps and reports)</w:t>
            </w:r>
          </w:p>
        </w:tc>
        <w:tc>
          <w:tcPr>
            <w:tcW w:w="1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727E8"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7 MM (years 1-3)</w:t>
            </w:r>
          </w:p>
        </w:tc>
        <w:tc>
          <w:tcPr>
            <w:tcW w:w="1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B2ADDA"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85,000 (Total; Travel inclusive)</w:t>
            </w:r>
          </w:p>
        </w:tc>
      </w:tr>
      <w:tr w:rsidR="001160AF" w:rsidRPr="00A01750" w14:paraId="18D66E68" w14:textId="77777777" w:rsidTr="00D32FA2">
        <w:trPr>
          <w:trHeight w:val="440"/>
        </w:trPr>
        <w:tc>
          <w:tcPr>
            <w:tcW w:w="13661" w:type="dxa"/>
            <w:gridSpan w:val="6"/>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hideMark/>
          </w:tcPr>
          <w:p w14:paraId="4FB2C904" w14:textId="77777777" w:rsidR="001160AF" w:rsidRPr="001160AF" w:rsidRDefault="001160AF" w:rsidP="00D32FA2">
            <w:pPr>
              <w:spacing w:after="0"/>
              <w:jc w:val="left"/>
              <w:rPr>
                <w:rFonts w:asciiTheme="majorHAnsi" w:eastAsia="Times New Roman" w:hAnsiTheme="majorHAnsi"/>
                <w:b/>
                <w:color w:val="000000" w:themeColor="text1"/>
                <w:sz w:val="18"/>
                <w:szCs w:val="18"/>
              </w:rPr>
            </w:pPr>
            <w:r w:rsidRPr="001160AF">
              <w:rPr>
                <w:rFonts w:asciiTheme="majorHAnsi" w:eastAsia="Times New Roman" w:hAnsiTheme="majorHAnsi" w:cs="Arial"/>
                <w:b/>
                <w:bCs/>
                <w:color w:val="000000" w:themeColor="text1"/>
                <w:sz w:val="18"/>
                <w:szCs w:val="18"/>
              </w:rPr>
              <w:t>National Consultants (Individuals)</w:t>
            </w:r>
          </w:p>
        </w:tc>
      </w:tr>
      <w:tr w:rsidR="001160AF" w:rsidRPr="00A01750" w14:paraId="61935CDE" w14:textId="77777777" w:rsidTr="00D32FA2">
        <w:trPr>
          <w:trHeight w:val="800"/>
        </w:trPr>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637FC" w14:textId="75C08C2C" w:rsidR="001160AF" w:rsidRPr="001160AF" w:rsidRDefault="001160AF" w:rsidP="00D32FA2">
            <w:pPr>
              <w:spacing w:after="0"/>
              <w:jc w:val="left"/>
              <w:rPr>
                <w:rFonts w:asciiTheme="majorHAnsi" w:eastAsia="Times New Roman" w:hAnsiTheme="majorHAnsi"/>
                <w:b/>
                <w:color w:val="000000" w:themeColor="text1"/>
                <w:sz w:val="18"/>
                <w:szCs w:val="18"/>
              </w:rPr>
            </w:pPr>
            <w:r w:rsidRPr="001160AF">
              <w:rPr>
                <w:rFonts w:asciiTheme="majorHAnsi" w:eastAsia="Times New Roman" w:hAnsiTheme="majorHAnsi" w:cs="Arial"/>
                <w:b/>
                <w:color w:val="000000" w:themeColor="text1"/>
                <w:sz w:val="18"/>
                <w:szCs w:val="18"/>
              </w:rPr>
              <w:t>1</w:t>
            </w:r>
            <w:r w:rsidR="00194AA1">
              <w:rPr>
                <w:rFonts w:asciiTheme="majorHAnsi" w:eastAsia="Times New Roman" w:hAnsiTheme="majorHAnsi" w:cs="Arial"/>
                <w:b/>
                <w:color w:val="000000" w:themeColor="text1"/>
                <w:sz w:val="18"/>
                <w:szCs w:val="18"/>
              </w:rPr>
              <w:t xml:space="preserve">. </w:t>
            </w:r>
            <w:r w:rsidRPr="001160AF">
              <w:rPr>
                <w:rFonts w:asciiTheme="majorHAnsi" w:eastAsia="Times New Roman" w:hAnsiTheme="majorHAnsi" w:cs="Arial"/>
                <w:b/>
                <w:color w:val="000000" w:themeColor="text1"/>
                <w:sz w:val="18"/>
                <w:szCs w:val="18"/>
              </w:rPr>
              <w:t>Best Practice Guidelines</w:t>
            </w:r>
          </w:p>
          <w:p w14:paraId="07AEC532" w14:textId="77777777" w:rsidR="001160AF" w:rsidRPr="001160AF" w:rsidRDefault="001160AF" w:rsidP="00D32FA2">
            <w:pPr>
              <w:spacing w:after="0"/>
              <w:jc w:val="left"/>
              <w:rPr>
                <w:rFonts w:asciiTheme="majorHAnsi" w:eastAsia="Times New Roman" w:hAnsiTheme="majorHAnsi"/>
                <w:b/>
                <w:color w:val="000000" w:themeColor="text1"/>
                <w:sz w:val="18"/>
                <w:szCs w:val="18"/>
              </w:rPr>
            </w:pPr>
            <w:r w:rsidRPr="001160AF">
              <w:rPr>
                <w:rFonts w:asciiTheme="majorHAnsi" w:eastAsia="Times New Roman" w:hAnsiTheme="majorHAnsi" w:cs="Arial"/>
                <w:b/>
                <w:color w:val="000000" w:themeColor="text1"/>
                <w:sz w:val="18"/>
                <w:szCs w:val="18"/>
              </w:rPr>
              <w:t>(combines biosecurity and others) (Outputs 1.3 and 2.3)</w:t>
            </w:r>
          </w:p>
          <w:p w14:paraId="56CFD260" w14:textId="77777777" w:rsidR="001160AF" w:rsidRPr="001160AF" w:rsidRDefault="001160AF" w:rsidP="00D32FA2">
            <w:pPr>
              <w:spacing w:after="0"/>
              <w:jc w:val="left"/>
              <w:rPr>
                <w:rFonts w:asciiTheme="majorHAnsi" w:eastAsia="Times New Roman" w:hAnsiTheme="majorHAnsi"/>
                <w:b/>
                <w:color w:val="000000" w:themeColor="text1"/>
                <w:sz w:val="18"/>
                <w:szCs w:val="18"/>
              </w:rPr>
            </w:pPr>
          </w:p>
        </w:tc>
        <w:tc>
          <w:tcPr>
            <w:tcW w:w="3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68417" w14:textId="77777777" w:rsidR="001160AF" w:rsidRPr="001160AF" w:rsidRDefault="001160AF" w:rsidP="00D32FA2">
            <w:p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b/>
                <w:color w:val="000000" w:themeColor="text1"/>
                <w:sz w:val="18"/>
                <w:szCs w:val="18"/>
              </w:rPr>
              <w:t>Review existing national and local documents for best practices in project’s key sectors, and identify relevant best practices</w:t>
            </w:r>
            <w:r w:rsidRPr="001160AF">
              <w:rPr>
                <w:rFonts w:asciiTheme="majorHAnsi" w:eastAsia="Times New Roman" w:hAnsiTheme="majorHAnsi" w:cs="Arial"/>
                <w:color w:val="000000" w:themeColor="text1"/>
                <w:sz w:val="18"/>
                <w:szCs w:val="18"/>
              </w:rPr>
              <w:t xml:space="preserve"> from international guidance documents, and then compile/develop best practices and guidelines for:</w:t>
            </w:r>
          </w:p>
          <w:p w14:paraId="43C650AE" w14:textId="77777777" w:rsidR="001160AF" w:rsidRPr="001160AF" w:rsidRDefault="001160AF" w:rsidP="00D17561">
            <w:pPr>
              <w:numPr>
                <w:ilvl w:val="0"/>
                <w:numId w:val="172"/>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Review and identification of best practices concerning landscape/seascape planning, SEA applied to landscape/seascape planning and conservation policies and mainstreaming biodiversity conservation into the identified key sectors (fisheries, aquaculture, agriculture, forestry, tourism), especially within small islands and Small Island Developing States;</w:t>
            </w:r>
          </w:p>
          <w:p w14:paraId="2A11F376" w14:textId="77777777" w:rsidR="001160AF" w:rsidRPr="001160AF" w:rsidRDefault="001160AF" w:rsidP="00D17561">
            <w:pPr>
              <w:numPr>
                <w:ilvl w:val="1"/>
                <w:numId w:val="172"/>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Particular emphasis on restoration of degraded lands.</w:t>
            </w:r>
          </w:p>
          <w:p w14:paraId="0DB5BDF4" w14:textId="77777777" w:rsidR="001160AF" w:rsidRPr="001160AF" w:rsidRDefault="001160AF" w:rsidP="00D17561">
            <w:pPr>
              <w:numPr>
                <w:ilvl w:val="0"/>
                <w:numId w:val="172"/>
              </w:numPr>
              <w:spacing w:before="60" w:after="0"/>
              <w:jc w:val="left"/>
              <w:textAlignment w:val="baseline"/>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Guidelines and best practices for use of native species for landscaping, aquaculture, agriculture and forestry</w:t>
            </w:r>
          </w:p>
        </w:tc>
        <w:tc>
          <w:tcPr>
            <w:tcW w:w="2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44E314"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Bachelor’s degree or higher in environmental science  or related field;</w:t>
            </w:r>
          </w:p>
          <w:p w14:paraId="3DC83AE7"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at least five years of relevant progressive work experience in biodiversity conservation and sustainable development;</w:t>
            </w:r>
          </w:p>
          <w:p w14:paraId="45887214" w14:textId="77777777" w:rsidR="001160AF" w:rsidRPr="001160AF" w:rsidRDefault="001160AF" w:rsidP="00D32FA2">
            <w:pPr>
              <w:spacing w:before="60"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Previous experience in providing guidelines, handbooks or manuals on biodiversity conservation, sustainable development and/or landscape/seascape planning;</w:t>
            </w:r>
          </w:p>
          <w:p w14:paraId="1E8D5205" w14:textId="77777777" w:rsidR="001160AF" w:rsidRPr="001160AF" w:rsidRDefault="001160AF" w:rsidP="00D32FA2">
            <w:pPr>
              <w:spacing w:before="60"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Previous experience in small islands is an advantage.</w:t>
            </w:r>
          </w:p>
          <w:p w14:paraId="2E903ABF" w14:textId="77777777" w:rsidR="001160AF" w:rsidRPr="001160AF" w:rsidRDefault="001160AF" w:rsidP="00D32FA2">
            <w:pPr>
              <w:spacing w:before="60"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Specific knowledge of one or more of the key sectors is an asset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2A7C50" w14:textId="77777777" w:rsidR="001160AF" w:rsidRPr="001160AF" w:rsidRDefault="001160AF" w:rsidP="00D32FA2">
            <w:pPr>
              <w:spacing w:after="0"/>
              <w:jc w:val="left"/>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2 Best practice guidelines:</w:t>
            </w:r>
          </w:p>
          <w:p w14:paraId="6EEFFB7A" w14:textId="77777777" w:rsidR="001160AF" w:rsidRPr="001160AF" w:rsidRDefault="001160AF" w:rsidP="00D32FA2">
            <w:pPr>
              <w:spacing w:after="0"/>
              <w:jc w:val="left"/>
              <w:rPr>
                <w:rFonts w:asciiTheme="majorHAnsi" w:eastAsia="Times New Roman" w:hAnsiTheme="majorHAnsi" w:cs="Arial"/>
                <w:color w:val="000000" w:themeColor="text1"/>
                <w:sz w:val="18"/>
                <w:szCs w:val="18"/>
              </w:rPr>
            </w:pPr>
          </w:p>
          <w:p w14:paraId="078F5F40" w14:textId="77777777" w:rsidR="001160AF" w:rsidRPr="001160AF" w:rsidRDefault="001160AF" w:rsidP="00D17561">
            <w:pPr>
              <w:pStyle w:val="ListParagraph"/>
              <w:numPr>
                <w:ilvl w:val="0"/>
                <w:numId w:val="180"/>
              </w:numPr>
              <w:ind w:left="360"/>
              <w:contextualSpacing/>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1 document on landscape/seascape planning and methods for mainstreaming and relevant best practices in the 5 project sectors;</w:t>
            </w:r>
          </w:p>
          <w:p w14:paraId="2245CB55" w14:textId="77777777" w:rsidR="001160AF" w:rsidRPr="001160AF" w:rsidRDefault="001160AF" w:rsidP="00D17561">
            <w:pPr>
              <w:pStyle w:val="ListParagraph"/>
              <w:numPr>
                <w:ilvl w:val="0"/>
                <w:numId w:val="180"/>
              </w:numPr>
              <w:ind w:left="360"/>
              <w:contextualSpacing/>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 xml:space="preserve">Best practice sheets (with photos) for use of native species. </w:t>
            </w:r>
          </w:p>
        </w:tc>
        <w:tc>
          <w:tcPr>
            <w:tcW w:w="1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962E61" w14:textId="77777777" w:rsidR="001160AF" w:rsidRPr="001160AF" w:rsidRDefault="001160AF" w:rsidP="00D32FA2">
            <w:pPr>
              <w:spacing w:after="0"/>
              <w:jc w:val="left"/>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1.5 MM</w:t>
            </w:r>
          </w:p>
          <w:p w14:paraId="1E7E296A" w14:textId="77777777" w:rsidR="001160AF" w:rsidRPr="001160AF" w:rsidRDefault="001160AF" w:rsidP="00D32FA2">
            <w:pPr>
              <w:spacing w:after="0"/>
              <w:jc w:val="left"/>
              <w:rPr>
                <w:rFonts w:asciiTheme="majorHAnsi" w:eastAsia="Times New Roman" w:hAnsiTheme="majorHAnsi" w:cs="Arial"/>
                <w:color w:val="000000" w:themeColor="text1"/>
                <w:sz w:val="18"/>
                <w:szCs w:val="18"/>
              </w:rPr>
            </w:pPr>
          </w:p>
          <w:p w14:paraId="690789BE"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(Year 1 and Year 3)</w:t>
            </w:r>
          </w:p>
        </w:tc>
        <w:tc>
          <w:tcPr>
            <w:tcW w:w="1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3C2DBD"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15,000</w:t>
            </w:r>
          </w:p>
          <w:p w14:paraId="5CB3A531"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72D53A77" w14:textId="77777777" w:rsidR="001160AF" w:rsidRPr="001160AF" w:rsidRDefault="001160AF" w:rsidP="00D17561">
            <w:pPr>
              <w:pStyle w:val="ListParagraph"/>
              <w:numPr>
                <w:ilvl w:val="0"/>
                <w:numId w:val="181"/>
              </w:numPr>
              <w:contextualSpacing/>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5,000 ((Native species) +</w:t>
            </w:r>
          </w:p>
          <w:p w14:paraId="7930D61F" w14:textId="77777777" w:rsidR="001160AF" w:rsidRPr="001160AF" w:rsidRDefault="001160AF" w:rsidP="00D17561">
            <w:pPr>
              <w:pStyle w:val="ListParagraph"/>
              <w:numPr>
                <w:ilvl w:val="0"/>
                <w:numId w:val="181"/>
              </w:numPr>
              <w:contextualSpacing/>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10,000 (Best practices for planning and in 5 sectors)</w:t>
            </w:r>
          </w:p>
        </w:tc>
      </w:tr>
      <w:tr w:rsidR="001160AF" w:rsidRPr="00A01750" w14:paraId="7B0CCDB2" w14:textId="77777777" w:rsidTr="00D32FA2">
        <w:trPr>
          <w:trHeight w:val="1100"/>
        </w:trPr>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5EA95B" w14:textId="67F6167F" w:rsidR="001160AF" w:rsidRPr="001160AF" w:rsidRDefault="001160AF" w:rsidP="00D32FA2">
            <w:pPr>
              <w:spacing w:after="0"/>
              <w:jc w:val="left"/>
              <w:rPr>
                <w:rFonts w:asciiTheme="majorHAnsi" w:eastAsia="Times New Roman" w:hAnsiTheme="majorHAnsi"/>
                <w:b/>
                <w:color w:val="000000" w:themeColor="text1"/>
                <w:sz w:val="18"/>
                <w:szCs w:val="18"/>
              </w:rPr>
            </w:pPr>
            <w:r w:rsidRPr="001160AF">
              <w:rPr>
                <w:rFonts w:asciiTheme="majorHAnsi" w:eastAsia="Times New Roman" w:hAnsiTheme="majorHAnsi" w:cs="Arial"/>
                <w:b/>
                <w:color w:val="000000" w:themeColor="text1"/>
                <w:sz w:val="18"/>
                <w:szCs w:val="18"/>
              </w:rPr>
              <w:t>2</w:t>
            </w:r>
            <w:r w:rsidR="00194AA1">
              <w:rPr>
                <w:rFonts w:asciiTheme="majorHAnsi" w:eastAsia="Times New Roman" w:hAnsiTheme="majorHAnsi" w:cs="Arial"/>
                <w:b/>
                <w:color w:val="000000" w:themeColor="text1"/>
                <w:sz w:val="18"/>
                <w:szCs w:val="18"/>
              </w:rPr>
              <w:t xml:space="preserve">. </w:t>
            </w:r>
            <w:r w:rsidRPr="001160AF">
              <w:rPr>
                <w:rFonts w:asciiTheme="majorHAnsi" w:eastAsia="Times New Roman" w:hAnsiTheme="majorHAnsi" w:cs="Arial"/>
                <w:b/>
                <w:color w:val="000000" w:themeColor="text1"/>
                <w:sz w:val="18"/>
                <w:szCs w:val="18"/>
              </w:rPr>
              <w:t>Business Planning Framework (Output 3.2)</w:t>
            </w:r>
          </w:p>
        </w:tc>
        <w:tc>
          <w:tcPr>
            <w:tcW w:w="3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93F9CC" w14:textId="77777777" w:rsidR="001160AF" w:rsidRPr="001160AF" w:rsidRDefault="001160AF" w:rsidP="00D32FA2">
            <w:pPr>
              <w:spacing w:before="60" w:after="0"/>
              <w:jc w:val="left"/>
              <w:rPr>
                <w:rFonts w:asciiTheme="majorHAnsi" w:eastAsia="Times New Roman" w:hAnsiTheme="majorHAnsi" w:cs="Arial"/>
                <w:iCs/>
                <w:color w:val="000000" w:themeColor="text1"/>
                <w:sz w:val="18"/>
                <w:szCs w:val="18"/>
              </w:rPr>
            </w:pPr>
            <w:r w:rsidRPr="001160AF">
              <w:rPr>
                <w:rFonts w:asciiTheme="majorHAnsi" w:eastAsia="Times New Roman" w:hAnsiTheme="majorHAnsi" w:cs="Arial"/>
                <w:b/>
                <w:iCs/>
                <w:color w:val="000000" w:themeColor="text1"/>
                <w:sz w:val="18"/>
                <w:szCs w:val="18"/>
              </w:rPr>
              <w:t>Develop user-friendly manual, best practice guidelines, and templates to guide business planning</w:t>
            </w:r>
            <w:r w:rsidRPr="001160AF">
              <w:rPr>
                <w:rFonts w:asciiTheme="majorHAnsi" w:eastAsia="Times New Roman" w:hAnsiTheme="majorHAnsi" w:cs="Arial"/>
                <w:iCs/>
                <w:color w:val="000000" w:themeColor="text1"/>
                <w:sz w:val="18"/>
                <w:szCs w:val="18"/>
              </w:rPr>
              <w:t xml:space="preserve"> for small businesses and local/small-scale sustainable tourism ventures, plus develop instructions for their use, such that businesses mainstream biodiversity and biosecurity into the financial plans of the businesses.</w:t>
            </w:r>
          </w:p>
          <w:p w14:paraId="3EE2FD1F" w14:textId="77777777" w:rsidR="001160AF" w:rsidRPr="001160AF" w:rsidRDefault="001160AF" w:rsidP="00D32FA2">
            <w:pPr>
              <w:spacing w:before="60" w:after="0"/>
              <w:jc w:val="left"/>
              <w:rPr>
                <w:rFonts w:asciiTheme="majorHAnsi" w:eastAsia="Times New Roman" w:hAnsiTheme="majorHAnsi" w:cs="Arial"/>
                <w:iCs/>
                <w:color w:val="000000" w:themeColor="text1"/>
                <w:sz w:val="18"/>
                <w:szCs w:val="18"/>
              </w:rPr>
            </w:pPr>
          </w:p>
          <w:p w14:paraId="25156B53" w14:textId="77777777" w:rsidR="001160AF" w:rsidRPr="001160AF" w:rsidRDefault="001160AF" w:rsidP="00D32FA2">
            <w:pPr>
              <w:spacing w:before="60"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Set up and agree on the direct financing mechanisms and selection/evaluation of best practices by states based on the outcomes of ILSMPs; including criteria, reporting, and standards</w:t>
            </w:r>
          </w:p>
        </w:tc>
        <w:tc>
          <w:tcPr>
            <w:tcW w:w="2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3198E"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Bachelor’s degree or higher in economics, business, or related field.</w:t>
            </w:r>
          </w:p>
          <w:p w14:paraId="74B84495"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5C2C0CD3"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At least 2 years experience in sustainable tourism.</w:t>
            </w:r>
          </w:p>
          <w:p w14:paraId="20F4EEDE"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6F7C89EC"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Knowledge of IAS and biodiversity preferred.</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40352" w14:textId="77777777" w:rsidR="001160AF" w:rsidRPr="001160AF" w:rsidRDefault="001160AF" w:rsidP="00D17561">
            <w:pPr>
              <w:pStyle w:val="ListParagraph"/>
              <w:numPr>
                <w:ilvl w:val="0"/>
                <w:numId w:val="173"/>
              </w:numPr>
              <w:contextualSpacing/>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Manual with guidelines for how to develop a small-scale, biodiversity-integrated business plan;</w:t>
            </w:r>
          </w:p>
          <w:p w14:paraId="55C01982" w14:textId="77777777" w:rsidR="001160AF" w:rsidRPr="001160AF" w:rsidRDefault="001160AF" w:rsidP="00D17561">
            <w:pPr>
              <w:pStyle w:val="ListParagraph"/>
              <w:numPr>
                <w:ilvl w:val="0"/>
                <w:numId w:val="173"/>
              </w:numPr>
              <w:contextualSpacing/>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Templates</w:t>
            </w:r>
          </w:p>
          <w:p w14:paraId="459F7D52" w14:textId="77777777" w:rsidR="001160AF" w:rsidRPr="001160AF" w:rsidRDefault="001160AF" w:rsidP="00D17561">
            <w:pPr>
              <w:pStyle w:val="ListParagraph"/>
              <w:numPr>
                <w:ilvl w:val="0"/>
                <w:numId w:val="173"/>
              </w:numPr>
              <w:contextualSpacing/>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Instructions for use of the manual.</w:t>
            </w:r>
          </w:p>
        </w:tc>
        <w:tc>
          <w:tcPr>
            <w:tcW w:w="1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79E9D"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2 MM</w:t>
            </w:r>
          </w:p>
          <w:p w14:paraId="5DACAF1F"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44C71A0B"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(Year 4)</w:t>
            </w:r>
          </w:p>
        </w:tc>
        <w:tc>
          <w:tcPr>
            <w:tcW w:w="1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EF369"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20,000</w:t>
            </w:r>
          </w:p>
        </w:tc>
      </w:tr>
      <w:tr w:rsidR="001160AF" w:rsidRPr="00A01750" w14:paraId="3E99FC72" w14:textId="77777777" w:rsidTr="00D32FA2">
        <w:trPr>
          <w:trHeight w:val="1400"/>
        </w:trPr>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C1B9A" w14:textId="6E149847" w:rsidR="001160AF" w:rsidRPr="001160AF" w:rsidRDefault="001160AF" w:rsidP="00D32FA2">
            <w:pPr>
              <w:spacing w:after="0"/>
              <w:jc w:val="left"/>
              <w:rPr>
                <w:rFonts w:asciiTheme="majorHAnsi" w:eastAsia="Times New Roman" w:hAnsiTheme="majorHAnsi"/>
                <w:b/>
                <w:color w:val="000000" w:themeColor="text1"/>
                <w:sz w:val="18"/>
                <w:szCs w:val="18"/>
              </w:rPr>
            </w:pPr>
            <w:r w:rsidRPr="001160AF">
              <w:rPr>
                <w:rFonts w:asciiTheme="majorHAnsi" w:eastAsia="Times New Roman" w:hAnsiTheme="majorHAnsi" w:cs="Arial"/>
                <w:b/>
                <w:color w:val="000000" w:themeColor="text1"/>
                <w:sz w:val="18"/>
                <w:szCs w:val="18"/>
              </w:rPr>
              <w:t>3</w:t>
            </w:r>
            <w:r w:rsidR="00194AA1">
              <w:rPr>
                <w:rFonts w:asciiTheme="majorHAnsi" w:eastAsia="Times New Roman" w:hAnsiTheme="majorHAnsi" w:cs="Arial"/>
                <w:b/>
                <w:color w:val="000000" w:themeColor="text1"/>
                <w:sz w:val="18"/>
                <w:szCs w:val="18"/>
              </w:rPr>
              <w:t xml:space="preserve">. </w:t>
            </w:r>
            <w:r w:rsidRPr="001160AF">
              <w:rPr>
                <w:rFonts w:asciiTheme="majorHAnsi" w:eastAsia="Times New Roman" w:hAnsiTheme="majorHAnsi" w:cs="Arial"/>
                <w:b/>
                <w:color w:val="000000" w:themeColor="text1"/>
                <w:sz w:val="18"/>
                <w:szCs w:val="18"/>
              </w:rPr>
              <w:t>Develop Legal and Planning Frameworks (combines biosecurity and others) (Outputs 1.2, 1.3, and 3.2)</w:t>
            </w:r>
          </w:p>
        </w:tc>
        <w:tc>
          <w:tcPr>
            <w:tcW w:w="3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FBB930" w14:textId="77777777" w:rsidR="001160AF" w:rsidRPr="001160AF" w:rsidRDefault="001160AF" w:rsidP="00D17561">
            <w:pPr>
              <w:numPr>
                <w:ilvl w:val="0"/>
                <w:numId w:val="161"/>
              </w:numPr>
              <w:spacing w:after="0"/>
              <w:jc w:val="left"/>
              <w:textAlignment w:val="baseline"/>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Develop a framework and legal procedure to discuss and approve the landscape/seascape plans at the inter-institutional level (national and state levels), under the JCB</w:t>
            </w:r>
          </w:p>
          <w:p w14:paraId="1CFC42E7" w14:textId="77777777" w:rsidR="001160AF" w:rsidRPr="001160AF" w:rsidRDefault="001160AF" w:rsidP="00D17561">
            <w:pPr>
              <w:numPr>
                <w:ilvl w:val="0"/>
                <w:numId w:val="161"/>
              </w:numPr>
              <w:spacing w:after="0"/>
              <w:jc w:val="left"/>
              <w:textAlignment w:val="baseline"/>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Develop national framework for inter-state/inter-island biosecurity that details how national-state mechanisms work and where oversight sits; with standardized roles</w:t>
            </w:r>
          </w:p>
          <w:p w14:paraId="149F50F1" w14:textId="77777777" w:rsidR="001160AF" w:rsidRPr="001160AF" w:rsidRDefault="001160AF" w:rsidP="00D17561">
            <w:pPr>
              <w:numPr>
                <w:ilvl w:val="0"/>
                <w:numId w:val="161"/>
              </w:numPr>
              <w:spacing w:after="0"/>
              <w:jc w:val="left"/>
              <w:textAlignment w:val="baseline"/>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Update rules and guidelines for leases and environmentally friendly practices (non-IAS)</w:t>
            </w:r>
          </w:p>
          <w:p w14:paraId="3EF0E9CB" w14:textId="77777777" w:rsidR="001160AF" w:rsidRPr="001160AF" w:rsidRDefault="001160AF" w:rsidP="00D17561">
            <w:pPr>
              <w:numPr>
                <w:ilvl w:val="0"/>
                <w:numId w:val="161"/>
              </w:numPr>
              <w:spacing w:after="0"/>
              <w:jc w:val="left"/>
              <w:textAlignment w:val="baseline"/>
              <w:rPr>
                <w:rFonts w:asciiTheme="majorHAnsi" w:eastAsia="Times New Roman" w:hAnsiTheme="majorHAnsi" w:cs="Arial"/>
                <w:i/>
                <w:iCs/>
                <w:color w:val="000000" w:themeColor="text1"/>
                <w:sz w:val="18"/>
                <w:szCs w:val="18"/>
              </w:rPr>
            </w:pPr>
            <w:r w:rsidRPr="001160AF">
              <w:rPr>
                <w:rFonts w:asciiTheme="majorHAnsi" w:eastAsia="Times New Roman" w:hAnsiTheme="majorHAnsi" w:cs="Arial"/>
                <w:iCs/>
                <w:color w:val="000000" w:themeColor="text1"/>
                <w:sz w:val="18"/>
                <w:szCs w:val="18"/>
              </w:rPr>
              <w:t>Integrate information from state level reviews into state tourism framework (non-IAS)</w:t>
            </w:r>
          </w:p>
        </w:tc>
        <w:tc>
          <w:tcPr>
            <w:tcW w:w="2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5EC16" w14:textId="77777777" w:rsidR="001160AF" w:rsidRPr="001160AF" w:rsidRDefault="001160AF" w:rsidP="00D32FA2">
            <w:pPr>
              <w:spacing w:after="0"/>
              <w:jc w:val="left"/>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Understanding of Palauan modern and traditional laws</w:t>
            </w:r>
          </w:p>
          <w:p w14:paraId="047ECB95" w14:textId="77777777" w:rsidR="001160AF" w:rsidRPr="001160AF" w:rsidRDefault="001160AF" w:rsidP="00D32FA2">
            <w:pPr>
              <w:spacing w:after="0"/>
              <w:jc w:val="left"/>
              <w:rPr>
                <w:rFonts w:asciiTheme="majorHAnsi" w:eastAsia="Times New Roman" w:hAnsiTheme="majorHAnsi" w:cs="Arial"/>
                <w:iCs/>
                <w:color w:val="000000" w:themeColor="text1"/>
                <w:sz w:val="18"/>
                <w:szCs w:val="18"/>
              </w:rPr>
            </w:pPr>
          </w:p>
          <w:p w14:paraId="0F54C077" w14:textId="77777777" w:rsidR="001160AF" w:rsidRPr="001160AF" w:rsidRDefault="001160AF" w:rsidP="00D32FA2">
            <w:pPr>
              <w:spacing w:after="0"/>
              <w:jc w:val="left"/>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 xml:space="preserve">Bachelor’s degree, Master’s Degree in Planning or Law degree preferred </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84496" w14:textId="77777777" w:rsidR="001160AF" w:rsidRPr="001160AF" w:rsidRDefault="001160AF" w:rsidP="00D17561">
            <w:pPr>
              <w:pStyle w:val="ListParagraph"/>
              <w:numPr>
                <w:ilvl w:val="0"/>
                <w:numId w:val="183"/>
              </w:numPr>
              <w:contextualSpacing/>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Written documents guiding JCB’s protocols for approving and implementing landscape/seascape plans</w:t>
            </w:r>
          </w:p>
          <w:p w14:paraId="581C008A" w14:textId="77777777" w:rsidR="001160AF" w:rsidRPr="001160AF" w:rsidRDefault="001160AF" w:rsidP="00D17561">
            <w:pPr>
              <w:pStyle w:val="ListParagraph"/>
              <w:numPr>
                <w:ilvl w:val="0"/>
                <w:numId w:val="183"/>
              </w:numPr>
              <w:contextualSpacing/>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Plans, protocols, and applicable regulations (recommended) for inter-state and inter-island biosecurity</w:t>
            </w:r>
          </w:p>
          <w:p w14:paraId="454D8400" w14:textId="77777777" w:rsidR="001160AF" w:rsidRPr="001160AF" w:rsidRDefault="001160AF" w:rsidP="00D17561">
            <w:pPr>
              <w:pStyle w:val="ListParagraph"/>
              <w:numPr>
                <w:ilvl w:val="0"/>
                <w:numId w:val="183"/>
              </w:numPr>
              <w:contextualSpacing/>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Updated rules for leases and other practices</w:t>
            </w:r>
          </w:p>
          <w:p w14:paraId="49CDD3FC" w14:textId="77777777" w:rsidR="001160AF" w:rsidRPr="001160AF" w:rsidRDefault="001160AF" w:rsidP="00D17561">
            <w:pPr>
              <w:pStyle w:val="ListParagraph"/>
              <w:numPr>
                <w:ilvl w:val="0"/>
                <w:numId w:val="183"/>
              </w:numPr>
              <w:contextualSpacing/>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Text for updating state tourism frameworks</w:t>
            </w:r>
          </w:p>
        </w:tc>
        <w:tc>
          <w:tcPr>
            <w:tcW w:w="1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A382B"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8 MM</w:t>
            </w:r>
          </w:p>
          <w:p w14:paraId="5259D0B7"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5AA8E980"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(Year 2-4)</w:t>
            </w:r>
          </w:p>
        </w:tc>
        <w:tc>
          <w:tcPr>
            <w:tcW w:w="1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2B85B"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47,000</w:t>
            </w:r>
          </w:p>
          <w:p w14:paraId="72374143" w14:textId="77777777" w:rsidR="001160AF" w:rsidRPr="001160AF" w:rsidRDefault="001160AF" w:rsidP="00D17561">
            <w:pPr>
              <w:numPr>
                <w:ilvl w:val="0"/>
                <w:numId w:val="162"/>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20,000 (National framework for planning) +</w:t>
            </w:r>
          </w:p>
          <w:p w14:paraId="4CCFAF1C" w14:textId="77777777" w:rsidR="001160AF" w:rsidRPr="001160AF" w:rsidRDefault="001160AF" w:rsidP="00D17561">
            <w:pPr>
              <w:numPr>
                <w:ilvl w:val="0"/>
                <w:numId w:val="162"/>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12,000 (Framework for inter-state and inter-island biosecurity) +</w:t>
            </w:r>
          </w:p>
          <w:p w14:paraId="567DA41B" w14:textId="77777777" w:rsidR="001160AF" w:rsidRPr="001160AF" w:rsidRDefault="001160AF" w:rsidP="00D17561">
            <w:pPr>
              <w:numPr>
                <w:ilvl w:val="0"/>
                <w:numId w:val="162"/>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15,000 (guidelines for leases)+</w:t>
            </w:r>
          </w:p>
          <w:p w14:paraId="2D0D7EF8" w14:textId="77777777" w:rsidR="001160AF" w:rsidRPr="001160AF" w:rsidRDefault="001160AF" w:rsidP="00D17561">
            <w:pPr>
              <w:numPr>
                <w:ilvl w:val="0"/>
                <w:numId w:val="162"/>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10,000 (integrate into tourism framework)</w:t>
            </w:r>
          </w:p>
          <w:p w14:paraId="79CCBDCB" w14:textId="77777777" w:rsidR="001160AF" w:rsidRPr="001160AF" w:rsidRDefault="001160AF" w:rsidP="00D32FA2">
            <w:pPr>
              <w:spacing w:after="0"/>
              <w:jc w:val="left"/>
              <w:rPr>
                <w:rFonts w:asciiTheme="majorHAnsi" w:eastAsia="Times New Roman" w:hAnsiTheme="majorHAnsi"/>
                <w:color w:val="000000" w:themeColor="text1"/>
                <w:sz w:val="18"/>
                <w:szCs w:val="18"/>
              </w:rPr>
            </w:pPr>
          </w:p>
        </w:tc>
      </w:tr>
      <w:tr w:rsidR="001160AF" w:rsidRPr="00A01750" w14:paraId="201267CB" w14:textId="77777777" w:rsidTr="00D32FA2">
        <w:trPr>
          <w:trHeight w:val="620"/>
        </w:trPr>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768A3D" w14:textId="7C33FBDA" w:rsidR="001160AF" w:rsidRPr="001160AF" w:rsidRDefault="001160AF" w:rsidP="00D32FA2">
            <w:pPr>
              <w:spacing w:after="0"/>
              <w:jc w:val="left"/>
              <w:rPr>
                <w:rFonts w:asciiTheme="majorHAnsi" w:eastAsia="Times New Roman" w:hAnsiTheme="majorHAnsi"/>
                <w:b/>
                <w:color w:val="000000" w:themeColor="text1"/>
                <w:sz w:val="18"/>
                <w:szCs w:val="18"/>
              </w:rPr>
            </w:pPr>
            <w:r w:rsidRPr="001160AF">
              <w:rPr>
                <w:rFonts w:asciiTheme="majorHAnsi" w:eastAsia="Times New Roman" w:hAnsiTheme="majorHAnsi" w:cs="Arial"/>
                <w:b/>
                <w:color w:val="000000" w:themeColor="text1"/>
                <w:sz w:val="18"/>
                <w:szCs w:val="18"/>
              </w:rPr>
              <w:t>4</w:t>
            </w:r>
            <w:r w:rsidR="00194AA1">
              <w:rPr>
                <w:rFonts w:asciiTheme="majorHAnsi" w:eastAsia="Times New Roman" w:hAnsiTheme="majorHAnsi" w:cs="Arial"/>
                <w:b/>
                <w:color w:val="000000" w:themeColor="text1"/>
                <w:sz w:val="18"/>
                <w:szCs w:val="18"/>
              </w:rPr>
              <w:t xml:space="preserve">. </w:t>
            </w:r>
            <w:r w:rsidRPr="001160AF">
              <w:rPr>
                <w:rFonts w:asciiTheme="majorHAnsi" w:eastAsia="Times New Roman" w:hAnsiTheme="majorHAnsi" w:cs="Arial"/>
                <w:b/>
                <w:color w:val="000000" w:themeColor="text1"/>
                <w:sz w:val="18"/>
                <w:szCs w:val="18"/>
              </w:rPr>
              <w:t>EDRR (Output 1.3)</w:t>
            </w:r>
          </w:p>
        </w:tc>
        <w:tc>
          <w:tcPr>
            <w:tcW w:w="3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A2246C" w14:textId="77777777" w:rsidR="001160AF" w:rsidRPr="001160AF" w:rsidRDefault="001160AF" w:rsidP="00D17561">
            <w:pPr>
              <w:numPr>
                <w:ilvl w:val="0"/>
                <w:numId w:val="163"/>
              </w:numPr>
              <w:spacing w:after="0"/>
              <w:jc w:val="left"/>
              <w:textAlignment w:val="baseline"/>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Develop and implement an online reporting mechanism (or app)</w:t>
            </w:r>
          </w:p>
          <w:p w14:paraId="615C0A0A" w14:textId="77777777" w:rsidR="001160AF" w:rsidRPr="001160AF" w:rsidRDefault="001160AF" w:rsidP="00D17561">
            <w:pPr>
              <w:numPr>
                <w:ilvl w:val="0"/>
                <w:numId w:val="163"/>
              </w:numPr>
              <w:spacing w:after="0"/>
              <w:jc w:val="left"/>
              <w:textAlignment w:val="baseline"/>
              <w:rPr>
                <w:rFonts w:asciiTheme="majorHAnsi" w:eastAsia="Times New Roman" w:hAnsiTheme="majorHAnsi" w:cs="Arial"/>
                <w:i/>
                <w:iCs/>
                <w:color w:val="000000" w:themeColor="text1"/>
                <w:sz w:val="18"/>
                <w:szCs w:val="18"/>
              </w:rPr>
            </w:pPr>
            <w:r w:rsidRPr="001160AF">
              <w:rPr>
                <w:rFonts w:asciiTheme="majorHAnsi" w:eastAsia="Times New Roman" w:hAnsiTheme="majorHAnsi" w:cs="Arial"/>
                <w:iCs/>
                <w:color w:val="000000" w:themeColor="text1"/>
                <w:sz w:val="18"/>
                <w:szCs w:val="18"/>
              </w:rPr>
              <w:t>Develop national reporting hotline and go live (capacitation for use will be part of the EDRR training listed separately)</w:t>
            </w:r>
          </w:p>
        </w:tc>
        <w:tc>
          <w:tcPr>
            <w:tcW w:w="2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A146D" w14:textId="77777777" w:rsidR="001160AF" w:rsidRPr="001160AF" w:rsidRDefault="001160AF" w:rsidP="00D32FA2">
            <w:pPr>
              <w:spacing w:after="0"/>
              <w:jc w:val="left"/>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Experience with App development, and with Palau’s internet and telephone systems</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EE5790" w14:textId="77777777" w:rsidR="001160AF" w:rsidRPr="001160AF" w:rsidRDefault="001160AF" w:rsidP="00D17561">
            <w:pPr>
              <w:pStyle w:val="ListParagraph"/>
              <w:numPr>
                <w:ilvl w:val="0"/>
                <w:numId w:val="184"/>
              </w:numPr>
              <w:contextualSpacing/>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App or Web-based reporting system</w:t>
            </w:r>
          </w:p>
          <w:p w14:paraId="48A21178" w14:textId="77777777" w:rsidR="001160AF" w:rsidRPr="001160AF" w:rsidRDefault="001160AF" w:rsidP="00D17561">
            <w:pPr>
              <w:pStyle w:val="ListParagraph"/>
              <w:numPr>
                <w:ilvl w:val="0"/>
                <w:numId w:val="184"/>
              </w:numPr>
              <w:contextualSpacing/>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Telephone reporting system</w:t>
            </w:r>
          </w:p>
        </w:tc>
        <w:tc>
          <w:tcPr>
            <w:tcW w:w="1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8500A3"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3 MM</w:t>
            </w:r>
          </w:p>
          <w:p w14:paraId="65763119"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02467BA8"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(Year 3)</w:t>
            </w:r>
          </w:p>
        </w:tc>
        <w:tc>
          <w:tcPr>
            <w:tcW w:w="1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27AE6"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20,000</w:t>
            </w:r>
          </w:p>
          <w:p w14:paraId="2B31C378"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2F248B04"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 xml:space="preserve">10,000 (app) + </w:t>
            </w:r>
          </w:p>
          <w:p w14:paraId="27F5E9AD"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10,000 (hotline)</w:t>
            </w:r>
          </w:p>
        </w:tc>
      </w:tr>
      <w:tr w:rsidR="001160AF" w:rsidRPr="00A01750" w14:paraId="4E78EBE7" w14:textId="77777777" w:rsidTr="00D32FA2">
        <w:trPr>
          <w:trHeight w:val="800"/>
        </w:trPr>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49755" w14:textId="691DD04A" w:rsidR="001160AF" w:rsidRPr="001160AF" w:rsidRDefault="001160AF" w:rsidP="00D32FA2">
            <w:pPr>
              <w:spacing w:after="0"/>
              <w:jc w:val="left"/>
              <w:rPr>
                <w:rFonts w:asciiTheme="majorHAnsi" w:eastAsia="Times New Roman" w:hAnsiTheme="majorHAnsi"/>
                <w:b/>
                <w:color w:val="000000" w:themeColor="text1"/>
                <w:sz w:val="18"/>
                <w:szCs w:val="18"/>
              </w:rPr>
            </w:pPr>
            <w:r w:rsidRPr="001160AF">
              <w:rPr>
                <w:rFonts w:asciiTheme="majorHAnsi" w:eastAsia="Times New Roman" w:hAnsiTheme="majorHAnsi" w:cs="Arial"/>
                <w:b/>
                <w:color w:val="000000" w:themeColor="text1"/>
                <w:sz w:val="18"/>
                <w:szCs w:val="18"/>
              </w:rPr>
              <w:t>5</w:t>
            </w:r>
            <w:r w:rsidR="00194AA1">
              <w:rPr>
                <w:rFonts w:asciiTheme="majorHAnsi" w:eastAsia="Times New Roman" w:hAnsiTheme="majorHAnsi" w:cs="Arial"/>
                <w:b/>
                <w:color w:val="000000" w:themeColor="text1"/>
                <w:sz w:val="18"/>
                <w:szCs w:val="18"/>
              </w:rPr>
              <w:t xml:space="preserve">. </w:t>
            </w:r>
            <w:r w:rsidRPr="001160AF">
              <w:rPr>
                <w:rFonts w:asciiTheme="majorHAnsi" w:eastAsia="Times New Roman" w:hAnsiTheme="majorHAnsi" w:cs="Arial"/>
                <w:b/>
                <w:color w:val="000000" w:themeColor="text1"/>
                <w:sz w:val="18"/>
                <w:szCs w:val="18"/>
              </w:rPr>
              <w:t>Enforcement Review (Output 1.4)</w:t>
            </w:r>
          </w:p>
        </w:tc>
        <w:tc>
          <w:tcPr>
            <w:tcW w:w="3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CE87BE" w14:textId="77777777" w:rsidR="001160AF" w:rsidRPr="001160AF" w:rsidRDefault="001160AF" w:rsidP="00D32FA2">
            <w:pPr>
              <w:spacing w:before="60"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iCs/>
                <w:color w:val="000000" w:themeColor="text1"/>
                <w:sz w:val="18"/>
                <w:szCs w:val="18"/>
              </w:rPr>
              <w:t>Conduct a National review of monitoring, surveillance, and enforcement systems and capacities across national and state offices, including needs; including in regards to Biosecurity needs and capacity</w:t>
            </w:r>
          </w:p>
        </w:tc>
        <w:tc>
          <w:tcPr>
            <w:tcW w:w="2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A8B92" w14:textId="77777777" w:rsidR="001160AF" w:rsidRPr="001160AF" w:rsidRDefault="001160AF" w:rsidP="00D32FA2">
            <w:pPr>
              <w:spacing w:after="0"/>
              <w:jc w:val="left"/>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Understanding of Palauan modern and traditional laws</w:t>
            </w:r>
          </w:p>
          <w:p w14:paraId="2E092A25" w14:textId="77777777" w:rsidR="001160AF" w:rsidRPr="001160AF" w:rsidRDefault="001160AF" w:rsidP="00D32FA2">
            <w:pPr>
              <w:spacing w:after="0"/>
              <w:jc w:val="left"/>
              <w:rPr>
                <w:rFonts w:asciiTheme="majorHAnsi" w:eastAsia="Times New Roman" w:hAnsiTheme="majorHAnsi" w:cs="Arial"/>
                <w:iCs/>
                <w:color w:val="000000" w:themeColor="text1"/>
                <w:sz w:val="18"/>
                <w:szCs w:val="18"/>
              </w:rPr>
            </w:pPr>
          </w:p>
          <w:p w14:paraId="30A29992"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iCs/>
                <w:color w:val="000000" w:themeColor="text1"/>
                <w:sz w:val="18"/>
                <w:szCs w:val="18"/>
              </w:rPr>
              <w:t>Bachelor’s degree, Master’s Degree in Planning or Law degree preferred</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A3E7E"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 xml:space="preserve">Written review and recommendations for updating national </w:t>
            </w:r>
            <w:r w:rsidRPr="001160AF">
              <w:rPr>
                <w:rFonts w:asciiTheme="majorHAnsi" w:eastAsia="Times New Roman" w:hAnsiTheme="majorHAnsi" w:cs="Arial"/>
                <w:iCs/>
                <w:color w:val="000000" w:themeColor="text1"/>
                <w:sz w:val="18"/>
                <w:szCs w:val="18"/>
              </w:rPr>
              <w:t>monitoring, surveillance, and enforcement systems</w:t>
            </w:r>
          </w:p>
        </w:tc>
        <w:tc>
          <w:tcPr>
            <w:tcW w:w="1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C5A69"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2 MM</w:t>
            </w:r>
          </w:p>
          <w:p w14:paraId="40D56AE7"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5672E407"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(Year 2)</w:t>
            </w:r>
          </w:p>
        </w:tc>
        <w:tc>
          <w:tcPr>
            <w:tcW w:w="1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2BEA8"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15,000</w:t>
            </w:r>
          </w:p>
        </w:tc>
      </w:tr>
      <w:tr w:rsidR="001160AF" w:rsidRPr="00A01750" w14:paraId="270C68BB" w14:textId="77777777" w:rsidTr="00D32FA2">
        <w:trPr>
          <w:trHeight w:val="1100"/>
        </w:trPr>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ED197" w14:textId="3E80E7B4" w:rsidR="001160AF" w:rsidRPr="001160AF" w:rsidRDefault="001160AF" w:rsidP="00D32FA2">
            <w:pPr>
              <w:spacing w:after="0"/>
              <w:jc w:val="left"/>
              <w:rPr>
                <w:rFonts w:asciiTheme="majorHAnsi" w:eastAsia="Times New Roman" w:hAnsiTheme="majorHAnsi"/>
                <w:b/>
                <w:color w:val="000000" w:themeColor="text1"/>
                <w:sz w:val="18"/>
                <w:szCs w:val="18"/>
              </w:rPr>
            </w:pPr>
            <w:r w:rsidRPr="001160AF">
              <w:rPr>
                <w:rFonts w:asciiTheme="majorHAnsi" w:eastAsia="Times New Roman" w:hAnsiTheme="majorHAnsi" w:cs="Arial"/>
                <w:b/>
                <w:color w:val="000000" w:themeColor="text1"/>
                <w:sz w:val="18"/>
                <w:szCs w:val="18"/>
              </w:rPr>
              <w:t>6</w:t>
            </w:r>
            <w:r w:rsidR="00194AA1">
              <w:rPr>
                <w:rFonts w:asciiTheme="majorHAnsi" w:eastAsia="Times New Roman" w:hAnsiTheme="majorHAnsi" w:cs="Arial"/>
                <w:b/>
                <w:color w:val="000000" w:themeColor="text1"/>
                <w:sz w:val="18"/>
                <w:szCs w:val="18"/>
              </w:rPr>
              <w:t xml:space="preserve">. </w:t>
            </w:r>
            <w:r w:rsidRPr="001160AF">
              <w:rPr>
                <w:rFonts w:asciiTheme="majorHAnsi" w:eastAsia="Times New Roman" w:hAnsiTheme="majorHAnsi" w:cs="Arial"/>
                <w:b/>
                <w:color w:val="000000" w:themeColor="text1"/>
                <w:sz w:val="18"/>
                <w:szCs w:val="18"/>
              </w:rPr>
              <w:t>Green Certification Program (Output 1.2)</w:t>
            </w:r>
          </w:p>
        </w:tc>
        <w:tc>
          <w:tcPr>
            <w:tcW w:w="3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B4B13" w14:textId="77777777" w:rsidR="001160AF" w:rsidRPr="001160AF" w:rsidRDefault="001160AF" w:rsidP="00D32FA2">
            <w:pPr>
              <w:spacing w:before="60" w:after="0"/>
              <w:jc w:val="left"/>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 xml:space="preserve">Develop and pilot a Green Certification program criteria </w:t>
            </w:r>
          </w:p>
          <w:p w14:paraId="553BDABD" w14:textId="77777777" w:rsidR="001160AF" w:rsidRPr="001160AF" w:rsidRDefault="001160AF" w:rsidP="00D32FA2">
            <w:pPr>
              <w:spacing w:before="60" w:after="0"/>
              <w:jc w:val="left"/>
              <w:rPr>
                <w:rFonts w:asciiTheme="majorHAnsi" w:eastAsia="Times New Roman" w:hAnsiTheme="majorHAnsi" w:cs="Arial"/>
                <w:iCs/>
                <w:color w:val="000000" w:themeColor="text1"/>
                <w:sz w:val="18"/>
                <w:szCs w:val="18"/>
              </w:rPr>
            </w:pPr>
          </w:p>
          <w:p w14:paraId="74435F65" w14:textId="77777777" w:rsidR="001160AF" w:rsidRPr="001160AF" w:rsidRDefault="001160AF" w:rsidP="00D32FA2">
            <w:pPr>
              <w:spacing w:before="60"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iCs/>
                <w:color w:val="000000" w:themeColor="text1"/>
                <w:sz w:val="18"/>
                <w:szCs w:val="18"/>
              </w:rPr>
              <w:t>Launch the program with test segments and provide recommendations for scaling up</w:t>
            </w:r>
          </w:p>
        </w:tc>
        <w:tc>
          <w:tcPr>
            <w:tcW w:w="2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FA49E"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Bachelor’s degree in environmental management, Master’s in Business preferred</w:t>
            </w:r>
          </w:p>
          <w:p w14:paraId="084B3637"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486B9646"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Ability to partner well with government and the private sector</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0E168"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Report on the recommended Green Certification System</w:t>
            </w:r>
          </w:p>
        </w:tc>
        <w:tc>
          <w:tcPr>
            <w:tcW w:w="1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8434CA"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4 MM</w:t>
            </w:r>
          </w:p>
          <w:p w14:paraId="2DE9F357"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03290ECD"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(Year 1)</w:t>
            </w:r>
          </w:p>
        </w:tc>
        <w:tc>
          <w:tcPr>
            <w:tcW w:w="1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978CE"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20,000</w:t>
            </w:r>
          </w:p>
        </w:tc>
      </w:tr>
      <w:tr w:rsidR="001160AF" w:rsidRPr="00A01750" w14:paraId="0CD897AD" w14:textId="77777777" w:rsidTr="00D32FA2">
        <w:trPr>
          <w:trHeight w:val="800"/>
        </w:trPr>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1A9C03" w14:textId="0D92F5E8" w:rsidR="001160AF" w:rsidRPr="001160AF" w:rsidRDefault="001160AF" w:rsidP="00D32FA2">
            <w:pPr>
              <w:spacing w:after="0"/>
              <w:jc w:val="left"/>
              <w:rPr>
                <w:rFonts w:asciiTheme="majorHAnsi" w:eastAsia="Times New Roman" w:hAnsiTheme="majorHAnsi"/>
                <w:b/>
                <w:color w:val="000000" w:themeColor="text1"/>
                <w:sz w:val="18"/>
                <w:szCs w:val="18"/>
              </w:rPr>
            </w:pPr>
            <w:r w:rsidRPr="001160AF">
              <w:rPr>
                <w:rFonts w:asciiTheme="majorHAnsi" w:eastAsia="Times New Roman" w:hAnsiTheme="majorHAnsi" w:cs="Arial"/>
                <w:b/>
                <w:color w:val="000000" w:themeColor="text1"/>
                <w:sz w:val="18"/>
                <w:szCs w:val="18"/>
              </w:rPr>
              <w:t>7</w:t>
            </w:r>
            <w:r w:rsidR="00194AA1">
              <w:rPr>
                <w:rFonts w:asciiTheme="majorHAnsi" w:eastAsia="Times New Roman" w:hAnsiTheme="majorHAnsi" w:cs="Arial"/>
                <w:b/>
                <w:color w:val="000000" w:themeColor="text1"/>
                <w:sz w:val="18"/>
                <w:szCs w:val="18"/>
              </w:rPr>
              <w:t xml:space="preserve">. </w:t>
            </w:r>
            <w:r w:rsidRPr="001160AF">
              <w:rPr>
                <w:rFonts w:asciiTheme="majorHAnsi" w:eastAsia="Times New Roman" w:hAnsiTheme="majorHAnsi" w:cs="Arial"/>
                <w:b/>
                <w:color w:val="000000" w:themeColor="text1"/>
                <w:sz w:val="18"/>
                <w:szCs w:val="18"/>
              </w:rPr>
              <w:t>Documenting restoration efforts, Restoration Manual (Output 2.3)</w:t>
            </w:r>
          </w:p>
        </w:tc>
        <w:tc>
          <w:tcPr>
            <w:tcW w:w="3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DFDCE7" w14:textId="77777777" w:rsidR="001160AF" w:rsidRPr="001160AF" w:rsidRDefault="001160AF" w:rsidP="00D32FA2">
            <w:pPr>
              <w:spacing w:after="0"/>
              <w:jc w:val="left"/>
              <w:rPr>
                <w:rFonts w:asciiTheme="majorHAnsi" w:eastAsia="Times New Roman" w:hAnsiTheme="majorHAnsi"/>
                <w:color w:val="000000"/>
                <w:sz w:val="18"/>
                <w:szCs w:val="18"/>
              </w:rPr>
            </w:pPr>
            <w:r w:rsidRPr="001160AF">
              <w:rPr>
                <w:rFonts w:asciiTheme="majorHAnsi" w:eastAsia="Times New Roman" w:hAnsiTheme="majorHAnsi"/>
                <w:b/>
                <w:color w:val="000000" w:themeColor="text1"/>
                <w:sz w:val="18"/>
                <w:szCs w:val="18"/>
              </w:rPr>
              <w:t xml:space="preserve">Documenting and Disseminating </w:t>
            </w:r>
            <w:r w:rsidRPr="001160AF">
              <w:rPr>
                <w:rFonts w:asciiTheme="majorHAnsi" w:eastAsia="Times New Roman" w:hAnsiTheme="majorHAnsi"/>
                <w:color w:val="000000"/>
                <w:sz w:val="18"/>
                <w:szCs w:val="18"/>
              </w:rPr>
              <w:t>successes and failures of restoration efforts (on paper, via the Internet, and by meetings)</w:t>
            </w:r>
          </w:p>
          <w:p w14:paraId="342A8480" w14:textId="77777777" w:rsidR="001160AF" w:rsidRPr="001160AF" w:rsidRDefault="001160AF" w:rsidP="00D32FA2">
            <w:pPr>
              <w:spacing w:before="60" w:after="0"/>
              <w:jc w:val="left"/>
              <w:rPr>
                <w:rFonts w:asciiTheme="majorHAnsi" w:eastAsia="Times New Roman" w:hAnsiTheme="majorHAnsi"/>
                <w:b/>
                <w:color w:val="000000" w:themeColor="text1"/>
                <w:sz w:val="18"/>
                <w:szCs w:val="18"/>
              </w:rPr>
            </w:pPr>
          </w:p>
          <w:p w14:paraId="5E2A02A2" w14:textId="77777777" w:rsidR="001160AF" w:rsidRPr="001160AF" w:rsidRDefault="001160AF" w:rsidP="00D32FA2">
            <w:pPr>
              <w:spacing w:before="60" w:after="0"/>
              <w:jc w:val="left"/>
              <w:rPr>
                <w:rFonts w:asciiTheme="majorHAnsi" w:eastAsia="Times New Roman" w:hAnsiTheme="majorHAnsi"/>
                <w:color w:val="000000" w:themeColor="text1"/>
                <w:sz w:val="18"/>
                <w:szCs w:val="18"/>
              </w:rPr>
            </w:pPr>
            <w:r w:rsidRPr="001160AF">
              <w:rPr>
                <w:rFonts w:asciiTheme="majorHAnsi" w:eastAsia="Times New Roman" w:hAnsiTheme="majorHAnsi"/>
                <w:b/>
                <w:color w:val="000000" w:themeColor="text1"/>
                <w:sz w:val="18"/>
                <w:szCs w:val="18"/>
              </w:rPr>
              <w:t>Development of a Land/Forest/Marine Restoration Manual</w:t>
            </w:r>
            <w:r w:rsidRPr="001160AF">
              <w:rPr>
                <w:rFonts w:asciiTheme="majorHAnsi" w:eastAsia="Times New Roman" w:hAnsiTheme="majorHAnsi"/>
                <w:color w:val="000000" w:themeColor="text1"/>
                <w:sz w:val="18"/>
                <w:szCs w:val="18"/>
              </w:rPr>
              <w:t xml:space="preserve"> to include:</w:t>
            </w:r>
          </w:p>
          <w:p w14:paraId="0CB3DC6B" w14:textId="77777777" w:rsidR="001160AF" w:rsidRPr="001160AF" w:rsidRDefault="001160AF" w:rsidP="00D17561">
            <w:pPr>
              <w:pStyle w:val="ListParagraph"/>
              <w:numPr>
                <w:ilvl w:val="0"/>
                <w:numId w:val="171"/>
              </w:numPr>
              <w:spacing w:before="60"/>
              <w:contextualSpacing/>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Assessment of Community-based restoration efforts,</w:t>
            </w:r>
          </w:p>
          <w:p w14:paraId="6B1BA6FF" w14:textId="77777777" w:rsidR="001160AF" w:rsidRPr="001160AF" w:rsidRDefault="001160AF" w:rsidP="00D17561">
            <w:pPr>
              <w:pStyle w:val="ListParagraph"/>
              <w:numPr>
                <w:ilvl w:val="0"/>
                <w:numId w:val="171"/>
              </w:numPr>
              <w:spacing w:before="60"/>
              <w:contextualSpacing/>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Identification of Best Practices to reduce risks, and</w:t>
            </w:r>
          </w:p>
          <w:p w14:paraId="1EE27256" w14:textId="77777777" w:rsidR="001160AF" w:rsidRPr="001160AF" w:rsidRDefault="001160AF" w:rsidP="00D17561">
            <w:pPr>
              <w:pStyle w:val="ListParagraph"/>
              <w:numPr>
                <w:ilvl w:val="0"/>
                <w:numId w:val="171"/>
              </w:numPr>
              <w:spacing w:before="60"/>
              <w:contextualSpacing/>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Production of a user-friendly manual to guide further restoration</w:t>
            </w:r>
          </w:p>
          <w:p w14:paraId="7048FDB8" w14:textId="77777777" w:rsidR="001160AF" w:rsidRPr="001160AF" w:rsidRDefault="001160AF" w:rsidP="00D32FA2">
            <w:pPr>
              <w:spacing w:before="60" w:after="0"/>
              <w:jc w:val="left"/>
              <w:rPr>
                <w:rFonts w:asciiTheme="majorHAnsi" w:eastAsia="Times New Roman" w:hAnsiTheme="majorHAnsi"/>
                <w:color w:val="000000" w:themeColor="text1"/>
                <w:sz w:val="18"/>
                <w:szCs w:val="18"/>
              </w:rPr>
            </w:pPr>
          </w:p>
        </w:tc>
        <w:tc>
          <w:tcPr>
            <w:tcW w:w="2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3A69B0"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Experience providing written and/or online manuals/documents to include both written sections and graphics.</w:t>
            </w:r>
          </w:p>
          <w:p w14:paraId="4AF569DE"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43EB36D3"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Bachelor’s degree in an environmental field.</w:t>
            </w:r>
          </w:p>
          <w:p w14:paraId="31A319F0"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5926EB7F"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Experience in land or marine restoration.</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542C6"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Dossier of written and online documentation and dissemination efforts</w:t>
            </w:r>
          </w:p>
          <w:p w14:paraId="417F8563"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542D108A"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 xml:space="preserve">Written and/or online manual with key sections (degraded land and marine areas) and graphics </w:t>
            </w:r>
          </w:p>
        </w:tc>
        <w:tc>
          <w:tcPr>
            <w:tcW w:w="1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E05559"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4 MM</w:t>
            </w:r>
          </w:p>
          <w:p w14:paraId="3C3721A8"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2A12FA35"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(Year 4-6)</w:t>
            </w:r>
          </w:p>
        </w:tc>
        <w:tc>
          <w:tcPr>
            <w:tcW w:w="1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5845E" w14:textId="77777777" w:rsidR="001160AF" w:rsidRPr="001160AF" w:rsidRDefault="001160AF" w:rsidP="00D32FA2">
            <w:pPr>
              <w:spacing w:after="0"/>
              <w:jc w:val="left"/>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 xml:space="preserve">22,000 </w:t>
            </w:r>
          </w:p>
          <w:p w14:paraId="1583DE12" w14:textId="77777777" w:rsidR="001160AF" w:rsidRPr="001160AF" w:rsidRDefault="001160AF" w:rsidP="00D32FA2">
            <w:pPr>
              <w:spacing w:after="0"/>
              <w:jc w:val="left"/>
              <w:rPr>
                <w:rFonts w:asciiTheme="majorHAnsi" w:eastAsia="Times New Roman" w:hAnsiTheme="majorHAnsi" w:cs="Arial"/>
                <w:color w:val="000000" w:themeColor="text1"/>
                <w:sz w:val="18"/>
                <w:szCs w:val="18"/>
              </w:rPr>
            </w:pPr>
          </w:p>
          <w:p w14:paraId="7EEB1CCC" w14:textId="77777777" w:rsidR="001160AF" w:rsidRPr="001160AF" w:rsidRDefault="001160AF" w:rsidP="00D32FA2">
            <w:pPr>
              <w:spacing w:after="0"/>
              <w:jc w:val="left"/>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12,000 (Documenting and disseminating)+</w:t>
            </w:r>
          </w:p>
          <w:p w14:paraId="1CBCAA29"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10,000 (Manual)</w:t>
            </w:r>
          </w:p>
        </w:tc>
      </w:tr>
      <w:tr w:rsidR="001160AF" w:rsidRPr="00A01750" w14:paraId="6A96831D" w14:textId="77777777" w:rsidTr="00D32FA2">
        <w:trPr>
          <w:trHeight w:val="800"/>
        </w:trPr>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3F84D6" w14:textId="774C7E5D" w:rsidR="001160AF" w:rsidRPr="001160AF" w:rsidRDefault="001160AF" w:rsidP="00D32FA2">
            <w:pPr>
              <w:spacing w:after="0"/>
              <w:jc w:val="left"/>
              <w:rPr>
                <w:rFonts w:asciiTheme="majorHAnsi" w:eastAsia="Times New Roman" w:hAnsiTheme="majorHAnsi"/>
                <w:b/>
                <w:color w:val="000000" w:themeColor="text1"/>
                <w:sz w:val="18"/>
                <w:szCs w:val="18"/>
              </w:rPr>
            </w:pPr>
            <w:r w:rsidRPr="001160AF">
              <w:rPr>
                <w:rFonts w:asciiTheme="majorHAnsi" w:eastAsia="Times New Roman" w:hAnsiTheme="majorHAnsi" w:cs="Arial"/>
                <w:b/>
                <w:color w:val="000000" w:themeColor="text1"/>
                <w:sz w:val="18"/>
                <w:szCs w:val="18"/>
              </w:rPr>
              <w:t>8</w:t>
            </w:r>
            <w:r w:rsidR="00194AA1">
              <w:rPr>
                <w:rFonts w:asciiTheme="majorHAnsi" w:eastAsia="Times New Roman" w:hAnsiTheme="majorHAnsi" w:cs="Arial"/>
                <w:b/>
                <w:color w:val="000000" w:themeColor="text1"/>
                <w:sz w:val="18"/>
                <w:szCs w:val="18"/>
              </w:rPr>
              <w:t xml:space="preserve">. </w:t>
            </w:r>
            <w:r w:rsidRPr="001160AF">
              <w:rPr>
                <w:rFonts w:asciiTheme="majorHAnsi" w:eastAsia="Times New Roman" w:hAnsiTheme="majorHAnsi" w:cs="Arial"/>
                <w:b/>
                <w:color w:val="000000" w:themeColor="text1"/>
                <w:sz w:val="18"/>
                <w:szCs w:val="18"/>
              </w:rPr>
              <w:t>Site-specific Management Plans (Output 2.2)</w:t>
            </w:r>
          </w:p>
        </w:tc>
        <w:tc>
          <w:tcPr>
            <w:tcW w:w="3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D80066" w14:textId="77777777" w:rsidR="001160AF" w:rsidRPr="001160AF" w:rsidRDefault="001160AF" w:rsidP="00D32FA2">
            <w:pPr>
              <w:contextualSpacing/>
              <w:jc w:val="left"/>
              <w:rPr>
                <w:rFonts w:asciiTheme="majorHAnsi" w:hAnsiTheme="majorHAnsi"/>
                <w:sz w:val="18"/>
                <w:szCs w:val="18"/>
              </w:rPr>
            </w:pPr>
            <w:r w:rsidRPr="001160AF">
              <w:rPr>
                <w:rFonts w:asciiTheme="majorHAnsi" w:hAnsiTheme="majorHAnsi"/>
                <w:b/>
                <w:sz w:val="18"/>
                <w:szCs w:val="18"/>
              </w:rPr>
              <w:t>Develop or update Management Plans for High Conservation Value Forest or High Conservation Value Marine protected areas</w:t>
            </w:r>
            <w:r w:rsidRPr="001160AF">
              <w:rPr>
                <w:rFonts w:asciiTheme="majorHAnsi" w:hAnsiTheme="majorHAnsi"/>
                <w:sz w:val="18"/>
                <w:szCs w:val="18"/>
              </w:rPr>
              <w:t xml:space="preserve"> which will include the plans for buffer zones, wildlife corridors and areas of high biodiversity significance outside protected areas HCVF/HCVM through:</w:t>
            </w:r>
          </w:p>
          <w:p w14:paraId="0894303C" w14:textId="77777777" w:rsidR="001160AF" w:rsidRPr="001160AF" w:rsidRDefault="001160AF" w:rsidP="00D17561">
            <w:pPr>
              <w:numPr>
                <w:ilvl w:val="0"/>
                <w:numId w:val="170"/>
              </w:numPr>
              <w:spacing w:after="0"/>
              <w:contextualSpacing/>
              <w:jc w:val="left"/>
              <w:rPr>
                <w:rFonts w:asciiTheme="majorHAnsi" w:hAnsiTheme="majorHAnsi"/>
                <w:sz w:val="18"/>
                <w:szCs w:val="18"/>
              </w:rPr>
            </w:pPr>
            <w:r w:rsidRPr="001160AF">
              <w:rPr>
                <w:rFonts w:asciiTheme="majorHAnsi" w:hAnsiTheme="majorHAnsi"/>
                <w:sz w:val="18"/>
                <w:szCs w:val="18"/>
              </w:rPr>
              <w:t xml:space="preserve">Preparation of site specific participatory natural resource management plans to be implemented by the local communities with support from conservation and development agencies, improvement and protection of ecosystem functions, mitigation of the impacts of resource use, institutionalizing sustainable use of natural resources and livelihood enhancement options by the community, wise and sustainable harvesting and restoration of degraded habitats; </w:t>
            </w:r>
          </w:p>
          <w:p w14:paraId="380B25D8" w14:textId="77777777" w:rsidR="001160AF" w:rsidRPr="001160AF" w:rsidRDefault="001160AF" w:rsidP="00D17561">
            <w:pPr>
              <w:numPr>
                <w:ilvl w:val="0"/>
                <w:numId w:val="170"/>
              </w:numPr>
              <w:spacing w:after="0"/>
              <w:contextualSpacing/>
              <w:jc w:val="left"/>
              <w:rPr>
                <w:rFonts w:asciiTheme="majorHAnsi" w:hAnsiTheme="majorHAnsi"/>
                <w:sz w:val="18"/>
                <w:szCs w:val="18"/>
              </w:rPr>
            </w:pPr>
            <w:r w:rsidRPr="001160AF">
              <w:rPr>
                <w:rFonts w:asciiTheme="majorHAnsi" w:hAnsiTheme="majorHAnsi"/>
                <w:sz w:val="18"/>
                <w:szCs w:val="18"/>
              </w:rPr>
              <w:t xml:space="preserve">Collation and review of key environmental information required maintaining species and habitats, ensuring ecosystem services, managing threats to biodiversity and ecosystem services, environmental risks of climate change, environmental hazards and the state of forest, grazing and land degradation; </w:t>
            </w:r>
          </w:p>
          <w:p w14:paraId="1EB7A437" w14:textId="77777777" w:rsidR="001160AF" w:rsidRPr="001160AF" w:rsidRDefault="001160AF" w:rsidP="00D17561">
            <w:pPr>
              <w:numPr>
                <w:ilvl w:val="0"/>
                <w:numId w:val="170"/>
              </w:numPr>
              <w:spacing w:after="0"/>
              <w:contextualSpacing/>
              <w:jc w:val="left"/>
              <w:rPr>
                <w:rFonts w:asciiTheme="majorHAnsi" w:hAnsiTheme="majorHAnsi"/>
                <w:sz w:val="18"/>
                <w:szCs w:val="18"/>
              </w:rPr>
            </w:pPr>
            <w:r w:rsidRPr="001160AF">
              <w:rPr>
                <w:rFonts w:asciiTheme="majorHAnsi" w:hAnsiTheme="majorHAnsi"/>
                <w:sz w:val="18"/>
                <w:szCs w:val="18"/>
              </w:rPr>
              <w:t>Extensive consultation with key stakeholders, including local communities on their expected needs and services from these natural areas</w:t>
            </w:r>
          </w:p>
        </w:tc>
        <w:tc>
          <w:tcPr>
            <w:tcW w:w="2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23962B" w14:textId="77777777" w:rsidR="001160AF" w:rsidRPr="001160AF" w:rsidRDefault="001160AF" w:rsidP="00D32FA2">
            <w:pPr>
              <w:jc w:val="left"/>
              <w:rPr>
                <w:rFonts w:asciiTheme="majorHAnsi" w:hAnsiTheme="majorHAnsi"/>
                <w:sz w:val="18"/>
                <w:szCs w:val="18"/>
              </w:rPr>
            </w:pPr>
            <w:r w:rsidRPr="001160AF">
              <w:rPr>
                <w:rFonts w:asciiTheme="majorHAnsi" w:hAnsiTheme="majorHAnsi"/>
                <w:sz w:val="18"/>
                <w:szCs w:val="18"/>
              </w:rPr>
              <w:t>Individuals (or firms) with extensive experience in protected area management and conservation planning, documentation of wildlife and natural resources, environmental management, etc.</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4AE57" w14:textId="77777777" w:rsidR="001160AF" w:rsidRPr="001160AF" w:rsidRDefault="001160AF" w:rsidP="00D32FA2">
            <w:pPr>
              <w:jc w:val="left"/>
              <w:rPr>
                <w:rFonts w:asciiTheme="majorHAnsi" w:hAnsiTheme="majorHAnsi"/>
                <w:sz w:val="18"/>
                <w:szCs w:val="18"/>
              </w:rPr>
            </w:pPr>
            <w:r w:rsidRPr="001160AF">
              <w:rPr>
                <w:rFonts w:asciiTheme="majorHAnsi" w:hAnsiTheme="majorHAnsi"/>
                <w:sz w:val="18"/>
                <w:szCs w:val="18"/>
              </w:rPr>
              <w:t>Management plans for the protected areas with proposals for buffer zones, wildlife corridors and areas of high biodiversity significance outside protected areas.</w:t>
            </w:r>
          </w:p>
        </w:tc>
        <w:tc>
          <w:tcPr>
            <w:tcW w:w="1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E0F45B"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4 MM</w:t>
            </w:r>
          </w:p>
          <w:p w14:paraId="100B1C1B"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1541F182"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(Years 1-2)</w:t>
            </w:r>
          </w:p>
        </w:tc>
        <w:tc>
          <w:tcPr>
            <w:tcW w:w="1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DAB676"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20,000</w:t>
            </w:r>
          </w:p>
        </w:tc>
      </w:tr>
      <w:tr w:rsidR="001160AF" w:rsidRPr="00A01750" w14:paraId="7717456E" w14:textId="77777777" w:rsidTr="00D32FA2">
        <w:trPr>
          <w:trHeight w:val="800"/>
        </w:trPr>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0DCDB" w14:textId="77777777" w:rsidR="001160AF" w:rsidRPr="001160AF" w:rsidRDefault="001160AF" w:rsidP="00D32FA2">
            <w:pPr>
              <w:spacing w:after="0"/>
              <w:jc w:val="left"/>
              <w:rPr>
                <w:rFonts w:asciiTheme="majorHAnsi" w:eastAsia="Times New Roman" w:hAnsiTheme="majorHAnsi"/>
                <w:b/>
                <w:color w:val="000000" w:themeColor="text1"/>
                <w:sz w:val="18"/>
                <w:szCs w:val="18"/>
              </w:rPr>
            </w:pPr>
            <w:r w:rsidRPr="001160AF">
              <w:rPr>
                <w:rFonts w:asciiTheme="majorHAnsi" w:eastAsia="Times New Roman" w:hAnsiTheme="majorHAnsi" w:cs="Arial"/>
                <w:b/>
                <w:color w:val="000000" w:themeColor="text1"/>
                <w:sz w:val="18"/>
                <w:szCs w:val="18"/>
              </w:rPr>
              <w:t>9. Setting up and leading the Environmental Planning Unit (EPU) (Output 1.1)</w:t>
            </w:r>
          </w:p>
        </w:tc>
        <w:tc>
          <w:tcPr>
            <w:tcW w:w="3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9597ED" w14:textId="77777777" w:rsidR="001160AF" w:rsidRPr="001160AF" w:rsidRDefault="001160AF" w:rsidP="00D17561">
            <w:pPr>
              <w:numPr>
                <w:ilvl w:val="0"/>
                <w:numId w:val="170"/>
              </w:numPr>
              <w:spacing w:after="0"/>
              <w:contextualSpacing/>
              <w:jc w:val="left"/>
              <w:rPr>
                <w:rFonts w:asciiTheme="majorHAnsi" w:hAnsiTheme="majorHAnsi"/>
                <w:sz w:val="18"/>
                <w:szCs w:val="18"/>
              </w:rPr>
            </w:pPr>
            <w:r w:rsidRPr="001160AF">
              <w:rPr>
                <w:rFonts w:asciiTheme="majorHAnsi" w:hAnsiTheme="majorHAnsi"/>
                <w:sz w:val="18"/>
                <w:szCs w:val="18"/>
              </w:rPr>
              <w:t>Serve as the first Environmental Planning Unit Coordinator, and in that capacity, set up protocols and partnerships to enable its functioning.</w:t>
            </w:r>
          </w:p>
          <w:p w14:paraId="61F214D2" w14:textId="77777777" w:rsidR="001160AF" w:rsidRPr="001160AF" w:rsidRDefault="001160AF" w:rsidP="00D17561">
            <w:pPr>
              <w:numPr>
                <w:ilvl w:val="0"/>
                <w:numId w:val="170"/>
              </w:numPr>
              <w:spacing w:after="0"/>
              <w:contextualSpacing/>
              <w:jc w:val="left"/>
              <w:rPr>
                <w:rFonts w:asciiTheme="majorHAnsi" w:hAnsiTheme="majorHAnsi"/>
                <w:sz w:val="18"/>
                <w:szCs w:val="18"/>
              </w:rPr>
            </w:pPr>
            <w:r w:rsidRPr="001160AF">
              <w:rPr>
                <w:rFonts w:asciiTheme="majorHAnsi" w:hAnsiTheme="majorHAnsi"/>
                <w:sz w:val="18"/>
                <w:szCs w:val="18"/>
              </w:rPr>
              <w:t>Act as the Secretariat for the JCB</w:t>
            </w:r>
          </w:p>
          <w:p w14:paraId="1F159F32" w14:textId="77777777" w:rsidR="001160AF" w:rsidRPr="001160AF" w:rsidRDefault="001160AF" w:rsidP="00D17561">
            <w:pPr>
              <w:numPr>
                <w:ilvl w:val="0"/>
                <w:numId w:val="170"/>
              </w:numPr>
              <w:spacing w:after="0"/>
              <w:contextualSpacing/>
              <w:jc w:val="left"/>
              <w:rPr>
                <w:rFonts w:asciiTheme="majorHAnsi" w:hAnsiTheme="majorHAnsi"/>
                <w:sz w:val="18"/>
                <w:szCs w:val="18"/>
              </w:rPr>
            </w:pPr>
            <w:r w:rsidRPr="001160AF">
              <w:rPr>
                <w:rFonts w:asciiTheme="majorHAnsi" w:hAnsiTheme="majorHAnsi"/>
                <w:sz w:val="18"/>
                <w:szCs w:val="18"/>
              </w:rPr>
              <w:t>Assist with the transition of the EPU to the eventual Bureau of Environment.</w:t>
            </w:r>
          </w:p>
        </w:tc>
        <w:tc>
          <w:tcPr>
            <w:tcW w:w="2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891204" w14:textId="77777777" w:rsidR="001160AF" w:rsidRPr="001160AF" w:rsidRDefault="001160AF" w:rsidP="00D32FA2">
            <w:pPr>
              <w:jc w:val="left"/>
              <w:rPr>
                <w:rFonts w:asciiTheme="majorHAnsi" w:hAnsiTheme="majorHAnsi"/>
                <w:sz w:val="18"/>
                <w:szCs w:val="18"/>
              </w:rPr>
            </w:pPr>
            <w:r w:rsidRPr="001160AF">
              <w:rPr>
                <w:rFonts w:asciiTheme="majorHAnsi" w:hAnsiTheme="majorHAnsi"/>
                <w:sz w:val="18"/>
                <w:szCs w:val="18"/>
              </w:rPr>
              <w:t>Master’s Degree in environmental management or planning or equivalent</w:t>
            </w:r>
          </w:p>
          <w:p w14:paraId="7484D68D" w14:textId="77777777" w:rsidR="001160AF" w:rsidRPr="001160AF" w:rsidRDefault="001160AF" w:rsidP="00D32FA2">
            <w:pPr>
              <w:jc w:val="left"/>
              <w:rPr>
                <w:rFonts w:asciiTheme="majorHAnsi" w:hAnsiTheme="majorHAnsi"/>
                <w:sz w:val="18"/>
                <w:szCs w:val="18"/>
              </w:rPr>
            </w:pPr>
          </w:p>
          <w:p w14:paraId="2727DAC8" w14:textId="77777777" w:rsidR="001160AF" w:rsidRPr="001160AF" w:rsidRDefault="001160AF" w:rsidP="00D32FA2">
            <w:pPr>
              <w:jc w:val="left"/>
              <w:rPr>
                <w:rFonts w:asciiTheme="majorHAnsi" w:hAnsiTheme="majorHAnsi"/>
                <w:sz w:val="18"/>
                <w:szCs w:val="18"/>
              </w:rPr>
            </w:pPr>
            <w:r w:rsidRPr="001160AF">
              <w:rPr>
                <w:rFonts w:asciiTheme="majorHAnsi" w:hAnsiTheme="majorHAnsi"/>
                <w:sz w:val="18"/>
                <w:szCs w:val="18"/>
              </w:rPr>
              <w:t>Extensive experience with Palau’s environment and decision making sectors.</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00F25D" w14:textId="77777777" w:rsidR="001160AF" w:rsidRPr="001160AF" w:rsidRDefault="001160AF" w:rsidP="00D32FA2">
            <w:pPr>
              <w:jc w:val="left"/>
              <w:rPr>
                <w:rFonts w:asciiTheme="majorHAnsi" w:hAnsiTheme="majorHAnsi"/>
                <w:sz w:val="18"/>
                <w:szCs w:val="18"/>
              </w:rPr>
            </w:pPr>
            <w:r w:rsidRPr="001160AF">
              <w:rPr>
                <w:rFonts w:asciiTheme="majorHAnsi" w:hAnsiTheme="majorHAnsi"/>
                <w:sz w:val="18"/>
                <w:szCs w:val="18"/>
              </w:rPr>
              <w:t>Yearly work plan deliverables.</w:t>
            </w:r>
          </w:p>
          <w:p w14:paraId="225EAD1C" w14:textId="77777777" w:rsidR="001160AF" w:rsidRPr="001160AF" w:rsidRDefault="001160AF" w:rsidP="00D32FA2">
            <w:pPr>
              <w:jc w:val="left"/>
              <w:rPr>
                <w:rFonts w:asciiTheme="majorHAnsi" w:hAnsiTheme="majorHAnsi"/>
                <w:sz w:val="18"/>
                <w:szCs w:val="18"/>
              </w:rPr>
            </w:pPr>
          </w:p>
          <w:p w14:paraId="2523BE0D" w14:textId="77777777" w:rsidR="001160AF" w:rsidRPr="001160AF" w:rsidRDefault="001160AF" w:rsidP="00D32FA2">
            <w:pPr>
              <w:jc w:val="left"/>
              <w:rPr>
                <w:rFonts w:asciiTheme="majorHAnsi" w:hAnsiTheme="majorHAnsi"/>
                <w:sz w:val="18"/>
                <w:szCs w:val="18"/>
              </w:rPr>
            </w:pPr>
            <w:r w:rsidRPr="001160AF">
              <w:rPr>
                <w:rFonts w:asciiTheme="majorHAnsi" w:hAnsiTheme="majorHAnsi"/>
                <w:sz w:val="18"/>
                <w:szCs w:val="18"/>
              </w:rPr>
              <w:t>Organizational plan for the EPU and the eventual BOE</w:t>
            </w:r>
          </w:p>
        </w:tc>
        <w:tc>
          <w:tcPr>
            <w:tcW w:w="1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EB902"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Full-time local hire</w:t>
            </w:r>
          </w:p>
          <w:p w14:paraId="6C4C7C15"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4D412338"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(Years1-5)</w:t>
            </w:r>
          </w:p>
        </w:tc>
        <w:tc>
          <w:tcPr>
            <w:tcW w:w="1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F10345"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109,000</w:t>
            </w:r>
          </w:p>
        </w:tc>
      </w:tr>
      <w:tr w:rsidR="001160AF" w:rsidRPr="00A01750" w14:paraId="43AAB1F0" w14:textId="77777777" w:rsidTr="00D32FA2">
        <w:trPr>
          <w:trHeight w:val="800"/>
        </w:trPr>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F8538" w14:textId="77777777" w:rsidR="001160AF" w:rsidRPr="001160AF" w:rsidRDefault="001160AF" w:rsidP="00D32FA2">
            <w:pPr>
              <w:spacing w:after="0"/>
              <w:jc w:val="left"/>
              <w:rPr>
                <w:rFonts w:asciiTheme="majorHAnsi" w:eastAsia="Times New Roman" w:hAnsiTheme="majorHAnsi"/>
                <w:b/>
                <w:color w:val="000000" w:themeColor="text1"/>
                <w:sz w:val="18"/>
                <w:szCs w:val="18"/>
              </w:rPr>
            </w:pPr>
            <w:r w:rsidRPr="001160AF">
              <w:rPr>
                <w:rFonts w:asciiTheme="majorHAnsi" w:eastAsia="Times New Roman" w:hAnsiTheme="majorHAnsi" w:cs="Arial"/>
                <w:b/>
                <w:color w:val="000000" w:themeColor="text1"/>
                <w:sz w:val="18"/>
                <w:szCs w:val="18"/>
              </w:rPr>
              <w:t>10. Improving the functioning of the NISC Office (Output 1.3)</w:t>
            </w:r>
          </w:p>
        </w:tc>
        <w:tc>
          <w:tcPr>
            <w:tcW w:w="3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6A3B6" w14:textId="77777777" w:rsidR="001160AF" w:rsidRPr="001160AF" w:rsidRDefault="001160AF" w:rsidP="00D17561">
            <w:pPr>
              <w:numPr>
                <w:ilvl w:val="0"/>
                <w:numId w:val="170"/>
              </w:numPr>
              <w:spacing w:after="0"/>
              <w:contextualSpacing/>
              <w:jc w:val="left"/>
              <w:rPr>
                <w:rFonts w:asciiTheme="majorHAnsi" w:hAnsiTheme="majorHAnsi"/>
                <w:sz w:val="18"/>
                <w:szCs w:val="18"/>
              </w:rPr>
            </w:pPr>
            <w:r w:rsidRPr="001160AF">
              <w:rPr>
                <w:rFonts w:asciiTheme="majorHAnsi" w:hAnsiTheme="majorHAnsi"/>
                <w:sz w:val="18"/>
                <w:szCs w:val="18"/>
              </w:rPr>
              <w:t>Act as a Coordination Assistant to the NISC Coordinator to improve functioning of the NISC and the NISCO</w:t>
            </w:r>
          </w:p>
        </w:tc>
        <w:tc>
          <w:tcPr>
            <w:tcW w:w="2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336C50" w14:textId="77777777" w:rsidR="001160AF" w:rsidRPr="001160AF" w:rsidRDefault="001160AF" w:rsidP="00D32FA2">
            <w:pPr>
              <w:jc w:val="left"/>
              <w:rPr>
                <w:rFonts w:asciiTheme="majorHAnsi" w:hAnsiTheme="majorHAnsi"/>
                <w:sz w:val="18"/>
                <w:szCs w:val="18"/>
              </w:rPr>
            </w:pPr>
            <w:r w:rsidRPr="001160AF">
              <w:rPr>
                <w:rFonts w:asciiTheme="majorHAnsi" w:hAnsiTheme="majorHAnsi"/>
                <w:sz w:val="18"/>
                <w:szCs w:val="18"/>
              </w:rPr>
              <w:t>Bachelor’s degree in Office Management or equivalent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F01D1" w14:textId="77777777" w:rsidR="001160AF" w:rsidRPr="001160AF" w:rsidRDefault="001160AF" w:rsidP="00D32FA2">
            <w:pPr>
              <w:jc w:val="left"/>
              <w:rPr>
                <w:rFonts w:asciiTheme="majorHAnsi" w:hAnsiTheme="majorHAnsi"/>
                <w:sz w:val="18"/>
                <w:szCs w:val="18"/>
              </w:rPr>
            </w:pPr>
            <w:r w:rsidRPr="001160AF">
              <w:rPr>
                <w:rFonts w:asciiTheme="majorHAnsi" w:hAnsiTheme="majorHAnsi"/>
                <w:sz w:val="18"/>
                <w:szCs w:val="18"/>
              </w:rPr>
              <w:t>Yearly work plan deliverables as agreed with the NISC Coordinator.</w:t>
            </w:r>
          </w:p>
        </w:tc>
        <w:tc>
          <w:tcPr>
            <w:tcW w:w="1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859714"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Full-time local hire</w:t>
            </w:r>
          </w:p>
          <w:p w14:paraId="1C01A053"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(Years1-2)</w:t>
            </w:r>
          </w:p>
        </w:tc>
        <w:tc>
          <w:tcPr>
            <w:tcW w:w="1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7063A0"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30,000</w:t>
            </w:r>
          </w:p>
        </w:tc>
      </w:tr>
      <w:tr w:rsidR="001160AF" w:rsidRPr="00A01750" w14:paraId="4F2155BE" w14:textId="77777777" w:rsidTr="00D32FA2">
        <w:trPr>
          <w:trHeight w:val="800"/>
        </w:trPr>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9229A" w14:textId="77777777" w:rsidR="001160AF" w:rsidRPr="001160AF" w:rsidRDefault="001160AF" w:rsidP="00D32FA2">
            <w:pPr>
              <w:spacing w:after="0"/>
              <w:jc w:val="left"/>
              <w:rPr>
                <w:rFonts w:asciiTheme="majorHAnsi" w:eastAsia="Times New Roman" w:hAnsiTheme="majorHAnsi"/>
                <w:b/>
                <w:color w:val="000000" w:themeColor="text1"/>
                <w:sz w:val="18"/>
                <w:szCs w:val="18"/>
              </w:rPr>
            </w:pPr>
            <w:r w:rsidRPr="001160AF">
              <w:rPr>
                <w:rFonts w:asciiTheme="majorHAnsi" w:eastAsia="Times New Roman" w:hAnsiTheme="majorHAnsi" w:cs="Arial"/>
                <w:b/>
                <w:color w:val="000000" w:themeColor="text1"/>
                <w:sz w:val="18"/>
                <w:szCs w:val="18"/>
              </w:rPr>
              <w:t>11. Rehabilitation and Restoration Plans (Output 2.3)</w:t>
            </w:r>
          </w:p>
        </w:tc>
        <w:tc>
          <w:tcPr>
            <w:tcW w:w="3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11C53" w14:textId="77777777" w:rsidR="001160AF" w:rsidRPr="001160AF" w:rsidRDefault="001160AF" w:rsidP="00D17561">
            <w:pPr>
              <w:numPr>
                <w:ilvl w:val="0"/>
                <w:numId w:val="170"/>
              </w:numPr>
              <w:spacing w:after="0"/>
              <w:contextualSpacing/>
              <w:jc w:val="left"/>
              <w:rPr>
                <w:rFonts w:asciiTheme="majorHAnsi" w:hAnsiTheme="majorHAnsi"/>
                <w:sz w:val="18"/>
                <w:szCs w:val="18"/>
              </w:rPr>
            </w:pPr>
            <w:r w:rsidRPr="001160AF">
              <w:rPr>
                <w:rFonts w:asciiTheme="majorHAnsi" w:hAnsiTheme="majorHAnsi"/>
                <w:sz w:val="18"/>
                <w:szCs w:val="18"/>
              </w:rPr>
              <w:t>Assist with the development of rehabilitation and restoration plans for sites after they are identified through the ILSMP process</w:t>
            </w:r>
          </w:p>
        </w:tc>
        <w:tc>
          <w:tcPr>
            <w:tcW w:w="2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1886B4" w14:textId="77777777" w:rsidR="001160AF" w:rsidRPr="001160AF" w:rsidRDefault="001160AF" w:rsidP="00D32FA2">
            <w:pPr>
              <w:jc w:val="left"/>
              <w:rPr>
                <w:rFonts w:asciiTheme="majorHAnsi" w:hAnsiTheme="majorHAnsi"/>
                <w:sz w:val="18"/>
                <w:szCs w:val="18"/>
              </w:rPr>
            </w:pPr>
            <w:r w:rsidRPr="001160AF">
              <w:rPr>
                <w:rFonts w:asciiTheme="majorHAnsi" w:hAnsiTheme="majorHAnsi"/>
                <w:sz w:val="18"/>
                <w:szCs w:val="18"/>
              </w:rPr>
              <w:t>Bachelor’s degree in Environmental management or equivalent</w:t>
            </w:r>
          </w:p>
          <w:p w14:paraId="72F46641" w14:textId="77777777" w:rsidR="001160AF" w:rsidRPr="001160AF" w:rsidRDefault="001160AF" w:rsidP="00D32FA2">
            <w:pPr>
              <w:jc w:val="left"/>
              <w:rPr>
                <w:rFonts w:asciiTheme="majorHAnsi" w:hAnsiTheme="majorHAnsi"/>
                <w:sz w:val="18"/>
                <w:szCs w:val="18"/>
              </w:rPr>
            </w:pPr>
          </w:p>
          <w:p w14:paraId="2503B4AA" w14:textId="77777777" w:rsidR="001160AF" w:rsidRPr="001160AF" w:rsidRDefault="001160AF" w:rsidP="00D32FA2">
            <w:pPr>
              <w:jc w:val="left"/>
              <w:rPr>
                <w:rFonts w:asciiTheme="majorHAnsi" w:hAnsiTheme="majorHAnsi"/>
                <w:sz w:val="18"/>
                <w:szCs w:val="18"/>
              </w:rPr>
            </w:pPr>
            <w:r w:rsidRPr="001160AF">
              <w:rPr>
                <w:rFonts w:asciiTheme="majorHAnsi" w:hAnsiTheme="majorHAnsi"/>
                <w:sz w:val="18"/>
                <w:szCs w:val="18"/>
              </w:rPr>
              <w:t>Experience with environmental plans</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6AAB6" w14:textId="77777777" w:rsidR="001160AF" w:rsidRPr="001160AF" w:rsidRDefault="001160AF" w:rsidP="00D32FA2">
            <w:pPr>
              <w:jc w:val="left"/>
              <w:rPr>
                <w:rFonts w:asciiTheme="majorHAnsi" w:hAnsiTheme="majorHAnsi"/>
                <w:sz w:val="18"/>
                <w:szCs w:val="18"/>
              </w:rPr>
            </w:pPr>
            <w:r w:rsidRPr="001160AF">
              <w:rPr>
                <w:rFonts w:asciiTheme="majorHAnsi" w:hAnsiTheme="majorHAnsi"/>
                <w:sz w:val="18"/>
                <w:szCs w:val="18"/>
              </w:rPr>
              <w:t>Written plans to cover 1000 ha of land to be restored and/or rehabilitated</w:t>
            </w:r>
          </w:p>
        </w:tc>
        <w:tc>
          <w:tcPr>
            <w:tcW w:w="1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3FD080"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2 MM</w:t>
            </w:r>
          </w:p>
          <w:p w14:paraId="312E83CF"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608376B6"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(Years 4-5)</w:t>
            </w:r>
          </w:p>
        </w:tc>
        <w:tc>
          <w:tcPr>
            <w:tcW w:w="1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6E0E24"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10,000</w:t>
            </w:r>
          </w:p>
        </w:tc>
      </w:tr>
      <w:tr w:rsidR="001160AF" w:rsidRPr="00A01750" w14:paraId="5AC2EC96" w14:textId="77777777" w:rsidTr="00D32FA2">
        <w:trPr>
          <w:trHeight w:val="800"/>
        </w:trPr>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E32B9F" w14:textId="77777777" w:rsidR="001160AF" w:rsidRPr="001160AF" w:rsidRDefault="001160AF" w:rsidP="00D32FA2">
            <w:pPr>
              <w:spacing w:after="0"/>
              <w:jc w:val="left"/>
              <w:rPr>
                <w:rFonts w:asciiTheme="majorHAnsi" w:eastAsia="Times New Roman" w:hAnsiTheme="majorHAnsi"/>
                <w:b/>
                <w:color w:val="000000" w:themeColor="text1"/>
                <w:sz w:val="18"/>
                <w:szCs w:val="18"/>
              </w:rPr>
            </w:pPr>
            <w:r w:rsidRPr="001160AF">
              <w:rPr>
                <w:rFonts w:asciiTheme="majorHAnsi" w:eastAsia="Times New Roman" w:hAnsiTheme="majorHAnsi" w:cs="Arial"/>
                <w:b/>
                <w:color w:val="000000" w:themeColor="text1"/>
                <w:sz w:val="18"/>
                <w:szCs w:val="18"/>
              </w:rPr>
              <w:t>12. Integrate information from state level reviews into state tourism frameworks in Koror and Peleliu (Output 3.2)</w:t>
            </w:r>
          </w:p>
        </w:tc>
        <w:tc>
          <w:tcPr>
            <w:tcW w:w="3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0D452F" w14:textId="77777777" w:rsidR="001160AF" w:rsidRPr="001160AF" w:rsidRDefault="001160AF" w:rsidP="00D17561">
            <w:pPr>
              <w:numPr>
                <w:ilvl w:val="0"/>
                <w:numId w:val="170"/>
              </w:numPr>
              <w:spacing w:after="0"/>
              <w:contextualSpacing/>
              <w:jc w:val="left"/>
              <w:rPr>
                <w:rFonts w:asciiTheme="majorHAnsi" w:hAnsiTheme="majorHAnsi"/>
                <w:sz w:val="18"/>
                <w:szCs w:val="18"/>
              </w:rPr>
            </w:pPr>
            <w:r w:rsidRPr="001160AF">
              <w:rPr>
                <w:rFonts w:asciiTheme="majorHAnsi" w:hAnsiTheme="majorHAnsi"/>
                <w:sz w:val="18"/>
                <w:szCs w:val="18"/>
              </w:rPr>
              <w:t>Draft recommendations and sections on IAS and Biosecurity for inclusion into Koror State’s (and Peleliu if applicable) tourism framework, based on results of State reviews and ISLMP process</w:t>
            </w:r>
          </w:p>
        </w:tc>
        <w:tc>
          <w:tcPr>
            <w:tcW w:w="2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23EE6C" w14:textId="77777777" w:rsidR="001160AF" w:rsidRPr="001160AF" w:rsidRDefault="001160AF" w:rsidP="00D32FA2">
            <w:pPr>
              <w:jc w:val="left"/>
              <w:rPr>
                <w:rFonts w:asciiTheme="majorHAnsi" w:hAnsiTheme="majorHAnsi"/>
                <w:sz w:val="18"/>
                <w:szCs w:val="18"/>
              </w:rPr>
            </w:pPr>
            <w:r w:rsidRPr="001160AF">
              <w:rPr>
                <w:rFonts w:asciiTheme="majorHAnsi" w:hAnsiTheme="majorHAnsi"/>
                <w:sz w:val="18"/>
                <w:szCs w:val="18"/>
              </w:rPr>
              <w:t>Bachelor’s degree in Environmental management or equivalent</w:t>
            </w:r>
          </w:p>
          <w:p w14:paraId="077E709E" w14:textId="77777777" w:rsidR="001160AF" w:rsidRPr="001160AF" w:rsidRDefault="001160AF" w:rsidP="00D32FA2">
            <w:pPr>
              <w:jc w:val="left"/>
              <w:rPr>
                <w:rFonts w:asciiTheme="majorHAnsi" w:hAnsiTheme="majorHAnsi"/>
                <w:sz w:val="18"/>
                <w:szCs w:val="18"/>
              </w:rPr>
            </w:pPr>
          </w:p>
          <w:p w14:paraId="18B30689" w14:textId="77777777" w:rsidR="001160AF" w:rsidRPr="001160AF" w:rsidRDefault="001160AF" w:rsidP="00D32FA2">
            <w:pPr>
              <w:jc w:val="left"/>
              <w:rPr>
                <w:rFonts w:asciiTheme="majorHAnsi" w:hAnsiTheme="majorHAnsi"/>
                <w:sz w:val="18"/>
                <w:szCs w:val="18"/>
              </w:rPr>
            </w:pPr>
            <w:r w:rsidRPr="001160AF">
              <w:rPr>
                <w:rFonts w:asciiTheme="majorHAnsi" w:hAnsiTheme="majorHAnsi"/>
                <w:sz w:val="18"/>
                <w:szCs w:val="18"/>
              </w:rPr>
              <w:t>Experience with environmental plans</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0E84E5" w14:textId="77777777" w:rsidR="001160AF" w:rsidRPr="001160AF" w:rsidRDefault="001160AF" w:rsidP="00D32FA2">
            <w:pPr>
              <w:jc w:val="left"/>
              <w:rPr>
                <w:rFonts w:asciiTheme="majorHAnsi" w:hAnsiTheme="majorHAnsi"/>
                <w:sz w:val="18"/>
                <w:szCs w:val="18"/>
              </w:rPr>
            </w:pPr>
            <w:r w:rsidRPr="001160AF">
              <w:rPr>
                <w:rFonts w:asciiTheme="majorHAnsi" w:hAnsiTheme="majorHAnsi"/>
                <w:sz w:val="18"/>
                <w:szCs w:val="18"/>
              </w:rPr>
              <w:t>Written sections that fit into Koror State’s tourism and regulatory framework that dictate mainstreaming processes for IAS and Biosecurity.</w:t>
            </w:r>
          </w:p>
        </w:tc>
        <w:tc>
          <w:tcPr>
            <w:tcW w:w="1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0D17D6"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2 MM</w:t>
            </w:r>
          </w:p>
          <w:p w14:paraId="585853FE"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4F9B1CCD"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(Year 3)</w:t>
            </w:r>
          </w:p>
        </w:tc>
        <w:tc>
          <w:tcPr>
            <w:tcW w:w="1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ACC309"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10,000</w:t>
            </w:r>
          </w:p>
        </w:tc>
      </w:tr>
      <w:tr w:rsidR="001160AF" w:rsidRPr="00A01750" w14:paraId="57366742" w14:textId="77777777" w:rsidTr="00D32FA2">
        <w:trPr>
          <w:trHeight w:val="800"/>
        </w:trPr>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B18CD" w14:textId="77777777" w:rsidR="001160AF" w:rsidRPr="001160AF" w:rsidRDefault="001160AF" w:rsidP="00D32FA2">
            <w:pPr>
              <w:spacing w:after="0"/>
              <w:jc w:val="left"/>
              <w:rPr>
                <w:rFonts w:asciiTheme="majorHAnsi" w:eastAsia="Times New Roman" w:hAnsiTheme="majorHAnsi"/>
                <w:b/>
                <w:color w:val="000000" w:themeColor="text1"/>
                <w:sz w:val="18"/>
                <w:szCs w:val="18"/>
              </w:rPr>
            </w:pPr>
            <w:r w:rsidRPr="001160AF">
              <w:rPr>
                <w:rFonts w:asciiTheme="majorHAnsi" w:eastAsia="Times New Roman" w:hAnsiTheme="majorHAnsi" w:cs="Arial"/>
                <w:b/>
                <w:color w:val="000000" w:themeColor="text1"/>
                <w:sz w:val="18"/>
                <w:szCs w:val="18"/>
              </w:rPr>
              <w:t>13. Assisting with national survey of knowledge/understand of IAS issues and regular updating of Communications Strategy (Output 4.2)</w:t>
            </w:r>
          </w:p>
        </w:tc>
        <w:tc>
          <w:tcPr>
            <w:tcW w:w="3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F32FEF" w14:textId="77777777" w:rsidR="001160AF" w:rsidRPr="001160AF" w:rsidRDefault="001160AF" w:rsidP="00D17561">
            <w:pPr>
              <w:numPr>
                <w:ilvl w:val="0"/>
                <w:numId w:val="170"/>
              </w:numPr>
              <w:spacing w:after="0"/>
              <w:contextualSpacing/>
              <w:jc w:val="left"/>
              <w:rPr>
                <w:rFonts w:asciiTheme="majorHAnsi" w:hAnsiTheme="majorHAnsi"/>
                <w:sz w:val="18"/>
                <w:szCs w:val="18"/>
              </w:rPr>
            </w:pPr>
            <w:r w:rsidRPr="001160AF">
              <w:rPr>
                <w:rFonts w:asciiTheme="majorHAnsi" w:hAnsiTheme="majorHAnsi"/>
                <w:sz w:val="18"/>
                <w:szCs w:val="18"/>
              </w:rPr>
              <w:t>Field assistance with a survey on awareness of IAS in preparation for the National IAS survey</w:t>
            </w:r>
          </w:p>
          <w:p w14:paraId="0D82DE43" w14:textId="77777777" w:rsidR="001160AF" w:rsidRPr="001160AF" w:rsidRDefault="001160AF" w:rsidP="00D17561">
            <w:pPr>
              <w:numPr>
                <w:ilvl w:val="0"/>
                <w:numId w:val="170"/>
              </w:numPr>
              <w:spacing w:after="0"/>
              <w:contextualSpacing/>
              <w:jc w:val="left"/>
              <w:rPr>
                <w:rFonts w:asciiTheme="majorHAnsi" w:hAnsiTheme="majorHAnsi"/>
                <w:sz w:val="18"/>
                <w:szCs w:val="18"/>
              </w:rPr>
            </w:pPr>
            <w:r w:rsidRPr="001160AF">
              <w:rPr>
                <w:rFonts w:asciiTheme="majorHAnsi" w:hAnsiTheme="majorHAnsi"/>
                <w:sz w:val="18"/>
                <w:szCs w:val="18"/>
              </w:rPr>
              <w:t>Tracking implementation of the Communications Strategy and annual updates</w:t>
            </w:r>
          </w:p>
        </w:tc>
        <w:tc>
          <w:tcPr>
            <w:tcW w:w="2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957340" w14:textId="77777777" w:rsidR="001160AF" w:rsidRPr="001160AF" w:rsidRDefault="001160AF" w:rsidP="00D32FA2">
            <w:pPr>
              <w:jc w:val="left"/>
              <w:rPr>
                <w:rFonts w:asciiTheme="majorHAnsi" w:hAnsiTheme="majorHAnsi"/>
                <w:sz w:val="18"/>
                <w:szCs w:val="18"/>
              </w:rPr>
            </w:pPr>
            <w:r w:rsidRPr="001160AF">
              <w:rPr>
                <w:rFonts w:asciiTheme="majorHAnsi" w:hAnsiTheme="majorHAnsi"/>
                <w:sz w:val="18"/>
                <w:szCs w:val="18"/>
              </w:rPr>
              <w:t>Bachelor’s degree in Environmental Management or Communications or equivalent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733FF5" w14:textId="77777777" w:rsidR="001160AF" w:rsidRPr="001160AF" w:rsidRDefault="001160AF" w:rsidP="00D32FA2">
            <w:pPr>
              <w:jc w:val="left"/>
              <w:rPr>
                <w:rFonts w:asciiTheme="majorHAnsi" w:hAnsiTheme="majorHAnsi"/>
                <w:sz w:val="18"/>
                <w:szCs w:val="18"/>
              </w:rPr>
            </w:pPr>
            <w:r w:rsidRPr="001160AF">
              <w:rPr>
                <w:rFonts w:asciiTheme="majorHAnsi" w:hAnsiTheme="majorHAnsi"/>
                <w:sz w:val="18"/>
                <w:szCs w:val="18"/>
              </w:rPr>
              <w:t>Data sheets and written assessments from surveys</w:t>
            </w:r>
          </w:p>
          <w:p w14:paraId="50696E73" w14:textId="77777777" w:rsidR="001160AF" w:rsidRPr="001160AF" w:rsidRDefault="001160AF" w:rsidP="00D32FA2">
            <w:pPr>
              <w:jc w:val="left"/>
              <w:rPr>
                <w:rFonts w:asciiTheme="majorHAnsi" w:hAnsiTheme="majorHAnsi"/>
                <w:sz w:val="18"/>
                <w:szCs w:val="18"/>
              </w:rPr>
            </w:pPr>
          </w:p>
          <w:p w14:paraId="77BF0073" w14:textId="77777777" w:rsidR="001160AF" w:rsidRPr="001160AF" w:rsidRDefault="001160AF" w:rsidP="00D32FA2">
            <w:pPr>
              <w:jc w:val="left"/>
              <w:rPr>
                <w:rFonts w:asciiTheme="majorHAnsi" w:hAnsiTheme="majorHAnsi"/>
                <w:sz w:val="18"/>
                <w:szCs w:val="18"/>
              </w:rPr>
            </w:pPr>
            <w:r w:rsidRPr="001160AF">
              <w:rPr>
                <w:rFonts w:asciiTheme="majorHAnsi" w:hAnsiTheme="majorHAnsi"/>
                <w:sz w:val="18"/>
                <w:szCs w:val="18"/>
              </w:rPr>
              <w:t>Annual updates of the Communications Plan</w:t>
            </w:r>
          </w:p>
        </w:tc>
        <w:tc>
          <w:tcPr>
            <w:tcW w:w="1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813156"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3 MM</w:t>
            </w:r>
          </w:p>
          <w:p w14:paraId="784EB04B"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7DCE176B"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(Year 3)</w:t>
            </w:r>
          </w:p>
        </w:tc>
        <w:tc>
          <w:tcPr>
            <w:tcW w:w="1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654C8B"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16,000</w:t>
            </w:r>
          </w:p>
        </w:tc>
      </w:tr>
      <w:tr w:rsidR="001160AF" w:rsidRPr="00A01750" w14:paraId="3DB4879E" w14:textId="77777777" w:rsidTr="00D32FA2">
        <w:trPr>
          <w:trHeight w:val="800"/>
        </w:trPr>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2424FE" w14:textId="77777777" w:rsidR="001160AF" w:rsidRPr="001160AF" w:rsidRDefault="001160AF" w:rsidP="00D32FA2">
            <w:pPr>
              <w:spacing w:after="0"/>
              <w:jc w:val="left"/>
              <w:rPr>
                <w:rFonts w:asciiTheme="majorHAnsi" w:eastAsia="Times New Roman" w:hAnsiTheme="majorHAnsi"/>
                <w:b/>
                <w:color w:val="000000" w:themeColor="text1"/>
                <w:sz w:val="18"/>
                <w:szCs w:val="18"/>
              </w:rPr>
            </w:pPr>
            <w:r w:rsidRPr="001160AF">
              <w:rPr>
                <w:rFonts w:asciiTheme="majorHAnsi" w:eastAsia="Times New Roman" w:hAnsiTheme="majorHAnsi" w:cs="Arial"/>
                <w:b/>
                <w:color w:val="000000" w:themeColor="text1"/>
                <w:sz w:val="18"/>
                <w:szCs w:val="18"/>
              </w:rPr>
              <w:t>14. Conducting research and mapping of gender roles within resource use and land planning (Output 4.1)</w:t>
            </w:r>
          </w:p>
        </w:tc>
        <w:tc>
          <w:tcPr>
            <w:tcW w:w="3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AC1231" w14:textId="77777777" w:rsidR="001160AF" w:rsidRPr="001160AF" w:rsidRDefault="001160AF" w:rsidP="00D17561">
            <w:pPr>
              <w:numPr>
                <w:ilvl w:val="0"/>
                <w:numId w:val="170"/>
              </w:numPr>
              <w:spacing w:after="0"/>
              <w:contextualSpacing/>
              <w:jc w:val="left"/>
              <w:rPr>
                <w:rFonts w:asciiTheme="majorHAnsi" w:hAnsiTheme="majorHAnsi"/>
                <w:sz w:val="18"/>
                <w:szCs w:val="18"/>
              </w:rPr>
            </w:pPr>
            <w:r w:rsidRPr="001160AF">
              <w:rPr>
                <w:rFonts w:asciiTheme="majorHAnsi" w:hAnsiTheme="majorHAnsi"/>
                <w:sz w:val="18"/>
                <w:szCs w:val="18"/>
              </w:rPr>
              <w:t xml:space="preserve">Conduct research on gender roles (and those of vulnerable peoples), as identified in the Gender Mainstreaming Action Plan </w:t>
            </w:r>
          </w:p>
        </w:tc>
        <w:tc>
          <w:tcPr>
            <w:tcW w:w="2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42CD8C" w14:textId="77777777" w:rsidR="001160AF" w:rsidRPr="001160AF" w:rsidRDefault="001160AF" w:rsidP="00D32FA2">
            <w:pPr>
              <w:jc w:val="left"/>
              <w:rPr>
                <w:rFonts w:asciiTheme="majorHAnsi" w:hAnsiTheme="majorHAnsi"/>
                <w:sz w:val="18"/>
                <w:szCs w:val="18"/>
              </w:rPr>
            </w:pPr>
            <w:r w:rsidRPr="001160AF">
              <w:rPr>
                <w:rFonts w:asciiTheme="majorHAnsi" w:hAnsiTheme="majorHAnsi"/>
                <w:sz w:val="18"/>
                <w:szCs w:val="18"/>
              </w:rPr>
              <w:t>Bachelor’s degree in sociology of equivalent</w:t>
            </w:r>
          </w:p>
          <w:p w14:paraId="2FD45558" w14:textId="77777777" w:rsidR="001160AF" w:rsidRPr="001160AF" w:rsidRDefault="001160AF" w:rsidP="00D32FA2">
            <w:pPr>
              <w:jc w:val="left"/>
              <w:rPr>
                <w:rFonts w:asciiTheme="majorHAnsi" w:hAnsiTheme="majorHAnsi"/>
                <w:sz w:val="18"/>
                <w:szCs w:val="18"/>
              </w:rPr>
            </w:pPr>
          </w:p>
          <w:p w14:paraId="7FDAD081" w14:textId="77777777" w:rsidR="001160AF" w:rsidRPr="001160AF" w:rsidRDefault="001160AF" w:rsidP="00D32FA2">
            <w:pPr>
              <w:jc w:val="left"/>
              <w:rPr>
                <w:rFonts w:asciiTheme="majorHAnsi" w:hAnsiTheme="majorHAnsi"/>
                <w:sz w:val="18"/>
                <w:szCs w:val="18"/>
              </w:rPr>
            </w:pPr>
            <w:r w:rsidRPr="001160AF">
              <w:rPr>
                <w:rFonts w:asciiTheme="majorHAnsi" w:hAnsiTheme="majorHAnsi"/>
                <w:sz w:val="18"/>
                <w:szCs w:val="18"/>
              </w:rPr>
              <w:t>Experience with gender roles in Palau</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DE645" w14:textId="77777777" w:rsidR="001160AF" w:rsidRPr="001160AF" w:rsidRDefault="001160AF" w:rsidP="00D32FA2">
            <w:pPr>
              <w:jc w:val="left"/>
              <w:rPr>
                <w:rFonts w:asciiTheme="majorHAnsi" w:hAnsiTheme="majorHAnsi"/>
                <w:sz w:val="18"/>
                <w:szCs w:val="18"/>
              </w:rPr>
            </w:pPr>
            <w:r w:rsidRPr="001160AF">
              <w:rPr>
                <w:rFonts w:asciiTheme="majorHAnsi" w:hAnsiTheme="majorHAnsi"/>
                <w:sz w:val="18"/>
                <w:szCs w:val="18"/>
              </w:rPr>
              <w:t>Research reports as identified in the Mainstreaming Plan</w:t>
            </w:r>
          </w:p>
        </w:tc>
        <w:tc>
          <w:tcPr>
            <w:tcW w:w="1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F78CDA"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5 MM</w:t>
            </w:r>
          </w:p>
          <w:p w14:paraId="13E37259"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17A66A12"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(Years 2-3)</w:t>
            </w:r>
          </w:p>
        </w:tc>
        <w:tc>
          <w:tcPr>
            <w:tcW w:w="1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3FEEAE"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25,000</w:t>
            </w:r>
          </w:p>
        </w:tc>
      </w:tr>
      <w:tr w:rsidR="001160AF" w:rsidRPr="00A01750" w14:paraId="5383C5B9" w14:textId="77777777" w:rsidTr="00D32FA2">
        <w:trPr>
          <w:trHeight w:val="440"/>
        </w:trPr>
        <w:tc>
          <w:tcPr>
            <w:tcW w:w="13661" w:type="dxa"/>
            <w:gridSpan w:val="6"/>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hideMark/>
          </w:tcPr>
          <w:p w14:paraId="51C37C48" w14:textId="77777777" w:rsidR="001160AF" w:rsidRPr="001160AF" w:rsidRDefault="001160AF" w:rsidP="00D32FA2">
            <w:pPr>
              <w:spacing w:after="0"/>
              <w:jc w:val="left"/>
              <w:rPr>
                <w:rFonts w:asciiTheme="majorHAnsi" w:eastAsia="Times New Roman" w:hAnsiTheme="majorHAnsi"/>
                <w:b/>
                <w:color w:val="000000" w:themeColor="text1"/>
                <w:sz w:val="18"/>
                <w:szCs w:val="18"/>
              </w:rPr>
            </w:pPr>
            <w:r w:rsidRPr="001160AF">
              <w:rPr>
                <w:rFonts w:asciiTheme="majorHAnsi" w:eastAsia="Times New Roman" w:hAnsiTheme="majorHAnsi" w:cs="Arial"/>
                <w:b/>
                <w:bCs/>
                <w:color w:val="000000" w:themeColor="text1"/>
                <w:sz w:val="18"/>
                <w:szCs w:val="18"/>
              </w:rPr>
              <w:t>Contractual Services (Firms or NGOs)</w:t>
            </w:r>
          </w:p>
        </w:tc>
      </w:tr>
      <w:tr w:rsidR="001160AF" w:rsidRPr="00A01750" w14:paraId="603B4ABE" w14:textId="77777777" w:rsidTr="00D32FA2">
        <w:trPr>
          <w:trHeight w:val="1400"/>
        </w:trPr>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4535CF" w14:textId="179C12E7" w:rsidR="001160AF" w:rsidRPr="001160AF" w:rsidRDefault="001160AF" w:rsidP="00D32FA2">
            <w:pPr>
              <w:spacing w:after="0"/>
              <w:jc w:val="left"/>
              <w:rPr>
                <w:rFonts w:asciiTheme="majorHAnsi" w:eastAsia="Times New Roman" w:hAnsiTheme="majorHAnsi"/>
                <w:b/>
                <w:color w:val="000000" w:themeColor="text1"/>
                <w:sz w:val="18"/>
                <w:szCs w:val="18"/>
              </w:rPr>
            </w:pPr>
            <w:r w:rsidRPr="001160AF">
              <w:rPr>
                <w:rFonts w:asciiTheme="majorHAnsi" w:eastAsia="Times New Roman" w:hAnsiTheme="majorHAnsi" w:cs="Arial"/>
                <w:b/>
                <w:color w:val="000000" w:themeColor="text1"/>
                <w:sz w:val="18"/>
                <w:szCs w:val="18"/>
              </w:rPr>
              <w:t>1</w:t>
            </w:r>
            <w:r w:rsidR="00194AA1">
              <w:rPr>
                <w:rFonts w:asciiTheme="majorHAnsi" w:eastAsia="Times New Roman" w:hAnsiTheme="majorHAnsi" w:cs="Arial"/>
                <w:b/>
                <w:color w:val="000000" w:themeColor="text1"/>
                <w:sz w:val="18"/>
                <w:szCs w:val="18"/>
              </w:rPr>
              <w:t xml:space="preserve">. </w:t>
            </w:r>
            <w:r w:rsidRPr="001160AF">
              <w:rPr>
                <w:rFonts w:asciiTheme="majorHAnsi" w:eastAsia="Times New Roman" w:hAnsiTheme="majorHAnsi" w:cs="Arial"/>
                <w:b/>
                <w:color w:val="000000" w:themeColor="text1"/>
                <w:sz w:val="18"/>
                <w:szCs w:val="18"/>
              </w:rPr>
              <w:t>Architectural and/or Site Development Plans (Output 1.3)</w:t>
            </w:r>
          </w:p>
        </w:tc>
        <w:tc>
          <w:tcPr>
            <w:tcW w:w="3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DF361" w14:textId="77777777" w:rsidR="001160AF" w:rsidRPr="001160AF" w:rsidRDefault="001160AF" w:rsidP="00D32FA2">
            <w:pPr>
              <w:spacing w:before="60"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iCs/>
                <w:color w:val="000000" w:themeColor="text1"/>
                <w:sz w:val="18"/>
                <w:szCs w:val="18"/>
              </w:rPr>
              <w:t>Develop site plans for biosecurity office, storage, quarantine, treatment and inspection areas at location decided by MNRET, BD, and State partners.</w:t>
            </w:r>
          </w:p>
        </w:tc>
        <w:tc>
          <w:tcPr>
            <w:tcW w:w="2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DEBE63"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Architectural or construction planning firm</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A9B5B"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Implementable plans that will enable subsequent development of the site</w:t>
            </w:r>
          </w:p>
        </w:tc>
        <w:tc>
          <w:tcPr>
            <w:tcW w:w="1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66BF29"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3 MM</w:t>
            </w:r>
          </w:p>
          <w:p w14:paraId="4BC05E36"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2DEB210C"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(Year 1)</w:t>
            </w:r>
          </w:p>
        </w:tc>
        <w:tc>
          <w:tcPr>
            <w:tcW w:w="1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5FA4A0"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20,000</w:t>
            </w:r>
          </w:p>
        </w:tc>
      </w:tr>
      <w:tr w:rsidR="001160AF" w:rsidRPr="00A01750" w14:paraId="7283444A" w14:textId="77777777" w:rsidTr="00D32FA2">
        <w:trPr>
          <w:trHeight w:val="1100"/>
        </w:trPr>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F32D7" w14:textId="35DDF88F" w:rsidR="001160AF" w:rsidRPr="001160AF" w:rsidRDefault="001160AF" w:rsidP="00D32FA2">
            <w:pPr>
              <w:spacing w:after="0"/>
              <w:jc w:val="left"/>
              <w:rPr>
                <w:rFonts w:asciiTheme="majorHAnsi" w:eastAsia="Times New Roman" w:hAnsiTheme="majorHAnsi"/>
                <w:b/>
                <w:color w:val="000000" w:themeColor="text1"/>
                <w:sz w:val="18"/>
                <w:szCs w:val="18"/>
              </w:rPr>
            </w:pPr>
            <w:r w:rsidRPr="001160AF">
              <w:rPr>
                <w:rFonts w:asciiTheme="majorHAnsi" w:eastAsia="Times New Roman" w:hAnsiTheme="majorHAnsi" w:cs="Arial"/>
                <w:b/>
                <w:color w:val="000000" w:themeColor="text1"/>
                <w:sz w:val="18"/>
                <w:szCs w:val="18"/>
              </w:rPr>
              <w:t>2</w:t>
            </w:r>
            <w:r w:rsidR="00194AA1">
              <w:rPr>
                <w:rFonts w:asciiTheme="majorHAnsi" w:eastAsia="Times New Roman" w:hAnsiTheme="majorHAnsi" w:cs="Arial"/>
                <w:b/>
                <w:color w:val="000000" w:themeColor="text1"/>
                <w:sz w:val="18"/>
                <w:szCs w:val="18"/>
              </w:rPr>
              <w:t xml:space="preserve">. </w:t>
            </w:r>
            <w:r w:rsidRPr="001160AF">
              <w:rPr>
                <w:rFonts w:asciiTheme="majorHAnsi" w:eastAsia="Times New Roman" w:hAnsiTheme="majorHAnsi" w:cs="Arial"/>
                <w:b/>
                <w:color w:val="000000" w:themeColor="text1"/>
                <w:sz w:val="18"/>
                <w:szCs w:val="18"/>
              </w:rPr>
              <w:t>Business Planning Support (Output 3.2)</w:t>
            </w:r>
          </w:p>
        </w:tc>
        <w:tc>
          <w:tcPr>
            <w:tcW w:w="3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E3773" w14:textId="77777777" w:rsidR="001160AF" w:rsidRPr="001160AF" w:rsidRDefault="001160AF" w:rsidP="00D32FA2">
            <w:pPr>
              <w:spacing w:before="60" w:after="0"/>
              <w:jc w:val="left"/>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Provide support on and ongoing basis for environmentally-friendly business planning, such that businesses mainstream national and state biodiversity and biosecurity policies, protocols, and regulations</w:t>
            </w:r>
          </w:p>
          <w:p w14:paraId="5EE20C58" w14:textId="77777777" w:rsidR="001160AF" w:rsidRPr="001160AF" w:rsidRDefault="001160AF" w:rsidP="00D32FA2">
            <w:pPr>
              <w:spacing w:before="60" w:after="0"/>
              <w:jc w:val="left"/>
              <w:rPr>
                <w:rFonts w:asciiTheme="majorHAnsi" w:eastAsia="Times New Roman" w:hAnsiTheme="majorHAnsi"/>
                <w:color w:val="000000" w:themeColor="text1"/>
                <w:sz w:val="18"/>
                <w:szCs w:val="18"/>
              </w:rPr>
            </w:pPr>
          </w:p>
        </w:tc>
        <w:tc>
          <w:tcPr>
            <w:tcW w:w="2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007672"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Small Business Center or equivalent</w:t>
            </w:r>
          </w:p>
          <w:p w14:paraId="29CCAB2A"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2BCF2321"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Ability to assist small businesses with Business Planning</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37DA8"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 xml:space="preserve">At least 6 businesses helped to draft Business Plans </w:t>
            </w:r>
          </w:p>
          <w:p w14:paraId="0378799D" w14:textId="77777777" w:rsidR="001160AF" w:rsidRPr="001160AF" w:rsidRDefault="001160AF" w:rsidP="00D32FA2">
            <w:pPr>
              <w:spacing w:after="0"/>
              <w:jc w:val="left"/>
              <w:rPr>
                <w:rFonts w:asciiTheme="majorHAnsi" w:eastAsia="Times New Roman" w:hAnsiTheme="majorHAnsi"/>
                <w:color w:val="000000" w:themeColor="text1"/>
                <w:sz w:val="18"/>
                <w:szCs w:val="18"/>
              </w:rPr>
            </w:pPr>
          </w:p>
        </w:tc>
        <w:tc>
          <w:tcPr>
            <w:tcW w:w="1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DE3EDF"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6 MM</w:t>
            </w:r>
          </w:p>
          <w:p w14:paraId="4C1ECBC0"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547B5D50"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(Years 4-6)</w:t>
            </w:r>
          </w:p>
        </w:tc>
        <w:tc>
          <w:tcPr>
            <w:tcW w:w="1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7BABA"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18,000</w:t>
            </w:r>
          </w:p>
        </w:tc>
      </w:tr>
      <w:tr w:rsidR="001160AF" w:rsidRPr="00A01750" w14:paraId="24E57907" w14:textId="77777777" w:rsidTr="00D32FA2">
        <w:trPr>
          <w:trHeight w:val="1100"/>
        </w:trPr>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DFB91B" w14:textId="3D441FB0" w:rsidR="001160AF" w:rsidRPr="001160AF" w:rsidRDefault="001160AF" w:rsidP="00D32FA2">
            <w:pPr>
              <w:spacing w:after="0"/>
              <w:jc w:val="left"/>
              <w:rPr>
                <w:rFonts w:asciiTheme="majorHAnsi" w:eastAsia="Times New Roman" w:hAnsiTheme="majorHAnsi"/>
                <w:b/>
                <w:color w:val="000000" w:themeColor="text1"/>
                <w:sz w:val="18"/>
                <w:szCs w:val="18"/>
              </w:rPr>
            </w:pPr>
            <w:r w:rsidRPr="001160AF">
              <w:rPr>
                <w:rFonts w:asciiTheme="majorHAnsi" w:eastAsia="Times New Roman" w:hAnsiTheme="majorHAnsi" w:cs="Arial"/>
                <w:b/>
                <w:color w:val="000000" w:themeColor="text1"/>
                <w:sz w:val="18"/>
                <w:szCs w:val="18"/>
              </w:rPr>
              <w:t>3</w:t>
            </w:r>
            <w:r w:rsidR="00194AA1">
              <w:rPr>
                <w:rFonts w:asciiTheme="majorHAnsi" w:eastAsia="Times New Roman" w:hAnsiTheme="majorHAnsi" w:cs="Arial"/>
                <w:b/>
                <w:color w:val="000000" w:themeColor="text1"/>
                <w:sz w:val="18"/>
                <w:szCs w:val="18"/>
              </w:rPr>
              <w:t xml:space="preserve">. </w:t>
            </w:r>
            <w:r w:rsidRPr="001160AF">
              <w:rPr>
                <w:rFonts w:asciiTheme="majorHAnsi" w:eastAsia="Times New Roman" w:hAnsiTheme="majorHAnsi" w:cs="Arial"/>
                <w:b/>
                <w:color w:val="000000" w:themeColor="text1"/>
                <w:sz w:val="18"/>
                <w:szCs w:val="18"/>
              </w:rPr>
              <w:t>Database and Monitoring, plus Training (Output 1.2)</w:t>
            </w:r>
          </w:p>
        </w:tc>
        <w:tc>
          <w:tcPr>
            <w:tcW w:w="3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CCFBC8" w14:textId="77777777" w:rsidR="001160AF" w:rsidRPr="001160AF" w:rsidRDefault="001160AF" w:rsidP="00D17561">
            <w:pPr>
              <w:numPr>
                <w:ilvl w:val="0"/>
                <w:numId w:val="164"/>
              </w:numPr>
              <w:spacing w:after="0"/>
              <w:jc w:val="left"/>
              <w:textAlignment w:val="baseline"/>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Develop a GIS based environmental monitoring system that fits into the PALARIS database based on the landscape/seascape planning and evaluation approach</w:t>
            </w:r>
          </w:p>
          <w:p w14:paraId="7FE3D941" w14:textId="77777777" w:rsidR="001160AF" w:rsidRPr="001160AF" w:rsidRDefault="001160AF" w:rsidP="00D17561">
            <w:pPr>
              <w:numPr>
                <w:ilvl w:val="0"/>
                <w:numId w:val="164"/>
              </w:numPr>
              <w:spacing w:after="0"/>
              <w:jc w:val="left"/>
              <w:textAlignment w:val="baseline"/>
              <w:rPr>
                <w:rFonts w:asciiTheme="majorHAnsi" w:eastAsia="Times New Roman" w:hAnsiTheme="majorHAnsi" w:cs="Arial"/>
                <w:i/>
                <w:iCs/>
                <w:color w:val="000000" w:themeColor="text1"/>
                <w:sz w:val="18"/>
                <w:szCs w:val="18"/>
              </w:rPr>
            </w:pPr>
            <w:r w:rsidRPr="001160AF">
              <w:rPr>
                <w:rFonts w:asciiTheme="majorHAnsi" w:eastAsia="Times New Roman" w:hAnsiTheme="majorHAnsi" w:cs="Arial"/>
                <w:iCs/>
                <w:color w:val="000000" w:themeColor="text1"/>
                <w:sz w:val="18"/>
                <w:szCs w:val="18"/>
              </w:rPr>
              <w:t>Prepare and implement a capacity building program to broaden the number of GIS users in public administrations</w:t>
            </w:r>
          </w:p>
          <w:p w14:paraId="63129C41" w14:textId="77777777" w:rsidR="001160AF" w:rsidRPr="001160AF" w:rsidRDefault="001160AF" w:rsidP="00D17561">
            <w:pPr>
              <w:pStyle w:val="ListParagraph"/>
              <w:numPr>
                <w:ilvl w:val="0"/>
                <w:numId w:val="164"/>
              </w:numPr>
              <w:spacing w:after="60"/>
              <w:contextualSpacing/>
              <w:jc w:val="both"/>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Identify, collect, catalog, and share sources of information publicly across sectors</w:t>
            </w:r>
          </w:p>
          <w:p w14:paraId="5C015D60" w14:textId="77777777" w:rsidR="001160AF" w:rsidRPr="001160AF" w:rsidRDefault="001160AF" w:rsidP="00D17561">
            <w:pPr>
              <w:pStyle w:val="ListParagraph"/>
              <w:numPr>
                <w:ilvl w:val="0"/>
                <w:numId w:val="164"/>
              </w:numPr>
              <w:spacing w:after="60"/>
              <w:contextualSpacing/>
              <w:jc w:val="both"/>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Manage regular schedule for information transfer between agencies and into PALARIS database</w:t>
            </w:r>
          </w:p>
        </w:tc>
        <w:tc>
          <w:tcPr>
            <w:tcW w:w="2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681E11" w14:textId="77777777" w:rsidR="001160AF" w:rsidRPr="001160AF" w:rsidRDefault="001160AF" w:rsidP="00D32FA2">
            <w:pPr>
              <w:spacing w:after="0"/>
              <w:jc w:val="left"/>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PALARIS or equivalent</w:t>
            </w:r>
          </w:p>
          <w:p w14:paraId="24564520" w14:textId="77777777" w:rsidR="001160AF" w:rsidRPr="001160AF" w:rsidRDefault="001160AF" w:rsidP="00D32FA2">
            <w:pPr>
              <w:spacing w:after="0"/>
              <w:jc w:val="left"/>
              <w:rPr>
                <w:rFonts w:asciiTheme="majorHAnsi" w:eastAsia="Times New Roman" w:hAnsiTheme="majorHAnsi" w:cs="Arial"/>
                <w:iCs/>
                <w:color w:val="000000" w:themeColor="text1"/>
                <w:sz w:val="18"/>
                <w:szCs w:val="18"/>
              </w:rPr>
            </w:pPr>
          </w:p>
          <w:p w14:paraId="1CA69307" w14:textId="77777777" w:rsidR="001160AF" w:rsidRPr="001160AF" w:rsidRDefault="001160AF" w:rsidP="00D32FA2">
            <w:pPr>
              <w:spacing w:after="0"/>
              <w:jc w:val="left"/>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Organization with GIS capacity and access to Palau’s geospatial data</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32213"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Written protocols for collecting and managing data</w:t>
            </w:r>
          </w:p>
          <w:p w14:paraId="1F1F0507"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04109405"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Capacity building materials and records from training events</w:t>
            </w:r>
          </w:p>
        </w:tc>
        <w:tc>
          <w:tcPr>
            <w:tcW w:w="1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B3952"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10 MM</w:t>
            </w:r>
          </w:p>
          <w:p w14:paraId="48A2A66D"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22D780D0"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(Years 3-5)</w:t>
            </w:r>
          </w:p>
        </w:tc>
        <w:tc>
          <w:tcPr>
            <w:tcW w:w="1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55D8A"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50,000</w:t>
            </w:r>
          </w:p>
          <w:p w14:paraId="719256E3" w14:textId="77777777" w:rsidR="001160AF" w:rsidRPr="001160AF" w:rsidRDefault="001160AF" w:rsidP="00D17561">
            <w:pPr>
              <w:numPr>
                <w:ilvl w:val="0"/>
                <w:numId w:val="165"/>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15,000 (monitoring) +</w:t>
            </w:r>
          </w:p>
          <w:p w14:paraId="161C47EA" w14:textId="77777777" w:rsidR="001160AF" w:rsidRPr="001160AF" w:rsidRDefault="001160AF" w:rsidP="00D17561">
            <w:pPr>
              <w:numPr>
                <w:ilvl w:val="0"/>
                <w:numId w:val="165"/>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18,000 (training)</w:t>
            </w:r>
          </w:p>
          <w:p w14:paraId="55FFA2D0" w14:textId="77777777" w:rsidR="001160AF" w:rsidRPr="001160AF" w:rsidRDefault="001160AF" w:rsidP="00D17561">
            <w:pPr>
              <w:numPr>
                <w:ilvl w:val="0"/>
                <w:numId w:val="165"/>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12,000 (sharing information across sectors)</w:t>
            </w:r>
          </w:p>
          <w:p w14:paraId="4B15F85A" w14:textId="77777777" w:rsidR="001160AF" w:rsidRPr="001160AF" w:rsidRDefault="001160AF" w:rsidP="00D17561">
            <w:pPr>
              <w:numPr>
                <w:ilvl w:val="0"/>
                <w:numId w:val="165"/>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$5000 (Annual information transfer)</w:t>
            </w:r>
          </w:p>
        </w:tc>
      </w:tr>
      <w:tr w:rsidR="001160AF" w:rsidRPr="00A01750" w14:paraId="021FBB1F" w14:textId="77777777" w:rsidTr="00D32FA2">
        <w:trPr>
          <w:trHeight w:val="800"/>
        </w:trPr>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0BD57" w14:textId="52ACBF8A" w:rsidR="001160AF" w:rsidRPr="001160AF" w:rsidRDefault="001160AF" w:rsidP="00D32FA2">
            <w:pPr>
              <w:spacing w:after="0"/>
              <w:jc w:val="left"/>
              <w:rPr>
                <w:rFonts w:asciiTheme="majorHAnsi" w:eastAsia="Times New Roman" w:hAnsiTheme="majorHAnsi"/>
                <w:b/>
                <w:color w:val="000000" w:themeColor="text1"/>
                <w:sz w:val="18"/>
                <w:szCs w:val="18"/>
              </w:rPr>
            </w:pPr>
            <w:r w:rsidRPr="001160AF">
              <w:rPr>
                <w:rFonts w:asciiTheme="majorHAnsi" w:eastAsia="Times New Roman" w:hAnsiTheme="majorHAnsi" w:cs="Arial"/>
                <w:b/>
                <w:color w:val="000000" w:themeColor="text1"/>
                <w:sz w:val="18"/>
                <w:szCs w:val="18"/>
              </w:rPr>
              <w:t>4</w:t>
            </w:r>
            <w:r w:rsidR="00194AA1">
              <w:rPr>
                <w:rFonts w:asciiTheme="majorHAnsi" w:eastAsia="Times New Roman" w:hAnsiTheme="majorHAnsi" w:cs="Arial"/>
                <w:b/>
                <w:color w:val="000000" w:themeColor="text1"/>
                <w:sz w:val="18"/>
                <w:szCs w:val="18"/>
              </w:rPr>
              <w:t xml:space="preserve">. </w:t>
            </w:r>
            <w:r w:rsidRPr="001160AF">
              <w:rPr>
                <w:rFonts w:asciiTheme="majorHAnsi" w:eastAsia="Times New Roman" w:hAnsiTheme="majorHAnsi" w:cs="Arial"/>
                <w:b/>
                <w:color w:val="000000" w:themeColor="text1"/>
                <w:sz w:val="18"/>
                <w:szCs w:val="18"/>
              </w:rPr>
              <w:t>Educational Programming (Output 4.2)</w:t>
            </w:r>
          </w:p>
        </w:tc>
        <w:tc>
          <w:tcPr>
            <w:tcW w:w="3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4C6423" w14:textId="77777777" w:rsidR="001160AF" w:rsidRPr="001160AF" w:rsidRDefault="001160AF" w:rsidP="00D17561">
            <w:pPr>
              <w:numPr>
                <w:ilvl w:val="0"/>
                <w:numId w:val="166"/>
              </w:numPr>
              <w:spacing w:after="0"/>
              <w:jc w:val="left"/>
              <w:textAlignment w:val="baseline"/>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Develop content, school lesson plans on IAS prevention and management; outreach with MOE</w:t>
            </w:r>
          </w:p>
          <w:p w14:paraId="21AA48AA" w14:textId="77777777" w:rsidR="001160AF" w:rsidRPr="001160AF" w:rsidRDefault="001160AF" w:rsidP="00D17561">
            <w:pPr>
              <w:numPr>
                <w:ilvl w:val="0"/>
                <w:numId w:val="166"/>
              </w:numPr>
              <w:spacing w:after="0"/>
              <w:jc w:val="left"/>
              <w:textAlignment w:val="baseline"/>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Produce school IAS materials; Printing and distribution</w:t>
            </w:r>
          </w:p>
          <w:p w14:paraId="1CB27335" w14:textId="77777777" w:rsidR="001160AF" w:rsidRPr="001160AF" w:rsidRDefault="001160AF" w:rsidP="00D17561">
            <w:pPr>
              <w:numPr>
                <w:ilvl w:val="0"/>
                <w:numId w:val="166"/>
              </w:numPr>
              <w:spacing w:after="0"/>
              <w:jc w:val="left"/>
              <w:textAlignment w:val="baseline"/>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Develop national-state IAS awareness strategy (including pre and post survey formats; linkages for support from Palau Community College (PCC), etc.)</w:t>
            </w:r>
          </w:p>
          <w:p w14:paraId="04FA7CBE" w14:textId="77777777" w:rsidR="001160AF" w:rsidRPr="001160AF" w:rsidRDefault="001160AF" w:rsidP="00D17561">
            <w:pPr>
              <w:numPr>
                <w:ilvl w:val="0"/>
                <w:numId w:val="166"/>
              </w:numPr>
              <w:spacing w:after="0"/>
              <w:jc w:val="left"/>
              <w:textAlignment w:val="baseline"/>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Develop materials and on the ground planning for national awareness activities (initial effort will be 3 months but overall this will need to continuous through the duration of the awareness efforts)</w:t>
            </w:r>
          </w:p>
          <w:p w14:paraId="18903940" w14:textId="77777777" w:rsidR="001160AF" w:rsidRPr="001160AF" w:rsidRDefault="001160AF" w:rsidP="00D17561">
            <w:pPr>
              <w:numPr>
                <w:ilvl w:val="0"/>
                <w:numId w:val="166"/>
              </w:numPr>
              <w:spacing w:after="0"/>
              <w:jc w:val="left"/>
              <w:textAlignment w:val="baseline"/>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Implement awareness activities on a regular basis</w:t>
            </w:r>
          </w:p>
          <w:p w14:paraId="6FF116E0" w14:textId="77777777" w:rsidR="001160AF" w:rsidRPr="001160AF" w:rsidRDefault="001160AF" w:rsidP="00D17561">
            <w:pPr>
              <w:numPr>
                <w:ilvl w:val="0"/>
                <w:numId w:val="166"/>
              </w:numPr>
              <w:spacing w:after="0"/>
              <w:jc w:val="left"/>
              <w:textAlignment w:val="baseline"/>
              <w:rPr>
                <w:rFonts w:asciiTheme="majorHAnsi" w:eastAsia="Times New Roman" w:hAnsiTheme="majorHAnsi" w:cs="Arial"/>
                <w:i/>
                <w:iCs/>
                <w:color w:val="000000" w:themeColor="text1"/>
                <w:sz w:val="18"/>
                <w:szCs w:val="18"/>
              </w:rPr>
            </w:pPr>
            <w:r w:rsidRPr="001160AF">
              <w:rPr>
                <w:rFonts w:asciiTheme="majorHAnsi" w:eastAsia="Times New Roman" w:hAnsiTheme="majorHAnsi" w:cs="Arial"/>
                <w:iCs/>
                <w:color w:val="000000" w:themeColor="text1"/>
                <w:sz w:val="18"/>
                <w:szCs w:val="18"/>
              </w:rPr>
              <w:t>Conduct post campaign survey and prepare final report</w:t>
            </w:r>
          </w:p>
        </w:tc>
        <w:tc>
          <w:tcPr>
            <w:tcW w:w="2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78C49" w14:textId="77777777" w:rsidR="001160AF" w:rsidRPr="001160AF" w:rsidRDefault="001160AF" w:rsidP="00D32FA2">
            <w:pPr>
              <w:spacing w:after="0"/>
              <w:jc w:val="left"/>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PCS or equivalent</w:t>
            </w:r>
          </w:p>
          <w:p w14:paraId="2F9D7834" w14:textId="77777777" w:rsidR="001160AF" w:rsidRPr="001160AF" w:rsidRDefault="001160AF" w:rsidP="00D32FA2">
            <w:pPr>
              <w:spacing w:after="0"/>
              <w:jc w:val="left"/>
              <w:rPr>
                <w:rFonts w:asciiTheme="majorHAnsi" w:eastAsia="Times New Roman" w:hAnsiTheme="majorHAnsi" w:cs="Arial"/>
                <w:iCs/>
                <w:color w:val="000000" w:themeColor="text1"/>
                <w:sz w:val="18"/>
                <w:szCs w:val="18"/>
              </w:rPr>
            </w:pPr>
          </w:p>
          <w:p w14:paraId="471938C2" w14:textId="77777777" w:rsidR="001160AF" w:rsidRPr="001160AF" w:rsidRDefault="001160AF" w:rsidP="00D32FA2">
            <w:pPr>
              <w:spacing w:after="0"/>
              <w:jc w:val="left"/>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Organization with nationwide reach and ability to conduct awareness campaigns that reach multiple segments of the public</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34A76" w14:textId="77777777" w:rsidR="001160AF" w:rsidRPr="001160AF" w:rsidRDefault="001160AF" w:rsidP="00D17561">
            <w:pPr>
              <w:pStyle w:val="ListParagraph"/>
              <w:numPr>
                <w:ilvl w:val="0"/>
                <w:numId w:val="185"/>
              </w:numPr>
              <w:contextualSpacing/>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School lesson plans</w:t>
            </w:r>
          </w:p>
          <w:p w14:paraId="6C6C5E7E" w14:textId="77777777" w:rsidR="001160AF" w:rsidRPr="001160AF" w:rsidRDefault="001160AF" w:rsidP="00D17561">
            <w:pPr>
              <w:pStyle w:val="ListParagraph"/>
              <w:numPr>
                <w:ilvl w:val="0"/>
                <w:numId w:val="185"/>
              </w:numPr>
              <w:contextualSpacing/>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Printed school materials</w:t>
            </w:r>
          </w:p>
          <w:p w14:paraId="1471E882" w14:textId="77777777" w:rsidR="001160AF" w:rsidRPr="001160AF" w:rsidRDefault="001160AF" w:rsidP="00D17561">
            <w:pPr>
              <w:pStyle w:val="ListParagraph"/>
              <w:numPr>
                <w:ilvl w:val="0"/>
                <w:numId w:val="185"/>
              </w:numPr>
              <w:contextualSpacing/>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IAS Awareness strategy and annual performance reports and updates</w:t>
            </w:r>
          </w:p>
          <w:p w14:paraId="70F189E2" w14:textId="77777777" w:rsidR="001160AF" w:rsidRPr="001160AF" w:rsidRDefault="001160AF" w:rsidP="00D17561">
            <w:pPr>
              <w:pStyle w:val="ListParagraph"/>
              <w:numPr>
                <w:ilvl w:val="0"/>
                <w:numId w:val="185"/>
              </w:numPr>
              <w:contextualSpacing/>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Printed and other awareness materials</w:t>
            </w:r>
          </w:p>
          <w:p w14:paraId="7D4387F4" w14:textId="77777777" w:rsidR="001160AF" w:rsidRPr="001160AF" w:rsidRDefault="001160AF" w:rsidP="00D17561">
            <w:pPr>
              <w:pStyle w:val="ListParagraph"/>
              <w:numPr>
                <w:ilvl w:val="0"/>
                <w:numId w:val="185"/>
              </w:numPr>
              <w:contextualSpacing/>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Report on surveys</w:t>
            </w:r>
          </w:p>
          <w:p w14:paraId="22C3885D" w14:textId="77777777" w:rsidR="001160AF" w:rsidRPr="001160AF" w:rsidRDefault="001160AF" w:rsidP="00D17561">
            <w:pPr>
              <w:pStyle w:val="ListParagraph"/>
              <w:numPr>
                <w:ilvl w:val="0"/>
                <w:numId w:val="185"/>
              </w:numPr>
              <w:contextualSpacing/>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Final report</w:t>
            </w:r>
          </w:p>
        </w:tc>
        <w:tc>
          <w:tcPr>
            <w:tcW w:w="1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5320D7"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12 MM</w:t>
            </w:r>
            <w:r w:rsidRPr="001160AF">
              <w:rPr>
                <w:rFonts w:asciiTheme="majorHAnsi" w:eastAsia="Times New Roman" w:hAnsiTheme="majorHAnsi"/>
                <w:color w:val="000000" w:themeColor="text1"/>
                <w:sz w:val="18"/>
                <w:szCs w:val="18"/>
              </w:rPr>
              <w:br/>
            </w:r>
          </w:p>
          <w:p w14:paraId="0A1FB5C5"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(Years 2-6)</w:t>
            </w:r>
          </w:p>
        </w:tc>
        <w:tc>
          <w:tcPr>
            <w:tcW w:w="1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8CFBFD"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160,000</w:t>
            </w:r>
          </w:p>
          <w:p w14:paraId="24AC064F" w14:textId="77777777" w:rsidR="001160AF" w:rsidRPr="001160AF" w:rsidRDefault="001160AF" w:rsidP="00D17561">
            <w:pPr>
              <w:numPr>
                <w:ilvl w:val="0"/>
                <w:numId w:val="167"/>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5,000 (content and lessons) +</w:t>
            </w:r>
          </w:p>
          <w:p w14:paraId="767ABFAA" w14:textId="77777777" w:rsidR="001160AF" w:rsidRPr="001160AF" w:rsidRDefault="001160AF" w:rsidP="00D17561">
            <w:pPr>
              <w:numPr>
                <w:ilvl w:val="0"/>
                <w:numId w:val="167"/>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30,000 (printing) +</w:t>
            </w:r>
          </w:p>
          <w:p w14:paraId="5E17DB16" w14:textId="77777777" w:rsidR="001160AF" w:rsidRPr="001160AF" w:rsidRDefault="001160AF" w:rsidP="00D17561">
            <w:pPr>
              <w:numPr>
                <w:ilvl w:val="0"/>
                <w:numId w:val="167"/>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15,000 (IAS awareness strategy) +</w:t>
            </w:r>
          </w:p>
          <w:p w14:paraId="543CBE6C" w14:textId="77777777" w:rsidR="001160AF" w:rsidRPr="001160AF" w:rsidRDefault="001160AF" w:rsidP="00D17561">
            <w:pPr>
              <w:numPr>
                <w:ilvl w:val="0"/>
                <w:numId w:val="167"/>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100,000 (on-the-ground awareness)+</w:t>
            </w:r>
          </w:p>
          <w:p w14:paraId="3962107F" w14:textId="77777777" w:rsidR="001160AF" w:rsidRPr="001160AF" w:rsidRDefault="001160AF" w:rsidP="00D17561">
            <w:pPr>
              <w:numPr>
                <w:ilvl w:val="0"/>
                <w:numId w:val="167"/>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10,000 Post-campaign survey and report</w:t>
            </w:r>
          </w:p>
        </w:tc>
      </w:tr>
      <w:tr w:rsidR="001160AF" w:rsidRPr="00A01750" w14:paraId="17C9B584" w14:textId="77777777" w:rsidTr="00D32FA2">
        <w:trPr>
          <w:trHeight w:val="1100"/>
        </w:trPr>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A45B8" w14:textId="660ECD1B" w:rsidR="001160AF" w:rsidRPr="001160AF" w:rsidRDefault="001160AF" w:rsidP="00D32FA2">
            <w:pPr>
              <w:spacing w:after="0"/>
              <w:jc w:val="left"/>
              <w:rPr>
                <w:rFonts w:asciiTheme="majorHAnsi" w:eastAsia="Times New Roman" w:hAnsiTheme="majorHAnsi"/>
                <w:b/>
                <w:color w:val="000000" w:themeColor="text1"/>
                <w:sz w:val="18"/>
                <w:szCs w:val="18"/>
              </w:rPr>
            </w:pPr>
            <w:r w:rsidRPr="001160AF">
              <w:rPr>
                <w:rFonts w:asciiTheme="majorHAnsi" w:eastAsia="Times New Roman" w:hAnsiTheme="majorHAnsi" w:cs="Arial"/>
                <w:b/>
                <w:color w:val="000000" w:themeColor="text1"/>
                <w:sz w:val="18"/>
                <w:szCs w:val="18"/>
              </w:rPr>
              <w:t>5</w:t>
            </w:r>
            <w:r w:rsidR="00194AA1">
              <w:rPr>
                <w:rFonts w:asciiTheme="majorHAnsi" w:eastAsia="Times New Roman" w:hAnsiTheme="majorHAnsi" w:cs="Arial"/>
                <w:b/>
                <w:color w:val="000000" w:themeColor="text1"/>
                <w:sz w:val="18"/>
                <w:szCs w:val="18"/>
              </w:rPr>
              <w:t xml:space="preserve">. </w:t>
            </w:r>
            <w:r w:rsidRPr="001160AF">
              <w:rPr>
                <w:rFonts w:asciiTheme="majorHAnsi" w:eastAsia="Times New Roman" w:hAnsiTheme="majorHAnsi" w:cs="Arial"/>
                <w:b/>
                <w:color w:val="000000" w:themeColor="text1"/>
                <w:sz w:val="18"/>
                <w:szCs w:val="18"/>
              </w:rPr>
              <w:t>Facilitate and Write ISLMPs (combines biosecurity and others; multiple topics) (Outputs 2.1 and 3.1)</w:t>
            </w:r>
          </w:p>
        </w:tc>
        <w:tc>
          <w:tcPr>
            <w:tcW w:w="3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152D4" w14:textId="77777777" w:rsidR="001160AF" w:rsidRPr="001160AF" w:rsidRDefault="001160AF" w:rsidP="00D17561">
            <w:pPr>
              <w:numPr>
                <w:ilvl w:val="0"/>
                <w:numId w:val="168"/>
              </w:numPr>
              <w:spacing w:after="0"/>
              <w:jc w:val="left"/>
              <w:textAlignment w:val="baseline"/>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Participatory Visioning</w:t>
            </w:r>
          </w:p>
          <w:p w14:paraId="1F43553A" w14:textId="77777777" w:rsidR="001160AF" w:rsidRPr="001160AF" w:rsidRDefault="001160AF" w:rsidP="00D17561">
            <w:pPr>
              <w:numPr>
                <w:ilvl w:val="0"/>
                <w:numId w:val="168"/>
              </w:numPr>
              <w:spacing w:after="0"/>
              <w:jc w:val="left"/>
              <w:textAlignment w:val="baseline"/>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Cooperative drafting and finalization of the ILSMP through consultations and participatory analyses</w:t>
            </w:r>
          </w:p>
          <w:p w14:paraId="75294D1C" w14:textId="77777777" w:rsidR="001160AF" w:rsidRPr="001160AF" w:rsidRDefault="001160AF" w:rsidP="00D17561">
            <w:pPr>
              <w:numPr>
                <w:ilvl w:val="0"/>
                <w:numId w:val="168"/>
              </w:numPr>
              <w:spacing w:after="0"/>
              <w:jc w:val="left"/>
              <w:textAlignment w:val="baseline"/>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Draft and seek approval for state ILSMPs from elected leadership, as well as private sector / landowners / leaseholders</w:t>
            </w:r>
          </w:p>
          <w:p w14:paraId="4C803078" w14:textId="77777777" w:rsidR="001160AF" w:rsidRPr="001160AF" w:rsidRDefault="001160AF" w:rsidP="00D17561">
            <w:pPr>
              <w:numPr>
                <w:ilvl w:val="0"/>
                <w:numId w:val="168"/>
              </w:numPr>
              <w:spacing w:after="0"/>
              <w:jc w:val="left"/>
              <w:textAlignment w:val="baseline"/>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Preparation of site-specific plans for HCVFs and HCVMAs, including for sustainable tourism (e.g. identification of tourism products); including biosecurity activities (Development of protocols for conservation of species and removal of IAS)</w:t>
            </w:r>
          </w:p>
          <w:p w14:paraId="6CD04AD3" w14:textId="77777777" w:rsidR="001160AF" w:rsidRPr="001160AF" w:rsidRDefault="001160AF" w:rsidP="00D17561">
            <w:pPr>
              <w:numPr>
                <w:ilvl w:val="0"/>
                <w:numId w:val="168"/>
              </w:numPr>
              <w:spacing w:after="0"/>
              <w:jc w:val="left"/>
              <w:textAlignment w:val="baseline"/>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Cooperative drafting and finalization of the ILSMP through consultations and participatory analyses; Adjustment of existing zones in Koror, alignment with RISL Management Plan, governance systems</w:t>
            </w:r>
          </w:p>
          <w:p w14:paraId="0DD37BB0" w14:textId="77777777" w:rsidR="001160AF" w:rsidRPr="001160AF" w:rsidRDefault="001160AF" w:rsidP="00D17561">
            <w:pPr>
              <w:numPr>
                <w:ilvl w:val="0"/>
                <w:numId w:val="168"/>
              </w:numPr>
              <w:spacing w:after="0"/>
              <w:jc w:val="left"/>
              <w:textAlignment w:val="baseline"/>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Support facilitator(s) to assist states</w:t>
            </w:r>
          </w:p>
          <w:p w14:paraId="053CCC4F" w14:textId="77777777" w:rsidR="001160AF" w:rsidRPr="001160AF" w:rsidRDefault="001160AF" w:rsidP="00D17561">
            <w:pPr>
              <w:numPr>
                <w:ilvl w:val="0"/>
                <w:numId w:val="168"/>
              </w:numPr>
              <w:spacing w:after="0"/>
              <w:jc w:val="left"/>
              <w:textAlignment w:val="baseline"/>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Incorporate information from state level reviews into state planning documents and develop state specific EDRR plans that are integrated into ILSMPs; include national mapping (CRB, freshwater fish from 1.2) into State plans</w:t>
            </w:r>
          </w:p>
          <w:p w14:paraId="08769D1D" w14:textId="77777777" w:rsidR="001160AF" w:rsidRPr="001160AF" w:rsidRDefault="001160AF" w:rsidP="00D17561">
            <w:pPr>
              <w:numPr>
                <w:ilvl w:val="0"/>
                <w:numId w:val="168"/>
              </w:numPr>
              <w:spacing w:after="0"/>
              <w:jc w:val="left"/>
              <w:textAlignment w:val="baseline"/>
              <w:rPr>
                <w:rFonts w:asciiTheme="majorHAnsi" w:eastAsia="Times New Roman" w:hAnsiTheme="majorHAnsi" w:cs="Arial"/>
                <w:i/>
                <w:iCs/>
                <w:color w:val="000000" w:themeColor="text1"/>
                <w:sz w:val="18"/>
                <w:szCs w:val="18"/>
              </w:rPr>
            </w:pPr>
            <w:r w:rsidRPr="001160AF">
              <w:rPr>
                <w:rFonts w:asciiTheme="majorHAnsi" w:eastAsia="Times New Roman" w:hAnsiTheme="majorHAnsi" w:cs="Arial"/>
                <w:iCs/>
                <w:color w:val="000000" w:themeColor="text1"/>
                <w:sz w:val="18"/>
                <w:szCs w:val="18"/>
              </w:rPr>
              <w:t>Incorporate information from state level reviews into state planning documents and develop state specific EDRR plans that are integrated into ILSMPs; include national mapping (CRB, freshwater fish from 1.2) into State plans</w:t>
            </w:r>
          </w:p>
        </w:tc>
        <w:tc>
          <w:tcPr>
            <w:tcW w:w="2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60DAB" w14:textId="77777777" w:rsidR="001160AF" w:rsidRPr="001160AF" w:rsidRDefault="001160AF" w:rsidP="00D32FA2">
            <w:pPr>
              <w:spacing w:after="0"/>
              <w:jc w:val="left"/>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PCS or equivalent</w:t>
            </w:r>
          </w:p>
          <w:p w14:paraId="50F7326F" w14:textId="77777777" w:rsidR="001160AF" w:rsidRPr="001160AF" w:rsidRDefault="001160AF" w:rsidP="00D32FA2">
            <w:pPr>
              <w:spacing w:after="0"/>
              <w:jc w:val="left"/>
              <w:rPr>
                <w:rFonts w:asciiTheme="majorHAnsi" w:eastAsia="Times New Roman" w:hAnsiTheme="majorHAnsi" w:cs="Arial"/>
                <w:iCs/>
                <w:color w:val="000000" w:themeColor="text1"/>
                <w:sz w:val="18"/>
                <w:szCs w:val="18"/>
              </w:rPr>
            </w:pPr>
          </w:p>
          <w:p w14:paraId="3656B9F2" w14:textId="77777777" w:rsidR="001160AF" w:rsidRPr="001160AF" w:rsidRDefault="001160AF" w:rsidP="00D32FA2">
            <w:pPr>
              <w:spacing w:after="0"/>
              <w:jc w:val="left"/>
              <w:rPr>
                <w:rFonts w:asciiTheme="majorHAnsi" w:eastAsia="Times New Roman" w:hAnsiTheme="majorHAnsi" w:cs="Arial"/>
                <w:iCs/>
                <w:color w:val="000000" w:themeColor="text1"/>
                <w:sz w:val="18"/>
                <w:szCs w:val="18"/>
              </w:rPr>
            </w:pPr>
            <w:r w:rsidRPr="001160AF">
              <w:rPr>
                <w:rFonts w:asciiTheme="majorHAnsi" w:eastAsia="Times New Roman" w:hAnsiTheme="majorHAnsi" w:cs="Arial"/>
                <w:iCs/>
                <w:color w:val="000000" w:themeColor="text1"/>
                <w:sz w:val="18"/>
                <w:szCs w:val="18"/>
              </w:rPr>
              <w:t>Organization with land use planning expertise and ability to partner well with communities, local leaders, and government agencies</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2848CA"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Agreed ISLMPs for states as agreed in a Yearly Workplan (up to 9 total)</w:t>
            </w:r>
          </w:p>
        </w:tc>
        <w:tc>
          <w:tcPr>
            <w:tcW w:w="1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7D38FB"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15 MM</w:t>
            </w:r>
          </w:p>
          <w:p w14:paraId="6AFFFFF3" w14:textId="77777777" w:rsidR="001160AF" w:rsidRPr="001160AF" w:rsidRDefault="001160AF" w:rsidP="00D32FA2">
            <w:pPr>
              <w:spacing w:after="0"/>
              <w:jc w:val="left"/>
              <w:rPr>
                <w:rFonts w:asciiTheme="majorHAnsi" w:eastAsia="Times New Roman" w:hAnsiTheme="majorHAnsi"/>
                <w:color w:val="000000" w:themeColor="text1"/>
                <w:sz w:val="18"/>
                <w:szCs w:val="18"/>
              </w:rPr>
            </w:pPr>
          </w:p>
          <w:p w14:paraId="7A0AF666"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olor w:val="000000" w:themeColor="text1"/>
                <w:sz w:val="18"/>
                <w:szCs w:val="18"/>
              </w:rPr>
              <w:t>(Years 1-5)</w:t>
            </w:r>
          </w:p>
        </w:tc>
        <w:tc>
          <w:tcPr>
            <w:tcW w:w="1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BA144" w14:textId="77777777" w:rsidR="001160AF" w:rsidRPr="001160AF" w:rsidRDefault="001160AF" w:rsidP="00D32FA2">
            <w:pPr>
              <w:spacing w:after="0"/>
              <w:jc w:val="left"/>
              <w:rPr>
                <w:rFonts w:asciiTheme="majorHAnsi" w:eastAsia="Times New Roman" w:hAnsiTheme="majorHAnsi"/>
                <w:color w:val="000000" w:themeColor="text1"/>
                <w:sz w:val="18"/>
                <w:szCs w:val="18"/>
              </w:rPr>
            </w:pPr>
            <w:r w:rsidRPr="001160AF">
              <w:rPr>
                <w:rFonts w:asciiTheme="majorHAnsi" w:eastAsia="Times New Roman" w:hAnsiTheme="majorHAnsi" w:cs="Arial"/>
                <w:color w:val="000000" w:themeColor="text1"/>
                <w:sz w:val="18"/>
                <w:szCs w:val="18"/>
              </w:rPr>
              <w:t>181,000</w:t>
            </w:r>
          </w:p>
          <w:p w14:paraId="1A866B12" w14:textId="77777777" w:rsidR="001160AF" w:rsidRPr="001160AF" w:rsidRDefault="001160AF" w:rsidP="00D17561">
            <w:pPr>
              <w:numPr>
                <w:ilvl w:val="0"/>
                <w:numId w:val="169"/>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14,000 (Visioning-Babeldaob) +</w:t>
            </w:r>
          </w:p>
          <w:p w14:paraId="31C66250" w14:textId="77777777" w:rsidR="001160AF" w:rsidRPr="001160AF" w:rsidRDefault="001160AF" w:rsidP="00D17561">
            <w:pPr>
              <w:numPr>
                <w:ilvl w:val="0"/>
                <w:numId w:val="169"/>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6,000 (Visioning-S Lagoon)+</w:t>
            </w:r>
          </w:p>
          <w:p w14:paraId="22B66990" w14:textId="77777777" w:rsidR="001160AF" w:rsidRPr="001160AF" w:rsidRDefault="001160AF" w:rsidP="00D17561">
            <w:pPr>
              <w:numPr>
                <w:ilvl w:val="0"/>
                <w:numId w:val="169"/>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10,000 (Drafting-Babeldaob) +</w:t>
            </w:r>
          </w:p>
          <w:p w14:paraId="4AFC6C43" w14:textId="77777777" w:rsidR="001160AF" w:rsidRPr="001160AF" w:rsidRDefault="001160AF" w:rsidP="00D17561">
            <w:pPr>
              <w:numPr>
                <w:ilvl w:val="0"/>
                <w:numId w:val="169"/>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24,000 (Drafting - S Lagoon)</w:t>
            </w:r>
          </w:p>
          <w:p w14:paraId="50D233F6" w14:textId="77777777" w:rsidR="001160AF" w:rsidRPr="001160AF" w:rsidRDefault="001160AF" w:rsidP="00D17561">
            <w:pPr>
              <w:numPr>
                <w:ilvl w:val="0"/>
                <w:numId w:val="169"/>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20,000 (Leadership and landwoner agreement-Babeldaob) +</w:t>
            </w:r>
          </w:p>
          <w:p w14:paraId="2B20343E" w14:textId="77777777" w:rsidR="001160AF" w:rsidRPr="001160AF" w:rsidRDefault="001160AF" w:rsidP="00D17561">
            <w:pPr>
              <w:numPr>
                <w:ilvl w:val="0"/>
                <w:numId w:val="169"/>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12,000 (Leadership and landowner - S Lagoon)</w:t>
            </w:r>
          </w:p>
          <w:p w14:paraId="0D80FA21" w14:textId="77777777" w:rsidR="001160AF" w:rsidRPr="001160AF" w:rsidRDefault="001160AF" w:rsidP="00D17561">
            <w:pPr>
              <w:numPr>
                <w:ilvl w:val="0"/>
                <w:numId w:val="169"/>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45,000 (Facilitator-Babeldaob)</w:t>
            </w:r>
          </w:p>
          <w:p w14:paraId="28088208" w14:textId="77777777" w:rsidR="001160AF" w:rsidRPr="001160AF" w:rsidRDefault="001160AF" w:rsidP="00D17561">
            <w:pPr>
              <w:numPr>
                <w:ilvl w:val="0"/>
                <w:numId w:val="169"/>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25,000 (Facilitator-S Lagoon) +</w:t>
            </w:r>
          </w:p>
          <w:p w14:paraId="69712FAA" w14:textId="77777777" w:rsidR="001160AF" w:rsidRPr="001160AF" w:rsidRDefault="001160AF" w:rsidP="00D17561">
            <w:pPr>
              <w:numPr>
                <w:ilvl w:val="0"/>
                <w:numId w:val="169"/>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21,000 (Incorporate state EDRRs-Babeldaob)</w:t>
            </w:r>
          </w:p>
          <w:p w14:paraId="363E86E4" w14:textId="77777777" w:rsidR="001160AF" w:rsidRPr="001160AF" w:rsidRDefault="001160AF" w:rsidP="00D17561">
            <w:pPr>
              <w:numPr>
                <w:ilvl w:val="0"/>
                <w:numId w:val="169"/>
              </w:numPr>
              <w:spacing w:after="0"/>
              <w:jc w:val="left"/>
              <w:textAlignment w:val="baseline"/>
              <w:rPr>
                <w:rFonts w:asciiTheme="majorHAnsi" w:eastAsia="Times New Roman" w:hAnsiTheme="majorHAnsi" w:cs="Arial"/>
                <w:color w:val="000000" w:themeColor="text1"/>
                <w:sz w:val="18"/>
                <w:szCs w:val="18"/>
              </w:rPr>
            </w:pPr>
            <w:r w:rsidRPr="001160AF">
              <w:rPr>
                <w:rFonts w:asciiTheme="majorHAnsi" w:eastAsia="Times New Roman" w:hAnsiTheme="majorHAnsi" w:cs="Arial"/>
                <w:color w:val="000000" w:themeColor="text1"/>
                <w:sz w:val="18"/>
                <w:szCs w:val="18"/>
              </w:rPr>
              <w:t>4,000 (Incorporate EDRRs-S Lagoon)</w:t>
            </w:r>
          </w:p>
        </w:tc>
      </w:tr>
    </w:tbl>
    <w:p w14:paraId="4F129420" w14:textId="77777777" w:rsidR="001160AF" w:rsidRPr="001160AF" w:rsidRDefault="001160AF" w:rsidP="001160AF"/>
    <w:p w14:paraId="79448D45" w14:textId="77777777" w:rsidR="008C0BCC" w:rsidRDefault="00150652">
      <w:pPr>
        <w:spacing w:after="0"/>
        <w:jc w:val="left"/>
        <w:rPr>
          <w:rFonts w:cs="Calibri"/>
          <w:szCs w:val="20"/>
          <w:lang w:val="en-GB"/>
        </w:rPr>
        <w:sectPr w:rsidR="008C0BCC" w:rsidSect="00874815">
          <w:pgSz w:w="15840" w:h="12240" w:orient="landscape" w:code="1"/>
          <w:pgMar w:top="720" w:right="720" w:bottom="720" w:left="720" w:header="720" w:footer="720" w:gutter="0"/>
          <w:cols w:space="720"/>
          <w:docGrid w:linePitch="360"/>
        </w:sectPr>
      </w:pPr>
      <w:r>
        <w:rPr>
          <w:rFonts w:cs="Calibri"/>
          <w:szCs w:val="20"/>
          <w:lang w:val="en-GB"/>
        </w:rPr>
        <w:br w:type="page"/>
      </w:r>
    </w:p>
    <w:p w14:paraId="0FED65B6" w14:textId="575D78AA" w:rsidR="00150652" w:rsidRDefault="008C0BCC" w:rsidP="008C0BCC">
      <w:pPr>
        <w:spacing w:after="0"/>
        <w:jc w:val="right"/>
        <w:rPr>
          <w:rFonts w:cs="Calibri"/>
          <w:b/>
          <w:sz w:val="20"/>
          <w:szCs w:val="20"/>
          <w:lang w:val="en-GB"/>
        </w:rPr>
      </w:pPr>
      <w:r w:rsidRPr="008C0BCC">
        <w:rPr>
          <w:rFonts w:cs="Calibri"/>
          <w:b/>
          <w:sz w:val="20"/>
          <w:szCs w:val="20"/>
          <w:lang w:val="en-GB"/>
        </w:rPr>
        <w:t xml:space="preserve">Annex </w:t>
      </w:r>
      <w:r w:rsidR="00BD45ED">
        <w:rPr>
          <w:rFonts w:cs="Calibri"/>
          <w:b/>
          <w:sz w:val="20"/>
          <w:szCs w:val="20"/>
          <w:lang w:val="en-GB"/>
        </w:rPr>
        <w:t>15</w:t>
      </w:r>
    </w:p>
    <w:p w14:paraId="2C74F401" w14:textId="5A9C26CB" w:rsidR="008C0BCC" w:rsidRDefault="008C0BCC" w:rsidP="008C0BCC">
      <w:pPr>
        <w:rPr>
          <w:rFonts w:asciiTheme="majorHAnsi" w:hAnsiTheme="majorHAnsi"/>
          <w:b/>
          <w:sz w:val="20"/>
          <w:szCs w:val="20"/>
        </w:rPr>
      </w:pPr>
    </w:p>
    <w:p w14:paraId="1DC18FC0" w14:textId="77777777" w:rsidR="008C0BCC" w:rsidRDefault="008C0BCC" w:rsidP="008C0BCC">
      <w:pPr>
        <w:jc w:val="center"/>
        <w:rPr>
          <w:rFonts w:asciiTheme="majorHAnsi" w:hAnsiTheme="majorHAnsi"/>
          <w:b/>
          <w:sz w:val="20"/>
          <w:szCs w:val="20"/>
        </w:rPr>
      </w:pPr>
      <w:r w:rsidRPr="00B36890">
        <w:rPr>
          <w:rFonts w:asciiTheme="majorHAnsi" w:hAnsiTheme="majorHAnsi"/>
          <w:b/>
          <w:sz w:val="20"/>
          <w:szCs w:val="20"/>
        </w:rPr>
        <w:t>Carbon Calculation Overview</w:t>
      </w:r>
    </w:p>
    <w:p w14:paraId="25B473DF" w14:textId="77777777" w:rsidR="008C0BCC" w:rsidRDefault="008C0BCC" w:rsidP="008C0BCC">
      <w:pPr>
        <w:rPr>
          <w:rFonts w:asciiTheme="majorHAnsi" w:hAnsiTheme="majorHAnsi"/>
          <w:b/>
          <w:sz w:val="20"/>
          <w:szCs w:val="20"/>
        </w:rPr>
      </w:pPr>
    </w:p>
    <w:p w14:paraId="16CDF18E" w14:textId="77777777" w:rsidR="008C0BCC" w:rsidRDefault="008C0BCC" w:rsidP="008C0BCC">
      <w:pPr>
        <w:rPr>
          <w:rFonts w:asciiTheme="majorHAnsi" w:hAnsiTheme="majorHAnsi"/>
          <w:sz w:val="20"/>
          <w:szCs w:val="20"/>
        </w:rPr>
      </w:pPr>
      <w:r>
        <w:rPr>
          <w:rFonts w:asciiTheme="majorHAnsi" w:hAnsiTheme="majorHAnsi"/>
          <w:sz w:val="20"/>
          <w:szCs w:val="20"/>
        </w:rPr>
        <w:t>The emission of greenhouse gases (GHG) under the baseline and project scenarios were calculated for the three ecosystem types targeted by the project (upland forests, savannah and mangrove forests), accounting for the effect of the following broad categories of activities: (i) protection of high value forests and mangroves for non-exhaustive use; and (ii) restoration of degraded forests that are currently under savannah grasslands.</w:t>
      </w:r>
    </w:p>
    <w:p w14:paraId="75B88942" w14:textId="77777777" w:rsidR="008C0BCC" w:rsidRDefault="008C0BCC" w:rsidP="008C0BCC">
      <w:pPr>
        <w:rPr>
          <w:rFonts w:asciiTheme="majorHAnsi" w:hAnsiTheme="majorHAnsi"/>
          <w:sz w:val="20"/>
          <w:szCs w:val="20"/>
        </w:rPr>
      </w:pPr>
    </w:p>
    <w:p w14:paraId="43769D6A" w14:textId="77777777" w:rsidR="008C0BCC" w:rsidRPr="00B36890" w:rsidRDefault="008C0BCC" w:rsidP="008C0BCC">
      <w:pPr>
        <w:rPr>
          <w:rFonts w:asciiTheme="majorHAnsi" w:hAnsiTheme="majorHAnsi"/>
          <w:sz w:val="20"/>
          <w:szCs w:val="20"/>
        </w:rPr>
      </w:pPr>
      <w:r>
        <w:rPr>
          <w:rFonts w:asciiTheme="majorHAnsi" w:hAnsiTheme="majorHAnsi"/>
          <w:sz w:val="20"/>
          <w:szCs w:val="20"/>
        </w:rPr>
        <w:t xml:space="preserve">For the activity </w:t>
      </w:r>
      <w:r w:rsidRPr="00B36890">
        <w:rPr>
          <w:rFonts w:asciiTheme="majorHAnsi" w:hAnsiTheme="majorHAnsi"/>
          <w:sz w:val="20"/>
          <w:szCs w:val="20"/>
        </w:rPr>
        <w:t xml:space="preserve">HCVF, the approach to estimate carbon stock and carbon sequestration under the project scenario was based on the carbon emissions avoided as a result of management activities. For the activity of </w:t>
      </w:r>
      <w:r>
        <w:rPr>
          <w:rFonts w:asciiTheme="majorHAnsi" w:hAnsiTheme="majorHAnsi"/>
          <w:sz w:val="20"/>
          <w:szCs w:val="20"/>
        </w:rPr>
        <w:t xml:space="preserve">forest </w:t>
      </w:r>
      <w:r w:rsidRPr="00B36890">
        <w:rPr>
          <w:rFonts w:asciiTheme="majorHAnsi" w:hAnsiTheme="majorHAnsi"/>
          <w:sz w:val="20"/>
          <w:szCs w:val="20"/>
        </w:rPr>
        <w:t>restoration, the carbon sequestered by the project scenario was calculated by determining woody biomass added as a result of planting seedlings</w:t>
      </w:r>
      <w:r>
        <w:rPr>
          <w:rFonts w:asciiTheme="majorHAnsi" w:hAnsiTheme="majorHAnsi"/>
          <w:sz w:val="20"/>
          <w:szCs w:val="20"/>
        </w:rPr>
        <w:t xml:space="preserve">, </w:t>
      </w:r>
      <w:r w:rsidRPr="00B36890">
        <w:rPr>
          <w:rFonts w:asciiTheme="majorHAnsi" w:hAnsiTheme="majorHAnsi"/>
          <w:sz w:val="20"/>
          <w:szCs w:val="20"/>
        </w:rPr>
        <w:t>reseeding</w:t>
      </w:r>
      <w:r>
        <w:rPr>
          <w:rFonts w:asciiTheme="majorHAnsi" w:hAnsiTheme="majorHAnsi"/>
          <w:sz w:val="20"/>
          <w:szCs w:val="20"/>
        </w:rPr>
        <w:t xml:space="preserve"> and natural regeneration</w:t>
      </w:r>
      <w:r w:rsidRPr="00B36890">
        <w:rPr>
          <w:rFonts w:asciiTheme="majorHAnsi" w:hAnsiTheme="majorHAnsi"/>
          <w:sz w:val="20"/>
          <w:szCs w:val="20"/>
        </w:rPr>
        <w:t xml:space="preserve">. The assumptions and data sources used in these calculations were sourced from various literature </w:t>
      </w:r>
      <w:r w:rsidRPr="00B36890">
        <w:rPr>
          <w:rFonts w:asciiTheme="majorHAnsi" w:hAnsiTheme="majorHAnsi"/>
          <w:i/>
          <w:sz w:val="20"/>
          <w:szCs w:val="20"/>
        </w:rPr>
        <w:t>in lieu</w:t>
      </w:r>
      <w:r w:rsidRPr="00B36890">
        <w:rPr>
          <w:rFonts w:asciiTheme="majorHAnsi" w:hAnsiTheme="majorHAnsi"/>
          <w:sz w:val="20"/>
          <w:szCs w:val="20"/>
        </w:rPr>
        <w:t xml:space="preserve"> of detailed, curr</w:t>
      </w:r>
      <w:r>
        <w:rPr>
          <w:rFonts w:asciiTheme="majorHAnsi" w:hAnsiTheme="majorHAnsi"/>
          <w:sz w:val="20"/>
          <w:szCs w:val="20"/>
        </w:rPr>
        <w:t>ent data from the project sites.</w:t>
      </w:r>
    </w:p>
    <w:p w14:paraId="3881CFD6" w14:textId="77777777" w:rsidR="008C0BCC" w:rsidRPr="00B36890" w:rsidRDefault="008C0BCC" w:rsidP="008C0BCC">
      <w:pPr>
        <w:spacing w:line="276" w:lineRule="auto"/>
        <w:rPr>
          <w:rFonts w:asciiTheme="majorHAnsi" w:hAnsiTheme="majorHAnsi"/>
          <w:sz w:val="20"/>
          <w:szCs w:val="20"/>
        </w:rPr>
      </w:pPr>
    </w:p>
    <w:p w14:paraId="670F26E5" w14:textId="77777777" w:rsidR="008C0BCC" w:rsidRDefault="008C0BCC" w:rsidP="008C0BCC">
      <w:pPr>
        <w:spacing w:line="276" w:lineRule="auto"/>
        <w:rPr>
          <w:rFonts w:asciiTheme="majorHAnsi" w:hAnsiTheme="majorHAnsi"/>
          <w:sz w:val="20"/>
          <w:szCs w:val="20"/>
        </w:rPr>
      </w:pPr>
      <w:r w:rsidRPr="00B36890">
        <w:rPr>
          <w:rFonts w:asciiTheme="majorHAnsi" w:hAnsiTheme="majorHAnsi"/>
          <w:sz w:val="20"/>
          <w:szCs w:val="20"/>
        </w:rPr>
        <w:t xml:space="preserve">For the activities of </w:t>
      </w:r>
      <w:r>
        <w:rPr>
          <w:rFonts w:asciiTheme="majorHAnsi" w:hAnsiTheme="majorHAnsi"/>
          <w:sz w:val="20"/>
          <w:szCs w:val="20"/>
        </w:rPr>
        <w:t>forest</w:t>
      </w:r>
      <w:r w:rsidRPr="00B36890">
        <w:rPr>
          <w:rFonts w:asciiTheme="majorHAnsi" w:hAnsiTheme="majorHAnsi"/>
          <w:sz w:val="20"/>
          <w:szCs w:val="20"/>
        </w:rPr>
        <w:t xml:space="preserve"> restoration, growth rate of </w:t>
      </w:r>
      <w:r>
        <w:rPr>
          <w:rFonts w:asciiTheme="majorHAnsi" w:hAnsiTheme="majorHAnsi"/>
          <w:sz w:val="20"/>
          <w:szCs w:val="20"/>
        </w:rPr>
        <w:t>upland forest</w:t>
      </w:r>
      <w:r w:rsidRPr="00B36890">
        <w:rPr>
          <w:rFonts w:asciiTheme="majorHAnsi" w:hAnsiTheme="majorHAnsi"/>
          <w:sz w:val="20"/>
          <w:szCs w:val="20"/>
        </w:rPr>
        <w:t xml:space="preserve"> type was estimated based on stand age and aboveground woody biomass density derived from scientific literature. As a result of the limited availability of data from the project sites, literature sources from </w:t>
      </w:r>
      <w:r>
        <w:rPr>
          <w:rFonts w:asciiTheme="majorHAnsi" w:hAnsiTheme="majorHAnsi"/>
          <w:sz w:val="20"/>
          <w:szCs w:val="20"/>
        </w:rPr>
        <w:t xml:space="preserve">Palau </w:t>
      </w:r>
      <w:r w:rsidRPr="00B36890">
        <w:rPr>
          <w:rFonts w:asciiTheme="majorHAnsi" w:hAnsiTheme="majorHAnsi"/>
          <w:sz w:val="20"/>
          <w:szCs w:val="20"/>
        </w:rPr>
        <w:t xml:space="preserve">have been supplemented with references from other comparable countries and ecosystems </w:t>
      </w:r>
      <w:r>
        <w:rPr>
          <w:rFonts w:asciiTheme="majorHAnsi" w:hAnsiTheme="majorHAnsi"/>
          <w:sz w:val="20"/>
          <w:szCs w:val="20"/>
        </w:rPr>
        <w:t xml:space="preserve">in the Pacific, </w:t>
      </w:r>
      <w:r w:rsidRPr="00B36890">
        <w:rPr>
          <w:rFonts w:asciiTheme="majorHAnsi" w:hAnsiTheme="majorHAnsi"/>
          <w:sz w:val="20"/>
          <w:szCs w:val="20"/>
        </w:rPr>
        <w:t>when necessary. On-going data collection as part of the project’s M&amp;E activities will provide updated information to guide accurate, ground-truthed estimates of GHG emissions. Data collected during project implementation will provide indications as to which growth scenario is most applicable</w:t>
      </w:r>
      <w:r>
        <w:rPr>
          <w:rFonts w:asciiTheme="majorHAnsi" w:hAnsiTheme="majorHAnsi"/>
          <w:sz w:val="20"/>
          <w:szCs w:val="20"/>
        </w:rPr>
        <w:t>.</w:t>
      </w:r>
    </w:p>
    <w:p w14:paraId="4B541D72" w14:textId="77777777" w:rsidR="008C0BCC" w:rsidRDefault="008C0BCC" w:rsidP="008C0BCC">
      <w:pPr>
        <w:spacing w:line="276" w:lineRule="auto"/>
        <w:rPr>
          <w:rFonts w:asciiTheme="majorHAnsi" w:hAnsiTheme="majorHAnsi"/>
          <w:sz w:val="20"/>
          <w:szCs w:val="20"/>
        </w:rPr>
      </w:pPr>
    </w:p>
    <w:p w14:paraId="74FA7AB9" w14:textId="77777777" w:rsidR="008C0BCC" w:rsidRPr="00F1554B" w:rsidRDefault="008C0BCC" w:rsidP="008C0BCC">
      <w:pPr>
        <w:spacing w:line="276" w:lineRule="auto"/>
        <w:rPr>
          <w:rFonts w:asciiTheme="majorHAnsi" w:hAnsiTheme="majorHAnsi"/>
          <w:b/>
          <w:sz w:val="20"/>
          <w:szCs w:val="20"/>
        </w:rPr>
      </w:pPr>
      <w:r w:rsidRPr="00F1554B">
        <w:rPr>
          <w:rFonts w:asciiTheme="majorHAnsi" w:hAnsiTheme="majorHAnsi"/>
          <w:b/>
          <w:sz w:val="20"/>
          <w:szCs w:val="20"/>
        </w:rPr>
        <w:t>Table 1: Extent of Project Coverage</w:t>
      </w:r>
    </w:p>
    <w:tbl>
      <w:tblPr>
        <w:tblStyle w:val="TableGrid"/>
        <w:tblW w:w="0" w:type="auto"/>
        <w:tblLook w:val="04A0" w:firstRow="1" w:lastRow="0" w:firstColumn="1" w:lastColumn="0" w:noHBand="0" w:noVBand="1"/>
      </w:tblPr>
      <w:tblGrid>
        <w:gridCol w:w="2952"/>
        <w:gridCol w:w="2952"/>
        <w:gridCol w:w="2952"/>
      </w:tblGrid>
      <w:tr w:rsidR="008C0BCC" w14:paraId="6370936E" w14:textId="77777777" w:rsidTr="00D32FA2">
        <w:tc>
          <w:tcPr>
            <w:tcW w:w="5904" w:type="dxa"/>
            <w:gridSpan w:val="2"/>
          </w:tcPr>
          <w:p w14:paraId="48430304" w14:textId="77777777" w:rsidR="008C0BCC" w:rsidRPr="00F1554B" w:rsidRDefault="008C0BCC" w:rsidP="00D32FA2">
            <w:pPr>
              <w:jc w:val="center"/>
              <w:rPr>
                <w:rFonts w:asciiTheme="majorHAnsi" w:hAnsiTheme="majorHAnsi"/>
                <w:b/>
                <w:sz w:val="20"/>
                <w:szCs w:val="20"/>
              </w:rPr>
            </w:pPr>
            <w:r w:rsidRPr="00F1554B">
              <w:rPr>
                <w:rFonts w:asciiTheme="majorHAnsi" w:hAnsiTheme="majorHAnsi"/>
                <w:b/>
                <w:sz w:val="20"/>
                <w:szCs w:val="20"/>
              </w:rPr>
              <w:t>HCVFs (ha)</w:t>
            </w:r>
          </w:p>
        </w:tc>
        <w:tc>
          <w:tcPr>
            <w:tcW w:w="2952" w:type="dxa"/>
          </w:tcPr>
          <w:p w14:paraId="4DD79B60" w14:textId="77777777" w:rsidR="008C0BCC" w:rsidRPr="00F1554B" w:rsidRDefault="008C0BCC" w:rsidP="00D32FA2">
            <w:pPr>
              <w:jc w:val="center"/>
              <w:rPr>
                <w:rFonts w:asciiTheme="majorHAnsi" w:hAnsiTheme="majorHAnsi"/>
                <w:b/>
                <w:sz w:val="20"/>
                <w:szCs w:val="20"/>
              </w:rPr>
            </w:pPr>
            <w:r w:rsidRPr="00F1554B">
              <w:rPr>
                <w:rFonts w:asciiTheme="majorHAnsi" w:hAnsiTheme="majorHAnsi"/>
                <w:b/>
                <w:sz w:val="20"/>
                <w:szCs w:val="20"/>
              </w:rPr>
              <w:t>Restoration</w:t>
            </w:r>
          </w:p>
        </w:tc>
      </w:tr>
      <w:tr w:rsidR="008C0BCC" w14:paraId="3C83A71B" w14:textId="77777777" w:rsidTr="00D32FA2">
        <w:tc>
          <w:tcPr>
            <w:tcW w:w="2952" w:type="dxa"/>
          </w:tcPr>
          <w:p w14:paraId="70D4CFD4" w14:textId="77777777" w:rsidR="008C0BCC" w:rsidRDefault="008C0BCC" w:rsidP="00D32FA2">
            <w:pPr>
              <w:rPr>
                <w:rFonts w:asciiTheme="majorHAnsi" w:hAnsiTheme="majorHAnsi"/>
                <w:sz w:val="20"/>
                <w:szCs w:val="20"/>
              </w:rPr>
            </w:pPr>
            <w:r>
              <w:rPr>
                <w:rFonts w:asciiTheme="majorHAnsi" w:hAnsiTheme="majorHAnsi"/>
                <w:sz w:val="20"/>
                <w:szCs w:val="20"/>
              </w:rPr>
              <w:t>Upland Forests</w:t>
            </w:r>
          </w:p>
        </w:tc>
        <w:tc>
          <w:tcPr>
            <w:tcW w:w="2952" w:type="dxa"/>
          </w:tcPr>
          <w:p w14:paraId="2F35F54C" w14:textId="77777777" w:rsidR="008C0BCC" w:rsidRDefault="008C0BCC" w:rsidP="00D32FA2">
            <w:pPr>
              <w:rPr>
                <w:rFonts w:asciiTheme="majorHAnsi" w:hAnsiTheme="majorHAnsi"/>
                <w:sz w:val="20"/>
                <w:szCs w:val="20"/>
              </w:rPr>
            </w:pPr>
            <w:r>
              <w:rPr>
                <w:rFonts w:asciiTheme="majorHAnsi" w:hAnsiTheme="majorHAnsi"/>
                <w:sz w:val="20"/>
                <w:szCs w:val="20"/>
              </w:rPr>
              <w:t>Mangroves</w:t>
            </w:r>
          </w:p>
        </w:tc>
        <w:tc>
          <w:tcPr>
            <w:tcW w:w="2952" w:type="dxa"/>
          </w:tcPr>
          <w:p w14:paraId="4410330F" w14:textId="77777777" w:rsidR="008C0BCC" w:rsidRDefault="008C0BCC" w:rsidP="00D32FA2">
            <w:pPr>
              <w:rPr>
                <w:rFonts w:asciiTheme="majorHAnsi" w:hAnsiTheme="majorHAnsi"/>
                <w:sz w:val="20"/>
                <w:szCs w:val="20"/>
              </w:rPr>
            </w:pPr>
            <w:r>
              <w:rPr>
                <w:rFonts w:asciiTheme="majorHAnsi" w:hAnsiTheme="majorHAnsi"/>
                <w:sz w:val="20"/>
                <w:szCs w:val="20"/>
              </w:rPr>
              <w:t>Savannah</w:t>
            </w:r>
          </w:p>
        </w:tc>
      </w:tr>
      <w:tr w:rsidR="008C0BCC" w14:paraId="76B47FB0" w14:textId="77777777" w:rsidTr="00D32FA2">
        <w:tc>
          <w:tcPr>
            <w:tcW w:w="2952" w:type="dxa"/>
          </w:tcPr>
          <w:p w14:paraId="21AE9CCA" w14:textId="77777777" w:rsidR="008C0BCC" w:rsidRDefault="008C0BCC" w:rsidP="00D32FA2">
            <w:pPr>
              <w:rPr>
                <w:rFonts w:asciiTheme="majorHAnsi" w:hAnsiTheme="majorHAnsi"/>
                <w:sz w:val="20"/>
                <w:szCs w:val="20"/>
              </w:rPr>
            </w:pPr>
            <w:r>
              <w:rPr>
                <w:rFonts w:asciiTheme="majorHAnsi" w:hAnsiTheme="majorHAnsi"/>
                <w:sz w:val="20"/>
                <w:szCs w:val="20"/>
              </w:rPr>
              <w:t>14,000</w:t>
            </w:r>
          </w:p>
        </w:tc>
        <w:tc>
          <w:tcPr>
            <w:tcW w:w="2952" w:type="dxa"/>
          </w:tcPr>
          <w:p w14:paraId="42C1AD07" w14:textId="77777777" w:rsidR="008C0BCC" w:rsidRDefault="008C0BCC" w:rsidP="00D32FA2">
            <w:pPr>
              <w:rPr>
                <w:rFonts w:asciiTheme="majorHAnsi" w:hAnsiTheme="majorHAnsi"/>
                <w:sz w:val="20"/>
                <w:szCs w:val="20"/>
              </w:rPr>
            </w:pPr>
            <w:r>
              <w:rPr>
                <w:rFonts w:asciiTheme="majorHAnsi" w:hAnsiTheme="majorHAnsi"/>
                <w:sz w:val="20"/>
                <w:szCs w:val="20"/>
              </w:rPr>
              <w:t>1,000</w:t>
            </w:r>
          </w:p>
        </w:tc>
        <w:tc>
          <w:tcPr>
            <w:tcW w:w="2952" w:type="dxa"/>
          </w:tcPr>
          <w:p w14:paraId="1B17AF80" w14:textId="77777777" w:rsidR="008C0BCC" w:rsidRDefault="008C0BCC" w:rsidP="00D32FA2">
            <w:pPr>
              <w:rPr>
                <w:rFonts w:asciiTheme="majorHAnsi" w:hAnsiTheme="majorHAnsi"/>
                <w:sz w:val="20"/>
                <w:szCs w:val="20"/>
              </w:rPr>
            </w:pPr>
            <w:r>
              <w:rPr>
                <w:rFonts w:asciiTheme="majorHAnsi" w:hAnsiTheme="majorHAnsi"/>
                <w:sz w:val="20"/>
                <w:szCs w:val="20"/>
              </w:rPr>
              <w:t>1,000</w:t>
            </w:r>
          </w:p>
        </w:tc>
      </w:tr>
    </w:tbl>
    <w:p w14:paraId="05937A01" w14:textId="77777777" w:rsidR="008C0BCC" w:rsidRDefault="008C0BCC" w:rsidP="008C0BCC">
      <w:pPr>
        <w:rPr>
          <w:rFonts w:asciiTheme="majorHAnsi" w:hAnsiTheme="majorHAnsi"/>
          <w:sz w:val="20"/>
          <w:szCs w:val="20"/>
        </w:rPr>
      </w:pPr>
    </w:p>
    <w:p w14:paraId="05BC1D9B" w14:textId="77777777" w:rsidR="008C0BCC" w:rsidRPr="00045660" w:rsidRDefault="008C0BCC" w:rsidP="008C0BCC">
      <w:pPr>
        <w:rPr>
          <w:rFonts w:asciiTheme="majorHAnsi" w:hAnsiTheme="majorHAnsi"/>
          <w:b/>
          <w:sz w:val="20"/>
          <w:szCs w:val="20"/>
        </w:rPr>
      </w:pPr>
      <w:r w:rsidRPr="00045660">
        <w:rPr>
          <w:rFonts w:asciiTheme="majorHAnsi" w:hAnsiTheme="majorHAnsi"/>
          <w:b/>
          <w:sz w:val="20"/>
          <w:szCs w:val="20"/>
        </w:rPr>
        <w:t>Assumptions</w:t>
      </w:r>
    </w:p>
    <w:p w14:paraId="1CC8815A" w14:textId="77777777" w:rsidR="008C0BCC" w:rsidRPr="00045660" w:rsidRDefault="008C0BCC" w:rsidP="008C0BCC">
      <w:pPr>
        <w:rPr>
          <w:rFonts w:asciiTheme="majorHAnsi" w:hAnsiTheme="majorHAnsi"/>
          <w:b/>
          <w:sz w:val="20"/>
          <w:szCs w:val="20"/>
        </w:rPr>
      </w:pPr>
    </w:p>
    <w:p w14:paraId="53171C75" w14:textId="77777777" w:rsidR="008C0BCC" w:rsidRPr="00045660" w:rsidRDefault="008C0BCC" w:rsidP="008C0BCC">
      <w:pPr>
        <w:spacing w:line="276" w:lineRule="auto"/>
        <w:rPr>
          <w:rFonts w:asciiTheme="majorHAnsi" w:hAnsiTheme="majorHAnsi"/>
          <w:b/>
          <w:i/>
          <w:sz w:val="20"/>
          <w:szCs w:val="20"/>
        </w:rPr>
      </w:pPr>
      <w:r w:rsidRPr="00045660">
        <w:rPr>
          <w:rFonts w:asciiTheme="majorHAnsi" w:hAnsiTheme="majorHAnsi"/>
          <w:b/>
          <w:i/>
          <w:sz w:val="20"/>
          <w:szCs w:val="20"/>
        </w:rPr>
        <w:t>High Conservation Value Forests</w:t>
      </w:r>
    </w:p>
    <w:p w14:paraId="38AB8846" w14:textId="77777777" w:rsidR="008C0BCC" w:rsidRPr="00045660" w:rsidRDefault="008C0BCC" w:rsidP="008C0BCC">
      <w:pPr>
        <w:spacing w:line="276" w:lineRule="auto"/>
        <w:rPr>
          <w:rFonts w:asciiTheme="majorHAnsi" w:hAnsiTheme="majorHAnsi"/>
          <w:i/>
          <w:sz w:val="20"/>
          <w:szCs w:val="20"/>
        </w:rPr>
      </w:pPr>
    </w:p>
    <w:p w14:paraId="2797C21E" w14:textId="77777777" w:rsidR="008C0BCC" w:rsidRPr="00045660" w:rsidRDefault="008C0BCC" w:rsidP="008C0BCC">
      <w:pPr>
        <w:spacing w:line="276" w:lineRule="auto"/>
        <w:rPr>
          <w:rFonts w:asciiTheme="majorHAnsi" w:hAnsiTheme="majorHAnsi"/>
          <w:sz w:val="20"/>
          <w:szCs w:val="20"/>
        </w:rPr>
      </w:pPr>
      <w:r w:rsidRPr="00045660">
        <w:rPr>
          <w:rFonts w:asciiTheme="majorHAnsi" w:hAnsiTheme="majorHAnsi"/>
          <w:sz w:val="20"/>
          <w:szCs w:val="20"/>
        </w:rPr>
        <w:t xml:space="preserve">The baseline scenario has conservatively assumed that annual emissions from deforestation and degradation will remain constant in the project areas as a result of the project’s activities that focus on forest management. The annual rate of deforestation in each of the </w:t>
      </w:r>
      <w:r>
        <w:rPr>
          <w:rFonts w:asciiTheme="majorHAnsi" w:hAnsiTheme="majorHAnsi"/>
          <w:sz w:val="20"/>
          <w:szCs w:val="20"/>
        </w:rPr>
        <w:t>two</w:t>
      </w:r>
      <w:r w:rsidRPr="00045660">
        <w:rPr>
          <w:rFonts w:asciiTheme="majorHAnsi" w:hAnsiTheme="majorHAnsi"/>
          <w:sz w:val="20"/>
          <w:szCs w:val="20"/>
        </w:rPr>
        <w:t xml:space="preserve"> ecosystem types </w:t>
      </w:r>
      <w:r>
        <w:rPr>
          <w:rFonts w:asciiTheme="majorHAnsi" w:hAnsiTheme="majorHAnsi"/>
          <w:sz w:val="20"/>
          <w:szCs w:val="20"/>
        </w:rPr>
        <w:t xml:space="preserve">(upland forests and mangroves) </w:t>
      </w:r>
      <w:r w:rsidRPr="00045660">
        <w:rPr>
          <w:rFonts w:asciiTheme="majorHAnsi" w:hAnsiTheme="majorHAnsi"/>
          <w:sz w:val="20"/>
          <w:szCs w:val="20"/>
        </w:rPr>
        <w:t xml:space="preserve">was calculated for the year 2015 and was used to estimate total annual emissions from the AFOLU sector within the project areas. This estimate of annual GHG emissions in the baseline scenario was assumed to be constant (i.e. not increasing or decreasing annually). This assumption is considered to be conservative because, in a scenario of increasing population demand and diminishing forest resources, it is likely that the localised </w:t>
      </w:r>
      <w:r>
        <w:rPr>
          <w:rFonts w:asciiTheme="majorHAnsi" w:hAnsiTheme="majorHAnsi"/>
          <w:sz w:val="20"/>
          <w:szCs w:val="20"/>
        </w:rPr>
        <w:t xml:space="preserve">forest degradation, in particular due to forest fires and </w:t>
      </w:r>
      <w:r w:rsidRPr="00045660">
        <w:rPr>
          <w:rFonts w:asciiTheme="majorHAnsi" w:hAnsiTheme="majorHAnsi"/>
          <w:sz w:val="20"/>
          <w:szCs w:val="20"/>
        </w:rPr>
        <w:t xml:space="preserve">demand for wood and forest products will be intensified (rather than remaining constant) in the vicinity of remaining forest resources. The assumed deforestation rates were </w:t>
      </w:r>
      <w:r>
        <w:rPr>
          <w:rFonts w:asciiTheme="majorHAnsi" w:hAnsiTheme="majorHAnsi"/>
          <w:sz w:val="20"/>
          <w:szCs w:val="20"/>
        </w:rPr>
        <w:t>approximately 0.3%</w:t>
      </w:r>
      <w:r>
        <w:rPr>
          <w:rStyle w:val="FootnoteReference"/>
          <w:szCs w:val="20"/>
        </w:rPr>
        <w:footnoteReference w:id="51"/>
      </w:r>
      <w:r>
        <w:rPr>
          <w:rFonts w:asciiTheme="majorHAnsi" w:hAnsiTheme="majorHAnsi"/>
          <w:sz w:val="20"/>
          <w:szCs w:val="20"/>
        </w:rPr>
        <w:t xml:space="preserve"> and 0.8%</w:t>
      </w:r>
      <w:r>
        <w:rPr>
          <w:rStyle w:val="FootnoteReference"/>
          <w:szCs w:val="20"/>
        </w:rPr>
        <w:footnoteReference w:id="52"/>
      </w:r>
      <w:r>
        <w:rPr>
          <w:rFonts w:asciiTheme="majorHAnsi" w:hAnsiTheme="majorHAnsi"/>
          <w:sz w:val="20"/>
          <w:szCs w:val="20"/>
        </w:rPr>
        <w:t xml:space="preserve"> for Upland forest and mangroves respectively.</w:t>
      </w:r>
    </w:p>
    <w:p w14:paraId="03FEC6D4" w14:textId="77777777" w:rsidR="008C0BCC" w:rsidRPr="00045660" w:rsidRDefault="008C0BCC" w:rsidP="008C0BCC">
      <w:pPr>
        <w:tabs>
          <w:tab w:val="left" w:pos="7215"/>
        </w:tabs>
        <w:spacing w:line="276" w:lineRule="auto"/>
        <w:rPr>
          <w:rFonts w:asciiTheme="majorHAnsi" w:hAnsiTheme="majorHAnsi"/>
          <w:sz w:val="20"/>
          <w:szCs w:val="20"/>
        </w:rPr>
      </w:pPr>
    </w:p>
    <w:p w14:paraId="601E62E5" w14:textId="77777777" w:rsidR="008C0BCC" w:rsidRPr="00045660" w:rsidRDefault="008C0BCC" w:rsidP="008C0BCC">
      <w:pPr>
        <w:spacing w:line="276" w:lineRule="auto"/>
        <w:rPr>
          <w:rFonts w:asciiTheme="majorHAnsi" w:hAnsiTheme="majorHAnsi"/>
          <w:sz w:val="20"/>
          <w:szCs w:val="20"/>
        </w:rPr>
      </w:pPr>
      <w:r w:rsidRPr="00045660">
        <w:rPr>
          <w:rFonts w:asciiTheme="majorHAnsi" w:hAnsiTheme="majorHAnsi"/>
          <w:sz w:val="20"/>
          <w:szCs w:val="20"/>
        </w:rPr>
        <w:t xml:space="preserve">It was assumed that the activity HCVF will reduce the net deforestation rate to 0%, i.e. projected GHG emissions are based on avoided deforestation relative to the baseline. Additional emission reductions will be achieved through sequestration (rather than avoided deforestation) at HCVF sites, which will be protected from all exploitation. </w:t>
      </w:r>
    </w:p>
    <w:p w14:paraId="08C4C7A8" w14:textId="77777777" w:rsidR="008C0BCC" w:rsidRPr="00045660" w:rsidRDefault="008C0BCC" w:rsidP="008C0BCC">
      <w:pPr>
        <w:spacing w:line="276" w:lineRule="auto"/>
        <w:rPr>
          <w:rFonts w:asciiTheme="majorHAnsi" w:hAnsiTheme="majorHAnsi"/>
          <w:sz w:val="20"/>
          <w:szCs w:val="20"/>
        </w:rPr>
      </w:pPr>
    </w:p>
    <w:p w14:paraId="002C310E" w14:textId="77777777" w:rsidR="008C0BCC" w:rsidRPr="00B43638" w:rsidRDefault="008C0BCC" w:rsidP="008C0BCC">
      <w:pPr>
        <w:spacing w:line="276" w:lineRule="auto"/>
        <w:rPr>
          <w:rFonts w:asciiTheme="majorHAnsi" w:hAnsiTheme="majorHAnsi"/>
          <w:sz w:val="20"/>
          <w:szCs w:val="20"/>
        </w:rPr>
      </w:pPr>
      <w:r w:rsidRPr="00B43638">
        <w:rPr>
          <w:rFonts w:asciiTheme="majorHAnsi" w:hAnsiTheme="majorHAnsi"/>
          <w:sz w:val="20"/>
          <w:szCs w:val="20"/>
        </w:rPr>
        <w:t>The above</w:t>
      </w:r>
      <w:r>
        <w:rPr>
          <w:rFonts w:asciiTheme="majorHAnsi" w:hAnsiTheme="majorHAnsi"/>
          <w:sz w:val="20"/>
          <w:szCs w:val="20"/>
        </w:rPr>
        <w:t xml:space="preserve"> and below</w:t>
      </w:r>
      <w:r w:rsidRPr="00B43638">
        <w:rPr>
          <w:rFonts w:asciiTheme="majorHAnsi" w:hAnsiTheme="majorHAnsi"/>
          <w:sz w:val="20"/>
          <w:szCs w:val="20"/>
        </w:rPr>
        <w:t xml:space="preserve">ground woody biomass of undisturbed or mature Upland forest (assumed 85% cover) was assumed as ~375-437 tonnes of C per hectare; </w:t>
      </w:r>
      <w:r>
        <w:rPr>
          <w:rFonts w:asciiTheme="majorHAnsi" w:hAnsiTheme="majorHAnsi"/>
          <w:sz w:val="20"/>
          <w:szCs w:val="20"/>
        </w:rPr>
        <w:t xml:space="preserve">open </w:t>
      </w:r>
      <w:r w:rsidRPr="00B43638">
        <w:rPr>
          <w:rFonts w:asciiTheme="majorHAnsi" w:hAnsiTheme="majorHAnsi"/>
          <w:sz w:val="20"/>
          <w:szCs w:val="20"/>
        </w:rPr>
        <w:t>savannah grasslands at ~ 156-203 tonnes of C per hectare and mangrove forests at ~830-1,218 tonnes of C per hectare.</w:t>
      </w:r>
      <w:r w:rsidRPr="00B43638">
        <w:rPr>
          <w:rStyle w:val="FootnoteReference"/>
          <w:rFonts w:asciiTheme="majorHAnsi" w:hAnsiTheme="majorHAnsi"/>
          <w:sz w:val="20"/>
          <w:szCs w:val="20"/>
        </w:rPr>
        <w:footnoteReference w:id="53"/>
      </w:r>
      <w:r w:rsidRPr="00B43638">
        <w:rPr>
          <w:rFonts w:asciiTheme="majorHAnsi" w:hAnsiTheme="majorHAnsi"/>
          <w:sz w:val="20"/>
          <w:szCs w:val="20"/>
        </w:rPr>
        <w:t xml:space="preserve"> </w:t>
      </w:r>
    </w:p>
    <w:p w14:paraId="3A62A254" w14:textId="77777777" w:rsidR="008C0BCC" w:rsidRPr="00045660" w:rsidRDefault="008C0BCC" w:rsidP="008C0BCC">
      <w:pPr>
        <w:spacing w:line="276" w:lineRule="auto"/>
        <w:rPr>
          <w:rFonts w:asciiTheme="majorHAnsi" w:hAnsiTheme="majorHAnsi"/>
          <w:color w:val="0070C0"/>
          <w:sz w:val="20"/>
          <w:szCs w:val="20"/>
        </w:rPr>
      </w:pPr>
    </w:p>
    <w:p w14:paraId="74FA4BDA" w14:textId="77777777" w:rsidR="008C0BCC" w:rsidRPr="00045660" w:rsidRDefault="008C0BCC" w:rsidP="008C0BCC">
      <w:pPr>
        <w:spacing w:line="276" w:lineRule="auto"/>
        <w:rPr>
          <w:rFonts w:asciiTheme="majorHAnsi" w:hAnsiTheme="majorHAnsi"/>
          <w:b/>
          <w:i/>
          <w:sz w:val="20"/>
          <w:szCs w:val="20"/>
        </w:rPr>
      </w:pPr>
      <w:r>
        <w:rPr>
          <w:rFonts w:asciiTheme="majorHAnsi" w:hAnsiTheme="majorHAnsi"/>
          <w:b/>
          <w:i/>
          <w:sz w:val="20"/>
          <w:szCs w:val="20"/>
        </w:rPr>
        <w:t>Savannah</w:t>
      </w:r>
      <w:r w:rsidRPr="00045660">
        <w:rPr>
          <w:rFonts w:asciiTheme="majorHAnsi" w:hAnsiTheme="majorHAnsi"/>
          <w:b/>
          <w:i/>
          <w:sz w:val="20"/>
          <w:szCs w:val="20"/>
        </w:rPr>
        <w:t xml:space="preserve"> Restoration</w:t>
      </w:r>
    </w:p>
    <w:p w14:paraId="413CE288" w14:textId="77777777" w:rsidR="008C0BCC" w:rsidRPr="00045660" w:rsidRDefault="008C0BCC" w:rsidP="008C0BCC">
      <w:pPr>
        <w:spacing w:line="276" w:lineRule="auto"/>
        <w:rPr>
          <w:rFonts w:asciiTheme="majorHAnsi" w:hAnsiTheme="majorHAnsi"/>
          <w:i/>
          <w:color w:val="0070C0"/>
          <w:sz w:val="20"/>
          <w:szCs w:val="20"/>
        </w:rPr>
      </w:pPr>
    </w:p>
    <w:p w14:paraId="57CB4A74" w14:textId="77777777" w:rsidR="008C0BCC" w:rsidRPr="00045660" w:rsidRDefault="008C0BCC" w:rsidP="008C0BCC">
      <w:pPr>
        <w:spacing w:line="276" w:lineRule="auto"/>
        <w:rPr>
          <w:rFonts w:asciiTheme="majorHAnsi" w:hAnsiTheme="majorHAnsi"/>
          <w:sz w:val="20"/>
          <w:szCs w:val="20"/>
        </w:rPr>
      </w:pPr>
      <w:r w:rsidRPr="00045660">
        <w:rPr>
          <w:rFonts w:asciiTheme="majorHAnsi" w:hAnsiTheme="majorHAnsi"/>
          <w:sz w:val="20"/>
          <w:szCs w:val="20"/>
        </w:rPr>
        <w:t xml:space="preserve">The calculation to determine the woody biomass accumulated by the project’s </w:t>
      </w:r>
      <w:r>
        <w:rPr>
          <w:rFonts w:asciiTheme="majorHAnsi" w:hAnsiTheme="majorHAnsi"/>
          <w:sz w:val="20"/>
          <w:szCs w:val="20"/>
        </w:rPr>
        <w:t xml:space="preserve">savannah grassland restoration </w:t>
      </w:r>
      <w:r w:rsidRPr="00045660">
        <w:rPr>
          <w:rFonts w:asciiTheme="majorHAnsi" w:hAnsiTheme="majorHAnsi"/>
          <w:sz w:val="20"/>
          <w:szCs w:val="20"/>
        </w:rPr>
        <w:t>activities</w:t>
      </w:r>
      <w:r>
        <w:rPr>
          <w:rFonts w:asciiTheme="majorHAnsi" w:hAnsiTheme="majorHAnsi"/>
          <w:sz w:val="20"/>
          <w:szCs w:val="20"/>
        </w:rPr>
        <w:t xml:space="preserve"> </w:t>
      </w:r>
      <w:r w:rsidRPr="00045660">
        <w:rPr>
          <w:rFonts w:asciiTheme="majorHAnsi" w:hAnsiTheme="majorHAnsi"/>
          <w:sz w:val="20"/>
          <w:szCs w:val="20"/>
        </w:rPr>
        <w:t>assum</w:t>
      </w:r>
      <w:r>
        <w:rPr>
          <w:rFonts w:asciiTheme="majorHAnsi" w:hAnsiTheme="majorHAnsi"/>
          <w:sz w:val="20"/>
          <w:szCs w:val="20"/>
        </w:rPr>
        <w:t xml:space="preserve">ing that a decent forest cover (85% cover) would be achieved in 30 years converting </w:t>
      </w:r>
      <w:r w:rsidRPr="00045660">
        <w:rPr>
          <w:rFonts w:asciiTheme="majorHAnsi" w:hAnsiTheme="majorHAnsi"/>
          <w:sz w:val="20"/>
          <w:szCs w:val="20"/>
        </w:rPr>
        <w:t xml:space="preserve"> </w:t>
      </w:r>
      <w:r w:rsidRPr="00B43638">
        <w:rPr>
          <w:rFonts w:asciiTheme="majorHAnsi" w:hAnsiTheme="majorHAnsi"/>
          <w:sz w:val="20"/>
          <w:szCs w:val="20"/>
        </w:rPr>
        <w:t>~ 156-203 tonnes of C per hectare</w:t>
      </w:r>
      <w:r w:rsidRPr="00045660">
        <w:rPr>
          <w:rFonts w:asciiTheme="majorHAnsi" w:hAnsiTheme="majorHAnsi"/>
          <w:sz w:val="20"/>
          <w:szCs w:val="20"/>
        </w:rPr>
        <w:t xml:space="preserve"> </w:t>
      </w:r>
      <w:r>
        <w:rPr>
          <w:rFonts w:asciiTheme="majorHAnsi" w:hAnsiTheme="majorHAnsi"/>
          <w:sz w:val="20"/>
          <w:szCs w:val="20"/>
        </w:rPr>
        <w:t xml:space="preserve">in the savannah grasslands to </w:t>
      </w:r>
      <w:r w:rsidRPr="00B43638">
        <w:rPr>
          <w:rFonts w:asciiTheme="majorHAnsi" w:hAnsiTheme="majorHAnsi"/>
          <w:sz w:val="20"/>
          <w:szCs w:val="20"/>
        </w:rPr>
        <w:t>~375-437 tonnes of C per hectare</w:t>
      </w:r>
      <w:r w:rsidRPr="00045660">
        <w:rPr>
          <w:rFonts w:asciiTheme="majorHAnsi" w:hAnsiTheme="majorHAnsi"/>
          <w:sz w:val="20"/>
          <w:szCs w:val="20"/>
        </w:rPr>
        <w:t xml:space="preserve"> </w:t>
      </w:r>
      <w:r>
        <w:rPr>
          <w:rFonts w:asciiTheme="majorHAnsi" w:hAnsiTheme="majorHAnsi"/>
          <w:sz w:val="20"/>
          <w:szCs w:val="20"/>
        </w:rPr>
        <w:t xml:space="preserve">in a forest covered landscape that is largely made up of native upland forest species. </w:t>
      </w:r>
    </w:p>
    <w:p w14:paraId="2CF4362F" w14:textId="77777777" w:rsidR="008C0BCC" w:rsidRDefault="008C0BCC" w:rsidP="008C0BCC">
      <w:pPr>
        <w:spacing w:line="276" w:lineRule="auto"/>
      </w:pPr>
    </w:p>
    <w:p w14:paraId="2FCF6E16" w14:textId="77777777" w:rsidR="008C0BCC" w:rsidRDefault="008C0BCC" w:rsidP="008C0BCC">
      <w:pPr>
        <w:rPr>
          <w:rFonts w:asciiTheme="majorHAnsi" w:hAnsiTheme="majorHAnsi"/>
          <w:b/>
          <w:sz w:val="20"/>
          <w:szCs w:val="20"/>
        </w:rPr>
      </w:pPr>
      <w:r w:rsidRPr="00B31988">
        <w:rPr>
          <w:rFonts w:asciiTheme="majorHAnsi" w:hAnsiTheme="majorHAnsi"/>
          <w:b/>
          <w:sz w:val="20"/>
          <w:szCs w:val="20"/>
        </w:rPr>
        <w:t>Carbon Calculations</w:t>
      </w:r>
    </w:p>
    <w:p w14:paraId="43BF00A2" w14:textId="77777777" w:rsidR="008C0BCC" w:rsidRDefault="008C0BCC" w:rsidP="008C0BCC">
      <w:pPr>
        <w:rPr>
          <w:rFonts w:asciiTheme="majorHAnsi" w:hAnsiTheme="majorHAnsi"/>
          <w:b/>
          <w:sz w:val="20"/>
          <w:szCs w:val="20"/>
        </w:rPr>
      </w:pPr>
    </w:p>
    <w:p w14:paraId="11881B00" w14:textId="77777777" w:rsidR="008C0BCC" w:rsidRDefault="008C0BCC" w:rsidP="008C0BCC">
      <w:pPr>
        <w:rPr>
          <w:rFonts w:asciiTheme="majorHAnsi" w:hAnsiTheme="majorHAnsi"/>
          <w:sz w:val="20"/>
          <w:szCs w:val="20"/>
          <w:u w:val="single"/>
        </w:rPr>
      </w:pPr>
      <w:r>
        <w:rPr>
          <w:rFonts w:asciiTheme="majorHAnsi" w:hAnsiTheme="majorHAnsi"/>
          <w:sz w:val="20"/>
          <w:szCs w:val="20"/>
          <w:u w:val="single"/>
        </w:rPr>
        <w:t xml:space="preserve">Table 2:  </w:t>
      </w:r>
      <w:r w:rsidRPr="00B31988">
        <w:rPr>
          <w:rFonts w:asciiTheme="majorHAnsi" w:hAnsiTheme="majorHAnsi"/>
          <w:sz w:val="20"/>
          <w:szCs w:val="20"/>
          <w:u w:val="single"/>
        </w:rPr>
        <w:t>Avoided Carbon</w:t>
      </w:r>
      <w:r>
        <w:rPr>
          <w:rFonts w:asciiTheme="majorHAnsi" w:hAnsiTheme="majorHAnsi"/>
          <w:sz w:val="20"/>
          <w:szCs w:val="20"/>
          <w:u w:val="single"/>
        </w:rPr>
        <w:t xml:space="preserve"> from non-consumptive forest uses</w:t>
      </w:r>
    </w:p>
    <w:p w14:paraId="2D8081CE" w14:textId="77777777" w:rsidR="008C0BCC" w:rsidRDefault="008C0BCC" w:rsidP="008C0BCC">
      <w:pPr>
        <w:rPr>
          <w:rFonts w:asciiTheme="majorHAnsi" w:hAnsiTheme="majorHAnsi"/>
          <w:sz w:val="20"/>
          <w:szCs w:val="20"/>
        </w:rPr>
      </w:pPr>
    </w:p>
    <w:tbl>
      <w:tblPr>
        <w:tblStyle w:val="TableGrid"/>
        <w:tblW w:w="0" w:type="auto"/>
        <w:tblLook w:val="04A0" w:firstRow="1" w:lastRow="0" w:firstColumn="1" w:lastColumn="0" w:noHBand="0" w:noVBand="1"/>
      </w:tblPr>
      <w:tblGrid>
        <w:gridCol w:w="1465"/>
        <w:gridCol w:w="1467"/>
        <w:gridCol w:w="1179"/>
        <w:gridCol w:w="1487"/>
        <w:gridCol w:w="1620"/>
        <w:gridCol w:w="1638"/>
      </w:tblGrid>
      <w:tr w:rsidR="008C0BCC" w14:paraId="7A79FDCA" w14:textId="77777777" w:rsidTr="00D32FA2">
        <w:tc>
          <w:tcPr>
            <w:tcW w:w="1465" w:type="dxa"/>
            <w:vMerge w:val="restart"/>
          </w:tcPr>
          <w:p w14:paraId="36007528" w14:textId="77777777" w:rsidR="008C0BCC" w:rsidRPr="00F1554B" w:rsidRDefault="008C0BCC" w:rsidP="00D32FA2">
            <w:pPr>
              <w:jc w:val="center"/>
              <w:rPr>
                <w:rFonts w:asciiTheme="majorHAnsi" w:hAnsiTheme="majorHAnsi"/>
                <w:b/>
                <w:sz w:val="18"/>
                <w:szCs w:val="18"/>
              </w:rPr>
            </w:pPr>
            <w:r w:rsidRPr="00F1554B">
              <w:rPr>
                <w:rFonts w:asciiTheme="majorHAnsi" w:hAnsiTheme="majorHAnsi"/>
                <w:b/>
                <w:sz w:val="18"/>
                <w:szCs w:val="18"/>
              </w:rPr>
              <w:t>Forest Category</w:t>
            </w:r>
          </w:p>
        </w:tc>
        <w:tc>
          <w:tcPr>
            <w:tcW w:w="1467" w:type="dxa"/>
            <w:vMerge w:val="restart"/>
          </w:tcPr>
          <w:p w14:paraId="4A9B57A6" w14:textId="77777777" w:rsidR="008C0BCC" w:rsidRPr="00F1554B" w:rsidRDefault="008C0BCC" w:rsidP="00D32FA2">
            <w:pPr>
              <w:jc w:val="center"/>
              <w:rPr>
                <w:rFonts w:asciiTheme="majorHAnsi" w:hAnsiTheme="majorHAnsi"/>
                <w:b/>
                <w:sz w:val="18"/>
                <w:szCs w:val="18"/>
              </w:rPr>
            </w:pPr>
            <w:r w:rsidRPr="00F1554B">
              <w:rPr>
                <w:rFonts w:asciiTheme="majorHAnsi" w:hAnsiTheme="majorHAnsi"/>
                <w:b/>
                <w:sz w:val="18"/>
                <w:szCs w:val="18"/>
              </w:rPr>
              <w:t>Tonnes/ha (assuming 85% stocking)</w:t>
            </w:r>
          </w:p>
        </w:tc>
        <w:tc>
          <w:tcPr>
            <w:tcW w:w="1179" w:type="dxa"/>
            <w:vMerge w:val="restart"/>
          </w:tcPr>
          <w:p w14:paraId="447E4628" w14:textId="77777777" w:rsidR="008C0BCC" w:rsidRPr="00F1554B" w:rsidRDefault="008C0BCC" w:rsidP="00D32FA2">
            <w:pPr>
              <w:jc w:val="center"/>
              <w:rPr>
                <w:rFonts w:asciiTheme="majorHAnsi" w:hAnsiTheme="majorHAnsi"/>
                <w:b/>
                <w:sz w:val="18"/>
                <w:szCs w:val="18"/>
              </w:rPr>
            </w:pPr>
            <w:r w:rsidRPr="00F1554B">
              <w:rPr>
                <w:rFonts w:asciiTheme="majorHAnsi" w:hAnsiTheme="majorHAnsi"/>
                <w:b/>
                <w:sz w:val="18"/>
                <w:szCs w:val="18"/>
              </w:rPr>
              <w:t>Target extent under non-consumptive use (ha)</w:t>
            </w:r>
          </w:p>
        </w:tc>
        <w:tc>
          <w:tcPr>
            <w:tcW w:w="4745" w:type="dxa"/>
            <w:gridSpan w:val="3"/>
          </w:tcPr>
          <w:p w14:paraId="3B5657FB" w14:textId="77777777" w:rsidR="008C0BCC" w:rsidRPr="00F1554B" w:rsidRDefault="008C0BCC" w:rsidP="00D32FA2">
            <w:pPr>
              <w:jc w:val="center"/>
              <w:rPr>
                <w:rFonts w:asciiTheme="majorHAnsi" w:hAnsiTheme="majorHAnsi"/>
                <w:b/>
                <w:sz w:val="18"/>
                <w:szCs w:val="18"/>
              </w:rPr>
            </w:pPr>
            <w:r w:rsidRPr="00F1554B">
              <w:rPr>
                <w:rFonts w:asciiTheme="majorHAnsi" w:hAnsiTheme="majorHAnsi"/>
                <w:b/>
                <w:sz w:val="18"/>
                <w:szCs w:val="18"/>
              </w:rPr>
              <w:t>Avoided C loss (tonnes)</w:t>
            </w:r>
          </w:p>
        </w:tc>
      </w:tr>
      <w:tr w:rsidR="008C0BCC" w14:paraId="5FFB20A9" w14:textId="77777777" w:rsidTr="00D32FA2">
        <w:tc>
          <w:tcPr>
            <w:tcW w:w="1465" w:type="dxa"/>
            <w:vMerge/>
          </w:tcPr>
          <w:p w14:paraId="350A24C5" w14:textId="77777777" w:rsidR="008C0BCC" w:rsidRPr="00A86491" w:rsidRDefault="008C0BCC" w:rsidP="00D32FA2">
            <w:pPr>
              <w:jc w:val="center"/>
              <w:rPr>
                <w:rFonts w:asciiTheme="majorHAnsi" w:hAnsiTheme="majorHAnsi"/>
                <w:sz w:val="18"/>
                <w:szCs w:val="18"/>
              </w:rPr>
            </w:pPr>
          </w:p>
        </w:tc>
        <w:tc>
          <w:tcPr>
            <w:tcW w:w="1467" w:type="dxa"/>
            <w:vMerge/>
          </w:tcPr>
          <w:p w14:paraId="6131731B" w14:textId="77777777" w:rsidR="008C0BCC" w:rsidRPr="00A86491" w:rsidRDefault="008C0BCC" w:rsidP="00D32FA2">
            <w:pPr>
              <w:jc w:val="center"/>
              <w:rPr>
                <w:rFonts w:asciiTheme="majorHAnsi" w:hAnsiTheme="majorHAnsi"/>
                <w:sz w:val="18"/>
                <w:szCs w:val="18"/>
              </w:rPr>
            </w:pPr>
          </w:p>
        </w:tc>
        <w:tc>
          <w:tcPr>
            <w:tcW w:w="1179" w:type="dxa"/>
            <w:vMerge/>
          </w:tcPr>
          <w:p w14:paraId="4119AEF8" w14:textId="77777777" w:rsidR="008C0BCC" w:rsidRPr="00A86491" w:rsidRDefault="008C0BCC" w:rsidP="00D32FA2">
            <w:pPr>
              <w:jc w:val="center"/>
              <w:rPr>
                <w:rFonts w:asciiTheme="majorHAnsi" w:hAnsiTheme="majorHAnsi"/>
                <w:sz w:val="18"/>
                <w:szCs w:val="18"/>
              </w:rPr>
            </w:pPr>
          </w:p>
        </w:tc>
        <w:tc>
          <w:tcPr>
            <w:tcW w:w="1487" w:type="dxa"/>
          </w:tcPr>
          <w:p w14:paraId="115A49F8" w14:textId="77777777" w:rsidR="008C0BCC" w:rsidRPr="00F1554B" w:rsidRDefault="008C0BCC" w:rsidP="00D32FA2">
            <w:pPr>
              <w:rPr>
                <w:rFonts w:asciiTheme="majorHAnsi" w:hAnsiTheme="majorHAnsi"/>
                <w:b/>
                <w:sz w:val="18"/>
                <w:szCs w:val="18"/>
              </w:rPr>
            </w:pPr>
            <w:r w:rsidRPr="00F1554B">
              <w:rPr>
                <w:rFonts w:asciiTheme="majorHAnsi" w:hAnsiTheme="majorHAnsi"/>
                <w:b/>
                <w:sz w:val="18"/>
                <w:szCs w:val="18"/>
              </w:rPr>
              <w:t>10 years</w:t>
            </w:r>
          </w:p>
        </w:tc>
        <w:tc>
          <w:tcPr>
            <w:tcW w:w="1620" w:type="dxa"/>
          </w:tcPr>
          <w:p w14:paraId="4FD47BD2" w14:textId="77777777" w:rsidR="008C0BCC" w:rsidRPr="00F1554B" w:rsidRDefault="008C0BCC" w:rsidP="00D32FA2">
            <w:pPr>
              <w:jc w:val="center"/>
              <w:rPr>
                <w:rFonts w:asciiTheme="majorHAnsi" w:hAnsiTheme="majorHAnsi"/>
                <w:b/>
                <w:sz w:val="18"/>
                <w:szCs w:val="18"/>
              </w:rPr>
            </w:pPr>
            <w:r w:rsidRPr="00F1554B">
              <w:rPr>
                <w:rFonts w:asciiTheme="majorHAnsi" w:hAnsiTheme="majorHAnsi"/>
                <w:b/>
                <w:sz w:val="18"/>
                <w:szCs w:val="18"/>
              </w:rPr>
              <w:t>20 years</w:t>
            </w:r>
          </w:p>
        </w:tc>
        <w:tc>
          <w:tcPr>
            <w:tcW w:w="1638" w:type="dxa"/>
          </w:tcPr>
          <w:p w14:paraId="259F0121" w14:textId="77777777" w:rsidR="008C0BCC" w:rsidRPr="00F1554B" w:rsidRDefault="008C0BCC" w:rsidP="00D32FA2">
            <w:pPr>
              <w:jc w:val="center"/>
              <w:rPr>
                <w:rFonts w:asciiTheme="majorHAnsi" w:hAnsiTheme="majorHAnsi"/>
                <w:b/>
                <w:sz w:val="18"/>
                <w:szCs w:val="18"/>
              </w:rPr>
            </w:pPr>
            <w:r w:rsidRPr="00F1554B">
              <w:rPr>
                <w:rFonts w:asciiTheme="majorHAnsi" w:hAnsiTheme="majorHAnsi"/>
                <w:b/>
                <w:sz w:val="18"/>
                <w:szCs w:val="18"/>
              </w:rPr>
              <w:t>30 years</w:t>
            </w:r>
          </w:p>
        </w:tc>
      </w:tr>
      <w:tr w:rsidR="008C0BCC" w14:paraId="2377522E" w14:textId="77777777" w:rsidTr="00D32FA2">
        <w:tc>
          <w:tcPr>
            <w:tcW w:w="1465" w:type="dxa"/>
          </w:tcPr>
          <w:p w14:paraId="4020CCC9" w14:textId="77777777" w:rsidR="008C0BCC" w:rsidRPr="00A86491" w:rsidRDefault="008C0BCC" w:rsidP="00D32FA2">
            <w:pPr>
              <w:jc w:val="center"/>
              <w:rPr>
                <w:rFonts w:asciiTheme="majorHAnsi" w:hAnsiTheme="majorHAnsi"/>
                <w:sz w:val="18"/>
                <w:szCs w:val="18"/>
              </w:rPr>
            </w:pPr>
            <w:r w:rsidRPr="00A86491">
              <w:rPr>
                <w:rFonts w:asciiTheme="majorHAnsi" w:hAnsiTheme="majorHAnsi"/>
                <w:sz w:val="18"/>
                <w:szCs w:val="18"/>
              </w:rPr>
              <w:t>Upland Forest (annual loss 0.3)</w:t>
            </w:r>
          </w:p>
        </w:tc>
        <w:tc>
          <w:tcPr>
            <w:tcW w:w="1467" w:type="dxa"/>
          </w:tcPr>
          <w:p w14:paraId="455D093F" w14:textId="77777777" w:rsidR="008C0BCC" w:rsidRPr="00A86491" w:rsidRDefault="008C0BCC" w:rsidP="00D32FA2">
            <w:pPr>
              <w:jc w:val="center"/>
              <w:rPr>
                <w:rFonts w:asciiTheme="majorHAnsi" w:hAnsiTheme="majorHAnsi"/>
                <w:sz w:val="18"/>
                <w:szCs w:val="18"/>
              </w:rPr>
            </w:pPr>
            <w:r w:rsidRPr="00A86491">
              <w:rPr>
                <w:rFonts w:asciiTheme="majorHAnsi" w:hAnsiTheme="majorHAnsi"/>
                <w:sz w:val="18"/>
                <w:szCs w:val="18"/>
              </w:rPr>
              <w:t>~375-437</w:t>
            </w:r>
          </w:p>
        </w:tc>
        <w:tc>
          <w:tcPr>
            <w:tcW w:w="1179" w:type="dxa"/>
          </w:tcPr>
          <w:p w14:paraId="1D3881A4" w14:textId="77777777" w:rsidR="008C0BCC" w:rsidRPr="00A86491" w:rsidRDefault="008C0BCC" w:rsidP="00D32FA2">
            <w:pPr>
              <w:jc w:val="center"/>
              <w:rPr>
                <w:rFonts w:asciiTheme="majorHAnsi" w:hAnsiTheme="majorHAnsi"/>
                <w:sz w:val="18"/>
                <w:szCs w:val="18"/>
              </w:rPr>
            </w:pPr>
            <w:r w:rsidRPr="00A86491">
              <w:rPr>
                <w:rFonts w:asciiTheme="majorHAnsi" w:hAnsiTheme="majorHAnsi"/>
                <w:sz w:val="18"/>
                <w:szCs w:val="18"/>
              </w:rPr>
              <w:t>14,000 ha</w:t>
            </w:r>
          </w:p>
        </w:tc>
        <w:tc>
          <w:tcPr>
            <w:tcW w:w="1487" w:type="dxa"/>
          </w:tcPr>
          <w:p w14:paraId="1BD23C8F" w14:textId="77777777" w:rsidR="008C0BCC" w:rsidRPr="00A86491" w:rsidRDefault="008C0BCC" w:rsidP="00D32FA2">
            <w:pPr>
              <w:rPr>
                <w:rFonts w:asciiTheme="majorHAnsi" w:hAnsiTheme="majorHAnsi"/>
                <w:sz w:val="18"/>
                <w:szCs w:val="18"/>
              </w:rPr>
            </w:pPr>
            <w:r w:rsidRPr="00A86491">
              <w:rPr>
                <w:rFonts w:asciiTheme="majorHAnsi" w:hAnsiTheme="majorHAnsi"/>
                <w:sz w:val="18"/>
                <w:szCs w:val="18"/>
              </w:rPr>
              <w:t>157,500</w:t>
            </w:r>
            <w:r>
              <w:rPr>
                <w:rFonts w:asciiTheme="majorHAnsi" w:hAnsiTheme="majorHAnsi"/>
                <w:sz w:val="18"/>
                <w:szCs w:val="18"/>
              </w:rPr>
              <w:t>-183,540</w:t>
            </w:r>
          </w:p>
        </w:tc>
        <w:tc>
          <w:tcPr>
            <w:tcW w:w="1620" w:type="dxa"/>
          </w:tcPr>
          <w:p w14:paraId="6B69F477" w14:textId="77777777" w:rsidR="008C0BCC" w:rsidRPr="00A86491" w:rsidRDefault="008C0BCC" w:rsidP="00D32FA2">
            <w:pPr>
              <w:rPr>
                <w:rFonts w:asciiTheme="majorHAnsi" w:hAnsiTheme="majorHAnsi"/>
                <w:sz w:val="18"/>
                <w:szCs w:val="18"/>
              </w:rPr>
            </w:pPr>
            <w:r w:rsidRPr="00A86491">
              <w:rPr>
                <w:rFonts w:asciiTheme="majorHAnsi" w:hAnsiTheme="majorHAnsi"/>
                <w:sz w:val="18"/>
                <w:szCs w:val="18"/>
              </w:rPr>
              <w:t>315,000</w:t>
            </w:r>
            <w:r>
              <w:rPr>
                <w:rFonts w:asciiTheme="majorHAnsi" w:hAnsiTheme="majorHAnsi"/>
                <w:sz w:val="18"/>
                <w:szCs w:val="18"/>
              </w:rPr>
              <w:t>-367,000</w:t>
            </w:r>
          </w:p>
        </w:tc>
        <w:tc>
          <w:tcPr>
            <w:tcW w:w="1638" w:type="dxa"/>
          </w:tcPr>
          <w:p w14:paraId="5AD4741D" w14:textId="77777777" w:rsidR="008C0BCC" w:rsidRPr="00A86491" w:rsidRDefault="008C0BCC" w:rsidP="00D32FA2">
            <w:pPr>
              <w:rPr>
                <w:rFonts w:asciiTheme="majorHAnsi" w:hAnsiTheme="majorHAnsi"/>
                <w:sz w:val="18"/>
                <w:szCs w:val="18"/>
              </w:rPr>
            </w:pPr>
            <w:r w:rsidRPr="00A86491">
              <w:rPr>
                <w:rFonts w:asciiTheme="majorHAnsi" w:hAnsiTheme="majorHAnsi"/>
                <w:sz w:val="18"/>
                <w:szCs w:val="18"/>
              </w:rPr>
              <w:t>472,500-550,620</w:t>
            </w:r>
          </w:p>
        </w:tc>
      </w:tr>
      <w:tr w:rsidR="008C0BCC" w14:paraId="3AF40F96" w14:textId="77777777" w:rsidTr="00D32FA2">
        <w:tc>
          <w:tcPr>
            <w:tcW w:w="1465" w:type="dxa"/>
          </w:tcPr>
          <w:p w14:paraId="339879CA" w14:textId="77777777" w:rsidR="008C0BCC" w:rsidRPr="00A86491" w:rsidRDefault="008C0BCC" w:rsidP="00D32FA2">
            <w:pPr>
              <w:jc w:val="center"/>
              <w:rPr>
                <w:rFonts w:asciiTheme="majorHAnsi" w:hAnsiTheme="majorHAnsi"/>
                <w:sz w:val="18"/>
                <w:szCs w:val="18"/>
              </w:rPr>
            </w:pPr>
            <w:r w:rsidRPr="00A86491">
              <w:rPr>
                <w:rFonts w:asciiTheme="majorHAnsi" w:hAnsiTheme="majorHAnsi"/>
                <w:sz w:val="18"/>
                <w:szCs w:val="18"/>
              </w:rPr>
              <w:t>Mangrove Forests</w:t>
            </w:r>
            <w:r>
              <w:rPr>
                <w:rFonts w:asciiTheme="majorHAnsi" w:hAnsiTheme="majorHAnsi"/>
                <w:sz w:val="18"/>
                <w:szCs w:val="18"/>
              </w:rPr>
              <w:t xml:space="preserve"> (Annual loss 0.</w:t>
            </w:r>
            <w:r w:rsidRPr="00A86491">
              <w:rPr>
                <w:rFonts w:asciiTheme="majorHAnsi" w:hAnsiTheme="majorHAnsi"/>
                <w:sz w:val="18"/>
                <w:szCs w:val="18"/>
              </w:rPr>
              <w:t>8%)</w:t>
            </w:r>
          </w:p>
        </w:tc>
        <w:tc>
          <w:tcPr>
            <w:tcW w:w="1467" w:type="dxa"/>
          </w:tcPr>
          <w:p w14:paraId="7B85145E" w14:textId="77777777" w:rsidR="008C0BCC" w:rsidRPr="00A86491" w:rsidRDefault="008C0BCC" w:rsidP="00D32FA2">
            <w:pPr>
              <w:jc w:val="center"/>
              <w:rPr>
                <w:rFonts w:asciiTheme="majorHAnsi" w:hAnsiTheme="majorHAnsi"/>
                <w:sz w:val="18"/>
                <w:szCs w:val="18"/>
              </w:rPr>
            </w:pPr>
            <w:r w:rsidRPr="00A86491">
              <w:rPr>
                <w:rFonts w:asciiTheme="majorHAnsi" w:hAnsiTheme="majorHAnsi"/>
                <w:sz w:val="18"/>
                <w:szCs w:val="18"/>
              </w:rPr>
              <w:t>~830-1,218</w:t>
            </w:r>
          </w:p>
        </w:tc>
        <w:tc>
          <w:tcPr>
            <w:tcW w:w="1179" w:type="dxa"/>
          </w:tcPr>
          <w:p w14:paraId="3B6B601F" w14:textId="77777777" w:rsidR="008C0BCC" w:rsidRPr="00A86491" w:rsidRDefault="008C0BCC" w:rsidP="00D32FA2">
            <w:pPr>
              <w:jc w:val="center"/>
              <w:rPr>
                <w:rFonts w:asciiTheme="majorHAnsi" w:hAnsiTheme="majorHAnsi"/>
                <w:sz w:val="18"/>
                <w:szCs w:val="18"/>
              </w:rPr>
            </w:pPr>
            <w:r w:rsidRPr="00A86491">
              <w:rPr>
                <w:rFonts w:asciiTheme="majorHAnsi" w:hAnsiTheme="majorHAnsi"/>
                <w:sz w:val="18"/>
                <w:szCs w:val="18"/>
              </w:rPr>
              <w:t>1,000 ha</w:t>
            </w:r>
          </w:p>
        </w:tc>
        <w:tc>
          <w:tcPr>
            <w:tcW w:w="1487" w:type="dxa"/>
          </w:tcPr>
          <w:p w14:paraId="21535669" w14:textId="77777777" w:rsidR="008C0BCC" w:rsidRPr="00A86491" w:rsidRDefault="008C0BCC" w:rsidP="00D32FA2">
            <w:pPr>
              <w:rPr>
                <w:rFonts w:asciiTheme="majorHAnsi" w:hAnsiTheme="majorHAnsi"/>
                <w:sz w:val="18"/>
                <w:szCs w:val="18"/>
              </w:rPr>
            </w:pPr>
            <w:r>
              <w:rPr>
                <w:rFonts w:asciiTheme="majorHAnsi" w:hAnsiTheme="majorHAnsi"/>
                <w:sz w:val="18"/>
                <w:szCs w:val="18"/>
              </w:rPr>
              <w:t>66,400-97,440</w:t>
            </w:r>
          </w:p>
        </w:tc>
        <w:tc>
          <w:tcPr>
            <w:tcW w:w="1620" w:type="dxa"/>
          </w:tcPr>
          <w:p w14:paraId="1526C91F" w14:textId="77777777" w:rsidR="008C0BCC" w:rsidRPr="00A86491" w:rsidRDefault="008C0BCC" w:rsidP="00D32FA2">
            <w:pPr>
              <w:rPr>
                <w:rFonts w:asciiTheme="majorHAnsi" w:hAnsiTheme="majorHAnsi"/>
                <w:sz w:val="18"/>
                <w:szCs w:val="18"/>
              </w:rPr>
            </w:pPr>
            <w:r>
              <w:rPr>
                <w:rFonts w:asciiTheme="majorHAnsi" w:hAnsiTheme="majorHAnsi"/>
                <w:sz w:val="18"/>
                <w:szCs w:val="18"/>
              </w:rPr>
              <w:t>132,800-194,880</w:t>
            </w:r>
          </w:p>
        </w:tc>
        <w:tc>
          <w:tcPr>
            <w:tcW w:w="1638" w:type="dxa"/>
          </w:tcPr>
          <w:p w14:paraId="0BFE6EF9" w14:textId="77777777" w:rsidR="008C0BCC" w:rsidRPr="00A86491" w:rsidRDefault="008C0BCC" w:rsidP="00D32FA2">
            <w:pPr>
              <w:rPr>
                <w:rFonts w:asciiTheme="majorHAnsi" w:hAnsiTheme="majorHAnsi"/>
                <w:sz w:val="18"/>
                <w:szCs w:val="18"/>
              </w:rPr>
            </w:pPr>
            <w:r>
              <w:rPr>
                <w:rFonts w:asciiTheme="majorHAnsi" w:hAnsiTheme="majorHAnsi"/>
                <w:sz w:val="18"/>
                <w:szCs w:val="18"/>
              </w:rPr>
              <w:t>199,200-292,320</w:t>
            </w:r>
          </w:p>
        </w:tc>
      </w:tr>
      <w:tr w:rsidR="008C0BCC" w14:paraId="67A9633A" w14:textId="77777777" w:rsidTr="00D32FA2">
        <w:tc>
          <w:tcPr>
            <w:tcW w:w="4111" w:type="dxa"/>
            <w:gridSpan w:val="3"/>
          </w:tcPr>
          <w:p w14:paraId="4006D21F" w14:textId="77777777" w:rsidR="008C0BCC" w:rsidRPr="00AB42AC" w:rsidRDefault="008C0BCC" w:rsidP="00D32FA2">
            <w:pPr>
              <w:jc w:val="center"/>
              <w:rPr>
                <w:rFonts w:asciiTheme="majorHAnsi" w:hAnsiTheme="majorHAnsi"/>
                <w:b/>
                <w:sz w:val="18"/>
                <w:szCs w:val="18"/>
              </w:rPr>
            </w:pPr>
            <w:r w:rsidRPr="00AB42AC">
              <w:rPr>
                <w:rFonts w:asciiTheme="majorHAnsi" w:hAnsiTheme="majorHAnsi"/>
                <w:b/>
                <w:sz w:val="18"/>
                <w:szCs w:val="18"/>
              </w:rPr>
              <w:t>Total</w:t>
            </w:r>
            <w:r>
              <w:rPr>
                <w:rFonts w:asciiTheme="majorHAnsi" w:hAnsiTheme="majorHAnsi"/>
                <w:b/>
                <w:sz w:val="18"/>
                <w:szCs w:val="18"/>
              </w:rPr>
              <w:t xml:space="preserve"> C T</w:t>
            </w:r>
            <w:r w:rsidRPr="00AB42AC">
              <w:rPr>
                <w:rFonts w:asciiTheme="majorHAnsi" w:hAnsiTheme="majorHAnsi"/>
                <w:b/>
                <w:sz w:val="18"/>
                <w:szCs w:val="18"/>
              </w:rPr>
              <w:t>onnes avoided</w:t>
            </w:r>
          </w:p>
        </w:tc>
        <w:tc>
          <w:tcPr>
            <w:tcW w:w="1487" w:type="dxa"/>
          </w:tcPr>
          <w:p w14:paraId="60B7C6ED" w14:textId="77777777" w:rsidR="008C0BCC" w:rsidRPr="00F1554B" w:rsidRDefault="008C0BCC" w:rsidP="00D32FA2">
            <w:pPr>
              <w:rPr>
                <w:rFonts w:asciiTheme="majorHAnsi" w:hAnsiTheme="majorHAnsi"/>
                <w:b/>
                <w:sz w:val="18"/>
                <w:szCs w:val="18"/>
              </w:rPr>
            </w:pPr>
            <w:r w:rsidRPr="00F1554B">
              <w:rPr>
                <w:rFonts w:asciiTheme="majorHAnsi" w:hAnsiTheme="majorHAnsi"/>
                <w:b/>
                <w:sz w:val="18"/>
                <w:szCs w:val="18"/>
              </w:rPr>
              <w:t>223,900-280,980</w:t>
            </w:r>
          </w:p>
        </w:tc>
        <w:tc>
          <w:tcPr>
            <w:tcW w:w="1620" w:type="dxa"/>
          </w:tcPr>
          <w:p w14:paraId="05575FDF" w14:textId="77777777" w:rsidR="008C0BCC" w:rsidRPr="00F1554B" w:rsidRDefault="008C0BCC" w:rsidP="00D32FA2">
            <w:pPr>
              <w:rPr>
                <w:rFonts w:asciiTheme="majorHAnsi" w:hAnsiTheme="majorHAnsi"/>
                <w:b/>
                <w:sz w:val="18"/>
                <w:szCs w:val="18"/>
              </w:rPr>
            </w:pPr>
            <w:r w:rsidRPr="00F1554B">
              <w:rPr>
                <w:rFonts w:asciiTheme="majorHAnsi" w:hAnsiTheme="majorHAnsi"/>
                <w:b/>
                <w:sz w:val="18"/>
                <w:szCs w:val="18"/>
              </w:rPr>
              <w:t>447,800-561,880</w:t>
            </w:r>
          </w:p>
        </w:tc>
        <w:tc>
          <w:tcPr>
            <w:tcW w:w="1638" w:type="dxa"/>
          </w:tcPr>
          <w:p w14:paraId="0405A576" w14:textId="77777777" w:rsidR="008C0BCC" w:rsidRPr="00F1554B" w:rsidRDefault="008C0BCC" w:rsidP="00D32FA2">
            <w:pPr>
              <w:rPr>
                <w:rFonts w:asciiTheme="majorHAnsi" w:hAnsiTheme="majorHAnsi"/>
                <w:b/>
                <w:sz w:val="18"/>
                <w:szCs w:val="18"/>
              </w:rPr>
            </w:pPr>
            <w:r w:rsidRPr="00F1554B">
              <w:rPr>
                <w:rFonts w:asciiTheme="majorHAnsi" w:hAnsiTheme="majorHAnsi"/>
                <w:b/>
                <w:sz w:val="18"/>
                <w:szCs w:val="18"/>
              </w:rPr>
              <w:t>671,700-842,940</w:t>
            </w:r>
          </w:p>
        </w:tc>
      </w:tr>
      <w:tr w:rsidR="008C0BCC" w14:paraId="20D225A4" w14:textId="77777777" w:rsidTr="00D32FA2">
        <w:tc>
          <w:tcPr>
            <w:tcW w:w="4111" w:type="dxa"/>
            <w:gridSpan w:val="3"/>
          </w:tcPr>
          <w:p w14:paraId="68508D39" w14:textId="77777777" w:rsidR="008C0BCC" w:rsidRPr="00AB42AC" w:rsidRDefault="008C0BCC" w:rsidP="00D32FA2">
            <w:pPr>
              <w:jc w:val="center"/>
              <w:rPr>
                <w:rFonts w:asciiTheme="majorHAnsi" w:hAnsiTheme="majorHAnsi"/>
                <w:b/>
                <w:sz w:val="18"/>
                <w:szCs w:val="18"/>
              </w:rPr>
            </w:pPr>
            <w:r>
              <w:rPr>
                <w:rFonts w:asciiTheme="majorHAnsi" w:hAnsiTheme="majorHAnsi"/>
                <w:b/>
                <w:sz w:val="18"/>
                <w:szCs w:val="18"/>
              </w:rPr>
              <w:t xml:space="preserve">Total Tonnes of CO2 avoided </w:t>
            </w:r>
            <w:r w:rsidRPr="00F05AF4">
              <w:rPr>
                <w:rFonts w:asciiTheme="majorHAnsi" w:hAnsiTheme="majorHAnsi"/>
                <w:sz w:val="18"/>
                <w:szCs w:val="18"/>
              </w:rPr>
              <w:t>(x3.67 conversion)</w:t>
            </w:r>
          </w:p>
        </w:tc>
        <w:tc>
          <w:tcPr>
            <w:tcW w:w="1487" w:type="dxa"/>
          </w:tcPr>
          <w:p w14:paraId="7546A5C9" w14:textId="77777777" w:rsidR="008C0BCC" w:rsidRPr="00F05AF4" w:rsidRDefault="008C0BCC" w:rsidP="00D32FA2">
            <w:pPr>
              <w:rPr>
                <w:rFonts w:asciiTheme="majorHAnsi" w:hAnsiTheme="majorHAnsi"/>
                <w:b/>
                <w:sz w:val="16"/>
                <w:szCs w:val="16"/>
              </w:rPr>
            </w:pPr>
            <w:r w:rsidRPr="00F05AF4">
              <w:rPr>
                <w:rFonts w:asciiTheme="majorHAnsi" w:hAnsiTheme="majorHAnsi"/>
                <w:b/>
                <w:sz w:val="16"/>
                <w:szCs w:val="16"/>
              </w:rPr>
              <w:t>821,713-1,031,197</w:t>
            </w:r>
          </w:p>
        </w:tc>
        <w:tc>
          <w:tcPr>
            <w:tcW w:w="1620" w:type="dxa"/>
          </w:tcPr>
          <w:p w14:paraId="3253074E" w14:textId="77777777" w:rsidR="008C0BCC" w:rsidRPr="00F05AF4" w:rsidRDefault="008C0BCC" w:rsidP="00D32FA2">
            <w:pPr>
              <w:rPr>
                <w:rFonts w:asciiTheme="majorHAnsi" w:hAnsiTheme="majorHAnsi"/>
                <w:b/>
                <w:sz w:val="16"/>
                <w:szCs w:val="16"/>
              </w:rPr>
            </w:pPr>
            <w:r>
              <w:rPr>
                <w:rFonts w:asciiTheme="majorHAnsi" w:hAnsiTheme="majorHAnsi"/>
                <w:b/>
                <w:sz w:val="16"/>
                <w:szCs w:val="16"/>
              </w:rPr>
              <w:t>1,643,426-2,063,051</w:t>
            </w:r>
          </w:p>
        </w:tc>
        <w:tc>
          <w:tcPr>
            <w:tcW w:w="1638" w:type="dxa"/>
          </w:tcPr>
          <w:p w14:paraId="364C1BC5" w14:textId="77777777" w:rsidR="008C0BCC" w:rsidRPr="00F05AF4" w:rsidRDefault="008C0BCC" w:rsidP="00D32FA2">
            <w:pPr>
              <w:rPr>
                <w:rFonts w:asciiTheme="majorHAnsi" w:hAnsiTheme="majorHAnsi"/>
                <w:b/>
                <w:sz w:val="16"/>
                <w:szCs w:val="16"/>
              </w:rPr>
            </w:pPr>
            <w:r>
              <w:rPr>
                <w:rFonts w:asciiTheme="majorHAnsi" w:hAnsiTheme="majorHAnsi"/>
                <w:b/>
                <w:sz w:val="16"/>
                <w:szCs w:val="16"/>
              </w:rPr>
              <w:t>2,465,139-3,093,590</w:t>
            </w:r>
          </w:p>
        </w:tc>
      </w:tr>
    </w:tbl>
    <w:p w14:paraId="38FACC96" w14:textId="77777777" w:rsidR="008C0BCC" w:rsidRDefault="008C0BCC" w:rsidP="008C0BCC">
      <w:pPr>
        <w:rPr>
          <w:rFonts w:asciiTheme="majorHAnsi" w:hAnsiTheme="majorHAnsi"/>
          <w:sz w:val="20"/>
          <w:szCs w:val="20"/>
        </w:rPr>
      </w:pPr>
    </w:p>
    <w:p w14:paraId="08875F54" w14:textId="77777777" w:rsidR="008C0BCC" w:rsidRDefault="008C0BCC" w:rsidP="008C0BCC">
      <w:pPr>
        <w:rPr>
          <w:rFonts w:asciiTheme="majorHAnsi" w:hAnsiTheme="majorHAnsi"/>
          <w:sz w:val="20"/>
          <w:szCs w:val="20"/>
          <w:u w:val="single"/>
        </w:rPr>
      </w:pPr>
      <w:r w:rsidRPr="00F1554B">
        <w:rPr>
          <w:rFonts w:asciiTheme="majorHAnsi" w:hAnsiTheme="majorHAnsi"/>
          <w:sz w:val="20"/>
          <w:szCs w:val="20"/>
          <w:u w:val="single"/>
        </w:rPr>
        <w:t>Table 3: Carbon Sequestration</w:t>
      </w:r>
      <w:r>
        <w:rPr>
          <w:rFonts w:asciiTheme="majorHAnsi" w:hAnsiTheme="majorHAnsi"/>
          <w:sz w:val="20"/>
          <w:szCs w:val="20"/>
          <w:u w:val="single"/>
        </w:rPr>
        <w:t xml:space="preserve"> </w:t>
      </w:r>
    </w:p>
    <w:p w14:paraId="4C60BBE8" w14:textId="77777777" w:rsidR="008C0BCC" w:rsidRDefault="008C0BCC" w:rsidP="008C0BCC">
      <w:pPr>
        <w:rPr>
          <w:rFonts w:asciiTheme="majorHAnsi" w:hAnsiTheme="majorHAnsi"/>
          <w:sz w:val="20"/>
          <w:szCs w:val="20"/>
          <w:u w:val="single"/>
        </w:rPr>
      </w:pPr>
    </w:p>
    <w:tbl>
      <w:tblPr>
        <w:tblStyle w:val="TableGrid"/>
        <w:tblW w:w="0" w:type="auto"/>
        <w:tblLook w:val="04A0" w:firstRow="1" w:lastRow="0" w:firstColumn="1" w:lastColumn="0" w:noHBand="0" w:noVBand="1"/>
      </w:tblPr>
      <w:tblGrid>
        <w:gridCol w:w="2214"/>
        <w:gridCol w:w="2214"/>
        <w:gridCol w:w="2214"/>
      </w:tblGrid>
      <w:tr w:rsidR="008C0BCC" w14:paraId="75560BEE" w14:textId="77777777" w:rsidTr="00D32FA2">
        <w:tc>
          <w:tcPr>
            <w:tcW w:w="2214" w:type="dxa"/>
          </w:tcPr>
          <w:p w14:paraId="36159B6F" w14:textId="77777777" w:rsidR="008C0BCC" w:rsidRPr="00F1554B" w:rsidRDefault="008C0BCC" w:rsidP="00D32FA2">
            <w:pPr>
              <w:jc w:val="center"/>
              <w:rPr>
                <w:rFonts w:asciiTheme="majorHAnsi" w:hAnsiTheme="majorHAnsi"/>
                <w:sz w:val="18"/>
                <w:szCs w:val="18"/>
                <w:u w:val="single"/>
              </w:rPr>
            </w:pPr>
          </w:p>
        </w:tc>
        <w:tc>
          <w:tcPr>
            <w:tcW w:w="2214" w:type="dxa"/>
          </w:tcPr>
          <w:p w14:paraId="75F8B73B" w14:textId="77777777" w:rsidR="008C0BCC" w:rsidRPr="00AA66B5" w:rsidRDefault="008C0BCC" w:rsidP="00D32FA2">
            <w:pPr>
              <w:jc w:val="center"/>
              <w:rPr>
                <w:rFonts w:asciiTheme="majorHAnsi" w:hAnsiTheme="majorHAnsi"/>
                <w:b/>
                <w:sz w:val="18"/>
                <w:szCs w:val="18"/>
                <w:u w:val="single"/>
              </w:rPr>
            </w:pPr>
            <w:r w:rsidRPr="00AA66B5">
              <w:rPr>
                <w:rFonts w:asciiTheme="majorHAnsi" w:hAnsiTheme="majorHAnsi"/>
                <w:b/>
                <w:sz w:val="18"/>
                <w:szCs w:val="18"/>
                <w:u w:val="single"/>
              </w:rPr>
              <w:t>One hectare</w:t>
            </w:r>
          </w:p>
        </w:tc>
        <w:tc>
          <w:tcPr>
            <w:tcW w:w="2214" w:type="dxa"/>
          </w:tcPr>
          <w:p w14:paraId="619A3E54" w14:textId="77777777" w:rsidR="008C0BCC" w:rsidRPr="00AA66B5" w:rsidRDefault="008C0BCC" w:rsidP="00D32FA2">
            <w:pPr>
              <w:jc w:val="center"/>
              <w:rPr>
                <w:rFonts w:asciiTheme="majorHAnsi" w:hAnsiTheme="majorHAnsi"/>
                <w:b/>
                <w:sz w:val="18"/>
                <w:szCs w:val="18"/>
                <w:u w:val="single"/>
              </w:rPr>
            </w:pPr>
            <w:r w:rsidRPr="00AA66B5">
              <w:rPr>
                <w:rFonts w:asciiTheme="majorHAnsi" w:hAnsiTheme="majorHAnsi"/>
                <w:b/>
                <w:sz w:val="18"/>
                <w:szCs w:val="18"/>
                <w:u w:val="single"/>
              </w:rPr>
              <w:t>1,000 ha</w:t>
            </w:r>
          </w:p>
        </w:tc>
      </w:tr>
      <w:tr w:rsidR="008C0BCC" w14:paraId="5400358B" w14:textId="77777777" w:rsidTr="00D32FA2">
        <w:tc>
          <w:tcPr>
            <w:tcW w:w="2214" w:type="dxa"/>
          </w:tcPr>
          <w:p w14:paraId="0114AD7D" w14:textId="77777777" w:rsidR="008C0BCC" w:rsidRPr="00F1554B" w:rsidRDefault="008C0BCC" w:rsidP="00D32FA2">
            <w:pPr>
              <w:jc w:val="center"/>
              <w:rPr>
                <w:rFonts w:asciiTheme="majorHAnsi" w:hAnsiTheme="majorHAnsi"/>
                <w:sz w:val="18"/>
                <w:szCs w:val="18"/>
                <w:u w:val="single"/>
              </w:rPr>
            </w:pPr>
            <w:r w:rsidRPr="00F1554B">
              <w:rPr>
                <w:rFonts w:asciiTheme="majorHAnsi" w:hAnsiTheme="majorHAnsi"/>
                <w:sz w:val="18"/>
                <w:szCs w:val="18"/>
                <w:u w:val="single"/>
              </w:rPr>
              <w:t>Current Carbon Value (tonnes) – savannah grassland</w:t>
            </w:r>
          </w:p>
        </w:tc>
        <w:tc>
          <w:tcPr>
            <w:tcW w:w="2214" w:type="dxa"/>
          </w:tcPr>
          <w:p w14:paraId="115049FD" w14:textId="77777777" w:rsidR="008C0BCC" w:rsidRPr="00F1554B" w:rsidRDefault="008C0BCC" w:rsidP="00D32FA2">
            <w:pPr>
              <w:jc w:val="center"/>
              <w:rPr>
                <w:rFonts w:asciiTheme="majorHAnsi" w:hAnsiTheme="majorHAnsi"/>
                <w:sz w:val="18"/>
                <w:szCs w:val="18"/>
                <w:u w:val="single"/>
              </w:rPr>
            </w:pPr>
            <w:r w:rsidRPr="00F1554B">
              <w:rPr>
                <w:rFonts w:asciiTheme="majorHAnsi" w:hAnsiTheme="majorHAnsi"/>
                <w:sz w:val="18"/>
                <w:szCs w:val="18"/>
              </w:rPr>
              <w:t>156-203</w:t>
            </w:r>
          </w:p>
        </w:tc>
        <w:tc>
          <w:tcPr>
            <w:tcW w:w="2214" w:type="dxa"/>
          </w:tcPr>
          <w:p w14:paraId="50331D84" w14:textId="77777777" w:rsidR="008C0BCC" w:rsidRPr="00AA66B5" w:rsidRDefault="008C0BCC" w:rsidP="00D32FA2">
            <w:pPr>
              <w:jc w:val="center"/>
              <w:rPr>
                <w:rFonts w:asciiTheme="majorHAnsi" w:hAnsiTheme="majorHAnsi"/>
                <w:sz w:val="18"/>
                <w:szCs w:val="18"/>
              </w:rPr>
            </w:pPr>
            <w:r w:rsidRPr="00AA66B5">
              <w:rPr>
                <w:rFonts w:asciiTheme="majorHAnsi" w:hAnsiTheme="majorHAnsi"/>
                <w:sz w:val="18"/>
                <w:szCs w:val="18"/>
              </w:rPr>
              <w:t>156,000-203,000</w:t>
            </w:r>
          </w:p>
        </w:tc>
      </w:tr>
      <w:tr w:rsidR="008C0BCC" w14:paraId="055DCCFC" w14:textId="77777777" w:rsidTr="00D32FA2">
        <w:tc>
          <w:tcPr>
            <w:tcW w:w="2214" w:type="dxa"/>
          </w:tcPr>
          <w:p w14:paraId="2712FCE6" w14:textId="77777777" w:rsidR="008C0BCC" w:rsidRPr="00F1554B" w:rsidRDefault="008C0BCC" w:rsidP="00D32FA2">
            <w:pPr>
              <w:jc w:val="center"/>
              <w:rPr>
                <w:rFonts w:asciiTheme="majorHAnsi" w:hAnsiTheme="majorHAnsi"/>
                <w:sz w:val="18"/>
                <w:szCs w:val="18"/>
                <w:u w:val="single"/>
              </w:rPr>
            </w:pPr>
            <w:r w:rsidRPr="00F1554B">
              <w:rPr>
                <w:rFonts w:asciiTheme="majorHAnsi" w:hAnsiTheme="majorHAnsi"/>
                <w:sz w:val="18"/>
                <w:szCs w:val="18"/>
                <w:u w:val="single"/>
              </w:rPr>
              <w:t>Projected Carbon value in 30 years (tonnes) – converted to forest cover of 85%</w:t>
            </w:r>
          </w:p>
        </w:tc>
        <w:tc>
          <w:tcPr>
            <w:tcW w:w="2214" w:type="dxa"/>
          </w:tcPr>
          <w:p w14:paraId="1E7CD082" w14:textId="77777777" w:rsidR="008C0BCC" w:rsidRPr="00F1554B" w:rsidRDefault="008C0BCC" w:rsidP="00D32FA2">
            <w:pPr>
              <w:jc w:val="center"/>
              <w:rPr>
                <w:rFonts w:asciiTheme="majorHAnsi" w:hAnsiTheme="majorHAnsi"/>
                <w:sz w:val="18"/>
                <w:szCs w:val="18"/>
              </w:rPr>
            </w:pPr>
            <w:r w:rsidRPr="00F1554B">
              <w:rPr>
                <w:rFonts w:asciiTheme="majorHAnsi" w:hAnsiTheme="majorHAnsi"/>
                <w:sz w:val="18"/>
                <w:szCs w:val="18"/>
              </w:rPr>
              <w:t>375-437</w:t>
            </w:r>
          </w:p>
        </w:tc>
        <w:tc>
          <w:tcPr>
            <w:tcW w:w="2214" w:type="dxa"/>
          </w:tcPr>
          <w:p w14:paraId="3557D39C" w14:textId="77777777" w:rsidR="008C0BCC" w:rsidRPr="00AA66B5" w:rsidRDefault="008C0BCC" w:rsidP="00D32FA2">
            <w:pPr>
              <w:jc w:val="center"/>
              <w:rPr>
                <w:rFonts w:asciiTheme="majorHAnsi" w:hAnsiTheme="majorHAnsi"/>
                <w:sz w:val="18"/>
                <w:szCs w:val="18"/>
              </w:rPr>
            </w:pPr>
            <w:r w:rsidRPr="00AA66B5">
              <w:rPr>
                <w:rFonts w:asciiTheme="majorHAnsi" w:hAnsiTheme="majorHAnsi"/>
                <w:sz w:val="18"/>
                <w:szCs w:val="18"/>
              </w:rPr>
              <w:t>375,000-437,000</w:t>
            </w:r>
          </w:p>
        </w:tc>
      </w:tr>
      <w:tr w:rsidR="008C0BCC" w14:paraId="69717C69" w14:textId="77777777" w:rsidTr="00D32FA2">
        <w:tc>
          <w:tcPr>
            <w:tcW w:w="2214" w:type="dxa"/>
          </w:tcPr>
          <w:p w14:paraId="7A8D93B2" w14:textId="77777777" w:rsidR="008C0BCC" w:rsidRPr="00F1554B" w:rsidRDefault="008C0BCC" w:rsidP="00D32FA2">
            <w:pPr>
              <w:jc w:val="center"/>
              <w:rPr>
                <w:rFonts w:asciiTheme="majorHAnsi" w:hAnsiTheme="majorHAnsi"/>
                <w:sz w:val="18"/>
                <w:szCs w:val="18"/>
                <w:u w:val="single"/>
              </w:rPr>
            </w:pPr>
            <w:r w:rsidRPr="00F1554B">
              <w:rPr>
                <w:rFonts w:asciiTheme="majorHAnsi" w:hAnsiTheme="majorHAnsi"/>
                <w:sz w:val="18"/>
                <w:szCs w:val="18"/>
                <w:u w:val="single"/>
              </w:rPr>
              <w:t>Project Carbon sequestration in 30 years (tonnes) – conversion from savannah to forest cover of 85%</w:t>
            </w:r>
          </w:p>
        </w:tc>
        <w:tc>
          <w:tcPr>
            <w:tcW w:w="2214" w:type="dxa"/>
          </w:tcPr>
          <w:p w14:paraId="2467FDB1" w14:textId="77777777" w:rsidR="008C0BCC" w:rsidRPr="00AA66B5" w:rsidRDefault="008C0BCC" w:rsidP="00D32FA2">
            <w:pPr>
              <w:jc w:val="center"/>
              <w:rPr>
                <w:rFonts w:asciiTheme="majorHAnsi" w:hAnsiTheme="majorHAnsi"/>
                <w:b/>
                <w:sz w:val="18"/>
                <w:szCs w:val="18"/>
              </w:rPr>
            </w:pPr>
            <w:r w:rsidRPr="00AA66B5">
              <w:rPr>
                <w:rFonts w:asciiTheme="majorHAnsi" w:hAnsiTheme="majorHAnsi"/>
                <w:b/>
                <w:sz w:val="18"/>
                <w:szCs w:val="18"/>
              </w:rPr>
              <w:t>219-234</w:t>
            </w:r>
          </w:p>
        </w:tc>
        <w:tc>
          <w:tcPr>
            <w:tcW w:w="2214" w:type="dxa"/>
          </w:tcPr>
          <w:p w14:paraId="447C23AD" w14:textId="77777777" w:rsidR="008C0BCC" w:rsidRPr="00AA66B5" w:rsidRDefault="008C0BCC" w:rsidP="00D32FA2">
            <w:pPr>
              <w:jc w:val="center"/>
              <w:rPr>
                <w:rFonts w:asciiTheme="majorHAnsi" w:hAnsiTheme="majorHAnsi"/>
                <w:b/>
                <w:sz w:val="18"/>
                <w:szCs w:val="18"/>
              </w:rPr>
            </w:pPr>
            <w:r w:rsidRPr="00AA66B5">
              <w:rPr>
                <w:rFonts w:asciiTheme="majorHAnsi" w:hAnsiTheme="majorHAnsi"/>
                <w:b/>
                <w:sz w:val="18"/>
                <w:szCs w:val="18"/>
              </w:rPr>
              <w:t>219,000-234,000</w:t>
            </w:r>
          </w:p>
        </w:tc>
      </w:tr>
      <w:tr w:rsidR="008C0BCC" w14:paraId="2F94DC98" w14:textId="77777777" w:rsidTr="00D32FA2">
        <w:tc>
          <w:tcPr>
            <w:tcW w:w="2214" w:type="dxa"/>
          </w:tcPr>
          <w:p w14:paraId="41BEBCCF" w14:textId="77777777" w:rsidR="008C0BCC" w:rsidRPr="00F1554B" w:rsidRDefault="008C0BCC" w:rsidP="00D32FA2">
            <w:pPr>
              <w:jc w:val="center"/>
              <w:rPr>
                <w:rFonts w:asciiTheme="majorHAnsi" w:hAnsiTheme="majorHAnsi"/>
                <w:sz w:val="18"/>
                <w:szCs w:val="18"/>
                <w:u w:val="single"/>
              </w:rPr>
            </w:pPr>
            <w:r>
              <w:rPr>
                <w:rFonts w:asciiTheme="majorHAnsi" w:hAnsiTheme="majorHAnsi"/>
                <w:sz w:val="18"/>
                <w:szCs w:val="18"/>
                <w:u w:val="single"/>
              </w:rPr>
              <w:t xml:space="preserve">Total Tonnes </w:t>
            </w:r>
            <w:r>
              <w:rPr>
                <w:rFonts w:asciiTheme="majorHAnsi" w:hAnsiTheme="majorHAnsi"/>
                <w:b/>
                <w:sz w:val="18"/>
                <w:szCs w:val="18"/>
              </w:rPr>
              <w:t xml:space="preserve">CO2 sequestration </w:t>
            </w:r>
            <w:r w:rsidRPr="00F05AF4">
              <w:rPr>
                <w:rFonts w:asciiTheme="majorHAnsi" w:hAnsiTheme="majorHAnsi"/>
                <w:sz w:val="18"/>
                <w:szCs w:val="18"/>
              </w:rPr>
              <w:t>(x3.67 conversion)</w:t>
            </w:r>
          </w:p>
        </w:tc>
        <w:tc>
          <w:tcPr>
            <w:tcW w:w="4428" w:type="dxa"/>
            <w:gridSpan w:val="2"/>
          </w:tcPr>
          <w:p w14:paraId="4D5E23EB" w14:textId="77777777" w:rsidR="008C0BCC" w:rsidRPr="00AA66B5" w:rsidRDefault="008C0BCC" w:rsidP="00D32FA2">
            <w:pPr>
              <w:jc w:val="right"/>
              <w:rPr>
                <w:rFonts w:asciiTheme="majorHAnsi" w:hAnsiTheme="majorHAnsi"/>
                <w:b/>
                <w:sz w:val="18"/>
                <w:szCs w:val="18"/>
              </w:rPr>
            </w:pPr>
            <w:r>
              <w:rPr>
                <w:rFonts w:asciiTheme="majorHAnsi" w:hAnsiTheme="majorHAnsi"/>
                <w:b/>
                <w:sz w:val="18"/>
                <w:szCs w:val="18"/>
              </w:rPr>
              <w:t>803,730 – 858,780</w:t>
            </w:r>
          </w:p>
        </w:tc>
      </w:tr>
    </w:tbl>
    <w:p w14:paraId="7CDF6E1C" w14:textId="77777777" w:rsidR="008C0BCC" w:rsidRDefault="008C0BCC" w:rsidP="008C0BCC">
      <w:pPr>
        <w:rPr>
          <w:rFonts w:asciiTheme="majorHAnsi" w:hAnsiTheme="majorHAnsi"/>
          <w:sz w:val="20"/>
          <w:szCs w:val="20"/>
          <w:u w:val="single"/>
        </w:rPr>
      </w:pPr>
    </w:p>
    <w:p w14:paraId="22901F89" w14:textId="77777777" w:rsidR="008C0BCC" w:rsidRDefault="008C0BCC" w:rsidP="008C0BCC">
      <w:pPr>
        <w:rPr>
          <w:rFonts w:asciiTheme="majorHAnsi" w:hAnsiTheme="majorHAnsi"/>
          <w:b/>
          <w:sz w:val="20"/>
          <w:szCs w:val="20"/>
        </w:rPr>
      </w:pPr>
    </w:p>
    <w:p w14:paraId="0E168BE3" w14:textId="77777777" w:rsidR="008C0BCC" w:rsidRDefault="008C0BCC" w:rsidP="008C0BCC">
      <w:pPr>
        <w:rPr>
          <w:rFonts w:asciiTheme="majorHAnsi" w:hAnsiTheme="majorHAnsi"/>
          <w:b/>
          <w:sz w:val="20"/>
          <w:szCs w:val="20"/>
        </w:rPr>
      </w:pPr>
    </w:p>
    <w:p w14:paraId="12013106" w14:textId="77777777" w:rsidR="008C0BCC" w:rsidRDefault="008C0BCC" w:rsidP="008C0BCC">
      <w:pPr>
        <w:rPr>
          <w:rFonts w:asciiTheme="majorHAnsi" w:hAnsiTheme="majorHAnsi"/>
          <w:b/>
          <w:sz w:val="20"/>
          <w:szCs w:val="20"/>
        </w:rPr>
      </w:pPr>
      <w:r>
        <w:rPr>
          <w:rFonts w:asciiTheme="majorHAnsi" w:hAnsiTheme="majorHAnsi"/>
          <w:b/>
          <w:sz w:val="20"/>
          <w:szCs w:val="20"/>
        </w:rPr>
        <w:t>Conclusions</w:t>
      </w:r>
    </w:p>
    <w:p w14:paraId="52C27770" w14:textId="77777777" w:rsidR="008C0BCC" w:rsidRDefault="008C0BCC" w:rsidP="008C0BCC">
      <w:pPr>
        <w:rPr>
          <w:rFonts w:asciiTheme="majorHAnsi" w:hAnsiTheme="majorHAnsi"/>
          <w:b/>
          <w:sz w:val="20"/>
          <w:szCs w:val="20"/>
        </w:rPr>
      </w:pPr>
    </w:p>
    <w:p w14:paraId="096CEFBD" w14:textId="77777777" w:rsidR="008C0BCC" w:rsidRDefault="008C0BCC" w:rsidP="008C0BCC">
      <w:pPr>
        <w:rPr>
          <w:rFonts w:asciiTheme="majorHAnsi" w:hAnsiTheme="majorHAnsi"/>
          <w:sz w:val="20"/>
          <w:szCs w:val="20"/>
        </w:rPr>
      </w:pPr>
      <w:r w:rsidRPr="00AA66B5">
        <w:rPr>
          <w:rFonts w:asciiTheme="majorHAnsi" w:hAnsiTheme="majorHAnsi"/>
          <w:sz w:val="20"/>
          <w:szCs w:val="20"/>
        </w:rPr>
        <w:t>The total amount of avoided carbon from the protection of 14,000 ha of HCVFs and 1,000 ha of mangrove forests is estimated at ~</w:t>
      </w:r>
      <w:r>
        <w:rPr>
          <w:rFonts w:asciiTheme="majorHAnsi" w:hAnsiTheme="majorHAnsi"/>
          <w:sz w:val="20"/>
          <w:szCs w:val="20"/>
        </w:rPr>
        <w:t>2.46 – 3.09 million tCO</w:t>
      </w:r>
      <w:r w:rsidRPr="00FA1662">
        <w:rPr>
          <w:rFonts w:asciiTheme="majorHAnsi" w:hAnsiTheme="majorHAnsi"/>
          <w:sz w:val="20"/>
          <w:szCs w:val="20"/>
          <w:vertAlign w:val="subscript"/>
        </w:rPr>
        <w:t>2</w:t>
      </w:r>
      <w:r>
        <w:rPr>
          <w:rFonts w:asciiTheme="majorHAnsi" w:hAnsiTheme="majorHAnsi"/>
          <w:sz w:val="20"/>
          <w:szCs w:val="20"/>
        </w:rPr>
        <w:t xml:space="preserve"> </w:t>
      </w:r>
      <w:r w:rsidRPr="00AA66B5">
        <w:rPr>
          <w:rFonts w:asciiTheme="majorHAnsi" w:hAnsiTheme="majorHAnsi"/>
          <w:sz w:val="20"/>
          <w:szCs w:val="20"/>
        </w:rPr>
        <w:t xml:space="preserve">over a 30 year period and the </w:t>
      </w:r>
      <w:r>
        <w:rPr>
          <w:rFonts w:asciiTheme="majorHAnsi" w:hAnsiTheme="majorHAnsi"/>
          <w:sz w:val="20"/>
          <w:szCs w:val="20"/>
        </w:rPr>
        <w:t xml:space="preserve">amount of carbon sequestrated through the restoration of 1,000 ha of savannah grasslands is estimated at </w:t>
      </w:r>
      <w:r w:rsidRPr="00AA66B5">
        <w:rPr>
          <w:rFonts w:asciiTheme="majorHAnsi" w:hAnsiTheme="majorHAnsi"/>
          <w:sz w:val="20"/>
          <w:szCs w:val="20"/>
        </w:rPr>
        <w:t>~</w:t>
      </w:r>
      <w:r>
        <w:rPr>
          <w:rFonts w:asciiTheme="majorHAnsi" w:hAnsiTheme="majorHAnsi"/>
          <w:sz w:val="20"/>
          <w:szCs w:val="20"/>
        </w:rPr>
        <w:t>0.804 – 0.859 -m tCO</w:t>
      </w:r>
      <w:r w:rsidRPr="00FA1662">
        <w:rPr>
          <w:rFonts w:asciiTheme="majorHAnsi" w:hAnsiTheme="majorHAnsi"/>
          <w:sz w:val="20"/>
          <w:szCs w:val="20"/>
          <w:vertAlign w:val="subscript"/>
        </w:rPr>
        <w:t>2</w:t>
      </w:r>
      <w:r>
        <w:rPr>
          <w:rFonts w:asciiTheme="majorHAnsi" w:hAnsiTheme="majorHAnsi"/>
          <w:sz w:val="20"/>
          <w:szCs w:val="20"/>
        </w:rPr>
        <w:t xml:space="preserve"> over a 30-year period.</w:t>
      </w:r>
    </w:p>
    <w:p w14:paraId="3335D64A" w14:textId="77777777" w:rsidR="008C0BCC" w:rsidRDefault="008C0BCC" w:rsidP="008C0BCC">
      <w:pPr>
        <w:rPr>
          <w:rFonts w:asciiTheme="majorHAnsi" w:hAnsiTheme="majorHAnsi"/>
          <w:sz w:val="20"/>
          <w:szCs w:val="20"/>
        </w:rPr>
      </w:pPr>
    </w:p>
    <w:p w14:paraId="336AAA4D" w14:textId="77777777" w:rsidR="008C0BCC" w:rsidRPr="00AA66B5" w:rsidRDefault="008C0BCC" w:rsidP="008C0BCC">
      <w:pPr>
        <w:rPr>
          <w:rFonts w:asciiTheme="majorHAnsi" w:hAnsiTheme="majorHAnsi"/>
          <w:sz w:val="20"/>
          <w:szCs w:val="20"/>
        </w:rPr>
      </w:pPr>
      <w:r>
        <w:rPr>
          <w:rFonts w:asciiTheme="majorHAnsi" w:hAnsiTheme="majorHAnsi"/>
          <w:sz w:val="20"/>
          <w:szCs w:val="20"/>
        </w:rPr>
        <w:t xml:space="preserve">The total carbon gain from the project is estimated at </w:t>
      </w:r>
      <w:r w:rsidRPr="00AA66B5">
        <w:rPr>
          <w:rFonts w:asciiTheme="majorHAnsi" w:hAnsiTheme="majorHAnsi"/>
          <w:sz w:val="20"/>
          <w:szCs w:val="20"/>
        </w:rPr>
        <w:t>~</w:t>
      </w:r>
      <w:r>
        <w:rPr>
          <w:rFonts w:asciiTheme="majorHAnsi" w:hAnsiTheme="majorHAnsi"/>
          <w:sz w:val="20"/>
          <w:szCs w:val="20"/>
        </w:rPr>
        <w:t>3.264 -3.68 m tCO</w:t>
      </w:r>
      <w:r w:rsidRPr="00FA1662">
        <w:rPr>
          <w:rFonts w:asciiTheme="majorHAnsi" w:hAnsiTheme="majorHAnsi"/>
          <w:sz w:val="20"/>
          <w:szCs w:val="20"/>
          <w:vertAlign w:val="subscript"/>
        </w:rPr>
        <w:t>2</w:t>
      </w:r>
      <w:r>
        <w:rPr>
          <w:rFonts w:asciiTheme="majorHAnsi" w:hAnsiTheme="majorHAnsi"/>
          <w:sz w:val="20"/>
          <w:szCs w:val="20"/>
        </w:rPr>
        <w:t xml:space="preserve"> of carbon over a 30-year period.</w:t>
      </w:r>
    </w:p>
    <w:p w14:paraId="1E142883" w14:textId="77777777" w:rsidR="008C0BCC" w:rsidRPr="00AA66B5" w:rsidRDefault="008C0BCC" w:rsidP="008C0BCC">
      <w:pPr>
        <w:rPr>
          <w:rFonts w:asciiTheme="majorHAnsi" w:hAnsiTheme="majorHAnsi"/>
          <w:sz w:val="20"/>
          <w:szCs w:val="20"/>
        </w:rPr>
      </w:pPr>
    </w:p>
    <w:p w14:paraId="1D42F31A" w14:textId="77777777" w:rsidR="008C0BCC" w:rsidRPr="008C0BCC" w:rsidRDefault="008C0BCC" w:rsidP="008C0BCC">
      <w:pPr>
        <w:spacing w:after="0"/>
        <w:jc w:val="center"/>
        <w:rPr>
          <w:rFonts w:cs="Calibri"/>
          <w:b/>
          <w:sz w:val="20"/>
          <w:szCs w:val="20"/>
          <w:lang w:val="en-GB"/>
        </w:rPr>
      </w:pPr>
    </w:p>
    <w:p w14:paraId="6B3DECFE" w14:textId="0A424E66" w:rsidR="00415B14" w:rsidRPr="0003763F" w:rsidRDefault="00415B14" w:rsidP="00415B14">
      <w:pPr>
        <w:rPr>
          <w:b/>
          <w:szCs w:val="20"/>
        </w:rPr>
      </w:pPr>
    </w:p>
    <w:p w14:paraId="0BE49B81" w14:textId="4FA69996" w:rsidR="00415B14" w:rsidRDefault="00415B14" w:rsidP="003B2A79">
      <w:pPr>
        <w:rPr>
          <w:b/>
          <w:szCs w:val="20"/>
        </w:rPr>
      </w:pPr>
    </w:p>
    <w:p w14:paraId="491CAD73" w14:textId="417414DD" w:rsidR="00E54698" w:rsidRDefault="00E54698">
      <w:pPr>
        <w:spacing w:after="0"/>
        <w:jc w:val="left"/>
        <w:rPr>
          <w:b/>
          <w:szCs w:val="20"/>
        </w:rPr>
      </w:pPr>
      <w:r>
        <w:rPr>
          <w:b/>
          <w:szCs w:val="20"/>
        </w:rPr>
        <w:br w:type="page"/>
      </w:r>
    </w:p>
    <w:p w14:paraId="1D5139BB" w14:textId="07132580" w:rsidR="00285E4C" w:rsidRDefault="00E54698" w:rsidP="00225975">
      <w:pPr>
        <w:jc w:val="right"/>
        <w:rPr>
          <w:b/>
          <w:sz w:val="20"/>
          <w:szCs w:val="20"/>
        </w:rPr>
      </w:pPr>
      <w:r>
        <w:rPr>
          <w:b/>
          <w:sz w:val="20"/>
          <w:szCs w:val="20"/>
        </w:rPr>
        <w:t>Annex 16</w:t>
      </w:r>
    </w:p>
    <w:p w14:paraId="1AAFC1A0" w14:textId="12FAC17F" w:rsidR="00927EBB" w:rsidRDefault="00927EBB" w:rsidP="00225975">
      <w:pPr>
        <w:jc w:val="center"/>
        <w:rPr>
          <w:b/>
          <w:sz w:val="20"/>
          <w:szCs w:val="20"/>
        </w:rPr>
      </w:pPr>
      <w:r>
        <w:rPr>
          <w:b/>
          <w:sz w:val="20"/>
          <w:szCs w:val="20"/>
        </w:rPr>
        <w:t>Additional Information on Indicators and Monitoring</w:t>
      </w:r>
    </w:p>
    <w:p w14:paraId="00ECAECE" w14:textId="77777777" w:rsidR="00927EBB" w:rsidRDefault="00927EBB" w:rsidP="00225975">
      <w:pPr>
        <w:jc w:val="center"/>
        <w:rPr>
          <w:b/>
          <w:sz w:val="20"/>
          <w:szCs w:val="20"/>
        </w:rPr>
      </w:pPr>
    </w:p>
    <w:p w14:paraId="567FCE00" w14:textId="77777777" w:rsidR="00927EBB" w:rsidRPr="00225975" w:rsidRDefault="00927EBB" w:rsidP="00927EBB">
      <w:pPr>
        <w:spacing w:after="0"/>
        <w:rPr>
          <w:rFonts w:asciiTheme="majorHAnsi" w:hAnsiTheme="majorHAnsi"/>
          <w:sz w:val="20"/>
          <w:szCs w:val="20"/>
        </w:rPr>
      </w:pPr>
      <w:r w:rsidRPr="00225975">
        <w:rPr>
          <w:rFonts w:asciiTheme="majorHAnsi" w:hAnsiTheme="majorHAnsi"/>
          <w:sz w:val="20"/>
          <w:szCs w:val="20"/>
        </w:rPr>
        <w:t>Those indicators in the Results Framework that have been quantified come from standardized, regular monitoring programs or otherwise follow scientific protocols, and will be repeated within the timeframe of the project.</w:t>
      </w:r>
    </w:p>
    <w:p w14:paraId="000EC340" w14:textId="77777777" w:rsidR="00927EBB" w:rsidRPr="00225975" w:rsidRDefault="00927EBB" w:rsidP="00927EBB">
      <w:pPr>
        <w:spacing w:after="0"/>
        <w:rPr>
          <w:rFonts w:asciiTheme="majorHAnsi" w:hAnsiTheme="majorHAnsi"/>
          <w:b/>
          <w:sz w:val="20"/>
          <w:szCs w:val="20"/>
        </w:rPr>
      </w:pPr>
    </w:p>
    <w:p w14:paraId="51651B48" w14:textId="6C182DB4" w:rsidR="00927EBB" w:rsidRPr="00225975" w:rsidRDefault="00927EBB" w:rsidP="00927EBB">
      <w:pPr>
        <w:spacing w:after="0"/>
        <w:rPr>
          <w:rFonts w:asciiTheme="majorHAnsi" w:hAnsiTheme="majorHAnsi"/>
          <w:b/>
          <w:sz w:val="20"/>
          <w:szCs w:val="20"/>
        </w:rPr>
      </w:pPr>
      <w:r>
        <w:rPr>
          <w:rFonts w:asciiTheme="majorHAnsi" w:hAnsiTheme="majorHAnsi"/>
          <w:b/>
          <w:sz w:val="20"/>
          <w:szCs w:val="20"/>
        </w:rPr>
        <w:t xml:space="preserve">Mandatory </w:t>
      </w:r>
      <w:r w:rsidRPr="00225975">
        <w:rPr>
          <w:rFonts w:asciiTheme="majorHAnsi" w:hAnsiTheme="majorHAnsi"/>
          <w:b/>
          <w:sz w:val="20"/>
          <w:szCs w:val="20"/>
        </w:rPr>
        <w:t>Indicator 1.3.1</w:t>
      </w:r>
    </w:p>
    <w:p w14:paraId="2ED4795E" w14:textId="3022D74A" w:rsidR="00927EBB" w:rsidRPr="00225975" w:rsidRDefault="00927EBB" w:rsidP="00927EBB">
      <w:pPr>
        <w:spacing w:after="0"/>
        <w:rPr>
          <w:rFonts w:asciiTheme="majorHAnsi" w:hAnsiTheme="majorHAnsi"/>
          <w:sz w:val="20"/>
          <w:szCs w:val="20"/>
        </w:rPr>
      </w:pPr>
      <w:r w:rsidRPr="00225975">
        <w:rPr>
          <w:rFonts w:asciiTheme="majorHAnsi" w:hAnsiTheme="majorHAnsi"/>
          <w:sz w:val="20"/>
          <w:szCs w:val="20"/>
        </w:rPr>
        <w:t>Just over 115,000 hectares of near</w:t>
      </w:r>
      <w:r w:rsidR="00225975">
        <w:rPr>
          <w:rFonts w:asciiTheme="majorHAnsi" w:hAnsiTheme="majorHAnsi"/>
          <w:sz w:val="20"/>
          <w:szCs w:val="20"/>
        </w:rPr>
        <w:t xml:space="preserve"> </w:t>
      </w:r>
      <w:r w:rsidRPr="00225975">
        <w:rPr>
          <w:rFonts w:asciiTheme="majorHAnsi" w:hAnsiTheme="majorHAnsi"/>
          <w:sz w:val="20"/>
          <w:szCs w:val="20"/>
        </w:rPr>
        <w:t xml:space="preserve">shore marine and terrestrial areas in Babeldoab and the Southern Lagoon are protected and managed under the Palau Protected Areas Network and/or as a World Heritage Site. Membership in the PAN requires formal protection as well as minimum management standards, and is a crucial step towards achieving effective conservation. Square area is determined via GIS mapping through the national GIS database at PALARIS. </w:t>
      </w:r>
    </w:p>
    <w:p w14:paraId="2840D4F4" w14:textId="77777777" w:rsidR="00927EBB" w:rsidRPr="00225975" w:rsidRDefault="00927EBB" w:rsidP="00927EBB">
      <w:pPr>
        <w:spacing w:after="0"/>
        <w:rPr>
          <w:rFonts w:asciiTheme="majorHAnsi" w:hAnsiTheme="majorHAnsi"/>
          <w:sz w:val="20"/>
          <w:szCs w:val="20"/>
        </w:rPr>
      </w:pPr>
    </w:p>
    <w:p w14:paraId="5A366B42" w14:textId="769E46AD" w:rsidR="00927EBB" w:rsidRPr="00225975" w:rsidRDefault="00927EBB" w:rsidP="00927EBB">
      <w:pPr>
        <w:spacing w:after="0"/>
        <w:rPr>
          <w:rFonts w:asciiTheme="majorHAnsi" w:hAnsiTheme="majorHAnsi"/>
          <w:b/>
          <w:sz w:val="20"/>
          <w:szCs w:val="20"/>
        </w:rPr>
      </w:pPr>
      <w:r>
        <w:rPr>
          <w:rFonts w:asciiTheme="majorHAnsi" w:hAnsiTheme="majorHAnsi"/>
          <w:b/>
          <w:sz w:val="20"/>
          <w:szCs w:val="20"/>
        </w:rPr>
        <w:t xml:space="preserve">Mandatory </w:t>
      </w:r>
      <w:r w:rsidRPr="00225975">
        <w:rPr>
          <w:rFonts w:asciiTheme="majorHAnsi" w:hAnsiTheme="majorHAnsi"/>
          <w:b/>
          <w:sz w:val="20"/>
          <w:szCs w:val="20"/>
        </w:rPr>
        <w:t>Indicator 1.3.2</w:t>
      </w:r>
    </w:p>
    <w:p w14:paraId="74BD9BEA" w14:textId="77777777" w:rsidR="00927EBB" w:rsidRPr="00225975" w:rsidRDefault="00927EBB" w:rsidP="00927EBB">
      <w:pPr>
        <w:spacing w:after="0"/>
        <w:rPr>
          <w:rFonts w:asciiTheme="majorHAnsi" w:hAnsiTheme="majorHAnsi"/>
          <w:sz w:val="20"/>
          <w:szCs w:val="20"/>
        </w:rPr>
      </w:pPr>
      <w:r w:rsidRPr="00225975">
        <w:rPr>
          <w:rFonts w:asciiTheme="majorHAnsi" w:hAnsiTheme="majorHAnsi"/>
          <w:sz w:val="20"/>
          <w:szCs w:val="20"/>
        </w:rPr>
        <w:t xml:space="preserve">A full census was completed in Palau in 2015, which included the number of households in each state. There were 763 households in the 7 Babeldaob States to be engaged directly in the project plus Peleliu; plus there were an additional 3070 households in Koror. </w:t>
      </w:r>
    </w:p>
    <w:p w14:paraId="29135127" w14:textId="77777777" w:rsidR="00927EBB" w:rsidRPr="00225975" w:rsidRDefault="00927EBB" w:rsidP="00927EBB">
      <w:pPr>
        <w:spacing w:after="0"/>
        <w:rPr>
          <w:rFonts w:asciiTheme="majorHAnsi" w:hAnsiTheme="majorHAnsi"/>
          <w:sz w:val="20"/>
          <w:szCs w:val="20"/>
        </w:rPr>
      </w:pPr>
    </w:p>
    <w:p w14:paraId="651D036E" w14:textId="77777777" w:rsidR="00927EBB" w:rsidRPr="00225975" w:rsidRDefault="00927EBB" w:rsidP="00927EBB">
      <w:pPr>
        <w:spacing w:after="0"/>
        <w:rPr>
          <w:rFonts w:asciiTheme="majorHAnsi" w:hAnsiTheme="majorHAnsi"/>
          <w:sz w:val="20"/>
          <w:szCs w:val="20"/>
        </w:rPr>
      </w:pPr>
      <w:r w:rsidRPr="00225975">
        <w:rPr>
          <w:rFonts w:asciiTheme="majorHAnsi" w:hAnsiTheme="majorHAnsi"/>
          <w:sz w:val="20"/>
          <w:szCs w:val="20"/>
        </w:rPr>
        <w:t>In May 2017 as part of PPG activities the local consultant conducted surveys of each of the project states. One of the questions queried the number of individuals who had participated in biodiversity conservation, IAS management, of environmental capacity building activities in the previous year. Based on the number of youth and adults provided in answer to the question, the number of households engaged was estimated.</w:t>
      </w:r>
    </w:p>
    <w:p w14:paraId="251990FE" w14:textId="77777777" w:rsidR="00927EBB" w:rsidRPr="00225975" w:rsidRDefault="00927EBB" w:rsidP="00927EBB">
      <w:pPr>
        <w:spacing w:after="0"/>
        <w:rPr>
          <w:rFonts w:asciiTheme="majorHAnsi" w:hAnsiTheme="majorHAnsi"/>
          <w:b/>
          <w:sz w:val="20"/>
          <w:szCs w:val="20"/>
        </w:rPr>
      </w:pPr>
    </w:p>
    <w:p w14:paraId="60DC27AE" w14:textId="77777777" w:rsidR="00927EBB" w:rsidRPr="00225975" w:rsidRDefault="00927EBB" w:rsidP="00225975">
      <w:pPr>
        <w:spacing w:after="0"/>
        <w:rPr>
          <w:rFonts w:asciiTheme="majorHAnsi" w:hAnsiTheme="majorHAnsi"/>
          <w:b/>
          <w:sz w:val="20"/>
          <w:szCs w:val="20"/>
        </w:rPr>
      </w:pPr>
      <w:r w:rsidRPr="00225975">
        <w:rPr>
          <w:rFonts w:asciiTheme="majorHAnsi" w:hAnsiTheme="majorHAnsi"/>
          <w:b/>
          <w:sz w:val="20"/>
          <w:szCs w:val="20"/>
        </w:rPr>
        <w:t>Indicator 5</w:t>
      </w:r>
    </w:p>
    <w:p w14:paraId="78EB1C05" w14:textId="77777777" w:rsidR="00927EBB" w:rsidRPr="00225975" w:rsidRDefault="00927EBB" w:rsidP="00225975">
      <w:pPr>
        <w:spacing w:after="0"/>
        <w:rPr>
          <w:rFonts w:asciiTheme="majorHAnsi" w:hAnsiTheme="majorHAnsi"/>
          <w:sz w:val="20"/>
          <w:szCs w:val="20"/>
        </w:rPr>
      </w:pPr>
      <w:r w:rsidRPr="00225975">
        <w:rPr>
          <w:rFonts w:asciiTheme="majorHAnsi" w:hAnsiTheme="majorHAnsi"/>
          <w:sz w:val="20"/>
          <w:szCs w:val="20"/>
        </w:rPr>
        <w:t>Four different versions of standardized scorecards were used in May 2017 with a diverse array of stakeholders:</w:t>
      </w:r>
    </w:p>
    <w:p w14:paraId="6E9ED58A" w14:textId="5EA9CB8D" w:rsidR="00927EBB" w:rsidRPr="00225975" w:rsidRDefault="00927EBB" w:rsidP="00D17561">
      <w:pPr>
        <w:pStyle w:val="ListParagraph"/>
        <w:numPr>
          <w:ilvl w:val="0"/>
          <w:numId w:val="186"/>
        </w:numPr>
        <w:jc w:val="both"/>
        <w:rPr>
          <w:rFonts w:asciiTheme="majorHAnsi" w:hAnsiTheme="majorHAnsi"/>
          <w:sz w:val="20"/>
          <w:szCs w:val="20"/>
        </w:rPr>
      </w:pPr>
      <w:r w:rsidRPr="00927EBB">
        <w:rPr>
          <w:rFonts w:asciiTheme="majorHAnsi" w:hAnsiTheme="majorHAnsi"/>
          <w:sz w:val="20"/>
          <w:szCs w:val="20"/>
        </w:rPr>
        <w:t xml:space="preserve">The land/seascape </w:t>
      </w:r>
      <w:r w:rsidRPr="00225975">
        <w:rPr>
          <w:rFonts w:asciiTheme="majorHAnsi" w:hAnsiTheme="majorHAnsi"/>
          <w:sz w:val="20"/>
          <w:szCs w:val="20"/>
        </w:rPr>
        <w:t>planning scorecard was done at the national level during the National Gender Assessment and Capacity Scorecard workshop. 18 participants agreed by consensus on baseline and target scores.</w:t>
      </w:r>
    </w:p>
    <w:p w14:paraId="5E72F45C" w14:textId="5A318B29" w:rsidR="00927EBB" w:rsidRPr="00225975" w:rsidRDefault="00927EBB" w:rsidP="00D17561">
      <w:pPr>
        <w:pStyle w:val="ListParagraph"/>
        <w:numPr>
          <w:ilvl w:val="0"/>
          <w:numId w:val="186"/>
        </w:numPr>
        <w:jc w:val="both"/>
        <w:rPr>
          <w:rFonts w:asciiTheme="majorHAnsi" w:hAnsiTheme="majorHAnsi"/>
          <w:sz w:val="20"/>
          <w:szCs w:val="20"/>
        </w:rPr>
      </w:pPr>
      <w:r w:rsidRPr="00927EBB">
        <w:rPr>
          <w:rFonts w:asciiTheme="majorHAnsi" w:hAnsiTheme="majorHAnsi"/>
          <w:sz w:val="20"/>
          <w:szCs w:val="20"/>
        </w:rPr>
        <w:t>The land</w:t>
      </w:r>
      <w:r w:rsidRPr="00225975">
        <w:rPr>
          <w:rFonts w:asciiTheme="majorHAnsi" w:hAnsiTheme="majorHAnsi"/>
          <w:sz w:val="20"/>
          <w:szCs w:val="20"/>
        </w:rPr>
        <w:t>/seascape planning scorecard was done individually by each state during one-on-one meetings in May 2017. In some states only 1 person provided scores; in others as many as 8 individuals agreed on scores by consensus. Scores were then averaged for all states.</w:t>
      </w:r>
    </w:p>
    <w:p w14:paraId="7B15568B" w14:textId="77777777" w:rsidR="00927EBB" w:rsidRPr="00225975" w:rsidRDefault="00927EBB" w:rsidP="00D17561">
      <w:pPr>
        <w:pStyle w:val="ListParagraph"/>
        <w:numPr>
          <w:ilvl w:val="0"/>
          <w:numId w:val="186"/>
        </w:numPr>
        <w:jc w:val="both"/>
        <w:rPr>
          <w:rFonts w:asciiTheme="majorHAnsi" w:hAnsiTheme="majorHAnsi"/>
          <w:sz w:val="20"/>
          <w:szCs w:val="20"/>
        </w:rPr>
      </w:pPr>
      <w:r w:rsidRPr="00225975">
        <w:rPr>
          <w:rFonts w:asciiTheme="majorHAnsi" w:hAnsiTheme="majorHAnsi"/>
          <w:sz w:val="20"/>
          <w:szCs w:val="20"/>
        </w:rPr>
        <w:t>The National Environmental Management scorecard was assessed by the same group of 18 individuals at the National workshop in May 2017. This was a rapid assessment where participants looked at the scores developed in 2014 for the CB2 grant and agreed on new (or the same) scores.</w:t>
      </w:r>
    </w:p>
    <w:p w14:paraId="7CA60CA0" w14:textId="77777777" w:rsidR="00927EBB" w:rsidRPr="00225975" w:rsidRDefault="00927EBB" w:rsidP="00D17561">
      <w:pPr>
        <w:pStyle w:val="ListParagraph"/>
        <w:numPr>
          <w:ilvl w:val="0"/>
          <w:numId w:val="186"/>
        </w:numPr>
        <w:jc w:val="both"/>
        <w:rPr>
          <w:rFonts w:asciiTheme="majorHAnsi" w:hAnsiTheme="majorHAnsi"/>
          <w:sz w:val="20"/>
          <w:szCs w:val="20"/>
        </w:rPr>
      </w:pPr>
      <w:r w:rsidRPr="00225975">
        <w:rPr>
          <w:rFonts w:asciiTheme="majorHAnsi" w:hAnsiTheme="majorHAnsi"/>
          <w:sz w:val="20"/>
          <w:szCs w:val="20"/>
        </w:rPr>
        <w:t>A Biosecurity Scorecard was developed by using the National Environmental Management Scorecard and replacing “environmental management” with “IAS/Biosecurity management.” 5 members of the NISC agreed on scores by consensus as a meeting in May 2017.</w:t>
      </w:r>
    </w:p>
    <w:p w14:paraId="093F5954" w14:textId="77777777" w:rsidR="00927EBB" w:rsidRPr="00225975" w:rsidRDefault="00927EBB" w:rsidP="00927EBB">
      <w:pPr>
        <w:spacing w:after="0"/>
        <w:rPr>
          <w:rFonts w:asciiTheme="majorHAnsi" w:hAnsiTheme="majorHAnsi"/>
          <w:sz w:val="20"/>
          <w:szCs w:val="20"/>
        </w:rPr>
      </w:pPr>
    </w:p>
    <w:p w14:paraId="5E52A116" w14:textId="77777777" w:rsidR="00927EBB" w:rsidRPr="00225975" w:rsidRDefault="00927EBB" w:rsidP="00927EBB">
      <w:pPr>
        <w:spacing w:after="0"/>
        <w:rPr>
          <w:rFonts w:asciiTheme="majorHAnsi" w:hAnsiTheme="majorHAnsi"/>
          <w:b/>
          <w:sz w:val="20"/>
          <w:szCs w:val="20"/>
        </w:rPr>
      </w:pPr>
      <w:r w:rsidRPr="00225975">
        <w:rPr>
          <w:rFonts w:asciiTheme="majorHAnsi" w:hAnsiTheme="majorHAnsi"/>
          <w:b/>
          <w:sz w:val="20"/>
          <w:szCs w:val="20"/>
        </w:rPr>
        <w:t>Indicator 6</w:t>
      </w:r>
    </w:p>
    <w:p w14:paraId="22FAC454" w14:textId="77777777" w:rsidR="00927EBB" w:rsidRPr="00225975" w:rsidRDefault="00927EBB" w:rsidP="00927EBB">
      <w:pPr>
        <w:spacing w:after="0"/>
        <w:rPr>
          <w:rFonts w:asciiTheme="majorHAnsi" w:hAnsiTheme="majorHAnsi"/>
          <w:sz w:val="20"/>
          <w:szCs w:val="20"/>
        </w:rPr>
      </w:pPr>
      <w:r w:rsidRPr="00225975">
        <w:rPr>
          <w:rFonts w:asciiTheme="majorHAnsi" w:hAnsiTheme="majorHAnsi"/>
          <w:sz w:val="20"/>
          <w:szCs w:val="20"/>
        </w:rPr>
        <w:t>As required by law, EQPB tracks the number of permits issued, the number of EAs required, and the number of violations and Stop Work orders, among other data collected.</w:t>
      </w:r>
    </w:p>
    <w:p w14:paraId="094A7D3F" w14:textId="77777777" w:rsidR="00927EBB" w:rsidRPr="00225975" w:rsidRDefault="00927EBB" w:rsidP="00927EBB">
      <w:pPr>
        <w:spacing w:after="0"/>
        <w:rPr>
          <w:rFonts w:asciiTheme="majorHAnsi" w:hAnsiTheme="majorHAnsi"/>
          <w:b/>
          <w:sz w:val="20"/>
          <w:szCs w:val="20"/>
        </w:rPr>
      </w:pPr>
    </w:p>
    <w:p w14:paraId="09B38C3E" w14:textId="77777777" w:rsidR="00927EBB" w:rsidRPr="00225975" w:rsidRDefault="00927EBB" w:rsidP="00927EBB">
      <w:pPr>
        <w:spacing w:after="0"/>
        <w:rPr>
          <w:rFonts w:asciiTheme="majorHAnsi" w:hAnsiTheme="majorHAnsi"/>
          <w:b/>
          <w:sz w:val="20"/>
          <w:szCs w:val="20"/>
        </w:rPr>
      </w:pPr>
      <w:r w:rsidRPr="00225975">
        <w:rPr>
          <w:rFonts w:asciiTheme="majorHAnsi" w:hAnsiTheme="majorHAnsi"/>
          <w:b/>
          <w:sz w:val="20"/>
          <w:szCs w:val="20"/>
        </w:rPr>
        <w:t>Indicator 9</w:t>
      </w:r>
    </w:p>
    <w:p w14:paraId="4817DC66" w14:textId="77777777" w:rsidR="00927EBB" w:rsidRPr="00225975" w:rsidRDefault="00927EBB" w:rsidP="00927EBB">
      <w:pPr>
        <w:spacing w:after="0"/>
        <w:rPr>
          <w:rFonts w:asciiTheme="majorHAnsi" w:hAnsiTheme="majorHAnsi"/>
          <w:sz w:val="20"/>
          <w:szCs w:val="20"/>
        </w:rPr>
      </w:pPr>
      <w:r w:rsidRPr="00225975">
        <w:rPr>
          <w:rFonts w:asciiTheme="majorHAnsi" w:hAnsiTheme="majorHAnsi"/>
          <w:sz w:val="20"/>
          <w:szCs w:val="20"/>
        </w:rPr>
        <w:t>As reported in the 2017 State of the Environment Report, 12,500 hectares of forest were classified as “degraded” during a 2014 Forest Inventory and Analysis, conducted as a partnership between the Palau Division of Forestry and the US Forest Service (USFS). Data are publicly available via the USFS webpage. The forest survey is repeated approximately every 10 years (e.g. 2003 and 2014). PALARIS is also digitizing comprehensive land cover data collected in 2016 and 2017, including forest cover and status.</w:t>
      </w:r>
    </w:p>
    <w:p w14:paraId="566EFF88" w14:textId="77777777" w:rsidR="00927EBB" w:rsidRPr="00225975" w:rsidRDefault="00927EBB" w:rsidP="00927EBB">
      <w:pPr>
        <w:spacing w:after="0"/>
        <w:rPr>
          <w:rFonts w:asciiTheme="majorHAnsi" w:hAnsiTheme="majorHAnsi"/>
          <w:b/>
          <w:sz w:val="20"/>
          <w:szCs w:val="20"/>
        </w:rPr>
      </w:pPr>
    </w:p>
    <w:p w14:paraId="7B4DF35F" w14:textId="77777777" w:rsidR="00927EBB" w:rsidRPr="00225975" w:rsidRDefault="00927EBB" w:rsidP="00927EBB">
      <w:pPr>
        <w:spacing w:after="0"/>
        <w:rPr>
          <w:rFonts w:asciiTheme="majorHAnsi" w:hAnsiTheme="majorHAnsi"/>
          <w:b/>
          <w:sz w:val="20"/>
          <w:szCs w:val="20"/>
        </w:rPr>
      </w:pPr>
      <w:r w:rsidRPr="00225975">
        <w:rPr>
          <w:rFonts w:asciiTheme="majorHAnsi" w:hAnsiTheme="majorHAnsi"/>
          <w:b/>
          <w:sz w:val="20"/>
          <w:szCs w:val="20"/>
        </w:rPr>
        <w:t>Indicator 10</w:t>
      </w:r>
    </w:p>
    <w:p w14:paraId="787E8416" w14:textId="4EB7797B" w:rsidR="00927EBB" w:rsidRPr="00225975" w:rsidRDefault="00927EBB" w:rsidP="00225975">
      <w:pPr>
        <w:spacing w:after="0"/>
        <w:rPr>
          <w:rFonts w:asciiTheme="majorHAnsi" w:hAnsiTheme="majorHAnsi"/>
          <w:sz w:val="20"/>
          <w:szCs w:val="20"/>
        </w:rPr>
      </w:pPr>
      <w:r w:rsidRPr="00225975">
        <w:rPr>
          <w:rFonts w:asciiTheme="majorHAnsi" w:hAnsiTheme="majorHAnsi"/>
          <w:sz w:val="20"/>
          <w:szCs w:val="20"/>
        </w:rPr>
        <w:t>Birds are monitored annually as part of the National Program for Monitoring Forest and Coastal Birds, conducted by the Belau National Museum (a semi-government institution). The Program is mandated to produce an annual report with the results of monitoring. The Monitoring program operates via indicator species; the Micronesian Pigeon and Palau Fruit Dove are indicators of forest health</w:t>
      </w:r>
      <w:r w:rsidR="00194AA1">
        <w:rPr>
          <w:rFonts w:asciiTheme="majorHAnsi" w:hAnsiTheme="majorHAnsi"/>
          <w:sz w:val="20"/>
          <w:szCs w:val="20"/>
        </w:rPr>
        <w:t xml:space="preserve">. </w:t>
      </w:r>
      <w:r w:rsidRPr="00225975">
        <w:rPr>
          <w:rFonts w:asciiTheme="majorHAnsi" w:hAnsiTheme="majorHAnsi"/>
          <w:sz w:val="20"/>
          <w:szCs w:val="20"/>
        </w:rPr>
        <w:t>Peer-reviewed journal articles have arisen from the program</w:t>
      </w:r>
      <w:r>
        <w:rPr>
          <w:rStyle w:val="FootnoteReference"/>
          <w:szCs w:val="20"/>
        </w:rPr>
        <w:footnoteReference w:id="54"/>
      </w:r>
      <w:r>
        <w:rPr>
          <w:rFonts w:asciiTheme="majorHAnsi" w:hAnsiTheme="majorHAnsi"/>
          <w:sz w:val="20"/>
          <w:szCs w:val="20"/>
        </w:rPr>
        <w:t>,</w:t>
      </w:r>
      <w:r>
        <w:rPr>
          <w:rStyle w:val="FootnoteReference"/>
          <w:szCs w:val="20"/>
        </w:rPr>
        <w:footnoteReference w:id="55"/>
      </w:r>
      <w:r w:rsidRPr="00225975">
        <w:rPr>
          <w:rFonts w:asciiTheme="majorHAnsi" w:hAnsiTheme="majorHAnsi"/>
          <w:sz w:val="20"/>
          <w:szCs w:val="20"/>
        </w:rPr>
        <w:t>, which follows standard, scientifically valid methods</w:t>
      </w:r>
      <w:r w:rsidR="00194AA1">
        <w:rPr>
          <w:rFonts w:asciiTheme="majorHAnsi" w:hAnsiTheme="majorHAnsi"/>
          <w:sz w:val="20"/>
          <w:szCs w:val="20"/>
        </w:rPr>
        <w:t xml:space="preserve">. </w:t>
      </w:r>
      <w:r w:rsidRPr="00225975">
        <w:rPr>
          <w:rFonts w:asciiTheme="majorHAnsi" w:hAnsiTheme="majorHAnsi"/>
          <w:sz w:val="20"/>
          <w:szCs w:val="20"/>
        </w:rPr>
        <w:t>Population estimates of the Pigeon and Fruit Dove were taken from annual reports by the Belau National Museum (prepared by Dr. Alan Olsen) to the Protected Areas Network and Belau Watershed Alliance in 2014 and 2015.</w:t>
      </w:r>
    </w:p>
    <w:p w14:paraId="706716D5" w14:textId="77777777" w:rsidR="00927EBB" w:rsidRPr="00225975" w:rsidRDefault="00927EBB" w:rsidP="00225975">
      <w:pPr>
        <w:spacing w:after="0"/>
        <w:rPr>
          <w:rFonts w:asciiTheme="majorHAnsi" w:hAnsiTheme="majorHAnsi"/>
          <w:b/>
          <w:sz w:val="20"/>
          <w:szCs w:val="20"/>
        </w:rPr>
      </w:pPr>
    </w:p>
    <w:p w14:paraId="3DE3E828" w14:textId="77777777" w:rsidR="00927EBB" w:rsidRPr="00225975" w:rsidRDefault="00927EBB" w:rsidP="00225975">
      <w:pPr>
        <w:spacing w:after="0"/>
        <w:rPr>
          <w:rFonts w:asciiTheme="majorHAnsi" w:hAnsiTheme="majorHAnsi"/>
          <w:b/>
          <w:sz w:val="20"/>
          <w:szCs w:val="20"/>
        </w:rPr>
      </w:pPr>
      <w:r w:rsidRPr="00225975">
        <w:rPr>
          <w:rFonts w:asciiTheme="majorHAnsi" w:hAnsiTheme="majorHAnsi"/>
          <w:b/>
          <w:sz w:val="20"/>
          <w:szCs w:val="20"/>
        </w:rPr>
        <w:t>Indicators 12 and 13</w:t>
      </w:r>
    </w:p>
    <w:p w14:paraId="6B4E2D41" w14:textId="6988ECF7" w:rsidR="00927EBB" w:rsidRPr="00225975" w:rsidRDefault="00927EBB" w:rsidP="00225975">
      <w:pPr>
        <w:autoSpaceDE w:val="0"/>
        <w:autoSpaceDN w:val="0"/>
        <w:adjustRightInd w:val="0"/>
        <w:spacing w:after="0"/>
        <w:rPr>
          <w:rFonts w:asciiTheme="majorHAnsi" w:hAnsiTheme="majorHAnsi"/>
          <w:sz w:val="20"/>
          <w:szCs w:val="20"/>
        </w:rPr>
      </w:pPr>
      <w:r w:rsidRPr="00225975">
        <w:rPr>
          <w:rFonts w:asciiTheme="majorHAnsi" w:hAnsiTheme="majorHAnsi"/>
          <w:sz w:val="20"/>
          <w:szCs w:val="20"/>
        </w:rPr>
        <w:t>Marine sites are monitored every two years by the Palau International Coral Reef Center (PICRC), a semi-government autonomous institution that is mandated (and funded) to monitor the nation’s coral reefs. Data are analyzed every 2 years, or more frequently. Surveys are conducted at 23 permanent monitoring sites located around Palau within 3 coral reef habitats: outer reef, patch reef, and inner reef. Coral reef monitoring protocols are described in several published studies</w:t>
      </w:r>
      <w:r>
        <w:rPr>
          <w:rFonts w:asciiTheme="majorHAnsi" w:hAnsiTheme="majorHAnsi"/>
          <w:sz w:val="20"/>
          <w:szCs w:val="20"/>
        </w:rPr>
        <w:t>,</w:t>
      </w:r>
      <w:r>
        <w:rPr>
          <w:rStyle w:val="FootnoteReference"/>
          <w:szCs w:val="20"/>
        </w:rPr>
        <w:footnoteReference w:id="56"/>
      </w:r>
      <w:r w:rsidRPr="00225975">
        <w:rPr>
          <w:rFonts w:asciiTheme="majorHAnsi" w:hAnsiTheme="majorHAnsi" w:cs="Garamond"/>
          <w:sz w:val="20"/>
          <w:szCs w:val="20"/>
        </w:rPr>
        <w:t>.</w:t>
      </w:r>
      <w:r>
        <w:rPr>
          <w:rStyle w:val="FootnoteReference"/>
          <w:szCs w:val="20"/>
        </w:rPr>
        <w:footnoteReference w:id="57"/>
      </w:r>
      <w:r w:rsidRPr="00225975">
        <w:rPr>
          <w:rFonts w:asciiTheme="majorHAnsi" w:hAnsiTheme="majorHAnsi"/>
          <w:sz w:val="20"/>
          <w:szCs w:val="20"/>
        </w:rPr>
        <w:t xml:space="preserve"> </w:t>
      </w:r>
      <w:r>
        <w:rPr>
          <w:rStyle w:val="FootnoteReference"/>
          <w:szCs w:val="20"/>
        </w:rPr>
        <w:footnoteReference w:id="58"/>
      </w:r>
      <w:r w:rsidRPr="00225975">
        <w:rPr>
          <w:rFonts w:asciiTheme="majorHAnsi" w:hAnsiTheme="majorHAnsi"/>
          <w:sz w:val="20"/>
          <w:szCs w:val="20"/>
        </w:rPr>
        <w:t>At each site and depth (3 m and 10 m), five 50-m transects were haphazardly placed following the depth contour of the reef, leaving a few meters in between transects. Along each transect, data on benthic coverage (including live coral cover), fish abundance and size, and juvenile coral density and size are recorded</w:t>
      </w:r>
      <w:r w:rsidR="00194AA1">
        <w:rPr>
          <w:rFonts w:asciiTheme="majorHAnsi" w:hAnsiTheme="majorHAnsi"/>
          <w:sz w:val="20"/>
          <w:szCs w:val="20"/>
        </w:rPr>
        <w:t xml:space="preserve">. </w:t>
      </w:r>
      <w:r w:rsidRPr="00225975">
        <w:rPr>
          <w:rFonts w:asciiTheme="majorHAnsi" w:hAnsiTheme="majorHAnsi"/>
          <w:sz w:val="20"/>
          <w:szCs w:val="20"/>
        </w:rPr>
        <w:t>Biomass is then calculated from fish on a list of 40 resource sp</w:t>
      </w:r>
      <w:r w:rsidRPr="00927EBB">
        <w:rPr>
          <w:rFonts w:asciiTheme="majorHAnsi" w:hAnsiTheme="majorHAnsi"/>
          <w:sz w:val="20"/>
          <w:szCs w:val="20"/>
        </w:rPr>
        <w:t>ecies. Standing biomass in well</w:t>
      </w:r>
      <w:r>
        <w:rPr>
          <w:rFonts w:asciiTheme="majorHAnsi" w:hAnsiTheme="majorHAnsi"/>
          <w:sz w:val="20"/>
          <w:szCs w:val="20"/>
        </w:rPr>
        <w:t xml:space="preserve"> </w:t>
      </w:r>
      <w:r w:rsidRPr="00225975">
        <w:rPr>
          <w:rFonts w:asciiTheme="majorHAnsi" w:hAnsiTheme="majorHAnsi"/>
          <w:sz w:val="20"/>
          <w:szCs w:val="20"/>
        </w:rPr>
        <w:t>protected MPAs was defined as the expected “pristine” biomass in each individual location, which varies by location on the reef (outer/exposed reefs; inner and patch reefs/sheltered)</w:t>
      </w:r>
      <w:r w:rsidR="00194AA1">
        <w:rPr>
          <w:rFonts w:asciiTheme="majorHAnsi" w:hAnsiTheme="majorHAnsi"/>
          <w:sz w:val="20"/>
          <w:szCs w:val="20"/>
        </w:rPr>
        <w:t xml:space="preserve">. </w:t>
      </w:r>
      <w:r w:rsidRPr="00225975">
        <w:rPr>
          <w:rFonts w:asciiTheme="majorHAnsi" w:hAnsiTheme="majorHAnsi"/>
          <w:sz w:val="20"/>
          <w:szCs w:val="20"/>
        </w:rPr>
        <w:t xml:space="preserve">For Live Coral Cover, </w:t>
      </w:r>
      <w:r w:rsidRPr="00225975">
        <w:rPr>
          <w:rFonts w:asciiTheme="majorHAnsi" w:hAnsiTheme="majorHAnsi" w:cs="Garamond"/>
          <w:sz w:val="20"/>
          <w:szCs w:val="20"/>
        </w:rPr>
        <w:t>“High” was defined as having over 50% live coral cover based on historical data going back to pre-1998. “Medium” was defined as having between 25 and 50% live coral cover. “Low/Severely Degraded” was defined as having less than 10% live coral cover. The proportion of reefs nationwide was calculated using PICRC’s long-term coral reef monitoring data and extrapolated to areas that were not surveyed but had similar habitat type and exposure.</w:t>
      </w:r>
    </w:p>
    <w:p w14:paraId="312B17F1" w14:textId="77777777" w:rsidR="00927EBB" w:rsidRPr="00225975" w:rsidRDefault="00927EBB" w:rsidP="00225975">
      <w:pPr>
        <w:autoSpaceDE w:val="0"/>
        <w:autoSpaceDN w:val="0"/>
        <w:adjustRightInd w:val="0"/>
        <w:spacing w:after="0"/>
        <w:rPr>
          <w:rFonts w:asciiTheme="majorHAnsi" w:hAnsiTheme="majorHAnsi" w:cs="Garamond"/>
          <w:sz w:val="20"/>
          <w:szCs w:val="20"/>
        </w:rPr>
      </w:pPr>
    </w:p>
    <w:p w14:paraId="0FCF690E" w14:textId="2834BC03" w:rsidR="00DC71AF" w:rsidRDefault="00DC71AF">
      <w:pPr>
        <w:spacing w:after="0"/>
        <w:jc w:val="left"/>
        <w:rPr>
          <w:b/>
          <w:szCs w:val="20"/>
        </w:rPr>
      </w:pPr>
      <w:r>
        <w:rPr>
          <w:b/>
          <w:szCs w:val="20"/>
        </w:rPr>
        <w:br w:type="page"/>
      </w:r>
    </w:p>
    <w:p w14:paraId="0A1D7D49" w14:textId="285C03DB" w:rsidR="001F4492" w:rsidRDefault="00DC71AF" w:rsidP="00DC71AF">
      <w:pPr>
        <w:jc w:val="right"/>
        <w:rPr>
          <w:b/>
          <w:sz w:val="20"/>
          <w:szCs w:val="20"/>
        </w:rPr>
      </w:pPr>
      <w:r w:rsidRPr="00DC71AF">
        <w:rPr>
          <w:b/>
          <w:sz w:val="20"/>
          <w:szCs w:val="20"/>
        </w:rPr>
        <w:t>Annex 17</w:t>
      </w:r>
    </w:p>
    <w:p w14:paraId="6D0CB415" w14:textId="77777777" w:rsidR="00DC71AF" w:rsidRDefault="00DC71AF" w:rsidP="00DC71AF">
      <w:pPr>
        <w:jc w:val="right"/>
        <w:rPr>
          <w:b/>
          <w:sz w:val="20"/>
          <w:szCs w:val="20"/>
        </w:rPr>
      </w:pPr>
    </w:p>
    <w:p w14:paraId="7C63FA0A" w14:textId="77777777" w:rsidR="00DC71AF" w:rsidRPr="00DC71AF" w:rsidRDefault="00DC71AF" w:rsidP="00DC71AF">
      <w:pPr>
        <w:jc w:val="center"/>
        <w:rPr>
          <w:rFonts w:asciiTheme="majorHAnsi" w:hAnsiTheme="majorHAnsi"/>
          <w:b/>
          <w:sz w:val="20"/>
          <w:szCs w:val="20"/>
        </w:rPr>
      </w:pPr>
      <w:r w:rsidRPr="00DC71AF">
        <w:rPr>
          <w:rFonts w:asciiTheme="majorHAnsi" w:hAnsiTheme="majorHAnsi"/>
          <w:b/>
          <w:sz w:val="20"/>
          <w:szCs w:val="20"/>
        </w:rPr>
        <w:t>Assumptions and risks of the Project’s Theory of Change</w:t>
      </w:r>
    </w:p>
    <w:p w14:paraId="227C452D" w14:textId="77777777" w:rsidR="00DC71AF" w:rsidRDefault="00DC71AF" w:rsidP="00DC71AF">
      <w:pPr>
        <w:rPr>
          <w:rFonts w:asciiTheme="majorHAnsi" w:hAnsiTheme="majorHAnsi"/>
          <w:sz w:val="20"/>
          <w:szCs w:val="20"/>
        </w:rPr>
      </w:pPr>
    </w:p>
    <w:tbl>
      <w:tblPr>
        <w:tblStyle w:val="TableGrid"/>
        <w:tblW w:w="0" w:type="auto"/>
        <w:tblInd w:w="558" w:type="dxa"/>
        <w:tblLook w:val="04A0" w:firstRow="1" w:lastRow="0" w:firstColumn="1" w:lastColumn="0" w:noHBand="0" w:noVBand="1"/>
      </w:tblPr>
      <w:tblGrid>
        <w:gridCol w:w="990"/>
        <w:gridCol w:w="3780"/>
        <w:gridCol w:w="4680"/>
      </w:tblGrid>
      <w:tr w:rsidR="00DC71AF" w14:paraId="28EAAB75" w14:textId="77777777" w:rsidTr="00DC71AF">
        <w:tc>
          <w:tcPr>
            <w:tcW w:w="990" w:type="dxa"/>
          </w:tcPr>
          <w:p w14:paraId="1476866C" w14:textId="77777777" w:rsidR="00DC71AF" w:rsidRPr="00A5271C" w:rsidRDefault="00DC71AF" w:rsidP="008710B4">
            <w:pPr>
              <w:jc w:val="center"/>
              <w:rPr>
                <w:rFonts w:asciiTheme="majorHAnsi" w:hAnsiTheme="majorHAnsi"/>
                <w:b/>
                <w:sz w:val="18"/>
                <w:szCs w:val="18"/>
              </w:rPr>
            </w:pPr>
            <w:r w:rsidRPr="00A5271C">
              <w:rPr>
                <w:rFonts w:asciiTheme="majorHAnsi" w:hAnsiTheme="majorHAnsi"/>
                <w:b/>
                <w:sz w:val="18"/>
                <w:szCs w:val="18"/>
              </w:rPr>
              <w:t>Number</w:t>
            </w:r>
          </w:p>
        </w:tc>
        <w:tc>
          <w:tcPr>
            <w:tcW w:w="3780" w:type="dxa"/>
          </w:tcPr>
          <w:p w14:paraId="220FA41E" w14:textId="77777777" w:rsidR="00DC71AF" w:rsidRPr="00A5271C" w:rsidRDefault="00DC71AF" w:rsidP="008710B4">
            <w:pPr>
              <w:jc w:val="center"/>
              <w:rPr>
                <w:rFonts w:asciiTheme="majorHAnsi" w:hAnsiTheme="majorHAnsi"/>
                <w:b/>
                <w:sz w:val="18"/>
                <w:szCs w:val="18"/>
              </w:rPr>
            </w:pPr>
            <w:r w:rsidRPr="00A5271C">
              <w:rPr>
                <w:rFonts w:asciiTheme="majorHAnsi" w:hAnsiTheme="majorHAnsi"/>
                <w:b/>
                <w:sz w:val="18"/>
                <w:szCs w:val="18"/>
              </w:rPr>
              <w:t>Assumptions</w:t>
            </w:r>
          </w:p>
        </w:tc>
        <w:tc>
          <w:tcPr>
            <w:tcW w:w="4680" w:type="dxa"/>
          </w:tcPr>
          <w:p w14:paraId="4D17E64B" w14:textId="77777777" w:rsidR="00DC71AF" w:rsidRPr="00A5271C" w:rsidRDefault="00DC71AF" w:rsidP="008710B4">
            <w:pPr>
              <w:jc w:val="center"/>
              <w:rPr>
                <w:rFonts w:asciiTheme="majorHAnsi" w:hAnsiTheme="majorHAnsi"/>
                <w:b/>
                <w:sz w:val="18"/>
                <w:szCs w:val="18"/>
              </w:rPr>
            </w:pPr>
            <w:r w:rsidRPr="00A5271C">
              <w:rPr>
                <w:rFonts w:asciiTheme="majorHAnsi" w:hAnsiTheme="majorHAnsi"/>
                <w:b/>
                <w:sz w:val="18"/>
                <w:szCs w:val="18"/>
              </w:rPr>
              <w:t>Risks</w:t>
            </w:r>
          </w:p>
        </w:tc>
      </w:tr>
      <w:tr w:rsidR="00DC71AF" w14:paraId="7B30D485" w14:textId="77777777" w:rsidTr="00DC71AF">
        <w:tc>
          <w:tcPr>
            <w:tcW w:w="990" w:type="dxa"/>
          </w:tcPr>
          <w:p w14:paraId="4DC063AC" w14:textId="77777777" w:rsidR="00DC71AF" w:rsidRPr="00A5271C" w:rsidRDefault="00DC71AF" w:rsidP="008710B4">
            <w:pPr>
              <w:jc w:val="center"/>
              <w:rPr>
                <w:rFonts w:asciiTheme="majorHAnsi" w:hAnsiTheme="majorHAnsi"/>
                <w:sz w:val="18"/>
                <w:szCs w:val="18"/>
              </w:rPr>
            </w:pPr>
            <w:r>
              <w:rPr>
                <w:rFonts w:asciiTheme="majorHAnsi" w:hAnsiTheme="majorHAnsi"/>
                <w:sz w:val="18"/>
                <w:szCs w:val="18"/>
              </w:rPr>
              <w:t>1</w:t>
            </w:r>
          </w:p>
        </w:tc>
        <w:tc>
          <w:tcPr>
            <w:tcW w:w="3780" w:type="dxa"/>
          </w:tcPr>
          <w:p w14:paraId="68BC91DA" w14:textId="77777777" w:rsidR="00DC71AF" w:rsidRDefault="00DC71AF" w:rsidP="00DC71AF">
            <w:pPr>
              <w:jc w:val="left"/>
              <w:rPr>
                <w:rFonts w:asciiTheme="majorHAnsi" w:hAnsiTheme="majorHAnsi"/>
                <w:sz w:val="18"/>
                <w:szCs w:val="18"/>
              </w:rPr>
            </w:pPr>
            <w:r>
              <w:rPr>
                <w:rFonts w:asciiTheme="majorHAnsi" w:hAnsiTheme="majorHAnsi"/>
                <w:sz w:val="18"/>
                <w:szCs w:val="18"/>
              </w:rPr>
              <w:t>-National inter-sectoral and multi-stakeholder institutional coordination framework will have appropriate membership and government support to enable its effective functioning</w:t>
            </w:r>
          </w:p>
          <w:p w14:paraId="25344644" w14:textId="77777777" w:rsidR="00DC71AF" w:rsidRPr="00A5271C" w:rsidRDefault="00DC71AF" w:rsidP="00DC71AF">
            <w:pPr>
              <w:jc w:val="left"/>
              <w:rPr>
                <w:rFonts w:asciiTheme="majorHAnsi" w:hAnsiTheme="majorHAnsi"/>
                <w:sz w:val="18"/>
                <w:szCs w:val="18"/>
              </w:rPr>
            </w:pPr>
            <w:r>
              <w:rPr>
                <w:rFonts w:asciiTheme="majorHAnsi" w:hAnsiTheme="majorHAnsi"/>
                <w:sz w:val="18"/>
                <w:szCs w:val="18"/>
              </w:rPr>
              <w:t>-The institutional framework will contribute to facilitate coordination and integration of sector planning and programs, backed by the government willingness to adopt legislative, policy and institutional reforms</w:t>
            </w:r>
          </w:p>
        </w:tc>
        <w:tc>
          <w:tcPr>
            <w:tcW w:w="4680" w:type="dxa"/>
          </w:tcPr>
          <w:p w14:paraId="61787206" w14:textId="77777777" w:rsidR="00DC71AF" w:rsidRDefault="00DC71AF" w:rsidP="00DC71AF">
            <w:pPr>
              <w:jc w:val="left"/>
              <w:rPr>
                <w:rFonts w:asciiTheme="majorHAnsi" w:hAnsiTheme="majorHAnsi"/>
                <w:sz w:val="18"/>
                <w:szCs w:val="18"/>
              </w:rPr>
            </w:pPr>
            <w:r>
              <w:rPr>
                <w:rFonts w:asciiTheme="majorHAnsi" w:hAnsiTheme="majorHAnsi"/>
                <w:sz w:val="18"/>
                <w:szCs w:val="18"/>
              </w:rPr>
              <w:t>-Government funding support for appropriate funding of land/seascape planning approaches and NISSAP may be insufficient due to potential changes of national priorities or financial constraints</w:t>
            </w:r>
          </w:p>
          <w:p w14:paraId="64BB296B" w14:textId="1CED64F2" w:rsidR="00DC71AF" w:rsidRPr="00A5271C" w:rsidRDefault="00DC71AF" w:rsidP="00DC71AF">
            <w:pPr>
              <w:jc w:val="left"/>
              <w:rPr>
                <w:rFonts w:asciiTheme="majorHAnsi" w:hAnsiTheme="majorHAnsi"/>
                <w:sz w:val="18"/>
                <w:szCs w:val="18"/>
              </w:rPr>
            </w:pPr>
            <w:r>
              <w:rPr>
                <w:rFonts w:asciiTheme="majorHAnsi" w:hAnsiTheme="majorHAnsi"/>
                <w:sz w:val="18"/>
                <w:szCs w:val="18"/>
              </w:rPr>
              <w:t>-Stakeholders (agencies and sectors) may be unwilling to cooperate and exchange information due to other corporate priorities (e.g. tourism promotion or infrastructure development), challenging the potential to work collaboratively to support integrated planning approaches and the implementation of NISSAP and establishing comprehensive pre-border and bor</w:t>
            </w:r>
            <w:r w:rsidR="000607A4">
              <w:rPr>
                <w:rFonts w:asciiTheme="majorHAnsi" w:hAnsiTheme="majorHAnsi"/>
                <w:sz w:val="18"/>
                <w:szCs w:val="18"/>
              </w:rPr>
              <w:t>d</w:t>
            </w:r>
            <w:r>
              <w:rPr>
                <w:rFonts w:asciiTheme="majorHAnsi" w:hAnsiTheme="majorHAnsi"/>
                <w:sz w:val="18"/>
                <w:szCs w:val="18"/>
              </w:rPr>
              <w:t>e</w:t>
            </w:r>
            <w:r w:rsidR="000607A4">
              <w:rPr>
                <w:rFonts w:asciiTheme="majorHAnsi" w:hAnsiTheme="majorHAnsi"/>
                <w:sz w:val="18"/>
                <w:szCs w:val="18"/>
              </w:rPr>
              <w:t>r</w:t>
            </w:r>
            <w:r>
              <w:rPr>
                <w:rFonts w:asciiTheme="majorHAnsi" w:hAnsiTheme="majorHAnsi"/>
                <w:sz w:val="18"/>
                <w:szCs w:val="18"/>
              </w:rPr>
              <w:t xml:space="preserve"> security for IAS prevention and spread</w:t>
            </w:r>
          </w:p>
        </w:tc>
      </w:tr>
      <w:tr w:rsidR="00DC71AF" w14:paraId="6F707E17" w14:textId="77777777" w:rsidTr="00DC71AF">
        <w:tc>
          <w:tcPr>
            <w:tcW w:w="990" w:type="dxa"/>
          </w:tcPr>
          <w:p w14:paraId="1B55ECAD" w14:textId="77777777" w:rsidR="00DC71AF" w:rsidRPr="00A5271C" w:rsidRDefault="00DC71AF" w:rsidP="008710B4">
            <w:pPr>
              <w:jc w:val="center"/>
              <w:rPr>
                <w:rFonts w:asciiTheme="majorHAnsi" w:hAnsiTheme="majorHAnsi"/>
                <w:sz w:val="18"/>
                <w:szCs w:val="18"/>
              </w:rPr>
            </w:pPr>
            <w:r>
              <w:rPr>
                <w:rFonts w:asciiTheme="majorHAnsi" w:hAnsiTheme="majorHAnsi"/>
                <w:sz w:val="18"/>
                <w:szCs w:val="18"/>
              </w:rPr>
              <w:t>2</w:t>
            </w:r>
          </w:p>
        </w:tc>
        <w:tc>
          <w:tcPr>
            <w:tcW w:w="3780" w:type="dxa"/>
          </w:tcPr>
          <w:p w14:paraId="4A657426" w14:textId="5A465701" w:rsidR="00DC71AF" w:rsidRDefault="00DC71AF" w:rsidP="00DC71AF">
            <w:pPr>
              <w:jc w:val="left"/>
              <w:rPr>
                <w:rFonts w:asciiTheme="majorHAnsi" w:hAnsiTheme="majorHAnsi"/>
                <w:sz w:val="18"/>
                <w:szCs w:val="18"/>
              </w:rPr>
            </w:pPr>
            <w:r>
              <w:rPr>
                <w:rFonts w:asciiTheme="majorHAnsi" w:hAnsiTheme="majorHAnsi"/>
                <w:sz w:val="18"/>
                <w:szCs w:val="18"/>
              </w:rPr>
              <w:t>-There is Babeld</w:t>
            </w:r>
            <w:r w:rsidR="00AF0DC7">
              <w:rPr>
                <w:rFonts w:asciiTheme="majorHAnsi" w:hAnsiTheme="majorHAnsi"/>
                <w:sz w:val="18"/>
                <w:szCs w:val="18"/>
              </w:rPr>
              <w:t>ao</w:t>
            </w:r>
            <w:r>
              <w:rPr>
                <w:rFonts w:asciiTheme="majorHAnsi" w:hAnsiTheme="majorHAnsi"/>
                <w:sz w:val="18"/>
                <w:szCs w:val="18"/>
              </w:rPr>
              <w:t>b State governments recognition and willingness to provide staff and additional resources to plan and implement integrated land/seascape management and implement comprehensive strategy for IAS prevention and surveillance and develop EDRR capacity</w:t>
            </w:r>
          </w:p>
          <w:p w14:paraId="3125C4B3" w14:textId="77777777" w:rsidR="00DC71AF" w:rsidRPr="00A5271C" w:rsidRDefault="00DC71AF" w:rsidP="00DC71AF">
            <w:pPr>
              <w:jc w:val="left"/>
              <w:rPr>
                <w:rFonts w:asciiTheme="majorHAnsi" w:hAnsiTheme="majorHAnsi"/>
                <w:sz w:val="18"/>
                <w:szCs w:val="18"/>
              </w:rPr>
            </w:pPr>
            <w:r>
              <w:rPr>
                <w:rFonts w:asciiTheme="majorHAnsi" w:hAnsiTheme="majorHAnsi"/>
                <w:sz w:val="18"/>
                <w:szCs w:val="18"/>
              </w:rPr>
              <w:t xml:space="preserve">-State governments will provide adequate legislation, funding and oversight to enable implementation of best practices in agriculture, aquaculture, fisheries, forestry and tourism, including IAS control and management </w:t>
            </w:r>
          </w:p>
        </w:tc>
        <w:tc>
          <w:tcPr>
            <w:tcW w:w="4680" w:type="dxa"/>
          </w:tcPr>
          <w:p w14:paraId="10F7DA47" w14:textId="77777777" w:rsidR="00DC71AF" w:rsidRDefault="00DC71AF" w:rsidP="00DC71AF">
            <w:pPr>
              <w:jc w:val="left"/>
              <w:rPr>
                <w:rFonts w:asciiTheme="majorHAnsi" w:hAnsiTheme="majorHAnsi"/>
                <w:sz w:val="18"/>
                <w:szCs w:val="18"/>
              </w:rPr>
            </w:pPr>
            <w:r>
              <w:rPr>
                <w:rFonts w:asciiTheme="majorHAnsi" w:hAnsiTheme="majorHAnsi"/>
                <w:sz w:val="18"/>
                <w:szCs w:val="18"/>
              </w:rPr>
              <w:t>-Priority of State governments and local communities might shift if project benefits take long to manifest</w:t>
            </w:r>
          </w:p>
          <w:p w14:paraId="0F7D81B4" w14:textId="77777777" w:rsidR="00DC71AF" w:rsidRDefault="00DC71AF" w:rsidP="00DC71AF">
            <w:pPr>
              <w:jc w:val="left"/>
              <w:rPr>
                <w:rFonts w:asciiTheme="majorHAnsi" w:hAnsiTheme="majorHAnsi"/>
                <w:sz w:val="18"/>
                <w:szCs w:val="18"/>
              </w:rPr>
            </w:pPr>
            <w:r>
              <w:rPr>
                <w:rFonts w:asciiTheme="majorHAnsi" w:hAnsiTheme="majorHAnsi"/>
                <w:sz w:val="18"/>
                <w:szCs w:val="18"/>
              </w:rPr>
              <w:t>-State ownership of land and sea resources can complicate implementation of environmental assessment and management oversight</w:t>
            </w:r>
          </w:p>
          <w:p w14:paraId="5CE59ACC" w14:textId="77777777" w:rsidR="00DC71AF" w:rsidRPr="00A5271C" w:rsidRDefault="00DC71AF" w:rsidP="00DC71AF">
            <w:pPr>
              <w:jc w:val="left"/>
              <w:rPr>
                <w:rFonts w:asciiTheme="majorHAnsi" w:hAnsiTheme="majorHAnsi"/>
                <w:sz w:val="18"/>
                <w:szCs w:val="18"/>
              </w:rPr>
            </w:pPr>
            <w:r>
              <w:rPr>
                <w:rFonts w:asciiTheme="majorHAnsi" w:hAnsiTheme="majorHAnsi"/>
                <w:sz w:val="18"/>
                <w:szCs w:val="18"/>
              </w:rPr>
              <w:t>-The invasiveness of many terrestrial and marine species is unknown, making it difficult to determine exactly where efforts should be focused on in relation to IAS eradication</w:t>
            </w:r>
          </w:p>
        </w:tc>
      </w:tr>
      <w:tr w:rsidR="00DC71AF" w14:paraId="27E98ABD" w14:textId="77777777" w:rsidTr="00DC71AF">
        <w:tc>
          <w:tcPr>
            <w:tcW w:w="990" w:type="dxa"/>
          </w:tcPr>
          <w:p w14:paraId="49A22D78" w14:textId="77777777" w:rsidR="00DC71AF" w:rsidRPr="00A5271C" w:rsidRDefault="00DC71AF" w:rsidP="008710B4">
            <w:pPr>
              <w:jc w:val="center"/>
              <w:rPr>
                <w:rFonts w:asciiTheme="majorHAnsi" w:hAnsiTheme="majorHAnsi"/>
                <w:sz w:val="18"/>
                <w:szCs w:val="18"/>
              </w:rPr>
            </w:pPr>
            <w:r>
              <w:rPr>
                <w:rFonts w:asciiTheme="majorHAnsi" w:hAnsiTheme="majorHAnsi"/>
                <w:sz w:val="18"/>
                <w:szCs w:val="18"/>
              </w:rPr>
              <w:t>3</w:t>
            </w:r>
          </w:p>
        </w:tc>
        <w:tc>
          <w:tcPr>
            <w:tcW w:w="3780" w:type="dxa"/>
          </w:tcPr>
          <w:p w14:paraId="6DB72AD5" w14:textId="77777777" w:rsidR="00DC71AF" w:rsidRDefault="00DC71AF" w:rsidP="00DC71AF">
            <w:pPr>
              <w:jc w:val="left"/>
              <w:rPr>
                <w:rFonts w:asciiTheme="majorHAnsi" w:hAnsiTheme="majorHAnsi"/>
                <w:sz w:val="18"/>
                <w:szCs w:val="18"/>
              </w:rPr>
            </w:pPr>
            <w:r>
              <w:rPr>
                <w:rFonts w:asciiTheme="majorHAnsi" w:hAnsiTheme="majorHAnsi"/>
                <w:sz w:val="18"/>
                <w:szCs w:val="18"/>
              </w:rPr>
              <w:t>-Protection of marine ecosystems and their biodiversity will have the Government of Palau and State Government of Koror increase its efforts and commitment to ensure that tourism, aquaculture and fisheries activities are sustainable and low impact</w:t>
            </w:r>
          </w:p>
          <w:p w14:paraId="26F33035" w14:textId="77777777" w:rsidR="00DC71AF" w:rsidRPr="00A5271C" w:rsidRDefault="00DC71AF" w:rsidP="00DC71AF">
            <w:pPr>
              <w:jc w:val="left"/>
              <w:rPr>
                <w:rFonts w:asciiTheme="majorHAnsi" w:hAnsiTheme="majorHAnsi"/>
                <w:sz w:val="18"/>
                <w:szCs w:val="18"/>
              </w:rPr>
            </w:pPr>
            <w:r>
              <w:rPr>
                <w:rFonts w:asciiTheme="majorHAnsi" w:hAnsiTheme="majorHAnsi"/>
                <w:sz w:val="18"/>
                <w:szCs w:val="18"/>
              </w:rPr>
              <w:t xml:space="preserve">- Private sector entities are convinced that the health of critical coastal and marine ecosystems is critical to ensure that the benefits from the tourism sector are not compromised </w:t>
            </w:r>
          </w:p>
        </w:tc>
        <w:tc>
          <w:tcPr>
            <w:tcW w:w="4680" w:type="dxa"/>
          </w:tcPr>
          <w:p w14:paraId="5A8D1A6C" w14:textId="77777777" w:rsidR="00DC71AF" w:rsidRDefault="00DC71AF" w:rsidP="00DC71AF">
            <w:pPr>
              <w:jc w:val="left"/>
              <w:rPr>
                <w:rFonts w:asciiTheme="majorHAnsi" w:hAnsiTheme="majorHAnsi"/>
                <w:sz w:val="18"/>
                <w:szCs w:val="18"/>
              </w:rPr>
            </w:pPr>
            <w:r>
              <w:rPr>
                <w:rFonts w:asciiTheme="majorHAnsi" w:hAnsiTheme="majorHAnsi"/>
                <w:sz w:val="18"/>
                <w:szCs w:val="18"/>
              </w:rPr>
              <w:t>-Conflicts between national, state and community regarding management and access to natural resources and priority shifts may undermine integrated planning approaches</w:t>
            </w:r>
          </w:p>
          <w:p w14:paraId="723B91C6" w14:textId="77777777" w:rsidR="00DC71AF" w:rsidRDefault="00DC71AF" w:rsidP="00DC71AF">
            <w:pPr>
              <w:jc w:val="left"/>
              <w:rPr>
                <w:rFonts w:asciiTheme="majorHAnsi" w:hAnsiTheme="majorHAnsi"/>
                <w:sz w:val="18"/>
                <w:szCs w:val="18"/>
              </w:rPr>
            </w:pPr>
            <w:r>
              <w:rPr>
                <w:rFonts w:asciiTheme="majorHAnsi" w:hAnsiTheme="majorHAnsi"/>
                <w:sz w:val="18"/>
                <w:szCs w:val="18"/>
              </w:rPr>
              <w:t>-Natural disasters and climate derivers exacerbate degradation of marine and coastal systems and their attendant biodiversity</w:t>
            </w:r>
          </w:p>
          <w:p w14:paraId="72545263" w14:textId="77777777" w:rsidR="00DC71AF" w:rsidRPr="00A5271C" w:rsidRDefault="00DC71AF" w:rsidP="00DC71AF">
            <w:pPr>
              <w:jc w:val="left"/>
              <w:rPr>
                <w:rFonts w:asciiTheme="majorHAnsi" w:hAnsiTheme="majorHAnsi"/>
                <w:sz w:val="18"/>
                <w:szCs w:val="18"/>
              </w:rPr>
            </w:pPr>
            <w:r>
              <w:rPr>
                <w:rFonts w:asciiTheme="majorHAnsi" w:hAnsiTheme="majorHAnsi"/>
                <w:sz w:val="18"/>
                <w:szCs w:val="18"/>
              </w:rPr>
              <w:t>-Lack of understanding of the need for long-term commitment to ensure success in eradication of IAS and biosecurity might undermine any eradication successes</w:t>
            </w:r>
          </w:p>
        </w:tc>
      </w:tr>
      <w:tr w:rsidR="00DC71AF" w14:paraId="0C9D241B" w14:textId="77777777" w:rsidTr="00DC71AF">
        <w:tc>
          <w:tcPr>
            <w:tcW w:w="990" w:type="dxa"/>
          </w:tcPr>
          <w:p w14:paraId="457C485B" w14:textId="77777777" w:rsidR="00DC71AF" w:rsidRPr="00A5271C" w:rsidRDefault="00DC71AF" w:rsidP="008710B4">
            <w:pPr>
              <w:jc w:val="center"/>
              <w:rPr>
                <w:rFonts w:asciiTheme="majorHAnsi" w:hAnsiTheme="majorHAnsi"/>
                <w:sz w:val="18"/>
                <w:szCs w:val="18"/>
              </w:rPr>
            </w:pPr>
            <w:r>
              <w:rPr>
                <w:rFonts w:asciiTheme="majorHAnsi" w:hAnsiTheme="majorHAnsi"/>
                <w:sz w:val="18"/>
                <w:szCs w:val="18"/>
              </w:rPr>
              <w:t>4</w:t>
            </w:r>
          </w:p>
        </w:tc>
        <w:tc>
          <w:tcPr>
            <w:tcW w:w="3780" w:type="dxa"/>
          </w:tcPr>
          <w:p w14:paraId="4BF0A0C7" w14:textId="578498F4" w:rsidR="00DC71AF" w:rsidRDefault="00DC71AF" w:rsidP="00DC71AF">
            <w:pPr>
              <w:jc w:val="left"/>
              <w:rPr>
                <w:rFonts w:asciiTheme="majorHAnsi" w:hAnsiTheme="majorHAnsi"/>
                <w:sz w:val="18"/>
                <w:szCs w:val="18"/>
              </w:rPr>
            </w:pPr>
            <w:r>
              <w:rPr>
                <w:rFonts w:asciiTheme="majorHAnsi" w:hAnsiTheme="majorHAnsi"/>
                <w:sz w:val="18"/>
                <w:szCs w:val="18"/>
              </w:rPr>
              <w:t>-Gender and social inclusion plan followed and benefits distributed equ</w:t>
            </w:r>
            <w:r w:rsidR="006367A5">
              <w:rPr>
                <w:rFonts w:asciiTheme="majorHAnsi" w:hAnsiTheme="majorHAnsi"/>
                <w:sz w:val="18"/>
                <w:szCs w:val="18"/>
              </w:rPr>
              <w:t>itably</w:t>
            </w:r>
          </w:p>
          <w:p w14:paraId="6954C456" w14:textId="77777777" w:rsidR="00DC71AF" w:rsidRDefault="00DC71AF" w:rsidP="00DC71AF">
            <w:pPr>
              <w:jc w:val="left"/>
              <w:rPr>
                <w:rFonts w:asciiTheme="majorHAnsi" w:hAnsiTheme="majorHAnsi"/>
                <w:sz w:val="18"/>
                <w:szCs w:val="18"/>
              </w:rPr>
            </w:pPr>
            <w:r>
              <w:rPr>
                <w:rFonts w:asciiTheme="majorHAnsi" w:hAnsiTheme="majorHAnsi"/>
                <w:sz w:val="18"/>
                <w:szCs w:val="18"/>
              </w:rPr>
              <w:t>-Recognition that IAS impacts everyone at all levels will ensure that prevention and management efforts receive public and governments support, ensuring their continuance and maximizing their effectiveness</w:t>
            </w:r>
          </w:p>
          <w:p w14:paraId="73FD1378" w14:textId="77777777" w:rsidR="00DC71AF" w:rsidRPr="00A5271C" w:rsidRDefault="00DC71AF" w:rsidP="00DC71AF">
            <w:pPr>
              <w:jc w:val="left"/>
              <w:rPr>
                <w:rFonts w:asciiTheme="majorHAnsi" w:hAnsiTheme="majorHAnsi"/>
                <w:sz w:val="18"/>
                <w:szCs w:val="18"/>
              </w:rPr>
            </w:pPr>
            <w:r>
              <w:rPr>
                <w:rFonts w:asciiTheme="majorHAnsi" w:hAnsiTheme="majorHAnsi"/>
                <w:sz w:val="18"/>
                <w:szCs w:val="18"/>
              </w:rPr>
              <w:t>-Stakeholders responsible for hosting database systems, providing data and information are willing to collaborate and share information and resources openly</w:t>
            </w:r>
          </w:p>
        </w:tc>
        <w:tc>
          <w:tcPr>
            <w:tcW w:w="4680" w:type="dxa"/>
          </w:tcPr>
          <w:p w14:paraId="4EE0E8F1" w14:textId="77777777" w:rsidR="00DC71AF" w:rsidRDefault="00DC71AF" w:rsidP="00DC71AF">
            <w:pPr>
              <w:jc w:val="left"/>
              <w:rPr>
                <w:rFonts w:asciiTheme="majorHAnsi" w:hAnsiTheme="majorHAnsi"/>
                <w:sz w:val="18"/>
                <w:szCs w:val="18"/>
              </w:rPr>
            </w:pPr>
            <w:r>
              <w:rPr>
                <w:rFonts w:asciiTheme="majorHAnsi" w:hAnsiTheme="majorHAnsi"/>
                <w:sz w:val="18"/>
                <w:szCs w:val="18"/>
              </w:rPr>
              <w:t>-Actions among the assorted agencies and CBOs remain uncoordinated and their priorities may be different than the government’s priorities</w:t>
            </w:r>
          </w:p>
          <w:p w14:paraId="25553341" w14:textId="77777777" w:rsidR="00DC71AF" w:rsidRDefault="00DC71AF" w:rsidP="00DC71AF">
            <w:pPr>
              <w:jc w:val="left"/>
              <w:rPr>
                <w:rFonts w:asciiTheme="majorHAnsi" w:hAnsiTheme="majorHAnsi"/>
                <w:sz w:val="18"/>
                <w:szCs w:val="18"/>
              </w:rPr>
            </w:pPr>
            <w:r>
              <w:rPr>
                <w:rFonts w:asciiTheme="majorHAnsi" w:hAnsiTheme="majorHAnsi"/>
                <w:sz w:val="18"/>
                <w:szCs w:val="18"/>
              </w:rPr>
              <w:t>-Lack of commitment of resources, information and personnel may compromise on the effectiveness of the awareness effort</w:t>
            </w:r>
          </w:p>
          <w:p w14:paraId="509C05F3" w14:textId="77777777" w:rsidR="00DC71AF" w:rsidRPr="00A5271C" w:rsidRDefault="00DC71AF" w:rsidP="00DC71AF">
            <w:pPr>
              <w:jc w:val="left"/>
              <w:rPr>
                <w:rFonts w:asciiTheme="majorHAnsi" w:hAnsiTheme="majorHAnsi"/>
                <w:sz w:val="18"/>
                <w:szCs w:val="18"/>
              </w:rPr>
            </w:pPr>
            <w:r>
              <w:rPr>
                <w:rFonts w:asciiTheme="majorHAnsi" w:hAnsiTheme="majorHAnsi"/>
                <w:sz w:val="18"/>
                <w:szCs w:val="18"/>
              </w:rPr>
              <w:t>-Vulnerable groups are left out and continue using poor practices</w:t>
            </w:r>
          </w:p>
        </w:tc>
      </w:tr>
      <w:tr w:rsidR="00DC71AF" w14:paraId="5D964390" w14:textId="77777777" w:rsidTr="00DC71AF">
        <w:tc>
          <w:tcPr>
            <w:tcW w:w="990" w:type="dxa"/>
          </w:tcPr>
          <w:p w14:paraId="037ED7B6" w14:textId="77777777" w:rsidR="00DC71AF" w:rsidRPr="00A5271C" w:rsidRDefault="00DC71AF" w:rsidP="008710B4">
            <w:pPr>
              <w:jc w:val="center"/>
              <w:rPr>
                <w:rFonts w:asciiTheme="majorHAnsi" w:hAnsiTheme="majorHAnsi"/>
                <w:sz w:val="18"/>
                <w:szCs w:val="18"/>
              </w:rPr>
            </w:pPr>
            <w:r>
              <w:rPr>
                <w:rFonts w:asciiTheme="majorHAnsi" w:hAnsiTheme="majorHAnsi"/>
                <w:sz w:val="18"/>
                <w:szCs w:val="18"/>
              </w:rPr>
              <w:t>5</w:t>
            </w:r>
          </w:p>
        </w:tc>
        <w:tc>
          <w:tcPr>
            <w:tcW w:w="3780" w:type="dxa"/>
          </w:tcPr>
          <w:p w14:paraId="34260190" w14:textId="77777777" w:rsidR="00DC71AF" w:rsidRDefault="00DC71AF" w:rsidP="00DC71AF">
            <w:pPr>
              <w:jc w:val="left"/>
              <w:rPr>
                <w:rFonts w:asciiTheme="majorHAnsi" w:hAnsiTheme="majorHAnsi"/>
                <w:sz w:val="18"/>
                <w:szCs w:val="18"/>
              </w:rPr>
            </w:pPr>
            <w:r>
              <w:rPr>
                <w:rFonts w:asciiTheme="majorHAnsi" w:hAnsiTheme="majorHAnsi"/>
                <w:sz w:val="18"/>
                <w:szCs w:val="18"/>
              </w:rPr>
              <w:t>-National and international macroeconomic conditions remain stable</w:t>
            </w:r>
          </w:p>
          <w:p w14:paraId="3116BDBE" w14:textId="77777777" w:rsidR="00DC71AF" w:rsidRDefault="00DC71AF" w:rsidP="00DC71AF">
            <w:pPr>
              <w:jc w:val="left"/>
              <w:rPr>
                <w:rFonts w:asciiTheme="majorHAnsi" w:hAnsiTheme="majorHAnsi"/>
                <w:sz w:val="18"/>
                <w:szCs w:val="18"/>
              </w:rPr>
            </w:pPr>
            <w:r>
              <w:rPr>
                <w:rFonts w:asciiTheme="majorHAnsi" w:hAnsiTheme="majorHAnsi"/>
                <w:sz w:val="18"/>
                <w:szCs w:val="18"/>
              </w:rPr>
              <w:t>-Politicians, local communities, resort owners, importers and shipping agents recognize benefits of IAS prevention and control</w:t>
            </w:r>
          </w:p>
          <w:p w14:paraId="5079DFFD" w14:textId="77777777" w:rsidR="00DC71AF" w:rsidRPr="00A5271C" w:rsidRDefault="00DC71AF" w:rsidP="00DC71AF">
            <w:pPr>
              <w:jc w:val="left"/>
              <w:rPr>
                <w:rFonts w:asciiTheme="majorHAnsi" w:hAnsiTheme="majorHAnsi"/>
                <w:sz w:val="18"/>
                <w:szCs w:val="18"/>
              </w:rPr>
            </w:pPr>
            <w:r>
              <w:rPr>
                <w:rFonts w:asciiTheme="majorHAnsi" w:hAnsiTheme="majorHAnsi"/>
                <w:sz w:val="18"/>
                <w:szCs w:val="18"/>
              </w:rPr>
              <w:t>-Willingness of institutions to share responsibilities and work collaboratively</w:t>
            </w:r>
          </w:p>
        </w:tc>
        <w:tc>
          <w:tcPr>
            <w:tcW w:w="4680" w:type="dxa"/>
          </w:tcPr>
          <w:p w14:paraId="6E92CF10" w14:textId="77777777" w:rsidR="00DC71AF" w:rsidRDefault="00DC71AF" w:rsidP="00DC71AF">
            <w:pPr>
              <w:jc w:val="left"/>
              <w:rPr>
                <w:rFonts w:asciiTheme="majorHAnsi" w:hAnsiTheme="majorHAnsi"/>
                <w:sz w:val="18"/>
                <w:szCs w:val="18"/>
              </w:rPr>
            </w:pPr>
            <w:r>
              <w:rPr>
                <w:rFonts w:asciiTheme="majorHAnsi" w:hAnsiTheme="majorHAnsi"/>
                <w:sz w:val="18"/>
                <w:szCs w:val="18"/>
              </w:rPr>
              <w:t>-Lack of continuing political support for project actions on integrated land/seascape planning, interventions on biosecurity and continuing financial support for implementation of regulation and policies can set back achievement of long-term successes in biodiversity and natural ecosystems protection</w:t>
            </w:r>
          </w:p>
          <w:p w14:paraId="111E9712" w14:textId="77777777" w:rsidR="00DC71AF" w:rsidRPr="00A5271C" w:rsidRDefault="00DC71AF" w:rsidP="00DC71AF">
            <w:pPr>
              <w:jc w:val="left"/>
              <w:rPr>
                <w:rFonts w:asciiTheme="majorHAnsi" w:hAnsiTheme="majorHAnsi"/>
                <w:sz w:val="18"/>
                <w:szCs w:val="18"/>
              </w:rPr>
            </w:pPr>
            <w:r>
              <w:rPr>
                <w:rFonts w:asciiTheme="majorHAnsi" w:hAnsiTheme="majorHAnsi"/>
                <w:sz w:val="18"/>
                <w:szCs w:val="18"/>
              </w:rPr>
              <w:t>-Poor or lack of continuing commitment of budget and staffing resources, infrastructure and equipment for IAS surveillance and monitoring</w:t>
            </w:r>
          </w:p>
        </w:tc>
      </w:tr>
    </w:tbl>
    <w:p w14:paraId="1B658D6E" w14:textId="3C23B849" w:rsidR="00775F46" w:rsidRDefault="00775F46" w:rsidP="00DC71AF">
      <w:pPr>
        <w:jc w:val="center"/>
        <w:rPr>
          <w:b/>
          <w:sz w:val="20"/>
          <w:szCs w:val="20"/>
        </w:rPr>
      </w:pPr>
    </w:p>
    <w:p w14:paraId="41619240" w14:textId="77777777" w:rsidR="00775F46" w:rsidRDefault="00775F46">
      <w:pPr>
        <w:spacing w:after="0"/>
        <w:jc w:val="left"/>
        <w:rPr>
          <w:b/>
          <w:sz w:val="20"/>
          <w:szCs w:val="20"/>
        </w:rPr>
      </w:pPr>
      <w:r>
        <w:rPr>
          <w:b/>
          <w:sz w:val="20"/>
          <w:szCs w:val="20"/>
        </w:rPr>
        <w:br w:type="page"/>
      </w:r>
    </w:p>
    <w:p w14:paraId="3344EFDD" w14:textId="40840633" w:rsidR="00775F46" w:rsidRPr="00874815" w:rsidRDefault="00775F46" w:rsidP="00874815">
      <w:pPr>
        <w:pStyle w:val="ListParagraph"/>
        <w:ind w:left="810"/>
        <w:jc w:val="right"/>
        <w:rPr>
          <w:rFonts w:ascii="Calibri" w:hAnsi="Calibri"/>
          <w:b/>
          <w:sz w:val="20"/>
          <w:szCs w:val="20"/>
        </w:rPr>
      </w:pPr>
      <w:r>
        <w:rPr>
          <w:rFonts w:ascii="Calibri" w:hAnsi="Calibri"/>
          <w:b/>
          <w:sz w:val="20"/>
          <w:szCs w:val="20"/>
        </w:rPr>
        <w:t>Annex 18</w:t>
      </w:r>
    </w:p>
    <w:p w14:paraId="76B2B2D8" w14:textId="77777777" w:rsidR="00775F46" w:rsidRDefault="00775F46" w:rsidP="00874815">
      <w:pPr>
        <w:rPr>
          <w:sz w:val="20"/>
          <w:szCs w:val="20"/>
        </w:rPr>
      </w:pPr>
    </w:p>
    <w:p w14:paraId="573470E6" w14:textId="35E51880" w:rsidR="00775F46" w:rsidRDefault="00775F46" w:rsidP="00874815">
      <w:pPr>
        <w:jc w:val="center"/>
        <w:rPr>
          <w:sz w:val="20"/>
          <w:szCs w:val="20"/>
        </w:rPr>
      </w:pPr>
      <w:r w:rsidRPr="00874815">
        <w:rPr>
          <w:sz w:val="20"/>
          <w:szCs w:val="20"/>
        </w:rPr>
        <w:t xml:space="preserve">UNDP Project Quality Assurance Report </w:t>
      </w:r>
    </w:p>
    <w:p w14:paraId="1203411A" w14:textId="77777777" w:rsidR="00D17561" w:rsidRDefault="00775F46">
      <w:pPr>
        <w:spacing w:after="0"/>
        <w:jc w:val="left"/>
        <w:rPr>
          <w:sz w:val="20"/>
          <w:szCs w:val="20"/>
        </w:rPr>
      </w:pPr>
      <w:r>
        <w:rPr>
          <w:sz w:val="20"/>
          <w:szCs w:val="20"/>
        </w:rPr>
        <w:br w:type="page"/>
      </w:r>
    </w:p>
    <w:tbl>
      <w:tblPr>
        <w:tblpPr w:leftFromText="180" w:rightFromText="180" w:vertAnchor="text" w:tblpXSpec="right" w:tblpY="1"/>
        <w:tblOverlap w:val="never"/>
        <w:tblW w:w="10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0"/>
        <w:gridCol w:w="414"/>
        <w:gridCol w:w="36"/>
        <w:gridCol w:w="2353"/>
        <w:gridCol w:w="1944"/>
        <w:gridCol w:w="1944"/>
        <w:gridCol w:w="931"/>
        <w:gridCol w:w="496"/>
        <w:gridCol w:w="1046"/>
      </w:tblGrid>
      <w:tr w:rsidR="00D17561" w:rsidRPr="0094668E" w14:paraId="704CDC2C" w14:textId="77777777" w:rsidTr="00EB71A9">
        <w:trPr>
          <w:trHeight w:val="440"/>
          <w:tblHeader/>
        </w:trPr>
        <w:tc>
          <w:tcPr>
            <w:tcW w:w="10694" w:type="dxa"/>
            <w:gridSpan w:val="9"/>
            <w:shd w:val="clear" w:color="auto" w:fill="C2D69B"/>
            <w:vAlign w:val="center"/>
          </w:tcPr>
          <w:p w14:paraId="21E52F1B" w14:textId="77777777" w:rsidR="00D17561" w:rsidRPr="0094668E" w:rsidRDefault="00D17561" w:rsidP="00EB71A9">
            <w:pPr>
              <w:tabs>
                <w:tab w:val="left" w:pos="7020"/>
              </w:tabs>
              <w:spacing w:before="20" w:after="20"/>
              <w:jc w:val="center"/>
              <w:rPr>
                <w:b/>
                <w:smallCaps/>
                <w:sz w:val="48"/>
                <w:szCs w:val="20"/>
              </w:rPr>
            </w:pPr>
            <w:r w:rsidRPr="0094668E">
              <w:rPr>
                <w:b/>
                <w:smallCaps/>
                <w:sz w:val="48"/>
                <w:szCs w:val="20"/>
              </w:rPr>
              <w:t>Project QA Assessment: Design and Appraisal</w:t>
            </w:r>
          </w:p>
        </w:tc>
      </w:tr>
      <w:tr w:rsidR="00D17561" w:rsidRPr="0094668E" w14:paraId="7D807987" w14:textId="77777777" w:rsidTr="00EB71A9">
        <w:trPr>
          <w:trHeight w:val="440"/>
        </w:trPr>
        <w:tc>
          <w:tcPr>
            <w:tcW w:w="1980" w:type="dxa"/>
            <w:gridSpan w:val="3"/>
            <w:tcBorders>
              <w:right w:val="nil"/>
            </w:tcBorders>
            <w:shd w:val="clear" w:color="auto" w:fill="C2D69B"/>
            <w:vAlign w:val="center"/>
          </w:tcPr>
          <w:p w14:paraId="4FA77B1F" w14:textId="77777777" w:rsidR="00D17561" w:rsidRPr="0094668E" w:rsidRDefault="00D17561" w:rsidP="00EB71A9">
            <w:pPr>
              <w:tabs>
                <w:tab w:val="left" w:pos="7020"/>
              </w:tabs>
              <w:spacing w:before="20" w:after="20"/>
              <w:jc w:val="center"/>
              <w:rPr>
                <w:b/>
                <w:sz w:val="28"/>
                <w:szCs w:val="20"/>
              </w:rPr>
            </w:pPr>
            <w:r w:rsidRPr="0094668E">
              <w:rPr>
                <w:b/>
                <w:smallCaps/>
                <w:sz w:val="28"/>
                <w:szCs w:val="20"/>
              </w:rPr>
              <w:t xml:space="preserve">Overall Project </w:t>
            </w:r>
          </w:p>
        </w:tc>
        <w:tc>
          <w:tcPr>
            <w:tcW w:w="8714" w:type="dxa"/>
            <w:gridSpan w:val="6"/>
            <w:tcBorders>
              <w:left w:val="nil"/>
            </w:tcBorders>
            <w:shd w:val="clear" w:color="auto" w:fill="C2D69B"/>
            <w:vAlign w:val="center"/>
          </w:tcPr>
          <w:p w14:paraId="672B26E8" w14:textId="77777777" w:rsidR="00D17561" w:rsidRPr="0094668E" w:rsidRDefault="00D17561" w:rsidP="00EB71A9">
            <w:pPr>
              <w:tabs>
                <w:tab w:val="left" w:pos="7020"/>
              </w:tabs>
              <w:spacing w:before="20" w:after="20"/>
              <w:rPr>
                <w:b/>
                <w:sz w:val="18"/>
                <w:szCs w:val="20"/>
              </w:rPr>
            </w:pPr>
          </w:p>
        </w:tc>
      </w:tr>
      <w:tr w:rsidR="00D17561" w:rsidRPr="0094668E" w14:paraId="39B9F941" w14:textId="77777777" w:rsidTr="00EB71A9">
        <w:trPr>
          <w:trHeight w:val="503"/>
        </w:trPr>
        <w:tc>
          <w:tcPr>
            <w:tcW w:w="1944" w:type="dxa"/>
            <w:gridSpan w:val="2"/>
            <w:shd w:val="clear" w:color="auto" w:fill="auto"/>
            <w:vAlign w:val="center"/>
          </w:tcPr>
          <w:p w14:paraId="44C33BC9" w14:textId="77777777" w:rsidR="00D17561" w:rsidRPr="0094668E" w:rsidRDefault="00D17561" w:rsidP="00EB71A9">
            <w:pPr>
              <w:tabs>
                <w:tab w:val="left" w:pos="7020"/>
              </w:tabs>
              <w:spacing w:before="20" w:after="20"/>
              <w:jc w:val="center"/>
              <w:rPr>
                <w:b/>
                <w:smallCaps/>
                <w:sz w:val="18"/>
                <w:szCs w:val="20"/>
              </w:rPr>
            </w:pPr>
            <w:r w:rsidRPr="0094668E">
              <w:rPr>
                <w:b/>
                <w:smallCaps/>
                <w:sz w:val="18"/>
                <w:szCs w:val="20"/>
              </w:rPr>
              <w:t>Exemplary (5)</w:t>
            </w:r>
          </w:p>
          <w:p w14:paraId="10D95EB8" w14:textId="77777777" w:rsidR="00D17561" w:rsidRPr="0094668E" w:rsidRDefault="00D17561" w:rsidP="00EB71A9">
            <w:pPr>
              <w:tabs>
                <w:tab w:val="left" w:pos="7020"/>
              </w:tabs>
              <w:spacing w:before="20" w:after="20"/>
              <w:jc w:val="center"/>
              <w:rPr>
                <w:b/>
                <w:smallCaps/>
                <w:sz w:val="18"/>
                <w:szCs w:val="20"/>
              </w:rPr>
            </w:pPr>
            <w:r w:rsidRPr="0094668E">
              <w:rPr>
                <w:b/>
                <w:sz w:val="16"/>
                <w:szCs w:val="20"/>
              </w:rPr>
              <w:sym w:font="Wingdings" w:char="F0A5"/>
            </w:r>
            <w:r w:rsidRPr="0094668E">
              <w:rPr>
                <w:b/>
                <w:sz w:val="16"/>
                <w:szCs w:val="20"/>
              </w:rPr>
              <w:sym w:font="Wingdings" w:char="F0A5"/>
            </w:r>
            <w:r w:rsidRPr="0094668E">
              <w:rPr>
                <w:b/>
                <w:sz w:val="16"/>
                <w:szCs w:val="20"/>
              </w:rPr>
              <w:sym w:font="Wingdings" w:char="F0A5"/>
            </w:r>
            <w:r w:rsidRPr="0094668E">
              <w:rPr>
                <w:b/>
                <w:sz w:val="16"/>
                <w:szCs w:val="20"/>
              </w:rPr>
              <w:sym w:font="Wingdings" w:char="F0A5"/>
            </w:r>
            <w:r w:rsidRPr="0094668E">
              <w:rPr>
                <w:b/>
                <w:sz w:val="16"/>
                <w:szCs w:val="20"/>
              </w:rPr>
              <w:sym w:font="Wingdings" w:char="F0A5"/>
            </w:r>
          </w:p>
        </w:tc>
        <w:tc>
          <w:tcPr>
            <w:tcW w:w="2389" w:type="dxa"/>
            <w:gridSpan w:val="2"/>
            <w:shd w:val="clear" w:color="auto" w:fill="auto"/>
            <w:vAlign w:val="center"/>
          </w:tcPr>
          <w:p w14:paraId="7E13845E" w14:textId="77777777" w:rsidR="00D17561" w:rsidRPr="0094668E" w:rsidRDefault="00D17561" w:rsidP="00EB71A9">
            <w:pPr>
              <w:tabs>
                <w:tab w:val="left" w:pos="7020"/>
              </w:tabs>
              <w:spacing w:before="20" w:after="20"/>
              <w:jc w:val="center"/>
              <w:rPr>
                <w:b/>
                <w:smallCaps/>
                <w:sz w:val="18"/>
                <w:szCs w:val="20"/>
              </w:rPr>
            </w:pPr>
            <w:r w:rsidRPr="0094668E">
              <w:rPr>
                <w:b/>
                <w:smallCaps/>
                <w:sz w:val="18"/>
                <w:szCs w:val="20"/>
              </w:rPr>
              <w:t>Highly Satisfactory (4)</w:t>
            </w:r>
          </w:p>
          <w:p w14:paraId="4DCA0DF2" w14:textId="77777777" w:rsidR="00D17561" w:rsidRPr="0094668E" w:rsidRDefault="00D17561" w:rsidP="00EB71A9">
            <w:pPr>
              <w:tabs>
                <w:tab w:val="left" w:pos="7020"/>
              </w:tabs>
              <w:spacing w:before="20" w:after="20"/>
              <w:jc w:val="center"/>
              <w:rPr>
                <w:b/>
                <w:smallCaps/>
                <w:sz w:val="18"/>
                <w:szCs w:val="20"/>
              </w:rPr>
            </w:pPr>
            <w:r w:rsidRPr="0094668E">
              <w:rPr>
                <w:b/>
                <w:sz w:val="16"/>
                <w:szCs w:val="20"/>
              </w:rPr>
              <w:sym w:font="Wingdings" w:char="F0A5"/>
            </w:r>
            <w:r w:rsidRPr="0094668E">
              <w:rPr>
                <w:b/>
                <w:sz w:val="16"/>
                <w:szCs w:val="20"/>
              </w:rPr>
              <w:sym w:font="Wingdings" w:char="F0A5"/>
            </w:r>
            <w:r w:rsidRPr="0094668E">
              <w:rPr>
                <w:b/>
                <w:sz w:val="16"/>
                <w:szCs w:val="20"/>
              </w:rPr>
              <w:sym w:font="Wingdings" w:char="F0A5"/>
            </w:r>
            <w:r w:rsidRPr="0094668E">
              <w:rPr>
                <w:b/>
                <w:sz w:val="16"/>
                <w:szCs w:val="20"/>
              </w:rPr>
              <w:sym w:font="Wingdings" w:char="F0A5"/>
            </w:r>
            <w:r w:rsidRPr="0094668E">
              <w:rPr>
                <w:b/>
                <w:sz w:val="16"/>
                <w:szCs w:val="20"/>
              </w:rPr>
              <w:sym w:font="Wingdings" w:char="F0A1"/>
            </w:r>
          </w:p>
        </w:tc>
        <w:tc>
          <w:tcPr>
            <w:tcW w:w="1944" w:type="dxa"/>
            <w:shd w:val="clear" w:color="auto" w:fill="auto"/>
            <w:vAlign w:val="center"/>
          </w:tcPr>
          <w:p w14:paraId="5B85EA3C" w14:textId="77777777" w:rsidR="00D17561" w:rsidRPr="0094668E" w:rsidRDefault="00D17561" w:rsidP="00EB71A9">
            <w:pPr>
              <w:tabs>
                <w:tab w:val="left" w:pos="7020"/>
              </w:tabs>
              <w:spacing w:before="20" w:after="20"/>
              <w:jc w:val="center"/>
              <w:rPr>
                <w:b/>
                <w:smallCaps/>
                <w:sz w:val="18"/>
                <w:szCs w:val="20"/>
              </w:rPr>
            </w:pPr>
            <w:r w:rsidRPr="0094668E">
              <w:rPr>
                <w:b/>
                <w:smallCaps/>
                <w:sz w:val="18"/>
                <w:szCs w:val="20"/>
              </w:rPr>
              <w:t>Satisfactory (3)</w:t>
            </w:r>
          </w:p>
          <w:p w14:paraId="3B77DA29" w14:textId="77777777" w:rsidR="00D17561" w:rsidRPr="0094668E" w:rsidRDefault="00D17561" w:rsidP="00EB71A9">
            <w:pPr>
              <w:tabs>
                <w:tab w:val="left" w:pos="7020"/>
              </w:tabs>
              <w:spacing w:before="20" w:after="20"/>
              <w:jc w:val="center"/>
              <w:rPr>
                <w:b/>
                <w:smallCaps/>
                <w:sz w:val="18"/>
                <w:szCs w:val="20"/>
              </w:rPr>
            </w:pPr>
            <w:r w:rsidRPr="0094668E">
              <w:rPr>
                <w:b/>
                <w:sz w:val="16"/>
                <w:szCs w:val="20"/>
              </w:rPr>
              <w:sym w:font="Wingdings" w:char="F0A5"/>
            </w:r>
            <w:r w:rsidRPr="0094668E">
              <w:rPr>
                <w:b/>
                <w:sz w:val="16"/>
                <w:szCs w:val="20"/>
              </w:rPr>
              <w:sym w:font="Wingdings" w:char="F0A5"/>
            </w:r>
            <w:r w:rsidRPr="0094668E">
              <w:rPr>
                <w:b/>
                <w:sz w:val="16"/>
                <w:szCs w:val="20"/>
              </w:rPr>
              <w:sym w:font="Wingdings" w:char="F0A5"/>
            </w:r>
            <w:r w:rsidRPr="0094668E">
              <w:rPr>
                <w:b/>
                <w:sz w:val="16"/>
                <w:szCs w:val="20"/>
              </w:rPr>
              <w:sym w:font="Wingdings" w:char="F0A1"/>
            </w:r>
            <w:r w:rsidRPr="0094668E">
              <w:rPr>
                <w:b/>
                <w:sz w:val="16"/>
                <w:szCs w:val="20"/>
              </w:rPr>
              <w:sym w:font="Wingdings" w:char="F0A1"/>
            </w:r>
          </w:p>
        </w:tc>
        <w:tc>
          <w:tcPr>
            <w:tcW w:w="1944" w:type="dxa"/>
            <w:shd w:val="clear" w:color="auto" w:fill="auto"/>
            <w:vAlign w:val="center"/>
          </w:tcPr>
          <w:p w14:paraId="7FF932FA" w14:textId="77777777" w:rsidR="00D17561" w:rsidRPr="0094668E" w:rsidRDefault="00D17561" w:rsidP="00EB71A9">
            <w:pPr>
              <w:tabs>
                <w:tab w:val="left" w:pos="7020"/>
              </w:tabs>
              <w:spacing w:before="20" w:after="20"/>
              <w:jc w:val="center"/>
              <w:rPr>
                <w:b/>
                <w:smallCaps/>
                <w:sz w:val="18"/>
                <w:szCs w:val="20"/>
              </w:rPr>
            </w:pPr>
            <w:r w:rsidRPr="0094668E">
              <w:rPr>
                <w:b/>
                <w:smallCaps/>
                <w:sz w:val="18"/>
                <w:szCs w:val="20"/>
              </w:rPr>
              <w:t>Needs Improvement (2)</w:t>
            </w:r>
          </w:p>
          <w:p w14:paraId="1625AA18" w14:textId="77777777" w:rsidR="00D17561" w:rsidRPr="0094668E" w:rsidRDefault="00D17561" w:rsidP="00EB71A9">
            <w:pPr>
              <w:tabs>
                <w:tab w:val="left" w:pos="7020"/>
              </w:tabs>
              <w:spacing w:before="20" w:after="20"/>
              <w:jc w:val="center"/>
              <w:rPr>
                <w:b/>
                <w:smallCaps/>
                <w:sz w:val="18"/>
                <w:szCs w:val="20"/>
              </w:rPr>
            </w:pPr>
            <w:r w:rsidRPr="0094668E">
              <w:rPr>
                <w:b/>
                <w:sz w:val="16"/>
                <w:szCs w:val="20"/>
              </w:rPr>
              <w:sym w:font="Wingdings" w:char="F0A5"/>
            </w:r>
            <w:r w:rsidRPr="0094668E">
              <w:rPr>
                <w:b/>
                <w:sz w:val="16"/>
                <w:szCs w:val="20"/>
              </w:rPr>
              <w:sym w:font="Wingdings" w:char="F0A5"/>
            </w:r>
            <w:r w:rsidRPr="0094668E">
              <w:rPr>
                <w:b/>
                <w:sz w:val="16"/>
                <w:szCs w:val="20"/>
              </w:rPr>
              <w:sym w:font="Wingdings" w:char="F0A1"/>
            </w:r>
            <w:r w:rsidRPr="0094668E">
              <w:rPr>
                <w:b/>
                <w:sz w:val="16"/>
                <w:szCs w:val="20"/>
              </w:rPr>
              <w:sym w:font="Wingdings" w:char="F0A1"/>
            </w:r>
            <w:r w:rsidRPr="0094668E">
              <w:rPr>
                <w:b/>
                <w:sz w:val="16"/>
                <w:szCs w:val="20"/>
              </w:rPr>
              <w:sym w:font="Wingdings" w:char="F0A1"/>
            </w:r>
          </w:p>
        </w:tc>
        <w:tc>
          <w:tcPr>
            <w:tcW w:w="2473" w:type="dxa"/>
            <w:gridSpan w:val="3"/>
            <w:shd w:val="clear" w:color="auto" w:fill="auto"/>
            <w:vAlign w:val="center"/>
          </w:tcPr>
          <w:p w14:paraId="3DFB0534" w14:textId="77777777" w:rsidR="00D17561" w:rsidRPr="0094668E" w:rsidRDefault="00D17561" w:rsidP="00EB71A9">
            <w:pPr>
              <w:tabs>
                <w:tab w:val="left" w:pos="7020"/>
              </w:tabs>
              <w:spacing w:before="20" w:after="20"/>
              <w:jc w:val="center"/>
              <w:rPr>
                <w:b/>
                <w:smallCaps/>
                <w:sz w:val="18"/>
                <w:szCs w:val="20"/>
              </w:rPr>
            </w:pPr>
            <w:r w:rsidRPr="0094668E">
              <w:rPr>
                <w:b/>
                <w:smallCaps/>
                <w:sz w:val="18"/>
                <w:szCs w:val="20"/>
              </w:rPr>
              <w:t>Inadequate (1)</w:t>
            </w:r>
          </w:p>
          <w:p w14:paraId="6203755A" w14:textId="77777777" w:rsidR="00D17561" w:rsidRPr="0094668E" w:rsidRDefault="00D17561" w:rsidP="00EB71A9">
            <w:pPr>
              <w:tabs>
                <w:tab w:val="left" w:pos="7020"/>
              </w:tabs>
              <w:spacing w:before="20" w:after="20"/>
              <w:jc w:val="center"/>
              <w:rPr>
                <w:b/>
                <w:smallCaps/>
                <w:sz w:val="18"/>
                <w:szCs w:val="20"/>
              </w:rPr>
            </w:pPr>
            <w:r w:rsidRPr="0094668E">
              <w:rPr>
                <w:b/>
                <w:sz w:val="16"/>
                <w:szCs w:val="20"/>
              </w:rPr>
              <w:sym w:font="Wingdings" w:char="F0A5"/>
            </w:r>
            <w:r w:rsidRPr="0094668E">
              <w:rPr>
                <w:b/>
                <w:sz w:val="16"/>
                <w:szCs w:val="20"/>
              </w:rPr>
              <w:sym w:font="Wingdings" w:char="F0A1"/>
            </w:r>
            <w:r w:rsidRPr="0094668E">
              <w:rPr>
                <w:b/>
                <w:sz w:val="16"/>
                <w:szCs w:val="20"/>
              </w:rPr>
              <w:sym w:font="Wingdings" w:char="F0A1"/>
            </w:r>
            <w:r w:rsidRPr="0094668E">
              <w:rPr>
                <w:b/>
                <w:sz w:val="16"/>
                <w:szCs w:val="20"/>
              </w:rPr>
              <w:sym w:font="Wingdings" w:char="F0A1"/>
            </w:r>
            <w:r w:rsidRPr="0094668E">
              <w:rPr>
                <w:b/>
                <w:sz w:val="16"/>
                <w:szCs w:val="20"/>
              </w:rPr>
              <w:sym w:font="Wingdings" w:char="F0A1"/>
            </w:r>
          </w:p>
        </w:tc>
      </w:tr>
      <w:tr w:rsidR="00D17561" w:rsidRPr="0094668E" w14:paraId="4EBF2A21" w14:textId="77777777" w:rsidTr="00EB71A9">
        <w:trPr>
          <w:trHeight w:val="773"/>
        </w:trPr>
        <w:tc>
          <w:tcPr>
            <w:tcW w:w="1944" w:type="dxa"/>
            <w:gridSpan w:val="2"/>
            <w:tcBorders>
              <w:bottom w:val="single" w:sz="4" w:space="0" w:color="000000"/>
            </w:tcBorders>
            <w:shd w:val="clear" w:color="auto" w:fill="auto"/>
          </w:tcPr>
          <w:p w14:paraId="2E9BFA3F" w14:textId="77777777" w:rsidR="00D17561" w:rsidRPr="0094668E" w:rsidRDefault="00D17561" w:rsidP="00EB71A9">
            <w:pPr>
              <w:tabs>
                <w:tab w:val="left" w:pos="7020"/>
              </w:tabs>
              <w:spacing w:before="20" w:after="20"/>
              <w:rPr>
                <w:color w:val="000000"/>
                <w:sz w:val="18"/>
                <w:szCs w:val="20"/>
                <w:lang w:val="en-GB"/>
              </w:rPr>
            </w:pPr>
            <w:r w:rsidRPr="0094668E">
              <w:rPr>
                <w:sz w:val="18"/>
                <w:szCs w:val="20"/>
              </w:rPr>
              <w:t xml:space="preserve">At least four criteria are rated Exemplary, and all criteria are rated High or Exemplary. </w:t>
            </w:r>
          </w:p>
        </w:tc>
        <w:tc>
          <w:tcPr>
            <w:tcW w:w="2389" w:type="dxa"/>
            <w:gridSpan w:val="2"/>
            <w:tcBorders>
              <w:bottom w:val="single" w:sz="4" w:space="0" w:color="000000"/>
            </w:tcBorders>
            <w:shd w:val="clear" w:color="auto" w:fill="auto"/>
          </w:tcPr>
          <w:p w14:paraId="30DC0F3D" w14:textId="77777777" w:rsidR="00D17561" w:rsidRPr="0094668E" w:rsidRDefault="00D17561" w:rsidP="00EB71A9">
            <w:pPr>
              <w:tabs>
                <w:tab w:val="left" w:pos="7020"/>
              </w:tabs>
              <w:spacing w:before="20" w:after="20"/>
              <w:rPr>
                <w:color w:val="000000"/>
                <w:sz w:val="18"/>
                <w:szCs w:val="20"/>
                <w:lang w:val="en-GB"/>
              </w:rPr>
            </w:pPr>
            <w:r w:rsidRPr="0094668E">
              <w:rPr>
                <w:sz w:val="18"/>
                <w:szCs w:val="20"/>
              </w:rPr>
              <w:t xml:space="preserve">All criteria are rated Satisfactory or higher, and at least four criteria are rated High or Exemplary. </w:t>
            </w:r>
          </w:p>
        </w:tc>
        <w:tc>
          <w:tcPr>
            <w:tcW w:w="1944" w:type="dxa"/>
            <w:tcBorders>
              <w:bottom w:val="single" w:sz="4" w:space="0" w:color="000000"/>
            </w:tcBorders>
            <w:shd w:val="clear" w:color="auto" w:fill="auto"/>
          </w:tcPr>
          <w:p w14:paraId="05417486" w14:textId="77777777" w:rsidR="00D17561" w:rsidRPr="0094668E" w:rsidRDefault="00D17561" w:rsidP="00EB71A9">
            <w:pPr>
              <w:tabs>
                <w:tab w:val="left" w:pos="7020"/>
              </w:tabs>
              <w:spacing w:before="20" w:after="20"/>
              <w:rPr>
                <w:color w:val="000000"/>
                <w:sz w:val="18"/>
                <w:szCs w:val="20"/>
                <w:lang w:val="en-GB"/>
              </w:rPr>
            </w:pPr>
            <w:r w:rsidRPr="0094668E">
              <w:rPr>
                <w:sz w:val="18"/>
                <w:szCs w:val="20"/>
              </w:rPr>
              <w:t xml:space="preserve">At least six criteria are rated Satisfactory or higher, and only one may be rated Needs Improvement. The SES criterion must be rated Satisfactory or above.  </w:t>
            </w:r>
          </w:p>
        </w:tc>
        <w:tc>
          <w:tcPr>
            <w:tcW w:w="1944" w:type="dxa"/>
            <w:tcBorders>
              <w:bottom w:val="single" w:sz="4" w:space="0" w:color="000000"/>
            </w:tcBorders>
            <w:shd w:val="clear" w:color="auto" w:fill="auto"/>
          </w:tcPr>
          <w:p w14:paraId="3B1FF898" w14:textId="77777777" w:rsidR="00D17561" w:rsidRPr="0094668E" w:rsidRDefault="00D17561" w:rsidP="00EB71A9">
            <w:pPr>
              <w:tabs>
                <w:tab w:val="left" w:pos="7020"/>
              </w:tabs>
              <w:spacing w:before="20" w:after="20"/>
              <w:rPr>
                <w:color w:val="000000"/>
                <w:sz w:val="18"/>
                <w:szCs w:val="20"/>
                <w:lang w:val="en-GB"/>
              </w:rPr>
            </w:pPr>
            <w:r w:rsidRPr="0094668E">
              <w:rPr>
                <w:sz w:val="18"/>
                <w:szCs w:val="20"/>
              </w:rPr>
              <w:t>At least three criteria are rated Satisfactory or higher, and only four criteria may be rated Needs Improvement.</w:t>
            </w:r>
          </w:p>
        </w:tc>
        <w:tc>
          <w:tcPr>
            <w:tcW w:w="2473" w:type="dxa"/>
            <w:gridSpan w:val="3"/>
            <w:tcBorders>
              <w:bottom w:val="single" w:sz="4" w:space="0" w:color="000000"/>
            </w:tcBorders>
            <w:shd w:val="clear" w:color="auto" w:fill="auto"/>
          </w:tcPr>
          <w:p w14:paraId="5490B6BC" w14:textId="77777777" w:rsidR="00D17561" w:rsidRPr="0094668E" w:rsidRDefault="00D17561" w:rsidP="00EB71A9">
            <w:pPr>
              <w:tabs>
                <w:tab w:val="left" w:pos="7020"/>
              </w:tabs>
              <w:spacing w:before="20" w:after="20"/>
              <w:rPr>
                <w:color w:val="000000"/>
                <w:sz w:val="18"/>
                <w:szCs w:val="20"/>
                <w:lang w:val="en-GB"/>
              </w:rPr>
            </w:pPr>
            <w:r w:rsidRPr="0094668E">
              <w:rPr>
                <w:sz w:val="18"/>
                <w:szCs w:val="20"/>
              </w:rPr>
              <w:t xml:space="preserve">One or more criteria are rated Inadequate, or five or more criteria are rated Needs Improvement. </w:t>
            </w:r>
          </w:p>
        </w:tc>
      </w:tr>
      <w:tr w:rsidR="00D17561" w:rsidRPr="0094668E" w14:paraId="62B3DA9B" w14:textId="77777777" w:rsidTr="00EB71A9">
        <w:trPr>
          <w:trHeight w:val="387"/>
        </w:trPr>
        <w:tc>
          <w:tcPr>
            <w:tcW w:w="10694" w:type="dxa"/>
            <w:gridSpan w:val="9"/>
            <w:tcBorders>
              <w:bottom w:val="single" w:sz="4" w:space="0" w:color="000000"/>
            </w:tcBorders>
            <w:shd w:val="clear" w:color="auto" w:fill="D6E3BC"/>
            <w:vAlign w:val="center"/>
          </w:tcPr>
          <w:p w14:paraId="16C01A0B" w14:textId="77777777" w:rsidR="00D17561" w:rsidRPr="0094668E" w:rsidRDefault="00D17561" w:rsidP="00EB71A9">
            <w:pPr>
              <w:spacing w:before="20" w:after="20"/>
              <w:rPr>
                <w:color w:val="0000FF"/>
                <w:sz w:val="16"/>
                <w:szCs w:val="20"/>
              </w:rPr>
            </w:pPr>
            <w:r w:rsidRPr="0094668E">
              <w:rPr>
                <w:b/>
                <w:sz w:val="20"/>
                <w:szCs w:val="20"/>
              </w:rPr>
              <w:t>DECISION</w:t>
            </w:r>
          </w:p>
        </w:tc>
      </w:tr>
      <w:tr w:rsidR="00D17561" w:rsidRPr="0094668E" w14:paraId="4A850C05" w14:textId="77777777" w:rsidTr="00EB71A9">
        <w:trPr>
          <w:trHeight w:val="386"/>
        </w:trPr>
        <w:tc>
          <w:tcPr>
            <w:tcW w:w="10694" w:type="dxa"/>
            <w:gridSpan w:val="9"/>
            <w:tcBorders>
              <w:bottom w:val="single" w:sz="4" w:space="0" w:color="000000"/>
            </w:tcBorders>
            <w:shd w:val="clear" w:color="auto" w:fill="auto"/>
          </w:tcPr>
          <w:p w14:paraId="28D65882" w14:textId="77777777" w:rsidR="00D17561" w:rsidRPr="0094668E" w:rsidRDefault="00D17561" w:rsidP="00D17561">
            <w:pPr>
              <w:pStyle w:val="ListParagraph"/>
              <w:numPr>
                <w:ilvl w:val="0"/>
                <w:numId w:val="198"/>
              </w:numPr>
              <w:spacing w:before="20" w:after="20"/>
              <w:ind w:left="180" w:hanging="180"/>
              <w:rPr>
                <w:rFonts w:ascii="Calibri" w:hAnsi="Calibri"/>
                <w:color w:val="000000"/>
                <w:sz w:val="18"/>
                <w:szCs w:val="20"/>
              </w:rPr>
            </w:pPr>
            <w:r w:rsidRPr="0094668E">
              <w:rPr>
                <w:rFonts w:ascii="Calibri" w:hAnsi="Calibri"/>
                <w:b/>
                <w:color w:val="000000"/>
                <w:sz w:val="18"/>
                <w:szCs w:val="20"/>
              </w:rPr>
              <w:t>APPROVE</w:t>
            </w:r>
            <w:r w:rsidRPr="0094668E">
              <w:rPr>
                <w:rFonts w:ascii="Calibri" w:hAnsi="Calibri"/>
                <w:color w:val="000000"/>
                <w:sz w:val="18"/>
                <w:szCs w:val="20"/>
              </w:rPr>
              <w:t xml:space="preserve"> – the project is of sufficient quality to continue as planned</w:t>
            </w:r>
            <w:r w:rsidRPr="0094668E">
              <w:rPr>
                <w:rFonts w:ascii="Calibri" w:hAnsi="Calibri"/>
                <w:b/>
                <w:color w:val="000000"/>
                <w:sz w:val="18"/>
                <w:szCs w:val="20"/>
              </w:rPr>
              <w:t xml:space="preserve">. </w:t>
            </w:r>
            <w:r w:rsidRPr="0094668E">
              <w:rPr>
                <w:rFonts w:ascii="Calibri" w:hAnsi="Calibri"/>
                <w:color w:val="000000"/>
                <w:sz w:val="18"/>
                <w:szCs w:val="20"/>
              </w:rPr>
              <w:t>Any management actions must be addressed in a timely manner.</w:t>
            </w:r>
          </w:p>
          <w:p w14:paraId="420E31CB" w14:textId="77777777" w:rsidR="00D17561" w:rsidRPr="0094668E" w:rsidRDefault="00D17561" w:rsidP="00D17561">
            <w:pPr>
              <w:pStyle w:val="ListParagraph"/>
              <w:numPr>
                <w:ilvl w:val="0"/>
                <w:numId w:val="198"/>
              </w:numPr>
              <w:spacing w:before="20" w:after="20"/>
              <w:ind w:left="180" w:hanging="180"/>
              <w:rPr>
                <w:rFonts w:ascii="Calibri" w:hAnsi="Calibri"/>
                <w:b/>
                <w:color w:val="000000"/>
                <w:sz w:val="18"/>
                <w:szCs w:val="20"/>
              </w:rPr>
            </w:pPr>
            <w:r w:rsidRPr="0094668E">
              <w:rPr>
                <w:rFonts w:ascii="Calibri" w:hAnsi="Calibri"/>
                <w:b/>
                <w:color w:val="000000"/>
                <w:sz w:val="18"/>
                <w:szCs w:val="20"/>
              </w:rPr>
              <w:t>APPROVE WITH QUALIFICATIONS</w:t>
            </w:r>
            <w:r w:rsidRPr="0094668E">
              <w:rPr>
                <w:rFonts w:ascii="Calibri" w:hAnsi="Calibri"/>
                <w:color w:val="000000"/>
                <w:sz w:val="18"/>
                <w:szCs w:val="20"/>
              </w:rPr>
              <w:t xml:space="preserve"> – the project has issues that must be addressed before the project document can be approved.  Any management actions must be addressed in a timely manner. </w:t>
            </w:r>
          </w:p>
          <w:p w14:paraId="359905EC" w14:textId="77777777" w:rsidR="00D17561" w:rsidRPr="0094668E" w:rsidRDefault="00D17561" w:rsidP="00D17561">
            <w:pPr>
              <w:pStyle w:val="ListParagraph"/>
              <w:numPr>
                <w:ilvl w:val="0"/>
                <w:numId w:val="198"/>
              </w:numPr>
              <w:spacing w:before="20" w:after="20"/>
              <w:ind w:left="180" w:hanging="180"/>
              <w:rPr>
                <w:rFonts w:ascii="Calibri" w:hAnsi="Calibri"/>
                <w:color w:val="000000"/>
                <w:sz w:val="16"/>
                <w:szCs w:val="20"/>
              </w:rPr>
            </w:pPr>
            <w:r w:rsidRPr="0094668E">
              <w:rPr>
                <w:rFonts w:ascii="Calibri" w:hAnsi="Calibri"/>
                <w:b/>
                <w:color w:val="000000"/>
                <w:sz w:val="18"/>
                <w:szCs w:val="20"/>
              </w:rPr>
              <w:t xml:space="preserve">DISAPPROVE </w:t>
            </w:r>
            <w:r w:rsidRPr="0094668E">
              <w:rPr>
                <w:rFonts w:ascii="Calibri" w:hAnsi="Calibri"/>
                <w:color w:val="000000"/>
                <w:sz w:val="18"/>
                <w:szCs w:val="20"/>
              </w:rPr>
              <w:t xml:space="preserve">– the project has significant issues that should prevent the project from being </w:t>
            </w:r>
            <w:r w:rsidRPr="0094668E">
              <w:rPr>
                <w:rFonts w:ascii="Calibri" w:hAnsi="Calibri"/>
                <w:color w:val="000000"/>
                <w:sz w:val="18"/>
                <w:szCs w:val="18"/>
              </w:rPr>
              <w:t>approved as drafted.</w:t>
            </w:r>
          </w:p>
        </w:tc>
      </w:tr>
      <w:tr w:rsidR="00D17561" w:rsidRPr="0094668E" w14:paraId="24F0D644" w14:textId="77777777" w:rsidTr="00EB71A9">
        <w:trPr>
          <w:trHeight w:val="458"/>
        </w:trPr>
        <w:tc>
          <w:tcPr>
            <w:tcW w:w="10694" w:type="dxa"/>
            <w:gridSpan w:val="9"/>
            <w:tcBorders>
              <w:bottom w:val="single" w:sz="4" w:space="0" w:color="000000"/>
            </w:tcBorders>
            <w:shd w:val="clear" w:color="auto" w:fill="F2F2F2"/>
            <w:vAlign w:val="center"/>
          </w:tcPr>
          <w:p w14:paraId="6D2AFB1F" w14:textId="77777777" w:rsidR="00D17561" w:rsidRPr="0094668E" w:rsidRDefault="00D17561" w:rsidP="00EB71A9">
            <w:pPr>
              <w:spacing w:before="20" w:after="20"/>
              <w:jc w:val="center"/>
              <w:rPr>
                <w:color w:val="0000FF"/>
                <w:sz w:val="28"/>
                <w:szCs w:val="20"/>
              </w:rPr>
            </w:pPr>
            <w:r w:rsidRPr="0094668E">
              <w:rPr>
                <w:b/>
                <w:sz w:val="28"/>
                <w:szCs w:val="20"/>
              </w:rPr>
              <w:t>RATING CRITERIA</w:t>
            </w:r>
          </w:p>
        </w:tc>
      </w:tr>
      <w:tr w:rsidR="00D17561" w:rsidRPr="0094668E" w14:paraId="246148AF" w14:textId="77777777" w:rsidTr="00EB71A9">
        <w:trPr>
          <w:trHeight w:val="464"/>
        </w:trPr>
        <w:tc>
          <w:tcPr>
            <w:tcW w:w="1530" w:type="dxa"/>
            <w:tcBorders>
              <w:right w:val="nil"/>
            </w:tcBorders>
            <w:shd w:val="clear" w:color="auto" w:fill="C2D69B"/>
            <w:vAlign w:val="center"/>
          </w:tcPr>
          <w:p w14:paraId="4658A7E0" w14:textId="77777777" w:rsidR="00D17561" w:rsidRPr="0094668E" w:rsidRDefault="00D17561" w:rsidP="00EB71A9">
            <w:pPr>
              <w:tabs>
                <w:tab w:val="left" w:pos="7020"/>
              </w:tabs>
              <w:spacing w:before="20" w:after="20"/>
              <w:jc w:val="center"/>
              <w:rPr>
                <w:b/>
                <w:sz w:val="28"/>
                <w:szCs w:val="20"/>
              </w:rPr>
            </w:pPr>
            <w:r w:rsidRPr="0094668E">
              <w:rPr>
                <w:b/>
                <w:smallCaps/>
                <w:sz w:val="28"/>
                <w:szCs w:val="20"/>
              </w:rPr>
              <w:t>Strategic</w:t>
            </w:r>
          </w:p>
        </w:tc>
        <w:tc>
          <w:tcPr>
            <w:tcW w:w="9164" w:type="dxa"/>
            <w:gridSpan w:val="8"/>
            <w:tcBorders>
              <w:left w:val="nil"/>
            </w:tcBorders>
            <w:shd w:val="clear" w:color="auto" w:fill="C2D69B"/>
            <w:vAlign w:val="center"/>
          </w:tcPr>
          <w:p w14:paraId="522D068E" w14:textId="77777777" w:rsidR="00D17561" w:rsidRPr="0094668E" w:rsidRDefault="00D17561" w:rsidP="00EB71A9">
            <w:pPr>
              <w:pStyle w:val="ListParagraph"/>
              <w:spacing w:before="20" w:after="20"/>
              <w:ind w:left="158"/>
              <w:rPr>
                <w:rFonts w:ascii="Calibri" w:hAnsi="Calibri"/>
                <w:sz w:val="18"/>
                <w:szCs w:val="20"/>
              </w:rPr>
            </w:pPr>
          </w:p>
        </w:tc>
      </w:tr>
      <w:tr w:rsidR="00D17561" w:rsidRPr="0094668E" w14:paraId="303CAEAC" w14:textId="77777777" w:rsidTr="00EB71A9">
        <w:trPr>
          <w:trHeight w:val="199"/>
        </w:trPr>
        <w:tc>
          <w:tcPr>
            <w:tcW w:w="9152" w:type="dxa"/>
            <w:gridSpan w:val="7"/>
            <w:vMerge w:val="restart"/>
            <w:shd w:val="clear" w:color="auto" w:fill="auto"/>
          </w:tcPr>
          <w:p w14:paraId="432E25E9" w14:textId="77777777" w:rsidR="00D17561" w:rsidRPr="0094668E" w:rsidRDefault="00D17561" w:rsidP="00D17561">
            <w:pPr>
              <w:pStyle w:val="ListParagraph"/>
              <w:numPr>
                <w:ilvl w:val="0"/>
                <w:numId w:val="206"/>
              </w:numPr>
              <w:spacing w:before="120" w:after="20"/>
              <w:ind w:left="270" w:hanging="270"/>
              <w:rPr>
                <w:rFonts w:ascii="Calibri" w:hAnsi="Calibri"/>
                <w:b/>
                <w:sz w:val="18"/>
                <w:szCs w:val="18"/>
              </w:rPr>
            </w:pPr>
            <w:r w:rsidRPr="0094668E">
              <w:rPr>
                <w:rFonts w:ascii="Calibri" w:hAnsi="Calibri"/>
                <w:b/>
                <w:sz w:val="18"/>
                <w:szCs w:val="18"/>
              </w:rPr>
              <w:t>Does the project’s Theory of Change specify how it will contribute to higher level change? (Select the option from 1-3 that best reflects the project):</w:t>
            </w:r>
          </w:p>
          <w:p w14:paraId="5C71284B" w14:textId="77777777" w:rsidR="00D17561" w:rsidRPr="0094668E" w:rsidRDefault="00D17561" w:rsidP="00D17561">
            <w:pPr>
              <w:pStyle w:val="ListParagraph"/>
              <w:numPr>
                <w:ilvl w:val="0"/>
                <w:numId w:val="199"/>
              </w:numPr>
              <w:spacing w:before="20" w:after="20"/>
              <w:ind w:left="607" w:hanging="247"/>
              <w:rPr>
                <w:rFonts w:ascii="Calibri" w:hAnsi="Calibri"/>
                <w:sz w:val="18"/>
                <w:szCs w:val="18"/>
              </w:rPr>
            </w:pPr>
            <w:r w:rsidRPr="0094668E">
              <w:rPr>
                <w:rFonts w:ascii="Calibri" w:hAnsi="Calibri"/>
                <w:b/>
                <w:sz w:val="18"/>
                <w:szCs w:val="18"/>
                <w:u w:val="single"/>
              </w:rPr>
              <w:t>3:</w:t>
            </w:r>
            <w:r w:rsidRPr="0094668E">
              <w:rPr>
                <w:rFonts w:ascii="Calibri" w:hAnsi="Calibri"/>
                <w:sz w:val="18"/>
                <w:szCs w:val="18"/>
              </w:rPr>
              <w:t xml:space="preserve"> The project has a theory of change with explicit assumptions and clear change pathway describing how the project will contribute to outcome level change as specified in the programme/CPD, backed by credible evidence of what works effectively in this context. The project document clearly describes why the project’s strategy is the best approach at this point in time.</w:t>
            </w:r>
          </w:p>
          <w:p w14:paraId="7C23BE7A" w14:textId="77777777" w:rsidR="00D17561" w:rsidRPr="0094668E" w:rsidRDefault="00D17561" w:rsidP="00D17561">
            <w:pPr>
              <w:pStyle w:val="ListParagraph"/>
              <w:numPr>
                <w:ilvl w:val="0"/>
                <w:numId w:val="199"/>
              </w:numPr>
              <w:spacing w:before="20" w:after="20"/>
              <w:ind w:left="607" w:hanging="247"/>
              <w:rPr>
                <w:rFonts w:ascii="Calibri" w:hAnsi="Calibri"/>
                <w:sz w:val="18"/>
                <w:szCs w:val="18"/>
              </w:rPr>
            </w:pPr>
            <w:r w:rsidRPr="0094668E">
              <w:rPr>
                <w:rFonts w:ascii="Calibri" w:hAnsi="Calibri"/>
                <w:b/>
                <w:sz w:val="18"/>
                <w:szCs w:val="18"/>
                <w:u w:val="single"/>
              </w:rPr>
              <w:t>2:</w:t>
            </w:r>
            <w:r w:rsidRPr="0094668E">
              <w:rPr>
                <w:rFonts w:ascii="Calibri" w:hAnsi="Calibri"/>
                <w:sz w:val="18"/>
                <w:szCs w:val="18"/>
              </w:rPr>
              <w:t xml:space="preserve"> The project has a theory of change. It has an explicit change pathway that explains how the project intends to contribute to outcome-level change and why the project strategy is the best approach at this point in time, but is backed by limited evidence. </w:t>
            </w:r>
          </w:p>
          <w:p w14:paraId="024F4A7B" w14:textId="77777777" w:rsidR="00D17561" w:rsidRPr="0094668E" w:rsidRDefault="00D17561" w:rsidP="00D17561">
            <w:pPr>
              <w:pStyle w:val="ListParagraph"/>
              <w:numPr>
                <w:ilvl w:val="0"/>
                <w:numId w:val="199"/>
              </w:numPr>
              <w:spacing w:before="20" w:after="20"/>
              <w:ind w:left="607" w:hanging="247"/>
              <w:rPr>
                <w:rFonts w:ascii="Calibri" w:hAnsi="Calibri"/>
                <w:sz w:val="18"/>
                <w:szCs w:val="18"/>
              </w:rPr>
            </w:pPr>
            <w:r w:rsidRPr="0094668E">
              <w:rPr>
                <w:rFonts w:ascii="Calibri" w:hAnsi="Calibri"/>
                <w:b/>
                <w:sz w:val="18"/>
                <w:szCs w:val="18"/>
                <w:u w:val="single"/>
              </w:rPr>
              <w:t>1:</w:t>
            </w:r>
            <w:r w:rsidRPr="0094668E">
              <w:rPr>
                <w:rFonts w:ascii="Calibri" w:hAnsi="Calibri"/>
                <w:sz w:val="18"/>
                <w:szCs w:val="18"/>
              </w:rPr>
              <w:t xml:space="preserve"> The project does not have a theory of change, but the project document may describe in generic terms how the project will contribute to development results, without specifying the key assumptions. It does not make an explicit link to the programme/CPD’s theory of change. </w:t>
            </w:r>
          </w:p>
          <w:p w14:paraId="36E90369" w14:textId="77777777" w:rsidR="00D17561" w:rsidRPr="0094668E" w:rsidRDefault="00D17561" w:rsidP="00EB71A9">
            <w:pPr>
              <w:spacing w:before="120" w:after="20"/>
              <w:rPr>
                <w:sz w:val="16"/>
                <w:szCs w:val="16"/>
              </w:rPr>
            </w:pPr>
            <w:r w:rsidRPr="0094668E">
              <w:rPr>
                <w:sz w:val="16"/>
                <w:szCs w:val="16"/>
              </w:rPr>
              <w:t>*Note:</w:t>
            </w:r>
            <w:r w:rsidRPr="0094668E">
              <w:rPr>
                <w:sz w:val="18"/>
                <w:szCs w:val="18"/>
              </w:rPr>
              <w:t xml:space="preserve"> </w:t>
            </w:r>
            <w:r w:rsidRPr="0094668E">
              <w:rPr>
                <w:sz w:val="16"/>
                <w:szCs w:val="16"/>
              </w:rPr>
              <w:t xml:space="preserve"> Management Action or strong management justification must be given for a score of 1</w:t>
            </w:r>
          </w:p>
        </w:tc>
        <w:tc>
          <w:tcPr>
            <w:tcW w:w="496" w:type="dxa"/>
            <w:shd w:val="clear" w:color="auto" w:fill="auto"/>
          </w:tcPr>
          <w:p w14:paraId="2434ABDD" w14:textId="77777777" w:rsidR="00D17561" w:rsidRPr="0094668E" w:rsidRDefault="00D17561" w:rsidP="00EB71A9">
            <w:pPr>
              <w:spacing w:before="20" w:after="20"/>
              <w:jc w:val="center"/>
              <w:rPr>
                <w:sz w:val="18"/>
                <w:szCs w:val="18"/>
              </w:rPr>
            </w:pPr>
            <w:r w:rsidRPr="0094668E">
              <w:rPr>
                <w:sz w:val="18"/>
                <w:szCs w:val="18"/>
              </w:rPr>
              <w:t>3</w:t>
            </w:r>
          </w:p>
        </w:tc>
        <w:tc>
          <w:tcPr>
            <w:tcW w:w="1046" w:type="dxa"/>
            <w:shd w:val="clear" w:color="auto" w:fill="auto"/>
          </w:tcPr>
          <w:p w14:paraId="13B20A2A" w14:textId="77777777" w:rsidR="00D17561" w:rsidRPr="0094668E" w:rsidRDefault="00D17561" w:rsidP="00EB71A9">
            <w:pPr>
              <w:spacing w:before="20" w:after="20"/>
              <w:jc w:val="center"/>
              <w:rPr>
                <w:rFonts w:ascii="Times New Roman" w:hAnsi="Times New Roman"/>
                <w:b/>
              </w:rPr>
            </w:pPr>
            <w:r w:rsidRPr="005E4BC8">
              <w:rPr>
                <w:rFonts w:ascii="Times New Roman" w:hAnsi="Times New Roman"/>
                <w:b/>
                <w:highlight w:val="yellow"/>
              </w:rPr>
              <w:t>2</w:t>
            </w:r>
          </w:p>
        </w:tc>
      </w:tr>
      <w:tr w:rsidR="00D17561" w:rsidRPr="0094668E" w14:paraId="555584FC" w14:textId="77777777" w:rsidTr="00EB71A9">
        <w:trPr>
          <w:trHeight w:val="266"/>
        </w:trPr>
        <w:tc>
          <w:tcPr>
            <w:tcW w:w="9152" w:type="dxa"/>
            <w:gridSpan w:val="7"/>
            <w:vMerge/>
            <w:shd w:val="clear" w:color="auto" w:fill="auto"/>
          </w:tcPr>
          <w:p w14:paraId="2305C5EB" w14:textId="77777777" w:rsidR="00D17561" w:rsidRPr="0094668E" w:rsidRDefault="00D17561" w:rsidP="00EB71A9">
            <w:pPr>
              <w:spacing w:before="20" w:after="20"/>
              <w:rPr>
                <w:sz w:val="18"/>
                <w:szCs w:val="18"/>
              </w:rPr>
            </w:pPr>
          </w:p>
        </w:tc>
        <w:tc>
          <w:tcPr>
            <w:tcW w:w="1542" w:type="dxa"/>
            <w:gridSpan w:val="2"/>
            <w:tcBorders>
              <w:bottom w:val="single" w:sz="4" w:space="0" w:color="000000"/>
            </w:tcBorders>
            <w:shd w:val="clear" w:color="auto" w:fill="auto"/>
          </w:tcPr>
          <w:p w14:paraId="2F867C26" w14:textId="77777777" w:rsidR="00D17561" w:rsidRPr="0094668E" w:rsidRDefault="00D17561" w:rsidP="00EB71A9">
            <w:pPr>
              <w:spacing w:before="20" w:after="20"/>
              <w:jc w:val="center"/>
              <w:rPr>
                <w:sz w:val="18"/>
                <w:szCs w:val="18"/>
              </w:rPr>
            </w:pPr>
            <w:r w:rsidRPr="0094668E">
              <w:rPr>
                <w:sz w:val="18"/>
                <w:szCs w:val="18"/>
              </w:rPr>
              <w:t>1</w:t>
            </w:r>
          </w:p>
        </w:tc>
      </w:tr>
      <w:tr w:rsidR="00D17561" w:rsidRPr="0094668E" w14:paraId="01025718" w14:textId="77777777" w:rsidTr="00EB71A9">
        <w:trPr>
          <w:trHeight w:val="981"/>
        </w:trPr>
        <w:tc>
          <w:tcPr>
            <w:tcW w:w="9152" w:type="dxa"/>
            <w:gridSpan w:val="7"/>
            <w:vMerge/>
            <w:tcBorders>
              <w:bottom w:val="single" w:sz="4" w:space="0" w:color="000000"/>
            </w:tcBorders>
            <w:shd w:val="clear" w:color="auto" w:fill="auto"/>
          </w:tcPr>
          <w:p w14:paraId="4CDBA6D1" w14:textId="77777777" w:rsidR="00D17561" w:rsidRPr="0094668E" w:rsidRDefault="00D17561" w:rsidP="00EB71A9">
            <w:pPr>
              <w:spacing w:before="20" w:after="20"/>
              <w:rPr>
                <w:sz w:val="18"/>
                <w:szCs w:val="18"/>
              </w:rPr>
            </w:pPr>
          </w:p>
        </w:tc>
        <w:tc>
          <w:tcPr>
            <w:tcW w:w="1542" w:type="dxa"/>
            <w:gridSpan w:val="2"/>
            <w:tcBorders>
              <w:bottom w:val="single" w:sz="4" w:space="0" w:color="000000"/>
            </w:tcBorders>
            <w:shd w:val="clear" w:color="auto" w:fill="auto"/>
          </w:tcPr>
          <w:p w14:paraId="219B6FA7" w14:textId="77777777" w:rsidR="00D17561" w:rsidRPr="0094668E" w:rsidRDefault="00D17561" w:rsidP="00EB71A9">
            <w:pPr>
              <w:spacing w:before="20" w:after="20"/>
              <w:rPr>
                <w:rFonts w:ascii="Times New Roman" w:hAnsi="Times New Roman"/>
                <w:sz w:val="18"/>
                <w:szCs w:val="18"/>
              </w:rPr>
            </w:pPr>
            <w:r>
              <w:rPr>
                <w:rFonts w:ascii="Times New Roman" w:hAnsi="Times New Roman"/>
                <w:sz w:val="18"/>
                <w:szCs w:val="18"/>
              </w:rPr>
              <w:t xml:space="preserve">Figure 3 </w:t>
            </w:r>
            <w:r w:rsidRPr="0094668E">
              <w:rPr>
                <w:rFonts w:ascii="Times New Roman" w:hAnsi="Times New Roman"/>
                <w:sz w:val="18"/>
                <w:szCs w:val="18"/>
              </w:rPr>
              <w:t>on Page 20.</w:t>
            </w:r>
          </w:p>
          <w:p w14:paraId="63171755" w14:textId="77777777" w:rsidR="00D17561" w:rsidRPr="0094668E" w:rsidRDefault="00D17561" w:rsidP="00EB71A9">
            <w:pPr>
              <w:spacing w:before="20" w:after="20"/>
              <w:rPr>
                <w:rFonts w:ascii="Times New Roman" w:hAnsi="Times New Roman"/>
                <w:sz w:val="18"/>
                <w:szCs w:val="18"/>
              </w:rPr>
            </w:pPr>
          </w:p>
          <w:p w14:paraId="07E70487" w14:textId="77777777" w:rsidR="00D17561" w:rsidRPr="0094668E" w:rsidRDefault="00D17561" w:rsidP="00EB71A9">
            <w:pPr>
              <w:spacing w:before="20" w:after="20"/>
              <w:rPr>
                <w:rFonts w:ascii="Times New Roman" w:hAnsi="Times New Roman"/>
                <w:sz w:val="18"/>
                <w:szCs w:val="18"/>
              </w:rPr>
            </w:pPr>
            <w:r>
              <w:rPr>
                <w:rFonts w:ascii="Times New Roman" w:hAnsi="Times New Roman"/>
                <w:sz w:val="18"/>
                <w:szCs w:val="18"/>
              </w:rPr>
              <w:t>Pages 6</w:t>
            </w:r>
            <w:r w:rsidRPr="0094668E">
              <w:rPr>
                <w:rFonts w:ascii="Times New Roman" w:hAnsi="Times New Roman"/>
                <w:sz w:val="18"/>
                <w:szCs w:val="18"/>
              </w:rPr>
              <w:t xml:space="preserve"> –  </w:t>
            </w:r>
            <w:r>
              <w:rPr>
                <w:rFonts w:ascii="Times New Roman" w:hAnsi="Times New Roman"/>
                <w:sz w:val="18"/>
                <w:szCs w:val="18"/>
              </w:rPr>
              <w:t>21</w:t>
            </w:r>
            <w:r w:rsidRPr="0094668E">
              <w:rPr>
                <w:rFonts w:ascii="Times New Roman" w:hAnsi="Times New Roman"/>
                <w:sz w:val="18"/>
                <w:szCs w:val="18"/>
              </w:rPr>
              <w:t>describes</w:t>
            </w:r>
          </w:p>
          <w:p w14:paraId="44A5710E" w14:textId="77777777" w:rsidR="00D17561" w:rsidRPr="0094668E" w:rsidRDefault="00D17561" w:rsidP="00EB71A9">
            <w:pPr>
              <w:spacing w:before="20" w:after="20"/>
              <w:rPr>
                <w:rFonts w:ascii="Times New Roman" w:hAnsi="Times New Roman"/>
                <w:sz w:val="18"/>
                <w:szCs w:val="18"/>
              </w:rPr>
            </w:pPr>
            <w:r w:rsidRPr="0094668E">
              <w:rPr>
                <w:rFonts w:ascii="Times New Roman" w:hAnsi="Times New Roman"/>
                <w:sz w:val="18"/>
                <w:szCs w:val="18"/>
              </w:rPr>
              <w:t>Theory of</w:t>
            </w:r>
          </w:p>
          <w:p w14:paraId="19EF00E7" w14:textId="77777777" w:rsidR="00D17561" w:rsidRPr="0094668E" w:rsidRDefault="00D17561" w:rsidP="00EB71A9">
            <w:pPr>
              <w:spacing w:before="20" w:after="20"/>
              <w:rPr>
                <w:rFonts w:ascii="Times New Roman" w:hAnsi="Times New Roman"/>
                <w:sz w:val="18"/>
                <w:szCs w:val="18"/>
              </w:rPr>
            </w:pPr>
            <w:r w:rsidRPr="0094668E">
              <w:rPr>
                <w:rFonts w:ascii="Times New Roman" w:hAnsi="Times New Roman"/>
                <w:sz w:val="18"/>
                <w:szCs w:val="18"/>
              </w:rPr>
              <w:t xml:space="preserve">Change  </w:t>
            </w:r>
          </w:p>
        </w:tc>
      </w:tr>
      <w:tr w:rsidR="00D17561" w:rsidRPr="0094668E" w14:paraId="4487134E" w14:textId="77777777" w:rsidTr="00EB71A9">
        <w:trPr>
          <w:trHeight w:val="270"/>
        </w:trPr>
        <w:tc>
          <w:tcPr>
            <w:tcW w:w="9152" w:type="dxa"/>
            <w:gridSpan w:val="7"/>
            <w:vMerge w:val="restart"/>
            <w:shd w:val="clear" w:color="auto" w:fill="auto"/>
          </w:tcPr>
          <w:p w14:paraId="51D3D789" w14:textId="77777777" w:rsidR="00D17561" w:rsidRPr="0094668E" w:rsidRDefault="00D17561" w:rsidP="00D17561">
            <w:pPr>
              <w:pStyle w:val="ListParagraph"/>
              <w:numPr>
                <w:ilvl w:val="0"/>
                <w:numId w:val="206"/>
              </w:numPr>
              <w:tabs>
                <w:tab w:val="left" w:pos="5715"/>
              </w:tabs>
              <w:spacing w:before="120" w:after="20"/>
              <w:ind w:left="245" w:hanging="274"/>
              <w:rPr>
                <w:rFonts w:ascii="Calibri" w:hAnsi="Calibri"/>
                <w:b/>
                <w:sz w:val="18"/>
                <w:szCs w:val="18"/>
              </w:rPr>
            </w:pPr>
            <w:r w:rsidRPr="0094668E">
              <w:rPr>
                <w:rFonts w:ascii="Calibri" w:hAnsi="Calibri"/>
                <w:b/>
                <w:sz w:val="18"/>
                <w:szCs w:val="18"/>
              </w:rPr>
              <w:t>Is the project aligned with the thematic focus of the UNDP Strategic Plan? (select the option from 1-3 that best reflects the project):</w:t>
            </w:r>
          </w:p>
          <w:p w14:paraId="470075DE" w14:textId="77777777" w:rsidR="00D17561" w:rsidRPr="0094668E" w:rsidRDefault="00D17561" w:rsidP="00D17561">
            <w:pPr>
              <w:pStyle w:val="ListParagraph"/>
              <w:numPr>
                <w:ilvl w:val="0"/>
                <w:numId w:val="199"/>
              </w:numPr>
              <w:spacing w:before="20" w:after="20"/>
              <w:ind w:left="607" w:hanging="247"/>
              <w:rPr>
                <w:rFonts w:ascii="Calibri" w:hAnsi="Calibri"/>
                <w:sz w:val="18"/>
                <w:szCs w:val="18"/>
              </w:rPr>
            </w:pPr>
            <w:r w:rsidRPr="0094668E">
              <w:rPr>
                <w:rFonts w:ascii="Calibri" w:hAnsi="Calibri"/>
                <w:b/>
                <w:sz w:val="18"/>
                <w:szCs w:val="18"/>
                <w:u w:val="single"/>
              </w:rPr>
              <w:t>3:</w:t>
            </w:r>
            <w:r w:rsidRPr="0094668E">
              <w:rPr>
                <w:rFonts w:ascii="Calibri" w:hAnsi="Calibri"/>
                <w:sz w:val="18"/>
                <w:szCs w:val="18"/>
              </w:rPr>
              <w:t xml:space="preserve"> The project responds to one of the three areas of development work</w:t>
            </w:r>
            <w:r w:rsidRPr="0094668E">
              <w:rPr>
                <w:rStyle w:val="FootnoteReference"/>
                <w:rFonts w:ascii="Calibri" w:hAnsi="Calibri"/>
                <w:szCs w:val="18"/>
              </w:rPr>
              <w:footnoteReference w:id="59"/>
            </w:r>
            <w:r w:rsidRPr="0094668E">
              <w:rPr>
                <w:rFonts w:ascii="Calibri" w:hAnsi="Calibri"/>
                <w:sz w:val="18"/>
                <w:szCs w:val="18"/>
              </w:rPr>
              <w:t xml:space="preserve"> as specified in the Strategic Plan; it addresses at least one of the proposed new and emerging areas</w:t>
            </w:r>
            <w:r w:rsidRPr="0094668E">
              <w:rPr>
                <w:rStyle w:val="FootnoteReference"/>
                <w:rFonts w:ascii="Calibri" w:hAnsi="Calibri"/>
                <w:szCs w:val="18"/>
              </w:rPr>
              <w:footnoteReference w:id="60"/>
            </w:r>
            <w:r w:rsidRPr="0094668E">
              <w:rPr>
                <w:rFonts w:ascii="Calibri" w:hAnsi="Calibri"/>
                <w:sz w:val="18"/>
                <w:szCs w:val="18"/>
              </w:rPr>
              <w:t xml:space="preserve">; an issues-based analysis has been incorporated into the project design; and the project’s RRF includes all the relevant SP output indicators. </w:t>
            </w:r>
            <w:r w:rsidRPr="0094668E">
              <w:rPr>
                <w:rFonts w:ascii="Calibri" w:hAnsi="Calibri"/>
                <w:i/>
                <w:sz w:val="18"/>
                <w:szCs w:val="18"/>
              </w:rPr>
              <w:t>(all must be true to select this option)</w:t>
            </w:r>
          </w:p>
          <w:p w14:paraId="77B69572" w14:textId="77777777" w:rsidR="00D17561" w:rsidRPr="0094668E" w:rsidRDefault="00D17561" w:rsidP="00D17561">
            <w:pPr>
              <w:pStyle w:val="ListParagraph"/>
              <w:numPr>
                <w:ilvl w:val="0"/>
                <w:numId w:val="199"/>
              </w:numPr>
              <w:spacing w:before="20" w:after="20"/>
              <w:ind w:left="607" w:hanging="247"/>
              <w:rPr>
                <w:rFonts w:ascii="Calibri" w:hAnsi="Calibri"/>
                <w:sz w:val="18"/>
                <w:szCs w:val="18"/>
              </w:rPr>
            </w:pPr>
            <w:r w:rsidRPr="0094668E">
              <w:rPr>
                <w:rFonts w:ascii="Calibri" w:hAnsi="Calibri"/>
                <w:b/>
                <w:sz w:val="18"/>
                <w:szCs w:val="18"/>
                <w:u w:val="single"/>
              </w:rPr>
              <w:t>2:</w:t>
            </w:r>
            <w:r w:rsidRPr="0094668E">
              <w:rPr>
                <w:rFonts w:ascii="Calibri" w:hAnsi="Calibri"/>
                <w:sz w:val="18"/>
                <w:szCs w:val="18"/>
              </w:rPr>
              <w:t xml:space="preserve"> The project responds to one of the three areas of development work</w:t>
            </w:r>
            <w:r w:rsidRPr="0094668E">
              <w:rPr>
                <w:rFonts w:ascii="Calibri" w:hAnsi="Calibri"/>
                <w:sz w:val="18"/>
                <w:szCs w:val="18"/>
                <w:vertAlign w:val="superscript"/>
              </w:rPr>
              <w:t>1</w:t>
            </w:r>
            <w:r w:rsidRPr="0094668E">
              <w:rPr>
                <w:rFonts w:ascii="Calibri" w:hAnsi="Calibri"/>
                <w:sz w:val="18"/>
                <w:szCs w:val="18"/>
              </w:rPr>
              <w:t xml:space="preserve"> as specified in the Strategic Plan. The project’s RRF includes at least one SP output indicator, if relevant. </w:t>
            </w:r>
            <w:r w:rsidRPr="0094668E">
              <w:rPr>
                <w:rFonts w:ascii="Calibri" w:hAnsi="Calibri"/>
                <w:i/>
                <w:sz w:val="18"/>
                <w:szCs w:val="18"/>
              </w:rPr>
              <w:t>(both must be true to select this option)</w:t>
            </w:r>
          </w:p>
          <w:p w14:paraId="3290216A" w14:textId="77777777" w:rsidR="00D17561" w:rsidRPr="0094668E" w:rsidRDefault="00D17561" w:rsidP="00D17561">
            <w:pPr>
              <w:pStyle w:val="ListParagraph"/>
              <w:numPr>
                <w:ilvl w:val="0"/>
                <w:numId w:val="199"/>
              </w:numPr>
              <w:spacing w:before="20" w:after="20"/>
              <w:ind w:left="607" w:hanging="247"/>
              <w:rPr>
                <w:rFonts w:ascii="Calibri" w:hAnsi="Calibri"/>
                <w:sz w:val="18"/>
                <w:szCs w:val="18"/>
              </w:rPr>
            </w:pPr>
            <w:r w:rsidRPr="0094668E">
              <w:rPr>
                <w:rFonts w:ascii="Calibri" w:hAnsi="Calibri"/>
                <w:b/>
                <w:sz w:val="18"/>
                <w:szCs w:val="18"/>
                <w:u w:val="single"/>
              </w:rPr>
              <w:t>1:</w:t>
            </w:r>
            <w:r w:rsidRPr="0094668E">
              <w:rPr>
                <w:rFonts w:ascii="Calibri" w:hAnsi="Calibri"/>
                <w:sz w:val="18"/>
                <w:szCs w:val="18"/>
              </w:rPr>
              <w:t xml:space="preserve"> While the project</w:t>
            </w:r>
            <w:r w:rsidRPr="0094668E">
              <w:rPr>
                <w:rFonts w:ascii="Calibri" w:eastAsia="Calibri" w:hAnsi="Calibri"/>
                <w:sz w:val="18"/>
                <w:szCs w:val="18"/>
              </w:rPr>
              <w:t xml:space="preserve"> may </w:t>
            </w:r>
            <w:r w:rsidRPr="0094668E">
              <w:rPr>
                <w:rFonts w:ascii="Calibri" w:hAnsi="Calibri"/>
                <w:sz w:val="18"/>
                <w:szCs w:val="18"/>
              </w:rPr>
              <w:t>respond to one of the three areas of development work</w:t>
            </w:r>
            <w:r w:rsidRPr="0094668E">
              <w:rPr>
                <w:rFonts w:ascii="Calibri" w:hAnsi="Calibri"/>
                <w:sz w:val="18"/>
                <w:szCs w:val="18"/>
                <w:vertAlign w:val="superscript"/>
              </w:rPr>
              <w:t>1</w:t>
            </w:r>
            <w:r w:rsidRPr="0094668E">
              <w:rPr>
                <w:rFonts w:ascii="Calibri" w:hAnsi="Calibri"/>
                <w:sz w:val="18"/>
                <w:szCs w:val="18"/>
              </w:rPr>
              <w:t xml:space="preserve"> as specified in the Strategic Plan, it is based on a sectoral approach without addressing the complexity of the development issue. None of the relevant SP indicators are included in the RRF. This answer is also selected if the project does not respond to any of the three areas of development work in the Strategic Plan.</w:t>
            </w:r>
          </w:p>
        </w:tc>
        <w:tc>
          <w:tcPr>
            <w:tcW w:w="496" w:type="dxa"/>
            <w:shd w:val="clear" w:color="auto" w:fill="auto"/>
          </w:tcPr>
          <w:p w14:paraId="5E5EA1AB" w14:textId="77777777" w:rsidR="00D17561" w:rsidRPr="0094668E" w:rsidRDefault="00D17561" w:rsidP="00EB71A9">
            <w:pPr>
              <w:spacing w:after="0"/>
              <w:jc w:val="center"/>
              <w:rPr>
                <w:sz w:val="18"/>
                <w:szCs w:val="18"/>
              </w:rPr>
            </w:pPr>
            <w:r w:rsidRPr="0094668E">
              <w:rPr>
                <w:sz w:val="18"/>
                <w:szCs w:val="18"/>
              </w:rPr>
              <w:t>3</w:t>
            </w:r>
          </w:p>
        </w:tc>
        <w:tc>
          <w:tcPr>
            <w:tcW w:w="1046" w:type="dxa"/>
            <w:shd w:val="clear" w:color="auto" w:fill="auto"/>
          </w:tcPr>
          <w:p w14:paraId="6F6D05DE" w14:textId="77777777" w:rsidR="00D17561" w:rsidRPr="00940BC5" w:rsidRDefault="00D17561" w:rsidP="00EB71A9">
            <w:pPr>
              <w:spacing w:after="0"/>
              <w:jc w:val="center"/>
              <w:rPr>
                <w:rFonts w:ascii="Times New Roman" w:hAnsi="Times New Roman"/>
                <w:b/>
              </w:rPr>
            </w:pPr>
            <w:r w:rsidRPr="005E4BC8">
              <w:rPr>
                <w:rFonts w:ascii="Times New Roman" w:hAnsi="Times New Roman"/>
                <w:b/>
                <w:highlight w:val="yellow"/>
              </w:rPr>
              <w:t>2</w:t>
            </w:r>
          </w:p>
        </w:tc>
      </w:tr>
      <w:tr w:rsidR="00D17561" w:rsidRPr="0094668E" w14:paraId="6EB4BBDA" w14:textId="77777777" w:rsidTr="00EB71A9">
        <w:trPr>
          <w:trHeight w:val="100"/>
        </w:trPr>
        <w:tc>
          <w:tcPr>
            <w:tcW w:w="9152" w:type="dxa"/>
            <w:gridSpan w:val="7"/>
            <w:vMerge/>
            <w:shd w:val="clear" w:color="auto" w:fill="auto"/>
          </w:tcPr>
          <w:p w14:paraId="0CFC6258" w14:textId="77777777" w:rsidR="00D17561" w:rsidRPr="0094668E" w:rsidRDefault="00D17561" w:rsidP="00EB71A9">
            <w:pPr>
              <w:tabs>
                <w:tab w:val="left" w:pos="5715"/>
              </w:tabs>
              <w:spacing w:before="20" w:after="20"/>
              <w:rPr>
                <w:sz w:val="18"/>
                <w:szCs w:val="18"/>
              </w:rPr>
            </w:pPr>
          </w:p>
        </w:tc>
        <w:tc>
          <w:tcPr>
            <w:tcW w:w="1542" w:type="dxa"/>
            <w:gridSpan w:val="2"/>
            <w:tcBorders>
              <w:bottom w:val="single" w:sz="4" w:space="0" w:color="000000"/>
            </w:tcBorders>
            <w:shd w:val="clear" w:color="auto" w:fill="auto"/>
          </w:tcPr>
          <w:p w14:paraId="495576A0" w14:textId="77777777" w:rsidR="00D17561" w:rsidRPr="0094668E" w:rsidRDefault="00D17561" w:rsidP="00EB71A9">
            <w:pPr>
              <w:spacing w:before="20" w:after="20"/>
              <w:jc w:val="center"/>
              <w:rPr>
                <w:sz w:val="18"/>
                <w:szCs w:val="18"/>
              </w:rPr>
            </w:pPr>
            <w:r w:rsidRPr="0094668E">
              <w:rPr>
                <w:sz w:val="18"/>
                <w:szCs w:val="18"/>
              </w:rPr>
              <w:t>1</w:t>
            </w:r>
          </w:p>
        </w:tc>
      </w:tr>
      <w:tr w:rsidR="00D17561" w:rsidRPr="0094668E" w14:paraId="1958DC7F" w14:textId="77777777" w:rsidTr="00EB71A9">
        <w:trPr>
          <w:trHeight w:val="1230"/>
        </w:trPr>
        <w:tc>
          <w:tcPr>
            <w:tcW w:w="9152" w:type="dxa"/>
            <w:gridSpan w:val="7"/>
            <w:vMerge/>
            <w:tcBorders>
              <w:bottom w:val="single" w:sz="4" w:space="0" w:color="000000"/>
            </w:tcBorders>
            <w:shd w:val="clear" w:color="auto" w:fill="auto"/>
          </w:tcPr>
          <w:p w14:paraId="26979155" w14:textId="77777777" w:rsidR="00D17561" w:rsidRPr="0094668E" w:rsidRDefault="00D17561" w:rsidP="00EB71A9">
            <w:pPr>
              <w:tabs>
                <w:tab w:val="left" w:pos="5715"/>
              </w:tabs>
              <w:spacing w:before="20" w:after="20"/>
              <w:rPr>
                <w:sz w:val="18"/>
                <w:szCs w:val="18"/>
              </w:rPr>
            </w:pPr>
          </w:p>
        </w:tc>
        <w:tc>
          <w:tcPr>
            <w:tcW w:w="1542" w:type="dxa"/>
            <w:gridSpan w:val="2"/>
            <w:tcBorders>
              <w:bottom w:val="single" w:sz="4" w:space="0" w:color="000000"/>
            </w:tcBorders>
            <w:shd w:val="clear" w:color="auto" w:fill="auto"/>
          </w:tcPr>
          <w:p w14:paraId="1FAF3C87" w14:textId="77777777" w:rsidR="00D17561" w:rsidRPr="005E4BC8" w:rsidRDefault="00D17561" w:rsidP="00EB71A9">
            <w:pPr>
              <w:spacing w:before="20" w:after="20"/>
              <w:jc w:val="center"/>
              <w:rPr>
                <w:sz w:val="18"/>
                <w:szCs w:val="18"/>
              </w:rPr>
            </w:pPr>
            <w:r w:rsidRPr="005E4BC8">
              <w:rPr>
                <w:sz w:val="18"/>
                <w:szCs w:val="18"/>
              </w:rPr>
              <w:t>Evidence</w:t>
            </w:r>
          </w:p>
          <w:p w14:paraId="20B1C7EF" w14:textId="77777777" w:rsidR="00D17561" w:rsidRPr="005E4BC8" w:rsidRDefault="00D17561" w:rsidP="00EB71A9">
            <w:pPr>
              <w:spacing w:before="20" w:after="20"/>
              <w:jc w:val="center"/>
              <w:rPr>
                <w:sz w:val="18"/>
                <w:szCs w:val="18"/>
              </w:rPr>
            </w:pPr>
            <w:r w:rsidRPr="005E4BC8">
              <w:rPr>
                <w:sz w:val="18"/>
                <w:szCs w:val="18"/>
              </w:rPr>
              <w:t>Aligned to output 1.3,1.4,1.5 &amp; 2.5</w:t>
            </w:r>
          </w:p>
          <w:p w14:paraId="5F4FDAD6" w14:textId="77777777" w:rsidR="00D17561" w:rsidRPr="005E4BC8" w:rsidRDefault="00D17561" w:rsidP="00EB71A9">
            <w:pPr>
              <w:spacing w:before="20" w:after="20"/>
              <w:jc w:val="center"/>
              <w:rPr>
                <w:sz w:val="18"/>
                <w:szCs w:val="18"/>
              </w:rPr>
            </w:pPr>
            <w:r w:rsidRPr="005E4BC8">
              <w:rPr>
                <w:sz w:val="18"/>
                <w:szCs w:val="18"/>
              </w:rPr>
              <w:t xml:space="preserve">Refer to </w:t>
            </w:r>
          </w:p>
          <w:p w14:paraId="158B3ABB" w14:textId="77777777" w:rsidR="00D17561" w:rsidRPr="0094668E" w:rsidRDefault="00D17561" w:rsidP="00EB71A9">
            <w:pPr>
              <w:spacing w:before="20" w:after="20"/>
              <w:jc w:val="center"/>
              <w:rPr>
                <w:sz w:val="18"/>
                <w:szCs w:val="18"/>
              </w:rPr>
            </w:pPr>
            <w:r w:rsidRPr="005E4BC8">
              <w:rPr>
                <w:sz w:val="18"/>
                <w:szCs w:val="18"/>
              </w:rPr>
              <w:t>Cover page  and log frame of page 50</w:t>
            </w:r>
            <w:r>
              <w:rPr>
                <w:b/>
                <w:sz w:val="18"/>
                <w:szCs w:val="18"/>
              </w:rPr>
              <w:t xml:space="preserve"> </w:t>
            </w:r>
          </w:p>
        </w:tc>
      </w:tr>
      <w:tr w:rsidR="00D17561" w:rsidRPr="0094668E" w14:paraId="3755AAE2" w14:textId="77777777" w:rsidTr="00EB71A9">
        <w:trPr>
          <w:trHeight w:val="440"/>
        </w:trPr>
        <w:tc>
          <w:tcPr>
            <w:tcW w:w="1530" w:type="dxa"/>
            <w:tcBorders>
              <w:right w:val="nil"/>
            </w:tcBorders>
            <w:shd w:val="clear" w:color="auto" w:fill="C2D69B"/>
            <w:vAlign w:val="center"/>
          </w:tcPr>
          <w:p w14:paraId="010FAF56" w14:textId="77777777" w:rsidR="00D17561" w:rsidRPr="0094668E" w:rsidRDefault="00D17561" w:rsidP="00EB71A9">
            <w:pPr>
              <w:tabs>
                <w:tab w:val="left" w:pos="7020"/>
              </w:tabs>
              <w:spacing w:before="20" w:after="20"/>
              <w:jc w:val="center"/>
              <w:rPr>
                <w:b/>
                <w:sz w:val="28"/>
                <w:szCs w:val="20"/>
              </w:rPr>
            </w:pPr>
            <w:r w:rsidRPr="0094668E">
              <w:rPr>
                <w:b/>
                <w:smallCaps/>
                <w:sz w:val="28"/>
                <w:szCs w:val="20"/>
              </w:rPr>
              <w:t>Relevant</w:t>
            </w:r>
          </w:p>
        </w:tc>
        <w:tc>
          <w:tcPr>
            <w:tcW w:w="9164" w:type="dxa"/>
            <w:gridSpan w:val="8"/>
            <w:tcBorders>
              <w:left w:val="nil"/>
            </w:tcBorders>
            <w:shd w:val="clear" w:color="auto" w:fill="C2D69B"/>
            <w:vAlign w:val="center"/>
          </w:tcPr>
          <w:p w14:paraId="51C61663" w14:textId="77777777" w:rsidR="00D17561" w:rsidRPr="0094668E" w:rsidRDefault="00D17561" w:rsidP="00EB71A9">
            <w:pPr>
              <w:pStyle w:val="ListParagraph"/>
              <w:spacing w:before="20" w:after="20"/>
              <w:ind w:left="158"/>
              <w:rPr>
                <w:rFonts w:ascii="Calibri" w:hAnsi="Calibri"/>
                <w:sz w:val="18"/>
                <w:szCs w:val="20"/>
              </w:rPr>
            </w:pPr>
          </w:p>
        </w:tc>
      </w:tr>
      <w:tr w:rsidR="00D17561" w:rsidRPr="0094668E" w14:paraId="596F545F" w14:textId="77777777" w:rsidTr="00EB71A9">
        <w:trPr>
          <w:trHeight w:val="80"/>
        </w:trPr>
        <w:tc>
          <w:tcPr>
            <w:tcW w:w="9152" w:type="dxa"/>
            <w:gridSpan w:val="7"/>
            <w:vMerge w:val="restart"/>
            <w:shd w:val="clear" w:color="auto" w:fill="auto"/>
          </w:tcPr>
          <w:p w14:paraId="6C897A03" w14:textId="77777777" w:rsidR="00D17561" w:rsidRPr="0094668E" w:rsidRDefault="00D17561" w:rsidP="00D17561">
            <w:pPr>
              <w:pStyle w:val="ListParagraph"/>
              <w:numPr>
                <w:ilvl w:val="0"/>
                <w:numId w:val="206"/>
              </w:numPr>
              <w:spacing w:before="120" w:after="20"/>
              <w:ind w:left="245" w:hanging="274"/>
              <w:rPr>
                <w:rFonts w:ascii="Calibri" w:hAnsi="Calibri"/>
                <w:b/>
                <w:sz w:val="18"/>
                <w:szCs w:val="18"/>
              </w:rPr>
            </w:pPr>
            <w:r w:rsidRPr="0094668E">
              <w:rPr>
                <w:rFonts w:ascii="Calibri" w:hAnsi="Calibri"/>
                <w:b/>
                <w:sz w:val="18"/>
                <w:szCs w:val="18"/>
              </w:rPr>
              <w:t>Does the project have strategies to effectively identify, engage and ensure the meaningful participation of targeted groups/geographic areas with a priority focus on the excluded and marginalized? (select the option from 1-3 that best reflects this project):</w:t>
            </w:r>
          </w:p>
          <w:p w14:paraId="711AC417" w14:textId="77777777" w:rsidR="00D17561" w:rsidRPr="0094668E" w:rsidRDefault="00D17561" w:rsidP="00D17561">
            <w:pPr>
              <w:pStyle w:val="ListParagraph"/>
              <w:numPr>
                <w:ilvl w:val="0"/>
                <w:numId w:val="199"/>
              </w:numPr>
              <w:spacing w:before="20" w:after="20"/>
              <w:ind w:left="607" w:hanging="247"/>
              <w:rPr>
                <w:rFonts w:ascii="Calibri" w:hAnsi="Calibri"/>
                <w:sz w:val="18"/>
                <w:szCs w:val="18"/>
              </w:rPr>
            </w:pPr>
            <w:r w:rsidRPr="0094668E">
              <w:rPr>
                <w:rFonts w:ascii="Calibri" w:hAnsi="Calibri"/>
                <w:b/>
                <w:sz w:val="18"/>
                <w:szCs w:val="18"/>
                <w:u w:val="single"/>
              </w:rPr>
              <w:t>3:</w:t>
            </w:r>
            <w:r w:rsidRPr="0094668E">
              <w:rPr>
                <w:rFonts w:ascii="Calibri" w:hAnsi="Calibri"/>
                <w:sz w:val="18"/>
                <w:szCs w:val="18"/>
              </w:rPr>
              <w:t xml:space="preserve">  The target groups/geographic areas are appropriately specified, prioritising the excluded and/or marginalised.  Beneficiaries will be identified through a rigorous process based on evidence (if applicable.)The project has an explicit strategy to identify, engage and ensure the meaningful participation of specified target groups/geographic areas throughout the project, including through monitoring and decision-making (such as representation on the project board) </w:t>
            </w:r>
            <w:r w:rsidRPr="0094668E">
              <w:rPr>
                <w:rFonts w:ascii="Calibri" w:hAnsi="Calibri"/>
                <w:i/>
                <w:sz w:val="18"/>
                <w:szCs w:val="18"/>
              </w:rPr>
              <w:t>(</w:t>
            </w:r>
            <w:r w:rsidRPr="0094668E">
              <w:rPr>
                <w:rFonts w:ascii="Calibri" w:hAnsi="Calibri"/>
                <w:i/>
                <w:sz w:val="18"/>
                <w:szCs w:val="18"/>
                <w:u w:val="single"/>
              </w:rPr>
              <w:t>all</w:t>
            </w:r>
            <w:r w:rsidRPr="0094668E">
              <w:rPr>
                <w:rFonts w:ascii="Calibri" w:hAnsi="Calibri"/>
                <w:i/>
                <w:sz w:val="18"/>
                <w:szCs w:val="18"/>
              </w:rPr>
              <w:t xml:space="preserve"> must be true to select this option)</w:t>
            </w:r>
            <w:r w:rsidRPr="0094668E">
              <w:rPr>
                <w:rFonts w:ascii="Calibri" w:hAnsi="Calibri"/>
                <w:sz w:val="18"/>
                <w:szCs w:val="18"/>
              </w:rPr>
              <w:t xml:space="preserve"> </w:t>
            </w:r>
          </w:p>
          <w:p w14:paraId="2AE1A210" w14:textId="77777777" w:rsidR="00D17561" w:rsidRPr="0094668E" w:rsidRDefault="00D17561" w:rsidP="00D17561">
            <w:pPr>
              <w:pStyle w:val="ListParagraph"/>
              <w:numPr>
                <w:ilvl w:val="0"/>
                <w:numId w:val="199"/>
              </w:numPr>
              <w:spacing w:before="20" w:after="20"/>
              <w:ind w:left="607" w:hanging="247"/>
              <w:rPr>
                <w:rFonts w:ascii="Calibri" w:hAnsi="Calibri"/>
                <w:sz w:val="18"/>
                <w:szCs w:val="18"/>
              </w:rPr>
            </w:pPr>
            <w:r w:rsidRPr="0094668E">
              <w:rPr>
                <w:rFonts w:ascii="Calibri" w:hAnsi="Calibri"/>
                <w:b/>
                <w:sz w:val="18"/>
                <w:szCs w:val="18"/>
                <w:u w:val="single"/>
              </w:rPr>
              <w:t>2:</w:t>
            </w:r>
            <w:r w:rsidRPr="0094668E">
              <w:rPr>
                <w:rFonts w:ascii="Calibri" w:hAnsi="Calibri"/>
                <w:sz w:val="18"/>
                <w:szCs w:val="18"/>
              </w:rPr>
              <w:t xml:space="preserve"> The target groups/geographic areas are appropriately specified, prioritising the excluded and/or marginalised. The project document states how beneficiaries will be identified, engaged and how meaningful participation will be ensured throughout the project. </w:t>
            </w:r>
            <w:r w:rsidRPr="0094668E">
              <w:rPr>
                <w:rFonts w:ascii="Calibri" w:hAnsi="Calibri"/>
                <w:i/>
                <w:sz w:val="18"/>
                <w:szCs w:val="18"/>
              </w:rPr>
              <w:t>(</w:t>
            </w:r>
            <w:r w:rsidRPr="0094668E">
              <w:rPr>
                <w:rFonts w:ascii="Calibri" w:hAnsi="Calibri"/>
                <w:i/>
                <w:sz w:val="18"/>
                <w:szCs w:val="18"/>
                <w:u w:val="single"/>
              </w:rPr>
              <w:t>both</w:t>
            </w:r>
            <w:r w:rsidRPr="0094668E">
              <w:rPr>
                <w:rFonts w:ascii="Calibri" w:hAnsi="Calibri"/>
                <w:i/>
                <w:sz w:val="18"/>
                <w:szCs w:val="18"/>
              </w:rPr>
              <w:t xml:space="preserve"> must be true to select this option)</w:t>
            </w:r>
          </w:p>
          <w:p w14:paraId="2D131575" w14:textId="77777777" w:rsidR="00D17561" w:rsidRPr="0094668E" w:rsidRDefault="00D17561" w:rsidP="00D17561">
            <w:pPr>
              <w:pStyle w:val="ListParagraph"/>
              <w:numPr>
                <w:ilvl w:val="0"/>
                <w:numId w:val="199"/>
              </w:numPr>
              <w:tabs>
                <w:tab w:val="left" w:pos="5715"/>
              </w:tabs>
              <w:spacing w:before="20" w:after="20"/>
              <w:ind w:left="607" w:hanging="247"/>
              <w:rPr>
                <w:rFonts w:ascii="Calibri" w:hAnsi="Calibri"/>
                <w:sz w:val="18"/>
                <w:szCs w:val="18"/>
              </w:rPr>
            </w:pPr>
            <w:r w:rsidRPr="0094668E">
              <w:rPr>
                <w:rFonts w:ascii="Calibri" w:hAnsi="Calibri"/>
                <w:b/>
                <w:sz w:val="18"/>
                <w:szCs w:val="18"/>
                <w:u w:val="single"/>
              </w:rPr>
              <w:t>1:</w:t>
            </w:r>
            <w:r w:rsidRPr="0094668E">
              <w:rPr>
                <w:rFonts w:ascii="Calibri" w:hAnsi="Calibri"/>
                <w:sz w:val="18"/>
                <w:szCs w:val="18"/>
              </w:rPr>
              <w:t xml:space="preserve"> The target groups/geographic areas are not specified, or do not prioritize excluded and/or marginalised populations. The project does not have a written strategy to identify or engage or ensure the meaningful participation of the target groups/geographic areas throughout the project.</w:t>
            </w:r>
          </w:p>
          <w:p w14:paraId="502AF495" w14:textId="77777777" w:rsidR="00D17561" w:rsidRPr="0094668E" w:rsidRDefault="00D17561" w:rsidP="00EB71A9">
            <w:pPr>
              <w:tabs>
                <w:tab w:val="left" w:pos="5715"/>
              </w:tabs>
              <w:spacing w:before="120"/>
              <w:rPr>
                <w:sz w:val="16"/>
                <w:szCs w:val="16"/>
              </w:rPr>
            </w:pPr>
            <w:r w:rsidRPr="0094668E">
              <w:rPr>
                <w:sz w:val="16"/>
                <w:szCs w:val="16"/>
              </w:rPr>
              <w:t>*Note:  Management Action must be taken for a score of 1, or select not applicable.</w:t>
            </w:r>
          </w:p>
        </w:tc>
        <w:tc>
          <w:tcPr>
            <w:tcW w:w="496" w:type="dxa"/>
            <w:shd w:val="clear" w:color="auto" w:fill="auto"/>
          </w:tcPr>
          <w:p w14:paraId="1AF5D21F" w14:textId="77777777" w:rsidR="00D17561" w:rsidRPr="0094668E" w:rsidRDefault="00D17561" w:rsidP="00EB71A9">
            <w:pPr>
              <w:spacing w:before="20" w:after="20"/>
              <w:jc w:val="center"/>
              <w:rPr>
                <w:sz w:val="18"/>
                <w:szCs w:val="18"/>
              </w:rPr>
            </w:pPr>
            <w:r w:rsidRPr="0094668E">
              <w:rPr>
                <w:sz w:val="18"/>
                <w:szCs w:val="18"/>
              </w:rPr>
              <w:t>3</w:t>
            </w:r>
          </w:p>
        </w:tc>
        <w:tc>
          <w:tcPr>
            <w:tcW w:w="1046" w:type="dxa"/>
            <w:shd w:val="clear" w:color="auto" w:fill="auto"/>
          </w:tcPr>
          <w:p w14:paraId="638AA881" w14:textId="77777777" w:rsidR="00D17561" w:rsidRPr="00940BC5" w:rsidRDefault="00D17561" w:rsidP="00EB71A9">
            <w:pPr>
              <w:spacing w:before="20" w:after="20"/>
              <w:jc w:val="center"/>
              <w:rPr>
                <w:rFonts w:ascii="Times New Roman" w:hAnsi="Times New Roman"/>
                <w:b/>
              </w:rPr>
            </w:pPr>
            <w:r w:rsidRPr="00940BC5">
              <w:rPr>
                <w:rFonts w:ascii="Times New Roman" w:hAnsi="Times New Roman"/>
                <w:b/>
                <w:highlight w:val="yellow"/>
              </w:rPr>
              <w:t>2</w:t>
            </w:r>
          </w:p>
        </w:tc>
      </w:tr>
      <w:tr w:rsidR="00D17561" w:rsidRPr="0094668E" w14:paraId="187DFD6A" w14:textId="77777777" w:rsidTr="00EB71A9">
        <w:trPr>
          <w:trHeight w:val="251"/>
        </w:trPr>
        <w:tc>
          <w:tcPr>
            <w:tcW w:w="9152" w:type="dxa"/>
            <w:gridSpan w:val="7"/>
            <w:vMerge/>
            <w:shd w:val="clear" w:color="auto" w:fill="auto"/>
          </w:tcPr>
          <w:p w14:paraId="1F04B5DA" w14:textId="77777777" w:rsidR="00D17561" w:rsidRPr="0094668E" w:rsidRDefault="00D17561" w:rsidP="00EB71A9">
            <w:pPr>
              <w:spacing w:before="20" w:after="20"/>
              <w:ind w:left="337" w:hanging="360"/>
              <w:rPr>
                <w:sz w:val="18"/>
                <w:szCs w:val="18"/>
              </w:rPr>
            </w:pPr>
          </w:p>
        </w:tc>
        <w:tc>
          <w:tcPr>
            <w:tcW w:w="1542" w:type="dxa"/>
            <w:gridSpan w:val="2"/>
            <w:tcBorders>
              <w:bottom w:val="single" w:sz="4" w:space="0" w:color="000000"/>
            </w:tcBorders>
            <w:shd w:val="clear" w:color="auto" w:fill="auto"/>
          </w:tcPr>
          <w:p w14:paraId="12C130E8" w14:textId="77777777" w:rsidR="00D17561" w:rsidRPr="0094668E" w:rsidRDefault="00D17561" w:rsidP="00EB71A9">
            <w:pPr>
              <w:spacing w:before="20" w:after="20"/>
              <w:jc w:val="center"/>
              <w:rPr>
                <w:sz w:val="18"/>
                <w:szCs w:val="18"/>
              </w:rPr>
            </w:pPr>
            <w:r w:rsidRPr="0094668E">
              <w:rPr>
                <w:sz w:val="18"/>
                <w:szCs w:val="18"/>
              </w:rPr>
              <w:t>1</w:t>
            </w:r>
          </w:p>
        </w:tc>
      </w:tr>
      <w:tr w:rsidR="00D17561" w:rsidRPr="0094668E" w14:paraId="2216A102" w14:textId="77777777" w:rsidTr="00EB71A9">
        <w:trPr>
          <w:trHeight w:val="1701"/>
        </w:trPr>
        <w:tc>
          <w:tcPr>
            <w:tcW w:w="9152" w:type="dxa"/>
            <w:gridSpan w:val="7"/>
            <w:vMerge/>
            <w:tcBorders>
              <w:bottom w:val="single" w:sz="4" w:space="0" w:color="000000"/>
            </w:tcBorders>
            <w:shd w:val="clear" w:color="auto" w:fill="auto"/>
          </w:tcPr>
          <w:p w14:paraId="346F89C6" w14:textId="77777777" w:rsidR="00D17561" w:rsidRPr="0094668E" w:rsidRDefault="00D17561" w:rsidP="00EB71A9">
            <w:pPr>
              <w:spacing w:before="20" w:after="20"/>
              <w:ind w:left="337" w:hanging="360"/>
              <w:rPr>
                <w:sz w:val="18"/>
                <w:szCs w:val="18"/>
              </w:rPr>
            </w:pPr>
          </w:p>
        </w:tc>
        <w:tc>
          <w:tcPr>
            <w:tcW w:w="1542" w:type="dxa"/>
            <w:gridSpan w:val="2"/>
            <w:tcBorders>
              <w:bottom w:val="single" w:sz="4" w:space="0" w:color="000000"/>
            </w:tcBorders>
            <w:shd w:val="clear" w:color="auto" w:fill="auto"/>
          </w:tcPr>
          <w:p w14:paraId="36054899" w14:textId="77777777" w:rsidR="00D17561" w:rsidRPr="0094668E" w:rsidRDefault="00D17561" w:rsidP="00EB71A9">
            <w:pPr>
              <w:tabs>
                <w:tab w:val="left" w:pos="5715"/>
              </w:tabs>
              <w:spacing w:before="20" w:after="20"/>
              <w:rPr>
                <w:i/>
                <w:sz w:val="18"/>
                <w:szCs w:val="18"/>
              </w:rPr>
            </w:pPr>
            <w:r w:rsidRPr="0094668E">
              <w:rPr>
                <w:i/>
                <w:sz w:val="18"/>
                <w:szCs w:val="18"/>
              </w:rPr>
              <w:t>Select (all) targeted groups: (drop-down)</w:t>
            </w:r>
          </w:p>
          <w:p w14:paraId="03BEDCFE" w14:textId="77777777" w:rsidR="00D17561" w:rsidRDefault="00D17561" w:rsidP="00EB71A9">
            <w:pPr>
              <w:spacing w:before="20" w:after="20"/>
              <w:rPr>
                <w:b/>
                <w:sz w:val="18"/>
                <w:szCs w:val="18"/>
              </w:rPr>
            </w:pPr>
            <w:r w:rsidRPr="0094668E">
              <w:rPr>
                <w:b/>
                <w:sz w:val="18"/>
                <w:szCs w:val="18"/>
              </w:rPr>
              <w:t>Evidence</w:t>
            </w:r>
          </w:p>
          <w:p w14:paraId="4C30B3B8" w14:textId="77777777" w:rsidR="00D17561" w:rsidRDefault="00D17561" w:rsidP="00EB71A9">
            <w:pPr>
              <w:spacing w:before="20" w:after="20"/>
              <w:rPr>
                <w:b/>
                <w:sz w:val="18"/>
                <w:szCs w:val="18"/>
              </w:rPr>
            </w:pPr>
            <w:r>
              <w:rPr>
                <w:b/>
                <w:sz w:val="18"/>
                <w:szCs w:val="18"/>
              </w:rPr>
              <w:t>Section III of page 18</w:t>
            </w:r>
          </w:p>
          <w:p w14:paraId="036B8392" w14:textId="77777777" w:rsidR="00D17561" w:rsidRPr="00940BC5" w:rsidRDefault="00D17561" w:rsidP="00EB71A9">
            <w:pPr>
              <w:jc w:val="center"/>
              <w:rPr>
                <w:rFonts w:ascii="Cambria" w:hAnsi="Cambria"/>
                <w:sz w:val="16"/>
                <w:szCs w:val="16"/>
              </w:rPr>
            </w:pPr>
            <w:r w:rsidRPr="00940BC5">
              <w:rPr>
                <w:rFonts w:ascii="Cambria" w:hAnsi="Cambria"/>
                <w:sz w:val="16"/>
                <w:szCs w:val="16"/>
              </w:rPr>
              <w:t>Gender Analysis and Mainstreaming Action Plan (and other Vulnerable Populations)</w:t>
            </w:r>
            <w:r>
              <w:rPr>
                <w:rFonts w:ascii="Cambria" w:hAnsi="Cambria"/>
                <w:sz w:val="16"/>
                <w:szCs w:val="16"/>
              </w:rPr>
              <w:t xml:space="preserve"> as per pages 89 -105 </w:t>
            </w:r>
          </w:p>
          <w:p w14:paraId="4EA336D4" w14:textId="77777777" w:rsidR="00D17561" w:rsidRDefault="00D17561" w:rsidP="00EB71A9">
            <w:pPr>
              <w:spacing w:before="20" w:after="20"/>
              <w:rPr>
                <w:b/>
                <w:sz w:val="18"/>
                <w:szCs w:val="18"/>
              </w:rPr>
            </w:pPr>
          </w:p>
          <w:p w14:paraId="667B4518" w14:textId="77777777" w:rsidR="00D17561" w:rsidRPr="00940BC5" w:rsidRDefault="00D17561" w:rsidP="00EB71A9">
            <w:pPr>
              <w:spacing w:before="20" w:after="20"/>
              <w:rPr>
                <w:b/>
                <w:sz w:val="18"/>
                <w:szCs w:val="18"/>
              </w:rPr>
            </w:pPr>
          </w:p>
        </w:tc>
      </w:tr>
      <w:tr w:rsidR="00D17561" w:rsidRPr="0094668E" w14:paraId="5828C76C" w14:textId="77777777" w:rsidTr="00EB71A9">
        <w:trPr>
          <w:trHeight w:val="206"/>
        </w:trPr>
        <w:tc>
          <w:tcPr>
            <w:tcW w:w="9152" w:type="dxa"/>
            <w:gridSpan w:val="7"/>
            <w:vMerge w:val="restart"/>
            <w:shd w:val="clear" w:color="auto" w:fill="auto"/>
          </w:tcPr>
          <w:p w14:paraId="592B83CB" w14:textId="77777777" w:rsidR="00D17561" w:rsidRPr="0094668E" w:rsidRDefault="00D17561" w:rsidP="00D17561">
            <w:pPr>
              <w:pStyle w:val="ListParagraph"/>
              <w:numPr>
                <w:ilvl w:val="0"/>
                <w:numId w:val="206"/>
              </w:numPr>
              <w:spacing w:before="120" w:after="20"/>
              <w:ind w:left="245" w:hanging="274"/>
              <w:rPr>
                <w:rFonts w:ascii="Calibri" w:hAnsi="Calibri"/>
                <w:b/>
                <w:sz w:val="18"/>
                <w:szCs w:val="18"/>
              </w:rPr>
            </w:pPr>
            <w:r w:rsidRPr="0094668E">
              <w:rPr>
                <w:rFonts w:ascii="Calibri" w:hAnsi="Calibri"/>
                <w:b/>
                <w:sz w:val="18"/>
                <w:szCs w:val="18"/>
              </w:rPr>
              <w:t>Have knowledge, good practices, and past lessons learned of UNDP and others informed the project design? (select the option from 1-3 that best reflects this project):</w:t>
            </w:r>
          </w:p>
          <w:p w14:paraId="756BFA2E" w14:textId="77777777" w:rsidR="00D17561" w:rsidRPr="0094668E" w:rsidRDefault="00D17561" w:rsidP="00D17561">
            <w:pPr>
              <w:pStyle w:val="ListParagraph"/>
              <w:numPr>
                <w:ilvl w:val="0"/>
                <w:numId w:val="199"/>
              </w:numPr>
              <w:spacing w:before="20" w:after="20"/>
              <w:ind w:left="607" w:hanging="247"/>
              <w:rPr>
                <w:rFonts w:ascii="Calibri" w:hAnsi="Calibri"/>
                <w:sz w:val="18"/>
                <w:szCs w:val="18"/>
              </w:rPr>
            </w:pPr>
            <w:r w:rsidRPr="0094668E">
              <w:rPr>
                <w:rFonts w:ascii="Calibri" w:hAnsi="Calibri"/>
                <w:b/>
                <w:sz w:val="18"/>
                <w:szCs w:val="18"/>
                <w:u w:val="single"/>
              </w:rPr>
              <w:t>3:</w:t>
            </w:r>
            <w:r w:rsidRPr="0094668E">
              <w:rPr>
                <w:rFonts w:ascii="Calibri" w:hAnsi="Calibri"/>
                <w:sz w:val="18"/>
                <w:szCs w:val="18"/>
              </w:rPr>
              <w:t xml:space="preserve"> Knowledge and lessons learned (gained e.g. through peer assist sessions) backed by credible evidence from evaluation, corporate policies/strategies, and monitoring have been explicitly used, with appropriate referencing, to develop the project’s theory of change and justify the approach used by the project over alternatives. </w:t>
            </w:r>
          </w:p>
          <w:p w14:paraId="4A69A514" w14:textId="77777777" w:rsidR="00D17561" w:rsidRPr="0094668E" w:rsidRDefault="00D17561" w:rsidP="00D17561">
            <w:pPr>
              <w:pStyle w:val="ListParagraph"/>
              <w:numPr>
                <w:ilvl w:val="0"/>
                <w:numId w:val="199"/>
              </w:numPr>
              <w:spacing w:before="20" w:after="20"/>
              <w:ind w:left="607" w:hanging="247"/>
              <w:rPr>
                <w:rFonts w:ascii="Calibri" w:hAnsi="Calibri"/>
                <w:sz w:val="18"/>
                <w:szCs w:val="18"/>
              </w:rPr>
            </w:pPr>
            <w:r w:rsidRPr="0094668E">
              <w:rPr>
                <w:rFonts w:ascii="Calibri" w:hAnsi="Calibri"/>
                <w:b/>
                <w:sz w:val="18"/>
                <w:szCs w:val="18"/>
                <w:u w:val="single"/>
              </w:rPr>
              <w:t>2:</w:t>
            </w:r>
            <w:r w:rsidRPr="0094668E">
              <w:rPr>
                <w:rFonts w:ascii="Calibri" w:hAnsi="Calibri"/>
                <w:sz w:val="18"/>
                <w:szCs w:val="18"/>
              </w:rPr>
              <w:t xml:space="preserve"> The project design mentions knowledge and lessons learned backed by evidence/sources, which inform the project’s theory of change but have not been used/are not sufficient to justify the approach selected over alternatives.</w:t>
            </w:r>
          </w:p>
          <w:p w14:paraId="51EEDF89" w14:textId="77777777" w:rsidR="00D17561" w:rsidRPr="0094668E" w:rsidRDefault="00D17561" w:rsidP="00D17561">
            <w:pPr>
              <w:pStyle w:val="ListParagraph"/>
              <w:numPr>
                <w:ilvl w:val="0"/>
                <w:numId w:val="199"/>
              </w:numPr>
              <w:tabs>
                <w:tab w:val="left" w:pos="5715"/>
              </w:tabs>
              <w:spacing w:before="20" w:after="20"/>
              <w:ind w:left="607" w:hanging="247"/>
              <w:rPr>
                <w:rFonts w:ascii="Calibri" w:hAnsi="Calibri"/>
                <w:sz w:val="18"/>
                <w:szCs w:val="18"/>
              </w:rPr>
            </w:pPr>
            <w:r w:rsidRPr="0094668E">
              <w:rPr>
                <w:rFonts w:ascii="Calibri" w:hAnsi="Calibri"/>
                <w:b/>
                <w:sz w:val="18"/>
                <w:szCs w:val="18"/>
                <w:u w:val="single"/>
              </w:rPr>
              <w:t>1:</w:t>
            </w:r>
            <w:r w:rsidRPr="0094668E">
              <w:rPr>
                <w:rFonts w:ascii="Calibri" w:hAnsi="Calibri"/>
                <w:sz w:val="18"/>
                <w:szCs w:val="18"/>
              </w:rPr>
              <w:t xml:space="preserve"> There is only scant or no mention of knowledge and lessons learned informing the project design. Any references that are made are not backed by evidence.</w:t>
            </w:r>
          </w:p>
          <w:p w14:paraId="54025A7E" w14:textId="77777777" w:rsidR="00D17561" w:rsidRPr="0094668E" w:rsidRDefault="00D17561" w:rsidP="00EB71A9">
            <w:pPr>
              <w:tabs>
                <w:tab w:val="left" w:pos="5715"/>
              </w:tabs>
              <w:spacing w:before="120"/>
              <w:rPr>
                <w:sz w:val="16"/>
                <w:szCs w:val="16"/>
              </w:rPr>
            </w:pPr>
            <w:r w:rsidRPr="0094668E">
              <w:rPr>
                <w:sz w:val="16"/>
                <w:szCs w:val="16"/>
              </w:rPr>
              <w:t>*Note:  Management Action or strong management justification must be given for a score of 1</w:t>
            </w:r>
          </w:p>
        </w:tc>
        <w:tc>
          <w:tcPr>
            <w:tcW w:w="496" w:type="dxa"/>
            <w:shd w:val="clear" w:color="auto" w:fill="auto"/>
          </w:tcPr>
          <w:p w14:paraId="795677CD" w14:textId="77777777" w:rsidR="00D17561" w:rsidRPr="0094668E" w:rsidRDefault="00D17561" w:rsidP="00EB71A9">
            <w:pPr>
              <w:spacing w:after="0"/>
              <w:jc w:val="center"/>
              <w:rPr>
                <w:sz w:val="18"/>
                <w:szCs w:val="18"/>
              </w:rPr>
            </w:pPr>
            <w:r w:rsidRPr="0094668E">
              <w:rPr>
                <w:sz w:val="18"/>
                <w:szCs w:val="18"/>
              </w:rPr>
              <w:t>3</w:t>
            </w:r>
          </w:p>
        </w:tc>
        <w:tc>
          <w:tcPr>
            <w:tcW w:w="1046" w:type="dxa"/>
            <w:shd w:val="clear" w:color="auto" w:fill="auto"/>
          </w:tcPr>
          <w:p w14:paraId="053EE01F" w14:textId="77777777" w:rsidR="00D17561" w:rsidRPr="00940BC5" w:rsidRDefault="00D17561" w:rsidP="00EB71A9">
            <w:pPr>
              <w:spacing w:after="0"/>
              <w:jc w:val="center"/>
              <w:rPr>
                <w:b/>
              </w:rPr>
            </w:pPr>
            <w:r w:rsidRPr="00940BC5">
              <w:rPr>
                <w:b/>
                <w:highlight w:val="yellow"/>
              </w:rPr>
              <w:t>2</w:t>
            </w:r>
          </w:p>
        </w:tc>
      </w:tr>
      <w:tr w:rsidR="00D17561" w:rsidRPr="0094668E" w14:paraId="0580E70A" w14:textId="77777777" w:rsidTr="00EB71A9">
        <w:trPr>
          <w:trHeight w:val="215"/>
        </w:trPr>
        <w:tc>
          <w:tcPr>
            <w:tcW w:w="9152" w:type="dxa"/>
            <w:gridSpan w:val="7"/>
            <w:vMerge/>
            <w:shd w:val="clear" w:color="auto" w:fill="auto"/>
          </w:tcPr>
          <w:p w14:paraId="2F7762FC" w14:textId="77777777" w:rsidR="00D17561" w:rsidRPr="0094668E" w:rsidRDefault="00D17561" w:rsidP="00EB71A9">
            <w:pPr>
              <w:spacing w:before="20" w:after="20"/>
              <w:rPr>
                <w:sz w:val="18"/>
                <w:szCs w:val="18"/>
              </w:rPr>
            </w:pPr>
          </w:p>
        </w:tc>
        <w:tc>
          <w:tcPr>
            <w:tcW w:w="1542" w:type="dxa"/>
            <w:gridSpan w:val="2"/>
            <w:tcBorders>
              <w:bottom w:val="single" w:sz="4" w:space="0" w:color="000000"/>
            </w:tcBorders>
            <w:shd w:val="clear" w:color="auto" w:fill="auto"/>
          </w:tcPr>
          <w:p w14:paraId="121D34D7" w14:textId="77777777" w:rsidR="00D17561" w:rsidRPr="0094668E" w:rsidRDefault="00D17561" w:rsidP="00EB71A9">
            <w:pPr>
              <w:spacing w:after="0"/>
              <w:jc w:val="center"/>
              <w:rPr>
                <w:sz w:val="18"/>
                <w:szCs w:val="18"/>
              </w:rPr>
            </w:pPr>
            <w:r w:rsidRPr="0094668E">
              <w:rPr>
                <w:sz w:val="18"/>
                <w:szCs w:val="18"/>
              </w:rPr>
              <w:t>1</w:t>
            </w:r>
          </w:p>
        </w:tc>
      </w:tr>
      <w:tr w:rsidR="00D17561" w:rsidRPr="0094668E" w14:paraId="41CA0CD7" w14:textId="77777777" w:rsidTr="00EB71A9">
        <w:trPr>
          <w:trHeight w:val="1241"/>
        </w:trPr>
        <w:tc>
          <w:tcPr>
            <w:tcW w:w="9152" w:type="dxa"/>
            <w:gridSpan w:val="7"/>
            <w:vMerge/>
            <w:tcBorders>
              <w:bottom w:val="single" w:sz="4" w:space="0" w:color="000000"/>
            </w:tcBorders>
            <w:shd w:val="clear" w:color="auto" w:fill="auto"/>
          </w:tcPr>
          <w:p w14:paraId="3D2C1052" w14:textId="77777777" w:rsidR="00D17561" w:rsidRPr="0094668E" w:rsidRDefault="00D17561" w:rsidP="00EB71A9">
            <w:pPr>
              <w:spacing w:before="20" w:after="20"/>
              <w:rPr>
                <w:sz w:val="18"/>
                <w:szCs w:val="18"/>
              </w:rPr>
            </w:pPr>
          </w:p>
        </w:tc>
        <w:tc>
          <w:tcPr>
            <w:tcW w:w="1542" w:type="dxa"/>
            <w:gridSpan w:val="2"/>
            <w:tcBorders>
              <w:bottom w:val="single" w:sz="4" w:space="0" w:color="000000"/>
            </w:tcBorders>
            <w:shd w:val="clear" w:color="auto" w:fill="auto"/>
          </w:tcPr>
          <w:p w14:paraId="5E7B01A3" w14:textId="77777777" w:rsidR="00D17561" w:rsidRPr="00940BC5" w:rsidRDefault="00D17561" w:rsidP="00EB71A9">
            <w:pPr>
              <w:spacing w:after="0"/>
              <w:jc w:val="center"/>
              <w:rPr>
                <w:sz w:val="18"/>
                <w:szCs w:val="18"/>
              </w:rPr>
            </w:pPr>
            <w:r w:rsidRPr="0094668E">
              <w:rPr>
                <w:b/>
                <w:sz w:val="18"/>
                <w:szCs w:val="18"/>
              </w:rPr>
              <w:t>Evidence</w:t>
            </w:r>
          </w:p>
          <w:p w14:paraId="2FFAC0FA" w14:textId="77777777" w:rsidR="00D17561" w:rsidRPr="0094668E" w:rsidRDefault="00D17561" w:rsidP="00EB71A9">
            <w:pPr>
              <w:spacing w:after="0"/>
              <w:jc w:val="center"/>
              <w:rPr>
                <w:sz w:val="18"/>
                <w:szCs w:val="18"/>
              </w:rPr>
            </w:pPr>
            <w:r w:rsidRPr="00940BC5">
              <w:rPr>
                <w:sz w:val="18"/>
                <w:szCs w:val="18"/>
              </w:rPr>
              <w:t>Refer to  Attachment 1 page 93 on best practices relevant to project ,page 31 reference to GEF 5,</w:t>
            </w:r>
          </w:p>
        </w:tc>
      </w:tr>
      <w:tr w:rsidR="00D17561" w:rsidRPr="0094668E" w14:paraId="4E26BC67" w14:textId="77777777" w:rsidTr="00EB71A9">
        <w:trPr>
          <w:trHeight w:val="179"/>
        </w:trPr>
        <w:tc>
          <w:tcPr>
            <w:tcW w:w="9152" w:type="dxa"/>
            <w:gridSpan w:val="7"/>
            <w:vMerge w:val="restart"/>
            <w:shd w:val="clear" w:color="auto" w:fill="auto"/>
          </w:tcPr>
          <w:p w14:paraId="7F5B5BA9" w14:textId="77777777" w:rsidR="00D17561" w:rsidRPr="0094668E" w:rsidRDefault="00D17561" w:rsidP="00D17561">
            <w:pPr>
              <w:pStyle w:val="ListParagraph"/>
              <w:numPr>
                <w:ilvl w:val="0"/>
                <w:numId w:val="206"/>
              </w:numPr>
              <w:spacing w:before="120" w:after="20"/>
              <w:ind w:left="245" w:hanging="274"/>
              <w:rPr>
                <w:rFonts w:ascii="Calibri" w:hAnsi="Calibri"/>
                <w:b/>
                <w:sz w:val="18"/>
                <w:szCs w:val="18"/>
              </w:rPr>
            </w:pPr>
            <w:r w:rsidRPr="0094668E">
              <w:rPr>
                <w:rFonts w:ascii="Calibri" w:hAnsi="Calibri"/>
                <w:b/>
                <w:sz w:val="18"/>
                <w:szCs w:val="18"/>
              </w:rPr>
              <w:t>Does t</w:t>
            </w:r>
            <w:r w:rsidRPr="0094668E">
              <w:rPr>
                <w:rFonts w:ascii="Calibri" w:eastAsia="Calibri" w:hAnsi="Calibri"/>
                <w:b/>
                <w:sz w:val="18"/>
                <w:szCs w:val="18"/>
              </w:rPr>
              <w:t>he project use gender analysis in the project design and does the project respond to this gender analysis with concrete measures to address gender inequities and empower women</w:t>
            </w:r>
            <w:r w:rsidRPr="0094668E">
              <w:rPr>
                <w:rFonts w:ascii="Calibri" w:hAnsi="Calibri"/>
                <w:b/>
                <w:sz w:val="18"/>
                <w:szCs w:val="18"/>
              </w:rPr>
              <w:t>? (select the option from 1-3 that best reflects this project):</w:t>
            </w:r>
          </w:p>
          <w:p w14:paraId="6ED84E24" w14:textId="77777777" w:rsidR="00D17561" w:rsidRPr="0094668E" w:rsidRDefault="00D17561" w:rsidP="00D17561">
            <w:pPr>
              <w:pStyle w:val="ListParagraph"/>
              <w:numPr>
                <w:ilvl w:val="0"/>
                <w:numId w:val="204"/>
              </w:numPr>
              <w:ind w:left="607" w:hanging="270"/>
              <w:rPr>
                <w:rFonts w:ascii="Calibri" w:hAnsi="Calibri"/>
                <w:sz w:val="18"/>
                <w:szCs w:val="18"/>
              </w:rPr>
            </w:pPr>
            <w:r w:rsidRPr="0094668E">
              <w:rPr>
                <w:rFonts w:ascii="Calibri" w:hAnsi="Calibri"/>
                <w:b/>
                <w:sz w:val="18"/>
                <w:szCs w:val="18"/>
                <w:u w:val="single"/>
              </w:rPr>
              <w:t>3:</w:t>
            </w:r>
            <w:r w:rsidRPr="0094668E">
              <w:rPr>
                <w:rFonts w:ascii="Calibri" w:hAnsi="Calibri"/>
                <w:sz w:val="18"/>
                <w:szCs w:val="18"/>
              </w:rPr>
              <w:t xml:space="preserve">  A </w:t>
            </w:r>
            <w:r w:rsidRPr="0094668E">
              <w:rPr>
                <w:rFonts w:ascii="Calibri" w:hAnsi="Calibri"/>
                <w:sz w:val="18"/>
                <w:szCs w:val="18"/>
                <w:u w:val="single"/>
              </w:rPr>
              <w:t>participatory</w:t>
            </w:r>
            <w:r w:rsidRPr="0094668E">
              <w:rPr>
                <w:rFonts w:ascii="Calibri" w:hAnsi="Calibri"/>
                <w:sz w:val="18"/>
                <w:szCs w:val="18"/>
              </w:rPr>
              <w:t xml:space="preserve"> gender analysis on the project has been conducted. This analysis reflects on the different needs, roles and access to/control over resources of women and men, and it is fully integrated into the project document. The project establishes concrete priorities to address gender inequalities in its strategy. The results framework includes outputs and activities that specifically respond to this gender analysis, with indicators that measure and monitor results contributing to gender equality. </w:t>
            </w:r>
            <w:r w:rsidRPr="0094668E">
              <w:rPr>
                <w:rFonts w:ascii="Calibri" w:hAnsi="Calibri"/>
                <w:i/>
                <w:sz w:val="18"/>
                <w:szCs w:val="18"/>
              </w:rPr>
              <w:t>(all must be true to select this option)</w:t>
            </w:r>
          </w:p>
          <w:p w14:paraId="7B3A9CB5" w14:textId="77777777" w:rsidR="00D17561" w:rsidRPr="0094668E" w:rsidRDefault="00D17561" w:rsidP="00D17561">
            <w:pPr>
              <w:pStyle w:val="ListParagraph"/>
              <w:numPr>
                <w:ilvl w:val="0"/>
                <w:numId w:val="201"/>
              </w:numPr>
              <w:spacing w:before="20" w:after="20"/>
              <w:ind w:left="605" w:hanging="245"/>
              <w:rPr>
                <w:rFonts w:ascii="Calibri" w:hAnsi="Calibri"/>
                <w:b/>
                <w:sz w:val="18"/>
                <w:szCs w:val="18"/>
              </w:rPr>
            </w:pPr>
            <w:r w:rsidRPr="0094668E">
              <w:rPr>
                <w:rFonts w:ascii="Calibri" w:hAnsi="Calibri"/>
                <w:b/>
                <w:sz w:val="18"/>
                <w:szCs w:val="18"/>
                <w:u w:val="single"/>
              </w:rPr>
              <w:t>2:</w:t>
            </w:r>
            <w:r w:rsidRPr="0094668E">
              <w:rPr>
                <w:rFonts w:ascii="Calibri" w:hAnsi="Calibri"/>
                <w:sz w:val="18"/>
                <w:szCs w:val="18"/>
              </w:rPr>
              <w:t xml:space="preserve">  A gender analysis on the project has been conducted. This analysis reflects on the different needs, roles and access to/control over resources of women and men. Gender concerns are integrated in the development challenge and strategy sections of the project document. The results framework includes outputs and activities that specifically respond to this gender analysis, with indicators that measure and monitor results contributing to gender equality. </w:t>
            </w:r>
            <w:r w:rsidRPr="0094668E">
              <w:rPr>
                <w:rFonts w:ascii="Calibri" w:hAnsi="Calibri"/>
                <w:i/>
                <w:sz w:val="18"/>
                <w:szCs w:val="18"/>
              </w:rPr>
              <w:t>(all must be true to select this option)</w:t>
            </w:r>
          </w:p>
          <w:p w14:paraId="129ABFAC" w14:textId="77777777" w:rsidR="00D17561" w:rsidRPr="0094668E" w:rsidRDefault="00D17561" w:rsidP="00D17561">
            <w:pPr>
              <w:pStyle w:val="ListParagraph"/>
              <w:numPr>
                <w:ilvl w:val="0"/>
                <w:numId w:val="201"/>
              </w:numPr>
              <w:spacing w:before="20" w:after="20"/>
              <w:ind w:left="605" w:hanging="245"/>
              <w:rPr>
                <w:rFonts w:ascii="Calibri" w:hAnsi="Calibri"/>
                <w:b/>
                <w:sz w:val="18"/>
                <w:szCs w:val="18"/>
              </w:rPr>
            </w:pPr>
            <w:r w:rsidRPr="0094668E">
              <w:rPr>
                <w:rFonts w:ascii="Calibri" w:hAnsi="Calibri"/>
                <w:b/>
                <w:sz w:val="18"/>
                <w:szCs w:val="18"/>
                <w:u w:val="single"/>
              </w:rPr>
              <w:t>1:</w:t>
            </w:r>
            <w:r w:rsidRPr="0094668E">
              <w:rPr>
                <w:rFonts w:ascii="Calibri" w:hAnsi="Calibri"/>
                <w:sz w:val="18"/>
                <w:szCs w:val="18"/>
              </w:rPr>
              <w:t xml:space="preserve"> The project design may or may not mention information and/or data on the differential impact of the project’s development situation on gender relations, women and men, but the constraints have not been clearly identified and interventions have not been considered. </w:t>
            </w:r>
          </w:p>
          <w:p w14:paraId="55B7DCF6" w14:textId="77777777" w:rsidR="00D17561" w:rsidRPr="0094668E" w:rsidRDefault="00D17561" w:rsidP="00EB71A9">
            <w:pPr>
              <w:spacing w:before="20" w:after="20"/>
              <w:rPr>
                <w:b/>
                <w:sz w:val="18"/>
                <w:szCs w:val="18"/>
              </w:rPr>
            </w:pPr>
            <w:r w:rsidRPr="0094668E">
              <w:rPr>
                <w:sz w:val="16"/>
                <w:szCs w:val="16"/>
              </w:rPr>
              <w:t>*Note:  Management Action or strong management justification must be given for a score of 1</w:t>
            </w:r>
          </w:p>
        </w:tc>
        <w:tc>
          <w:tcPr>
            <w:tcW w:w="496" w:type="dxa"/>
            <w:shd w:val="clear" w:color="auto" w:fill="auto"/>
          </w:tcPr>
          <w:p w14:paraId="09A49B0B" w14:textId="77777777" w:rsidR="00D17561" w:rsidRPr="0094668E" w:rsidRDefault="00D17561" w:rsidP="00EB71A9">
            <w:pPr>
              <w:spacing w:after="0"/>
              <w:jc w:val="center"/>
              <w:rPr>
                <w:sz w:val="18"/>
                <w:szCs w:val="18"/>
              </w:rPr>
            </w:pPr>
            <w:r w:rsidRPr="0094668E">
              <w:rPr>
                <w:sz w:val="18"/>
                <w:szCs w:val="18"/>
              </w:rPr>
              <w:t>3</w:t>
            </w:r>
          </w:p>
        </w:tc>
        <w:tc>
          <w:tcPr>
            <w:tcW w:w="1046" w:type="dxa"/>
            <w:shd w:val="clear" w:color="auto" w:fill="auto"/>
          </w:tcPr>
          <w:p w14:paraId="0ADCA807" w14:textId="77777777" w:rsidR="00D17561" w:rsidRPr="006264F2" w:rsidRDefault="00D17561" w:rsidP="00EB71A9">
            <w:pPr>
              <w:spacing w:after="0"/>
              <w:jc w:val="center"/>
              <w:rPr>
                <w:rFonts w:ascii="Times New Roman" w:hAnsi="Times New Roman"/>
                <w:b/>
              </w:rPr>
            </w:pPr>
            <w:r w:rsidRPr="006264F2">
              <w:rPr>
                <w:rFonts w:ascii="Times New Roman" w:hAnsi="Times New Roman"/>
                <w:b/>
                <w:highlight w:val="yellow"/>
              </w:rPr>
              <w:t>2</w:t>
            </w:r>
          </w:p>
        </w:tc>
      </w:tr>
      <w:tr w:rsidR="00D17561" w:rsidRPr="0094668E" w14:paraId="421D7C45" w14:textId="77777777" w:rsidTr="00EB71A9">
        <w:trPr>
          <w:trHeight w:val="152"/>
        </w:trPr>
        <w:tc>
          <w:tcPr>
            <w:tcW w:w="9152" w:type="dxa"/>
            <w:gridSpan w:val="7"/>
            <w:vMerge/>
            <w:shd w:val="clear" w:color="auto" w:fill="auto"/>
          </w:tcPr>
          <w:p w14:paraId="3F16AD89" w14:textId="77777777" w:rsidR="00D17561" w:rsidRPr="0094668E" w:rsidRDefault="00D17561" w:rsidP="00D17561">
            <w:pPr>
              <w:pStyle w:val="ListParagraph"/>
              <w:numPr>
                <w:ilvl w:val="0"/>
                <w:numId w:val="206"/>
              </w:numPr>
              <w:spacing w:before="120" w:after="20"/>
              <w:ind w:left="247" w:hanging="270"/>
              <w:rPr>
                <w:rFonts w:ascii="Calibri" w:hAnsi="Calibri"/>
                <w:b/>
                <w:sz w:val="18"/>
                <w:szCs w:val="18"/>
              </w:rPr>
            </w:pPr>
          </w:p>
        </w:tc>
        <w:tc>
          <w:tcPr>
            <w:tcW w:w="1542" w:type="dxa"/>
            <w:gridSpan w:val="2"/>
            <w:tcBorders>
              <w:bottom w:val="single" w:sz="4" w:space="0" w:color="000000"/>
            </w:tcBorders>
            <w:shd w:val="clear" w:color="auto" w:fill="auto"/>
          </w:tcPr>
          <w:p w14:paraId="640C2CBF" w14:textId="77777777" w:rsidR="00D17561" w:rsidRPr="0094668E" w:rsidRDefault="00D17561" w:rsidP="00EB71A9">
            <w:pPr>
              <w:spacing w:after="0"/>
              <w:jc w:val="center"/>
              <w:rPr>
                <w:sz w:val="18"/>
                <w:szCs w:val="18"/>
              </w:rPr>
            </w:pPr>
            <w:r w:rsidRPr="0094668E">
              <w:rPr>
                <w:sz w:val="18"/>
                <w:szCs w:val="18"/>
              </w:rPr>
              <w:t>1</w:t>
            </w:r>
          </w:p>
        </w:tc>
      </w:tr>
      <w:tr w:rsidR="00D17561" w:rsidRPr="0094668E" w14:paraId="79F1B1ED" w14:textId="77777777" w:rsidTr="00EB71A9">
        <w:trPr>
          <w:trHeight w:val="952"/>
        </w:trPr>
        <w:tc>
          <w:tcPr>
            <w:tcW w:w="9152" w:type="dxa"/>
            <w:gridSpan w:val="7"/>
            <w:vMerge/>
            <w:shd w:val="clear" w:color="auto" w:fill="auto"/>
          </w:tcPr>
          <w:p w14:paraId="00353797" w14:textId="77777777" w:rsidR="00D17561" w:rsidRPr="0094668E" w:rsidRDefault="00D17561" w:rsidP="00D17561">
            <w:pPr>
              <w:pStyle w:val="ListParagraph"/>
              <w:numPr>
                <w:ilvl w:val="0"/>
                <w:numId w:val="206"/>
              </w:numPr>
              <w:spacing w:before="120" w:after="20"/>
              <w:ind w:left="247" w:hanging="270"/>
              <w:rPr>
                <w:rFonts w:ascii="Calibri" w:hAnsi="Calibri"/>
                <w:b/>
                <w:sz w:val="18"/>
                <w:szCs w:val="18"/>
              </w:rPr>
            </w:pPr>
          </w:p>
        </w:tc>
        <w:tc>
          <w:tcPr>
            <w:tcW w:w="1542" w:type="dxa"/>
            <w:gridSpan w:val="2"/>
            <w:tcBorders>
              <w:bottom w:val="single" w:sz="4" w:space="0" w:color="000000"/>
            </w:tcBorders>
            <w:shd w:val="clear" w:color="auto" w:fill="auto"/>
          </w:tcPr>
          <w:p w14:paraId="14A24B23" w14:textId="77777777" w:rsidR="00D17561" w:rsidRDefault="00D17561" w:rsidP="00EB71A9">
            <w:pPr>
              <w:spacing w:after="0"/>
              <w:jc w:val="center"/>
              <w:rPr>
                <w:b/>
                <w:sz w:val="18"/>
                <w:szCs w:val="18"/>
              </w:rPr>
            </w:pPr>
            <w:r w:rsidRPr="0094668E">
              <w:rPr>
                <w:b/>
                <w:sz w:val="18"/>
                <w:szCs w:val="18"/>
              </w:rPr>
              <w:t>Evidence</w:t>
            </w:r>
          </w:p>
          <w:p w14:paraId="312948CC" w14:textId="77777777" w:rsidR="00D17561" w:rsidRPr="001A5680" w:rsidRDefault="00D17561" w:rsidP="00EB71A9">
            <w:pPr>
              <w:spacing w:after="0"/>
              <w:jc w:val="center"/>
              <w:rPr>
                <w:rFonts w:ascii="Times New Roman" w:hAnsi="Times New Roman"/>
                <w:sz w:val="16"/>
                <w:szCs w:val="16"/>
              </w:rPr>
            </w:pPr>
            <w:r w:rsidRPr="001A5680">
              <w:rPr>
                <w:rFonts w:ascii="Times New Roman" w:hAnsi="Times New Roman"/>
                <w:sz w:val="16"/>
                <w:szCs w:val="16"/>
              </w:rPr>
              <w:t>Refer to Page 50 –Results Log Frame &amp;</w:t>
            </w:r>
          </w:p>
          <w:p w14:paraId="17DA7C1B" w14:textId="77777777" w:rsidR="00D17561" w:rsidRPr="001A5680" w:rsidRDefault="00D17561" w:rsidP="00EB71A9">
            <w:pPr>
              <w:jc w:val="center"/>
              <w:rPr>
                <w:rFonts w:ascii="Times New Roman" w:hAnsi="Times New Roman"/>
                <w:sz w:val="16"/>
                <w:szCs w:val="16"/>
              </w:rPr>
            </w:pPr>
            <w:r w:rsidRPr="001A5680">
              <w:rPr>
                <w:rFonts w:ascii="Times New Roman" w:hAnsi="Times New Roman"/>
                <w:sz w:val="16"/>
                <w:szCs w:val="16"/>
              </w:rPr>
              <w:t>Gender Analysis and Mainstreaming Action Plan (and other Vulnerable Populations) as per pages 89 -105.</w:t>
            </w:r>
          </w:p>
          <w:p w14:paraId="33D7D420" w14:textId="77777777" w:rsidR="00D17561" w:rsidRPr="006264F2" w:rsidRDefault="00D17561" w:rsidP="00EB71A9">
            <w:pPr>
              <w:jc w:val="center"/>
              <w:rPr>
                <w:rFonts w:ascii="Cambria" w:hAnsi="Cambria"/>
                <w:sz w:val="16"/>
                <w:szCs w:val="16"/>
              </w:rPr>
            </w:pPr>
            <w:r w:rsidRPr="001A5680">
              <w:rPr>
                <w:rFonts w:ascii="Times New Roman" w:hAnsi="Times New Roman"/>
                <w:sz w:val="16"/>
                <w:szCs w:val="16"/>
              </w:rPr>
              <w:t>Page 42 details gender specific actions</w:t>
            </w:r>
            <w:r>
              <w:rPr>
                <w:rFonts w:ascii="Cambria" w:hAnsi="Cambria"/>
                <w:sz w:val="16"/>
                <w:szCs w:val="16"/>
              </w:rPr>
              <w:t xml:space="preserve"> </w:t>
            </w:r>
          </w:p>
        </w:tc>
      </w:tr>
      <w:tr w:rsidR="00D17561" w:rsidRPr="0094668E" w14:paraId="22B99E50" w14:textId="77777777" w:rsidTr="00EB71A9">
        <w:trPr>
          <w:trHeight w:val="215"/>
        </w:trPr>
        <w:tc>
          <w:tcPr>
            <w:tcW w:w="9152" w:type="dxa"/>
            <w:gridSpan w:val="7"/>
            <w:vMerge w:val="restart"/>
            <w:shd w:val="clear" w:color="auto" w:fill="auto"/>
          </w:tcPr>
          <w:p w14:paraId="4843DD4A" w14:textId="77777777" w:rsidR="00D17561" w:rsidRPr="0094668E" w:rsidRDefault="00D17561" w:rsidP="00D17561">
            <w:pPr>
              <w:pStyle w:val="ListParagraph"/>
              <w:numPr>
                <w:ilvl w:val="0"/>
                <w:numId w:val="206"/>
              </w:numPr>
              <w:spacing w:before="120" w:after="20"/>
              <w:ind w:left="245" w:hanging="245"/>
              <w:rPr>
                <w:rFonts w:ascii="Calibri" w:hAnsi="Calibri"/>
                <w:b/>
                <w:sz w:val="18"/>
                <w:szCs w:val="18"/>
              </w:rPr>
            </w:pPr>
            <w:r w:rsidRPr="0094668E">
              <w:rPr>
                <w:rFonts w:ascii="Calibri" w:hAnsi="Calibri"/>
                <w:b/>
                <w:sz w:val="18"/>
                <w:szCs w:val="18"/>
              </w:rPr>
              <w:t>Does UNDP have a clear advantage to engage in the role envisioned by the project vis-à-vis national partners, other development partners, and other actors? (select from options 1-3 that best reflects this project):</w:t>
            </w:r>
          </w:p>
          <w:p w14:paraId="6E8D3406" w14:textId="77777777" w:rsidR="00D17561" w:rsidRPr="0094668E" w:rsidRDefault="00D17561" w:rsidP="00D17561">
            <w:pPr>
              <w:pStyle w:val="ListParagraph"/>
              <w:numPr>
                <w:ilvl w:val="0"/>
                <w:numId w:val="199"/>
              </w:numPr>
              <w:spacing w:before="20" w:after="20"/>
              <w:ind w:left="607" w:hanging="247"/>
              <w:rPr>
                <w:rFonts w:ascii="Calibri" w:hAnsi="Calibri"/>
                <w:sz w:val="18"/>
                <w:szCs w:val="18"/>
              </w:rPr>
            </w:pPr>
            <w:r w:rsidRPr="0094668E">
              <w:rPr>
                <w:rFonts w:ascii="Calibri" w:hAnsi="Calibri"/>
                <w:b/>
                <w:sz w:val="18"/>
                <w:szCs w:val="18"/>
                <w:u w:val="single"/>
              </w:rPr>
              <w:t>3:</w:t>
            </w:r>
            <w:r w:rsidRPr="0094668E">
              <w:rPr>
                <w:rFonts w:ascii="Calibri" w:hAnsi="Calibri"/>
                <w:sz w:val="18"/>
                <w:szCs w:val="18"/>
              </w:rPr>
              <w:t xml:space="preserve"> An analysis has been conducted on the role of other partners in the area where the project intends to work, and credible evidence supports the proposed engagement of UNDP and partners through the project. It is clear how results achieved by relevant partners will contribute to outcome level change complementing the project’s intended results. If relevant, options for south-south and triangular cooperation have been considered, as appropriate. </w:t>
            </w:r>
            <w:r w:rsidRPr="0094668E">
              <w:rPr>
                <w:rFonts w:ascii="Calibri" w:hAnsi="Calibri"/>
                <w:i/>
                <w:sz w:val="18"/>
                <w:szCs w:val="18"/>
              </w:rPr>
              <w:t>(</w:t>
            </w:r>
            <w:r w:rsidRPr="0094668E">
              <w:rPr>
                <w:rFonts w:ascii="Calibri" w:hAnsi="Calibri"/>
                <w:i/>
                <w:sz w:val="18"/>
                <w:szCs w:val="18"/>
                <w:u w:val="single"/>
              </w:rPr>
              <w:t>all</w:t>
            </w:r>
            <w:r w:rsidRPr="0094668E">
              <w:rPr>
                <w:rFonts w:ascii="Calibri" w:hAnsi="Calibri"/>
                <w:i/>
                <w:sz w:val="18"/>
                <w:szCs w:val="18"/>
              </w:rPr>
              <w:t xml:space="preserve"> must be true to select this option)</w:t>
            </w:r>
          </w:p>
          <w:p w14:paraId="3A11C9B5" w14:textId="77777777" w:rsidR="00D17561" w:rsidRPr="0094668E" w:rsidRDefault="00D17561" w:rsidP="00D17561">
            <w:pPr>
              <w:pStyle w:val="ListParagraph"/>
              <w:numPr>
                <w:ilvl w:val="0"/>
                <w:numId w:val="199"/>
              </w:numPr>
              <w:spacing w:before="20" w:after="20"/>
              <w:ind w:left="607" w:hanging="247"/>
              <w:rPr>
                <w:rFonts w:ascii="Calibri" w:hAnsi="Calibri"/>
                <w:sz w:val="18"/>
                <w:szCs w:val="18"/>
              </w:rPr>
            </w:pPr>
            <w:r w:rsidRPr="0094668E">
              <w:rPr>
                <w:rFonts w:ascii="Calibri" w:hAnsi="Calibri"/>
                <w:b/>
                <w:sz w:val="18"/>
                <w:szCs w:val="18"/>
                <w:u w:val="single"/>
              </w:rPr>
              <w:t>2:</w:t>
            </w:r>
            <w:r w:rsidRPr="0094668E">
              <w:rPr>
                <w:rFonts w:ascii="Calibri" w:hAnsi="Calibri"/>
                <w:sz w:val="18"/>
                <w:szCs w:val="18"/>
              </w:rPr>
              <w:t xml:space="preserve"> Some analysis has been conducted on the role of other partners where the project intends to work, and relatively limited evidence supports the proposed engagement of and division of labour between UNDP and partners through the project. Options for south-south and triangular cooperation may not have not been fully developed during project design, even if relevant opportunities have been identified.</w:t>
            </w:r>
          </w:p>
          <w:p w14:paraId="57740496" w14:textId="77777777" w:rsidR="00D17561" w:rsidRPr="0094668E" w:rsidRDefault="00D17561" w:rsidP="00D17561">
            <w:pPr>
              <w:pStyle w:val="ListParagraph"/>
              <w:numPr>
                <w:ilvl w:val="0"/>
                <w:numId w:val="199"/>
              </w:numPr>
              <w:tabs>
                <w:tab w:val="left" w:pos="5715"/>
              </w:tabs>
              <w:spacing w:before="20" w:after="20"/>
              <w:ind w:left="607" w:hanging="247"/>
              <w:rPr>
                <w:rFonts w:ascii="Calibri" w:hAnsi="Calibri"/>
                <w:sz w:val="18"/>
                <w:szCs w:val="18"/>
              </w:rPr>
            </w:pPr>
            <w:r w:rsidRPr="0094668E">
              <w:rPr>
                <w:rFonts w:ascii="Calibri" w:hAnsi="Calibri"/>
                <w:b/>
                <w:sz w:val="18"/>
                <w:szCs w:val="18"/>
                <w:u w:val="single"/>
              </w:rPr>
              <w:t>1:</w:t>
            </w:r>
            <w:r w:rsidRPr="0094668E">
              <w:rPr>
                <w:rFonts w:ascii="Calibri" w:hAnsi="Calibri"/>
                <w:sz w:val="18"/>
                <w:szCs w:val="18"/>
              </w:rPr>
              <w:t xml:space="preserve"> No clear analysis has been conducted on the role of other partners in the area that the project intends to work, and relatively limited evidence supports the proposed engagement of UNDP and partners through the project. There is risk that the project overlaps and/or does not coordinate with partners’ interventions in this area. Options for south-south and triangular cooperation have not been considered, despite its potential relevance.</w:t>
            </w:r>
          </w:p>
          <w:p w14:paraId="18E0D48C" w14:textId="77777777" w:rsidR="00D17561" w:rsidRPr="0094668E" w:rsidRDefault="00D17561" w:rsidP="00EB71A9">
            <w:pPr>
              <w:tabs>
                <w:tab w:val="left" w:pos="5715"/>
              </w:tabs>
              <w:spacing w:before="120" w:after="20"/>
              <w:rPr>
                <w:sz w:val="16"/>
                <w:szCs w:val="16"/>
              </w:rPr>
            </w:pPr>
            <w:r w:rsidRPr="0094668E">
              <w:rPr>
                <w:sz w:val="16"/>
                <w:szCs w:val="16"/>
              </w:rPr>
              <w:t>*Note:  Management Action or strong management justification must be given for a score of 1</w:t>
            </w:r>
          </w:p>
        </w:tc>
        <w:tc>
          <w:tcPr>
            <w:tcW w:w="496" w:type="dxa"/>
            <w:shd w:val="clear" w:color="auto" w:fill="auto"/>
          </w:tcPr>
          <w:p w14:paraId="0446C179" w14:textId="77777777" w:rsidR="00D17561" w:rsidRPr="0094668E" w:rsidRDefault="00D17561" w:rsidP="00EB71A9">
            <w:pPr>
              <w:spacing w:after="0"/>
              <w:jc w:val="center"/>
              <w:rPr>
                <w:sz w:val="18"/>
                <w:szCs w:val="18"/>
              </w:rPr>
            </w:pPr>
            <w:r w:rsidRPr="0094668E">
              <w:rPr>
                <w:sz w:val="18"/>
                <w:szCs w:val="18"/>
              </w:rPr>
              <w:t>3</w:t>
            </w:r>
          </w:p>
        </w:tc>
        <w:tc>
          <w:tcPr>
            <w:tcW w:w="1046" w:type="dxa"/>
            <w:shd w:val="clear" w:color="auto" w:fill="auto"/>
          </w:tcPr>
          <w:p w14:paraId="297904CB" w14:textId="77777777" w:rsidR="00D17561" w:rsidRPr="006264F2" w:rsidRDefault="00D17561" w:rsidP="00EB71A9">
            <w:pPr>
              <w:spacing w:after="0"/>
              <w:jc w:val="center"/>
              <w:rPr>
                <w:b/>
              </w:rPr>
            </w:pPr>
            <w:r w:rsidRPr="006264F2">
              <w:rPr>
                <w:b/>
                <w:highlight w:val="yellow"/>
              </w:rPr>
              <w:t>2</w:t>
            </w:r>
          </w:p>
        </w:tc>
      </w:tr>
      <w:tr w:rsidR="00D17561" w:rsidRPr="0094668E" w14:paraId="6AEB01B8" w14:textId="77777777" w:rsidTr="00EB71A9">
        <w:trPr>
          <w:trHeight w:val="170"/>
        </w:trPr>
        <w:tc>
          <w:tcPr>
            <w:tcW w:w="9152" w:type="dxa"/>
            <w:gridSpan w:val="7"/>
            <w:vMerge/>
            <w:shd w:val="clear" w:color="auto" w:fill="auto"/>
          </w:tcPr>
          <w:p w14:paraId="45FB303D" w14:textId="77777777" w:rsidR="00D17561" w:rsidRPr="0094668E" w:rsidRDefault="00D17561" w:rsidP="00EB71A9">
            <w:pPr>
              <w:spacing w:before="20" w:after="20"/>
              <w:rPr>
                <w:sz w:val="18"/>
                <w:szCs w:val="18"/>
              </w:rPr>
            </w:pPr>
          </w:p>
        </w:tc>
        <w:tc>
          <w:tcPr>
            <w:tcW w:w="1542" w:type="dxa"/>
            <w:gridSpan w:val="2"/>
            <w:tcBorders>
              <w:bottom w:val="single" w:sz="4" w:space="0" w:color="000000"/>
            </w:tcBorders>
            <w:shd w:val="clear" w:color="auto" w:fill="auto"/>
          </w:tcPr>
          <w:p w14:paraId="50767172" w14:textId="77777777" w:rsidR="00D17561" w:rsidRPr="0094668E" w:rsidRDefault="00D17561" w:rsidP="00EB71A9">
            <w:pPr>
              <w:spacing w:after="0"/>
              <w:jc w:val="center"/>
              <w:rPr>
                <w:sz w:val="18"/>
                <w:szCs w:val="18"/>
              </w:rPr>
            </w:pPr>
            <w:r w:rsidRPr="0094668E">
              <w:rPr>
                <w:sz w:val="18"/>
                <w:szCs w:val="18"/>
              </w:rPr>
              <w:t>1</w:t>
            </w:r>
          </w:p>
        </w:tc>
      </w:tr>
      <w:tr w:rsidR="00D17561" w:rsidRPr="0094668E" w14:paraId="5C6D8008" w14:textId="77777777" w:rsidTr="00EB71A9">
        <w:trPr>
          <w:trHeight w:val="601"/>
        </w:trPr>
        <w:tc>
          <w:tcPr>
            <w:tcW w:w="9152" w:type="dxa"/>
            <w:gridSpan w:val="7"/>
            <w:vMerge/>
            <w:tcBorders>
              <w:bottom w:val="single" w:sz="4" w:space="0" w:color="000000"/>
            </w:tcBorders>
            <w:shd w:val="clear" w:color="auto" w:fill="auto"/>
          </w:tcPr>
          <w:p w14:paraId="54ADF1D8" w14:textId="77777777" w:rsidR="00D17561" w:rsidRPr="0094668E" w:rsidRDefault="00D17561" w:rsidP="00EB71A9">
            <w:pPr>
              <w:spacing w:before="20" w:after="20"/>
              <w:rPr>
                <w:sz w:val="18"/>
                <w:szCs w:val="18"/>
              </w:rPr>
            </w:pPr>
          </w:p>
        </w:tc>
        <w:tc>
          <w:tcPr>
            <w:tcW w:w="1542" w:type="dxa"/>
            <w:gridSpan w:val="2"/>
            <w:tcBorders>
              <w:bottom w:val="single" w:sz="4" w:space="0" w:color="000000"/>
            </w:tcBorders>
            <w:shd w:val="clear" w:color="auto" w:fill="auto"/>
          </w:tcPr>
          <w:p w14:paraId="3023CB01" w14:textId="77777777" w:rsidR="00D17561" w:rsidRDefault="00D17561" w:rsidP="00EB71A9">
            <w:pPr>
              <w:spacing w:after="0"/>
              <w:jc w:val="center"/>
              <w:rPr>
                <w:sz w:val="18"/>
                <w:szCs w:val="18"/>
              </w:rPr>
            </w:pPr>
            <w:r w:rsidRPr="006264F2">
              <w:rPr>
                <w:sz w:val="18"/>
                <w:szCs w:val="18"/>
              </w:rPr>
              <w:t>Evidence</w:t>
            </w:r>
          </w:p>
          <w:p w14:paraId="682FAF8A" w14:textId="77777777" w:rsidR="00D17561" w:rsidRPr="006264F2" w:rsidRDefault="00D17561" w:rsidP="00EB71A9">
            <w:pPr>
              <w:spacing w:after="0"/>
              <w:jc w:val="center"/>
              <w:rPr>
                <w:sz w:val="18"/>
                <w:szCs w:val="18"/>
              </w:rPr>
            </w:pPr>
          </w:p>
          <w:p w14:paraId="086E3A98" w14:textId="77777777" w:rsidR="00D17561" w:rsidRPr="006264F2" w:rsidRDefault="00D17561" w:rsidP="00EB71A9">
            <w:pPr>
              <w:spacing w:after="0"/>
              <w:jc w:val="center"/>
              <w:rPr>
                <w:sz w:val="18"/>
                <w:szCs w:val="18"/>
              </w:rPr>
            </w:pPr>
            <w:r w:rsidRPr="006264F2">
              <w:rPr>
                <w:sz w:val="18"/>
                <w:szCs w:val="18"/>
              </w:rPr>
              <w:t xml:space="preserve">Refer to stakeholder involvement </w:t>
            </w:r>
          </w:p>
          <w:p w14:paraId="07CA9D8F" w14:textId="77777777" w:rsidR="00D17561" w:rsidRDefault="00D17561" w:rsidP="00EB71A9">
            <w:pPr>
              <w:spacing w:after="0"/>
              <w:jc w:val="center"/>
              <w:rPr>
                <w:sz w:val="18"/>
                <w:szCs w:val="18"/>
              </w:rPr>
            </w:pPr>
            <w:r w:rsidRPr="006264F2">
              <w:rPr>
                <w:sz w:val="18"/>
                <w:szCs w:val="18"/>
              </w:rPr>
              <w:t>Plan of page 41  &amp; South –South Cooperation of page 42</w:t>
            </w:r>
          </w:p>
          <w:p w14:paraId="030B1D3E" w14:textId="77777777" w:rsidR="00D17561" w:rsidRPr="0094668E" w:rsidRDefault="00D17561" w:rsidP="00EB71A9">
            <w:pPr>
              <w:spacing w:after="0"/>
              <w:jc w:val="center"/>
              <w:rPr>
                <w:sz w:val="18"/>
                <w:szCs w:val="18"/>
              </w:rPr>
            </w:pPr>
            <w:r>
              <w:rPr>
                <w:sz w:val="18"/>
                <w:szCs w:val="18"/>
              </w:rPr>
              <w:t>Annex 7 has  roles and responsibilities of stakeholders</w:t>
            </w:r>
          </w:p>
        </w:tc>
      </w:tr>
      <w:tr w:rsidR="00D17561" w:rsidRPr="0094668E" w14:paraId="6DEA2B0B" w14:textId="77777777" w:rsidTr="00EB71A9">
        <w:trPr>
          <w:trHeight w:val="440"/>
        </w:trPr>
        <w:tc>
          <w:tcPr>
            <w:tcW w:w="10694" w:type="dxa"/>
            <w:gridSpan w:val="9"/>
            <w:shd w:val="clear" w:color="auto" w:fill="D6E3BC"/>
            <w:vAlign w:val="center"/>
          </w:tcPr>
          <w:p w14:paraId="6FD588B3" w14:textId="77777777" w:rsidR="00D17561" w:rsidRPr="0094668E" w:rsidRDefault="00D17561" w:rsidP="00EB71A9">
            <w:pPr>
              <w:pStyle w:val="ListParagraph"/>
              <w:spacing w:before="20" w:after="20"/>
              <w:ind w:left="162"/>
              <w:rPr>
                <w:rFonts w:ascii="Calibri" w:hAnsi="Calibri"/>
                <w:b/>
                <w:sz w:val="18"/>
                <w:szCs w:val="20"/>
              </w:rPr>
            </w:pPr>
            <w:r w:rsidRPr="0094668E">
              <w:rPr>
                <w:rFonts w:ascii="Calibri" w:hAnsi="Calibri"/>
                <w:b/>
                <w:smallCaps/>
                <w:sz w:val="28"/>
                <w:szCs w:val="20"/>
              </w:rPr>
              <w:t>Social &amp; Environmental  Standards</w:t>
            </w:r>
          </w:p>
        </w:tc>
      </w:tr>
      <w:tr w:rsidR="00D17561" w:rsidRPr="0094668E" w14:paraId="26512191" w14:textId="77777777" w:rsidTr="00EB71A9">
        <w:trPr>
          <w:trHeight w:val="251"/>
        </w:trPr>
        <w:tc>
          <w:tcPr>
            <w:tcW w:w="9152" w:type="dxa"/>
            <w:gridSpan w:val="7"/>
            <w:vMerge w:val="restart"/>
            <w:shd w:val="clear" w:color="auto" w:fill="auto"/>
          </w:tcPr>
          <w:p w14:paraId="4B82341D" w14:textId="77777777" w:rsidR="00D17561" w:rsidRPr="0094668E" w:rsidRDefault="00D17561" w:rsidP="00D17561">
            <w:pPr>
              <w:pStyle w:val="ListParagraph"/>
              <w:numPr>
                <w:ilvl w:val="0"/>
                <w:numId w:val="206"/>
              </w:numPr>
              <w:spacing w:before="120"/>
              <w:ind w:left="245" w:hanging="245"/>
              <w:rPr>
                <w:rFonts w:ascii="Calibri" w:hAnsi="Calibri"/>
                <w:b/>
                <w:sz w:val="18"/>
                <w:szCs w:val="18"/>
              </w:rPr>
            </w:pPr>
            <w:r w:rsidRPr="0094668E">
              <w:rPr>
                <w:b/>
                <w:sz w:val="18"/>
                <w:szCs w:val="18"/>
              </w:rPr>
              <w:t xml:space="preserve"> </w:t>
            </w:r>
            <w:r w:rsidRPr="0094668E">
              <w:rPr>
                <w:rFonts w:ascii="Calibri" w:hAnsi="Calibri"/>
                <w:b/>
                <w:sz w:val="18"/>
                <w:szCs w:val="18"/>
              </w:rPr>
              <w:t>Does the project seek to further the realization of human rights using a human rights based approach? (select from options 1-3 that best reflects this project):</w:t>
            </w:r>
          </w:p>
          <w:p w14:paraId="5D1624C2" w14:textId="77777777" w:rsidR="00D17561" w:rsidRPr="0094668E" w:rsidRDefault="00D17561" w:rsidP="00D17561">
            <w:pPr>
              <w:pStyle w:val="ListParagraph"/>
              <w:numPr>
                <w:ilvl w:val="0"/>
                <w:numId w:val="200"/>
              </w:numPr>
              <w:spacing w:before="20" w:after="20"/>
              <w:ind w:left="605" w:hanging="274"/>
              <w:rPr>
                <w:rFonts w:ascii="Calibri" w:hAnsi="Calibri"/>
                <w:sz w:val="18"/>
                <w:szCs w:val="18"/>
              </w:rPr>
            </w:pPr>
            <w:r w:rsidRPr="0094668E">
              <w:rPr>
                <w:rFonts w:ascii="Calibri" w:hAnsi="Calibri"/>
                <w:b/>
                <w:sz w:val="18"/>
                <w:szCs w:val="18"/>
                <w:u w:val="single"/>
              </w:rPr>
              <w:t>3:</w:t>
            </w:r>
            <w:r w:rsidRPr="0094668E">
              <w:rPr>
                <w:rFonts w:ascii="Calibri" w:hAnsi="Calibri"/>
                <w:sz w:val="18"/>
                <w:szCs w:val="18"/>
              </w:rPr>
              <w:t xml:space="preserve"> Credible evidence that the project aims to further the realization of human rights, upholding the relevant international and national laws and standards in the area of the project. Any potential adverse impacts on enjoyment of human rights were rigorously identified and assessed as relevant, with appropriate mitigation and management measures incorporated into project design and budget.</w:t>
            </w:r>
            <w:r w:rsidRPr="0094668E">
              <w:rPr>
                <w:rFonts w:ascii="Calibri" w:hAnsi="Calibri"/>
                <w:b/>
                <w:sz w:val="18"/>
                <w:szCs w:val="18"/>
              </w:rPr>
              <w:t xml:space="preserve"> </w:t>
            </w:r>
            <w:r w:rsidRPr="0094668E">
              <w:rPr>
                <w:rFonts w:ascii="Calibri" w:hAnsi="Calibri"/>
                <w:i/>
                <w:sz w:val="18"/>
                <w:szCs w:val="18"/>
              </w:rPr>
              <w:t>(</w:t>
            </w:r>
            <w:r w:rsidRPr="0094668E">
              <w:rPr>
                <w:rFonts w:ascii="Calibri" w:hAnsi="Calibri"/>
                <w:i/>
                <w:sz w:val="18"/>
                <w:szCs w:val="18"/>
                <w:u w:val="single"/>
              </w:rPr>
              <w:t>all</w:t>
            </w:r>
            <w:r w:rsidRPr="0094668E">
              <w:rPr>
                <w:rFonts w:ascii="Calibri" w:hAnsi="Calibri"/>
                <w:i/>
                <w:sz w:val="18"/>
                <w:szCs w:val="18"/>
              </w:rPr>
              <w:t xml:space="preserve"> must be true to select this option)</w:t>
            </w:r>
            <w:r w:rsidRPr="0094668E">
              <w:rPr>
                <w:rFonts w:ascii="Calibri" w:hAnsi="Calibri"/>
                <w:sz w:val="18"/>
                <w:szCs w:val="18"/>
              </w:rPr>
              <w:t xml:space="preserve"> </w:t>
            </w:r>
          </w:p>
          <w:p w14:paraId="358D19B8" w14:textId="77777777" w:rsidR="00D17561" w:rsidRPr="0094668E" w:rsidRDefault="00D17561" w:rsidP="00D17561">
            <w:pPr>
              <w:pStyle w:val="ListParagraph"/>
              <w:numPr>
                <w:ilvl w:val="0"/>
                <w:numId w:val="200"/>
              </w:numPr>
              <w:spacing w:before="20" w:after="20"/>
              <w:ind w:left="605" w:hanging="274"/>
              <w:rPr>
                <w:rFonts w:ascii="Calibri" w:hAnsi="Calibri"/>
                <w:sz w:val="18"/>
                <w:szCs w:val="18"/>
              </w:rPr>
            </w:pPr>
            <w:r w:rsidRPr="0094668E">
              <w:rPr>
                <w:rFonts w:ascii="Calibri" w:hAnsi="Calibri"/>
                <w:b/>
                <w:sz w:val="18"/>
                <w:szCs w:val="18"/>
                <w:u w:val="single"/>
              </w:rPr>
              <w:t>2:</w:t>
            </w:r>
            <w:r w:rsidRPr="0094668E">
              <w:rPr>
                <w:rFonts w:ascii="Calibri" w:hAnsi="Calibri"/>
                <w:sz w:val="18"/>
                <w:szCs w:val="18"/>
              </w:rPr>
              <w:t xml:space="preserve"> Some evidence that the project aims to further the realization of human rights. Potential adverse impacts on enjoyment of human rights were identified and assessed as relevant, and appropriate mitigation and management measures incorporated into the project design and budget. </w:t>
            </w:r>
          </w:p>
          <w:p w14:paraId="01206943" w14:textId="77777777" w:rsidR="00D17561" w:rsidRPr="0094668E" w:rsidRDefault="00D17561" w:rsidP="00D17561">
            <w:pPr>
              <w:pStyle w:val="ListParagraph"/>
              <w:numPr>
                <w:ilvl w:val="0"/>
                <w:numId w:val="200"/>
              </w:numPr>
              <w:spacing w:before="20" w:after="20"/>
              <w:ind w:left="605" w:hanging="274"/>
              <w:rPr>
                <w:rFonts w:ascii="Calibri" w:hAnsi="Calibri"/>
                <w:sz w:val="18"/>
                <w:szCs w:val="18"/>
              </w:rPr>
            </w:pPr>
            <w:r w:rsidRPr="0094668E">
              <w:rPr>
                <w:rFonts w:ascii="Calibri" w:hAnsi="Calibri"/>
                <w:b/>
                <w:sz w:val="18"/>
                <w:szCs w:val="18"/>
                <w:u w:val="single"/>
              </w:rPr>
              <w:t>1:</w:t>
            </w:r>
            <w:r w:rsidRPr="0094668E">
              <w:rPr>
                <w:rFonts w:ascii="Calibri" w:hAnsi="Calibri"/>
                <w:sz w:val="18"/>
                <w:szCs w:val="18"/>
              </w:rPr>
              <w:t xml:space="preserve">  No evidence that the project aims to further the realization of human rights. Limited or no evidence that potential adverse impacts on enjoyment of human rights were considered.</w:t>
            </w:r>
          </w:p>
          <w:p w14:paraId="5372D268" w14:textId="77777777" w:rsidR="00D17561" w:rsidRPr="0094668E" w:rsidRDefault="00D17561" w:rsidP="00EB71A9">
            <w:pPr>
              <w:tabs>
                <w:tab w:val="left" w:pos="7395"/>
              </w:tabs>
              <w:spacing w:before="120" w:after="0"/>
              <w:ind w:left="245" w:hanging="245"/>
              <w:rPr>
                <w:b/>
                <w:sz w:val="16"/>
                <w:szCs w:val="16"/>
              </w:rPr>
            </w:pPr>
            <w:r w:rsidRPr="0094668E">
              <w:rPr>
                <w:sz w:val="16"/>
                <w:szCs w:val="16"/>
              </w:rPr>
              <w:t>*Note: Management action or strong management justification must be given for a score of 1</w:t>
            </w:r>
            <w:r w:rsidRPr="0094668E">
              <w:rPr>
                <w:sz w:val="16"/>
                <w:szCs w:val="16"/>
              </w:rPr>
              <w:tab/>
            </w:r>
          </w:p>
        </w:tc>
        <w:tc>
          <w:tcPr>
            <w:tcW w:w="496" w:type="dxa"/>
            <w:shd w:val="clear" w:color="auto" w:fill="auto"/>
            <w:vAlign w:val="center"/>
          </w:tcPr>
          <w:p w14:paraId="76FEB9EB" w14:textId="77777777" w:rsidR="00D17561" w:rsidRPr="0094668E" w:rsidRDefault="00D17561" w:rsidP="00EB71A9">
            <w:pPr>
              <w:spacing w:after="0"/>
              <w:jc w:val="center"/>
              <w:rPr>
                <w:sz w:val="18"/>
                <w:szCs w:val="18"/>
              </w:rPr>
            </w:pPr>
            <w:r w:rsidRPr="0094668E">
              <w:rPr>
                <w:sz w:val="18"/>
                <w:szCs w:val="18"/>
              </w:rPr>
              <w:t>3</w:t>
            </w:r>
          </w:p>
        </w:tc>
        <w:tc>
          <w:tcPr>
            <w:tcW w:w="1046" w:type="dxa"/>
            <w:shd w:val="clear" w:color="auto" w:fill="auto"/>
            <w:vAlign w:val="center"/>
          </w:tcPr>
          <w:p w14:paraId="252F6562" w14:textId="77777777" w:rsidR="00D17561" w:rsidRPr="00D21602" w:rsidRDefault="00D17561" w:rsidP="00EB71A9">
            <w:pPr>
              <w:spacing w:after="0"/>
              <w:jc w:val="center"/>
              <w:rPr>
                <w:rFonts w:ascii="Times New Roman" w:hAnsi="Times New Roman"/>
                <w:b/>
              </w:rPr>
            </w:pPr>
            <w:r w:rsidRPr="00D21602">
              <w:rPr>
                <w:rFonts w:ascii="Times New Roman" w:hAnsi="Times New Roman"/>
                <w:b/>
                <w:highlight w:val="yellow"/>
              </w:rPr>
              <w:t>2</w:t>
            </w:r>
          </w:p>
        </w:tc>
      </w:tr>
      <w:tr w:rsidR="00D17561" w:rsidRPr="0094668E" w14:paraId="3B96A47D" w14:textId="77777777" w:rsidTr="00EB71A9">
        <w:trPr>
          <w:trHeight w:val="125"/>
        </w:trPr>
        <w:tc>
          <w:tcPr>
            <w:tcW w:w="9152" w:type="dxa"/>
            <w:gridSpan w:val="7"/>
            <w:vMerge/>
            <w:shd w:val="clear" w:color="auto" w:fill="auto"/>
          </w:tcPr>
          <w:p w14:paraId="11817DA9" w14:textId="77777777" w:rsidR="00D17561" w:rsidRPr="0094668E" w:rsidRDefault="00D17561" w:rsidP="00EB71A9">
            <w:pPr>
              <w:spacing w:before="120" w:after="0"/>
              <w:ind w:left="245" w:hanging="245"/>
              <w:rPr>
                <w:b/>
                <w:sz w:val="18"/>
                <w:szCs w:val="18"/>
              </w:rPr>
            </w:pPr>
          </w:p>
        </w:tc>
        <w:tc>
          <w:tcPr>
            <w:tcW w:w="1542" w:type="dxa"/>
            <w:gridSpan w:val="2"/>
            <w:tcBorders>
              <w:bottom w:val="single" w:sz="4" w:space="0" w:color="000000"/>
            </w:tcBorders>
            <w:shd w:val="clear" w:color="auto" w:fill="auto"/>
            <w:vAlign w:val="center"/>
          </w:tcPr>
          <w:p w14:paraId="2FBE88E6" w14:textId="77777777" w:rsidR="00D17561" w:rsidRPr="0094668E" w:rsidDel="00262097" w:rsidRDefault="00D17561" w:rsidP="00EB71A9">
            <w:pPr>
              <w:spacing w:after="0"/>
              <w:jc w:val="center"/>
              <w:rPr>
                <w:sz w:val="18"/>
                <w:szCs w:val="18"/>
              </w:rPr>
            </w:pPr>
            <w:r w:rsidRPr="0094668E">
              <w:rPr>
                <w:sz w:val="18"/>
                <w:szCs w:val="18"/>
              </w:rPr>
              <w:t>1</w:t>
            </w:r>
          </w:p>
        </w:tc>
      </w:tr>
      <w:tr w:rsidR="00D17561" w:rsidRPr="0094668E" w14:paraId="783EEF9D" w14:textId="77777777" w:rsidTr="00EB71A9">
        <w:trPr>
          <w:trHeight w:val="1278"/>
        </w:trPr>
        <w:tc>
          <w:tcPr>
            <w:tcW w:w="9152" w:type="dxa"/>
            <w:gridSpan w:val="7"/>
            <w:vMerge/>
            <w:tcBorders>
              <w:bottom w:val="single" w:sz="4" w:space="0" w:color="000000"/>
            </w:tcBorders>
            <w:shd w:val="clear" w:color="auto" w:fill="auto"/>
          </w:tcPr>
          <w:p w14:paraId="1D312D73" w14:textId="77777777" w:rsidR="00D17561" w:rsidRPr="0094668E" w:rsidRDefault="00D17561" w:rsidP="00EB71A9">
            <w:pPr>
              <w:spacing w:before="120" w:after="0"/>
              <w:ind w:left="245" w:hanging="245"/>
              <w:rPr>
                <w:b/>
                <w:sz w:val="18"/>
                <w:szCs w:val="18"/>
              </w:rPr>
            </w:pPr>
          </w:p>
        </w:tc>
        <w:tc>
          <w:tcPr>
            <w:tcW w:w="1542" w:type="dxa"/>
            <w:gridSpan w:val="2"/>
            <w:tcBorders>
              <w:bottom w:val="single" w:sz="4" w:space="0" w:color="000000"/>
            </w:tcBorders>
            <w:shd w:val="clear" w:color="auto" w:fill="auto"/>
          </w:tcPr>
          <w:p w14:paraId="02A946AF" w14:textId="77777777" w:rsidR="00D17561" w:rsidRDefault="00D17561" w:rsidP="00EB71A9">
            <w:pPr>
              <w:spacing w:after="0"/>
              <w:jc w:val="center"/>
              <w:rPr>
                <w:b/>
                <w:sz w:val="18"/>
                <w:szCs w:val="18"/>
              </w:rPr>
            </w:pPr>
            <w:r w:rsidRPr="0094668E">
              <w:rPr>
                <w:b/>
                <w:sz w:val="18"/>
                <w:szCs w:val="18"/>
              </w:rPr>
              <w:t>Evidence</w:t>
            </w:r>
          </w:p>
          <w:p w14:paraId="33095A01" w14:textId="77777777" w:rsidR="00D17561" w:rsidRDefault="00D17561" w:rsidP="00EB71A9">
            <w:pPr>
              <w:spacing w:after="0"/>
              <w:jc w:val="center"/>
              <w:rPr>
                <w:b/>
                <w:sz w:val="18"/>
                <w:szCs w:val="18"/>
              </w:rPr>
            </w:pPr>
          </w:p>
          <w:p w14:paraId="08CE9536" w14:textId="77777777" w:rsidR="00D17561" w:rsidRPr="00D21602" w:rsidDel="00262097" w:rsidRDefault="00D17561" w:rsidP="00EB71A9">
            <w:pPr>
              <w:spacing w:after="0"/>
              <w:jc w:val="center"/>
              <w:rPr>
                <w:sz w:val="18"/>
                <w:szCs w:val="18"/>
              </w:rPr>
            </w:pPr>
            <w:r w:rsidRPr="00D21602">
              <w:rPr>
                <w:sz w:val="18"/>
                <w:szCs w:val="18"/>
              </w:rPr>
              <w:t>Social and environment screening  as per</w:t>
            </w:r>
            <w:r>
              <w:rPr>
                <w:sz w:val="18"/>
                <w:szCs w:val="18"/>
              </w:rPr>
              <w:t xml:space="preserve"> Annex 9</w:t>
            </w:r>
            <w:r w:rsidRPr="00D21602">
              <w:rPr>
                <w:sz w:val="18"/>
                <w:szCs w:val="18"/>
              </w:rPr>
              <w:t xml:space="preserve"> page  132</w:t>
            </w:r>
          </w:p>
        </w:tc>
      </w:tr>
      <w:tr w:rsidR="00D17561" w:rsidRPr="0094668E" w14:paraId="154C702C" w14:textId="77777777" w:rsidTr="00EB71A9">
        <w:trPr>
          <w:trHeight w:val="197"/>
        </w:trPr>
        <w:tc>
          <w:tcPr>
            <w:tcW w:w="9152" w:type="dxa"/>
            <w:gridSpan w:val="7"/>
            <w:vMerge w:val="restart"/>
            <w:shd w:val="clear" w:color="auto" w:fill="auto"/>
          </w:tcPr>
          <w:p w14:paraId="217B4051" w14:textId="77777777" w:rsidR="00D17561" w:rsidRPr="0094668E" w:rsidRDefault="00D17561" w:rsidP="00EB71A9">
            <w:pPr>
              <w:spacing w:before="120" w:after="0"/>
              <w:ind w:left="245" w:hanging="245"/>
              <w:rPr>
                <w:b/>
                <w:sz w:val="18"/>
                <w:szCs w:val="18"/>
              </w:rPr>
            </w:pPr>
            <w:r w:rsidRPr="0094668E">
              <w:rPr>
                <w:b/>
                <w:color w:val="000000"/>
                <w:sz w:val="18"/>
                <w:szCs w:val="18"/>
              </w:rPr>
              <w:t xml:space="preserve">8. </w:t>
            </w:r>
            <w:r w:rsidRPr="0094668E">
              <w:rPr>
                <w:b/>
                <w:sz w:val="18"/>
                <w:szCs w:val="18"/>
              </w:rPr>
              <w:t xml:space="preserve"> Did the project consider potential environmental opportunities and adverse impacts, applying a precautionary approach? (select from options 1-3 that best reflects this project):</w:t>
            </w:r>
          </w:p>
          <w:p w14:paraId="105F14A8" w14:textId="77777777" w:rsidR="00D17561" w:rsidRPr="0094668E" w:rsidRDefault="00D17561" w:rsidP="00D17561">
            <w:pPr>
              <w:pStyle w:val="ListParagraph"/>
              <w:numPr>
                <w:ilvl w:val="0"/>
                <w:numId w:val="200"/>
              </w:numPr>
              <w:spacing w:before="20" w:after="20"/>
              <w:ind w:left="607" w:hanging="270"/>
              <w:rPr>
                <w:rFonts w:ascii="Calibri" w:hAnsi="Calibri"/>
                <w:sz w:val="18"/>
                <w:szCs w:val="18"/>
              </w:rPr>
            </w:pPr>
            <w:r w:rsidRPr="0094668E">
              <w:rPr>
                <w:rFonts w:ascii="Calibri" w:hAnsi="Calibri"/>
                <w:b/>
                <w:sz w:val="18"/>
                <w:szCs w:val="18"/>
                <w:u w:val="single"/>
              </w:rPr>
              <w:t>3:</w:t>
            </w:r>
            <w:r w:rsidRPr="0094668E">
              <w:rPr>
                <w:rFonts w:ascii="Calibri" w:hAnsi="Calibri"/>
                <w:sz w:val="18"/>
                <w:szCs w:val="18"/>
              </w:rPr>
              <w:t xml:space="preserve"> Credible evidence that opportunities to enhance environmental sustainability and integrate poverty-environment linkages were fully considered as relevant, and integrated in project strategy and design. Credible evidence that potential adverse environmental impacts have been identified and rigorously assessed with appropriate management and mitigation measures incorporated into project design and budget. </w:t>
            </w:r>
            <w:r w:rsidRPr="0094668E">
              <w:rPr>
                <w:rFonts w:ascii="Calibri" w:hAnsi="Calibri"/>
                <w:i/>
                <w:sz w:val="18"/>
                <w:szCs w:val="18"/>
              </w:rPr>
              <w:t>(</w:t>
            </w:r>
            <w:r w:rsidRPr="0094668E">
              <w:rPr>
                <w:rFonts w:ascii="Calibri" w:hAnsi="Calibri"/>
                <w:i/>
                <w:sz w:val="18"/>
                <w:szCs w:val="18"/>
                <w:u w:val="single"/>
              </w:rPr>
              <w:t>all</w:t>
            </w:r>
            <w:r w:rsidRPr="0094668E">
              <w:rPr>
                <w:rFonts w:ascii="Calibri" w:hAnsi="Calibri"/>
                <w:i/>
                <w:sz w:val="18"/>
                <w:szCs w:val="18"/>
              </w:rPr>
              <w:t xml:space="preserve"> must be true to select this option)</w:t>
            </w:r>
            <w:r w:rsidRPr="0094668E">
              <w:rPr>
                <w:rFonts w:ascii="Calibri" w:hAnsi="Calibri"/>
                <w:sz w:val="18"/>
                <w:szCs w:val="18"/>
              </w:rPr>
              <w:t xml:space="preserve">. </w:t>
            </w:r>
          </w:p>
          <w:p w14:paraId="2AA83179" w14:textId="77777777" w:rsidR="00D17561" w:rsidRPr="0094668E" w:rsidRDefault="00D17561" w:rsidP="00D17561">
            <w:pPr>
              <w:pStyle w:val="ListParagraph"/>
              <w:numPr>
                <w:ilvl w:val="0"/>
                <w:numId w:val="200"/>
              </w:numPr>
              <w:spacing w:before="20" w:after="20"/>
              <w:ind w:left="607" w:hanging="270"/>
              <w:rPr>
                <w:rFonts w:ascii="Calibri" w:hAnsi="Calibri"/>
                <w:sz w:val="18"/>
                <w:szCs w:val="18"/>
              </w:rPr>
            </w:pPr>
            <w:r w:rsidRPr="0094668E">
              <w:rPr>
                <w:rFonts w:ascii="Calibri" w:hAnsi="Calibri"/>
                <w:b/>
                <w:sz w:val="18"/>
                <w:szCs w:val="18"/>
                <w:u w:val="single"/>
              </w:rPr>
              <w:t>2:</w:t>
            </w:r>
            <w:r w:rsidRPr="0094668E">
              <w:rPr>
                <w:rFonts w:ascii="Calibri" w:hAnsi="Calibri"/>
                <w:sz w:val="18"/>
                <w:szCs w:val="18"/>
              </w:rPr>
              <w:t xml:space="preserve"> No evidence that opportunities to strengthen environmental sustainability and poverty-environment linkages were considered. Credible evidence that potential adverse environmental impacts have been identified and assessed, if relevant, and appropriate management and mitigation measures incorporated into project design and budget.</w:t>
            </w:r>
          </w:p>
          <w:p w14:paraId="117EAA87" w14:textId="77777777" w:rsidR="00D17561" w:rsidRPr="0094668E" w:rsidRDefault="00D17561" w:rsidP="00D17561">
            <w:pPr>
              <w:pStyle w:val="ListParagraph"/>
              <w:numPr>
                <w:ilvl w:val="0"/>
                <w:numId w:val="200"/>
              </w:numPr>
              <w:spacing w:before="20" w:after="120"/>
              <w:ind w:left="607" w:hanging="270"/>
              <w:rPr>
                <w:rFonts w:ascii="Calibri" w:hAnsi="Calibri"/>
                <w:b/>
                <w:sz w:val="18"/>
                <w:szCs w:val="18"/>
              </w:rPr>
            </w:pPr>
            <w:r w:rsidRPr="0094668E">
              <w:rPr>
                <w:rFonts w:ascii="Calibri" w:hAnsi="Calibri"/>
                <w:b/>
                <w:sz w:val="18"/>
                <w:szCs w:val="18"/>
                <w:u w:val="single"/>
              </w:rPr>
              <w:t>1:</w:t>
            </w:r>
            <w:r w:rsidRPr="0094668E">
              <w:rPr>
                <w:rFonts w:ascii="Calibri" w:hAnsi="Calibri"/>
                <w:sz w:val="18"/>
                <w:szCs w:val="18"/>
              </w:rPr>
              <w:t xml:space="preserve">  No evidence that opportunities to strengthen environmental sustainability and poverty-environment linkages were considered.  Limited or no evidence that potential adverse environmental impacts were adequately considered.  </w:t>
            </w:r>
          </w:p>
          <w:p w14:paraId="4360C007" w14:textId="77777777" w:rsidR="00D17561" w:rsidRPr="0094668E" w:rsidRDefault="00D17561" w:rsidP="00EB71A9">
            <w:pPr>
              <w:spacing w:before="20" w:after="120"/>
              <w:rPr>
                <w:sz w:val="16"/>
                <w:szCs w:val="16"/>
              </w:rPr>
            </w:pPr>
            <w:r w:rsidRPr="0094668E">
              <w:rPr>
                <w:sz w:val="16"/>
                <w:szCs w:val="16"/>
              </w:rPr>
              <w:t>*Note: Management action or strong management justification must be given for a score of 1</w:t>
            </w:r>
          </w:p>
        </w:tc>
        <w:tc>
          <w:tcPr>
            <w:tcW w:w="496" w:type="dxa"/>
            <w:shd w:val="clear" w:color="auto" w:fill="auto"/>
            <w:vAlign w:val="center"/>
          </w:tcPr>
          <w:p w14:paraId="71B3B537" w14:textId="77777777" w:rsidR="00D17561" w:rsidRPr="0094668E" w:rsidRDefault="00D17561" w:rsidP="00EB71A9">
            <w:pPr>
              <w:spacing w:after="0"/>
              <w:jc w:val="center"/>
              <w:rPr>
                <w:sz w:val="18"/>
                <w:szCs w:val="18"/>
              </w:rPr>
            </w:pPr>
            <w:r w:rsidRPr="0094668E">
              <w:rPr>
                <w:sz w:val="18"/>
                <w:szCs w:val="18"/>
              </w:rPr>
              <w:t>3</w:t>
            </w:r>
          </w:p>
        </w:tc>
        <w:tc>
          <w:tcPr>
            <w:tcW w:w="1046" w:type="dxa"/>
            <w:shd w:val="clear" w:color="auto" w:fill="auto"/>
            <w:vAlign w:val="center"/>
          </w:tcPr>
          <w:p w14:paraId="163BF5AB" w14:textId="77777777" w:rsidR="00D17561" w:rsidRPr="0094668E" w:rsidRDefault="00D17561" w:rsidP="00EB71A9">
            <w:pPr>
              <w:spacing w:after="0"/>
              <w:jc w:val="center"/>
              <w:rPr>
                <w:sz w:val="18"/>
                <w:szCs w:val="18"/>
              </w:rPr>
            </w:pPr>
            <w:r w:rsidRPr="005E4BC8">
              <w:rPr>
                <w:sz w:val="18"/>
                <w:szCs w:val="18"/>
                <w:highlight w:val="yellow"/>
              </w:rPr>
              <w:t>2</w:t>
            </w:r>
          </w:p>
        </w:tc>
      </w:tr>
      <w:tr w:rsidR="00D17561" w:rsidRPr="0094668E" w14:paraId="0690B536" w14:textId="77777777" w:rsidTr="00EB71A9">
        <w:trPr>
          <w:trHeight w:val="233"/>
        </w:trPr>
        <w:tc>
          <w:tcPr>
            <w:tcW w:w="9152" w:type="dxa"/>
            <w:gridSpan w:val="7"/>
            <w:vMerge/>
            <w:shd w:val="clear" w:color="auto" w:fill="auto"/>
          </w:tcPr>
          <w:p w14:paraId="307813AA" w14:textId="77777777" w:rsidR="00D17561" w:rsidRPr="0094668E" w:rsidRDefault="00D17561" w:rsidP="00EB71A9">
            <w:pPr>
              <w:spacing w:before="120" w:after="0"/>
              <w:ind w:left="245" w:hanging="245"/>
              <w:rPr>
                <w:b/>
                <w:color w:val="000000"/>
                <w:sz w:val="18"/>
                <w:szCs w:val="18"/>
              </w:rPr>
            </w:pPr>
          </w:p>
        </w:tc>
        <w:tc>
          <w:tcPr>
            <w:tcW w:w="1542" w:type="dxa"/>
            <w:gridSpan w:val="2"/>
            <w:tcBorders>
              <w:bottom w:val="single" w:sz="4" w:space="0" w:color="000000"/>
            </w:tcBorders>
            <w:shd w:val="clear" w:color="auto" w:fill="auto"/>
            <w:vAlign w:val="center"/>
          </w:tcPr>
          <w:p w14:paraId="099725C5" w14:textId="77777777" w:rsidR="00D17561" w:rsidRPr="0094668E" w:rsidDel="002053F6" w:rsidRDefault="00D17561" w:rsidP="00EB71A9">
            <w:pPr>
              <w:spacing w:after="0"/>
              <w:jc w:val="center"/>
              <w:rPr>
                <w:sz w:val="18"/>
                <w:szCs w:val="18"/>
              </w:rPr>
            </w:pPr>
            <w:r w:rsidRPr="0094668E">
              <w:rPr>
                <w:sz w:val="18"/>
                <w:szCs w:val="18"/>
              </w:rPr>
              <w:t>1</w:t>
            </w:r>
          </w:p>
        </w:tc>
      </w:tr>
      <w:tr w:rsidR="00D17561" w:rsidRPr="0094668E" w14:paraId="1F800ABE" w14:textId="77777777" w:rsidTr="00EB71A9">
        <w:trPr>
          <w:trHeight w:val="922"/>
        </w:trPr>
        <w:tc>
          <w:tcPr>
            <w:tcW w:w="9152" w:type="dxa"/>
            <w:gridSpan w:val="7"/>
            <w:vMerge/>
            <w:tcBorders>
              <w:bottom w:val="single" w:sz="4" w:space="0" w:color="000000"/>
            </w:tcBorders>
            <w:shd w:val="clear" w:color="auto" w:fill="auto"/>
          </w:tcPr>
          <w:p w14:paraId="78848665" w14:textId="77777777" w:rsidR="00D17561" w:rsidRPr="0094668E" w:rsidRDefault="00D17561" w:rsidP="00EB71A9">
            <w:pPr>
              <w:spacing w:before="120" w:after="0"/>
              <w:ind w:left="245" w:hanging="245"/>
              <w:rPr>
                <w:b/>
                <w:color w:val="000000"/>
                <w:sz w:val="18"/>
                <w:szCs w:val="18"/>
              </w:rPr>
            </w:pPr>
          </w:p>
        </w:tc>
        <w:tc>
          <w:tcPr>
            <w:tcW w:w="1542" w:type="dxa"/>
            <w:gridSpan w:val="2"/>
            <w:tcBorders>
              <w:bottom w:val="single" w:sz="4" w:space="0" w:color="000000"/>
            </w:tcBorders>
            <w:shd w:val="clear" w:color="auto" w:fill="auto"/>
          </w:tcPr>
          <w:p w14:paraId="0F24D039" w14:textId="77777777" w:rsidR="00D17561" w:rsidRDefault="00D17561" w:rsidP="00EB71A9">
            <w:pPr>
              <w:spacing w:after="0"/>
              <w:jc w:val="center"/>
              <w:rPr>
                <w:b/>
                <w:sz w:val="18"/>
                <w:szCs w:val="18"/>
              </w:rPr>
            </w:pPr>
            <w:r w:rsidRPr="0094668E">
              <w:rPr>
                <w:b/>
                <w:sz w:val="18"/>
                <w:szCs w:val="18"/>
              </w:rPr>
              <w:t>Evidence</w:t>
            </w:r>
          </w:p>
          <w:p w14:paraId="1254D42E" w14:textId="77777777" w:rsidR="00D17561" w:rsidRDefault="00D17561" w:rsidP="00EB71A9">
            <w:pPr>
              <w:spacing w:after="0"/>
              <w:jc w:val="center"/>
              <w:rPr>
                <w:b/>
                <w:sz w:val="18"/>
                <w:szCs w:val="18"/>
              </w:rPr>
            </w:pPr>
          </w:p>
          <w:p w14:paraId="5B5CA866" w14:textId="77777777" w:rsidR="00D17561" w:rsidRDefault="00D17561" w:rsidP="00EB71A9">
            <w:pPr>
              <w:spacing w:after="0"/>
              <w:jc w:val="center"/>
              <w:rPr>
                <w:b/>
                <w:sz w:val="18"/>
                <w:szCs w:val="18"/>
              </w:rPr>
            </w:pPr>
          </w:p>
          <w:p w14:paraId="0CB53A08" w14:textId="77777777" w:rsidR="00D17561" w:rsidRPr="0094668E" w:rsidDel="002053F6" w:rsidRDefault="00D17561" w:rsidP="00EB71A9">
            <w:pPr>
              <w:spacing w:after="0"/>
              <w:jc w:val="center"/>
              <w:rPr>
                <w:sz w:val="18"/>
                <w:szCs w:val="18"/>
              </w:rPr>
            </w:pPr>
            <w:r w:rsidRPr="00D21602">
              <w:rPr>
                <w:sz w:val="18"/>
                <w:szCs w:val="18"/>
              </w:rPr>
              <w:t xml:space="preserve">Social and environment screening  as per </w:t>
            </w:r>
            <w:r>
              <w:rPr>
                <w:sz w:val="18"/>
                <w:szCs w:val="18"/>
              </w:rPr>
              <w:t xml:space="preserve"> Annex 9 </w:t>
            </w:r>
            <w:r w:rsidRPr="00D21602">
              <w:rPr>
                <w:sz w:val="18"/>
                <w:szCs w:val="18"/>
              </w:rPr>
              <w:t>page  132</w:t>
            </w:r>
          </w:p>
        </w:tc>
      </w:tr>
      <w:tr w:rsidR="00D17561" w:rsidRPr="0094668E" w14:paraId="7FB6E7CE" w14:textId="77777777" w:rsidTr="00EB71A9">
        <w:trPr>
          <w:trHeight w:val="338"/>
        </w:trPr>
        <w:tc>
          <w:tcPr>
            <w:tcW w:w="9152" w:type="dxa"/>
            <w:gridSpan w:val="7"/>
            <w:vMerge w:val="restart"/>
            <w:shd w:val="clear" w:color="auto" w:fill="auto"/>
          </w:tcPr>
          <w:p w14:paraId="0E28D998" w14:textId="77777777" w:rsidR="00D17561" w:rsidRDefault="00D17561" w:rsidP="00D17561">
            <w:pPr>
              <w:numPr>
                <w:ilvl w:val="0"/>
                <w:numId w:val="206"/>
              </w:numPr>
              <w:spacing w:before="120" w:after="120"/>
              <w:jc w:val="left"/>
              <w:rPr>
                <w:sz w:val="18"/>
                <w:szCs w:val="18"/>
              </w:rPr>
            </w:pPr>
            <w:r w:rsidRPr="0094668E">
              <w:rPr>
                <w:b/>
                <w:sz w:val="18"/>
                <w:szCs w:val="18"/>
              </w:rPr>
              <w:t xml:space="preserve">Has the Social and Environmental Screening Procedure (SESP) been conducted to identify potential social and environmental impacts and risks? </w:t>
            </w:r>
            <w:r w:rsidRPr="0094668E">
              <w:rPr>
                <w:b/>
                <w:color w:val="000000"/>
                <w:sz w:val="18"/>
                <w:szCs w:val="18"/>
              </w:rPr>
              <w:t xml:space="preserve"> </w:t>
            </w:r>
            <w:r w:rsidRPr="0094668E">
              <w:rPr>
                <w:color w:val="000000"/>
                <w:sz w:val="18"/>
                <w:szCs w:val="18"/>
              </w:rPr>
              <w:t>The SESP is not required for projects in which UNDP is Administrative Agent only and/or projects comprised solely of reports, coordination of events, trainings, workshops, meetings, conferences and/or communication materials and information dissemination.</w:t>
            </w:r>
            <w:r w:rsidRPr="0094668E">
              <w:rPr>
                <w:sz w:val="18"/>
                <w:szCs w:val="18"/>
              </w:rPr>
              <w:t xml:space="preserve"> [if yes, upload the completed checklist. If SESP is not required, provide the reason for the exemption in the evidence section.]</w:t>
            </w:r>
          </w:p>
          <w:p w14:paraId="50304308" w14:textId="77777777" w:rsidR="00D17561" w:rsidRPr="0094668E" w:rsidRDefault="00D17561" w:rsidP="00D17561">
            <w:pPr>
              <w:numPr>
                <w:ilvl w:val="0"/>
                <w:numId w:val="206"/>
              </w:numPr>
              <w:spacing w:before="120" w:after="120"/>
              <w:jc w:val="left"/>
              <w:rPr>
                <w:sz w:val="18"/>
                <w:szCs w:val="18"/>
              </w:rPr>
            </w:pPr>
          </w:p>
        </w:tc>
        <w:tc>
          <w:tcPr>
            <w:tcW w:w="496" w:type="dxa"/>
            <w:shd w:val="clear" w:color="auto" w:fill="auto"/>
            <w:vAlign w:val="center"/>
          </w:tcPr>
          <w:p w14:paraId="66886731" w14:textId="77777777" w:rsidR="00D17561" w:rsidRPr="00D21602" w:rsidRDefault="00D17561" w:rsidP="00EB71A9">
            <w:pPr>
              <w:spacing w:after="0"/>
              <w:jc w:val="center"/>
              <w:rPr>
                <w:rFonts w:ascii="Times New Roman" w:hAnsi="Times New Roman"/>
                <w:b/>
                <w:sz w:val="18"/>
                <w:szCs w:val="18"/>
              </w:rPr>
            </w:pPr>
            <w:r w:rsidRPr="00D21602">
              <w:rPr>
                <w:rFonts w:ascii="Times New Roman" w:hAnsi="Times New Roman"/>
                <w:b/>
                <w:sz w:val="18"/>
                <w:szCs w:val="18"/>
                <w:highlight w:val="yellow"/>
              </w:rPr>
              <w:t>Yes</w:t>
            </w:r>
          </w:p>
        </w:tc>
        <w:tc>
          <w:tcPr>
            <w:tcW w:w="1046" w:type="dxa"/>
            <w:tcBorders>
              <w:bottom w:val="single" w:sz="4" w:space="0" w:color="000000"/>
            </w:tcBorders>
            <w:shd w:val="clear" w:color="auto" w:fill="auto"/>
            <w:vAlign w:val="center"/>
          </w:tcPr>
          <w:p w14:paraId="19EBA21D" w14:textId="77777777" w:rsidR="00D17561" w:rsidRPr="0094668E" w:rsidRDefault="00D17561" w:rsidP="00EB71A9">
            <w:pPr>
              <w:spacing w:after="0"/>
              <w:jc w:val="center"/>
              <w:rPr>
                <w:sz w:val="18"/>
                <w:szCs w:val="18"/>
              </w:rPr>
            </w:pPr>
            <w:r w:rsidRPr="0094668E">
              <w:rPr>
                <w:sz w:val="18"/>
                <w:szCs w:val="18"/>
              </w:rPr>
              <w:t>No</w:t>
            </w:r>
          </w:p>
        </w:tc>
      </w:tr>
      <w:tr w:rsidR="00D17561" w:rsidRPr="0094668E" w14:paraId="40185644" w14:textId="77777777" w:rsidTr="00EB71A9">
        <w:trPr>
          <w:trHeight w:val="1016"/>
        </w:trPr>
        <w:tc>
          <w:tcPr>
            <w:tcW w:w="9152" w:type="dxa"/>
            <w:gridSpan w:val="7"/>
            <w:vMerge/>
            <w:tcBorders>
              <w:bottom w:val="single" w:sz="4" w:space="0" w:color="000000"/>
            </w:tcBorders>
            <w:shd w:val="clear" w:color="auto" w:fill="auto"/>
          </w:tcPr>
          <w:p w14:paraId="26E7CFA9" w14:textId="77777777" w:rsidR="00D17561" w:rsidRPr="0094668E" w:rsidRDefault="00D17561" w:rsidP="00EB71A9">
            <w:pPr>
              <w:spacing w:before="120" w:after="120"/>
              <w:rPr>
                <w:b/>
                <w:sz w:val="18"/>
                <w:szCs w:val="18"/>
              </w:rPr>
            </w:pPr>
          </w:p>
        </w:tc>
        <w:tc>
          <w:tcPr>
            <w:tcW w:w="1542" w:type="dxa"/>
            <w:gridSpan w:val="2"/>
            <w:tcBorders>
              <w:bottom w:val="single" w:sz="4" w:space="0" w:color="000000"/>
            </w:tcBorders>
            <w:shd w:val="clear" w:color="auto" w:fill="auto"/>
            <w:vAlign w:val="center"/>
          </w:tcPr>
          <w:p w14:paraId="261649C2" w14:textId="77777777" w:rsidR="00D17561" w:rsidRPr="0094668E" w:rsidRDefault="00D17561" w:rsidP="00EB71A9">
            <w:pPr>
              <w:spacing w:after="0"/>
              <w:jc w:val="center"/>
              <w:rPr>
                <w:sz w:val="18"/>
                <w:szCs w:val="18"/>
              </w:rPr>
            </w:pPr>
            <w:r w:rsidRPr="0094668E">
              <w:rPr>
                <w:sz w:val="18"/>
                <w:szCs w:val="18"/>
              </w:rPr>
              <w:t>SESP Not Required</w:t>
            </w:r>
          </w:p>
        </w:tc>
      </w:tr>
      <w:tr w:rsidR="00D17561" w:rsidRPr="0094668E" w14:paraId="53D1FFF1" w14:textId="77777777" w:rsidTr="00EB71A9">
        <w:trPr>
          <w:trHeight w:val="458"/>
        </w:trPr>
        <w:tc>
          <w:tcPr>
            <w:tcW w:w="10694" w:type="dxa"/>
            <w:gridSpan w:val="9"/>
            <w:shd w:val="clear" w:color="auto" w:fill="C2D69B"/>
            <w:vAlign w:val="center"/>
          </w:tcPr>
          <w:p w14:paraId="00B250CA" w14:textId="77777777" w:rsidR="00D17561" w:rsidRPr="0094668E" w:rsidRDefault="00D17561" w:rsidP="00EB71A9">
            <w:pPr>
              <w:pStyle w:val="ListParagraph"/>
              <w:spacing w:before="20" w:after="20"/>
              <w:ind w:left="157"/>
              <w:rPr>
                <w:rFonts w:ascii="Calibri" w:hAnsi="Calibri"/>
                <w:sz w:val="18"/>
                <w:szCs w:val="20"/>
              </w:rPr>
            </w:pPr>
            <w:r w:rsidRPr="0094668E">
              <w:rPr>
                <w:rFonts w:ascii="Calibri" w:hAnsi="Calibri"/>
                <w:b/>
                <w:smallCaps/>
                <w:sz w:val="28"/>
                <w:szCs w:val="20"/>
              </w:rPr>
              <w:t>Management &amp; Monitoring</w:t>
            </w:r>
          </w:p>
        </w:tc>
      </w:tr>
      <w:tr w:rsidR="00D17561" w:rsidRPr="0094668E" w14:paraId="514FFC79" w14:textId="77777777" w:rsidTr="00EB71A9">
        <w:trPr>
          <w:trHeight w:val="242"/>
        </w:trPr>
        <w:tc>
          <w:tcPr>
            <w:tcW w:w="9152" w:type="dxa"/>
            <w:gridSpan w:val="7"/>
            <w:vMerge w:val="restart"/>
            <w:shd w:val="clear" w:color="auto" w:fill="auto"/>
          </w:tcPr>
          <w:p w14:paraId="3A54A0FC" w14:textId="77777777" w:rsidR="00D17561" w:rsidRPr="0094668E" w:rsidRDefault="00D17561" w:rsidP="00D17561">
            <w:pPr>
              <w:pStyle w:val="ListParagraph"/>
              <w:numPr>
                <w:ilvl w:val="0"/>
                <w:numId w:val="205"/>
              </w:numPr>
              <w:spacing w:before="120" w:after="20"/>
              <w:ind w:left="247" w:hanging="270"/>
              <w:rPr>
                <w:rFonts w:ascii="Calibri" w:hAnsi="Calibri"/>
                <w:sz w:val="18"/>
                <w:szCs w:val="18"/>
              </w:rPr>
            </w:pPr>
            <w:r w:rsidRPr="0094668E">
              <w:rPr>
                <w:rFonts w:ascii="Calibri" w:hAnsi="Calibri"/>
                <w:b/>
                <w:sz w:val="18"/>
                <w:szCs w:val="18"/>
              </w:rPr>
              <w:t>Does the project have a strong results framework?</w:t>
            </w:r>
            <w:r w:rsidRPr="0094668E">
              <w:rPr>
                <w:rFonts w:ascii="Calibri" w:hAnsi="Calibri"/>
                <w:sz w:val="18"/>
                <w:szCs w:val="18"/>
              </w:rPr>
              <w:t xml:space="preserve"> </w:t>
            </w:r>
            <w:r w:rsidRPr="0094668E">
              <w:rPr>
                <w:rFonts w:ascii="Calibri" w:hAnsi="Calibri"/>
                <w:b/>
                <w:sz w:val="18"/>
                <w:szCs w:val="18"/>
              </w:rPr>
              <w:t>(select from options 1-3 that best reflects this project):</w:t>
            </w:r>
          </w:p>
          <w:p w14:paraId="5BB0C015" w14:textId="77777777" w:rsidR="00D17561" w:rsidRPr="0094668E" w:rsidRDefault="00D17561" w:rsidP="00D17561">
            <w:pPr>
              <w:pStyle w:val="ListParagraph"/>
              <w:numPr>
                <w:ilvl w:val="0"/>
                <w:numId w:val="200"/>
              </w:numPr>
              <w:spacing w:before="20" w:after="20"/>
              <w:ind w:left="607" w:hanging="270"/>
              <w:rPr>
                <w:rFonts w:ascii="Calibri" w:hAnsi="Calibri"/>
                <w:sz w:val="18"/>
                <w:szCs w:val="18"/>
              </w:rPr>
            </w:pPr>
            <w:r w:rsidRPr="0094668E">
              <w:rPr>
                <w:rFonts w:ascii="Calibri" w:hAnsi="Calibri"/>
                <w:b/>
                <w:sz w:val="18"/>
                <w:szCs w:val="18"/>
                <w:u w:val="single"/>
              </w:rPr>
              <w:t>3:</w:t>
            </w:r>
            <w:r w:rsidRPr="0094668E">
              <w:rPr>
                <w:rFonts w:ascii="Calibri" w:hAnsi="Calibri"/>
                <w:sz w:val="18"/>
                <w:szCs w:val="18"/>
              </w:rPr>
              <w:t xml:space="preserve"> The project’s selection of outputs and activities are at an appropriate level and relate in a clear way to the project’s theory of change. Outputs are accompanied by SMART, results-oriented indicators that measure all of the key expected changes identified in the theory of change, each with credible data sources, and populated baselines and targets, including gender sensitive, sex-disaggregated indicators where appropriate. </w:t>
            </w:r>
            <w:r w:rsidRPr="0094668E">
              <w:rPr>
                <w:rFonts w:ascii="Calibri" w:hAnsi="Calibri"/>
                <w:i/>
                <w:sz w:val="18"/>
                <w:szCs w:val="18"/>
              </w:rPr>
              <w:t>(</w:t>
            </w:r>
            <w:r w:rsidRPr="0094668E">
              <w:rPr>
                <w:rFonts w:ascii="Calibri" w:hAnsi="Calibri"/>
                <w:i/>
                <w:sz w:val="18"/>
                <w:szCs w:val="18"/>
                <w:u w:val="single"/>
              </w:rPr>
              <w:t>all</w:t>
            </w:r>
            <w:r w:rsidRPr="0094668E">
              <w:rPr>
                <w:rFonts w:ascii="Calibri" w:hAnsi="Calibri"/>
                <w:i/>
                <w:sz w:val="18"/>
                <w:szCs w:val="18"/>
              </w:rPr>
              <w:t xml:space="preserve"> must be true to select this option)</w:t>
            </w:r>
          </w:p>
          <w:p w14:paraId="26C5CBFC" w14:textId="77777777" w:rsidR="00D17561" w:rsidRPr="0094668E" w:rsidRDefault="00D17561" w:rsidP="00D17561">
            <w:pPr>
              <w:pStyle w:val="ListParagraph"/>
              <w:numPr>
                <w:ilvl w:val="0"/>
                <w:numId w:val="200"/>
              </w:numPr>
              <w:spacing w:before="20" w:after="20"/>
              <w:ind w:left="607" w:hanging="270"/>
              <w:rPr>
                <w:rFonts w:ascii="Calibri" w:hAnsi="Calibri"/>
                <w:sz w:val="18"/>
                <w:szCs w:val="18"/>
              </w:rPr>
            </w:pPr>
            <w:r w:rsidRPr="0094668E">
              <w:rPr>
                <w:rFonts w:ascii="Calibri" w:hAnsi="Calibri"/>
                <w:b/>
                <w:sz w:val="18"/>
                <w:szCs w:val="18"/>
                <w:u w:val="single"/>
              </w:rPr>
              <w:t>2:</w:t>
            </w:r>
            <w:r w:rsidRPr="0094668E">
              <w:rPr>
                <w:rFonts w:ascii="Calibri" w:hAnsi="Calibri"/>
                <w:sz w:val="18"/>
                <w:szCs w:val="18"/>
              </w:rPr>
              <w:t xml:space="preserve"> The project’s selection of outputs and activities are at an appropriate level, but may not cover all aspects of the project’s theory of change. Outputs are accompanied by SMART, results-oriented indicators, but baselines, targets and data sources may not yet be fully specified. Some use of gender sensitive, sex-disaggregated indicators, as appropriate. </w:t>
            </w:r>
            <w:r w:rsidRPr="0094668E">
              <w:rPr>
                <w:rFonts w:ascii="Calibri" w:hAnsi="Calibri"/>
                <w:i/>
                <w:sz w:val="18"/>
                <w:szCs w:val="18"/>
              </w:rPr>
              <w:t>(</w:t>
            </w:r>
            <w:r w:rsidRPr="0094668E">
              <w:rPr>
                <w:rFonts w:ascii="Calibri" w:hAnsi="Calibri"/>
                <w:i/>
                <w:sz w:val="18"/>
                <w:szCs w:val="18"/>
                <w:u w:val="single"/>
              </w:rPr>
              <w:t>all</w:t>
            </w:r>
            <w:r w:rsidRPr="0094668E">
              <w:rPr>
                <w:rFonts w:ascii="Calibri" w:hAnsi="Calibri"/>
                <w:i/>
                <w:sz w:val="18"/>
                <w:szCs w:val="18"/>
              </w:rPr>
              <w:t xml:space="preserve"> must be true to select this option)</w:t>
            </w:r>
          </w:p>
          <w:p w14:paraId="0D2F3AAC" w14:textId="77777777" w:rsidR="00D17561" w:rsidRPr="0094668E" w:rsidRDefault="00D17561" w:rsidP="00D17561">
            <w:pPr>
              <w:pStyle w:val="ListParagraph"/>
              <w:numPr>
                <w:ilvl w:val="0"/>
                <w:numId w:val="200"/>
              </w:numPr>
              <w:tabs>
                <w:tab w:val="left" w:pos="5715"/>
              </w:tabs>
              <w:spacing w:before="20" w:after="20"/>
              <w:ind w:left="607" w:hanging="270"/>
              <w:rPr>
                <w:rFonts w:ascii="Calibri" w:hAnsi="Calibri"/>
                <w:sz w:val="18"/>
                <w:szCs w:val="18"/>
              </w:rPr>
            </w:pPr>
            <w:r w:rsidRPr="0094668E">
              <w:rPr>
                <w:rFonts w:ascii="Calibri" w:hAnsi="Calibri"/>
                <w:b/>
                <w:sz w:val="18"/>
                <w:szCs w:val="18"/>
                <w:u w:val="single"/>
              </w:rPr>
              <w:t>1:</w:t>
            </w:r>
            <w:r w:rsidRPr="0094668E">
              <w:rPr>
                <w:rFonts w:ascii="Calibri" w:hAnsi="Calibri"/>
                <w:sz w:val="18"/>
                <w:szCs w:val="18"/>
              </w:rPr>
              <w:t xml:space="preserve"> The results framework does not meet all of the conditions specified in selection “2” above. This includes: the project’s selection of outputs and activities are not at an appropriate level and do not relate in a clear way to the project’s theory of change; outputs are not accompanied by SMART, results-oriented indicators that measure the expected change, and have not been populated with baselines and targets; data sources are not specified, and/or no gender sensitive, sex-disaggregation of indicators.</w:t>
            </w:r>
          </w:p>
          <w:p w14:paraId="67EA8DD5" w14:textId="77777777" w:rsidR="00D17561" w:rsidRPr="0094668E" w:rsidRDefault="00D17561" w:rsidP="00EB71A9">
            <w:pPr>
              <w:tabs>
                <w:tab w:val="left" w:pos="5715"/>
              </w:tabs>
              <w:spacing w:before="120"/>
              <w:rPr>
                <w:sz w:val="18"/>
                <w:szCs w:val="18"/>
              </w:rPr>
            </w:pPr>
            <w:r w:rsidRPr="0094668E">
              <w:rPr>
                <w:sz w:val="18"/>
                <w:szCs w:val="18"/>
              </w:rPr>
              <w:t xml:space="preserve">*Note: </w:t>
            </w:r>
            <w:r w:rsidRPr="0094668E">
              <w:rPr>
                <w:sz w:val="16"/>
                <w:szCs w:val="16"/>
              </w:rPr>
              <w:t xml:space="preserve"> Management Action or strong management justification must be given for a score of 1</w:t>
            </w:r>
          </w:p>
        </w:tc>
        <w:tc>
          <w:tcPr>
            <w:tcW w:w="496" w:type="dxa"/>
            <w:shd w:val="clear" w:color="auto" w:fill="auto"/>
          </w:tcPr>
          <w:p w14:paraId="2C500ACF" w14:textId="77777777" w:rsidR="00D17561" w:rsidRPr="0094668E" w:rsidRDefault="00D17561" w:rsidP="00EB71A9">
            <w:pPr>
              <w:spacing w:after="0"/>
              <w:jc w:val="center"/>
              <w:rPr>
                <w:sz w:val="18"/>
                <w:szCs w:val="18"/>
              </w:rPr>
            </w:pPr>
            <w:r w:rsidRPr="0094668E">
              <w:rPr>
                <w:sz w:val="18"/>
                <w:szCs w:val="18"/>
              </w:rPr>
              <w:t>3</w:t>
            </w:r>
          </w:p>
        </w:tc>
        <w:tc>
          <w:tcPr>
            <w:tcW w:w="1046" w:type="dxa"/>
            <w:shd w:val="clear" w:color="auto" w:fill="auto"/>
          </w:tcPr>
          <w:p w14:paraId="15BB664B" w14:textId="77777777" w:rsidR="00D17561" w:rsidRPr="00D21602" w:rsidRDefault="00D17561" w:rsidP="00EB71A9">
            <w:pPr>
              <w:spacing w:after="0"/>
              <w:jc w:val="center"/>
              <w:rPr>
                <w:rFonts w:ascii="Times New Roman" w:hAnsi="Times New Roman"/>
                <w:b/>
              </w:rPr>
            </w:pPr>
            <w:r w:rsidRPr="00D21602">
              <w:rPr>
                <w:rFonts w:ascii="Times New Roman" w:hAnsi="Times New Roman"/>
                <w:b/>
                <w:highlight w:val="yellow"/>
              </w:rPr>
              <w:t>2</w:t>
            </w:r>
          </w:p>
        </w:tc>
      </w:tr>
      <w:tr w:rsidR="00D17561" w:rsidRPr="0094668E" w14:paraId="27475722" w14:textId="77777777" w:rsidTr="00EB71A9">
        <w:trPr>
          <w:trHeight w:val="165"/>
        </w:trPr>
        <w:tc>
          <w:tcPr>
            <w:tcW w:w="9152" w:type="dxa"/>
            <w:gridSpan w:val="7"/>
            <w:vMerge/>
            <w:shd w:val="clear" w:color="auto" w:fill="auto"/>
          </w:tcPr>
          <w:p w14:paraId="049594C3" w14:textId="77777777" w:rsidR="00D17561" w:rsidRPr="0094668E" w:rsidRDefault="00D17561" w:rsidP="00D17561">
            <w:pPr>
              <w:pStyle w:val="ListParagraph"/>
              <w:numPr>
                <w:ilvl w:val="0"/>
                <w:numId w:val="203"/>
              </w:numPr>
              <w:spacing w:before="20" w:after="20"/>
              <w:ind w:left="247" w:hanging="270"/>
              <w:rPr>
                <w:rFonts w:ascii="Calibri" w:hAnsi="Calibri"/>
                <w:b/>
                <w:sz w:val="18"/>
                <w:szCs w:val="18"/>
              </w:rPr>
            </w:pPr>
          </w:p>
        </w:tc>
        <w:tc>
          <w:tcPr>
            <w:tcW w:w="1542" w:type="dxa"/>
            <w:gridSpan w:val="2"/>
            <w:tcBorders>
              <w:bottom w:val="single" w:sz="4" w:space="0" w:color="000000"/>
            </w:tcBorders>
            <w:shd w:val="clear" w:color="auto" w:fill="auto"/>
          </w:tcPr>
          <w:p w14:paraId="7978B868" w14:textId="77777777" w:rsidR="00D17561" w:rsidRPr="0094668E" w:rsidRDefault="00D17561" w:rsidP="00EB71A9">
            <w:pPr>
              <w:spacing w:after="0"/>
              <w:jc w:val="center"/>
              <w:rPr>
                <w:sz w:val="18"/>
                <w:szCs w:val="18"/>
              </w:rPr>
            </w:pPr>
            <w:r w:rsidRPr="0094668E">
              <w:rPr>
                <w:sz w:val="18"/>
                <w:szCs w:val="18"/>
              </w:rPr>
              <w:t>1</w:t>
            </w:r>
          </w:p>
        </w:tc>
      </w:tr>
      <w:tr w:rsidR="00D17561" w:rsidRPr="0094668E" w14:paraId="76343542" w14:textId="77777777" w:rsidTr="00EB71A9">
        <w:trPr>
          <w:trHeight w:val="1383"/>
        </w:trPr>
        <w:tc>
          <w:tcPr>
            <w:tcW w:w="9152" w:type="dxa"/>
            <w:gridSpan w:val="7"/>
            <w:vMerge/>
            <w:tcBorders>
              <w:bottom w:val="single" w:sz="4" w:space="0" w:color="000000"/>
            </w:tcBorders>
            <w:shd w:val="clear" w:color="auto" w:fill="auto"/>
          </w:tcPr>
          <w:p w14:paraId="76E675CF" w14:textId="77777777" w:rsidR="00D17561" w:rsidRPr="0094668E" w:rsidRDefault="00D17561" w:rsidP="00D17561">
            <w:pPr>
              <w:pStyle w:val="ListParagraph"/>
              <w:numPr>
                <w:ilvl w:val="0"/>
                <w:numId w:val="203"/>
              </w:numPr>
              <w:spacing w:before="20" w:after="20"/>
              <w:ind w:left="247" w:hanging="270"/>
              <w:rPr>
                <w:rFonts w:ascii="Calibri" w:hAnsi="Calibri"/>
                <w:b/>
                <w:sz w:val="18"/>
                <w:szCs w:val="18"/>
              </w:rPr>
            </w:pPr>
          </w:p>
        </w:tc>
        <w:tc>
          <w:tcPr>
            <w:tcW w:w="1542" w:type="dxa"/>
            <w:gridSpan w:val="2"/>
            <w:tcBorders>
              <w:bottom w:val="single" w:sz="4" w:space="0" w:color="000000"/>
            </w:tcBorders>
            <w:shd w:val="clear" w:color="auto" w:fill="auto"/>
          </w:tcPr>
          <w:p w14:paraId="02428AD4" w14:textId="77777777" w:rsidR="00D17561" w:rsidRDefault="00D17561" w:rsidP="00EB71A9">
            <w:pPr>
              <w:spacing w:after="0"/>
              <w:jc w:val="center"/>
              <w:rPr>
                <w:b/>
                <w:sz w:val="18"/>
                <w:szCs w:val="18"/>
              </w:rPr>
            </w:pPr>
            <w:r w:rsidRPr="0094668E">
              <w:rPr>
                <w:b/>
                <w:sz w:val="18"/>
                <w:szCs w:val="18"/>
              </w:rPr>
              <w:t>Evidence</w:t>
            </w:r>
          </w:p>
          <w:p w14:paraId="4DD4879C" w14:textId="77777777" w:rsidR="00D17561" w:rsidRDefault="00D17561" w:rsidP="00EB71A9">
            <w:pPr>
              <w:spacing w:after="0"/>
              <w:jc w:val="center"/>
              <w:rPr>
                <w:b/>
                <w:sz w:val="18"/>
                <w:szCs w:val="18"/>
              </w:rPr>
            </w:pPr>
          </w:p>
          <w:p w14:paraId="6D634609" w14:textId="77777777" w:rsidR="00D17561" w:rsidRPr="00D21602" w:rsidRDefault="00D17561" w:rsidP="00EB71A9">
            <w:pPr>
              <w:spacing w:after="0"/>
              <w:jc w:val="center"/>
              <w:rPr>
                <w:sz w:val="18"/>
                <w:szCs w:val="18"/>
              </w:rPr>
            </w:pPr>
            <w:r w:rsidRPr="00D21602">
              <w:rPr>
                <w:sz w:val="18"/>
                <w:szCs w:val="18"/>
              </w:rPr>
              <w:t>Refe</w:t>
            </w:r>
            <w:r>
              <w:rPr>
                <w:sz w:val="18"/>
                <w:szCs w:val="18"/>
              </w:rPr>
              <w:t>r</w:t>
            </w:r>
            <w:r w:rsidRPr="00D21602">
              <w:rPr>
                <w:sz w:val="18"/>
                <w:szCs w:val="18"/>
              </w:rPr>
              <w:t xml:space="preserve"> to  TOC on page 4 </w:t>
            </w:r>
          </w:p>
          <w:p w14:paraId="1482BA5D" w14:textId="77777777" w:rsidR="00D17561" w:rsidRPr="0094668E" w:rsidRDefault="00D17561" w:rsidP="00EB71A9">
            <w:pPr>
              <w:spacing w:after="0"/>
              <w:jc w:val="center"/>
              <w:rPr>
                <w:sz w:val="18"/>
                <w:szCs w:val="18"/>
              </w:rPr>
            </w:pPr>
            <w:r w:rsidRPr="00D21602">
              <w:rPr>
                <w:sz w:val="18"/>
                <w:szCs w:val="18"/>
              </w:rPr>
              <w:t>And Project Results Framework page 50</w:t>
            </w:r>
          </w:p>
        </w:tc>
      </w:tr>
      <w:tr w:rsidR="00D17561" w:rsidRPr="0094668E" w14:paraId="10CE932E" w14:textId="77777777" w:rsidTr="00EB71A9">
        <w:trPr>
          <w:trHeight w:val="52"/>
        </w:trPr>
        <w:tc>
          <w:tcPr>
            <w:tcW w:w="9152" w:type="dxa"/>
            <w:gridSpan w:val="7"/>
            <w:tcBorders>
              <w:bottom w:val="single" w:sz="4" w:space="0" w:color="000000"/>
            </w:tcBorders>
            <w:shd w:val="clear" w:color="auto" w:fill="auto"/>
          </w:tcPr>
          <w:p w14:paraId="4BEC1D03" w14:textId="77777777" w:rsidR="00D17561" w:rsidRPr="0094668E" w:rsidRDefault="00D17561" w:rsidP="00EB71A9">
            <w:pPr>
              <w:spacing w:before="120" w:after="120"/>
              <w:rPr>
                <w:b/>
                <w:sz w:val="18"/>
                <w:szCs w:val="18"/>
              </w:rPr>
            </w:pPr>
            <w:r w:rsidRPr="0094668E">
              <w:rPr>
                <w:b/>
                <w:sz w:val="18"/>
                <w:szCs w:val="18"/>
              </w:rPr>
              <w:t>11. Is there a comprehensive and costed M&amp;E plan in place with specified data collection sources and methods to support evidence-based management, monitoring and evaluation of the project?</w:t>
            </w:r>
          </w:p>
        </w:tc>
        <w:tc>
          <w:tcPr>
            <w:tcW w:w="496" w:type="dxa"/>
            <w:tcBorders>
              <w:bottom w:val="single" w:sz="4" w:space="0" w:color="000000"/>
            </w:tcBorders>
            <w:shd w:val="clear" w:color="auto" w:fill="auto"/>
            <w:vAlign w:val="center"/>
          </w:tcPr>
          <w:p w14:paraId="3C21D5A1" w14:textId="77777777" w:rsidR="00D17561" w:rsidRPr="003E176F" w:rsidRDefault="00D17561" w:rsidP="00EB71A9">
            <w:pPr>
              <w:spacing w:after="0"/>
              <w:jc w:val="center"/>
              <w:rPr>
                <w:b/>
                <w:sz w:val="18"/>
                <w:szCs w:val="18"/>
              </w:rPr>
            </w:pPr>
            <w:r w:rsidRPr="003E176F">
              <w:rPr>
                <w:b/>
                <w:sz w:val="18"/>
                <w:szCs w:val="18"/>
                <w:highlight w:val="yellow"/>
              </w:rPr>
              <w:t>Yes (3)</w:t>
            </w:r>
          </w:p>
        </w:tc>
        <w:tc>
          <w:tcPr>
            <w:tcW w:w="1046" w:type="dxa"/>
            <w:tcBorders>
              <w:bottom w:val="single" w:sz="4" w:space="0" w:color="000000"/>
            </w:tcBorders>
            <w:shd w:val="clear" w:color="auto" w:fill="auto"/>
            <w:vAlign w:val="center"/>
          </w:tcPr>
          <w:p w14:paraId="790D5DA6" w14:textId="77777777" w:rsidR="00D17561" w:rsidRPr="0094668E" w:rsidRDefault="00D17561" w:rsidP="00EB71A9">
            <w:pPr>
              <w:spacing w:after="0"/>
              <w:jc w:val="center"/>
              <w:rPr>
                <w:sz w:val="18"/>
                <w:szCs w:val="18"/>
              </w:rPr>
            </w:pPr>
            <w:r w:rsidRPr="0094668E">
              <w:rPr>
                <w:sz w:val="18"/>
                <w:szCs w:val="18"/>
              </w:rPr>
              <w:t>No (1)</w:t>
            </w:r>
          </w:p>
        </w:tc>
      </w:tr>
      <w:tr w:rsidR="00D17561" w:rsidRPr="0094668E" w14:paraId="686DA63E" w14:textId="77777777" w:rsidTr="00EB71A9">
        <w:trPr>
          <w:trHeight w:val="215"/>
        </w:trPr>
        <w:tc>
          <w:tcPr>
            <w:tcW w:w="9152" w:type="dxa"/>
            <w:gridSpan w:val="7"/>
            <w:vMerge w:val="restart"/>
            <w:shd w:val="clear" w:color="auto" w:fill="auto"/>
          </w:tcPr>
          <w:p w14:paraId="5FF11883" w14:textId="77777777" w:rsidR="00D17561" w:rsidRPr="0094668E" w:rsidRDefault="00D17561" w:rsidP="00EB71A9">
            <w:pPr>
              <w:spacing w:before="120" w:after="120"/>
              <w:rPr>
                <w:b/>
                <w:sz w:val="18"/>
                <w:szCs w:val="18"/>
              </w:rPr>
            </w:pPr>
            <w:r w:rsidRPr="0094668E">
              <w:rPr>
                <w:b/>
                <w:sz w:val="18"/>
                <w:szCs w:val="18"/>
              </w:rPr>
              <w:t>12. Is the project’s governance mechanism clearly defined in the project document, including planned composition of the project board? (select from options 1-3 that best reflects this project):</w:t>
            </w:r>
          </w:p>
          <w:p w14:paraId="3F463A66" w14:textId="77777777" w:rsidR="00D17561" w:rsidRPr="0094668E" w:rsidRDefault="00D17561" w:rsidP="00D17561">
            <w:pPr>
              <w:pStyle w:val="ListParagraph"/>
              <w:numPr>
                <w:ilvl w:val="0"/>
                <w:numId w:val="200"/>
              </w:numPr>
              <w:spacing w:before="20" w:after="20"/>
              <w:ind w:left="607" w:hanging="270"/>
              <w:rPr>
                <w:rFonts w:ascii="Calibri" w:hAnsi="Calibri"/>
                <w:sz w:val="18"/>
                <w:szCs w:val="18"/>
              </w:rPr>
            </w:pPr>
            <w:r w:rsidRPr="0094668E">
              <w:rPr>
                <w:rFonts w:ascii="Calibri" w:hAnsi="Calibri"/>
                <w:b/>
                <w:sz w:val="18"/>
                <w:szCs w:val="18"/>
                <w:u w:val="single"/>
              </w:rPr>
              <w:t>3:</w:t>
            </w:r>
            <w:r w:rsidRPr="0094668E">
              <w:rPr>
                <w:rFonts w:ascii="Calibri" w:hAnsi="Calibri"/>
                <w:sz w:val="18"/>
                <w:szCs w:val="18"/>
              </w:rPr>
              <w:t xml:space="preserve">  The project’s governance mechanism is fully defined in the project composition. Individuals have been specified for each position in the governance mechanism (especially all members of the project board.) Project Board members have agreed on their roles and responsibilities as specified in the terms of reference. The ToR of the project board has been attached to the project document. </w:t>
            </w:r>
            <w:r w:rsidRPr="0094668E">
              <w:rPr>
                <w:rFonts w:ascii="Calibri" w:hAnsi="Calibri"/>
                <w:i/>
                <w:sz w:val="18"/>
                <w:szCs w:val="18"/>
              </w:rPr>
              <w:t>(</w:t>
            </w:r>
            <w:r w:rsidRPr="0094668E">
              <w:rPr>
                <w:rFonts w:ascii="Calibri" w:hAnsi="Calibri"/>
                <w:i/>
                <w:sz w:val="18"/>
                <w:szCs w:val="18"/>
                <w:u w:val="single"/>
              </w:rPr>
              <w:t>all</w:t>
            </w:r>
            <w:r w:rsidRPr="0094668E">
              <w:rPr>
                <w:rFonts w:ascii="Calibri" w:hAnsi="Calibri"/>
                <w:i/>
                <w:sz w:val="18"/>
                <w:szCs w:val="18"/>
              </w:rPr>
              <w:t xml:space="preserve"> must be true to select this option)</w:t>
            </w:r>
            <w:r w:rsidRPr="0094668E">
              <w:rPr>
                <w:rFonts w:ascii="Calibri" w:hAnsi="Calibri"/>
                <w:sz w:val="18"/>
                <w:szCs w:val="18"/>
              </w:rPr>
              <w:t>.</w:t>
            </w:r>
          </w:p>
          <w:p w14:paraId="043B289C" w14:textId="77777777" w:rsidR="00D17561" w:rsidRPr="0094668E" w:rsidRDefault="00D17561" w:rsidP="00D17561">
            <w:pPr>
              <w:pStyle w:val="ListParagraph"/>
              <w:numPr>
                <w:ilvl w:val="0"/>
                <w:numId w:val="200"/>
              </w:numPr>
              <w:spacing w:before="20" w:after="20"/>
              <w:ind w:left="607" w:hanging="270"/>
              <w:rPr>
                <w:rFonts w:ascii="Calibri" w:hAnsi="Calibri"/>
                <w:sz w:val="18"/>
                <w:szCs w:val="18"/>
              </w:rPr>
            </w:pPr>
            <w:r w:rsidRPr="0094668E">
              <w:rPr>
                <w:rFonts w:ascii="Calibri" w:hAnsi="Calibri"/>
                <w:b/>
                <w:sz w:val="18"/>
                <w:szCs w:val="18"/>
                <w:u w:val="single"/>
              </w:rPr>
              <w:t>2:</w:t>
            </w:r>
            <w:r w:rsidRPr="0094668E">
              <w:rPr>
                <w:rFonts w:ascii="Calibri" w:hAnsi="Calibri"/>
                <w:sz w:val="18"/>
                <w:szCs w:val="18"/>
              </w:rPr>
              <w:t xml:space="preserve"> The project’s governance mechanism is defined in the project document; specific institutions are noted as holding key governance roles, but individuals may not have been specified yet. The prodoc lists the most important responsibilities of the project board, project director/manager and quality assurance roles. </w:t>
            </w:r>
            <w:r w:rsidRPr="0094668E">
              <w:rPr>
                <w:rFonts w:ascii="Calibri" w:hAnsi="Calibri"/>
                <w:i/>
                <w:sz w:val="18"/>
                <w:szCs w:val="18"/>
              </w:rPr>
              <w:t>(all must be true to select this option)</w:t>
            </w:r>
          </w:p>
          <w:p w14:paraId="6C919C12" w14:textId="77777777" w:rsidR="00D17561" w:rsidRPr="0094668E" w:rsidRDefault="00D17561" w:rsidP="00D17561">
            <w:pPr>
              <w:pStyle w:val="ListParagraph"/>
              <w:numPr>
                <w:ilvl w:val="0"/>
                <w:numId w:val="200"/>
              </w:numPr>
              <w:tabs>
                <w:tab w:val="left" w:pos="5715"/>
              </w:tabs>
              <w:spacing w:before="20" w:after="20"/>
              <w:ind w:left="607" w:hanging="270"/>
              <w:rPr>
                <w:rFonts w:ascii="Calibri" w:hAnsi="Calibri"/>
                <w:sz w:val="18"/>
                <w:szCs w:val="18"/>
              </w:rPr>
            </w:pPr>
            <w:r w:rsidRPr="0094668E">
              <w:rPr>
                <w:rFonts w:ascii="Calibri" w:hAnsi="Calibri"/>
                <w:b/>
                <w:sz w:val="18"/>
                <w:szCs w:val="18"/>
                <w:u w:val="single"/>
              </w:rPr>
              <w:t>1:</w:t>
            </w:r>
            <w:r w:rsidRPr="0094668E">
              <w:rPr>
                <w:rFonts w:ascii="Calibri" w:hAnsi="Calibri"/>
                <w:sz w:val="18"/>
                <w:szCs w:val="18"/>
              </w:rPr>
              <w:t xml:space="preserve"> The project’s governance mechanism is loosely defined in the project document, only mentioning key roles that will need to be filled at a later date. No information on the responsibilities of key positions in the governance mechanism is provided.</w:t>
            </w:r>
          </w:p>
          <w:p w14:paraId="291D4F9C" w14:textId="77777777" w:rsidR="00D17561" w:rsidRPr="0094668E" w:rsidRDefault="00D17561" w:rsidP="00EB71A9">
            <w:pPr>
              <w:spacing w:before="120" w:after="120"/>
              <w:rPr>
                <w:sz w:val="16"/>
                <w:szCs w:val="16"/>
              </w:rPr>
            </w:pPr>
            <w:r w:rsidRPr="0094668E">
              <w:rPr>
                <w:sz w:val="16"/>
                <w:szCs w:val="16"/>
              </w:rPr>
              <w:t>*Note:  Management Action or strong management justification must be given for a score of 1</w:t>
            </w:r>
          </w:p>
        </w:tc>
        <w:tc>
          <w:tcPr>
            <w:tcW w:w="496" w:type="dxa"/>
            <w:shd w:val="clear" w:color="auto" w:fill="auto"/>
          </w:tcPr>
          <w:p w14:paraId="6483CAE4" w14:textId="77777777" w:rsidR="00D17561" w:rsidRPr="0094668E" w:rsidRDefault="00D17561" w:rsidP="00EB71A9">
            <w:pPr>
              <w:spacing w:after="0"/>
              <w:jc w:val="center"/>
              <w:rPr>
                <w:sz w:val="18"/>
                <w:szCs w:val="18"/>
              </w:rPr>
            </w:pPr>
            <w:r w:rsidRPr="0094668E">
              <w:rPr>
                <w:sz w:val="18"/>
                <w:szCs w:val="18"/>
              </w:rPr>
              <w:t>3</w:t>
            </w:r>
          </w:p>
        </w:tc>
        <w:tc>
          <w:tcPr>
            <w:tcW w:w="1046" w:type="dxa"/>
            <w:shd w:val="clear" w:color="auto" w:fill="auto"/>
          </w:tcPr>
          <w:p w14:paraId="2F0B8803" w14:textId="77777777" w:rsidR="00D17561" w:rsidRPr="003E176F" w:rsidRDefault="00D17561" w:rsidP="00EB71A9">
            <w:pPr>
              <w:spacing w:after="0"/>
              <w:jc w:val="center"/>
              <w:rPr>
                <w:rFonts w:ascii="Times New Roman" w:hAnsi="Times New Roman"/>
                <w:b/>
              </w:rPr>
            </w:pPr>
            <w:r w:rsidRPr="003E176F">
              <w:rPr>
                <w:rFonts w:ascii="Times New Roman" w:hAnsi="Times New Roman"/>
                <w:b/>
                <w:highlight w:val="yellow"/>
              </w:rPr>
              <w:t>2</w:t>
            </w:r>
          </w:p>
        </w:tc>
      </w:tr>
      <w:tr w:rsidR="00D17561" w:rsidRPr="0094668E" w14:paraId="57684C81" w14:textId="77777777" w:rsidTr="00EB71A9">
        <w:trPr>
          <w:trHeight w:val="219"/>
        </w:trPr>
        <w:tc>
          <w:tcPr>
            <w:tcW w:w="9152" w:type="dxa"/>
            <w:gridSpan w:val="7"/>
            <w:vMerge/>
            <w:shd w:val="clear" w:color="auto" w:fill="auto"/>
          </w:tcPr>
          <w:p w14:paraId="518F797B" w14:textId="77777777" w:rsidR="00D17561" w:rsidRPr="0094668E" w:rsidRDefault="00D17561" w:rsidP="00EB71A9">
            <w:pPr>
              <w:spacing w:before="120" w:after="120"/>
              <w:rPr>
                <w:b/>
                <w:sz w:val="18"/>
                <w:szCs w:val="18"/>
              </w:rPr>
            </w:pPr>
          </w:p>
        </w:tc>
        <w:tc>
          <w:tcPr>
            <w:tcW w:w="1542" w:type="dxa"/>
            <w:gridSpan w:val="2"/>
            <w:tcBorders>
              <w:bottom w:val="single" w:sz="4" w:space="0" w:color="000000"/>
            </w:tcBorders>
            <w:shd w:val="clear" w:color="auto" w:fill="auto"/>
          </w:tcPr>
          <w:p w14:paraId="08343F2D" w14:textId="77777777" w:rsidR="00D17561" w:rsidRPr="0094668E" w:rsidRDefault="00D17561" w:rsidP="00EB71A9">
            <w:pPr>
              <w:spacing w:after="0"/>
              <w:jc w:val="center"/>
              <w:rPr>
                <w:sz w:val="18"/>
                <w:szCs w:val="18"/>
              </w:rPr>
            </w:pPr>
            <w:r w:rsidRPr="0094668E">
              <w:rPr>
                <w:sz w:val="18"/>
                <w:szCs w:val="18"/>
              </w:rPr>
              <w:t>1</w:t>
            </w:r>
          </w:p>
        </w:tc>
      </w:tr>
      <w:tr w:rsidR="00D17561" w:rsidRPr="0094668E" w14:paraId="62C51200" w14:textId="77777777" w:rsidTr="00EB71A9">
        <w:trPr>
          <w:trHeight w:val="890"/>
        </w:trPr>
        <w:tc>
          <w:tcPr>
            <w:tcW w:w="9152" w:type="dxa"/>
            <w:gridSpan w:val="7"/>
            <w:vMerge/>
            <w:tcBorders>
              <w:bottom w:val="single" w:sz="4" w:space="0" w:color="000000"/>
            </w:tcBorders>
            <w:shd w:val="clear" w:color="auto" w:fill="auto"/>
          </w:tcPr>
          <w:p w14:paraId="574BE2AE" w14:textId="77777777" w:rsidR="00D17561" w:rsidRPr="0094668E" w:rsidRDefault="00D17561" w:rsidP="00EB71A9">
            <w:pPr>
              <w:spacing w:before="120" w:after="120"/>
              <w:rPr>
                <w:b/>
                <w:sz w:val="18"/>
                <w:szCs w:val="18"/>
              </w:rPr>
            </w:pPr>
          </w:p>
        </w:tc>
        <w:tc>
          <w:tcPr>
            <w:tcW w:w="1542" w:type="dxa"/>
            <w:gridSpan w:val="2"/>
            <w:tcBorders>
              <w:bottom w:val="single" w:sz="4" w:space="0" w:color="000000"/>
            </w:tcBorders>
            <w:shd w:val="clear" w:color="auto" w:fill="auto"/>
          </w:tcPr>
          <w:p w14:paraId="154403AE" w14:textId="77777777" w:rsidR="00D17561" w:rsidRDefault="00D17561" w:rsidP="00EB71A9">
            <w:pPr>
              <w:spacing w:after="0"/>
              <w:jc w:val="center"/>
              <w:rPr>
                <w:b/>
                <w:sz w:val="18"/>
                <w:szCs w:val="18"/>
              </w:rPr>
            </w:pPr>
            <w:r>
              <w:rPr>
                <w:b/>
                <w:sz w:val="18"/>
                <w:szCs w:val="18"/>
              </w:rPr>
              <w:t>Evidence</w:t>
            </w:r>
          </w:p>
          <w:p w14:paraId="6D4DF536" w14:textId="77777777" w:rsidR="00D17561" w:rsidRPr="0034341F" w:rsidRDefault="00D17561" w:rsidP="00EB71A9">
            <w:pPr>
              <w:spacing w:after="0"/>
              <w:jc w:val="center"/>
              <w:rPr>
                <w:sz w:val="18"/>
                <w:szCs w:val="18"/>
              </w:rPr>
            </w:pPr>
            <w:r>
              <w:rPr>
                <w:sz w:val="18"/>
                <w:szCs w:val="18"/>
              </w:rPr>
              <w:t>Governance and management structure as per page 70</w:t>
            </w:r>
          </w:p>
        </w:tc>
      </w:tr>
      <w:tr w:rsidR="00D17561" w:rsidRPr="0094668E" w14:paraId="3EECEC82" w14:textId="77777777" w:rsidTr="00EB71A9">
        <w:trPr>
          <w:trHeight w:val="188"/>
        </w:trPr>
        <w:tc>
          <w:tcPr>
            <w:tcW w:w="9152" w:type="dxa"/>
            <w:gridSpan w:val="7"/>
            <w:vMerge w:val="restart"/>
            <w:shd w:val="clear" w:color="auto" w:fill="auto"/>
          </w:tcPr>
          <w:p w14:paraId="3D506DBB" w14:textId="77777777" w:rsidR="00D17561" w:rsidRPr="0094668E" w:rsidRDefault="00D17561" w:rsidP="00EB71A9">
            <w:pPr>
              <w:spacing w:before="120" w:after="20"/>
              <w:rPr>
                <w:sz w:val="18"/>
                <w:szCs w:val="18"/>
              </w:rPr>
            </w:pPr>
            <w:r w:rsidRPr="0094668E">
              <w:rPr>
                <w:b/>
                <w:sz w:val="18"/>
                <w:szCs w:val="18"/>
              </w:rPr>
              <w:t>13. Have the project risks been identified with clear plans stated to manage and mitigate each risks?</w:t>
            </w:r>
            <w:r w:rsidRPr="0094668E">
              <w:rPr>
                <w:sz w:val="18"/>
                <w:szCs w:val="18"/>
              </w:rPr>
              <w:t xml:space="preserve"> </w:t>
            </w:r>
            <w:r w:rsidRPr="0094668E">
              <w:rPr>
                <w:b/>
                <w:sz w:val="18"/>
                <w:szCs w:val="18"/>
              </w:rPr>
              <w:t>(select from options 1-3 that best reflects this project):</w:t>
            </w:r>
          </w:p>
          <w:p w14:paraId="518E6FB5" w14:textId="77777777" w:rsidR="00D17561" w:rsidRPr="0094668E" w:rsidRDefault="00D17561" w:rsidP="00D17561">
            <w:pPr>
              <w:pStyle w:val="ListParagraph"/>
              <w:numPr>
                <w:ilvl w:val="0"/>
                <w:numId w:val="200"/>
              </w:numPr>
              <w:spacing w:before="20" w:after="20"/>
              <w:ind w:left="607" w:hanging="270"/>
              <w:rPr>
                <w:rFonts w:ascii="Calibri" w:hAnsi="Calibri"/>
                <w:sz w:val="18"/>
                <w:szCs w:val="18"/>
              </w:rPr>
            </w:pPr>
            <w:r w:rsidRPr="0094668E">
              <w:rPr>
                <w:rFonts w:ascii="Calibri" w:hAnsi="Calibri"/>
                <w:b/>
                <w:sz w:val="18"/>
                <w:szCs w:val="18"/>
                <w:u w:val="single"/>
              </w:rPr>
              <w:t>3:</w:t>
            </w:r>
            <w:r w:rsidRPr="0094668E">
              <w:rPr>
                <w:rFonts w:ascii="Calibri" w:hAnsi="Calibri"/>
                <w:sz w:val="18"/>
                <w:szCs w:val="18"/>
              </w:rPr>
              <w:t xml:space="preserve"> Project risks related to the achievement of results are fully described in the project risk log, based on comprehensive analysis drawing on the theory of change, Social and Environmental Standards and screening, situation analysis, capacity assessments and other analysis. Clear and complete plan in place to manage and mitigate each risk. </w:t>
            </w:r>
            <w:r w:rsidRPr="0094668E">
              <w:rPr>
                <w:rFonts w:ascii="Calibri" w:hAnsi="Calibri"/>
                <w:i/>
                <w:sz w:val="18"/>
                <w:szCs w:val="18"/>
              </w:rPr>
              <w:t>(both must be true to select this option)</w:t>
            </w:r>
            <w:r w:rsidRPr="0094668E">
              <w:rPr>
                <w:rFonts w:ascii="Calibri" w:hAnsi="Calibri"/>
                <w:sz w:val="18"/>
                <w:szCs w:val="18"/>
              </w:rPr>
              <w:t xml:space="preserve"> </w:t>
            </w:r>
          </w:p>
          <w:p w14:paraId="60604540" w14:textId="77777777" w:rsidR="00D17561" w:rsidRPr="0094668E" w:rsidRDefault="00D17561" w:rsidP="00D17561">
            <w:pPr>
              <w:pStyle w:val="ListParagraph"/>
              <w:numPr>
                <w:ilvl w:val="0"/>
                <w:numId w:val="200"/>
              </w:numPr>
              <w:spacing w:before="20" w:after="20"/>
              <w:ind w:left="607" w:hanging="270"/>
              <w:rPr>
                <w:rFonts w:ascii="Calibri" w:hAnsi="Calibri"/>
                <w:sz w:val="18"/>
                <w:szCs w:val="18"/>
              </w:rPr>
            </w:pPr>
            <w:r w:rsidRPr="0094668E">
              <w:rPr>
                <w:rFonts w:ascii="Calibri" w:hAnsi="Calibri"/>
                <w:b/>
                <w:sz w:val="18"/>
                <w:szCs w:val="18"/>
                <w:u w:val="single"/>
              </w:rPr>
              <w:t>2:</w:t>
            </w:r>
            <w:r w:rsidRPr="0094668E">
              <w:rPr>
                <w:rFonts w:ascii="Calibri" w:hAnsi="Calibri"/>
                <w:sz w:val="18"/>
                <w:szCs w:val="18"/>
              </w:rPr>
              <w:t xml:space="preserve"> Project risks related to the achievement of results identified in the initial project risk log with mitigation measures identified for each risk. </w:t>
            </w:r>
          </w:p>
          <w:p w14:paraId="684D8190" w14:textId="77777777" w:rsidR="00D17561" w:rsidRPr="0094668E" w:rsidRDefault="00D17561" w:rsidP="00D17561">
            <w:pPr>
              <w:pStyle w:val="ListParagraph"/>
              <w:numPr>
                <w:ilvl w:val="0"/>
                <w:numId w:val="200"/>
              </w:numPr>
              <w:tabs>
                <w:tab w:val="left" w:pos="5715"/>
              </w:tabs>
              <w:spacing w:before="20" w:after="20"/>
              <w:ind w:left="607" w:hanging="270"/>
              <w:rPr>
                <w:rFonts w:ascii="Calibri" w:hAnsi="Calibri"/>
                <w:sz w:val="18"/>
                <w:szCs w:val="18"/>
              </w:rPr>
            </w:pPr>
            <w:r w:rsidRPr="0094668E">
              <w:rPr>
                <w:rFonts w:ascii="Calibri" w:hAnsi="Calibri"/>
                <w:b/>
                <w:sz w:val="18"/>
                <w:szCs w:val="18"/>
                <w:u w:val="single"/>
              </w:rPr>
              <w:t>1:</w:t>
            </w:r>
            <w:r w:rsidRPr="0094668E">
              <w:rPr>
                <w:rFonts w:ascii="Calibri" w:hAnsi="Calibri"/>
                <w:sz w:val="18"/>
                <w:szCs w:val="18"/>
              </w:rPr>
              <w:t xml:space="preserve"> Some risks may be identified in the initial project risk log, but no evidence of analysis and no clear risk mitigation measures identified. This option is also selected if risks are not clearly identified and no initial risk log is included with the project document.</w:t>
            </w:r>
          </w:p>
          <w:p w14:paraId="00705EF0" w14:textId="77777777" w:rsidR="00D17561" w:rsidRPr="0094668E" w:rsidRDefault="00D17561" w:rsidP="00EB71A9">
            <w:pPr>
              <w:tabs>
                <w:tab w:val="left" w:pos="5715"/>
              </w:tabs>
              <w:spacing w:before="120"/>
              <w:rPr>
                <w:sz w:val="16"/>
                <w:szCs w:val="16"/>
              </w:rPr>
            </w:pPr>
            <w:r w:rsidRPr="0094668E">
              <w:rPr>
                <w:sz w:val="16"/>
                <w:szCs w:val="16"/>
              </w:rPr>
              <w:t>*Note:  Management Action must be taken for a score of 1</w:t>
            </w:r>
          </w:p>
        </w:tc>
        <w:tc>
          <w:tcPr>
            <w:tcW w:w="496" w:type="dxa"/>
            <w:shd w:val="clear" w:color="auto" w:fill="auto"/>
          </w:tcPr>
          <w:p w14:paraId="71F6C6B2" w14:textId="77777777" w:rsidR="00D17561" w:rsidRPr="0094668E" w:rsidRDefault="00D17561" w:rsidP="00EB71A9">
            <w:pPr>
              <w:spacing w:after="0"/>
              <w:jc w:val="center"/>
              <w:rPr>
                <w:sz w:val="18"/>
                <w:szCs w:val="18"/>
              </w:rPr>
            </w:pPr>
            <w:r w:rsidRPr="0094668E">
              <w:rPr>
                <w:sz w:val="18"/>
                <w:szCs w:val="18"/>
              </w:rPr>
              <w:t>3</w:t>
            </w:r>
          </w:p>
        </w:tc>
        <w:tc>
          <w:tcPr>
            <w:tcW w:w="1046" w:type="dxa"/>
            <w:shd w:val="clear" w:color="auto" w:fill="auto"/>
          </w:tcPr>
          <w:p w14:paraId="23318CA2" w14:textId="77777777" w:rsidR="00D17561" w:rsidRPr="00C01502" w:rsidRDefault="00D17561" w:rsidP="00EB71A9">
            <w:pPr>
              <w:spacing w:after="0"/>
              <w:jc w:val="center"/>
              <w:rPr>
                <w:rFonts w:ascii="Arial" w:hAnsi="Arial" w:cs="Arial"/>
                <w:b/>
              </w:rPr>
            </w:pPr>
            <w:r w:rsidRPr="00C01502">
              <w:rPr>
                <w:rFonts w:ascii="Arial" w:hAnsi="Arial" w:cs="Arial"/>
                <w:b/>
                <w:highlight w:val="yellow"/>
              </w:rPr>
              <w:t>2</w:t>
            </w:r>
          </w:p>
        </w:tc>
      </w:tr>
      <w:tr w:rsidR="00D17561" w:rsidRPr="0094668E" w14:paraId="7FB7C742" w14:textId="77777777" w:rsidTr="00EB71A9">
        <w:trPr>
          <w:trHeight w:val="219"/>
        </w:trPr>
        <w:tc>
          <w:tcPr>
            <w:tcW w:w="9152" w:type="dxa"/>
            <w:gridSpan w:val="7"/>
            <w:vMerge/>
            <w:shd w:val="clear" w:color="auto" w:fill="auto"/>
          </w:tcPr>
          <w:p w14:paraId="2239FFE9" w14:textId="77777777" w:rsidR="00D17561" w:rsidRPr="0094668E" w:rsidRDefault="00D17561" w:rsidP="00EB71A9">
            <w:pPr>
              <w:spacing w:before="20" w:after="20"/>
              <w:rPr>
                <w:sz w:val="18"/>
                <w:szCs w:val="18"/>
              </w:rPr>
            </w:pPr>
          </w:p>
        </w:tc>
        <w:tc>
          <w:tcPr>
            <w:tcW w:w="1542" w:type="dxa"/>
            <w:gridSpan w:val="2"/>
            <w:tcBorders>
              <w:bottom w:val="single" w:sz="4" w:space="0" w:color="000000"/>
            </w:tcBorders>
            <w:shd w:val="clear" w:color="auto" w:fill="auto"/>
          </w:tcPr>
          <w:p w14:paraId="261B4877" w14:textId="77777777" w:rsidR="00D17561" w:rsidRPr="0094668E" w:rsidRDefault="00D17561" w:rsidP="00EB71A9">
            <w:pPr>
              <w:spacing w:after="0"/>
              <w:jc w:val="center"/>
              <w:rPr>
                <w:sz w:val="18"/>
                <w:szCs w:val="18"/>
              </w:rPr>
            </w:pPr>
            <w:r w:rsidRPr="0094668E">
              <w:rPr>
                <w:sz w:val="18"/>
                <w:szCs w:val="18"/>
              </w:rPr>
              <w:t>1</w:t>
            </w:r>
          </w:p>
        </w:tc>
      </w:tr>
      <w:tr w:rsidR="00D17561" w:rsidRPr="0094668E" w14:paraId="33BE739D" w14:textId="77777777" w:rsidTr="00EB71A9">
        <w:trPr>
          <w:trHeight w:val="827"/>
        </w:trPr>
        <w:tc>
          <w:tcPr>
            <w:tcW w:w="9152" w:type="dxa"/>
            <w:gridSpan w:val="7"/>
            <w:vMerge/>
            <w:tcBorders>
              <w:bottom w:val="single" w:sz="4" w:space="0" w:color="000000"/>
            </w:tcBorders>
            <w:shd w:val="clear" w:color="auto" w:fill="auto"/>
          </w:tcPr>
          <w:p w14:paraId="48641A80" w14:textId="77777777" w:rsidR="00D17561" w:rsidRPr="0094668E" w:rsidRDefault="00D17561" w:rsidP="00EB71A9">
            <w:pPr>
              <w:spacing w:before="20" w:after="20"/>
              <w:rPr>
                <w:sz w:val="18"/>
                <w:szCs w:val="18"/>
              </w:rPr>
            </w:pPr>
          </w:p>
        </w:tc>
        <w:tc>
          <w:tcPr>
            <w:tcW w:w="1542" w:type="dxa"/>
            <w:gridSpan w:val="2"/>
            <w:tcBorders>
              <w:bottom w:val="single" w:sz="4" w:space="0" w:color="000000"/>
            </w:tcBorders>
            <w:shd w:val="clear" w:color="auto" w:fill="auto"/>
          </w:tcPr>
          <w:p w14:paraId="43596D27" w14:textId="77777777" w:rsidR="00D17561" w:rsidRDefault="00D17561" w:rsidP="00EB71A9">
            <w:pPr>
              <w:spacing w:after="0"/>
              <w:jc w:val="center"/>
              <w:rPr>
                <w:b/>
                <w:sz w:val="18"/>
                <w:szCs w:val="18"/>
              </w:rPr>
            </w:pPr>
            <w:r w:rsidRPr="0094668E">
              <w:rPr>
                <w:b/>
                <w:sz w:val="18"/>
                <w:szCs w:val="18"/>
              </w:rPr>
              <w:t>Evidence</w:t>
            </w:r>
          </w:p>
          <w:p w14:paraId="58BD440A" w14:textId="77777777" w:rsidR="00D17561" w:rsidRPr="00C01502" w:rsidRDefault="00D17561" w:rsidP="00EB71A9">
            <w:pPr>
              <w:spacing w:after="0"/>
              <w:jc w:val="center"/>
              <w:rPr>
                <w:sz w:val="18"/>
                <w:szCs w:val="18"/>
              </w:rPr>
            </w:pPr>
          </w:p>
          <w:p w14:paraId="6FE8096C" w14:textId="77777777" w:rsidR="00D17561" w:rsidRPr="0094668E" w:rsidRDefault="00D17561" w:rsidP="00EB71A9">
            <w:pPr>
              <w:spacing w:after="0"/>
              <w:jc w:val="center"/>
              <w:rPr>
                <w:sz w:val="18"/>
                <w:szCs w:val="18"/>
              </w:rPr>
            </w:pPr>
            <w:r w:rsidRPr="00C01502">
              <w:rPr>
                <w:sz w:val="18"/>
                <w:szCs w:val="18"/>
              </w:rPr>
              <w:t xml:space="preserve">Refer to page 44 – 46  for  risk </w:t>
            </w:r>
            <w:r w:rsidRPr="005E4BC8">
              <w:rPr>
                <w:sz w:val="18"/>
                <w:szCs w:val="18"/>
              </w:rPr>
              <w:t>management</w:t>
            </w:r>
            <w:r>
              <w:rPr>
                <w:b/>
                <w:sz w:val="18"/>
                <w:szCs w:val="18"/>
              </w:rPr>
              <w:t xml:space="preserve"> </w:t>
            </w:r>
          </w:p>
        </w:tc>
      </w:tr>
      <w:tr w:rsidR="00D17561" w:rsidRPr="0094668E" w14:paraId="37E58F8F" w14:textId="77777777" w:rsidTr="00EB71A9">
        <w:trPr>
          <w:trHeight w:val="440"/>
        </w:trPr>
        <w:tc>
          <w:tcPr>
            <w:tcW w:w="1530" w:type="dxa"/>
            <w:tcBorders>
              <w:right w:val="nil"/>
            </w:tcBorders>
            <w:shd w:val="clear" w:color="auto" w:fill="C2D69B"/>
            <w:vAlign w:val="center"/>
          </w:tcPr>
          <w:p w14:paraId="2C661FC9" w14:textId="77777777" w:rsidR="00D17561" w:rsidRPr="0094668E" w:rsidRDefault="00D17561" w:rsidP="00EB71A9">
            <w:pPr>
              <w:tabs>
                <w:tab w:val="left" w:pos="7020"/>
              </w:tabs>
              <w:spacing w:before="20" w:after="20"/>
              <w:jc w:val="center"/>
              <w:rPr>
                <w:b/>
                <w:sz w:val="28"/>
                <w:szCs w:val="20"/>
              </w:rPr>
            </w:pPr>
            <w:r w:rsidRPr="0094668E">
              <w:rPr>
                <w:b/>
                <w:smallCaps/>
                <w:sz w:val="28"/>
                <w:szCs w:val="20"/>
              </w:rPr>
              <w:t>Efficient</w:t>
            </w:r>
          </w:p>
        </w:tc>
        <w:tc>
          <w:tcPr>
            <w:tcW w:w="9164" w:type="dxa"/>
            <w:gridSpan w:val="8"/>
            <w:tcBorders>
              <w:left w:val="nil"/>
            </w:tcBorders>
            <w:shd w:val="clear" w:color="auto" w:fill="C2D69B"/>
            <w:vAlign w:val="center"/>
          </w:tcPr>
          <w:p w14:paraId="64DE1C03" w14:textId="77777777" w:rsidR="00D17561" w:rsidRPr="0094668E" w:rsidRDefault="00D17561" w:rsidP="00EB71A9">
            <w:pPr>
              <w:pStyle w:val="ListParagraph"/>
              <w:spacing w:before="20" w:after="20"/>
              <w:ind w:left="158"/>
              <w:rPr>
                <w:rFonts w:ascii="Calibri" w:hAnsi="Calibri"/>
                <w:sz w:val="18"/>
                <w:szCs w:val="20"/>
              </w:rPr>
            </w:pPr>
          </w:p>
        </w:tc>
      </w:tr>
      <w:tr w:rsidR="00D17561" w:rsidRPr="0094668E" w14:paraId="4CD4BC4F" w14:textId="77777777" w:rsidTr="00EB71A9">
        <w:trPr>
          <w:trHeight w:val="44"/>
        </w:trPr>
        <w:tc>
          <w:tcPr>
            <w:tcW w:w="9152" w:type="dxa"/>
            <w:gridSpan w:val="7"/>
            <w:tcBorders>
              <w:bottom w:val="single" w:sz="4" w:space="0" w:color="000000"/>
            </w:tcBorders>
            <w:shd w:val="clear" w:color="auto" w:fill="auto"/>
          </w:tcPr>
          <w:p w14:paraId="7CC12D13" w14:textId="77777777" w:rsidR="00D17561" w:rsidRPr="0094668E" w:rsidRDefault="00D17561" w:rsidP="00EB71A9">
            <w:pPr>
              <w:spacing w:before="240" w:after="240"/>
              <w:ind w:left="245" w:hanging="245"/>
              <w:rPr>
                <w:b/>
                <w:color w:val="000000"/>
                <w:sz w:val="18"/>
                <w:szCs w:val="18"/>
              </w:rPr>
            </w:pPr>
            <w:r w:rsidRPr="0094668E">
              <w:rPr>
                <w:b/>
                <w:sz w:val="18"/>
                <w:szCs w:val="18"/>
              </w:rPr>
              <w:t>14. Have specific measures for ensuring cost-efficient use of resources been explicitly mentioned as part of the project design? This can include: i) using the theory of change analysis to explore different options of achieving the maximum results with the resources available; ii) using a portfolio management approach to improve cost effectiveness through synergies with other interventions; iii) through joint operations (e.g., monitoring or procurement) with other partners.</w:t>
            </w:r>
          </w:p>
        </w:tc>
        <w:tc>
          <w:tcPr>
            <w:tcW w:w="496" w:type="dxa"/>
            <w:tcBorders>
              <w:bottom w:val="single" w:sz="4" w:space="0" w:color="000000"/>
            </w:tcBorders>
            <w:shd w:val="clear" w:color="auto" w:fill="auto"/>
            <w:vAlign w:val="center"/>
          </w:tcPr>
          <w:p w14:paraId="19EB20B9" w14:textId="77777777" w:rsidR="00D17561" w:rsidRPr="0094668E" w:rsidRDefault="00D17561" w:rsidP="00EB71A9">
            <w:pPr>
              <w:spacing w:after="0"/>
              <w:jc w:val="center"/>
              <w:rPr>
                <w:sz w:val="18"/>
                <w:szCs w:val="18"/>
              </w:rPr>
            </w:pPr>
            <w:r w:rsidRPr="00C01502">
              <w:rPr>
                <w:sz w:val="18"/>
                <w:szCs w:val="18"/>
                <w:highlight w:val="yellow"/>
              </w:rPr>
              <w:t>Yes (3)</w:t>
            </w:r>
          </w:p>
        </w:tc>
        <w:tc>
          <w:tcPr>
            <w:tcW w:w="1046" w:type="dxa"/>
            <w:tcBorders>
              <w:bottom w:val="single" w:sz="4" w:space="0" w:color="000000"/>
            </w:tcBorders>
            <w:shd w:val="clear" w:color="auto" w:fill="auto"/>
            <w:vAlign w:val="center"/>
          </w:tcPr>
          <w:p w14:paraId="6C53258E" w14:textId="77777777" w:rsidR="00D17561" w:rsidRPr="0094668E" w:rsidRDefault="00D17561" w:rsidP="00EB71A9">
            <w:pPr>
              <w:spacing w:after="0"/>
              <w:jc w:val="center"/>
              <w:rPr>
                <w:sz w:val="18"/>
                <w:szCs w:val="18"/>
              </w:rPr>
            </w:pPr>
            <w:r w:rsidRPr="0094668E">
              <w:rPr>
                <w:sz w:val="18"/>
                <w:szCs w:val="18"/>
              </w:rPr>
              <w:t>No (1)</w:t>
            </w:r>
          </w:p>
        </w:tc>
      </w:tr>
      <w:tr w:rsidR="00D17561" w:rsidRPr="0094668E" w14:paraId="7153575A" w14:textId="77777777" w:rsidTr="00EB71A9">
        <w:trPr>
          <w:trHeight w:val="44"/>
        </w:trPr>
        <w:tc>
          <w:tcPr>
            <w:tcW w:w="9152" w:type="dxa"/>
            <w:gridSpan w:val="7"/>
            <w:tcBorders>
              <w:bottom w:val="single" w:sz="4" w:space="0" w:color="000000"/>
            </w:tcBorders>
            <w:shd w:val="clear" w:color="auto" w:fill="auto"/>
          </w:tcPr>
          <w:p w14:paraId="18490921" w14:textId="77777777" w:rsidR="00D17561" w:rsidRPr="0094668E" w:rsidRDefault="00D17561" w:rsidP="00EB71A9">
            <w:pPr>
              <w:spacing w:before="240" w:after="240"/>
              <w:ind w:left="245" w:hanging="245"/>
              <w:rPr>
                <w:b/>
                <w:sz w:val="18"/>
                <w:szCs w:val="18"/>
              </w:rPr>
            </w:pPr>
            <w:r w:rsidRPr="0094668E">
              <w:rPr>
                <w:b/>
                <w:sz w:val="18"/>
                <w:szCs w:val="18"/>
              </w:rPr>
              <w:t>15. Are explicit plans in place to ensure the project links up with other relevant on-going projects and initiatives, whether led by UNDP, national or other partners, to achieve more efficient results (including, for example, through sharing resources or coordinating delivery?)</w:t>
            </w:r>
          </w:p>
          <w:p w14:paraId="44EFF614" w14:textId="77777777" w:rsidR="00D17561" w:rsidRPr="0094668E" w:rsidRDefault="00D17561" w:rsidP="00EB71A9">
            <w:pPr>
              <w:spacing w:before="120" w:after="120"/>
              <w:rPr>
                <w:b/>
                <w:sz w:val="18"/>
                <w:szCs w:val="18"/>
              </w:rPr>
            </w:pPr>
          </w:p>
        </w:tc>
        <w:tc>
          <w:tcPr>
            <w:tcW w:w="496" w:type="dxa"/>
            <w:tcBorders>
              <w:bottom w:val="single" w:sz="4" w:space="0" w:color="000000"/>
            </w:tcBorders>
            <w:shd w:val="clear" w:color="auto" w:fill="auto"/>
            <w:vAlign w:val="center"/>
          </w:tcPr>
          <w:p w14:paraId="44C034DB" w14:textId="77777777" w:rsidR="00D17561" w:rsidRPr="00C01502" w:rsidRDefault="00D17561" w:rsidP="00EB71A9">
            <w:pPr>
              <w:spacing w:after="0"/>
              <w:jc w:val="center"/>
              <w:rPr>
                <w:b/>
                <w:sz w:val="18"/>
                <w:szCs w:val="18"/>
              </w:rPr>
            </w:pPr>
            <w:r w:rsidRPr="00C01502">
              <w:rPr>
                <w:b/>
                <w:sz w:val="18"/>
                <w:szCs w:val="18"/>
                <w:highlight w:val="yellow"/>
              </w:rPr>
              <w:t>Yes (3)</w:t>
            </w:r>
          </w:p>
        </w:tc>
        <w:tc>
          <w:tcPr>
            <w:tcW w:w="1046" w:type="dxa"/>
            <w:tcBorders>
              <w:bottom w:val="single" w:sz="4" w:space="0" w:color="000000"/>
            </w:tcBorders>
            <w:shd w:val="clear" w:color="auto" w:fill="auto"/>
            <w:vAlign w:val="center"/>
          </w:tcPr>
          <w:p w14:paraId="1CB89C5D" w14:textId="77777777" w:rsidR="00D17561" w:rsidRPr="0094668E" w:rsidRDefault="00D17561" w:rsidP="00EB71A9">
            <w:pPr>
              <w:spacing w:after="0"/>
              <w:jc w:val="center"/>
              <w:rPr>
                <w:sz w:val="18"/>
                <w:szCs w:val="18"/>
              </w:rPr>
            </w:pPr>
            <w:r w:rsidRPr="0094668E">
              <w:rPr>
                <w:sz w:val="18"/>
                <w:szCs w:val="18"/>
              </w:rPr>
              <w:t>No (1)</w:t>
            </w:r>
          </w:p>
        </w:tc>
      </w:tr>
      <w:tr w:rsidR="00D17561" w:rsidRPr="0094668E" w14:paraId="6A41E850" w14:textId="77777777" w:rsidTr="00EB71A9">
        <w:trPr>
          <w:trHeight w:val="70"/>
        </w:trPr>
        <w:tc>
          <w:tcPr>
            <w:tcW w:w="9152" w:type="dxa"/>
            <w:gridSpan w:val="7"/>
            <w:vMerge w:val="restart"/>
            <w:shd w:val="clear" w:color="auto" w:fill="auto"/>
          </w:tcPr>
          <w:p w14:paraId="254B010C" w14:textId="77777777" w:rsidR="00D17561" w:rsidRPr="0094668E" w:rsidRDefault="00D17561" w:rsidP="00EB71A9">
            <w:pPr>
              <w:spacing w:before="120" w:after="120"/>
              <w:rPr>
                <w:b/>
                <w:sz w:val="18"/>
                <w:szCs w:val="18"/>
              </w:rPr>
            </w:pPr>
            <w:r w:rsidRPr="0094668E">
              <w:rPr>
                <w:b/>
                <w:sz w:val="18"/>
                <w:szCs w:val="18"/>
              </w:rPr>
              <w:t>16. Is the budget justified and supported with valid estimates?</w:t>
            </w:r>
          </w:p>
          <w:p w14:paraId="4973EBD2" w14:textId="77777777" w:rsidR="00D17561" w:rsidRPr="0094668E" w:rsidRDefault="00D17561" w:rsidP="00D17561">
            <w:pPr>
              <w:pStyle w:val="ListParagraph"/>
              <w:numPr>
                <w:ilvl w:val="0"/>
                <w:numId w:val="200"/>
              </w:numPr>
              <w:spacing w:before="20" w:after="20"/>
              <w:ind w:left="607" w:hanging="270"/>
              <w:rPr>
                <w:rFonts w:ascii="Calibri" w:hAnsi="Calibri"/>
                <w:sz w:val="18"/>
                <w:szCs w:val="18"/>
              </w:rPr>
            </w:pPr>
            <w:r w:rsidRPr="0094668E">
              <w:rPr>
                <w:rFonts w:ascii="Calibri" w:hAnsi="Calibri"/>
                <w:b/>
                <w:sz w:val="18"/>
                <w:szCs w:val="18"/>
                <w:u w:val="single"/>
              </w:rPr>
              <w:t>3:</w:t>
            </w:r>
            <w:r w:rsidRPr="0094668E">
              <w:rPr>
                <w:rFonts w:ascii="Calibri" w:hAnsi="Calibri"/>
                <w:sz w:val="18"/>
                <w:szCs w:val="18"/>
              </w:rPr>
              <w:t xml:space="preserve">  The project’s budget is at the activity level with funding sources, and is specified for the duration of the project period in a multi-year budget. Costs are supported with valid estimates using benchmarks from similar projects or activities. Cost implications from inflation and foreign exchange exposure have been estimated and incorporated in the budget.</w:t>
            </w:r>
          </w:p>
          <w:p w14:paraId="7F2AB58C" w14:textId="77777777" w:rsidR="00D17561" w:rsidRPr="0094668E" w:rsidRDefault="00D17561" w:rsidP="00D17561">
            <w:pPr>
              <w:pStyle w:val="ListParagraph"/>
              <w:numPr>
                <w:ilvl w:val="0"/>
                <w:numId w:val="200"/>
              </w:numPr>
              <w:spacing w:before="20" w:after="20"/>
              <w:ind w:left="607" w:hanging="270"/>
              <w:rPr>
                <w:rFonts w:ascii="Calibri" w:hAnsi="Calibri"/>
                <w:sz w:val="18"/>
                <w:szCs w:val="18"/>
              </w:rPr>
            </w:pPr>
            <w:r w:rsidRPr="0094668E">
              <w:rPr>
                <w:rFonts w:ascii="Calibri" w:hAnsi="Calibri"/>
                <w:b/>
                <w:sz w:val="18"/>
                <w:szCs w:val="18"/>
                <w:u w:val="single"/>
              </w:rPr>
              <w:t>2:</w:t>
            </w:r>
            <w:r w:rsidRPr="0094668E">
              <w:rPr>
                <w:rFonts w:ascii="Calibri" w:hAnsi="Calibri"/>
                <w:sz w:val="18"/>
                <w:szCs w:val="18"/>
              </w:rPr>
              <w:t xml:space="preserve"> The project’s budget is at the activity level with funding sources, when possible, and is specified for the duration of the project in a multi-year budget. Costs are supported with valid estimates based on prevailing rates. </w:t>
            </w:r>
          </w:p>
          <w:p w14:paraId="2483A908" w14:textId="77777777" w:rsidR="00D17561" w:rsidRPr="0094668E" w:rsidRDefault="00D17561" w:rsidP="00D17561">
            <w:pPr>
              <w:pStyle w:val="ListParagraph"/>
              <w:numPr>
                <w:ilvl w:val="0"/>
                <w:numId w:val="200"/>
              </w:numPr>
              <w:tabs>
                <w:tab w:val="left" w:pos="5715"/>
              </w:tabs>
              <w:spacing w:before="20" w:after="20"/>
              <w:ind w:left="607" w:hanging="270"/>
              <w:rPr>
                <w:sz w:val="18"/>
                <w:szCs w:val="18"/>
              </w:rPr>
            </w:pPr>
            <w:r w:rsidRPr="0094668E">
              <w:rPr>
                <w:rFonts w:ascii="Calibri" w:hAnsi="Calibri"/>
                <w:b/>
                <w:sz w:val="18"/>
                <w:szCs w:val="18"/>
                <w:u w:val="single"/>
              </w:rPr>
              <w:t>1:</w:t>
            </w:r>
            <w:r w:rsidRPr="0094668E">
              <w:rPr>
                <w:rFonts w:ascii="Calibri" w:hAnsi="Calibri"/>
                <w:sz w:val="18"/>
                <w:szCs w:val="18"/>
              </w:rPr>
              <w:t xml:space="preserve"> The project’s budget is not specified at the activity level, and/or may not be captured in a multi-year budget. </w:t>
            </w:r>
          </w:p>
          <w:p w14:paraId="69F86468" w14:textId="77777777" w:rsidR="00D17561" w:rsidRPr="0094668E" w:rsidRDefault="00D17561" w:rsidP="00EB71A9">
            <w:pPr>
              <w:pStyle w:val="ListParagraph"/>
              <w:tabs>
                <w:tab w:val="left" w:pos="5715"/>
              </w:tabs>
              <w:spacing w:before="20" w:after="20"/>
              <w:ind w:left="607"/>
              <w:rPr>
                <w:sz w:val="18"/>
                <w:szCs w:val="18"/>
              </w:rPr>
            </w:pPr>
          </w:p>
        </w:tc>
        <w:tc>
          <w:tcPr>
            <w:tcW w:w="496" w:type="dxa"/>
            <w:tcBorders>
              <w:bottom w:val="single" w:sz="4" w:space="0" w:color="000000"/>
            </w:tcBorders>
            <w:shd w:val="clear" w:color="auto" w:fill="auto"/>
          </w:tcPr>
          <w:p w14:paraId="7930D513" w14:textId="77777777" w:rsidR="00D17561" w:rsidRPr="0094668E" w:rsidRDefault="00D17561" w:rsidP="00EB71A9">
            <w:pPr>
              <w:spacing w:after="0"/>
              <w:jc w:val="center"/>
              <w:rPr>
                <w:sz w:val="18"/>
                <w:szCs w:val="18"/>
              </w:rPr>
            </w:pPr>
            <w:r w:rsidRPr="0094668E">
              <w:rPr>
                <w:sz w:val="18"/>
                <w:szCs w:val="18"/>
              </w:rPr>
              <w:t>3</w:t>
            </w:r>
          </w:p>
        </w:tc>
        <w:tc>
          <w:tcPr>
            <w:tcW w:w="1046" w:type="dxa"/>
            <w:tcBorders>
              <w:bottom w:val="single" w:sz="4" w:space="0" w:color="000000"/>
            </w:tcBorders>
            <w:shd w:val="clear" w:color="auto" w:fill="auto"/>
          </w:tcPr>
          <w:p w14:paraId="616B3E4D" w14:textId="77777777" w:rsidR="00D17561" w:rsidRPr="0094668E" w:rsidRDefault="00D17561" w:rsidP="00EB71A9">
            <w:pPr>
              <w:spacing w:after="0"/>
              <w:jc w:val="center"/>
              <w:rPr>
                <w:sz w:val="18"/>
                <w:szCs w:val="18"/>
              </w:rPr>
            </w:pPr>
            <w:r w:rsidRPr="00C01502">
              <w:rPr>
                <w:sz w:val="18"/>
                <w:szCs w:val="18"/>
                <w:highlight w:val="yellow"/>
              </w:rPr>
              <w:t>2</w:t>
            </w:r>
          </w:p>
        </w:tc>
      </w:tr>
      <w:tr w:rsidR="00D17561" w:rsidRPr="0094668E" w14:paraId="1C9B08AF" w14:textId="77777777" w:rsidTr="00EB71A9">
        <w:trPr>
          <w:trHeight w:val="215"/>
        </w:trPr>
        <w:tc>
          <w:tcPr>
            <w:tcW w:w="9152" w:type="dxa"/>
            <w:gridSpan w:val="7"/>
            <w:vMerge/>
            <w:shd w:val="clear" w:color="auto" w:fill="auto"/>
          </w:tcPr>
          <w:p w14:paraId="7D7A24D1" w14:textId="77777777" w:rsidR="00D17561" w:rsidRPr="0094668E" w:rsidRDefault="00D17561" w:rsidP="00EB71A9">
            <w:pPr>
              <w:spacing w:before="120" w:after="120"/>
              <w:rPr>
                <w:b/>
                <w:sz w:val="18"/>
                <w:szCs w:val="18"/>
              </w:rPr>
            </w:pPr>
          </w:p>
        </w:tc>
        <w:tc>
          <w:tcPr>
            <w:tcW w:w="1542" w:type="dxa"/>
            <w:gridSpan w:val="2"/>
            <w:shd w:val="clear" w:color="auto" w:fill="auto"/>
          </w:tcPr>
          <w:p w14:paraId="51E36B5F" w14:textId="77777777" w:rsidR="00D17561" w:rsidRPr="0094668E" w:rsidRDefault="00D17561" w:rsidP="00EB71A9">
            <w:pPr>
              <w:spacing w:after="0"/>
              <w:jc w:val="center"/>
              <w:rPr>
                <w:sz w:val="18"/>
                <w:szCs w:val="18"/>
              </w:rPr>
            </w:pPr>
            <w:r w:rsidRPr="0094668E">
              <w:rPr>
                <w:sz w:val="18"/>
                <w:szCs w:val="18"/>
              </w:rPr>
              <w:t>1</w:t>
            </w:r>
          </w:p>
        </w:tc>
      </w:tr>
      <w:tr w:rsidR="00D17561" w:rsidRPr="0094668E" w14:paraId="3CAD177C" w14:textId="77777777" w:rsidTr="00EB71A9">
        <w:trPr>
          <w:trHeight w:val="1042"/>
        </w:trPr>
        <w:tc>
          <w:tcPr>
            <w:tcW w:w="9152" w:type="dxa"/>
            <w:gridSpan w:val="7"/>
            <w:vMerge/>
            <w:shd w:val="clear" w:color="auto" w:fill="auto"/>
          </w:tcPr>
          <w:p w14:paraId="02A8EE01" w14:textId="77777777" w:rsidR="00D17561" w:rsidRPr="0094668E" w:rsidRDefault="00D17561" w:rsidP="00EB71A9">
            <w:pPr>
              <w:spacing w:before="120" w:after="120"/>
              <w:rPr>
                <w:b/>
                <w:sz w:val="18"/>
                <w:szCs w:val="18"/>
              </w:rPr>
            </w:pPr>
          </w:p>
        </w:tc>
        <w:tc>
          <w:tcPr>
            <w:tcW w:w="1542" w:type="dxa"/>
            <w:gridSpan w:val="2"/>
            <w:shd w:val="clear" w:color="auto" w:fill="auto"/>
          </w:tcPr>
          <w:p w14:paraId="25BF5A55" w14:textId="77777777" w:rsidR="00D17561" w:rsidRDefault="00D17561" w:rsidP="00EB71A9">
            <w:pPr>
              <w:spacing w:after="0"/>
              <w:jc w:val="center"/>
              <w:rPr>
                <w:b/>
                <w:sz w:val="18"/>
                <w:szCs w:val="18"/>
              </w:rPr>
            </w:pPr>
            <w:r w:rsidRPr="0094668E">
              <w:rPr>
                <w:b/>
                <w:sz w:val="18"/>
                <w:szCs w:val="18"/>
              </w:rPr>
              <w:t>Evidence</w:t>
            </w:r>
          </w:p>
          <w:p w14:paraId="38F92AAD" w14:textId="77777777" w:rsidR="00D17561" w:rsidRDefault="00D17561" w:rsidP="00EB71A9">
            <w:pPr>
              <w:spacing w:after="0"/>
              <w:jc w:val="center"/>
              <w:rPr>
                <w:b/>
                <w:sz w:val="18"/>
                <w:szCs w:val="18"/>
              </w:rPr>
            </w:pPr>
          </w:p>
          <w:p w14:paraId="49E6F761" w14:textId="77777777" w:rsidR="00D17561" w:rsidRPr="005E4BC8" w:rsidRDefault="00D17561" w:rsidP="00EB71A9">
            <w:pPr>
              <w:spacing w:after="0"/>
              <w:jc w:val="center"/>
              <w:rPr>
                <w:sz w:val="18"/>
                <w:szCs w:val="18"/>
              </w:rPr>
            </w:pPr>
            <w:r w:rsidRPr="005E4BC8">
              <w:rPr>
                <w:sz w:val="18"/>
                <w:szCs w:val="18"/>
              </w:rPr>
              <w:t xml:space="preserve">Refer to Page 67 for Total Budget and Work plan </w:t>
            </w:r>
          </w:p>
        </w:tc>
      </w:tr>
      <w:tr w:rsidR="00D17561" w:rsidRPr="0094668E" w14:paraId="295090CC" w14:textId="77777777" w:rsidTr="00EB71A9">
        <w:trPr>
          <w:trHeight w:val="188"/>
        </w:trPr>
        <w:tc>
          <w:tcPr>
            <w:tcW w:w="9152" w:type="dxa"/>
            <w:gridSpan w:val="7"/>
            <w:vMerge w:val="restart"/>
            <w:shd w:val="clear" w:color="auto" w:fill="auto"/>
          </w:tcPr>
          <w:p w14:paraId="576AC251" w14:textId="77777777" w:rsidR="00D17561" w:rsidRPr="0094668E" w:rsidRDefault="00D17561" w:rsidP="00D17561">
            <w:pPr>
              <w:pStyle w:val="ListParagraph"/>
              <w:numPr>
                <w:ilvl w:val="0"/>
                <w:numId w:val="207"/>
              </w:numPr>
              <w:spacing w:before="120" w:after="120"/>
              <w:ind w:left="270" w:hanging="270"/>
              <w:rPr>
                <w:rFonts w:ascii="Calibri" w:hAnsi="Calibri"/>
                <w:b/>
                <w:sz w:val="18"/>
                <w:szCs w:val="18"/>
              </w:rPr>
            </w:pPr>
            <w:r w:rsidRPr="0094668E">
              <w:rPr>
                <w:rFonts w:ascii="Calibri" w:hAnsi="Calibri"/>
                <w:b/>
                <w:sz w:val="18"/>
                <w:szCs w:val="18"/>
              </w:rPr>
              <w:t>Is the Country Office fully recovering the costs involved with project implementation?</w:t>
            </w:r>
          </w:p>
          <w:p w14:paraId="35AD8833" w14:textId="77777777" w:rsidR="00D17561" w:rsidRPr="0094668E" w:rsidRDefault="00D17561" w:rsidP="00D17561">
            <w:pPr>
              <w:pStyle w:val="ListParagraph"/>
              <w:numPr>
                <w:ilvl w:val="0"/>
                <w:numId w:val="208"/>
              </w:numPr>
              <w:spacing w:before="20" w:after="20"/>
              <w:ind w:left="630" w:hanging="270"/>
              <w:rPr>
                <w:rFonts w:ascii="Calibri" w:hAnsi="Calibri"/>
                <w:sz w:val="18"/>
                <w:szCs w:val="18"/>
              </w:rPr>
            </w:pPr>
            <w:r w:rsidRPr="0094668E">
              <w:rPr>
                <w:rFonts w:ascii="Calibri" w:hAnsi="Calibri"/>
                <w:b/>
                <w:sz w:val="18"/>
                <w:szCs w:val="18"/>
                <w:u w:val="single"/>
              </w:rPr>
              <w:t>3:</w:t>
            </w:r>
            <w:r w:rsidRPr="0094668E">
              <w:rPr>
                <w:rFonts w:ascii="Calibri" w:hAnsi="Calibri"/>
                <w:sz w:val="18"/>
                <w:szCs w:val="18"/>
              </w:rPr>
              <w:t xml:space="preserve"> The budget fully covers all project costs that are attributable to the project, including programme management and development effectiveness services related to strategic country programme planning, quality assurance, pipeline development, policy advocacy services, finance, procurement, human resources, administration, issuance of contracts, security, travel, assets, general services, information and communications based on full costing in accordance with prevailing UNDP policies (i.e., UPL, LPL.)</w:t>
            </w:r>
          </w:p>
          <w:p w14:paraId="5D4EE025" w14:textId="77777777" w:rsidR="00D17561" w:rsidRPr="0094668E" w:rsidRDefault="00D17561" w:rsidP="00D17561">
            <w:pPr>
              <w:pStyle w:val="ListParagraph"/>
              <w:numPr>
                <w:ilvl w:val="0"/>
                <w:numId w:val="208"/>
              </w:numPr>
              <w:spacing w:before="20" w:after="20"/>
              <w:ind w:left="630" w:hanging="270"/>
              <w:rPr>
                <w:rFonts w:ascii="Calibri" w:hAnsi="Calibri"/>
                <w:sz w:val="18"/>
                <w:szCs w:val="18"/>
              </w:rPr>
            </w:pPr>
            <w:r w:rsidRPr="0094668E">
              <w:rPr>
                <w:rFonts w:ascii="Calibri" w:hAnsi="Calibri"/>
                <w:b/>
                <w:sz w:val="18"/>
                <w:szCs w:val="18"/>
                <w:u w:val="single"/>
              </w:rPr>
              <w:t>2:</w:t>
            </w:r>
            <w:r w:rsidRPr="0094668E">
              <w:rPr>
                <w:rFonts w:ascii="Calibri" w:hAnsi="Calibri"/>
                <w:sz w:val="18"/>
                <w:szCs w:val="18"/>
              </w:rPr>
              <w:t xml:space="preserve"> The budget covers significant project costs that are attributable to the project based on prevailing UNDP policies (i.e., UPL, LPL) as relevant.</w:t>
            </w:r>
          </w:p>
          <w:p w14:paraId="35F9E08E" w14:textId="77777777" w:rsidR="00D17561" w:rsidRPr="0094668E" w:rsidRDefault="00D17561" w:rsidP="00D17561">
            <w:pPr>
              <w:pStyle w:val="ListParagraph"/>
              <w:numPr>
                <w:ilvl w:val="0"/>
                <w:numId w:val="208"/>
              </w:numPr>
              <w:tabs>
                <w:tab w:val="left" w:pos="5715"/>
              </w:tabs>
              <w:spacing w:before="20" w:after="20"/>
              <w:ind w:left="630" w:hanging="270"/>
              <w:rPr>
                <w:sz w:val="18"/>
                <w:szCs w:val="18"/>
              </w:rPr>
            </w:pPr>
            <w:r w:rsidRPr="0094668E">
              <w:rPr>
                <w:rFonts w:ascii="Calibri" w:hAnsi="Calibri"/>
                <w:b/>
                <w:sz w:val="18"/>
                <w:szCs w:val="18"/>
                <w:u w:val="single"/>
              </w:rPr>
              <w:t>1:</w:t>
            </w:r>
            <w:r w:rsidRPr="0094668E">
              <w:rPr>
                <w:rFonts w:ascii="Calibri" w:hAnsi="Calibri"/>
                <w:sz w:val="18"/>
                <w:szCs w:val="18"/>
              </w:rPr>
              <w:t xml:space="preserve">  The budget does not adequately cover project costs that are attributable to the project, and UNDP is cross-subsidizing the project.</w:t>
            </w:r>
          </w:p>
          <w:p w14:paraId="4E287DC1" w14:textId="77777777" w:rsidR="00D17561" w:rsidRPr="0094668E" w:rsidRDefault="00D17561" w:rsidP="00EB71A9">
            <w:pPr>
              <w:tabs>
                <w:tab w:val="left" w:pos="5715"/>
              </w:tabs>
              <w:spacing w:before="60"/>
              <w:rPr>
                <w:sz w:val="18"/>
                <w:szCs w:val="18"/>
              </w:rPr>
            </w:pPr>
            <w:r w:rsidRPr="0094668E">
              <w:rPr>
                <w:sz w:val="16"/>
                <w:szCs w:val="16"/>
              </w:rPr>
              <w:t>*Note:   Management Action must be given for a score of 1. The budget must be revised to fully reflect the costs of implementation before the project commences.</w:t>
            </w:r>
          </w:p>
        </w:tc>
        <w:tc>
          <w:tcPr>
            <w:tcW w:w="496" w:type="dxa"/>
            <w:tcBorders>
              <w:bottom w:val="single" w:sz="4" w:space="0" w:color="000000"/>
            </w:tcBorders>
            <w:shd w:val="clear" w:color="auto" w:fill="auto"/>
            <w:vAlign w:val="center"/>
          </w:tcPr>
          <w:p w14:paraId="026D2A9C" w14:textId="77777777" w:rsidR="00D17561" w:rsidRPr="0094668E" w:rsidRDefault="00D17561" w:rsidP="00EB71A9">
            <w:pPr>
              <w:spacing w:after="0"/>
              <w:jc w:val="center"/>
              <w:rPr>
                <w:sz w:val="18"/>
                <w:szCs w:val="18"/>
              </w:rPr>
            </w:pPr>
            <w:r w:rsidRPr="0094668E">
              <w:rPr>
                <w:sz w:val="18"/>
                <w:szCs w:val="18"/>
              </w:rPr>
              <w:t>3</w:t>
            </w:r>
          </w:p>
        </w:tc>
        <w:tc>
          <w:tcPr>
            <w:tcW w:w="1046" w:type="dxa"/>
            <w:tcBorders>
              <w:bottom w:val="single" w:sz="4" w:space="0" w:color="000000"/>
            </w:tcBorders>
            <w:shd w:val="clear" w:color="auto" w:fill="auto"/>
            <w:vAlign w:val="center"/>
          </w:tcPr>
          <w:p w14:paraId="31085FD1" w14:textId="77777777" w:rsidR="00D17561" w:rsidRPr="00C01502" w:rsidRDefault="00D17561" w:rsidP="00EB71A9">
            <w:pPr>
              <w:spacing w:after="0"/>
              <w:jc w:val="center"/>
              <w:rPr>
                <w:rFonts w:ascii="Times New Roman" w:hAnsi="Times New Roman"/>
                <w:b/>
              </w:rPr>
            </w:pPr>
            <w:r w:rsidRPr="00C01502">
              <w:rPr>
                <w:rFonts w:ascii="Times New Roman" w:hAnsi="Times New Roman"/>
                <w:b/>
                <w:highlight w:val="yellow"/>
              </w:rPr>
              <w:t>2</w:t>
            </w:r>
          </w:p>
        </w:tc>
      </w:tr>
      <w:tr w:rsidR="00D17561" w:rsidRPr="0094668E" w14:paraId="000970C2" w14:textId="77777777" w:rsidTr="00EB71A9">
        <w:trPr>
          <w:trHeight w:val="278"/>
        </w:trPr>
        <w:tc>
          <w:tcPr>
            <w:tcW w:w="9152" w:type="dxa"/>
            <w:gridSpan w:val="7"/>
            <w:vMerge/>
            <w:shd w:val="clear" w:color="auto" w:fill="auto"/>
          </w:tcPr>
          <w:p w14:paraId="12CFB19D" w14:textId="77777777" w:rsidR="00D17561" w:rsidRPr="0094668E" w:rsidRDefault="00D17561" w:rsidP="00D17561">
            <w:pPr>
              <w:pStyle w:val="ListParagraph"/>
              <w:numPr>
                <w:ilvl w:val="0"/>
                <w:numId w:val="207"/>
              </w:numPr>
              <w:spacing w:before="120" w:after="120"/>
              <w:ind w:left="270" w:hanging="270"/>
              <w:rPr>
                <w:rFonts w:ascii="Calibri" w:hAnsi="Calibri"/>
                <w:b/>
                <w:sz w:val="18"/>
                <w:szCs w:val="18"/>
              </w:rPr>
            </w:pPr>
          </w:p>
        </w:tc>
        <w:tc>
          <w:tcPr>
            <w:tcW w:w="1542" w:type="dxa"/>
            <w:gridSpan w:val="2"/>
            <w:tcBorders>
              <w:bottom w:val="single" w:sz="4" w:space="0" w:color="000000"/>
            </w:tcBorders>
            <w:shd w:val="clear" w:color="auto" w:fill="auto"/>
            <w:vAlign w:val="center"/>
          </w:tcPr>
          <w:p w14:paraId="44DD7CCC" w14:textId="77777777" w:rsidR="00D17561" w:rsidRPr="0094668E" w:rsidRDefault="00D17561" w:rsidP="00EB71A9">
            <w:pPr>
              <w:spacing w:after="0"/>
              <w:jc w:val="center"/>
              <w:rPr>
                <w:sz w:val="18"/>
                <w:szCs w:val="18"/>
              </w:rPr>
            </w:pPr>
            <w:r w:rsidRPr="0094668E">
              <w:rPr>
                <w:sz w:val="18"/>
                <w:szCs w:val="18"/>
              </w:rPr>
              <w:t>1</w:t>
            </w:r>
          </w:p>
        </w:tc>
      </w:tr>
      <w:tr w:rsidR="00D17561" w:rsidRPr="0094668E" w14:paraId="6FA7888E" w14:textId="77777777" w:rsidTr="00EB71A9">
        <w:trPr>
          <w:trHeight w:val="940"/>
        </w:trPr>
        <w:tc>
          <w:tcPr>
            <w:tcW w:w="9152" w:type="dxa"/>
            <w:gridSpan w:val="7"/>
            <w:vMerge/>
            <w:tcBorders>
              <w:bottom w:val="single" w:sz="4" w:space="0" w:color="000000"/>
            </w:tcBorders>
            <w:shd w:val="clear" w:color="auto" w:fill="auto"/>
          </w:tcPr>
          <w:p w14:paraId="0537835E" w14:textId="77777777" w:rsidR="00D17561" w:rsidRPr="0094668E" w:rsidRDefault="00D17561" w:rsidP="00D17561">
            <w:pPr>
              <w:pStyle w:val="ListParagraph"/>
              <w:numPr>
                <w:ilvl w:val="0"/>
                <w:numId w:val="207"/>
              </w:numPr>
              <w:spacing w:before="120" w:after="120"/>
              <w:ind w:left="270" w:hanging="270"/>
              <w:rPr>
                <w:rFonts w:ascii="Calibri" w:hAnsi="Calibri"/>
                <w:b/>
                <w:sz w:val="18"/>
                <w:szCs w:val="18"/>
              </w:rPr>
            </w:pPr>
          </w:p>
        </w:tc>
        <w:tc>
          <w:tcPr>
            <w:tcW w:w="1542" w:type="dxa"/>
            <w:gridSpan w:val="2"/>
            <w:tcBorders>
              <w:bottom w:val="single" w:sz="4" w:space="0" w:color="000000"/>
            </w:tcBorders>
            <w:shd w:val="clear" w:color="auto" w:fill="auto"/>
          </w:tcPr>
          <w:p w14:paraId="3DB76C2A" w14:textId="77777777" w:rsidR="00D17561" w:rsidRDefault="00D17561" w:rsidP="00EB71A9">
            <w:pPr>
              <w:spacing w:after="0"/>
              <w:jc w:val="center"/>
              <w:rPr>
                <w:b/>
                <w:sz w:val="18"/>
                <w:szCs w:val="18"/>
              </w:rPr>
            </w:pPr>
            <w:r w:rsidRPr="0094668E">
              <w:rPr>
                <w:b/>
                <w:sz w:val="18"/>
                <w:szCs w:val="18"/>
              </w:rPr>
              <w:t>Evidence</w:t>
            </w:r>
          </w:p>
          <w:p w14:paraId="40BD6589" w14:textId="77777777" w:rsidR="00D17561" w:rsidRDefault="00D17561" w:rsidP="00EB71A9">
            <w:pPr>
              <w:spacing w:after="0"/>
              <w:jc w:val="center"/>
              <w:rPr>
                <w:b/>
                <w:sz w:val="18"/>
                <w:szCs w:val="18"/>
              </w:rPr>
            </w:pPr>
          </w:p>
          <w:p w14:paraId="3CED1E13" w14:textId="77777777" w:rsidR="00D17561" w:rsidRPr="005E4BC8" w:rsidRDefault="00D17561" w:rsidP="00EB71A9">
            <w:pPr>
              <w:spacing w:after="0"/>
              <w:jc w:val="center"/>
              <w:rPr>
                <w:sz w:val="18"/>
                <w:szCs w:val="18"/>
              </w:rPr>
            </w:pPr>
            <w:r w:rsidRPr="005E4BC8">
              <w:rPr>
                <w:sz w:val="18"/>
                <w:szCs w:val="18"/>
              </w:rPr>
              <w:t>Refer to page 69 for direct project costs</w:t>
            </w:r>
          </w:p>
        </w:tc>
      </w:tr>
      <w:tr w:rsidR="00D17561" w:rsidRPr="0094668E" w14:paraId="7803BB40" w14:textId="77777777" w:rsidTr="00EB71A9">
        <w:trPr>
          <w:trHeight w:val="440"/>
        </w:trPr>
        <w:tc>
          <w:tcPr>
            <w:tcW w:w="1530" w:type="dxa"/>
            <w:tcBorders>
              <w:right w:val="nil"/>
            </w:tcBorders>
            <w:shd w:val="clear" w:color="auto" w:fill="C2D69B"/>
            <w:vAlign w:val="center"/>
          </w:tcPr>
          <w:p w14:paraId="092E9EA2" w14:textId="77777777" w:rsidR="00D17561" w:rsidRPr="0094668E" w:rsidRDefault="00D17561" w:rsidP="00EB71A9">
            <w:pPr>
              <w:tabs>
                <w:tab w:val="left" w:pos="7020"/>
              </w:tabs>
              <w:spacing w:before="20" w:after="20"/>
              <w:jc w:val="center"/>
              <w:rPr>
                <w:b/>
                <w:sz w:val="28"/>
                <w:szCs w:val="20"/>
              </w:rPr>
            </w:pPr>
            <w:r w:rsidRPr="0094668E">
              <w:rPr>
                <w:b/>
                <w:smallCaps/>
                <w:sz w:val="28"/>
                <w:szCs w:val="20"/>
              </w:rPr>
              <w:t>Effective</w:t>
            </w:r>
          </w:p>
        </w:tc>
        <w:tc>
          <w:tcPr>
            <w:tcW w:w="9164" w:type="dxa"/>
            <w:gridSpan w:val="8"/>
            <w:tcBorders>
              <w:left w:val="nil"/>
            </w:tcBorders>
            <w:shd w:val="clear" w:color="auto" w:fill="C2D69B"/>
            <w:vAlign w:val="center"/>
          </w:tcPr>
          <w:p w14:paraId="5C8867D2" w14:textId="77777777" w:rsidR="00D17561" w:rsidRPr="0094668E" w:rsidRDefault="00D17561" w:rsidP="00EB71A9">
            <w:pPr>
              <w:pStyle w:val="ListParagraph"/>
              <w:spacing w:before="20" w:after="20"/>
              <w:ind w:left="158"/>
              <w:rPr>
                <w:rFonts w:ascii="Calibri" w:hAnsi="Calibri"/>
                <w:sz w:val="18"/>
                <w:szCs w:val="20"/>
              </w:rPr>
            </w:pPr>
          </w:p>
        </w:tc>
      </w:tr>
      <w:tr w:rsidR="00D17561" w:rsidRPr="0094668E" w14:paraId="6973DD62" w14:textId="77777777" w:rsidTr="00EB71A9">
        <w:trPr>
          <w:trHeight w:val="206"/>
        </w:trPr>
        <w:tc>
          <w:tcPr>
            <w:tcW w:w="9152" w:type="dxa"/>
            <w:gridSpan w:val="7"/>
            <w:vMerge w:val="restart"/>
            <w:shd w:val="clear" w:color="auto" w:fill="auto"/>
          </w:tcPr>
          <w:p w14:paraId="42338FE5" w14:textId="77777777" w:rsidR="00D17561" w:rsidRPr="0094668E" w:rsidRDefault="00D17561" w:rsidP="00EB71A9">
            <w:pPr>
              <w:spacing w:before="120" w:after="20"/>
              <w:rPr>
                <w:b/>
                <w:sz w:val="18"/>
                <w:szCs w:val="18"/>
              </w:rPr>
            </w:pPr>
            <w:r w:rsidRPr="0094668E">
              <w:rPr>
                <w:b/>
                <w:sz w:val="18"/>
                <w:szCs w:val="18"/>
              </w:rPr>
              <w:t>18. Is the chosen implementation modality most appropriate? (select from options 1-3 that best reflects this project):</w:t>
            </w:r>
          </w:p>
          <w:p w14:paraId="4F241197" w14:textId="77777777" w:rsidR="00D17561" w:rsidRPr="0094668E" w:rsidRDefault="00D17561" w:rsidP="00D17561">
            <w:pPr>
              <w:pStyle w:val="ListParagraph"/>
              <w:numPr>
                <w:ilvl w:val="0"/>
                <w:numId w:val="200"/>
              </w:numPr>
              <w:spacing w:before="20" w:after="20"/>
              <w:ind w:left="607" w:hanging="270"/>
              <w:rPr>
                <w:rFonts w:ascii="Calibri" w:hAnsi="Calibri"/>
                <w:sz w:val="18"/>
                <w:szCs w:val="18"/>
              </w:rPr>
            </w:pPr>
            <w:r w:rsidRPr="0094668E">
              <w:rPr>
                <w:rFonts w:ascii="Calibri" w:hAnsi="Calibri"/>
                <w:b/>
                <w:sz w:val="18"/>
                <w:szCs w:val="18"/>
                <w:u w:val="single"/>
              </w:rPr>
              <w:t>3:</w:t>
            </w:r>
            <w:r w:rsidRPr="0094668E">
              <w:rPr>
                <w:rFonts w:ascii="Calibri" w:hAnsi="Calibri"/>
                <w:sz w:val="18"/>
                <w:szCs w:val="18"/>
              </w:rPr>
              <w:t xml:space="preserve"> The required implementing partner assessments (capacity assessment, HACT micro assessment) have been conducted, and there is evidence that options for implementation modalities have been thoroughly considered. There is a strong justification for choosing the selected modality, based on the development context. </w:t>
            </w:r>
            <w:r w:rsidRPr="0094668E">
              <w:rPr>
                <w:rFonts w:ascii="Calibri" w:hAnsi="Calibri"/>
                <w:i/>
                <w:sz w:val="18"/>
                <w:szCs w:val="18"/>
              </w:rPr>
              <w:t>(both must be true to select this option)</w:t>
            </w:r>
            <w:r w:rsidRPr="0094668E">
              <w:rPr>
                <w:rFonts w:ascii="Calibri" w:hAnsi="Calibri"/>
                <w:sz w:val="18"/>
                <w:szCs w:val="18"/>
              </w:rPr>
              <w:t xml:space="preserve"> </w:t>
            </w:r>
          </w:p>
          <w:p w14:paraId="35C3C00C" w14:textId="77777777" w:rsidR="00D17561" w:rsidRPr="0094668E" w:rsidRDefault="00D17561" w:rsidP="00D17561">
            <w:pPr>
              <w:pStyle w:val="ListParagraph"/>
              <w:numPr>
                <w:ilvl w:val="0"/>
                <w:numId w:val="200"/>
              </w:numPr>
              <w:spacing w:before="20" w:after="20"/>
              <w:ind w:left="607" w:hanging="270"/>
              <w:rPr>
                <w:rFonts w:ascii="Calibri" w:hAnsi="Calibri"/>
                <w:sz w:val="18"/>
                <w:szCs w:val="18"/>
              </w:rPr>
            </w:pPr>
            <w:r w:rsidRPr="0094668E">
              <w:rPr>
                <w:rFonts w:ascii="Calibri" w:hAnsi="Calibri"/>
                <w:b/>
                <w:sz w:val="18"/>
                <w:szCs w:val="18"/>
                <w:u w:val="single"/>
              </w:rPr>
              <w:t>2:</w:t>
            </w:r>
            <w:r w:rsidRPr="0094668E">
              <w:rPr>
                <w:rFonts w:ascii="Calibri" w:hAnsi="Calibri"/>
                <w:sz w:val="18"/>
                <w:szCs w:val="18"/>
              </w:rPr>
              <w:t xml:space="preserve"> The required implementing partner assessments (capacity assessment, HACT micro assessment) have been conducted and the implementation modality chosen is consistent with the results of the assessments.</w:t>
            </w:r>
          </w:p>
          <w:p w14:paraId="31AB5F4E" w14:textId="77777777" w:rsidR="00D17561" w:rsidRPr="0094668E" w:rsidRDefault="00D17561" w:rsidP="00D17561">
            <w:pPr>
              <w:pStyle w:val="ListParagraph"/>
              <w:numPr>
                <w:ilvl w:val="0"/>
                <w:numId w:val="200"/>
              </w:numPr>
              <w:tabs>
                <w:tab w:val="left" w:pos="5715"/>
              </w:tabs>
              <w:spacing w:before="20" w:after="20"/>
              <w:ind w:left="607" w:hanging="270"/>
              <w:rPr>
                <w:rFonts w:ascii="Calibri" w:hAnsi="Calibri"/>
                <w:sz w:val="18"/>
                <w:szCs w:val="18"/>
              </w:rPr>
            </w:pPr>
            <w:r w:rsidRPr="0094668E">
              <w:rPr>
                <w:rFonts w:ascii="Calibri" w:hAnsi="Calibri"/>
                <w:b/>
                <w:sz w:val="18"/>
                <w:szCs w:val="18"/>
                <w:u w:val="single"/>
              </w:rPr>
              <w:t>1:</w:t>
            </w:r>
            <w:r w:rsidRPr="0094668E">
              <w:rPr>
                <w:rFonts w:ascii="Calibri" w:hAnsi="Calibri"/>
                <w:sz w:val="18"/>
                <w:szCs w:val="18"/>
              </w:rPr>
              <w:t xml:space="preserve"> The required assessments have not been conducted, but there may be evidence that options for implementation modalities have been considered.</w:t>
            </w:r>
          </w:p>
          <w:p w14:paraId="1674101A" w14:textId="77777777" w:rsidR="00D17561" w:rsidRPr="0094668E" w:rsidRDefault="00D17561" w:rsidP="00EB71A9">
            <w:pPr>
              <w:spacing w:before="120"/>
              <w:rPr>
                <w:sz w:val="16"/>
                <w:szCs w:val="16"/>
              </w:rPr>
            </w:pPr>
            <w:r w:rsidRPr="0094668E">
              <w:rPr>
                <w:sz w:val="16"/>
                <w:szCs w:val="16"/>
              </w:rPr>
              <w:t>*Note:  Management Action or strong management justification must be given for a score of 1</w:t>
            </w:r>
          </w:p>
        </w:tc>
        <w:tc>
          <w:tcPr>
            <w:tcW w:w="496" w:type="dxa"/>
            <w:shd w:val="clear" w:color="auto" w:fill="auto"/>
          </w:tcPr>
          <w:p w14:paraId="7D9A63F9" w14:textId="77777777" w:rsidR="00D17561" w:rsidRPr="0094668E" w:rsidRDefault="00D17561" w:rsidP="00EB71A9">
            <w:pPr>
              <w:spacing w:after="0"/>
              <w:jc w:val="center"/>
              <w:rPr>
                <w:sz w:val="18"/>
                <w:szCs w:val="18"/>
              </w:rPr>
            </w:pPr>
            <w:r w:rsidRPr="0094668E">
              <w:rPr>
                <w:sz w:val="18"/>
                <w:szCs w:val="18"/>
              </w:rPr>
              <w:t>3</w:t>
            </w:r>
          </w:p>
        </w:tc>
        <w:tc>
          <w:tcPr>
            <w:tcW w:w="1046" w:type="dxa"/>
            <w:shd w:val="clear" w:color="auto" w:fill="auto"/>
          </w:tcPr>
          <w:p w14:paraId="26FA3FF2" w14:textId="77777777" w:rsidR="00D17561" w:rsidRPr="00C01502" w:rsidRDefault="00D17561" w:rsidP="00EB71A9">
            <w:pPr>
              <w:spacing w:after="0"/>
              <w:jc w:val="center"/>
              <w:rPr>
                <w:b/>
                <w:sz w:val="18"/>
                <w:szCs w:val="18"/>
              </w:rPr>
            </w:pPr>
            <w:r w:rsidRPr="00C01502">
              <w:rPr>
                <w:b/>
                <w:sz w:val="18"/>
                <w:szCs w:val="18"/>
                <w:highlight w:val="yellow"/>
              </w:rPr>
              <w:t>2</w:t>
            </w:r>
          </w:p>
        </w:tc>
      </w:tr>
      <w:tr w:rsidR="00D17561" w:rsidRPr="0094668E" w14:paraId="1C6727AB" w14:textId="77777777" w:rsidTr="00EB71A9">
        <w:trPr>
          <w:trHeight w:val="156"/>
        </w:trPr>
        <w:tc>
          <w:tcPr>
            <w:tcW w:w="9152" w:type="dxa"/>
            <w:gridSpan w:val="7"/>
            <w:vMerge/>
            <w:shd w:val="clear" w:color="auto" w:fill="auto"/>
          </w:tcPr>
          <w:p w14:paraId="1D00FAD4" w14:textId="77777777" w:rsidR="00D17561" w:rsidRPr="0094668E" w:rsidRDefault="00D17561" w:rsidP="00EB71A9">
            <w:pPr>
              <w:spacing w:before="20" w:after="20"/>
              <w:rPr>
                <w:sz w:val="18"/>
                <w:szCs w:val="18"/>
              </w:rPr>
            </w:pPr>
          </w:p>
        </w:tc>
        <w:tc>
          <w:tcPr>
            <w:tcW w:w="1542" w:type="dxa"/>
            <w:gridSpan w:val="2"/>
            <w:tcBorders>
              <w:bottom w:val="single" w:sz="4" w:space="0" w:color="000000"/>
            </w:tcBorders>
            <w:shd w:val="clear" w:color="auto" w:fill="auto"/>
          </w:tcPr>
          <w:p w14:paraId="49A36504" w14:textId="77777777" w:rsidR="00D17561" w:rsidRPr="0094668E" w:rsidRDefault="00D17561" w:rsidP="00EB71A9">
            <w:pPr>
              <w:spacing w:after="0"/>
              <w:jc w:val="center"/>
              <w:rPr>
                <w:sz w:val="18"/>
                <w:szCs w:val="18"/>
              </w:rPr>
            </w:pPr>
            <w:r w:rsidRPr="0094668E">
              <w:rPr>
                <w:sz w:val="18"/>
                <w:szCs w:val="18"/>
              </w:rPr>
              <w:t>1</w:t>
            </w:r>
          </w:p>
        </w:tc>
      </w:tr>
      <w:tr w:rsidR="00D17561" w:rsidRPr="0094668E" w14:paraId="5773653A" w14:textId="77777777" w:rsidTr="00EB71A9">
        <w:trPr>
          <w:trHeight w:val="368"/>
        </w:trPr>
        <w:tc>
          <w:tcPr>
            <w:tcW w:w="9152" w:type="dxa"/>
            <w:gridSpan w:val="7"/>
            <w:vMerge/>
            <w:tcBorders>
              <w:bottom w:val="single" w:sz="4" w:space="0" w:color="000000"/>
            </w:tcBorders>
            <w:shd w:val="clear" w:color="auto" w:fill="auto"/>
          </w:tcPr>
          <w:p w14:paraId="3C697D19" w14:textId="77777777" w:rsidR="00D17561" w:rsidRPr="0094668E" w:rsidRDefault="00D17561" w:rsidP="00EB71A9">
            <w:pPr>
              <w:spacing w:before="20" w:after="20"/>
              <w:rPr>
                <w:sz w:val="18"/>
                <w:szCs w:val="18"/>
              </w:rPr>
            </w:pPr>
          </w:p>
        </w:tc>
        <w:tc>
          <w:tcPr>
            <w:tcW w:w="1542" w:type="dxa"/>
            <w:gridSpan w:val="2"/>
            <w:tcBorders>
              <w:bottom w:val="single" w:sz="4" w:space="0" w:color="000000"/>
            </w:tcBorders>
            <w:shd w:val="clear" w:color="auto" w:fill="auto"/>
          </w:tcPr>
          <w:p w14:paraId="35F107D7" w14:textId="77777777" w:rsidR="00D17561" w:rsidRDefault="00D17561" w:rsidP="00EB71A9">
            <w:pPr>
              <w:spacing w:after="0"/>
              <w:jc w:val="center"/>
              <w:rPr>
                <w:b/>
                <w:sz w:val="18"/>
                <w:szCs w:val="18"/>
              </w:rPr>
            </w:pPr>
            <w:r w:rsidRPr="0094668E">
              <w:rPr>
                <w:b/>
                <w:sz w:val="18"/>
                <w:szCs w:val="18"/>
              </w:rPr>
              <w:t>Evidence</w:t>
            </w:r>
          </w:p>
          <w:p w14:paraId="7AC6A230" w14:textId="77777777" w:rsidR="00D17561" w:rsidRDefault="00D17561" w:rsidP="00EB71A9">
            <w:pPr>
              <w:spacing w:after="0"/>
              <w:jc w:val="center"/>
              <w:rPr>
                <w:b/>
                <w:sz w:val="18"/>
                <w:szCs w:val="18"/>
              </w:rPr>
            </w:pPr>
          </w:p>
          <w:p w14:paraId="3148F889" w14:textId="77777777" w:rsidR="00D17561" w:rsidRPr="00C01502" w:rsidRDefault="00D17561" w:rsidP="00EB71A9">
            <w:pPr>
              <w:spacing w:after="0"/>
              <w:jc w:val="center"/>
              <w:rPr>
                <w:sz w:val="18"/>
                <w:szCs w:val="18"/>
              </w:rPr>
            </w:pPr>
            <w:r w:rsidRPr="00C01502">
              <w:rPr>
                <w:sz w:val="18"/>
                <w:szCs w:val="18"/>
              </w:rPr>
              <w:t>Hact Assessment Report to be finalized within next 2 weeks</w:t>
            </w:r>
          </w:p>
        </w:tc>
      </w:tr>
      <w:tr w:rsidR="00D17561" w:rsidRPr="0094668E" w14:paraId="2AE47F4B" w14:textId="77777777" w:rsidTr="00EB71A9">
        <w:trPr>
          <w:trHeight w:val="230"/>
        </w:trPr>
        <w:tc>
          <w:tcPr>
            <w:tcW w:w="9152" w:type="dxa"/>
            <w:gridSpan w:val="7"/>
            <w:vMerge w:val="restart"/>
            <w:shd w:val="clear" w:color="auto" w:fill="auto"/>
          </w:tcPr>
          <w:p w14:paraId="00FF4A86" w14:textId="77777777" w:rsidR="00D17561" w:rsidRPr="0094668E" w:rsidRDefault="00D17561" w:rsidP="00EB71A9">
            <w:pPr>
              <w:spacing w:before="120" w:after="120"/>
              <w:ind w:left="247" w:hanging="247"/>
              <w:rPr>
                <w:b/>
                <w:sz w:val="18"/>
                <w:szCs w:val="18"/>
              </w:rPr>
            </w:pPr>
            <w:r w:rsidRPr="0094668E">
              <w:rPr>
                <w:b/>
                <w:sz w:val="18"/>
                <w:szCs w:val="18"/>
              </w:rPr>
              <w:t xml:space="preserve">19. Have targeted groups, prioritizing marginalized and excluded populations that will be affected by the project, been engaged in the design of the project in a way that addresses any underlying causes of exclusion and discrimination? </w:t>
            </w:r>
          </w:p>
          <w:p w14:paraId="5CDAB219" w14:textId="77777777" w:rsidR="00D17561" w:rsidRPr="0094668E" w:rsidRDefault="00D17561" w:rsidP="00D17561">
            <w:pPr>
              <w:pStyle w:val="ListParagraph"/>
              <w:numPr>
                <w:ilvl w:val="0"/>
                <w:numId w:val="202"/>
              </w:numPr>
              <w:rPr>
                <w:rFonts w:ascii="Calibri" w:hAnsi="Calibri"/>
                <w:color w:val="000000"/>
                <w:sz w:val="18"/>
                <w:szCs w:val="18"/>
              </w:rPr>
            </w:pPr>
            <w:r w:rsidRPr="0094668E">
              <w:rPr>
                <w:rFonts w:ascii="Calibri" w:hAnsi="Calibri"/>
                <w:color w:val="000000"/>
                <w:sz w:val="18"/>
                <w:szCs w:val="18"/>
                <w:u w:val="single"/>
              </w:rPr>
              <w:t>3:</w:t>
            </w:r>
            <w:r w:rsidRPr="0094668E">
              <w:rPr>
                <w:rFonts w:ascii="Calibri" w:hAnsi="Calibri"/>
                <w:color w:val="000000"/>
                <w:sz w:val="18"/>
                <w:szCs w:val="18"/>
              </w:rPr>
              <w:t xml:space="preserve"> Credible evidence that all targeted groups, prioritising marginalized and excluded populations that will be involved in or affected by the project, have been actively engaged in the design of the project. Their views, rights and any constraints have been analysed and incorporated into the root cause analysis of the theory of change which seeks to address any underlying causes of exclusion and discrimination and the selection of project interventions.</w:t>
            </w:r>
          </w:p>
          <w:p w14:paraId="4CEF447F" w14:textId="77777777" w:rsidR="00D17561" w:rsidRPr="0094668E" w:rsidRDefault="00D17561" w:rsidP="00D17561">
            <w:pPr>
              <w:pStyle w:val="ListParagraph"/>
              <w:numPr>
                <w:ilvl w:val="0"/>
                <w:numId w:val="202"/>
              </w:numPr>
              <w:rPr>
                <w:rFonts w:ascii="Calibri" w:hAnsi="Calibri"/>
                <w:color w:val="000000"/>
                <w:sz w:val="18"/>
                <w:szCs w:val="18"/>
              </w:rPr>
            </w:pPr>
            <w:r w:rsidRPr="0094668E">
              <w:rPr>
                <w:rFonts w:ascii="Calibri" w:hAnsi="Calibri"/>
                <w:color w:val="000000"/>
                <w:sz w:val="18"/>
                <w:szCs w:val="18"/>
                <w:u w:val="single"/>
              </w:rPr>
              <w:t>2:</w:t>
            </w:r>
            <w:r w:rsidRPr="0094668E">
              <w:rPr>
                <w:rFonts w:ascii="Calibri" w:hAnsi="Calibri"/>
                <w:color w:val="000000"/>
                <w:sz w:val="18"/>
                <w:szCs w:val="18"/>
              </w:rPr>
              <w:t xml:space="preserve"> Some evidence that key targeted groups, prioritising marginalized and excluded populations that will be involved in the project, have been engaged in the design of the project. Some evidence that their views, rights and any constraints have been analysed and incorporated into the root cause analysis of the theory of change and the selection of project interventions. </w:t>
            </w:r>
          </w:p>
          <w:p w14:paraId="12239228" w14:textId="77777777" w:rsidR="00D17561" w:rsidRPr="0094668E" w:rsidRDefault="00D17561" w:rsidP="00D17561">
            <w:pPr>
              <w:pStyle w:val="ListParagraph"/>
              <w:numPr>
                <w:ilvl w:val="0"/>
                <w:numId w:val="202"/>
              </w:numPr>
              <w:rPr>
                <w:color w:val="000000"/>
                <w:sz w:val="18"/>
                <w:szCs w:val="18"/>
              </w:rPr>
            </w:pPr>
            <w:r w:rsidRPr="0094668E">
              <w:rPr>
                <w:rFonts w:ascii="Calibri" w:hAnsi="Calibri"/>
                <w:color w:val="000000"/>
                <w:sz w:val="18"/>
                <w:szCs w:val="18"/>
                <w:u w:val="single"/>
              </w:rPr>
              <w:t>1:</w:t>
            </w:r>
            <w:r w:rsidRPr="0094668E">
              <w:rPr>
                <w:rFonts w:ascii="Calibri" w:hAnsi="Calibri"/>
                <w:color w:val="000000"/>
                <w:sz w:val="18"/>
                <w:szCs w:val="18"/>
              </w:rPr>
              <w:t xml:space="preserve"> No evidence of engagement with marginalized and excluded populations that will be involved in the project during project design. No evidence that the views, rights and constraints of populations have been incorporated into the project. </w:t>
            </w:r>
          </w:p>
        </w:tc>
        <w:tc>
          <w:tcPr>
            <w:tcW w:w="496" w:type="dxa"/>
            <w:tcBorders>
              <w:bottom w:val="single" w:sz="4" w:space="0" w:color="000000"/>
            </w:tcBorders>
            <w:shd w:val="clear" w:color="auto" w:fill="auto"/>
            <w:vAlign w:val="center"/>
          </w:tcPr>
          <w:p w14:paraId="79AAD016" w14:textId="77777777" w:rsidR="00D17561" w:rsidRPr="0094668E" w:rsidRDefault="00D17561" w:rsidP="00EB71A9">
            <w:pPr>
              <w:spacing w:after="0"/>
              <w:jc w:val="center"/>
              <w:rPr>
                <w:sz w:val="18"/>
                <w:szCs w:val="18"/>
              </w:rPr>
            </w:pPr>
            <w:r w:rsidRPr="0094668E">
              <w:rPr>
                <w:sz w:val="18"/>
                <w:szCs w:val="18"/>
              </w:rPr>
              <w:t>3</w:t>
            </w:r>
          </w:p>
        </w:tc>
        <w:tc>
          <w:tcPr>
            <w:tcW w:w="1046" w:type="dxa"/>
            <w:shd w:val="clear" w:color="auto" w:fill="auto"/>
            <w:vAlign w:val="center"/>
          </w:tcPr>
          <w:p w14:paraId="28FDC7BE" w14:textId="77777777" w:rsidR="00D17561" w:rsidRPr="0094668E" w:rsidRDefault="00D17561" w:rsidP="00EB71A9">
            <w:pPr>
              <w:spacing w:after="0"/>
              <w:jc w:val="center"/>
              <w:rPr>
                <w:sz w:val="18"/>
                <w:szCs w:val="18"/>
              </w:rPr>
            </w:pPr>
            <w:r w:rsidRPr="008E05B6">
              <w:rPr>
                <w:sz w:val="18"/>
                <w:szCs w:val="18"/>
                <w:highlight w:val="yellow"/>
              </w:rPr>
              <w:t>2</w:t>
            </w:r>
          </w:p>
        </w:tc>
      </w:tr>
      <w:tr w:rsidR="00D17561" w:rsidRPr="0094668E" w14:paraId="7F80262F" w14:textId="77777777" w:rsidTr="00EB71A9">
        <w:trPr>
          <w:trHeight w:val="167"/>
        </w:trPr>
        <w:tc>
          <w:tcPr>
            <w:tcW w:w="9152" w:type="dxa"/>
            <w:gridSpan w:val="7"/>
            <w:vMerge/>
            <w:shd w:val="clear" w:color="auto" w:fill="auto"/>
          </w:tcPr>
          <w:p w14:paraId="1AF42DB9" w14:textId="77777777" w:rsidR="00D17561" w:rsidRPr="0094668E" w:rsidRDefault="00D17561" w:rsidP="00EB71A9">
            <w:pPr>
              <w:spacing w:before="120" w:after="120"/>
              <w:ind w:left="247" w:hanging="247"/>
              <w:rPr>
                <w:b/>
                <w:sz w:val="18"/>
                <w:szCs w:val="18"/>
              </w:rPr>
            </w:pPr>
          </w:p>
        </w:tc>
        <w:tc>
          <w:tcPr>
            <w:tcW w:w="1542" w:type="dxa"/>
            <w:gridSpan w:val="2"/>
            <w:tcBorders>
              <w:bottom w:val="single" w:sz="4" w:space="0" w:color="000000"/>
            </w:tcBorders>
            <w:shd w:val="clear" w:color="auto" w:fill="auto"/>
            <w:vAlign w:val="center"/>
          </w:tcPr>
          <w:p w14:paraId="248AE501" w14:textId="77777777" w:rsidR="00D17561" w:rsidRPr="0094668E" w:rsidRDefault="00D17561" w:rsidP="00EB71A9">
            <w:pPr>
              <w:spacing w:after="0"/>
              <w:jc w:val="center"/>
              <w:rPr>
                <w:sz w:val="18"/>
                <w:szCs w:val="18"/>
              </w:rPr>
            </w:pPr>
            <w:r w:rsidRPr="0094668E">
              <w:rPr>
                <w:sz w:val="18"/>
                <w:szCs w:val="18"/>
              </w:rPr>
              <w:t>1</w:t>
            </w:r>
          </w:p>
        </w:tc>
      </w:tr>
      <w:tr w:rsidR="00D17561" w:rsidRPr="0094668E" w14:paraId="0C3604C0" w14:textId="77777777" w:rsidTr="00EB71A9">
        <w:trPr>
          <w:trHeight w:val="637"/>
        </w:trPr>
        <w:tc>
          <w:tcPr>
            <w:tcW w:w="9152" w:type="dxa"/>
            <w:gridSpan w:val="7"/>
            <w:vMerge/>
            <w:tcBorders>
              <w:bottom w:val="single" w:sz="4" w:space="0" w:color="000000"/>
            </w:tcBorders>
            <w:shd w:val="clear" w:color="auto" w:fill="auto"/>
          </w:tcPr>
          <w:p w14:paraId="7245DC92" w14:textId="77777777" w:rsidR="00D17561" w:rsidRPr="0094668E" w:rsidRDefault="00D17561" w:rsidP="00EB71A9">
            <w:pPr>
              <w:spacing w:before="120" w:after="120"/>
              <w:ind w:left="247" w:hanging="247"/>
              <w:rPr>
                <w:b/>
                <w:sz w:val="18"/>
                <w:szCs w:val="18"/>
              </w:rPr>
            </w:pPr>
          </w:p>
        </w:tc>
        <w:tc>
          <w:tcPr>
            <w:tcW w:w="1542" w:type="dxa"/>
            <w:gridSpan w:val="2"/>
            <w:tcBorders>
              <w:bottom w:val="single" w:sz="4" w:space="0" w:color="000000"/>
            </w:tcBorders>
            <w:shd w:val="clear" w:color="auto" w:fill="auto"/>
          </w:tcPr>
          <w:p w14:paraId="7D2BC4D9" w14:textId="77777777" w:rsidR="00D17561" w:rsidRDefault="00D17561" w:rsidP="00EB71A9">
            <w:pPr>
              <w:spacing w:after="0"/>
              <w:jc w:val="center"/>
              <w:rPr>
                <w:b/>
                <w:sz w:val="18"/>
                <w:szCs w:val="18"/>
              </w:rPr>
            </w:pPr>
            <w:r>
              <w:rPr>
                <w:b/>
                <w:sz w:val="18"/>
                <w:szCs w:val="18"/>
              </w:rPr>
              <w:t>Evidence</w:t>
            </w:r>
          </w:p>
          <w:p w14:paraId="132BA3C2" w14:textId="77777777" w:rsidR="00D17561" w:rsidRPr="005B66A1" w:rsidRDefault="00D17561" w:rsidP="00EB71A9">
            <w:pPr>
              <w:spacing w:after="0"/>
              <w:jc w:val="center"/>
              <w:rPr>
                <w:sz w:val="18"/>
                <w:szCs w:val="18"/>
              </w:rPr>
            </w:pPr>
            <w:r w:rsidRPr="005B66A1">
              <w:rPr>
                <w:sz w:val="18"/>
                <w:szCs w:val="18"/>
              </w:rPr>
              <w:t xml:space="preserve">As per  validation workshop report </w:t>
            </w:r>
          </w:p>
        </w:tc>
      </w:tr>
      <w:tr w:rsidR="00D17561" w:rsidRPr="0094668E" w14:paraId="15D10C4A" w14:textId="77777777" w:rsidTr="00EB71A9">
        <w:trPr>
          <w:trHeight w:val="52"/>
        </w:trPr>
        <w:tc>
          <w:tcPr>
            <w:tcW w:w="9152" w:type="dxa"/>
            <w:gridSpan w:val="7"/>
            <w:tcBorders>
              <w:bottom w:val="single" w:sz="4" w:space="0" w:color="000000"/>
            </w:tcBorders>
            <w:shd w:val="clear" w:color="auto" w:fill="auto"/>
          </w:tcPr>
          <w:p w14:paraId="0F60E0DE" w14:textId="77777777" w:rsidR="00D17561" w:rsidRPr="0094668E" w:rsidRDefault="00D17561" w:rsidP="00EB71A9">
            <w:pPr>
              <w:spacing w:before="120" w:after="120"/>
              <w:ind w:left="247" w:hanging="247"/>
              <w:rPr>
                <w:b/>
                <w:sz w:val="18"/>
                <w:szCs w:val="18"/>
              </w:rPr>
            </w:pPr>
            <w:r w:rsidRPr="0094668E">
              <w:rPr>
                <w:b/>
                <w:sz w:val="18"/>
                <w:szCs w:val="18"/>
              </w:rPr>
              <w:t>20. Does the project conduct regular monitoring activities, have explicit plans for evaluation, and include other lesson learning (e.g. through After Action Reviews or Lessons Learned Workshops), timed to inform course corrections if needed during project implementation?</w:t>
            </w:r>
          </w:p>
        </w:tc>
        <w:tc>
          <w:tcPr>
            <w:tcW w:w="496" w:type="dxa"/>
            <w:tcBorders>
              <w:bottom w:val="single" w:sz="4" w:space="0" w:color="000000"/>
            </w:tcBorders>
            <w:shd w:val="clear" w:color="auto" w:fill="auto"/>
            <w:vAlign w:val="center"/>
          </w:tcPr>
          <w:p w14:paraId="129F5116" w14:textId="77777777" w:rsidR="00D17561" w:rsidRPr="00027A03" w:rsidRDefault="00D17561" w:rsidP="00EB71A9">
            <w:pPr>
              <w:spacing w:after="0"/>
              <w:jc w:val="center"/>
              <w:rPr>
                <w:sz w:val="18"/>
                <w:szCs w:val="18"/>
                <w:highlight w:val="yellow"/>
              </w:rPr>
            </w:pPr>
            <w:r w:rsidRPr="00027A03">
              <w:rPr>
                <w:sz w:val="18"/>
                <w:szCs w:val="18"/>
                <w:highlight w:val="yellow"/>
              </w:rPr>
              <w:t xml:space="preserve">Yes </w:t>
            </w:r>
          </w:p>
          <w:p w14:paraId="04F66175" w14:textId="77777777" w:rsidR="00D17561" w:rsidRPr="0094668E" w:rsidRDefault="00D17561" w:rsidP="00EB71A9">
            <w:pPr>
              <w:spacing w:after="0"/>
              <w:jc w:val="center"/>
              <w:rPr>
                <w:sz w:val="18"/>
                <w:szCs w:val="18"/>
              </w:rPr>
            </w:pPr>
            <w:r w:rsidRPr="00027A03">
              <w:rPr>
                <w:sz w:val="18"/>
                <w:szCs w:val="18"/>
                <w:highlight w:val="yellow"/>
              </w:rPr>
              <w:t>(3)</w:t>
            </w:r>
          </w:p>
        </w:tc>
        <w:tc>
          <w:tcPr>
            <w:tcW w:w="1046" w:type="dxa"/>
            <w:tcBorders>
              <w:bottom w:val="single" w:sz="4" w:space="0" w:color="000000"/>
            </w:tcBorders>
            <w:shd w:val="clear" w:color="auto" w:fill="auto"/>
            <w:vAlign w:val="center"/>
          </w:tcPr>
          <w:p w14:paraId="7B057C46" w14:textId="77777777" w:rsidR="00D17561" w:rsidRPr="0094668E" w:rsidRDefault="00D17561" w:rsidP="00EB71A9">
            <w:pPr>
              <w:spacing w:after="0"/>
              <w:jc w:val="center"/>
              <w:rPr>
                <w:sz w:val="18"/>
                <w:szCs w:val="18"/>
              </w:rPr>
            </w:pPr>
            <w:r w:rsidRPr="0094668E">
              <w:rPr>
                <w:sz w:val="18"/>
                <w:szCs w:val="18"/>
              </w:rPr>
              <w:t>No</w:t>
            </w:r>
          </w:p>
          <w:p w14:paraId="1C7D812B" w14:textId="77777777" w:rsidR="00D17561" w:rsidRPr="0094668E" w:rsidRDefault="00D17561" w:rsidP="00EB71A9">
            <w:pPr>
              <w:spacing w:after="0"/>
              <w:jc w:val="center"/>
              <w:rPr>
                <w:sz w:val="18"/>
                <w:szCs w:val="18"/>
              </w:rPr>
            </w:pPr>
            <w:r w:rsidRPr="0094668E">
              <w:rPr>
                <w:sz w:val="18"/>
                <w:szCs w:val="18"/>
              </w:rPr>
              <w:t xml:space="preserve">(1) </w:t>
            </w:r>
          </w:p>
        </w:tc>
      </w:tr>
      <w:tr w:rsidR="00D17561" w:rsidRPr="0094668E" w14:paraId="118EEE00" w14:textId="77777777" w:rsidTr="00EB71A9">
        <w:trPr>
          <w:trHeight w:val="185"/>
        </w:trPr>
        <w:tc>
          <w:tcPr>
            <w:tcW w:w="9152" w:type="dxa"/>
            <w:gridSpan w:val="7"/>
            <w:vMerge w:val="restart"/>
            <w:shd w:val="clear" w:color="auto" w:fill="auto"/>
          </w:tcPr>
          <w:p w14:paraId="0FD1392B" w14:textId="77777777" w:rsidR="00D17561" w:rsidRPr="0094668E" w:rsidRDefault="00D17561" w:rsidP="00EB71A9">
            <w:pPr>
              <w:spacing w:after="0"/>
              <w:rPr>
                <w:b/>
                <w:color w:val="000000"/>
                <w:sz w:val="18"/>
                <w:szCs w:val="18"/>
              </w:rPr>
            </w:pPr>
            <w:r w:rsidRPr="0094668E">
              <w:rPr>
                <w:b/>
                <w:color w:val="000000"/>
                <w:sz w:val="18"/>
                <w:szCs w:val="18"/>
              </w:rPr>
              <w:t xml:space="preserve">21. The gender marker for all project outputs are scored at GEN2 or GEN3, indicating that gender has been fully mainstreamed into all project outputs at a minimum. </w:t>
            </w:r>
          </w:p>
          <w:p w14:paraId="688AE8A1" w14:textId="77777777" w:rsidR="00D17561" w:rsidRPr="0094668E" w:rsidRDefault="00D17561" w:rsidP="00EB71A9">
            <w:pPr>
              <w:spacing w:before="120" w:after="120"/>
              <w:ind w:left="245" w:hanging="245"/>
              <w:rPr>
                <w:b/>
                <w:sz w:val="18"/>
                <w:szCs w:val="18"/>
              </w:rPr>
            </w:pPr>
            <w:r w:rsidRPr="0094668E">
              <w:rPr>
                <w:sz w:val="16"/>
                <w:szCs w:val="16"/>
              </w:rPr>
              <w:t>*Note: Management Action or strong management justification must be given for a score of “no”</w:t>
            </w:r>
          </w:p>
        </w:tc>
        <w:tc>
          <w:tcPr>
            <w:tcW w:w="496" w:type="dxa"/>
            <w:shd w:val="clear" w:color="auto" w:fill="auto"/>
            <w:vAlign w:val="center"/>
          </w:tcPr>
          <w:p w14:paraId="340B69AA" w14:textId="77777777" w:rsidR="00D17561" w:rsidRPr="00027A03" w:rsidRDefault="00D17561" w:rsidP="00EB71A9">
            <w:pPr>
              <w:spacing w:after="0"/>
              <w:jc w:val="center"/>
              <w:rPr>
                <w:sz w:val="18"/>
                <w:szCs w:val="18"/>
                <w:highlight w:val="yellow"/>
              </w:rPr>
            </w:pPr>
            <w:r w:rsidRPr="00027A03">
              <w:rPr>
                <w:sz w:val="18"/>
                <w:szCs w:val="18"/>
                <w:highlight w:val="yellow"/>
              </w:rPr>
              <w:t>Yes</w:t>
            </w:r>
          </w:p>
          <w:p w14:paraId="34E17E4B" w14:textId="77777777" w:rsidR="00D17561" w:rsidRPr="0094668E" w:rsidRDefault="00D17561" w:rsidP="00EB71A9">
            <w:pPr>
              <w:spacing w:after="0"/>
              <w:jc w:val="center"/>
              <w:rPr>
                <w:sz w:val="18"/>
                <w:szCs w:val="18"/>
              </w:rPr>
            </w:pPr>
            <w:r w:rsidRPr="00027A03">
              <w:rPr>
                <w:sz w:val="18"/>
                <w:szCs w:val="18"/>
                <w:highlight w:val="yellow"/>
              </w:rPr>
              <w:t>(3)</w:t>
            </w:r>
          </w:p>
        </w:tc>
        <w:tc>
          <w:tcPr>
            <w:tcW w:w="1046" w:type="dxa"/>
            <w:shd w:val="clear" w:color="auto" w:fill="auto"/>
            <w:vAlign w:val="center"/>
          </w:tcPr>
          <w:p w14:paraId="49B6CD6D" w14:textId="77777777" w:rsidR="00D17561" w:rsidRPr="0094668E" w:rsidRDefault="00D17561" w:rsidP="00EB71A9">
            <w:pPr>
              <w:spacing w:after="0"/>
              <w:jc w:val="center"/>
              <w:rPr>
                <w:sz w:val="18"/>
                <w:szCs w:val="18"/>
              </w:rPr>
            </w:pPr>
            <w:r w:rsidRPr="0094668E">
              <w:rPr>
                <w:sz w:val="18"/>
                <w:szCs w:val="18"/>
              </w:rPr>
              <w:t>No</w:t>
            </w:r>
          </w:p>
          <w:p w14:paraId="04F3A1B2" w14:textId="77777777" w:rsidR="00D17561" w:rsidRPr="0094668E" w:rsidRDefault="00D17561" w:rsidP="00EB71A9">
            <w:pPr>
              <w:spacing w:after="0"/>
              <w:jc w:val="center"/>
              <w:rPr>
                <w:sz w:val="18"/>
                <w:szCs w:val="18"/>
              </w:rPr>
            </w:pPr>
            <w:r w:rsidRPr="0094668E">
              <w:rPr>
                <w:sz w:val="18"/>
                <w:szCs w:val="18"/>
              </w:rPr>
              <w:t>(1)</w:t>
            </w:r>
          </w:p>
        </w:tc>
      </w:tr>
      <w:tr w:rsidR="00D17561" w:rsidRPr="0094668E" w14:paraId="257A2AED" w14:textId="77777777" w:rsidTr="00EB71A9">
        <w:trPr>
          <w:trHeight w:val="405"/>
        </w:trPr>
        <w:tc>
          <w:tcPr>
            <w:tcW w:w="9152" w:type="dxa"/>
            <w:gridSpan w:val="7"/>
            <w:vMerge/>
            <w:shd w:val="clear" w:color="auto" w:fill="auto"/>
          </w:tcPr>
          <w:p w14:paraId="334D42A7" w14:textId="77777777" w:rsidR="00D17561" w:rsidRPr="0094668E" w:rsidRDefault="00D17561" w:rsidP="00EB71A9">
            <w:pPr>
              <w:spacing w:after="0"/>
              <w:rPr>
                <w:b/>
                <w:color w:val="000000"/>
                <w:sz w:val="18"/>
                <w:szCs w:val="18"/>
              </w:rPr>
            </w:pPr>
          </w:p>
        </w:tc>
        <w:tc>
          <w:tcPr>
            <w:tcW w:w="1542" w:type="dxa"/>
            <w:gridSpan w:val="2"/>
            <w:tcBorders>
              <w:bottom w:val="single" w:sz="4" w:space="0" w:color="000000"/>
            </w:tcBorders>
            <w:shd w:val="clear" w:color="auto" w:fill="auto"/>
          </w:tcPr>
          <w:p w14:paraId="3602D38A" w14:textId="77777777" w:rsidR="00D17561" w:rsidRPr="0094668E" w:rsidRDefault="00D17561" w:rsidP="00EB71A9">
            <w:pPr>
              <w:spacing w:after="0"/>
              <w:jc w:val="center"/>
              <w:rPr>
                <w:b/>
                <w:sz w:val="18"/>
                <w:szCs w:val="18"/>
              </w:rPr>
            </w:pPr>
            <w:r w:rsidRPr="0094668E">
              <w:rPr>
                <w:b/>
                <w:sz w:val="18"/>
                <w:szCs w:val="18"/>
              </w:rPr>
              <w:t>Evidence</w:t>
            </w:r>
          </w:p>
        </w:tc>
      </w:tr>
      <w:tr w:rsidR="00D17561" w:rsidRPr="0094668E" w14:paraId="29A664FC" w14:textId="77777777" w:rsidTr="00EB71A9">
        <w:trPr>
          <w:trHeight w:val="161"/>
        </w:trPr>
        <w:tc>
          <w:tcPr>
            <w:tcW w:w="9152" w:type="dxa"/>
            <w:gridSpan w:val="7"/>
            <w:vMerge w:val="restart"/>
            <w:shd w:val="clear" w:color="auto" w:fill="auto"/>
          </w:tcPr>
          <w:p w14:paraId="5ACD9F1C" w14:textId="77777777" w:rsidR="00D17561" w:rsidRPr="0094668E" w:rsidRDefault="00D17561" w:rsidP="00EB71A9">
            <w:pPr>
              <w:spacing w:before="120" w:after="0"/>
              <w:ind w:left="245" w:hanging="245"/>
              <w:rPr>
                <w:b/>
                <w:sz w:val="18"/>
                <w:szCs w:val="18"/>
              </w:rPr>
            </w:pPr>
            <w:r w:rsidRPr="0094668E">
              <w:rPr>
                <w:b/>
                <w:sz w:val="18"/>
                <w:szCs w:val="18"/>
              </w:rPr>
              <w:t>22. Is there a realistic multi-year work plan and budget to ensure outputs are delivered on time and within allotted resources? (select from options 1-3 that best reflects this project):</w:t>
            </w:r>
          </w:p>
          <w:p w14:paraId="1D5DED49" w14:textId="77777777" w:rsidR="00D17561" w:rsidRPr="0094668E" w:rsidRDefault="00D17561" w:rsidP="00D17561">
            <w:pPr>
              <w:pStyle w:val="ListParagraph"/>
              <w:numPr>
                <w:ilvl w:val="0"/>
                <w:numId w:val="200"/>
              </w:numPr>
              <w:spacing w:before="20" w:after="20"/>
              <w:ind w:left="607" w:hanging="270"/>
              <w:rPr>
                <w:rFonts w:ascii="Calibri" w:hAnsi="Calibri"/>
                <w:sz w:val="18"/>
                <w:szCs w:val="18"/>
              </w:rPr>
            </w:pPr>
            <w:r w:rsidRPr="0094668E">
              <w:rPr>
                <w:rFonts w:ascii="Calibri" w:hAnsi="Calibri"/>
                <w:b/>
                <w:sz w:val="18"/>
                <w:szCs w:val="18"/>
                <w:u w:val="single"/>
              </w:rPr>
              <w:t>3:</w:t>
            </w:r>
            <w:r w:rsidRPr="0094668E">
              <w:rPr>
                <w:rFonts w:ascii="Calibri" w:hAnsi="Calibri"/>
                <w:sz w:val="18"/>
                <w:szCs w:val="18"/>
              </w:rPr>
              <w:t xml:space="preserve"> The project has a realistic work plan &amp; budget covering the duration of the project </w:t>
            </w:r>
            <w:r w:rsidRPr="0094668E">
              <w:rPr>
                <w:rFonts w:ascii="Calibri" w:hAnsi="Calibri"/>
                <w:i/>
                <w:sz w:val="18"/>
                <w:szCs w:val="18"/>
              </w:rPr>
              <w:t>at the activity</w:t>
            </w:r>
            <w:r w:rsidRPr="0094668E">
              <w:rPr>
                <w:rFonts w:ascii="Calibri" w:hAnsi="Calibri"/>
                <w:sz w:val="18"/>
                <w:szCs w:val="18"/>
              </w:rPr>
              <w:t xml:space="preserve"> level to ensure outputs are delivered on time and within the allotted resources.</w:t>
            </w:r>
          </w:p>
          <w:p w14:paraId="3764C384" w14:textId="77777777" w:rsidR="00D17561" w:rsidRPr="0094668E" w:rsidRDefault="00D17561" w:rsidP="00D17561">
            <w:pPr>
              <w:pStyle w:val="ListParagraph"/>
              <w:numPr>
                <w:ilvl w:val="0"/>
                <w:numId w:val="200"/>
              </w:numPr>
              <w:spacing w:before="20" w:after="20"/>
              <w:ind w:left="607" w:hanging="270"/>
              <w:rPr>
                <w:rFonts w:ascii="Calibri" w:hAnsi="Calibri"/>
                <w:sz w:val="18"/>
                <w:szCs w:val="18"/>
              </w:rPr>
            </w:pPr>
            <w:r w:rsidRPr="0094668E">
              <w:rPr>
                <w:rFonts w:ascii="Calibri" w:hAnsi="Calibri"/>
                <w:b/>
                <w:sz w:val="18"/>
                <w:szCs w:val="18"/>
                <w:u w:val="single"/>
              </w:rPr>
              <w:t>2:</w:t>
            </w:r>
            <w:r w:rsidRPr="0094668E">
              <w:rPr>
                <w:rFonts w:ascii="Calibri" w:hAnsi="Calibri"/>
                <w:sz w:val="18"/>
                <w:szCs w:val="18"/>
              </w:rPr>
              <w:t xml:space="preserve"> The project has a work plan &amp; budget covering the duration of the project at the output level.</w:t>
            </w:r>
          </w:p>
          <w:p w14:paraId="2FAD690F" w14:textId="77777777" w:rsidR="00D17561" w:rsidRPr="0094668E" w:rsidRDefault="00D17561" w:rsidP="00D17561">
            <w:pPr>
              <w:pStyle w:val="ListParagraph"/>
              <w:numPr>
                <w:ilvl w:val="0"/>
                <w:numId w:val="200"/>
              </w:numPr>
              <w:tabs>
                <w:tab w:val="left" w:pos="5715"/>
              </w:tabs>
              <w:spacing w:before="20" w:after="20"/>
              <w:ind w:left="607" w:hanging="270"/>
              <w:rPr>
                <w:rFonts w:ascii="Calibri" w:hAnsi="Calibri"/>
                <w:sz w:val="18"/>
                <w:szCs w:val="18"/>
              </w:rPr>
            </w:pPr>
            <w:r w:rsidRPr="0094668E">
              <w:rPr>
                <w:rFonts w:ascii="Calibri" w:hAnsi="Calibri"/>
                <w:b/>
                <w:sz w:val="18"/>
                <w:szCs w:val="18"/>
                <w:u w:val="single"/>
              </w:rPr>
              <w:t>1:</w:t>
            </w:r>
            <w:r w:rsidRPr="0094668E">
              <w:rPr>
                <w:rFonts w:ascii="Calibri" w:hAnsi="Calibri"/>
                <w:sz w:val="18"/>
                <w:szCs w:val="18"/>
              </w:rPr>
              <w:t xml:space="preserve"> The project does not yet have a work plan &amp; budget covering the duration of the project.</w:t>
            </w:r>
          </w:p>
        </w:tc>
        <w:tc>
          <w:tcPr>
            <w:tcW w:w="496" w:type="dxa"/>
            <w:shd w:val="clear" w:color="auto" w:fill="auto"/>
            <w:vAlign w:val="center"/>
          </w:tcPr>
          <w:p w14:paraId="2AA43094" w14:textId="77777777" w:rsidR="00D17561" w:rsidRPr="0094668E" w:rsidRDefault="00D17561" w:rsidP="00EB71A9">
            <w:pPr>
              <w:spacing w:after="0"/>
              <w:jc w:val="center"/>
              <w:rPr>
                <w:sz w:val="18"/>
                <w:szCs w:val="18"/>
              </w:rPr>
            </w:pPr>
            <w:r w:rsidRPr="0094668E">
              <w:rPr>
                <w:sz w:val="18"/>
                <w:szCs w:val="18"/>
              </w:rPr>
              <w:t>3</w:t>
            </w:r>
          </w:p>
        </w:tc>
        <w:tc>
          <w:tcPr>
            <w:tcW w:w="1046" w:type="dxa"/>
            <w:shd w:val="clear" w:color="auto" w:fill="auto"/>
            <w:vAlign w:val="center"/>
          </w:tcPr>
          <w:p w14:paraId="77E86638" w14:textId="77777777" w:rsidR="00D17561" w:rsidRPr="0094668E" w:rsidRDefault="00D17561" w:rsidP="00EB71A9">
            <w:pPr>
              <w:spacing w:after="0"/>
              <w:jc w:val="center"/>
              <w:rPr>
                <w:sz w:val="18"/>
                <w:szCs w:val="18"/>
              </w:rPr>
            </w:pPr>
            <w:r w:rsidRPr="005B66A1">
              <w:rPr>
                <w:sz w:val="18"/>
                <w:szCs w:val="18"/>
                <w:highlight w:val="yellow"/>
              </w:rPr>
              <w:t>2</w:t>
            </w:r>
          </w:p>
        </w:tc>
      </w:tr>
      <w:tr w:rsidR="00D17561" w:rsidRPr="0094668E" w14:paraId="30E6F791" w14:textId="77777777" w:rsidTr="00EB71A9">
        <w:trPr>
          <w:trHeight w:val="233"/>
        </w:trPr>
        <w:tc>
          <w:tcPr>
            <w:tcW w:w="9152" w:type="dxa"/>
            <w:gridSpan w:val="7"/>
            <w:vMerge/>
            <w:shd w:val="clear" w:color="auto" w:fill="auto"/>
          </w:tcPr>
          <w:p w14:paraId="6F7CEE16" w14:textId="77777777" w:rsidR="00D17561" w:rsidRPr="0094668E" w:rsidRDefault="00D17561" w:rsidP="00EB71A9">
            <w:pPr>
              <w:spacing w:before="120" w:after="120"/>
              <w:ind w:left="247" w:hanging="247"/>
              <w:rPr>
                <w:b/>
                <w:sz w:val="18"/>
                <w:szCs w:val="18"/>
              </w:rPr>
            </w:pPr>
          </w:p>
        </w:tc>
        <w:tc>
          <w:tcPr>
            <w:tcW w:w="1542" w:type="dxa"/>
            <w:gridSpan w:val="2"/>
            <w:tcBorders>
              <w:bottom w:val="single" w:sz="4" w:space="0" w:color="000000"/>
            </w:tcBorders>
            <w:shd w:val="clear" w:color="auto" w:fill="auto"/>
            <w:vAlign w:val="center"/>
          </w:tcPr>
          <w:p w14:paraId="26C6BA54" w14:textId="77777777" w:rsidR="00D17561" w:rsidRPr="0094668E" w:rsidRDefault="00D17561" w:rsidP="00EB71A9">
            <w:pPr>
              <w:spacing w:after="0"/>
              <w:jc w:val="center"/>
              <w:rPr>
                <w:sz w:val="18"/>
                <w:szCs w:val="18"/>
              </w:rPr>
            </w:pPr>
            <w:r w:rsidRPr="0094668E">
              <w:rPr>
                <w:sz w:val="18"/>
                <w:szCs w:val="18"/>
              </w:rPr>
              <w:t>1</w:t>
            </w:r>
          </w:p>
        </w:tc>
      </w:tr>
      <w:tr w:rsidR="00D17561" w:rsidRPr="0094668E" w14:paraId="444854B9" w14:textId="77777777" w:rsidTr="00EB71A9">
        <w:trPr>
          <w:trHeight w:val="725"/>
        </w:trPr>
        <w:tc>
          <w:tcPr>
            <w:tcW w:w="9152" w:type="dxa"/>
            <w:gridSpan w:val="7"/>
            <w:vMerge/>
            <w:tcBorders>
              <w:bottom w:val="single" w:sz="4" w:space="0" w:color="000000"/>
            </w:tcBorders>
            <w:shd w:val="clear" w:color="auto" w:fill="auto"/>
          </w:tcPr>
          <w:p w14:paraId="27B4415B" w14:textId="77777777" w:rsidR="00D17561" w:rsidRPr="0094668E" w:rsidRDefault="00D17561" w:rsidP="00EB71A9">
            <w:pPr>
              <w:spacing w:before="120" w:after="120"/>
              <w:ind w:left="247" w:hanging="247"/>
              <w:rPr>
                <w:b/>
                <w:sz w:val="18"/>
                <w:szCs w:val="18"/>
              </w:rPr>
            </w:pPr>
          </w:p>
        </w:tc>
        <w:tc>
          <w:tcPr>
            <w:tcW w:w="1542" w:type="dxa"/>
            <w:gridSpan w:val="2"/>
            <w:tcBorders>
              <w:bottom w:val="single" w:sz="4" w:space="0" w:color="000000"/>
            </w:tcBorders>
            <w:shd w:val="clear" w:color="auto" w:fill="auto"/>
          </w:tcPr>
          <w:p w14:paraId="493C0511" w14:textId="77777777" w:rsidR="00D17561" w:rsidRPr="005B66A1" w:rsidRDefault="00D17561" w:rsidP="00EB71A9">
            <w:pPr>
              <w:spacing w:after="0"/>
              <w:jc w:val="center"/>
              <w:rPr>
                <w:sz w:val="18"/>
                <w:szCs w:val="18"/>
              </w:rPr>
            </w:pPr>
            <w:r w:rsidRPr="005B66A1">
              <w:rPr>
                <w:sz w:val="18"/>
                <w:szCs w:val="18"/>
              </w:rPr>
              <w:t>Evidence</w:t>
            </w:r>
          </w:p>
          <w:p w14:paraId="1E9B422E" w14:textId="77777777" w:rsidR="00D17561" w:rsidRPr="005B66A1" w:rsidRDefault="00D17561" w:rsidP="00EB71A9">
            <w:pPr>
              <w:spacing w:after="0"/>
              <w:jc w:val="center"/>
              <w:rPr>
                <w:sz w:val="18"/>
                <w:szCs w:val="18"/>
              </w:rPr>
            </w:pPr>
            <w:r w:rsidRPr="005B66A1">
              <w:rPr>
                <w:sz w:val="18"/>
                <w:szCs w:val="18"/>
              </w:rPr>
              <w:t>Total budget and work-plan of page 67</w:t>
            </w:r>
          </w:p>
          <w:p w14:paraId="4546B2DB" w14:textId="77777777" w:rsidR="00D17561" w:rsidRPr="0094668E" w:rsidRDefault="00D17561" w:rsidP="00EB71A9">
            <w:pPr>
              <w:spacing w:after="0"/>
              <w:jc w:val="center"/>
              <w:rPr>
                <w:sz w:val="18"/>
                <w:szCs w:val="18"/>
              </w:rPr>
            </w:pPr>
            <w:r w:rsidRPr="005B66A1">
              <w:rPr>
                <w:sz w:val="18"/>
                <w:szCs w:val="18"/>
              </w:rPr>
              <w:t>Annex 11  Multi Year Work plan page 150</w:t>
            </w:r>
          </w:p>
        </w:tc>
      </w:tr>
      <w:tr w:rsidR="00D17561" w:rsidRPr="0094668E" w14:paraId="2E4C2EF2" w14:textId="77777777" w:rsidTr="00EB71A9">
        <w:trPr>
          <w:trHeight w:val="440"/>
        </w:trPr>
        <w:tc>
          <w:tcPr>
            <w:tcW w:w="10694" w:type="dxa"/>
            <w:gridSpan w:val="9"/>
            <w:shd w:val="clear" w:color="auto" w:fill="C2D69B"/>
            <w:vAlign w:val="center"/>
          </w:tcPr>
          <w:p w14:paraId="25E71CE4" w14:textId="77777777" w:rsidR="00D17561" w:rsidRPr="0094668E" w:rsidRDefault="00D17561" w:rsidP="00EB71A9">
            <w:pPr>
              <w:pStyle w:val="ListParagraph"/>
              <w:spacing w:before="20" w:after="20"/>
              <w:ind w:left="162"/>
              <w:rPr>
                <w:rFonts w:ascii="Calibri" w:hAnsi="Calibri"/>
                <w:b/>
                <w:sz w:val="18"/>
                <w:szCs w:val="20"/>
              </w:rPr>
            </w:pPr>
            <w:r w:rsidRPr="0094668E">
              <w:rPr>
                <w:rFonts w:ascii="Calibri" w:hAnsi="Calibri"/>
                <w:b/>
                <w:smallCaps/>
                <w:sz w:val="28"/>
                <w:szCs w:val="20"/>
              </w:rPr>
              <w:t>Sustainability &amp; National Ownership</w:t>
            </w:r>
          </w:p>
        </w:tc>
      </w:tr>
      <w:tr w:rsidR="00D17561" w:rsidRPr="0094668E" w14:paraId="234F4713" w14:textId="77777777" w:rsidTr="00EB71A9">
        <w:trPr>
          <w:trHeight w:val="233"/>
        </w:trPr>
        <w:tc>
          <w:tcPr>
            <w:tcW w:w="9152" w:type="dxa"/>
            <w:gridSpan w:val="7"/>
            <w:vMerge w:val="restart"/>
            <w:shd w:val="clear" w:color="auto" w:fill="auto"/>
          </w:tcPr>
          <w:p w14:paraId="3BB1C4C5" w14:textId="77777777" w:rsidR="00D17561" w:rsidRPr="0094668E" w:rsidRDefault="00D17561" w:rsidP="00EB71A9">
            <w:pPr>
              <w:spacing w:before="120" w:after="20"/>
              <w:ind w:left="247" w:hanging="247"/>
              <w:rPr>
                <w:b/>
                <w:sz w:val="18"/>
                <w:szCs w:val="18"/>
              </w:rPr>
            </w:pPr>
            <w:r w:rsidRPr="0094668E">
              <w:rPr>
                <w:b/>
                <w:sz w:val="18"/>
                <w:szCs w:val="18"/>
              </w:rPr>
              <w:t>23. Have national partners led, or proactively engaged in, the design of the project? (select from options 1-3 that best reflects this project):</w:t>
            </w:r>
          </w:p>
          <w:p w14:paraId="2DD67EA7" w14:textId="77777777" w:rsidR="00D17561" w:rsidRPr="0094668E" w:rsidRDefault="00D17561" w:rsidP="00D17561">
            <w:pPr>
              <w:pStyle w:val="ListParagraph"/>
              <w:numPr>
                <w:ilvl w:val="0"/>
                <w:numId w:val="200"/>
              </w:numPr>
              <w:spacing w:before="20" w:after="20"/>
              <w:ind w:left="607" w:hanging="270"/>
              <w:rPr>
                <w:rFonts w:ascii="Calibri" w:hAnsi="Calibri"/>
                <w:sz w:val="18"/>
                <w:szCs w:val="18"/>
              </w:rPr>
            </w:pPr>
            <w:r w:rsidRPr="0094668E">
              <w:rPr>
                <w:rFonts w:ascii="Calibri" w:hAnsi="Calibri"/>
                <w:b/>
                <w:sz w:val="18"/>
                <w:szCs w:val="18"/>
                <w:u w:val="single"/>
              </w:rPr>
              <w:t>3:</w:t>
            </w:r>
            <w:r w:rsidRPr="0094668E">
              <w:rPr>
                <w:rFonts w:ascii="Calibri" w:hAnsi="Calibri"/>
                <w:sz w:val="18"/>
                <w:szCs w:val="18"/>
              </w:rPr>
              <w:t xml:space="preserve"> National partners have full ownership of the project and led the process of the development of the project jointly with UNDP.</w:t>
            </w:r>
          </w:p>
          <w:p w14:paraId="18C59247" w14:textId="77777777" w:rsidR="00D17561" w:rsidRPr="0094668E" w:rsidRDefault="00D17561" w:rsidP="00D17561">
            <w:pPr>
              <w:pStyle w:val="ListParagraph"/>
              <w:numPr>
                <w:ilvl w:val="0"/>
                <w:numId w:val="200"/>
              </w:numPr>
              <w:spacing w:before="20" w:after="20"/>
              <w:ind w:left="607" w:hanging="270"/>
              <w:rPr>
                <w:rFonts w:ascii="Calibri" w:hAnsi="Calibri"/>
                <w:sz w:val="18"/>
                <w:szCs w:val="18"/>
              </w:rPr>
            </w:pPr>
            <w:r w:rsidRPr="0094668E">
              <w:rPr>
                <w:rFonts w:ascii="Calibri" w:hAnsi="Calibri"/>
                <w:b/>
                <w:sz w:val="18"/>
                <w:szCs w:val="18"/>
                <w:u w:val="single"/>
              </w:rPr>
              <w:t>2:</w:t>
            </w:r>
            <w:r w:rsidRPr="0094668E">
              <w:rPr>
                <w:rFonts w:ascii="Calibri" w:hAnsi="Calibri"/>
                <w:sz w:val="18"/>
                <w:szCs w:val="18"/>
              </w:rPr>
              <w:t xml:space="preserve"> The project has been developed by UNDP in close consultation with national partners.</w:t>
            </w:r>
          </w:p>
          <w:p w14:paraId="6E897DD0" w14:textId="77777777" w:rsidR="00D17561" w:rsidRPr="0094668E" w:rsidRDefault="00D17561" w:rsidP="00D17561">
            <w:pPr>
              <w:pStyle w:val="ListParagraph"/>
              <w:numPr>
                <w:ilvl w:val="0"/>
                <w:numId w:val="200"/>
              </w:numPr>
              <w:spacing w:before="20" w:after="20"/>
              <w:ind w:left="607" w:hanging="270"/>
              <w:rPr>
                <w:rFonts w:ascii="Calibri" w:hAnsi="Calibri"/>
                <w:sz w:val="18"/>
                <w:szCs w:val="18"/>
              </w:rPr>
            </w:pPr>
            <w:r w:rsidRPr="0094668E">
              <w:rPr>
                <w:rFonts w:ascii="Calibri" w:hAnsi="Calibri"/>
                <w:b/>
                <w:sz w:val="18"/>
                <w:szCs w:val="18"/>
                <w:u w:val="single"/>
              </w:rPr>
              <w:t>1:</w:t>
            </w:r>
            <w:r w:rsidRPr="0094668E">
              <w:rPr>
                <w:rFonts w:ascii="Calibri" w:hAnsi="Calibri"/>
                <w:sz w:val="18"/>
                <w:szCs w:val="18"/>
              </w:rPr>
              <w:t xml:space="preserve"> The project has been developed by UNDP with limited or no engagement with national partners.</w:t>
            </w:r>
          </w:p>
        </w:tc>
        <w:tc>
          <w:tcPr>
            <w:tcW w:w="496" w:type="dxa"/>
            <w:shd w:val="clear" w:color="auto" w:fill="auto"/>
          </w:tcPr>
          <w:p w14:paraId="2BAC9477" w14:textId="77777777" w:rsidR="00D17561" w:rsidRPr="0094668E" w:rsidRDefault="00D17561" w:rsidP="00EB71A9">
            <w:pPr>
              <w:spacing w:after="0"/>
              <w:jc w:val="center"/>
              <w:rPr>
                <w:sz w:val="18"/>
                <w:szCs w:val="18"/>
              </w:rPr>
            </w:pPr>
            <w:r w:rsidRPr="0094668E">
              <w:rPr>
                <w:sz w:val="18"/>
                <w:szCs w:val="18"/>
              </w:rPr>
              <w:t>3</w:t>
            </w:r>
          </w:p>
        </w:tc>
        <w:tc>
          <w:tcPr>
            <w:tcW w:w="1046" w:type="dxa"/>
            <w:shd w:val="clear" w:color="auto" w:fill="auto"/>
          </w:tcPr>
          <w:p w14:paraId="16C87578" w14:textId="77777777" w:rsidR="00D17561" w:rsidRPr="008E05B6" w:rsidRDefault="00D17561" w:rsidP="00EB71A9">
            <w:pPr>
              <w:spacing w:after="0"/>
              <w:jc w:val="center"/>
              <w:rPr>
                <w:rFonts w:ascii="Times New Roman" w:hAnsi="Times New Roman"/>
                <w:b/>
              </w:rPr>
            </w:pPr>
            <w:r w:rsidRPr="008E05B6">
              <w:rPr>
                <w:rFonts w:ascii="Times New Roman" w:hAnsi="Times New Roman"/>
                <w:b/>
                <w:highlight w:val="yellow"/>
              </w:rPr>
              <w:t>2</w:t>
            </w:r>
          </w:p>
        </w:tc>
      </w:tr>
      <w:tr w:rsidR="00D17561" w:rsidRPr="0094668E" w14:paraId="4FA16A33" w14:textId="77777777" w:rsidTr="00EB71A9">
        <w:trPr>
          <w:trHeight w:val="152"/>
        </w:trPr>
        <w:tc>
          <w:tcPr>
            <w:tcW w:w="9152" w:type="dxa"/>
            <w:gridSpan w:val="7"/>
            <w:vMerge/>
            <w:shd w:val="clear" w:color="auto" w:fill="auto"/>
          </w:tcPr>
          <w:p w14:paraId="33666C82" w14:textId="77777777" w:rsidR="00D17561" w:rsidRPr="0094668E" w:rsidRDefault="00D17561" w:rsidP="00EB71A9">
            <w:pPr>
              <w:spacing w:before="120" w:after="20"/>
              <w:ind w:left="247" w:hanging="247"/>
              <w:rPr>
                <w:b/>
                <w:sz w:val="18"/>
                <w:szCs w:val="18"/>
              </w:rPr>
            </w:pPr>
          </w:p>
        </w:tc>
        <w:tc>
          <w:tcPr>
            <w:tcW w:w="1542" w:type="dxa"/>
            <w:gridSpan w:val="2"/>
            <w:shd w:val="clear" w:color="auto" w:fill="auto"/>
          </w:tcPr>
          <w:p w14:paraId="7B5D9170" w14:textId="77777777" w:rsidR="00D17561" w:rsidRPr="0094668E" w:rsidRDefault="00D17561" w:rsidP="00EB71A9">
            <w:pPr>
              <w:spacing w:after="0"/>
              <w:jc w:val="center"/>
              <w:rPr>
                <w:sz w:val="18"/>
                <w:szCs w:val="18"/>
              </w:rPr>
            </w:pPr>
            <w:r w:rsidRPr="0094668E">
              <w:rPr>
                <w:sz w:val="18"/>
                <w:szCs w:val="18"/>
              </w:rPr>
              <w:t>1</w:t>
            </w:r>
          </w:p>
        </w:tc>
      </w:tr>
      <w:tr w:rsidR="00D17561" w:rsidRPr="0094668E" w14:paraId="21631C39" w14:textId="77777777" w:rsidTr="00EB71A9">
        <w:trPr>
          <w:trHeight w:val="555"/>
        </w:trPr>
        <w:tc>
          <w:tcPr>
            <w:tcW w:w="9152" w:type="dxa"/>
            <w:gridSpan w:val="7"/>
            <w:vMerge/>
            <w:shd w:val="clear" w:color="auto" w:fill="auto"/>
          </w:tcPr>
          <w:p w14:paraId="7E7411BF" w14:textId="77777777" w:rsidR="00D17561" w:rsidRPr="0094668E" w:rsidRDefault="00D17561" w:rsidP="00EB71A9">
            <w:pPr>
              <w:spacing w:before="120" w:after="20"/>
              <w:ind w:left="247" w:hanging="247"/>
              <w:rPr>
                <w:b/>
                <w:sz w:val="18"/>
                <w:szCs w:val="18"/>
              </w:rPr>
            </w:pPr>
          </w:p>
        </w:tc>
        <w:tc>
          <w:tcPr>
            <w:tcW w:w="1542" w:type="dxa"/>
            <w:gridSpan w:val="2"/>
            <w:shd w:val="clear" w:color="auto" w:fill="auto"/>
          </w:tcPr>
          <w:p w14:paraId="45D9C9D1" w14:textId="77777777" w:rsidR="00D17561" w:rsidRDefault="00D17561" w:rsidP="00EB71A9">
            <w:pPr>
              <w:spacing w:after="0"/>
              <w:jc w:val="center"/>
              <w:rPr>
                <w:b/>
                <w:sz w:val="18"/>
                <w:szCs w:val="18"/>
              </w:rPr>
            </w:pPr>
            <w:r w:rsidRPr="0094668E">
              <w:rPr>
                <w:b/>
                <w:sz w:val="18"/>
                <w:szCs w:val="18"/>
              </w:rPr>
              <w:t>Evidence</w:t>
            </w:r>
          </w:p>
          <w:p w14:paraId="4F203376" w14:textId="77777777" w:rsidR="00D17561" w:rsidRPr="0094668E" w:rsidRDefault="00D17561" w:rsidP="00EB71A9">
            <w:pPr>
              <w:spacing w:after="0"/>
              <w:jc w:val="center"/>
              <w:rPr>
                <w:sz w:val="18"/>
                <w:szCs w:val="18"/>
              </w:rPr>
            </w:pPr>
            <w:r>
              <w:rPr>
                <w:b/>
                <w:sz w:val="18"/>
                <w:szCs w:val="18"/>
              </w:rPr>
              <w:t>Reflected as per stakeholder roles of page 67</w:t>
            </w:r>
          </w:p>
        </w:tc>
      </w:tr>
      <w:tr w:rsidR="00D17561" w:rsidRPr="0094668E" w14:paraId="7FFB8A2F" w14:textId="77777777" w:rsidTr="00EB71A9">
        <w:trPr>
          <w:trHeight w:val="206"/>
        </w:trPr>
        <w:tc>
          <w:tcPr>
            <w:tcW w:w="9152" w:type="dxa"/>
            <w:gridSpan w:val="7"/>
            <w:vMerge w:val="restart"/>
            <w:shd w:val="clear" w:color="auto" w:fill="auto"/>
          </w:tcPr>
          <w:p w14:paraId="723E6ED3" w14:textId="77777777" w:rsidR="00D17561" w:rsidRPr="0094668E" w:rsidRDefault="00D17561" w:rsidP="00EB71A9">
            <w:pPr>
              <w:spacing w:before="120" w:after="20"/>
              <w:ind w:left="245" w:hanging="245"/>
              <w:rPr>
                <w:b/>
                <w:sz w:val="18"/>
                <w:szCs w:val="18"/>
              </w:rPr>
            </w:pPr>
            <w:r w:rsidRPr="0094668E">
              <w:rPr>
                <w:b/>
                <w:sz w:val="18"/>
                <w:szCs w:val="18"/>
              </w:rPr>
              <w:t>24. Are key institutions and systems identified, and is there a strategy for strengthening specific/ comprehensive capacities based on capacity assessments conducted? (select from options 0-4 that best reflects this project):</w:t>
            </w:r>
          </w:p>
          <w:p w14:paraId="602E96BA" w14:textId="77777777" w:rsidR="00D17561" w:rsidRPr="0094668E" w:rsidRDefault="00D17561" w:rsidP="00D17561">
            <w:pPr>
              <w:pStyle w:val="ListParagraph"/>
              <w:numPr>
                <w:ilvl w:val="0"/>
                <w:numId w:val="200"/>
              </w:numPr>
              <w:spacing w:before="20" w:after="20"/>
              <w:ind w:left="607" w:hanging="270"/>
              <w:rPr>
                <w:rFonts w:ascii="Calibri" w:hAnsi="Calibri"/>
                <w:sz w:val="18"/>
                <w:szCs w:val="18"/>
              </w:rPr>
            </w:pPr>
            <w:r w:rsidRPr="0094668E">
              <w:rPr>
                <w:rFonts w:ascii="Calibri" w:hAnsi="Calibri"/>
                <w:b/>
                <w:sz w:val="18"/>
                <w:szCs w:val="18"/>
                <w:u w:val="single"/>
              </w:rPr>
              <w:t>3:</w:t>
            </w:r>
            <w:r w:rsidRPr="0094668E">
              <w:rPr>
                <w:rFonts w:ascii="Calibri" w:hAnsi="Calibri"/>
                <w:sz w:val="18"/>
                <w:szCs w:val="18"/>
              </w:rPr>
              <w:t xml:space="preserve"> The project has a comprehensive strategy for strengthening specific capacities of national institutions based on a systematic and detailed capacity assessment that has been completed. This strategy includes an approach to regularly monitor national capacities using clear indicators and rigorous methods of data collection, and adjust the strategy to strengthen national capacities accordingly.</w:t>
            </w:r>
          </w:p>
          <w:p w14:paraId="765943FF" w14:textId="77777777" w:rsidR="00D17561" w:rsidRPr="0094668E" w:rsidRDefault="00D17561" w:rsidP="00D17561">
            <w:pPr>
              <w:pStyle w:val="ListParagraph"/>
              <w:numPr>
                <w:ilvl w:val="0"/>
                <w:numId w:val="200"/>
              </w:numPr>
              <w:spacing w:before="20" w:after="20"/>
              <w:ind w:left="607" w:hanging="270"/>
              <w:rPr>
                <w:rFonts w:ascii="Calibri" w:hAnsi="Calibri"/>
                <w:sz w:val="18"/>
                <w:szCs w:val="18"/>
              </w:rPr>
            </w:pPr>
            <w:r w:rsidRPr="0094668E">
              <w:rPr>
                <w:rFonts w:ascii="Calibri" w:hAnsi="Calibri"/>
                <w:b/>
                <w:sz w:val="18"/>
                <w:szCs w:val="18"/>
                <w:u w:val="single"/>
              </w:rPr>
              <w:t>2.5:</w:t>
            </w:r>
            <w:r w:rsidRPr="0094668E">
              <w:rPr>
                <w:rFonts w:ascii="Calibri" w:hAnsi="Calibri"/>
                <w:sz w:val="18"/>
                <w:szCs w:val="18"/>
              </w:rPr>
              <w:t xml:space="preserve"> A capacity assessment has been completed. The project document has identified activities that will be undertaken to strengthen capacity of national institutions, but these activities are not part of a comprehensive strategy to monitor and strengthen national capacities.</w:t>
            </w:r>
          </w:p>
          <w:p w14:paraId="59927317" w14:textId="77777777" w:rsidR="00D17561" w:rsidRPr="0094668E" w:rsidRDefault="00D17561" w:rsidP="00D17561">
            <w:pPr>
              <w:pStyle w:val="ListParagraph"/>
              <w:numPr>
                <w:ilvl w:val="0"/>
                <w:numId w:val="200"/>
              </w:numPr>
              <w:spacing w:before="20" w:after="20"/>
              <w:ind w:left="607" w:hanging="270"/>
              <w:rPr>
                <w:rFonts w:ascii="Calibri" w:hAnsi="Calibri"/>
                <w:sz w:val="18"/>
                <w:szCs w:val="18"/>
              </w:rPr>
            </w:pPr>
            <w:r w:rsidRPr="0094668E">
              <w:rPr>
                <w:rFonts w:ascii="Calibri" w:hAnsi="Calibri"/>
                <w:b/>
                <w:sz w:val="18"/>
                <w:szCs w:val="18"/>
                <w:u w:val="single"/>
              </w:rPr>
              <w:t>2:</w:t>
            </w:r>
            <w:r w:rsidRPr="0094668E">
              <w:rPr>
                <w:rFonts w:ascii="Calibri" w:hAnsi="Calibri"/>
                <w:sz w:val="18"/>
                <w:szCs w:val="18"/>
              </w:rPr>
              <w:t xml:space="preserve"> A capacity assessment is planned after the start of the project. There are plans to develop a strategy to strengthen specific capacities of national institutions based on the results of the capacity assessment.</w:t>
            </w:r>
          </w:p>
          <w:p w14:paraId="62561118" w14:textId="77777777" w:rsidR="00D17561" w:rsidRPr="0094668E" w:rsidRDefault="00D17561" w:rsidP="00D17561">
            <w:pPr>
              <w:pStyle w:val="ListParagraph"/>
              <w:numPr>
                <w:ilvl w:val="0"/>
                <w:numId w:val="200"/>
              </w:numPr>
              <w:spacing w:before="20" w:after="20"/>
              <w:ind w:left="607" w:hanging="270"/>
              <w:rPr>
                <w:rFonts w:ascii="Calibri" w:hAnsi="Calibri"/>
                <w:sz w:val="18"/>
                <w:szCs w:val="18"/>
              </w:rPr>
            </w:pPr>
            <w:r w:rsidRPr="0094668E">
              <w:rPr>
                <w:rFonts w:ascii="Calibri" w:hAnsi="Calibri"/>
                <w:b/>
                <w:sz w:val="18"/>
                <w:szCs w:val="18"/>
                <w:u w:val="single"/>
              </w:rPr>
              <w:t>1.5:</w:t>
            </w:r>
            <w:r w:rsidRPr="0094668E">
              <w:rPr>
                <w:rFonts w:ascii="Calibri" w:hAnsi="Calibri"/>
                <w:sz w:val="18"/>
                <w:szCs w:val="18"/>
              </w:rPr>
              <w:t xml:space="preserve"> There is mention in the project document of capacities of national institutions to be strengthened through the project, but no capacity assessments or specific strategy development are planned.</w:t>
            </w:r>
          </w:p>
          <w:p w14:paraId="1ADABA76" w14:textId="77777777" w:rsidR="00D17561" w:rsidRPr="0094668E" w:rsidRDefault="00D17561" w:rsidP="00D17561">
            <w:pPr>
              <w:pStyle w:val="ListParagraph"/>
              <w:numPr>
                <w:ilvl w:val="0"/>
                <w:numId w:val="200"/>
              </w:numPr>
              <w:spacing w:before="20" w:after="60"/>
              <w:ind w:left="605" w:hanging="274"/>
              <w:rPr>
                <w:rFonts w:ascii="Calibri" w:hAnsi="Calibri"/>
                <w:sz w:val="18"/>
                <w:szCs w:val="18"/>
              </w:rPr>
            </w:pPr>
            <w:r w:rsidRPr="0094668E">
              <w:rPr>
                <w:rFonts w:ascii="Calibri" w:hAnsi="Calibri"/>
                <w:b/>
                <w:sz w:val="18"/>
                <w:szCs w:val="18"/>
                <w:u w:val="single"/>
              </w:rPr>
              <w:t>1:</w:t>
            </w:r>
            <w:r w:rsidRPr="0094668E">
              <w:rPr>
                <w:rFonts w:ascii="Calibri" w:hAnsi="Calibri"/>
                <w:sz w:val="18"/>
                <w:szCs w:val="18"/>
              </w:rPr>
              <w:t xml:space="preserve"> Capacity assessments have not been carried out and are not foreseen. There is no strategy for strengthening specific capacities of national institutions.</w:t>
            </w:r>
          </w:p>
        </w:tc>
        <w:tc>
          <w:tcPr>
            <w:tcW w:w="496" w:type="dxa"/>
            <w:shd w:val="clear" w:color="auto" w:fill="auto"/>
          </w:tcPr>
          <w:p w14:paraId="542FF431" w14:textId="77777777" w:rsidR="00D17561" w:rsidRPr="0094668E" w:rsidRDefault="00D17561" w:rsidP="00EB71A9">
            <w:pPr>
              <w:spacing w:after="0"/>
              <w:jc w:val="center"/>
              <w:rPr>
                <w:sz w:val="18"/>
                <w:szCs w:val="18"/>
              </w:rPr>
            </w:pPr>
            <w:r w:rsidRPr="0094668E">
              <w:rPr>
                <w:sz w:val="18"/>
                <w:szCs w:val="18"/>
              </w:rPr>
              <w:t>3</w:t>
            </w:r>
          </w:p>
        </w:tc>
        <w:tc>
          <w:tcPr>
            <w:tcW w:w="1046" w:type="dxa"/>
            <w:shd w:val="clear" w:color="auto" w:fill="auto"/>
          </w:tcPr>
          <w:p w14:paraId="4EB7E5E6" w14:textId="77777777" w:rsidR="00D17561" w:rsidRPr="008E05B6" w:rsidRDefault="00D17561" w:rsidP="00EB71A9">
            <w:pPr>
              <w:spacing w:after="0"/>
              <w:rPr>
                <w:b/>
              </w:rPr>
            </w:pPr>
            <w:r w:rsidRPr="008E05B6">
              <w:rPr>
                <w:b/>
                <w:highlight w:val="yellow"/>
              </w:rPr>
              <w:t>2.5</w:t>
            </w:r>
          </w:p>
        </w:tc>
      </w:tr>
      <w:tr w:rsidR="00D17561" w:rsidRPr="0094668E" w14:paraId="5327982E" w14:textId="77777777" w:rsidTr="00EB71A9">
        <w:trPr>
          <w:trHeight w:val="161"/>
        </w:trPr>
        <w:tc>
          <w:tcPr>
            <w:tcW w:w="9152" w:type="dxa"/>
            <w:gridSpan w:val="7"/>
            <w:vMerge/>
            <w:shd w:val="clear" w:color="auto" w:fill="auto"/>
          </w:tcPr>
          <w:p w14:paraId="6FF120E9" w14:textId="77777777" w:rsidR="00D17561" w:rsidRPr="0094668E" w:rsidRDefault="00D17561" w:rsidP="00EB71A9">
            <w:pPr>
              <w:spacing w:before="120" w:after="20"/>
              <w:ind w:left="245" w:hanging="245"/>
              <w:rPr>
                <w:b/>
                <w:sz w:val="18"/>
                <w:szCs w:val="18"/>
              </w:rPr>
            </w:pPr>
          </w:p>
        </w:tc>
        <w:tc>
          <w:tcPr>
            <w:tcW w:w="496" w:type="dxa"/>
            <w:shd w:val="clear" w:color="auto" w:fill="auto"/>
          </w:tcPr>
          <w:p w14:paraId="108883F5" w14:textId="77777777" w:rsidR="00D17561" w:rsidRPr="0094668E" w:rsidRDefault="00D17561" w:rsidP="00EB71A9">
            <w:pPr>
              <w:spacing w:after="0"/>
              <w:jc w:val="center"/>
              <w:rPr>
                <w:sz w:val="18"/>
                <w:szCs w:val="18"/>
              </w:rPr>
            </w:pPr>
            <w:r w:rsidRPr="0094668E">
              <w:rPr>
                <w:sz w:val="18"/>
                <w:szCs w:val="18"/>
              </w:rPr>
              <w:t>2</w:t>
            </w:r>
          </w:p>
        </w:tc>
        <w:tc>
          <w:tcPr>
            <w:tcW w:w="1046" w:type="dxa"/>
            <w:shd w:val="clear" w:color="auto" w:fill="auto"/>
          </w:tcPr>
          <w:p w14:paraId="603B047A" w14:textId="77777777" w:rsidR="00D17561" w:rsidRPr="0094668E" w:rsidRDefault="00D17561" w:rsidP="00EB71A9">
            <w:pPr>
              <w:spacing w:after="0"/>
              <w:jc w:val="center"/>
              <w:rPr>
                <w:sz w:val="18"/>
                <w:szCs w:val="18"/>
              </w:rPr>
            </w:pPr>
            <w:r w:rsidRPr="0094668E">
              <w:rPr>
                <w:sz w:val="18"/>
                <w:szCs w:val="18"/>
              </w:rPr>
              <w:t>1.5</w:t>
            </w:r>
          </w:p>
        </w:tc>
      </w:tr>
      <w:tr w:rsidR="00D17561" w:rsidRPr="0094668E" w14:paraId="6C1AA7E0" w14:textId="77777777" w:rsidTr="00EB71A9">
        <w:trPr>
          <w:trHeight w:val="242"/>
        </w:trPr>
        <w:tc>
          <w:tcPr>
            <w:tcW w:w="9152" w:type="dxa"/>
            <w:gridSpan w:val="7"/>
            <w:vMerge/>
            <w:shd w:val="clear" w:color="auto" w:fill="auto"/>
          </w:tcPr>
          <w:p w14:paraId="31061113" w14:textId="77777777" w:rsidR="00D17561" w:rsidRPr="0094668E" w:rsidRDefault="00D17561" w:rsidP="00EB71A9">
            <w:pPr>
              <w:spacing w:before="120" w:after="20"/>
              <w:ind w:left="245" w:hanging="245"/>
              <w:rPr>
                <w:b/>
                <w:sz w:val="18"/>
                <w:szCs w:val="18"/>
              </w:rPr>
            </w:pPr>
          </w:p>
        </w:tc>
        <w:tc>
          <w:tcPr>
            <w:tcW w:w="1542" w:type="dxa"/>
            <w:gridSpan w:val="2"/>
            <w:shd w:val="clear" w:color="auto" w:fill="auto"/>
          </w:tcPr>
          <w:p w14:paraId="50C9E31D" w14:textId="77777777" w:rsidR="00D17561" w:rsidRPr="0094668E" w:rsidRDefault="00D17561" w:rsidP="00EB71A9">
            <w:pPr>
              <w:spacing w:after="0"/>
              <w:jc w:val="center"/>
              <w:rPr>
                <w:sz w:val="18"/>
                <w:szCs w:val="18"/>
              </w:rPr>
            </w:pPr>
            <w:r w:rsidRPr="0094668E">
              <w:rPr>
                <w:sz w:val="18"/>
                <w:szCs w:val="18"/>
              </w:rPr>
              <w:t>1</w:t>
            </w:r>
          </w:p>
        </w:tc>
      </w:tr>
      <w:tr w:rsidR="00D17561" w:rsidRPr="0094668E" w14:paraId="6448A928" w14:textId="77777777" w:rsidTr="00EB71A9">
        <w:trPr>
          <w:trHeight w:val="1105"/>
        </w:trPr>
        <w:tc>
          <w:tcPr>
            <w:tcW w:w="9152" w:type="dxa"/>
            <w:gridSpan w:val="7"/>
            <w:vMerge/>
            <w:shd w:val="clear" w:color="auto" w:fill="auto"/>
          </w:tcPr>
          <w:p w14:paraId="55A71C22" w14:textId="77777777" w:rsidR="00D17561" w:rsidRPr="0094668E" w:rsidRDefault="00D17561" w:rsidP="00EB71A9">
            <w:pPr>
              <w:spacing w:before="120" w:after="20"/>
              <w:ind w:left="245" w:hanging="245"/>
              <w:rPr>
                <w:b/>
                <w:sz w:val="18"/>
                <w:szCs w:val="18"/>
              </w:rPr>
            </w:pPr>
          </w:p>
        </w:tc>
        <w:tc>
          <w:tcPr>
            <w:tcW w:w="1542" w:type="dxa"/>
            <w:gridSpan w:val="2"/>
            <w:shd w:val="clear" w:color="auto" w:fill="auto"/>
          </w:tcPr>
          <w:p w14:paraId="06EF2397" w14:textId="77777777" w:rsidR="00D17561" w:rsidRDefault="00D17561" w:rsidP="00EB71A9">
            <w:pPr>
              <w:spacing w:after="0"/>
              <w:jc w:val="center"/>
              <w:rPr>
                <w:b/>
                <w:sz w:val="18"/>
                <w:szCs w:val="18"/>
              </w:rPr>
            </w:pPr>
            <w:r w:rsidRPr="0094668E">
              <w:rPr>
                <w:b/>
                <w:sz w:val="18"/>
                <w:szCs w:val="18"/>
              </w:rPr>
              <w:t>Evidence</w:t>
            </w:r>
          </w:p>
          <w:p w14:paraId="1F35062A" w14:textId="77777777" w:rsidR="00D17561" w:rsidRDefault="00D17561" w:rsidP="00EB71A9">
            <w:pPr>
              <w:spacing w:after="0"/>
              <w:jc w:val="center"/>
              <w:rPr>
                <w:b/>
                <w:sz w:val="18"/>
                <w:szCs w:val="18"/>
              </w:rPr>
            </w:pPr>
          </w:p>
          <w:p w14:paraId="503A3679" w14:textId="77777777" w:rsidR="00D17561" w:rsidRPr="0094668E" w:rsidRDefault="00D17561" w:rsidP="00EB71A9">
            <w:pPr>
              <w:spacing w:after="0"/>
              <w:jc w:val="center"/>
              <w:rPr>
                <w:sz w:val="18"/>
                <w:szCs w:val="18"/>
              </w:rPr>
            </w:pPr>
            <w:r>
              <w:rPr>
                <w:b/>
                <w:sz w:val="18"/>
                <w:szCs w:val="18"/>
              </w:rPr>
              <w:t>Refer to annexes  6 on page 111 of communication strategy, gender mainstream action plan of page 104,annex 4 page 96,annex 3 page 83,</w:t>
            </w:r>
          </w:p>
        </w:tc>
      </w:tr>
      <w:tr w:rsidR="00D17561" w:rsidRPr="0094668E" w14:paraId="43C768E4" w14:textId="77777777" w:rsidTr="00EB71A9">
        <w:trPr>
          <w:trHeight w:val="52"/>
        </w:trPr>
        <w:tc>
          <w:tcPr>
            <w:tcW w:w="9152" w:type="dxa"/>
            <w:gridSpan w:val="7"/>
            <w:shd w:val="clear" w:color="auto" w:fill="auto"/>
          </w:tcPr>
          <w:p w14:paraId="528E3E45" w14:textId="77777777" w:rsidR="00D17561" w:rsidRPr="0094668E" w:rsidRDefault="00D17561" w:rsidP="00EB71A9">
            <w:pPr>
              <w:spacing w:before="120" w:after="120"/>
              <w:ind w:left="247" w:hanging="247"/>
              <w:rPr>
                <w:b/>
                <w:sz w:val="18"/>
                <w:szCs w:val="18"/>
              </w:rPr>
            </w:pPr>
            <w:r w:rsidRPr="0094668E">
              <w:rPr>
                <w:b/>
                <w:sz w:val="18"/>
                <w:szCs w:val="18"/>
              </w:rPr>
              <w:t>25. Is there is a clear strategy embedded in the project specifying how the project will use national systems (i.e., procurement, monitoring, evaluations, etc.,) to the extent possible?</w:t>
            </w:r>
          </w:p>
        </w:tc>
        <w:tc>
          <w:tcPr>
            <w:tcW w:w="496" w:type="dxa"/>
            <w:shd w:val="clear" w:color="auto" w:fill="auto"/>
            <w:vAlign w:val="center"/>
          </w:tcPr>
          <w:p w14:paraId="35F7B5A2" w14:textId="77777777" w:rsidR="00D17561" w:rsidRPr="0094668E" w:rsidRDefault="00D17561" w:rsidP="00EB71A9">
            <w:pPr>
              <w:spacing w:after="0"/>
              <w:jc w:val="center"/>
              <w:rPr>
                <w:sz w:val="18"/>
                <w:szCs w:val="18"/>
              </w:rPr>
            </w:pPr>
            <w:r w:rsidRPr="008E05B6">
              <w:rPr>
                <w:sz w:val="18"/>
                <w:szCs w:val="18"/>
                <w:highlight w:val="yellow"/>
              </w:rPr>
              <w:t>Yes (3)</w:t>
            </w:r>
          </w:p>
        </w:tc>
        <w:tc>
          <w:tcPr>
            <w:tcW w:w="1046" w:type="dxa"/>
            <w:shd w:val="clear" w:color="auto" w:fill="auto"/>
            <w:vAlign w:val="center"/>
          </w:tcPr>
          <w:p w14:paraId="7AFFD626" w14:textId="77777777" w:rsidR="00D17561" w:rsidRPr="0094668E" w:rsidRDefault="00D17561" w:rsidP="00EB71A9">
            <w:pPr>
              <w:spacing w:after="0"/>
              <w:jc w:val="center"/>
              <w:rPr>
                <w:sz w:val="18"/>
                <w:szCs w:val="18"/>
              </w:rPr>
            </w:pPr>
            <w:r w:rsidRPr="0094668E">
              <w:rPr>
                <w:sz w:val="18"/>
                <w:szCs w:val="18"/>
              </w:rPr>
              <w:t>No (1)</w:t>
            </w:r>
          </w:p>
        </w:tc>
      </w:tr>
      <w:tr w:rsidR="00D17561" w:rsidRPr="0094668E" w14:paraId="6FC7A259" w14:textId="77777777" w:rsidTr="00EB71A9">
        <w:trPr>
          <w:trHeight w:val="52"/>
        </w:trPr>
        <w:tc>
          <w:tcPr>
            <w:tcW w:w="9152" w:type="dxa"/>
            <w:gridSpan w:val="7"/>
            <w:tcBorders>
              <w:bottom w:val="single" w:sz="4" w:space="0" w:color="000000"/>
            </w:tcBorders>
            <w:shd w:val="clear" w:color="auto" w:fill="auto"/>
          </w:tcPr>
          <w:p w14:paraId="540FBAAF" w14:textId="77777777" w:rsidR="00D17561" w:rsidRPr="0094668E" w:rsidRDefault="00D17561" w:rsidP="00EB71A9">
            <w:pPr>
              <w:spacing w:before="120" w:after="120"/>
              <w:ind w:left="247" w:hanging="247"/>
              <w:rPr>
                <w:b/>
                <w:color w:val="000000"/>
                <w:sz w:val="18"/>
                <w:szCs w:val="18"/>
              </w:rPr>
            </w:pPr>
            <w:r w:rsidRPr="0094668E">
              <w:rPr>
                <w:b/>
                <w:sz w:val="18"/>
                <w:szCs w:val="18"/>
              </w:rPr>
              <w:t xml:space="preserve">26. Is there a clear transition arrangement/ phase-out plan developed with key stakeholders in order to sustain or scale up results (including resource mobilisation strategy)?  </w:t>
            </w:r>
          </w:p>
        </w:tc>
        <w:tc>
          <w:tcPr>
            <w:tcW w:w="496" w:type="dxa"/>
            <w:tcBorders>
              <w:bottom w:val="single" w:sz="4" w:space="0" w:color="000000"/>
            </w:tcBorders>
            <w:shd w:val="clear" w:color="auto" w:fill="auto"/>
            <w:vAlign w:val="center"/>
          </w:tcPr>
          <w:p w14:paraId="7A79ACD4" w14:textId="77777777" w:rsidR="00D17561" w:rsidRPr="0094668E" w:rsidRDefault="00D17561" w:rsidP="00EB71A9">
            <w:pPr>
              <w:spacing w:after="0"/>
              <w:jc w:val="center"/>
              <w:rPr>
                <w:sz w:val="18"/>
                <w:szCs w:val="18"/>
              </w:rPr>
            </w:pPr>
            <w:r w:rsidRPr="008E05B6">
              <w:rPr>
                <w:sz w:val="18"/>
                <w:szCs w:val="18"/>
                <w:highlight w:val="yellow"/>
              </w:rPr>
              <w:t>Yes (3)</w:t>
            </w:r>
          </w:p>
        </w:tc>
        <w:tc>
          <w:tcPr>
            <w:tcW w:w="1046" w:type="dxa"/>
            <w:tcBorders>
              <w:bottom w:val="single" w:sz="4" w:space="0" w:color="000000"/>
            </w:tcBorders>
            <w:shd w:val="clear" w:color="auto" w:fill="auto"/>
            <w:vAlign w:val="center"/>
          </w:tcPr>
          <w:p w14:paraId="28E83861" w14:textId="77777777" w:rsidR="00D17561" w:rsidRPr="0094668E" w:rsidRDefault="00D17561" w:rsidP="00EB71A9">
            <w:pPr>
              <w:spacing w:after="0"/>
              <w:jc w:val="center"/>
              <w:rPr>
                <w:sz w:val="18"/>
                <w:szCs w:val="18"/>
              </w:rPr>
            </w:pPr>
            <w:r w:rsidRPr="0094668E">
              <w:rPr>
                <w:sz w:val="18"/>
                <w:szCs w:val="18"/>
              </w:rPr>
              <w:t>No (1)</w:t>
            </w:r>
          </w:p>
        </w:tc>
      </w:tr>
    </w:tbl>
    <w:p w14:paraId="152C7146" w14:textId="30E9BCF8" w:rsidR="00775F46" w:rsidRDefault="00775F46">
      <w:pPr>
        <w:spacing w:after="0"/>
        <w:jc w:val="left"/>
        <w:rPr>
          <w:sz w:val="20"/>
          <w:szCs w:val="20"/>
        </w:rPr>
      </w:pPr>
    </w:p>
    <w:p w14:paraId="026EFB8F" w14:textId="77777777" w:rsidR="00D17561" w:rsidRDefault="00D17561">
      <w:pPr>
        <w:spacing w:after="0"/>
        <w:jc w:val="left"/>
        <w:rPr>
          <w:sz w:val="20"/>
          <w:szCs w:val="20"/>
        </w:rPr>
      </w:pPr>
      <w:r>
        <w:rPr>
          <w:sz w:val="20"/>
          <w:szCs w:val="20"/>
        </w:rPr>
        <w:br w:type="page"/>
      </w:r>
    </w:p>
    <w:p w14:paraId="22F9745A" w14:textId="5192A91F" w:rsidR="00775F46" w:rsidRPr="00874815" w:rsidRDefault="00775F46" w:rsidP="00874815">
      <w:pPr>
        <w:jc w:val="right"/>
        <w:rPr>
          <w:sz w:val="20"/>
          <w:szCs w:val="20"/>
        </w:rPr>
      </w:pPr>
      <w:r>
        <w:rPr>
          <w:sz w:val="20"/>
          <w:szCs w:val="20"/>
        </w:rPr>
        <w:t>Annex 19</w:t>
      </w:r>
    </w:p>
    <w:p w14:paraId="11DC049E" w14:textId="77777777" w:rsidR="00775F46" w:rsidRDefault="00775F46" w:rsidP="00874815">
      <w:pPr>
        <w:pStyle w:val="ListParagraph"/>
        <w:ind w:left="810"/>
        <w:jc w:val="center"/>
        <w:rPr>
          <w:rFonts w:ascii="Calibri" w:hAnsi="Calibri"/>
          <w:sz w:val="20"/>
          <w:szCs w:val="20"/>
        </w:rPr>
      </w:pPr>
      <w:r w:rsidRPr="00D17561">
        <w:rPr>
          <w:rFonts w:ascii="Calibri" w:hAnsi="Calibri"/>
          <w:sz w:val="20"/>
          <w:szCs w:val="20"/>
          <w:highlight w:val="yellow"/>
        </w:rPr>
        <w:t>UNDP Risk Log (to be completed by UNDP Country Office)</w:t>
      </w:r>
    </w:p>
    <w:p w14:paraId="043F61C3" w14:textId="77777777" w:rsidR="00775F46" w:rsidRDefault="00775F46" w:rsidP="00874815">
      <w:pPr>
        <w:rPr>
          <w:sz w:val="20"/>
          <w:szCs w:val="20"/>
        </w:rPr>
      </w:pPr>
    </w:p>
    <w:p w14:paraId="1057CE05" w14:textId="2064E1A7" w:rsidR="00874815" w:rsidRDefault="00874815">
      <w:pPr>
        <w:spacing w:after="0"/>
        <w:jc w:val="left"/>
        <w:rPr>
          <w:sz w:val="20"/>
          <w:szCs w:val="20"/>
        </w:rPr>
      </w:pPr>
      <w:r>
        <w:rPr>
          <w:sz w:val="20"/>
          <w:szCs w:val="20"/>
        </w:rPr>
        <w:br w:type="page"/>
      </w:r>
    </w:p>
    <w:p w14:paraId="59319244" w14:textId="6FCE2658" w:rsidR="00775F46" w:rsidRDefault="00874815" w:rsidP="00874815">
      <w:pPr>
        <w:jc w:val="right"/>
        <w:rPr>
          <w:sz w:val="20"/>
          <w:szCs w:val="20"/>
        </w:rPr>
      </w:pPr>
      <w:r>
        <w:rPr>
          <w:sz w:val="20"/>
          <w:szCs w:val="20"/>
        </w:rPr>
        <w:t>Annex 20</w:t>
      </w:r>
    </w:p>
    <w:p w14:paraId="5DC5294C" w14:textId="77777777" w:rsidR="00874815" w:rsidRPr="00874815" w:rsidRDefault="00874815" w:rsidP="00874815">
      <w:pPr>
        <w:jc w:val="right"/>
        <w:rPr>
          <w:sz w:val="20"/>
          <w:szCs w:val="20"/>
        </w:rPr>
      </w:pPr>
    </w:p>
    <w:p w14:paraId="40A9EBCD" w14:textId="2A298C3F" w:rsidR="00775F46" w:rsidRDefault="00775F46" w:rsidP="00874815">
      <w:pPr>
        <w:jc w:val="center"/>
        <w:rPr>
          <w:sz w:val="20"/>
          <w:szCs w:val="20"/>
        </w:rPr>
      </w:pPr>
      <w:r w:rsidRPr="00D17561">
        <w:rPr>
          <w:sz w:val="20"/>
          <w:szCs w:val="20"/>
          <w:highlight w:val="yellow"/>
        </w:rPr>
        <w:t>Results of the capacity assessment of the project implementing partner and HACT micro assessment (to be completed by UNDP Country Office)</w:t>
      </w:r>
    </w:p>
    <w:p w14:paraId="16F623A8" w14:textId="77777777" w:rsidR="00874815" w:rsidRDefault="00874815" w:rsidP="00874815">
      <w:pPr>
        <w:jc w:val="center"/>
        <w:rPr>
          <w:sz w:val="20"/>
          <w:szCs w:val="20"/>
        </w:rPr>
      </w:pPr>
    </w:p>
    <w:p w14:paraId="7BC2A48B" w14:textId="752F5165" w:rsidR="00874815" w:rsidRDefault="00874815">
      <w:pPr>
        <w:spacing w:after="0"/>
        <w:jc w:val="left"/>
        <w:rPr>
          <w:sz w:val="20"/>
          <w:szCs w:val="20"/>
        </w:rPr>
      </w:pPr>
      <w:r>
        <w:rPr>
          <w:sz w:val="20"/>
          <w:szCs w:val="20"/>
        </w:rPr>
        <w:br w:type="page"/>
      </w:r>
    </w:p>
    <w:p w14:paraId="335274EC" w14:textId="57BC8FE8" w:rsidR="00874815" w:rsidRDefault="00874815" w:rsidP="00874815">
      <w:pPr>
        <w:jc w:val="right"/>
        <w:rPr>
          <w:sz w:val="20"/>
          <w:szCs w:val="20"/>
        </w:rPr>
      </w:pPr>
      <w:r>
        <w:rPr>
          <w:sz w:val="20"/>
          <w:szCs w:val="20"/>
        </w:rPr>
        <w:t>Annex 21</w:t>
      </w:r>
    </w:p>
    <w:p w14:paraId="7D5C447E" w14:textId="77777777" w:rsidR="00874815" w:rsidRPr="00874815" w:rsidRDefault="00874815" w:rsidP="00874815">
      <w:pPr>
        <w:jc w:val="right"/>
        <w:rPr>
          <w:sz w:val="20"/>
          <w:szCs w:val="20"/>
        </w:rPr>
      </w:pPr>
    </w:p>
    <w:p w14:paraId="51C7FF79" w14:textId="77777777" w:rsidR="00775F46" w:rsidRDefault="00775F46" w:rsidP="00874815">
      <w:pPr>
        <w:jc w:val="center"/>
        <w:rPr>
          <w:sz w:val="20"/>
          <w:szCs w:val="20"/>
        </w:rPr>
      </w:pPr>
      <w:r w:rsidRPr="00D17561">
        <w:rPr>
          <w:sz w:val="20"/>
          <w:szCs w:val="20"/>
          <w:highlight w:val="yellow"/>
        </w:rPr>
        <w:t>Any additional agreements, such as cost sharing agreements, project cooperation agreements signed with NGOs (where the NGO is designated as the “executing entity”), letters of financial commitments, GEF OFP letter, GEF PIFs and other templates for all project types, LOA with the government in case DPCs are applied should be attached</w:t>
      </w:r>
      <w:r w:rsidRPr="00874815">
        <w:rPr>
          <w:sz w:val="20"/>
          <w:szCs w:val="20"/>
        </w:rPr>
        <w:t>.</w:t>
      </w:r>
    </w:p>
    <w:p w14:paraId="3FCF275E" w14:textId="77777777" w:rsidR="00874815" w:rsidRDefault="00874815" w:rsidP="00874815">
      <w:pPr>
        <w:jc w:val="center"/>
        <w:rPr>
          <w:sz w:val="20"/>
          <w:szCs w:val="20"/>
        </w:rPr>
      </w:pPr>
    </w:p>
    <w:p w14:paraId="09261932" w14:textId="15A13C27" w:rsidR="00874815" w:rsidRDefault="00874815">
      <w:pPr>
        <w:spacing w:after="0"/>
        <w:jc w:val="left"/>
        <w:rPr>
          <w:sz w:val="20"/>
          <w:szCs w:val="20"/>
        </w:rPr>
      </w:pPr>
      <w:r>
        <w:rPr>
          <w:sz w:val="20"/>
          <w:szCs w:val="20"/>
        </w:rPr>
        <w:br w:type="page"/>
      </w:r>
    </w:p>
    <w:p w14:paraId="658D655B" w14:textId="5CF3E06A" w:rsidR="00874815" w:rsidRDefault="00874815" w:rsidP="00874815">
      <w:pPr>
        <w:jc w:val="right"/>
        <w:rPr>
          <w:sz w:val="20"/>
          <w:szCs w:val="20"/>
        </w:rPr>
      </w:pPr>
      <w:r>
        <w:rPr>
          <w:sz w:val="20"/>
          <w:szCs w:val="20"/>
        </w:rPr>
        <w:t>Annex 22</w:t>
      </w:r>
    </w:p>
    <w:p w14:paraId="7C762EF1" w14:textId="77777777" w:rsidR="00874815" w:rsidRPr="00874815" w:rsidRDefault="00874815" w:rsidP="00874815">
      <w:pPr>
        <w:jc w:val="right"/>
        <w:rPr>
          <w:sz w:val="20"/>
          <w:szCs w:val="20"/>
        </w:rPr>
      </w:pPr>
    </w:p>
    <w:p w14:paraId="60965BE8" w14:textId="3056CF3F" w:rsidR="00874815" w:rsidRDefault="00775F46" w:rsidP="00874815">
      <w:pPr>
        <w:jc w:val="center"/>
        <w:rPr>
          <w:sz w:val="20"/>
          <w:szCs w:val="20"/>
        </w:rPr>
      </w:pPr>
      <w:r w:rsidRPr="00874815">
        <w:rPr>
          <w:sz w:val="20"/>
          <w:szCs w:val="20"/>
        </w:rPr>
        <w:t>List of people consulted during project development</w:t>
      </w:r>
    </w:p>
    <w:p w14:paraId="49534CD4" w14:textId="77777777" w:rsidR="00874815" w:rsidRPr="00874815" w:rsidRDefault="00874815" w:rsidP="00D17561">
      <w:pPr>
        <w:pStyle w:val="ListParagraph"/>
        <w:numPr>
          <w:ilvl w:val="0"/>
          <w:numId w:val="196"/>
        </w:numPr>
        <w:ind w:left="734" w:hanging="374"/>
        <w:contextualSpacing/>
        <w:rPr>
          <w:rFonts w:asciiTheme="majorHAnsi" w:hAnsiTheme="majorHAnsi"/>
          <w:sz w:val="20"/>
          <w:szCs w:val="20"/>
        </w:rPr>
      </w:pPr>
      <w:r w:rsidRPr="00874815">
        <w:rPr>
          <w:rFonts w:asciiTheme="majorHAnsi" w:hAnsiTheme="majorHAnsi"/>
          <w:sz w:val="20"/>
          <w:szCs w:val="20"/>
        </w:rPr>
        <w:t>Aimeliik State Governor</w:t>
      </w:r>
    </w:p>
    <w:p w14:paraId="1BB74A98"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cs="Garamond"/>
          <w:sz w:val="20"/>
          <w:szCs w:val="20"/>
        </w:rPr>
        <w:t>Alan Olsen</w:t>
      </w:r>
    </w:p>
    <w:p w14:paraId="61B57113"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Ann Kitalong, BNM, The Environment, Inc.</w:t>
      </w:r>
    </w:p>
    <w:p w14:paraId="08BFC72A"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Ann Singeo, Ebiil Society</w:t>
      </w:r>
    </w:p>
    <w:p w14:paraId="404840E4" w14:textId="77777777" w:rsidR="00874815" w:rsidRPr="00874815" w:rsidRDefault="00874815" w:rsidP="00D17561">
      <w:pPr>
        <w:pStyle w:val="ListParagraph"/>
        <w:numPr>
          <w:ilvl w:val="0"/>
          <w:numId w:val="196"/>
        </w:numPr>
        <w:ind w:left="734" w:hanging="374"/>
        <w:contextualSpacing/>
        <w:rPr>
          <w:rFonts w:asciiTheme="majorHAnsi" w:hAnsiTheme="majorHAnsi"/>
          <w:sz w:val="20"/>
          <w:szCs w:val="20"/>
        </w:rPr>
      </w:pPr>
      <w:r w:rsidRPr="00874815">
        <w:rPr>
          <w:rFonts w:asciiTheme="majorHAnsi" w:hAnsiTheme="majorHAnsi"/>
          <w:sz w:val="20"/>
          <w:szCs w:val="20"/>
        </w:rPr>
        <w:t>Baudista Sato, Ebiil Society</w:t>
      </w:r>
    </w:p>
    <w:p w14:paraId="2EEE523B" w14:textId="77777777" w:rsidR="00874815" w:rsidRPr="00874815" w:rsidRDefault="00874815" w:rsidP="00D17561">
      <w:pPr>
        <w:pStyle w:val="ListParagraph"/>
        <w:numPr>
          <w:ilvl w:val="0"/>
          <w:numId w:val="196"/>
        </w:numPr>
        <w:ind w:left="734" w:hanging="374"/>
        <w:contextualSpacing/>
        <w:rPr>
          <w:rFonts w:asciiTheme="majorHAnsi" w:hAnsiTheme="majorHAnsi"/>
          <w:sz w:val="20"/>
          <w:szCs w:val="20"/>
        </w:rPr>
      </w:pPr>
      <w:r w:rsidRPr="00874815">
        <w:rPr>
          <w:rFonts w:asciiTheme="majorHAnsi" w:hAnsiTheme="majorHAnsi"/>
          <w:sz w:val="20"/>
          <w:szCs w:val="20"/>
        </w:rPr>
        <w:t>Biosecurity Staff 2, NISC</w:t>
      </w:r>
    </w:p>
    <w:p w14:paraId="07D56E64"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Bola Bajekobaje, PCS</w:t>
      </w:r>
    </w:p>
    <w:p w14:paraId="21F89459"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Bouveau Anastacio, BOT</w:t>
      </w:r>
    </w:p>
    <w:p w14:paraId="585FDFA4" w14:textId="77777777" w:rsidR="00874815" w:rsidRPr="00874815" w:rsidRDefault="00874815" w:rsidP="00D17561">
      <w:pPr>
        <w:pStyle w:val="ListParagraph"/>
        <w:numPr>
          <w:ilvl w:val="0"/>
          <w:numId w:val="196"/>
        </w:numPr>
        <w:ind w:left="734" w:hanging="374"/>
        <w:contextualSpacing/>
        <w:rPr>
          <w:rFonts w:asciiTheme="majorHAnsi" w:hAnsiTheme="majorHAnsi"/>
          <w:sz w:val="20"/>
          <w:szCs w:val="20"/>
        </w:rPr>
      </w:pPr>
      <w:r w:rsidRPr="00874815">
        <w:rPr>
          <w:rFonts w:asciiTheme="majorHAnsi" w:hAnsiTheme="majorHAnsi"/>
          <w:sz w:val="20"/>
          <w:szCs w:val="20"/>
        </w:rPr>
        <w:t>Brenda Santos, DFWP</w:t>
      </w:r>
    </w:p>
    <w:p w14:paraId="71137117" w14:textId="77777777" w:rsidR="00874815" w:rsidRPr="00874815" w:rsidRDefault="00874815" w:rsidP="00D17561">
      <w:pPr>
        <w:pStyle w:val="ListParagraph"/>
        <w:numPr>
          <w:ilvl w:val="0"/>
          <w:numId w:val="196"/>
        </w:numPr>
        <w:ind w:left="734" w:hanging="374"/>
        <w:contextualSpacing/>
        <w:rPr>
          <w:rFonts w:asciiTheme="majorHAnsi" w:hAnsiTheme="majorHAnsi"/>
          <w:sz w:val="20"/>
          <w:szCs w:val="20"/>
        </w:rPr>
      </w:pPr>
      <w:r w:rsidRPr="00874815">
        <w:rPr>
          <w:rFonts w:asciiTheme="majorHAnsi" w:hAnsiTheme="majorHAnsi"/>
          <w:sz w:val="20"/>
          <w:szCs w:val="20"/>
        </w:rPr>
        <w:t>Carol Emaurois, PICRC</w:t>
      </w:r>
    </w:p>
    <w:p w14:paraId="11E66962"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Charlene Mersai, NEPC</w:t>
      </w:r>
    </w:p>
    <w:p w14:paraId="4F6588FA"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Chubby Mai, Ngchesar State</w:t>
      </w:r>
    </w:p>
    <w:p w14:paraId="0544B764" w14:textId="77777777" w:rsidR="00874815" w:rsidRPr="00874815" w:rsidRDefault="00874815" w:rsidP="00D17561">
      <w:pPr>
        <w:pStyle w:val="ListParagraph"/>
        <w:numPr>
          <w:ilvl w:val="0"/>
          <w:numId w:val="196"/>
        </w:numPr>
        <w:ind w:left="734" w:hanging="374"/>
        <w:contextualSpacing/>
        <w:rPr>
          <w:rFonts w:asciiTheme="majorHAnsi" w:hAnsiTheme="majorHAnsi"/>
          <w:sz w:val="20"/>
          <w:szCs w:val="20"/>
        </w:rPr>
      </w:pPr>
      <w:r w:rsidRPr="00874815">
        <w:rPr>
          <w:rFonts w:asciiTheme="majorHAnsi" w:hAnsiTheme="majorHAnsi"/>
          <w:sz w:val="20"/>
          <w:szCs w:val="20"/>
        </w:rPr>
        <w:t>Colin Joseph, Koror State Department of Conservation and Law Enforcement</w:t>
      </w:r>
    </w:p>
    <w:p w14:paraId="383C1F44"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Dave Idip, PALARIS</w:t>
      </w:r>
    </w:p>
    <w:p w14:paraId="7588466C"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Dr. Yimnang Golbuu, Palau International Coral Reef Center</w:t>
      </w:r>
    </w:p>
    <w:p w14:paraId="08028B75"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Eyos Rudimch, Speaker, Koror State Legislature</w:t>
      </w:r>
    </w:p>
    <w:p w14:paraId="64ACC278"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Faith Swords, Ministry of Education</w:t>
      </w:r>
    </w:p>
    <w:p w14:paraId="52AD73EC" w14:textId="77777777" w:rsidR="00874815" w:rsidRPr="00874815" w:rsidRDefault="00874815" w:rsidP="00D17561">
      <w:pPr>
        <w:pStyle w:val="ListParagraph"/>
        <w:numPr>
          <w:ilvl w:val="0"/>
          <w:numId w:val="196"/>
        </w:numPr>
        <w:ind w:left="734" w:hanging="374"/>
        <w:contextualSpacing/>
        <w:rPr>
          <w:rFonts w:asciiTheme="majorHAnsi" w:hAnsiTheme="majorHAnsi"/>
          <w:sz w:val="20"/>
          <w:szCs w:val="20"/>
        </w:rPr>
      </w:pPr>
      <w:r w:rsidRPr="00874815">
        <w:rPr>
          <w:rFonts w:asciiTheme="majorHAnsi" w:hAnsiTheme="majorHAnsi"/>
          <w:sz w:val="20"/>
          <w:szCs w:val="20"/>
        </w:rPr>
        <w:t>Fred Sengebau, BOA, NISC</w:t>
      </w:r>
    </w:p>
    <w:p w14:paraId="63450803"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Geraldine Rengiil, PICRC</w:t>
      </w:r>
    </w:p>
    <w:p w14:paraId="6A514EC7"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Governor, Peleliu State</w:t>
      </w:r>
    </w:p>
    <w:p w14:paraId="4C481384" w14:textId="77777777" w:rsidR="00874815" w:rsidRPr="00874815" w:rsidRDefault="00874815" w:rsidP="00D17561">
      <w:pPr>
        <w:pStyle w:val="ListParagraph"/>
        <w:numPr>
          <w:ilvl w:val="0"/>
          <w:numId w:val="196"/>
        </w:numPr>
        <w:ind w:left="734" w:hanging="374"/>
        <w:contextualSpacing/>
        <w:rPr>
          <w:rFonts w:asciiTheme="majorHAnsi" w:hAnsiTheme="majorHAnsi"/>
          <w:sz w:val="20"/>
          <w:szCs w:val="20"/>
        </w:rPr>
      </w:pPr>
      <w:r w:rsidRPr="00874815">
        <w:rPr>
          <w:rFonts w:asciiTheme="majorHAnsi" w:hAnsiTheme="majorHAnsi"/>
          <w:sz w:val="20"/>
          <w:szCs w:val="20"/>
        </w:rPr>
        <w:t>Gwen Sisior, GEF5, MNRET</w:t>
      </w:r>
    </w:p>
    <w:p w14:paraId="04218606"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Heather Ketebengang, Palau Conservation Society</w:t>
      </w:r>
    </w:p>
    <w:p w14:paraId="151F4A35"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Ilolang Mary Frances Remengesau, Governor Ngeremlengui State Government</w:t>
      </w:r>
    </w:p>
    <w:p w14:paraId="6C6E854E"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Informal Member, President’s Economic Advisory Group (EAG)</w:t>
      </w:r>
    </w:p>
    <w:p w14:paraId="66FCE810"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Isaac Bai, Governor, Ngaraard State Government</w:t>
      </w:r>
    </w:p>
    <w:p w14:paraId="0F5F88DB" w14:textId="77777777" w:rsidR="00874815" w:rsidRPr="00874815" w:rsidRDefault="00874815" w:rsidP="00D17561">
      <w:pPr>
        <w:pStyle w:val="ListParagraph"/>
        <w:numPr>
          <w:ilvl w:val="0"/>
          <w:numId w:val="196"/>
        </w:numPr>
        <w:ind w:left="734" w:hanging="374"/>
        <w:contextualSpacing/>
        <w:rPr>
          <w:rFonts w:asciiTheme="majorHAnsi" w:hAnsiTheme="majorHAnsi"/>
          <w:sz w:val="20"/>
          <w:szCs w:val="20"/>
        </w:rPr>
      </w:pPr>
      <w:r w:rsidRPr="00874815">
        <w:rPr>
          <w:rFonts w:asciiTheme="majorHAnsi" w:hAnsiTheme="majorHAnsi"/>
          <w:sz w:val="20"/>
          <w:szCs w:val="20"/>
        </w:rPr>
        <w:t>Isaac Bai, Ngaraard State Governor</w:t>
      </w:r>
    </w:p>
    <w:p w14:paraId="5F11E145"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Ismael Renguul, Ngiwal State</w:t>
      </w:r>
    </w:p>
    <w:p w14:paraId="4BFBF83F"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 xml:space="preserve">Jennifer Ngiraiwet, Ngardmau State PAN Coordinator </w:t>
      </w:r>
    </w:p>
    <w:p w14:paraId="1C6F5D1C" w14:textId="77777777" w:rsidR="00874815" w:rsidRPr="00874815" w:rsidRDefault="00874815" w:rsidP="00D17561">
      <w:pPr>
        <w:pStyle w:val="ListParagraph"/>
        <w:numPr>
          <w:ilvl w:val="0"/>
          <w:numId w:val="196"/>
        </w:numPr>
        <w:ind w:left="734" w:hanging="374"/>
        <w:contextualSpacing/>
        <w:rPr>
          <w:rFonts w:asciiTheme="majorHAnsi" w:hAnsiTheme="majorHAnsi"/>
          <w:sz w:val="20"/>
          <w:szCs w:val="20"/>
        </w:rPr>
      </w:pPr>
      <w:r w:rsidRPr="00874815">
        <w:rPr>
          <w:rFonts w:asciiTheme="majorHAnsi" w:hAnsiTheme="majorHAnsi"/>
          <w:sz w:val="20"/>
          <w:szCs w:val="20"/>
        </w:rPr>
        <w:t>Jerome Temengil, Ngaraard State PAN</w:t>
      </w:r>
    </w:p>
    <w:p w14:paraId="7753B4F0"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Jersey Iyar, Ngatpang State Governor</w:t>
      </w:r>
    </w:p>
    <w:p w14:paraId="61515D1D" w14:textId="77777777" w:rsidR="00874815" w:rsidRPr="00874815" w:rsidRDefault="00874815" w:rsidP="00D17561">
      <w:pPr>
        <w:pStyle w:val="ListParagraph"/>
        <w:numPr>
          <w:ilvl w:val="0"/>
          <w:numId w:val="196"/>
        </w:numPr>
        <w:ind w:left="734" w:hanging="374"/>
        <w:contextualSpacing/>
        <w:rPr>
          <w:rFonts w:asciiTheme="majorHAnsi" w:hAnsiTheme="majorHAnsi"/>
          <w:sz w:val="20"/>
          <w:szCs w:val="20"/>
        </w:rPr>
      </w:pPr>
      <w:r w:rsidRPr="00874815">
        <w:rPr>
          <w:rFonts w:asciiTheme="majorHAnsi" w:hAnsiTheme="majorHAnsi"/>
          <w:sz w:val="20"/>
          <w:szCs w:val="20"/>
        </w:rPr>
        <w:t>Jevon Sato, Ebiil Society</w:t>
      </w:r>
    </w:p>
    <w:p w14:paraId="096DFA2E"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Joel Miles, NISC</w:t>
      </w:r>
    </w:p>
    <w:p w14:paraId="5B23659D"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John Tarkong Jr., Customs Office, MOF</w:t>
      </w:r>
    </w:p>
    <w:p w14:paraId="77FE2CFF"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Jose Ise, Koror State Government</w:t>
      </w:r>
    </w:p>
    <w:p w14:paraId="6D11213A"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Joy Shmull, PICRC</w:t>
      </w:r>
    </w:p>
    <w:p w14:paraId="4534B22B" w14:textId="77777777" w:rsidR="00874815" w:rsidRPr="00874815" w:rsidRDefault="00874815" w:rsidP="00D17561">
      <w:pPr>
        <w:pStyle w:val="ListParagraph"/>
        <w:numPr>
          <w:ilvl w:val="0"/>
          <w:numId w:val="196"/>
        </w:numPr>
        <w:ind w:left="734" w:hanging="374"/>
        <w:contextualSpacing/>
        <w:rPr>
          <w:rFonts w:asciiTheme="majorHAnsi" w:hAnsiTheme="majorHAnsi"/>
          <w:sz w:val="20"/>
          <w:szCs w:val="20"/>
        </w:rPr>
      </w:pPr>
      <w:r w:rsidRPr="00874815">
        <w:rPr>
          <w:rFonts w:asciiTheme="majorHAnsi" w:hAnsiTheme="majorHAnsi"/>
          <w:sz w:val="20"/>
          <w:szCs w:val="20"/>
        </w:rPr>
        <w:t>Joyce Beouch, Ebiil Society</w:t>
      </w:r>
    </w:p>
    <w:p w14:paraId="11A3FE74"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Joyce Beouch, Island Conservation</w:t>
      </w:r>
    </w:p>
    <w:p w14:paraId="5B657205" w14:textId="77777777" w:rsidR="00874815" w:rsidRPr="00874815" w:rsidRDefault="00874815" w:rsidP="00D17561">
      <w:pPr>
        <w:pStyle w:val="ListParagraph"/>
        <w:numPr>
          <w:ilvl w:val="0"/>
          <w:numId w:val="196"/>
        </w:numPr>
        <w:ind w:left="734" w:hanging="374"/>
        <w:contextualSpacing/>
        <w:rPr>
          <w:rFonts w:asciiTheme="majorHAnsi" w:hAnsiTheme="majorHAnsi"/>
          <w:sz w:val="20"/>
          <w:szCs w:val="20"/>
        </w:rPr>
      </w:pPr>
      <w:r w:rsidRPr="00874815">
        <w:rPr>
          <w:rFonts w:asciiTheme="majorHAnsi" w:hAnsiTheme="majorHAnsi"/>
          <w:sz w:val="20"/>
          <w:szCs w:val="20"/>
        </w:rPr>
        <w:t>Juana Temarsel, Ebiil Society</w:t>
      </w:r>
    </w:p>
    <w:p w14:paraId="5DD40766"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Kalie Rengulbai, EQPB</w:t>
      </w:r>
    </w:p>
    <w:p w14:paraId="2A2CCF3D"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Kiblas Soaladaob, SGP</w:t>
      </w:r>
    </w:p>
    <w:p w14:paraId="14172251"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cs="Garamond"/>
          <w:sz w:val="20"/>
          <w:szCs w:val="20"/>
        </w:rPr>
        <w:t>Kimie Ngirchechol</w:t>
      </w:r>
    </w:p>
    <w:p w14:paraId="568C3805"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King Sam, GEF OFP, and MNRET</w:t>
      </w:r>
    </w:p>
    <w:p w14:paraId="5C4DF34D" w14:textId="77777777" w:rsidR="00874815" w:rsidRPr="00874815" w:rsidRDefault="00874815" w:rsidP="00D17561">
      <w:pPr>
        <w:pStyle w:val="ListParagraph"/>
        <w:numPr>
          <w:ilvl w:val="0"/>
          <w:numId w:val="196"/>
        </w:numPr>
        <w:ind w:left="734" w:hanging="374"/>
        <w:contextualSpacing/>
        <w:rPr>
          <w:rFonts w:asciiTheme="majorHAnsi" w:hAnsiTheme="majorHAnsi"/>
          <w:sz w:val="20"/>
          <w:szCs w:val="20"/>
        </w:rPr>
      </w:pPr>
      <w:r w:rsidRPr="00874815">
        <w:rPr>
          <w:rFonts w:asciiTheme="majorHAnsi" w:hAnsiTheme="majorHAnsi"/>
          <w:sz w:val="20"/>
          <w:szCs w:val="20"/>
        </w:rPr>
        <w:t xml:space="preserve">Klouldil Singeo, Gender Division </w:t>
      </w:r>
    </w:p>
    <w:p w14:paraId="357BC8DC" w14:textId="77777777" w:rsidR="00874815" w:rsidRPr="00874815" w:rsidRDefault="00874815" w:rsidP="00D17561">
      <w:pPr>
        <w:pStyle w:val="ListParagraph"/>
        <w:numPr>
          <w:ilvl w:val="0"/>
          <w:numId w:val="196"/>
        </w:numPr>
        <w:ind w:left="734" w:hanging="374"/>
        <w:contextualSpacing/>
        <w:rPr>
          <w:rFonts w:asciiTheme="majorHAnsi" w:hAnsiTheme="majorHAnsi"/>
          <w:sz w:val="20"/>
          <w:szCs w:val="20"/>
        </w:rPr>
      </w:pPr>
      <w:r w:rsidRPr="00874815">
        <w:rPr>
          <w:rFonts w:asciiTheme="majorHAnsi" w:hAnsiTheme="majorHAnsi"/>
          <w:sz w:val="20"/>
          <w:szCs w:val="20"/>
        </w:rPr>
        <w:t>Kyoko April, Ngarchelong State Legislator</w:t>
      </w:r>
    </w:p>
    <w:p w14:paraId="68D56B5F"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cs="Garamond"/>
          <w:sz w:val="20"/>
          <w:szCs w:val="20"/>
        </w:rPr>
        <w:t>Leon E. Remengesau</w:t>
      </w:r>
    </w:p>
    <w:p w14:paraId="5E851857"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Leonard Basilius, PCAA</w:t>
      </w:r>
    </w:p>
    <w:p w14:paraId="3303B2F9"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cs="Garamond"/>
          <w:sz w:val="20"/>
          <w:szCs w:val="20"/>
        </w:rPr>
        <w:t>Lolita Gibbons Decherong</w:t>
      </w:r>
    </w:p>
    <w:p w14:paraId="2FF5CD7B" w14:textId="77777777" w:rsidR="00874815" w:rsidRPr="00874815" w:rsidRDefault="00874815" w:rsidP="00D17561">
      <w:pPr>
        <w:pStyle w:val="ListParagraph"/>
        <w:numPr>
          <w:ilvl w:val="0"/>
          <w:numId w:val="196"/>
        </w:numPr>
        <w:ind w:left="734" w:hanging="374"/>
        <w:contextualSpacing/>
        <w:rPr>
          <w:rFonts w:asciiTheme="majorHAnsi" w:hAnsiTheme="majorHAnsi"/>
          <w:sz w:val="20"/>
          <w:szCs w:val="20"/>
        </w:rPr>
      </w:pPr>
      <w:r w:rsidRPr="00874815">
        <w:rPr>
          <w:rFonts w:asciiTheme="majorHAnsi" w:hAnsiTheme="majorHAnsi"/>
          <w:sz w:val="20"/>
          <w:szCs w:val="20"/>
        </w:rPr>
        <w:t>Madelsar Ngiraingas, BTA</w:t>
      </w:r>
    </w:p>
    <w:p w14:paraId="03D8A50E"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Malsol Nobuo, Fire and Rescue, Bureau of Public Safety</w:t>
      </w:r>
    </w:p>
    <w:p w14:paraId="2940B47F"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Melwert Kikuo, Peleliu State</w:t>
      </w:r>
    </w:p>
    <w:p w14:paraId="32593EA2"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cs="Garamond"/>
          <w:sz w:val="20"/>
          <w:szCs w:val="20"/>
        </w:rPr>
        <w:t>Michael Aulerio</w:t>
      </w:r>
    </w:p>
    <w:p w14:paraId="24C4A62B"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 xml:space="preserve">Mingrang Kloulchad, CFO, PICRC </w:t>
      </w:r>
    </w:p>
    <w:p w14:paraId="272786E1" w14:textId="77777777" w:rsidR="00874815" w:rsidRPr="00874815" w:rsidRDefault="00874815" w:rsidP="00D17561">
      <w:pPr>
        <w:pStyle w:val="ListParagraph"/>
        <w:numPr>
          <w:ilvl w:val="0"/>
          <w:numId w:val="196"/>
        </w:numPr>
        <w:ind w:left="734" w:hanging="374"/>
        <w:contextualSpacing/>
        <w:rPr>
          <w:rFonts w:asciiTheme="majorHAnsi" w:hAnsiTheme="majorHAnsi"/>
          <w:sz w:val="20"/>
          <w:szCs w:val="20"/>
        </w:rPr>
      </w:pPr>
      <w:r w:rsidRPr="00874815">
        <w:rPr>
          <w:rFonts w:asciiTheme="majorHAnsi" w:hAnsiTheme="majorHAnsi"/>
          <w:sz w:val="20"/>
          <w:szCs w:val="20"/>
        </w:rPr>
        <w:t>Ngaraard State Office Staff</w:t>
      </w:r>
    </w:p>
    <w:p w14:paraId="326E359D"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 xml:space="preserve">Ngardmau State PAN Assistant </w:t>
      </w:r>
    </w:p>
    <w:p w14:paraId="490B93A3"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Ngardmau State Planning Commission Chair</w:t>
      </w:r>
    </w:p>
    <w:p w14:paraId="5C2BB89E"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Ngardmau State Planning Commission Member</w:t>
      </w:r>
    </w:p>
    <w:p w14:paraId="14566E87"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Ngardmau State Planning Commission Staff</w:t>
      </w:r>
    </w:p>
    <w:p w14:paraId="52DADE73"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Obi Foober Skebong, PAN</w:t>
      </w:r>
    </w:p>
    <w:p w14:paraId="3194BE77" w14:textId="77777777" w:rsidR="00874815" w:rsidRPr="00874815" w:rsidRDefault="00874815" w:rsidP="00D17561">
      <w:pPr>
        <w:pStyle w:val="ListParagraph"/>
        <w:numPr>
          <w:ilvl w:val="0"/>
          <w:numId w:val="196"/>
        </w:numPr>
        <w:ind w:left="734" w:hanging="374"/>
        <w:contextualSpacing/>
        <w:rPr>
          <w:rFonts w:asciiTheme="majorHAnsi" w:hAnsiTheme="majorHAnsi"/>
          <w:sz w:val="20"/>
          <w:szCs w:val="20"/>
        </w:rPr>
      </w:pPr>
      <w:r w:rsidRPr="00874815">
        <w:rPr>
          <w:rFonts w:asciiTheme="majorHAnsi" w:hAnsiTheme="majorHAnsi"/>
          <w:sz w:val="20"/>
          <w:szCs w:val="20"/>
        </w:rPr>
        <w:t>Patty Kloulechad, Ebiil Society</w:t>
      </w:r>
    </w:p>
    <w:p w14:paraId="325BA928"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Pauline, Palau PAN and NISC</w:t>
      </w:r>
    </w:p>
    <w:p w14:paraId="017539C7"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Pia Morei, BNM</w:t>
      </w:r>
    </w:p>
    <w:p w14:paraId="09363D65" w14:textId="77777777" w:rsidR="00874815" w:rsidRPr="00874815" w:rsidRDefault="00874815" w:rsidP="00D17561">
      <w:pPr>
        <w:pStyle w:val="ListParagraph"/>
        <w:numPr>
          <w:ilvl w:val="0"/>
          <w:numId w:val="196"/>
        </w:numPr>
        <w:ind w:left="734" w:hanging="374"/>
        <w:contextualSpacing/>
        <w:rPr>
          <w:rFonts w:asciiTheme="majorHAnsi" w:hAnsiTheme="majorHAnsi"/>
          <w:sz w:val="20"/>
          <w:szCs w:val="20"/>
        </w:rPr>
      </w:pPr>
      <w:r w:rsidRPr="00874815">
        <w:rPr>
          <w:rFonts w:asciiTheme="majorHAnsi" w:hAnsiTheme="majorHAnsi"/>
          <w:sz w:val="20"/>
          <w:szCs w:val="20"/>
        </w:rPr>
        <w:t>Pua Michael, NISC</w:t>
      </w:r>
    </w:p>
    <w:p w14:paraId="00DE04B8"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Ray Marino, Bureau of Tourism</w:t>
      </w:r>
    </w:p>
    <w:p w14:paraId="6067A839" w14:textId="77777777" w:rsidR="00874815" w:rsidRPr="00874815" w:rsidRDefault="00874815" w:rsidP="00D17561">
      <w:pPr>
        <w:pStyle w:val="ListParagraph"/>
        <w:numPr>
          <w:ilvl w:val="0"/>
          <w:numId w:val="196"/>
        </w:numPr>
        <w:ind w:left="734" w:hanging="374"/>
        <w:contextualSpacing/>
        <w:rPr>
          <w:rFonts w:asciiTheme="majorHAnsi" w:hAnsiTheme="majorHAnsi"/>
          <w:sz w:val="20"/>
          <w:szCs w:val="20"/>
        </w:rPr>
      </w:pPr>
      <w:r w:rsidRPr="00874815">
        <w:rPr>
          <w:rFonts w:asciiTheme="majorHAnsi" w:hAnsiTheme="majorHAnsi"/>
          <w:sz w:val="20"/>
          <w:szCs w:val="20"/>
        </w:rPr>
        <w:t>Ray Skilang, Biosecurity, NISC</w:t>
      </w:r>
    </w:p>
    <w:p w14:paraId="03AD7CB3"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Sharon Sakuma, Local UNDP Office</w:t>
      </w:r>
    </w:p>
    <w:p w14:paraId="3195882A" w14:textId="77777777" w:rsidR="00874815" w:rsidRPr="00874815" w:rsidRDefault="00874815" w:rsidP="00D17561">
      <w:pPr>
        <w:pStyle w:val="ListParagraph"/>
        <w:numPr>
          <w:ilvl w:val="0"/>
          <w:numId w:val="196"/>
        </w:numPr>
        <w:ind w:left="734" w:hanging="374"/>
        <w:contextualSpacing/>
        <w:rPr>
          <w:rFonts w:asciiTheme="majorHAnsi" w:hAnsiTheme="majorHAnsi"/>
          <w:sz w:val="20"/>
          <w:szCs w:val="20"/>
        </w:rPr>
      </w:pPr>
      <w:r w:rsidRPr="00874815">
        <w:rPr>
          <w:rFonts w:asciiTheme="majorHAnsi" w:hAnsiTheme="majorHAnsi"/>
          <w:sz w:val="20"/>
          <w:szCs w:val="20"/>
        </w:rPr>
        <w:t xml:space="preserve">Sherri, Aimeliik State Office Staff </w:t>
      </w:r>
    </w:p>
    <w:p w14:paraId="50958262"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Siual Blesam, Environmental Quality Protection Agency</w:t>
      </w:r>
    </w:p>
    <w:p w14:paraId="12B7BC40"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Stephanie Nakamura, PCC</w:t>
      </w:r>
    </w:p>
    <w:p w14:paraId="2DBDA424"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Steven Victor, The Nature Conservancy</w:t>
      </w:r>
    </w:p>
    <w:p w14:paraId="5F4EB817"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Tarita Holm, Ngardmau State Planning Commission Member</w:t>
      </w:r>
    </w:p>
    <w:p w14:paraId="69F94157"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Thomas Tutii, Division of Marine Law</w:t>
      </w:r>
    </w:p>
    <w:p w14:paraId="1A4C9188"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Todd Ngiramengior, Office of the President</w:t>
      </w:r>
    </w:p>
    <w:p w14:paraId="0677C99A"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Toluk Sakazia, Ngardmau State OSCA</w:t>
      </w:r>
    </w:p>
    <w:p w14:paraId="3C7DDF74" w14:textId="77777777" w:rsidR="00874815" w:rsidRPr="00874815" w:rsidRDefault="00874815" w:rsidP="00D17561">
      <w:pPr>
        <w:pStyle w:val="ListParagraph"/>
        <w:numPr>
          <w:ilvl w:val="0"/>
          <w:numId w:val="196"/>
        </w:numPr>
        <w:ind w:left="734" w:hanging="374"/>
        <w:contextualSpacing/>
        <w:rPr>
          <w:rFonts w:asciiTheme="majorHAnsi" w:hAnsiTheme="majorHAnsi"/>
          <w:sz w:val="20"/>
          <w:szCs w:val="20"/>
        </w:rPr>
      </w:pPr>
      <w:r w:rsidRPr="00874815">
        <w:rPr>
          <w:rFonts w:asciiTheme="majorHAnsi" w:hAnsiTheme="majorHAnsi"/>
          <w:sz w:val="20"/>
          <w:szCs w:val="20"/>
        </w:rPr>
        <w:t>Tublai Ililau, WestCare</w:t>
      </w:r>
    </w:p>
    <w:p w14:paraId="43F23C0F"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Umai Basilius, Palau Conservation Society</w:t>
      </w:r>
    </w:p>
    <w:p w14:paraId="3EF6D9E6"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Umiich Sengebau, Minister, MNRET</w:t>
      </w:r>
    </w:p>
    <w:p w14:paraId="1F122D37" w14:textId="77777777" w:rsidR="00874815" w:rsidRPr="00874815" w:rsidRDefault="00874815" w:rsidP="00D17561">
      <w:pPr>
        <w:pStyle w:val="m7295056311995408689msolistparagraph"/>
        <w:numPr>
          <w:ilvl w:val="0"/>
          <w:numId w:val="196"/>
        </w:numPr>
        <w:spacing w:before="0" w:beforeAutospacing="0" w:after="0" w:afterAutospacing="0"/>
        <w:ind w:left="734" w:hanging="374"/>
        <w:contextualSpacing/>
        <w:rPr>
          <w:rFonts w:asciiTheme="majorHAnsi" w:hAnsiTheme="majorHAnsi"/>
          <w:sz w:val="20"/>
          <w:szCs w:val="20"/>
        </w:rPr>
      </w:pPr>
      <w:r w:rsidRPr="00874815">
        <w:rPr>
          <w:rFonts w:asciiTheme="majorHAnsi" w:hAnsiTheme="majorHAnsi"/>
          <w:sz w:val="20"/>
          <w:szCs w:val="20"/>
        </w:rPr>
        <w:t>Yalap Yalap, PCS, NISC</w:t>
      </w:r>
    </w:p>
    <w:p w14:paraId="0350AEEC" w14:textId="77777777" w:rsidR="00874815" w:rsidRDefault="00874815" w:rsidP="00874815">
      <w:pPr>
        <w:jc w:val="center"/>
        <w:rPr>
          <w:sz w:val="20"/>
          <w:szCs w:val="20"/>
        </w:rPr>
      </w:pPr>
    </w:p>
    <w:p w14:paraId="4EE9EE39" w14:textId="77777777" w:rsidR="00AE7B9A" w:rsidRDefault="00AE7B9A" w:rsidP="00874815">
      <w:pPr>
        <w:jc w:val="center"/>
        <w:rPr>
          <w:sz w:val="20"/>
          <w:szCs w:val="20"/>
        </w:rPr>
        <w:sectPr w:rsidR="00AE7B9A" w:rsidSect="00AE7B9A">
          <w:pgSz w:w="12240" w:h="15840" w:code="1"/>
          <w:pgMar w:top="720" w:right="720" w:bottom="720" w:left="720" w:header="720" w:footer="720" w:gutter="0"/>
          <w:cols w:space="720"/>
          <w:docGrid w:linePitch="360"/>
        </w:sectPr>
      </w:pPr>
    </w:p>
    <w:p w14:paraId="1EC0E6AE" w14:textId="122FCD76" w:rsidR="00874815" w:rsidRDefault="00874815" w:rsidP="00874815">
      <w:pPr>
        <w:jc w:val="center"/>
        <w:rPr>
          <w:sz w:val="20"/>
          <w:szCs w:val="20"/>
        </w:rPr>
      </w:pPr>
      <w:r w:rsidRPr="00874815">
        <w:rPr>
          <w:sz w:val="20"/>
          <w:szCs w:val="20"/>
        </w:rPr>
        <w:br w:type="page"/>
      </w:r>
      <w:r w:rsidRPr="00874815" w:rsidDel="00874815">
        <w:rPr>
          <w:sz w:val="20"/>
          <w:szCs w:val="20"/>
        </w:rPr>
        <w:t xml:space="preserve"> </w:t>
      </w:r>
    </w:p>
    <w:p w14:paraId="6450C52F" w14:textId="6993A10C" w:rsidR="00874815" w:rsidRDefault="00874815" w:rsidP="00874815">
      <w:pPr>
        <w:jc w:val="right"/>
        <w:rPr>
          <w:sz w:val="20"/>
          <w:szCs w:val="20"/>
        </w:rPr>
      </w:pPr>
      <w:r>
        <w:rPr>
          <w:sz w:val="20"/>
          <w:szCs w:val="20"/>
        </w:rPr>
        <w:t>Annex 23</w:t>
      </w:r>
    </w:p>
    <w:p w14:paraId="5A3CCD0F" w14:textId="77777777" w:rsidR="00874815" w:rsidRPr="00B02352" w:rsidRDefault="00874815" w:rsidP="00874815">
      <w:pPr>
        <w:jc w:val="right"/>
        <w:rPr>
          <w:b/>
          <w:sz w:val="20"/>
          <w:szCs w:val="20"/>
        </w:rPr>
      </w:pPr>
    </w:p>
    <w:p w14:paraId="2DA54206" w14:textId="77777777" w:rsidR="00775F46" w:rsidRPr="00B02352" w:rsidRDefault="00775F46" w:rsidP="00874815">
      <w:pPr>
        <w:jc w:val="center"/>
        <w:rPr>
          <w:b/>
          <w:sz w:val="20"/>
          <w:szCs w:val="20"/>
        </w:rPr>
      </w:pPr>
      <w:r w:rsidRPr="00B02352">
        <w:rPr>
          <w:b/>
          <w:sz w:val="20"/>
          <w:szCs w:val="20"/>
        </w:rPr>
        <w:t>Capacity Development Scorecards</w:t>
      </w:r>
    </w:p>
    <w:p w14:paraId="11824FE7" w14:textId="77777777" w:rsidR="00874815" w:rsidRDefault="00874815" w:rsidP="00874815">
      <w:pPr>
        <w:jc w:val="center"/>
        <w:rPr>
          <w:sz w:val="20"/>
          <w:szCs w:val="20"/>
        </w:rPr>
      </w:pPr>
    </w:p>
    <w:p w14:paraId="0FFFA7F5" w14:textId="77777777" w:rsidR="00874815" w:rsidRDefault="00874815" w:rsidP="00874815"/>
    <w:p w14:paraId="5DDB21D7" w14:textId="77777777" w:rsidR="00874815" w:rsidRPr="00B02352" w:rsidRDefault="00874815" w:rsidP="00874815">
      <w:pPr>
        <w:rPr>
          <w:rFonts w:asciiTheme="majorHAnsi" w:hAnsiTheme="majorHAnsi"/>
          <w:b/>
          <w:sz w:val="20"/>
          <w:szCs w:val="20"/>
        </w:rPr>
      </w:pPr>
      <w:r w:rsidRPr="00B02352">
        <w:rPr>
          <w:rFonts w:asciiTheme="majorHAnsi" w:hAnsiTheme="majorHAnsi"/>
          <w:b/>
          <w:sz w:val="20"/>
          <w:szCs w:val="20"/>
        </w:rPr>
        <w:t xml:space="preserve">1. National Landscape/ Seascape Planning Framework Scorecard </w:t>
      </w:r>
    </w:p>
    <w:p w14:paraId="3AAE2C04" w14:textId="5B169C05" w:rsidR="00874815" w:rsidRPr="00B02352" w:rsidRDefault="00874815" w:rsidP="00874815">
      <w:pPr>
        <w:rPr>
          <w:rFonts w:asciiTheme="majorHAnsi" w:hAnsiTheme="majorHAnsi"/>
          <w:sz w:val="20"/>
          <w:szCs w:val="20"/>
        </w:rPr>
      </w:pPr>
      <w:r w:rsidRPr="00B02352">
        <w:rPr>
          <w:rFonts w:asciiTheme="majorHAnsi" w:hAnsiTheme="majorHAnsi"/>
          <w:i/>
          <w:sz w:val="20"/>
          <w:szCs w:val="20"/>
        </w:rPr>
        <w:t xml:space="preserve">Baseline determined in May 2017 through two rounds: 1 during a meeting with the GEF6 Core Team (4 representatives from 4 organizations), plus the external consultant and in-country UNDP representative and 2 during a National Capacity Scoring and Gender Analysis Workshop held on May 10, 2017. 17 Stakeholders representing 12 National and State organizations participated. Scores were agreed by consensus. </w:t>
      </w:r>
    </w:p>
    <w:tbl>
      <w:tblPr>
        <w:tblW w:w="15948" w:type="dxa"/>
        <w:tblLayout w:type="fixed"/>
        <w:tblLook w:val="04A0" w:firstRow="1" w:lastRow="0" w:firstColumn="1" w:lastColumn="0" w:noHBand="0" w:noVBand="1"/>
      </w:tblPr>
      <w:tblGrid>
        <w:gridCol w:w="1615"/>
        <w:gridCol w:w="2340"/>
        <w:gridCol w:w="833"/>
        <w:gridCol w:w="990"/>
        <w:gridCol w:w="810"/>
        <w:gridCol w:w="990"/>
        <w:gridCol w:w="4050"/>
        <w:gridCol w:w="2340"/>
        <w:gridCol w:w="1980"/>
      </w:tblGrid>
      <w:tr w:rsidR="005F36E3" w:rsidRPr="00B02352" w14:paraId="6DBA087A" w14:textId="77777777" w:rsidTr="005F36E3">
        <w:trPr>
          <w:trHeight w:val="440"/>
          <w:tblHeader/>
        </w:trPr>
        <w:tc>
          <w:tcPr>
            <w:tcW w:w="1615" w:type="dxa"/>
            <w:tcBorders>
              <w:top w:val="single" w:sz="4" w:space="0" w:color="auto"/>
              <w:left w:val="single" w:sz="4" w:space="0" w:color="auto"/>
              <w:bottom w:val="single" w:sz="4" w:space="0" w:color="auto"/>
              <w:right w:val="single" w:sz="4" w:space="0" w:color="auto"/>
            </w:tcBorders>
            <w:shd w:val="clear" w:color="000000" w:fill="C2D69B"/>
            <w:vAlign w:val="center"/>
            <w:hideMark/>
          </w:tcPr>
          <w:p w14:paraId="46DB7968" w14:textId="77777777" w:rsidR="00874815" w:rsidRPr="00B02352" w:rsidRDefault="00874815" w:rsidP="00B02352">
            <w:pPr>
              <w:spacing w:after="0"/>
              <w:jc w:val="left"/>
              <w:rPr>
                <w:rFonts w:asciiTheme="majorHAnsi" w:eastAsia="Times New Roman" w:hAnsiTheme="majorHAnsi"/>
                <w:b/>
                <w:bCs/>
                <w:color w:val="000000"/>
                <w:sz w:val="18"/>
                <w:szCs w:val="18"/>
              </w:rPr>
            </w:pPr>
            <w:r w:rsidRPr="00B02352">
              <w:rPr>
                <w:rFonts w:asciiTheme="majorHAnsi" w:eastAsia="Times New Roman" w:hAnsiTheme="majorHAnsi"/>
                <w:b/>
                <w:bCs/>
                <w:color w:val="000000"/>
                <w:sz w:val="18"/>
                <w:szCs w:val="18"/>
              </w:rPr>
              <w:t>Capacity Result / Indicator</w:t>
            </w:r>
          </w:p>
        </w:tc>
        <w:tc>
          <w:tcPr>
            <w:tcW w:w="2340" w:type="dxa"/>
            <w:tcBorders>
              <w:top w:val="single" w:sz="4" w:space="0" w:color="auto"/>
              <w:left w:val="single" w:sz="4" w:space="0" w:color="auto"/>
              <w:bottom w:val="single" w:sz="4" w:space="0" w:color="auto"/>
              <w:right w:val="single" w:sz="4" w:space="0" w:color="auto"/>
            </w:tcBorders>
            <w:shd w:val="clear" w:color="000000" w:fill="C2D69B"/>
            <w:vAlign w:val="center"/>
          </w:tcPr>
          <w:p w14:paraId="6CCD7075" w14:textId="77777777" w:rsidR="00874815" w:rsidRPr="00B02352" w:rsidRDefault="00874815" w:rsidP="00B02352">
            <w:pPr>
              <w:spacing w:after="0"/>
              <w:jc w:val="left"/>
              <w:rPr>
                <w:rFonts w:asciiTheme="majorHAnsi" w:eastAsia="Times New Roman" w:hAnsiTheme="majorHAnsi"/>
                <w:b/>
                <w:bCs/>
                <w:color w:val="000000"/>
                <w:sz w:val="18"/>
                <w:szCs w:val="18"/>
              </w:rPr>
            </w:pPr>
            <w:r w:rsidRPr="00B02352">
              <w:rPr>
                <w:rFonts w:asciiTheme="majorHAnsi" w:eastAsia="Times New Roman" w:hAnsiTheme="majorHAnsi"/>
                <w:b/>
                <w:bCs/>
                <w:color w:val="000000"/>
                <w:sz w:val="18"/>
                <w:szCs w:val="18"/>
              </w:rPr>
              <w:t>Staged Indicators</w:t>
            </w:r>
          </w:p>
        </w:tc>
        <w:tc>
          <w:tcPr>
            <w:tcW w:w="833" w:type="dxa"/>
            <w:tcBorders>
              <w:top w:val="single" w:sz="4" w:space="0" w:color="auto"/>
              <w:left w:val="nil"/>
              <w:bottom w:val="single" w:sz="4" w:space="0" w:color="auto"/>
              <w:right w:val="single" w:sz="4" w:space="0" w:color="auto"/>
            </w:tcBorders>
            <w:shd w:val="clear" w:color="000000" w:fill="C2D69B"/>
            <w:vAlign w:val="center"/>
            <w:hideMark/>
          </w:tcPr>
          <w:p w14:paraId="20602501" w14:textId="77777777" w:rsidR="00874815" w:rsidRPr="00B02352" w:rsidRDefault="00874815" w:rsidP="00B02352">
            <w:pPr>
              <w:spacing w:after="0"/>
              <w:jc w:val="left"/>
              <w:rPr>
                <w:rFonts w:asciiTheme="majorHAnsi" w:eastAsia="Times New Roman" w:hAnsiTheme="majorHAnsi"/>
                <w:b/>
                <w:bCs/>
                <w:color w:val="000000"/>
                <w:sz w:val="18"/>
                <w:szCs w:val="18"/>
              </w:rPr>
            </w:pPr>
            <w:r w:rsidRPr="00B02352">
              <w:rPr>
                <w:rFonts w:asciiTheme="majorHAnsi" w:eastAsia="Times New Roman" w:hAnsiTheme="majorHAnsi"/>
                <w:b/>
                <w:bCs/>
                <w:color w:val="000000"/>
                <w:sz w:val="18"/>
                <w:szCs w:val="18"/>
              </w:rPr>
              <w:t>Rating</w:t>
            </w:r>
          </w:p>
        </w:tc>
        <w:tc>
          <w:tcPr>
            <w:tcW w:w="990" w:type="dxa"/>
            <w:tcBorders>
              <w:top w:val="single" w:sz="4" w:space="0" w:color="auto"/>
              <w:left w:val="nil"/>
              <w:bottom w:val="single" w:sz="4" w:space="0" w:color="auto"/>
              <w:right w:val="single" w:sz="4" w:space="0" w:color="auto"/>
            </w:tcBorders>
            <w:shd w:val="clear" w:color="000000" w:fill="C2D69B"/>
            <w:vAlign w:val="center"/>
            <w:hideMark/>
          </w:tcPr>
          <w:p w14:paraId="23784B71" w14:textId="77777777" w:rsidR="00874815" w:rsidRPr="00B02352" w:rsidRDefault="00874815" w:rsidP="00B02352">
            <w:pPr>
              <w:spacing w:after="0"/>
              <w:jc w:val="left"/>
              <w:rPr>
                <w:rFonts w:asciiTheme="majorHAnsi" w:eastAsia="Times New Roman" w:hAnsiTheme="majorHAnsi"/>
                <w:b/>
                <w:bCs/>
                <w:color w:val="000000"/>
                <w:sz w:val="18"/>
                <w:szCs w:val="18"/>
              </w:rPr>
            </w:pPr>
            <w:r w:rsidRPr="00B02352">
              <w:rPr>
                <w:rFonts w:asciiTheme="majorHAnsi" w:eastAsia="Times New Roman" w:hAnsiTheme="majorHAnsi"/>
                <w:b/>
                <w:bCs/>
                <w:color w:val="000000"/>
                <w:sz w:val="18"/>
                <w:szCs w:val="18"/>
              </w:rPr>
              <w:t>Baseline Score</w:t>
            </w:r>
          </w:p>
        </w:tc>
        <w:tc>
          <w:tcPr>
            <w:tcW w:w="810" w:type="dxa"/>
            <w:tcBorders>
              <w:top w:val="single" w:sz="4" w:space="0" w:color="auto"/>
              <w:left w:val="nil"/>
              <w:bottom w:val="single" w:sz="4" w:space="0" w:color="auto"/>
              <w:right w:val="single" w:sz="4" w:space="0" w:color="auto"/>
            </w:tcBorders>
            <w:shd w:val="clear" w:color="000000" w:fill="C2D69B"/>
            <w:vAlign w:val="center"/>
          </w:tcPr>
          <w:p w14:paraId="58F2EABE" w14:textId="77777777" w:rsidR="00874815" w:rsidRPr="00B02352" w:rsidRDefault="00874815" w:rsidP="00B02352">
            <w:pPr>
              <w:spacing w:after="0"/>
              <w:jc w:val="left"/>
              <w:rPr>
                <w:rFonts w:asciiTheme="majorHAnsi" w:eastAsia="Times New Roman" w:hAnsiTheme="majorHAnsi"/>
                <w:b/>
                <w:bCs/>
                <w:color w:val="000000"/>
                <w:sz w:val="18"/>
                <w:szCs w:val="18"/>
              </w:rPr>
            </w:pPr>
            <w:r w:rsidRPr="00B02352">
              <w:rPr>
                <w:rFonts w:asciiTheme="majorHAnsi" w:eastAsia="Times New Roman" w:hAnsiTheme="majorHAnsi"/>
                <w:b/>
                <w:bCs/>
                <w:color w:val="000000"/>
                <w:sz w:val="18"/>
                <w:szCs w:val="18"/>
              </w:rPr>
              <w:t>Mid-project Target Score</w:t>
            </w:r>
          </w:p>
        </w:tc>
        <w:tc>
          <w:tcPr>
            <w:tcW w:w="990" w:type="dxa"/>
            <w:tcBorders>
              <w:top w:val="single" w:sz="4" w:space="0" w:color="auto"/>
              <w:left w:val="single" w:sz="4" w:space="0" w:color="auto"/>
              <w:bottom w:val="single" w:sz="4" w:space="0" w:color="auto"/>
              <w:right w:val="single" w:sz="4" w:space="0" w:color="auto"/>
            </w:tcBorders>
            <w:shd w:val="clear" w:color="000000" w:fill="C2D69B"/>
            <w:vAlign w:val="center"/>
            <w:hideMark/>
          </w:tcPr>
          <w:p w14:paraId="7A2459CE" w14:textId="77777777" w:rsidR="00874815" w:rsidRPr="00B02352" w:rsidRDefault="00874815" w:rsidP="00B02352">
            <w:pPr>
              <w:spacing w:after="0"/>
              <w:jc w:val="left"/>
              <w:rPr>
                <w:rFonts w:asciiTheme="majorHAnsi" w:eastAsia="Times New Roman" w:hAnsiTheme="majorHAnsi"/>
                <w:b/>
                <w:bCs/>
                <w:color w:val="000000"/>
                <w:sz w:val="18"/>
                <w:szCs w:val="18"/>
              </w:rPr>
            </w:pPr>
            <w:r w:rsidRPr="00B02352">
              <w:rPr>
                <w:rFonts w:asciiTheme="majorHAnsi" w:eastAsia="Times New Roman" w:hAnsiTheme="majorHAnsi"/>
                <w:b/>
                <w:bCs/>
                <w:color w:val="000000"/>
                <w:sz w:val="18"/>
                <w:szCs w:val="18"/>
              </w:rPr>
              <w:t>EOP Target Score</w:t>
            </w:r>
          </w:p>
        </w:tc>
        <w:tc>
          <w:tcPr>
            <w:tcW w:w="4050" w:type="dxa"/>
            <w:tcBorders>
              <w:top w:val="single" w:sz="4" w:space="0" w:color="auto"/>
              <w:left w:val="nil"/>
              <w:bottom w:val="single" w:sz="4" w:space="0" w:color="auto"/>
              <w:right w:val="single" w:sz="4" w:space="0" w:color="auto"/>
            </w:tcBorders>
            <w:shd w:val="clear" w:color="000000" w:fill="C2D69B"/>
            <w:vAlign w:val="center"/>
            <w:hideMark/>
          </w:tcPr>
          <w:p w14:paraId="5F962B6B" w14:textId="77777777" w:rsidR="00874815" w:rsidRPr="00B02352" w:rsidRDefault="00874815" w:rsidP="00B02352">
            <w:pPr>
              <w:spacing w:after="0"/>
              <w:jc w:val="left"/>
              <w:rPr>
                <w:rFonts w:asciiTheme="majorHAnsi" w:eastAsia="Times New Roman" w:hAnsiTheme="majorHAnsi"/>
                <w:b/>
                <w:bCs/>
                <w:color w:val="000000"/>
                <w:sz w:val="18"/>
                <w:szCs w:val="18"/>
              </w:rPr>
            </w:pPr>
            <w:r w:rsidRPr="00B02352">
              <w:rPr>
                <w:rFonts w:asciiTheme="majorHAnsi" w:eastAsia="Times New Roman" w:hAnsiTheme="majorHAnsi"/>
                <w:b/>
                <w:bCs/>
                <w:color w:val="000000"/>
                <w:sz w:val="18"/>
                <w:szCs w:val="18"/>
              </w:rPr>
              <w:t>Comments</w:t>
            </w:r>
          </w:p>
        </w:tc>
        <w:tc>
          <w:tcPr>
            <w:tcW w:w="2340" w:type="dxa"/>
            <w:tcBorders>
              <w:top w:val="single" w:sz="4" w:space="0" w:color="auto"/>
              <w:left w:val="nil"/>
              <w:bottom w:val="single" w:sz="4" w:space="0" w:color="auto"/>
              <w:right w:val="single" w:sz="4" w:space="0" w:color="auto"/>
            </w:tcBorders>
            <w:shd w:val="clear" w:color="000000" w:fill="C2D69B"/>
            <w:vAlign w:val="center"/>
          </w:tcPr>
          <w:p w14:paraId="1F0CA42E" w14:textId="77777777" w:rsidR="00874815" w:rsidRPr="00B02352" w:rsidRDefault="00874815" w:rsidP="00B02352">
            <w:pPr>
              <w:spacing w:after="0"/>
              <w:jc w:val="left"/>
              <w:rPr>
                <w:rFonts w:asciiTheme="majorHAnsi" w:eastAsia="Times New Roman" w:hAnsiTheme="majorHAnsi"/>
                <w:b/>
                <w:bCs/>
                <w:color w:val="000000"/>
                <w:sz w:val="18"/>
                <w:szCs w:val="18"/>
              </w:rPr>
            </w:pPr>
            <w:r w:rsidRPr="00B02352">
              <w:rPr>
                <w:rFonts w:asciiTheme="majorHAnsi" w:eastAsia="Times New Roman" w:hAnsiTheme="majorHAnsi"/>
                <w:b/>
                <w:bCs/>
                <w:color w:val="000000"/>
                <w:sz w:val="18"/>
                <w:szCs w:val="18"/>
              </w:rPr>
              <w:t>Next Steps</w:t>
            </w:r>
          </w:p>
        </w:tc>
        <w:tc>
          <w:tcPr>
            <w:tcW w:w="1980" w:type="dxa"/>
            <w:tcBorders>
              <w:top w:val="single" w:sz="4" w:space="0" w:color="auto"/>
              <w:left w:val="nil"/>
              <w:bottom w:val="single" w:sz="4" w:space="0" w:color="auto"/>
              <w:right w:val="single" w:sz="4" w:space="0" w:color="auto"/>
            </w:tcBorders>
            <w:shd w:val="clear" w:color="000000" w:fill="C2D69B"/>
            <w:vAlign w:val="center"/>
          </w:tcPr>
          <w:p w14:paraId="4303394D" w14:textId="77777777" w:rsidR="00874815" w:rsidRPr="00B02352" w:rsidRDefault="00874815" w:rsidP="00B02352">
            <w:pPr>
              <w:spacing w:after="0"/>
              <w:jc w:val="left"/>
              <w:rPr>
                <w:rFonts w:asciiTheme="majorHAnsi" w:eastAsia="Times New Roman" w:hAnsiTheme="majorHAnsi"/>
                <w:b/>
                <w:bCs/>
                <w:color w:val="000000"/>
                <w:sz w:val="18"/>
                <w:szCs w:val="18"/>
              </w:rPr>
            </w:pPr>
            <w:r w:rsidRPr="00B02352">
              <w:rPr>
                <w:rFonts w:asciiTheme="majorHAnsi" w:eastAsia="Times New Roman" w:hAnsiTheme="majorHAnsi"/>
                <w:b/>
                <w:bCs/>
                <w:color w:val="000000"/>
                <w:sz w:val="18"/>
                <w:szCs w:val="18"/>
              </w:rPr>
              <w:t>Contribution to which Outcome</w:t>
            </w:r>
          </w:p>
        </w:tc>
      </w:tr>
      <w:tr w:rsidR="005F36E3" w:rsidRPr="00B02352" w14:paraId="7246DA11" w14:textId="77777777" w:rsidTr="005F36E3">
        <w:trPr>
          <w:trHeight w:val="305"/>
        </w:trPr>
        <w:tc>
          <w:tcPr>
            <w:tcW w:w="11628" w:type="dxa"/>
            <w:gridSpan w:val="7"/>
            <w:tcBorders>
              <w:top w:val="single" w:sz="4" w:space="0" w:color="auto"/>
              <w:left w:val="single" w:sz="4" w:space="0" w:color="auto"/>
              <w:bottom w:val="single" w:sz="4" w:space="0" w:color="auto"/>
              <w:right w:val="single" w:sz="4" w:space="0" w:color="auto"/>
            </w:tcBorders>
            <w:shd w:val="clear" w:color="000000" w:fill="C6E0B4"/>
            <w:vAlign w:val="center"/>
            <w:hideMark/>
          </w:tcPr>
          <w:p w14:paraId="14E4116E" w14:textId="5E59F96A" w:rsidR="00874815" w:rsidRPr="00B02352" w:rsidRDefault="00874815" w:rsidP="00B02352">
            <w:pPr>
              <w:spacing w:after="0"/>
              <w:jc w:val="left"/>
              <w:rPr>
                <w:rFonts w:asciiTheme="majorHAnsi" w:eastAsia="Times New Roman" w:hAnsiTheme="majorHAnsi"/>
                <w:b/>
                <w:bCs/>
                <w:color w:val="000000"/>
                <w:sz w:val="18"/>
                <w:szCs w:val="18"/>
              </w:rPr>
            </w:pPr>
            <w:r w:rsidRPr="00B02352">
              <w:rPr>
                <w:rFonts w:asciiTheme="majorHAnsi" w:eastAsia="Times New Roman" w:hAnsiTheme="majorHAnsi"/>
                <w:b/>
                <w:bCs/>
                <w:color w:val="000000"/>
                <w:sz w:val="18"/>
                <w:szCs w:val="18"/>
              </w:rPr>
              <w:t>Capacity to conceptualize and formulate policies, legisla</w:t>
            </w:r>
            <w:r w:rsidR="00AE7B9A" w:rsidRPr="00B02352">
              <w:rPr>
                <w:rFonts w:asciiTheme="majorHAnsi" w:eastAsia="Times New Roman" w:hAnsiTheme="majorHAnsi"/>
                <w:b/>
                <w:bCs/>
                <w:color w:val="000000"/>
                <w:sz w:val="18"/>
                <w:szCs w:val="18"/>
              </w:rPr>
              <w:t>tions, strategies and programs</w:t>
            </w:r>
          </w:p>
        </w:tc>
        <w:tc>
          <w:tcPr>
            <w:tcW w:w="2340" w:type="dxa"/>
            <w:tcBorders>
              <w:top w:val="single" w:sz="4" w:space="0" w:color="auto"/>
              <w:left w:val="single" w:sz="4" w:space="0" w:color="auto"/>
              <w:bottom w:val="single" w:sz="4" w:space="0" w:color="auto"/>
              <w:right w:val="single" w:sz="4" w:space="0" w:color="auto"/>
            </w:tcBorders>
            <w:shd w:val="clear" w:color="000000" w:fill="C6E0B4"/>
            <w:vAlign w:val="center"/>
          </w:tcPr>
          <w:p w14:paraId="0C7D6C06" w14:textId="77777777" w:rsidR="00874815" w:rsidRPr="00B02352" w:rsidRDefault="00874815" w:rsidP="00B02352">
            <w:pPr>
              <w:spacing w:after="0"/>
              <w:jc w:val="left"/>
              <w:rPr>
                <w:rFonts w:asciiTheme="majorHAnsi" w:eastAsia="Times New Roman" w:hAnsiTheme="majorHAnsi"/>
                <w:b/>
                <w:bCs/>
                <w:color w:val="000000"/>
                <w:sz w:val="18"/>
                <w:szCs w:val="18"/>
              </w:rPr>
            </w:pPr>
          </w:p>
        </w:tc>
        <w:tc>
          <w:tcPr>
            <w:tcW w:w="1980" w:type="dxa"/>
            <w:tcBorders>
              <w:top w:val="single" w:sz="4" w:space="0" w:color="auto"/>
              <w:left w:val="single" w:sz="4" w:space="0" w:color="auto"/>
              <w:bottom w:val="single" w:sz="4" w:space="0" w:color="auto"/>
              <w:right w:val="single" w:sz="4" w:space="0" w:color="auto"/>
            </w:tcBorders>
            <w:shd w:val="clear" w:color="000000" w:fill="C6E0B4"/>
            <w:vAlign w:val="center"/>
          </w:tcPr>
          <w:p w14:paraId="42A5EB76" w14:textId="77777777" w:rsidR="00874815" w:rsidRPr="00B02352" w:rsidRDefault="00874815" w:rsidP="00B02352">
            <w:pPr>
              <w:spacing w:after="0"/>
              <w:jc w:val="left"/>
              <w:rPr>
                <w:rFonts w:asciiTheme="majorHAnsi" w:eastAsia="Times New Roman" w:hAnsiTheme="majorHAnsi"/>
                <w:b/>
                <w:bCs/>
                <w:color w:val="000000"/>
                <w:sz w:val="18"/>
                <w:szCs w:val="18"/>
              </w:rPr>
            </w:pPr>
          </w:p>
        </w:tc>
      </w:tr>
      <w:tr w:rsidR="005F36E3" w:rsidRPr="00B02352" w14:paraId="035CBC0C" w14:textId="77777777" w:rsidTr="005F36E3">
        <w:trPr>
          <w:trHeight w:val="240"/>
        </w:trPr>
        <w:tc>
          <w:tcPr>
            <w:tcW w:w="1615" w:type="dxa"/>
            <w:vMerge w:val="restart"/>
            <w:tcBorders>
              <w:top w:val="nil"/>
              <w:left w:val="single" w:sz="4" w:space="0" w:color="auto"/>
              <w:bottom w:val="single" w:sz="4" w:space="0" w:color="000000"/>
              <w:right w:val="single" w:sz="4" w:space="0" w:color="auto"/>
            </w:tcBorders>
            <w:shd w:val="clear" w:color="auto" w:fill="auto"/>
            <w:hideMark/>
          </w:tcPr>
          <w:p w14:paraId="2328B3F7" w14:textId="77777777" w:rsidR="00874815" w:rsidRPr="00B02352" w:rsidRDefault="00874815" w:rsidP="00B02352">
            <w:pPr>
              <w:spacing w:after="0"/>
              <w:jc w:val="left"/>
              <w:rPr>
                <w:rFonts w:asciiTheme="majorHAnsi" w:eastAsia="Times New Roman" w:hAnsiTheme="majorHAnsi"/>
                <w:b/>
                <w:bCs/>
                <w:color w:val="000000"/>
                <w:sz w:val="18"/>
                <w:szCs w:val="18"/>
              </w:rPr>
            </w:pPr>
            <w:r w:rsidRPr="00B02352">
              <w:rPr>
                <w:rFonts w:asciiTheme="majorHAnsi" w:eastAsia="Times New Roman" w:hAnsiTheme="majorHAnsi"/>
                <w:b/>
                <w:bCs/>
                <w:color w:val="000000"/>
                <w:sz w:val="18"/>
                <w:szCs w:val="18"/>
              </w:rPr>
              <w:t>1.1. Is there a legal mandate and regulatory framework for Landscape/ Seascape Planning &amp; Management across boundaries?</w:t>
            </w:r>
          </w:p>
        </w:tc>
        <w:tc>
          <w:tcPr>
            <w:tcW w:w="2340" w:type="dxa"/>
            <w:tcBorders>
              <w:top w:val="single" w:sz="4" w:space="0" w:color="auto"/>
              <w:left w:val="nil"/>
              <w:bottom w:val="single" w:sz="4" w:space="0" w:color="auto"/>
              <w:right w:val="single" w:sz="4" w:space="0" w:color="auto"/>
            </w:tcBorders>
            <w:shd w:val="clear" w:color="auto" w:fill="auto"/>
            <w:hideMark/>
          </w:tcPr>
          <w:p w14:paraId="6B8CD2E2" w14:textId="77777777" w:rsidR="00874815" w:rsidRPr="00B02352" w:rsidRDefault="00874815" w:rsidP="00B02352">
            <w:pPr>
              <w:spacing w:after="0"/>
              <w:jc w:val="left"/>
              <w:rPr>
                <w:rFonts w:asciiTheme="majorHAnsi" w:eastAsia="Times New Roman" w:hAnsiTheme="majorHAnsi"/>
                <w:color w:val="000000"/>
                <w:sz w:val="18"/>
                <w:szCs w:val="18"/>
              </w:rPr>
            </w:pPr>
            <w:r w:rsidRPr="00B02352">
              <w:rPr>
                <w:rFonts w:asciiTheme="majorHAnsi" w:eastAsia="Times New Roman" w:hAnsiTheme="majorHAnsi"/>
                <w:color w:val="000000"/>
                <w:sz w:val="18"/>
                <w:szCs w:val="18"/>
              </w:rPr>
              <w:t>No</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1483253C" w14:textId="77777777" w:rsidR="00874815" w:rsidRPr="00B02352" w:rsidRDefault="00874815" w:rsidP="00B02352">
            <w:pPr>
              <w:spacing w:after="0"/>
              <w:jc w:val="left"/>
              <w:rPr>
                <w:rFonts w:asciiTheme="majorHAnsi" w:eastAsia="Times New Roman" w:hAnsiTheme="majorHAnsi"/>
                <w:color w:val="000000"/>
                <w:sz w:val="18"/>
                <w:szCs w:val="18"/>
              </w:rPr>
            </w:pPr>
            <w:r w:rsidRPr="00B02352">
              <w:rPr>
                <w:rFonts w:asciiTheme="majorHAnsi" w:eastAsia="Times New Roman" w:hAnsiTheme="majorHAnsi"/>
                <w:color w:val="000000"/>
                <w:sz w:val="18"/>
                <w:szCs w:val="18"/>
              </w:rPr>
              <w:t>0</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82F77" w14:textId="77777777" w:rsidR="00874815" w:rsidRPr="00B02352" w:rsidRDefault="00874815" w:rsidP="00B02352">
            <w:pPr>
              <w:spacing w:after="0"/>
              <w:jc w:val="left"/>
              <w:rPr>
                <w:rFonts w:asciiTheme="majorHAnsi" w:eastAsia="Times New Roman" w:hAnsiTheme="majorHAnsi"/>
                <w:color w:val="000000"/>
                <w:sz w:val="18"/>
                <w:szCs w:val="18"/>
              </w:rPr>
            </w:pPr>
            <w:r w:rsidRPr="00B02352">
              <w:rPr>
                <w:rFonts w:asciiTheme="majorHAnsi" w:eastAsia="Times New Roman" w:hAnsiTheme="majorHAnsi"/>
                <w:color w:val="000000"/>
                <w:sz w:val="18"/>
                <w:szCs w:val="18"/>
              </w:rPr>
              <w:t>0</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34819257" w14:textId="77777777" w:rsidR="00874815" w:rsidRPr="00B02352" w:rsidRDefault="00874815" w:rsidP="00B02352">
            <w:pPr>
              <w:spacing w:after="0"/>
              <w:jc w:val="left"/>
              <w:rPr>
                <w:rFonts w:asciiTheme="majorHAnsi" w:eastAsia="Times New Roman" w:hAnsiTheme="majorHAnsi"/>
                <w:color w:val="000000"/>
                <w:sz w:val="18"/>
                <w:szCs w:val="18"/>
              </w:rPr>
            </w:pPr>
            <w:r w:rsidRPr="00B02352">
              <w:rPr>
                <w:rFonts w:asciiTheme="majorHAnsi" w:eastAsia="Times New Roman" w:hAnsiTheme="majorHAnsi"/>
                <w:color w:val="000000"/>
                <w:sz w:val="18"/>
                <w:szCs w:val="18"/>
              </w:rPr>
              <w:t>1</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7F097" w14:textId="77777777" w:rsidR="00874815" w:rsidRPr="00B02352" w:rsidRDefault="00874815" w:rsidP="00B02352">
            <w:pPr>
              <w:spacing w:after="0"/>
              <w:jc w:val="left"/>
              <w:rPr>
                <w:rFonts w:asciiTheme="majorHAnsi" w:eastAsia="Times New Roman" w:hAnsiTheme="majorHAnsi"/>
                <w:color w:val="000000"/>
                <w:sz w:val="18"/>
                <w:szCs w:val="18"/>
              </w:rPr>
            </w:pPr>
            <w:r w:rsidRPr="00B02352">
              <w:rPr>
                <w:rFonts w:asciiTheme="majorHAnsi" w:eastAsia="Times New Roman" w:hAnsiTheme="majorHAnsi"/>
                <w:color w:val="000000"/>
                <w:sz w:val="18"/>
                <w:szCs w:val="18"/>
              </w:rPr>
              <w:t>2</w:t>
            </w:r>
          </w:p>
        </w:tc>
        <w:tc>
          <w:tcPr>
            <w:tcW w:w="40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C35BAA8" w14:textId="77777777" w:rsidR="00874815" w:rsidRPr="00B02352" w:rsidRDefault="00874815" w:rsidP="00B02352">
            <w:pPr>
              <w:spacing w:after="0"/>
              <w:jc w:val="left"/>
              <w:rPr>
                <w:rFonts w:asciiTheme="majorHAnsi" w:eastAsia="Times New Roman" w:hAnsiTheme="majorHAnsi"/>
                <w:color w:val="000000"/>
                <w:sz w:val="18"/>
                <w:szCs w:val="18"/>
              </w:rPr>
            </w:pPr>
            <w:r w:rsidRPr="00B02352">
              <w:rPr>
                <w:rFonts w:asciiTheme="majorHAnsi" w:eastAsia="Times New Roman" w:hAnsiTheme="majorHAnsi"/>
                <w:color w:val="000000"/>
                <w:sz w:val="18"/>
                <w:szCs w:val="18"/>
              </w:rPr>
              <w:t xml:space="preserve">EQPB has a permitting system authorized by law, as part of that permits must have authorization from at least the Ministry of Cultural Affairs. There is a constitutional mandate for nationwide planning, resulting in a nationwide Master Plan. But there is no specific mandate for nationwide Landscape Planning. </w:t>
            </w:r>
          </w:p>
          <w:p w14:paraId="544684CA" w14:textId="77777777" w:rsidR="00874815" w:rsidRPr="00B02352" w:rsidRDefault="00874815" w:rsidP="00B02352">
            <w:pPr>
              <w:spacing w:after="0"/>
              <w:jc w:val="left"/>
              <w:rPr>
                <w:rFonts w:asciiTheme="majorHAnsi" w:eastAsia="Times New Roman" w:hAnsiTheme="majorHAnsi"/>
                <w:color w:val="000000"/>
                <w:sz w:val="18"/>
                <w:szCs w:val="18"/>
              </w:rPr>
            </w:pPr>
          </w:p>
          <w:p w14:paraId="30611758" w14:textId="77777777" w:rsidR="00874815" w:rsidRPr="00B02352" w:rsidRDefault="00874815" w:rsidP="00B02352">
            <w:pPr>
              <w:spacing w:after="0"/>
              <w:jc w:val="left"/>
              <w:rPr>
                <w:rFonts w:asciiTheme="majorHAnsi" w:eastAsia="Times New Roman" w:hAnsiTheme="majorHAnsi"/>
                <w:color w:val="000000"/>
                <w:sz w:val="18"/>
                <w:szCs w:val="18"/>
              </w:rPr>
            </w:pPr>
            <w:r w:rsidRPr="00B02352">
              <w:rPr>
                <w:rFonts w:asciiTheme="majorHAnsi" w:eastAsia="Times New Roman" w:hAnsiTheme="majorHAnsi"/>
                <w:color w:val="000000"/>
                <w:sz w:val="18"/>
                <w:szCs w:val="18"/>
              </w:rPr>
              <w:t xml:space="preserve">The Palau National Marine Sanctuary </w:t>
            </w:r>
          </w:p>
          <w:p w14:paraId="22E5799E" w14:textId="432310F7" w:rsidR="00874815" w:rsidRPr="00B02352" w:rsidRDefault="00874815" w:rsidP="00B02352">
            <w:pPr>
              <w:spacing w:after="0"/>
              <w:jc w:val="left"/>
              <w:rPr>
                <w:rFonts w:asciiTheme="majorHAnsi" w:eastAsia="Times New Roman" w:hAnsiTheme="majorHAnsi"/>
                <w:color w:val="000000"/>
                <w:sz w:val="18"/>
                <w:szCs w:val="18"/>
              </w:rPr>
            </w:pPr>
            <w:r w:rsidRPr="00B02352">
              <w:rPr>
                <w:rFonts w:asciiTheme="majorHAnsi" w:eastAsia="Times New Roman" w:hAnsiTheme="majorHAnsi"/>
                <w:color w:val="000000"/>
                <w:sz w:val="18"/>
                <w:szCs w:val="18"/>
              </w:rPr>
              <w:t xml:space="preserve">PNMS covering all marine waters and the PAN have regulatory mechanisms for cross-sector coordination within biodiversity conservation. However each process works individually and there is no process to plan across boundaries. </w:t>
            </w:r>
          </w:p>
          <w:p w14:paraId="58775EDD" w14:textId="77777777" w:rsidR="00874815" w:rsidRPr="00B02352" w:rsidRDefault="00874815" w:rsidP="00B02352">
            <w:pPr>
              <w:spacing w:after="0"/>
              <w:jc w:val="left"/>
              <w:rPr>
                <w:rFonts w:asciiTheme="majorHAnsi" w:eastAsia="Times New Roman" w:hAnsiTheme="majorHAnsi"/>
                <w:color w:val="000000"/>
                <w:sz w:val="18"/>
                <w:szCs w:val="18"/>
              </w:rPr>
            </w:pPr>
          </w:p>
          <w:p w14:paraId="767F3486" w14:textId="77777777" w:rsidR="00874815" w:rsidRPr="00B02352" w:rsidRDefault="00874815" w:rsidP="00B02352">
            <w:pPr>
              <w:spacing w:after="0"/>
              <w:jc w:val="left"/>
              <w:rPr>
                <w:rFonts w:asciiTheme="majorHAnsi" w:eastAsia="Times New Roman" w:hAnsiTheme="majorHAnsi"/>
                <w:color w:val="000000"/>
                <w:sz w:val="18"/>
                <w:szCs w:val="18"/>
              </w:rPr>
            </w:pPr>
            <w:r w:rsidRPr="00B02352">
              <w:rPr>
                <w:rFonts w:asciiTheme="majorHAnsi" w:eastAsia="Times New Roman" w:hAnsiTheme="majorHAnsi"/>
                <w:color w:val="000000"/>
                <w:sz w:val="18"/>
                <w:szCs w:val="18"/>
              </w:rPr>
              <w:t xml:space="preserve">EQPB policy encourages inter-agency review of EA/EIS, but this is not a legal requirement. </w:t>
            </w:r>
          </w:p>
          <w:p w14:paraId="090EFCA2" w14:textId="77777777" w:rsidR="00874815" w:rsidRPr="00B02352" w:rsidRDefault="00874815" w:rsidP="00B02352">
            <w:pPr>
              <w:spacing w:after="0"/>
              <w:jc w:val="left"/>
              <w:rPr>
                <w:rFonts w:asciiTheme="majorHAnsi" w:eastAsia="Times New Roman" w:hAnsiTheme="majorHAnsi"/>
                <w:color w:val="000000"/>
                <w:sz w:val="18"/>
                <w:szCs w:val="18"/>
              </w:rPr>
            </w:pPr>
          </w:p>
        </w:tc>
        <w:tc>
          <w:tcPr>
            <w:tcW w:w="2340" w:type="dxa"/>
            <w:vMerge w:val="restart"/>
            <w:tcBorders>
              <w:top w:val="single" w:sz="4" w:space="0" w:color="auto"/>
              <w:left w:val="single" w:sz="4" w:space="0" w:color="auto"/>
              <w:right w:val="single" w:sz="4" w:space="0" w:color="auto"/>
            </w:tcBorders>
          </w:tcPr>
          <w:p w14:paraId="1EFE8162" w14:textId="77777777" w:rsidR="00874815" w:rsidRPr="00B02352" w:rsidRDefault="00874815" w:rsidP="00B02352">
            <w:pPr>
              <w:spacing w:after="0"/>
              <w:jc w:val="left"/>
              <w:rPr>
                <w:rFonts w:asciiTheme="majorHAnsi" w:eastAsia="Times New Roman" w:hAnsiTheme="majorHAnsi"/>
                <w:color w:val="000000"/>
                <w:sz w:val="18"/>
                <w:szCs w:val="18"/>
              </w:rPr>
            </w:pPr>
            <w:r w:rsidRPr="00B02352">
              <w:rPr>
                <w:rFonts w:asciiTheme="majorHAnsi" w:eastAsia="Times New Roman" w:hAnsiTheme="majorHAnsi"/>
                <w:color w:val="000000"/>
                <w:sz w:val="18"/>
                <w:szCs w:val="18"/>
              </w:rPr>
              <w:t>As part of the project, establish the necessary subcommittees under the NEPC and hire the Coordinator for MNRET’s future Environmental Planning Unit. Conduct mapping, through which multiple agencies and States will participate. Hire consultant to determine legislative needs and draft legislation.</w:t>
            </w:r>
          </w:p>
        </w:tc>
        <w:tc>
          <w:tcPr>
            <w:tcW w:w="1980" w:type="dxa"/>
            <w:vMerge w:val="restart"/>
            <w:tcBorders>
              <w:top w:val="single" w:sz="4" w:space="0" w:color="auto"/>
              <w:left w:val="single" w:sz="4" w:space="0" w:color="auto"/>
              <w:right w:val="single" w:sz="4" w:space="0" w:color="auto"/>
            </w:tcBorders>
            <w:vAlign w:val="center"/>
          </w:tcPr>
          <w:p w14:paraId="24B65EBA" w14:textId="77777777" w:rsidR="00874815" w:rsidRPr="00B02352" w:rsidRDefault="00874815" w:rsidP="00B02352">
            <w:pPr>
              <w:spacing w:after="0"/>
              <w:jc w:val="left"/>
              <w:rPr>
                <w:rFonts w:asciiTheme="majorHAnsi" w:eastAsia="Times New Roman" w:hAnsiTheme="majorHAnsi"/>
                <w:color w:val="000000"/>
                <w:sz w:val="18"/>
                <w:szCs w:val="18"/>
              </w:rPr>
            </w:pPr>
            <w:r w:rsidRPr="00B02352">
              <w:rPr>
                <w:rFonts w:asciiTheme="majorHAnsi" w:eastAsia="Times New Roman" w:hAnsiTheme="majorHAnsi"/>
                <w:color w:val="000000"/>
                <w:sz w:val="18"/>
                <w:szCs w:val="18"/>
              </w:rPr>
              <w:t>1</w:t>
            </w:r>
          </w:p>
        </w:tc>
      </w:tr>
      <w:tr w:rsidR="005F36E3" w:rsidRPr="00B02352" w14:paraId="237E9748"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17A6CDDC" w14:textId="77777777" w:rsidR="00874815" w:rsidRPr="00B02352"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75343EEB" w14:textId="77777777" w:rsidR="00874815" w:rsidRPr="00B02352" w:rsidRDefault="00874815" w:rsidP="00B02352">
            <w:pPr>
              <w:spacing w:after="0"/>
              <w:jc w:val="left"/>
              <w:rPr>
                <w:rFonts w:asciiTheme="majorHAnsi" w:eastAsia="Times New Roman" w:hAnsiTheme="majorHAnsi"/>
                <w:color w:val="000000"/>
                <w:sz w:val="18"/>
                <w:szCs w:val="18"/>
              </w:rPr>
            </w:pPr>
            <w:r w:rsidRPr="00B02352">
              <w:rPr>
                <w:rFonts w:asciiTheme="majorHAnsi" w:eastAsia="Times New Roman" w:hAnsiTheme="majorHAnsi"/>
                <w:color w:val="000000"/>
                <w:sz w:val="18"/>
                <w:szCs w:val="18"/>
              </w:rPr>
              <w:t>Legal requirements exist only for attention to environmental concerns in sector planning</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705EC0F1" w14:textId="77777777" w:rsidR="00874815" w:rsidRPr="00B02352" w:rsidRDefault="00874815" w:rsidP="00B02352">
            <w:pPr>
              <w:spacing w:after="0"/>
              <w:jc w:val="left"/>
              <w:rPr>
                <w:rFonts w:asciiTheme="majorHAnsi" w:eastAsia="Times New Roman" w:hAnsiTheme="majorHAnsi"/>
                <w:color w:val="000000"/>
                <w:sz w:val="18"/>
                <w:szCs w:val="18"/>
              </w:rPr>
            </w:pPr>
            <w:r w:rsidRPr="00B02352">
              <w:rPr>
                <w:rFonts w:asciiTheme="majorHAnsi" w:eastAsia="Times New Roman" w:hAnsiTheme="majorHAnsi"/>
                <w:color w:val="000000"/>
                <w:sz w:val="18"/>
                <w:szCs w:val="18"/>
              </w:rPr>
              <w:t>1</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E1CDC40" w14:textId="77777777" w:rsidR="00874815" w:rsidRPr="00B02352"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343A8973" w14:textId="77777777" w:rsidR="00874815" w:rsidRPr="00B02352"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4B7C08B" w14:textId="77777777" w:rsidR="00874815" w:rsidRPr="00B02352"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58625E13" w14:textId="77777777" w:rsidR="00874815" w:rsidRPr="00B02352"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50BFE6FA" w14:textId="77777777" w:rsidR="00874815" w:rsidRPr="00B02352"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6D0CEA1F" w14:textId="77777777" w:rsidR="00874815" w:rsidRPr="00B02352" w:rsidRDefault="00874815" w:rsidP="00B02352">
            <w:pPr>
              <w:spacing w:after="0"/>
              <w:jc w:val="left"/>
              <w:rPr>
                <w:rFonts w:asciiTheme="majorHAnsi" w:eastAsia="Times New Roman" w:hAnsiTheme="majorHAnsi"/>
                <w:color w:val="000000"/>
                <w:sz w:val="18"/>
                <w:szCs w:val="18"/>
              </w:rPr>
            </w:pPr>
          </w:p>
        </w:tc>
      </w:tr>
      <w:tr w:rsidR="005F36E3" w:rsidRPr="00B02352" w14:paraId="2FD162F4"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4A7E6DE9" w14:textId="77777777" w:rsidR="00874815" w:rsidRPr="00B02352"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6F4B6BCB" w14:textId="77777777" w:rsidR="00874815" w:rsidRPr="00B02352" w:rsidRDefault="00874815" w:rsidP="00B02352">
            <w:pPr>
              <w:spacing w:after="0"/>
              <w:jc w:val="left"/>
              <w:rPr>
                <w:rFonts w:asciiTheme="majorHAnsi" w:eastAsia="Times New Roman" w:hAnsiTheme="majorHAnsi"/>
                <w:color w:val="000000"/>
                <w:sz w:val="18"/>
                <w:szCs w:val="18"/>
              </w:rPr>
            </w:pPr>
            <w:r w:rsidRPr="00B02352">
              <w:rPr>
                <w:rFonts w:asciiTheme="majorHAnsi" w:eastAsia="Times New Roman" w:hAnsiTheme="majorHAnsi"/>
                <w:color w:val="000000"/>
                <w:sz w:val="18"/>
                <w:szCs w:val="18"/>
              </w:rPr>
              <w:t>Law to establish inter-agency coordination for Landscape/ Seascape Planning approved</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3B733705" w14:textId="77777777" w:rsidR="00874815" w:rsidRPr="00B02352" w:rsidRDefault="00874815" w:rsidP="00B02352">
            <w:pPr>
              <w:spacing w:after="0"/>
              <w:jc w:val="left"/>
              <w:rPr>
                <w:rFonts w:asciiTheme="majorHAnsi" w:eastAsia="Times New Roman" w:hAnsiTheme="majorHAnsi"/>
                <w:color w:val="000000"/>
                <w:sz w:val="18"/>
                <w:szCs w:val="18"/>
              </w:rPr>
            </w:pPr>
            <w:r w:rsidRPr="00B02352">
              <w:rPr>
                <w:rFonts w:asciiTheme="majorHAnsi" w:eastAsia="Times New Roman" w:hAnsiTheme="majorHAnsi"/>
                <w:color w:val="000000"/>
                <w:sz w:val="18"/>
                <w:szCs w:val="18"/>
              </w:rPr>
              <w:t>2</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E12806D" w14:textId="77777777" w:rsidR="00874815" w:rsidRPr="00B02352"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36D5A59F" w14:textId="77777777" w:rsidR="00874815" w:rsidRPr="00B02352"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D3F9E4D" w14:textId="77777777" w:rsidR="00874815" w:rsidRPr="00B02352"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4CA8CC22" w14:textId="77777777" w:rsidR="00874815" w:rsidRPr="00B02352"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02AC1E3B" w14:textId="77777777" w:rsidR="00874815" w:rsidRPr="00B02352"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201063CD" w14:textId="77777777" w:rsidR="00874815" w:rsidRPr="00B02352" w:rsidRDefault="00874815" w:rsidP="00B02352">
            <w:pPr>
              <w:spacing w:after="0"/>
              <w:jc w:val="left"/>
              <w:rPr>
                <w:rFonts w:asciiTheme="majorHAnsi" w:eastAsia="Times New Roman" w:hAnsiTheme="majorHAnsi"/>
                <w:color w:val="000000"/>
                <w:sz w:val="18"/>
                <w:szCs w:val="18"/>
              </w:rPr>
            </w:pPr>
          </w:p>
        </w:tc>
      </w:tr>
      <w:tr w:rsidR="005F36E3" w:rsidRPr="00B02352" w14:paraId="36F096FA"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0ECDECF5" w14:textId="77777777" w:rsidR="00874815" w:rsidRPr="00B02352"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0D081CF8" w14:textId="77777777" w:rsidR="00874815" w:rsidRPr="00B02352" w:rsidRDefault="00874815" w:rsidP="00B02352">
            <w:pPr>
              <w:spacing w:after="0"/>
              <w:jc w:val="left"/>
              <w:rPr>
                <w:rFonts w:asciiTheme="majorHAnsi" w:eastAsia="Times New Roman" w:hAnsiTheme="majorHAnsi"/>
                <w:color w:val="000000"/>
                <w:sz w:val="18"/>
                <w:szCs w:val="18"/>
              </w:rPr>
            </w:pPr>
            <w:r w:rsidRPr="00B02352">
              <w:rPr>
                <w:rFonts w:asciiTheme="majorHAnsi" w:eastAsia="Times New Roman" w:hAnsiTheme="majorHAnsi"/>
                <w:color w:val="000000"/>
                <w:sz w:val="18"/>
                <w:szCs w:val="18"/>
              </w:rPr>
              <w:t>Regulations to implement inter-agency coordination for Landscape/ Seascape Planning approved and operational</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0B4BFEC9" w14:textId="77777777" w:rsidR="00874815" w:rsidRPr="00B02352" w:rsidRDefault="00874815" w:rsidP="00B02352">
            <w:pPr>
              <w:spacing w:after="0"/>
              <w:jc w:val="left"/>
              <w:rPr>
                <w:rFonts w:asciiTheme="majorHAnsi" w:eastAsia="Times New Roman" w:hAnsiTheme="majorHAnsi"/>
                <w:color w:val="000000"/>
                <w:sz w:val="18"/>
                <w:szCs w:val="18"/>
              </w:rPr>
            </w:pPr>
            <w:r w:rsidRPr="00B02352">
              <w:rPr>
                <w:rFonts w:asciiTheme="majorHAnsi" w:eastAsia="Times New Roman" w:hAnsiTheme="majorHAnsi"/>
                <w:color w:val="000000"/>
                <w:sz w:val="18"/>
                <w:szCs w:val="18"/>
              </w:rPr>
              <w:t>3</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D7A0A55" w14:textId="77777777" w:rsidR="00874815" w:rsidRPr="00B02352"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4DEB4A40" w14:textId="77777777" w:rsidR="00874815" w:rsidRPr="00B02352"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68C5E54" w14:textId="77777777" w:rsidR="00874815" w:rsidRPr="00B02352"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620B97A0" w14:textId="77777777" w:rsidR="00874815" w:rsidRPr="00B02352"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bottom w:val="single" w:sz="4" w:space="0" w:color="auto"/>
              <w:right w:val="single" w:sz="4" w:space="0" w:color="auto"/>
            </w:tcBorders>
          </w:tcPr>
          <w:p w14:paraId="71C4D087" w14:textId="77777777" w:rsidR="00874815" w:rsidRPr="00B02352"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bottom w:val="single" w:sz="4" w:space="0" w:color="auto"/>
              <w:right w:val="single" w:sz="4" w:space="0" w:color="auto"/>
            </w:tcBorders>
            <w:vAlign w:val="center"/>
          </w:tcPr>
          <w:p w14:paraId="2680D177" w14:textId="77777777" w:rsidR="00874815" w:rsidRPr="00B02352" w:rsidRDefault="00874815" w:rsidP="00B02352">
            <w:pPr>
              <w:spacing w:after="0"/>
              <w:jc w:val="left"/>
              <w:rPr>
                <w:rFonts w:asciiTheme="majorHAnsi" w:eastAsia="Times New Roman" w:hAnsiTheme="majorHAnsi"/>
                <w:color w:val="000000"/>
                <w:sz w:val="18"/>
                <w:szCs w:val="18"/>
              </w:rPr>
            </w:pPr>
          </w:p>
        </w:tc>
      </w:tr>
      <w:tr w:rsidR="005F36E3" w:rsidRPr="00B02352" w14:paraId="6B8D2CA5" w14:textId="77777777" w:rsidTr="005F36E3">
        <w:trPr>
          <w:trHeight w:val="240"/>
        </w:trPr>
        <w:tc>
          <w:tcPr>
            <w:tcW w:w="1615" w:type="dxa"/>
            <w:vMerge w:val="restart"/>
            <w:tcBorders>
              <w:top w:val="nil"/>
              <w:left w:val="single" w:sz="4" w:space="0" w:color="auto"/>
              <w:bottom w:val="single" w:sz="4" w:space="0" w:color="000000"/>
              <w:right w:val="single" w:sz="4" w:space="0" w:color="auto"/>
            </w:tcBorders>
            <w:shd w:val="clear" w:color="auto" w:fill="auto"/>
            <w:hideMark/>
          </w:tcPr>
          <w:p w14:paraId="46DCB901" w14:textId="77777777" w:rsidR="00874815" w:rsidRPr="00EB71A9" w:rsidRDefault="00874815"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1.2. Does a POLICY exist for integrating land with coastal / marine management, including recognition of the biophysical and social/cultural connections between these environments?</w:t>
            </w:r>
          </w:p>
        </w:tc>
        <w:tc>
          <w:tcPr>
            <w:tcW w:w="2340" w:type="dxa"/>
            <w:tcBorders>
              <w:top w:val="single" w:sz="4" w:space="0" w:color="auto"/>
              <w:left w:val="nil"/>
              <w:bottom w:val="single" w:sz="4" w:space="0" w:color="auto"/>
              <w:right w:val="single" w:sz="4" w:space="0" w:color="auto"/>
            </w:tcBorders>
            <w:shd w:val="clear" w:color="auto" w:fill="auto"/>
            <w:hideMark/>
          </w:tcPr>
          <w:p w14:paraId="1CB24072"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No</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7D5F0A29"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5C24D"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57CBE41B"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ABB5F"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9ED61B1" w14:textId="334E9DFC"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 xml:space="preserve">There are a number of different policies in preparation or have been prepared but are not being implemented, including the Sustainable Land Management Policy, NBSAP, PNMS, and PAN. </w:t>
            </w:r>
          </w:p>
          <w:p w14:paraId="22C9C082" w14:textId="77777777" w:rsidR="00874815" w:rsidRPr="00EB71A9" w:rsidRDefault="00874815" w:rsidP="00B02352">
            <w:pPr>
              <w:spacing w:after="0"/>
              <w:jc w:val="left"/>
              <w:rPr>
                <w:rFonts w:asciiTheme="majorHAnsi" w:eastAsia="Times New Roman" w:hAnsiTheme="majorHAnsi"/>
                <w:color w:val="000000"/>
                <w:sz w:val="18"/>
                <w:szCs w:val="18"/>
              </w:rPr>
            </w:pPr>
          </w:p>
          <w:p w14:paraId="30EB02C9"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 Policies themselves are not connected or aligned in a formal sense.</w:t>
            </w:r>
          </w:p>
        </w:tc>
        <w:tc>
          <w:tcPr>
            <w:tcW w:w="2340" w:type="dxa"/>
            <w:vMerge w:val="restart"/>
            <w:tcBorders>
              <w:top w:val="single" w:sz="4" w:space="0" w:color="auto"/>
              <w:left w:val="single" w:sz="4" w:space="0" w:color="auto"/>
              <w:right w:val="single" w:sz="4" w:space="0" w:color="auto"/>
            </w:tcBorders>
          </w:tcPr>
          <w:p w14:paraId="42D69E67"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Review implementation needs of national policies and determine how policies will be mainstreamed in to Landscape/ Seascape Plans.</w:t>
            </w:r>
          </w:p>
          <w:p w14:paraId="3E87B6E6" w14:textId="77777777" w:rsidR="00874815" w:rsidRPr="00EB71A9" w:rsidRDefault="00874815" w:rsidP="00B02352">
            <w:pPr>
              <w:spacing w:after="0"/>
              <w:jc w:val="left"/>
              <w:rPr>
                <w:rFonts w:asciiTheme="majorHAnsi" w:eastAsia="Times New Roman" w:hAnsiTheme="majorHAnsi"/>
                <w:color w:val="000000"/>
                <w:sz w:val="18"/>
                <w:szCs w:val="18"/>
              </w:rPr>
            </w:pPr>
          </w:p>
          <w:p w14:paraId="77807B74"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Assign responsibility for national policies to appropriate subcommittees in the NEPC once committees have been established.</w:t>
            </w:r>
          </w:p>
        </w:tc>
        <w:tc>
          <w:tcPr>
            <w:tcW w:w="1980" w:type="dxa"/>
            <w:vMerge w:val="restart"/>
            <w:tcBorders>
              <w:top w:val="single" w:sz="4" w:space="0" w:color="auto"/>
              <w:left w:val="single" w:sz="4" w:space="0" w:color="auto"/>
              <w:right w:val="single" w:sz="4" w:space="0" w:color="auto"/>
            </w:tcBorders>
            <w:vAlign w:val="center"/>
          </w:tcPr>
          <w:p w14:paraId="170D128B"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r>
      <w:tr w:rsidR="005F36E3" w:rsidRPr="00B02352" w14:paraId="408896BF"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21F6A117"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0D8EBF9B"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Policy only requiring attention to environmental concerns in sector planning</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38596564"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8937D20"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2D341FA0"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3ADFF49"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05277C46"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56D73A5B"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19E6A65A"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7C4CD8E5"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530C053D"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0F31C590"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Policy requiring inter-agency coordination to achieve biodiversity and ecosystem services mainstreaming in Landscape/ Seascape Planning in prep</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0374D4F9"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41AF5A7"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094ECD0E"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F1D4D35"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1227A9CC"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16A9ABC9"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06300C19"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1267D40C"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2B29C3C7"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7C48630F"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Policy requiring inter-agency coordination to achieve biodiversity and ecosystem services mainstreaming in Landscape/ Seascape Planning approved</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000D3861"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16389385"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1380043A"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12EDAF7"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6D92F85C"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bottom w:val="single" w:sz="4" w:space="0" w:color="auto"/>
              <w:right w:val="single" w:sz="4" w:space="0" w:color="auto"/>
            </w:tcBorders>
          </w:tcPr>
          <w:p w14:paraId="3A4EC5C0"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bottom w:val="single" w:sz="4" w:space="0" w:color="auto"/>
              <w:right w:val="single" w:sz="4" w:space="0" w:color="auto"/>
            </w:tcBorders>
            <w:vAlign w:val="center"/>
          </w:tcPr>
          <w:p w14:paraId="7B0538FA"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1D9D3FDC" w14:textId="77777777" w:rsidTr="005F36E3">
        <w:trPr>
          <w:trHeight w:val="240"/>
        </w:trPr>
        <w:tc>
          <w:tcPr>
            <w:tcW w:w="1615" w:type="dxa"/>
            <w:vMerge w:val="restart"/>
            <w:tcBorders>
              <w:top w:val="nil"/>
              <w:left w:val="single" w:sz="4" w:space="0" w:color="auto"/>
              <w:bottom w:val="single" w:sz="4" w:space="0" w:color="000000"/>
              <w:right w:val="single" w:sz="4" w:space="0" w:color="auto"/>
            </w:tcBorders>
            <w:shd w:val="clear" w:color="auto" w:fill="auto"/>
            <w:hideMark/>
          </w:tcPr>
          <w:p w14:paraId="343E8256" w14:textId="77777777" w:rsidR="00874815" w:rsidRPr="00EB71A9" w:rsidRDefault="00874815"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1.3. Does a PROCESS exist for mainstreaming biodiversity and ecosystem services into Landscape/ Seascape Planning &amp; Management?</w:t>
            </w:r>
          </w:p>
        </w:tc>
        <w:tc>
          <w:tcPr>
            <w:tcW w:w="2340" w:type="dxa"/>
            <w:tcBorders>
              <w:top w:val="single" w:sz="4" w:space="0" w:color="auto"/>
              <w:left w:val="nil"/>
              <w:bottom w:val="single" w:sz="4" w:space="0" w:color="auto"/>
              <w:right w:val="single" w:sz="4" w:space="0" w:color="auto"/>
            </w:tcBorders>
            <w:shd w:val="clear" w:color="auto" w:fill="auto"/>
            <w:hideMark/>
          </w:tcPr>
          <w:p w14:paraId="5D1AFD00"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No recognition of land-sea connections in existing policies</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6F68C815"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0BABA"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5F983707"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3EFFE"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40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99AC50D"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 xml:space="preserve">There are ad hoc and NGO-driven processes to mainstream policies, but no mandate to do so and no process in place. For instance, SGP grants must consider relevant national policies and plans. </w:t>
            </w:r>
          </w:p>
          <w:p w14:paraId="41868593" w14:textId="77777777" w:rsidR="00874815" w:rsidRPr="00EB71A9" w:rsidRDefault="00874815" w:rsidP="00B02352">
            <w:pPr>
              <w:spacing w:after="0"/>
              <w:jc w:val="left"/>
              <w:rPr>
                <w:rFonts w:asciiTheme="majorHAnsi" w:eastAsia="Times New Roman" w:hAnsiTheme="majorHAnsi"/>
                <w:color w:val="000000"/>
                <w:sz w:val="18"/>
                <w:szCs w:val="18"/>
              </w:rPr>
            </w:pPr>
          </w:p>
          <w:p w14:paraId="60BF29FF"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 xml:space="preserve">Policies generally recognize the need to mainstream biodiversity and ecosystem services across boundaries but don’t provide for a process. </w:t>
            </w:r>
          </w:p>
          <w:p w14:paraId="20BB146C" w14:textId="77777777" w:rsidR="00874815" w:rsidRPr="00EB71A9" w:rsidRDefault="00874815" w:rsidP="00B02352">
            <w:pPr>
              <w:spacing w:after="0"/>
              <w:jc w:val="left"/>
              <w:rPr>
                <w:rFonts w:asciiTheme="majorHAnsi" w:eastAsia="Times New Roman" w:hAnsiTheme="majorHAnsi"/>
                <w:color w:val="000000"/>
                <w:sz w:val="18"/>
                <w:szCs w:val="18"/>
              </w:rPr>
            </w:pPr>
          </w:p>
          <w:p w14:paraId="440B4595" w14:textId="6EEFCC7A"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 PAN has a process for mainstreaming through the establishment of criteria for management plans</w:t>
            </w:r>
            <w:r w:rsidR="00194AA1" w:rsidRPr="00EB71A9">
              <w:rPr>
                <w:rFonts w:asciiTheme="majorHAnsi" w:eastAsia="Times New Roman" w:hAnsiTheme="majorHAnsi"/>
                <w:color w:val="000000"/>
                <w:sz w:val="18"/>
                <w:szCs w:val="18"/>
              </w:rPr>
              <w:t xml:space="preserve">. </w:t>
            </w:r>
          </w:p>
        </w:tc>
        <w:tc>
          <w:tcPr>
            <w:tcW w:w="2340" w:type="dxa"/>
            <w:vMerge w:val="restart"/>
            <w:tcBorders>
              <w:top w:val="single" w:sz="4" w:space="0" w:color="auto"/>
              <w:left w:val="single" w:sz="4" w:space="0" w:color="auto"/>
              <w:right w:val="single" w:sz="4" w:space="0" w:color="auto"/>
            </w:tcBorders>
          </w:tcPr>
          <w:p w14:paraId="7F793081"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 xml:space="preserve">Establish mechanisms for members of NEPC and Planning Teams to mainstream national and state policies and scientific findings into resultant work plans and Landscape/ Seascape Plans. Develop a project schedule that takes into account national reporting events such as the National Environmental Symposium, State of the Environment Report </w:t>
            </w:r>
          </w:p>
          <w:p w14:paraId="6746BAB9"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 xml:space="preserve">every other year, State of the Republic Address </w:t>
            </w:r>
          </w:p>
          <w:p w14:paraId="1F7640C6"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 xml:space="preserve">annual, PAN Reporting </w:t>
            </w:r>
          </w:p>
          <w:p w14:paraId="169F9F2F"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quarterly and project reporting so that inputs can be identified and accessed.</w:t>
            </w:r>
          </w:p>
        </w:tc>
        <w:tc>
          <w:tcPr>
            <w:tcW w:w="1980" w:type="dxa"/>
            <w:vMerge w:val="restart"/>
            <w:tcBorders>
              <w:top w:val="single" w:sz="4" w:space="0" w:color="auto"/>
              <w:left w:val="single" w:sz="4" w:space="0" w:color="auto"/>
              <w:right w:val="single" w:sz="4" w:space="0" w:color="auto"/>
            </w:tcBorders>
            <w:vAlign w:val="center"/>
          </w:tcPr>
          <w:p w14:paraId="04AA8AD8"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 2, and 3</w:t>
            </w:r>
          </w:p>
        </w:tc>
      </w:tr>
      <w:tr w:rsidR="005F36E3" w:rsidRPr="00B02352" w14:paraId="0065C8C2"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34A7A806"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1EE5C480"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Policies reflect the need for integrated management of land and seascapes without connections</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6FB01F90"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2B7D8F0"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720A5251"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1104D32E"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012658F7"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372FB99F"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3CF0E3F3"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3EA31676"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5BD36808"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584AE588"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Land-sea connections are reflected in some policies but are not comprehensive</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4C54667A"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CEC2884"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6ADB33C1"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65D7137"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79CD3FCA"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52152F7A"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11CB4858"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0D253CE8"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11A17314"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79C8814E"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Land-sea connections are comprehensively reflected in holistic policy</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1C1592A3"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2A73017"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62EC90A9"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87686FA"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6624FEA8"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bottom w:val="single" w:sz="4" w:space="0" w:color="auto"/>
              <w:right w:val="single" w:sz="4" w:space="0" w:color="auto"/>
            </w:tcBorders>
          </w:tcPr>
          <w:p w14:paraId="344A6B11"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bottom w:val="single" w:sz="4" w:space="0" w:color="auto"/>
              <w:right w:val="single" w:sz="4" w:space="0" w:color="auto"/>
            </w:tcBorders>
            <w:vAlign w:val="center"/>
          </w:tcPr>
          <w:p w14:paraId="25FA4491"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2F58EC7C" w14:textId="77777777" w:rsidTr="005F36E3">
        <w:trPr>
          <w:trHeight w:val="240"/>
        </w:trPr>
        <w:tc>
          <w:tcPr>
            <w:tcW w:w="1615" w:type="dxa"/>
            <w:vMerge w:val="restart"/>
            <w:tcBorders>
              <w:top w:val="nil"/>
              <w:left w:val="single" w:sz="4" w:space="0" w:color="auto"/>
              <w:bottom w:val="single" w:sz="4" w:space="0" w:color="000000"/>
              <w:right w:val="single" w:sz="4" w:space="0" w:color="auto"/>
            </w:tcBorders>
            <w:shd w:val="clear" w:color="auto" w:fill="auto"/>
            <w:hideMark/>
          </w:tcPr>
          <w:p w14:paraId="689E35AB" w14:textId="77777777" w:rsidR="00874815" w:rsidRPr="00EB71A9" w:rsidRDefault="00874815"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1.4. What is the status of existing Landscape/ Seascape Plans</w:t>
            </w:r>
          </w:p>
        </w:tc>
        <w:tc>
          <w:tcPr>
            <w:tcW w:w="2340" w:type="dxa"/>
            <w:tcBorders>
              <w:top w:val="single" w:sz="4" w:space="0" w:color="auto"/>
              <w:left w:val="nil"/>
              <w:bottom w:val="single" w:sz="4" w:space="0" w:color="auto"/>
              <w:right w:val="single" w:sz="4" w:space="0" w:color="auto"/>
            </w:tcBorders>
            <w:shd w:val="clear" w:color="auto" w:fill="auto"/>
            <w:hideMark/>
          </w:tcPr>
          <w:p w14:paraId="187DD377"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There are no such plans</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2E2636C0"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F3846"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61EE84B5"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60533"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40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2E22927"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 xml:space="preserve">There are national Seascape Plans through the PNMS. The PAN is also developing a national-level Strategy based on national biodiversity priorities. There are no similar landscape plans. There is no coordination between the land policies </w:t>
            </w:r>
          </w:p>
          <w:p w14:paraId="6AF84F70" w14:textId="6A0FA69C"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SLM and seascape plans, except in a few demonstration watershed sites in protected areas.</w:t>
            </w:r>
          </w:p>
        </w:tc>
        <w:tc>
          <w:tcPr>
            <w:tcW w:w="2340" w:type="dxa"/>
            <w:vMerge w:val="restart"/>
            <w:tcBorders>
              <w:top w:val="single" w:sz="4" w:space="0" w:color="auto"/>
              <w:left w:val="single" w:sz="4" w:space="0" w:color="auto"/>
              <w:right w:val="single" w:sz="4" w:space="0" w:color="auto"/>
            </w:tcBorders>
          </w:tcPr>
          <w:p w14:paraId="530C7106"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 xml:space="preserve">As part of the project, establish the necessary subcommittees under the NEPC and hire the Coordinator for MNRET’s future Environmental Planning Unit. Conduct mapping, and then work with states to establish Landscape/ Seascape Planning Teams to use maps. </w:t>
            </w:r>
          </w:p>
        </w:tc>
        <w:tc>
          <w:tcPr>
            <w:tcW w:w="1980" w:type="dxa"/>
            <w:vMerge w:val="restart"/>
            <w:tcBorders>
              <w:top w:val="single" w:sz="4" w:space="0" w:color="auto"/>
              <w:left w:val="single" w:sz="4" w:space="0" w:color="auto"/>
              <w:right w:val="single" w:sz="4" w:space="0" w:color="auto"/>
            </w:tcBorders>
            <w:vAlign w:val="center"/>
          </w:tcPr>
          <w:p w14:paraId="1F58DE68"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All</w:t>
            </w:r>
          </w:p>
        </w:tc>
      </w:tr>
      <w:tr w:rsidR="005F36E3" w:rsidRPr="00B02352" w14:paraId="1CD7797B"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01752D70"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075CD3BE"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They are in the beginning Stages, or are outdated</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0F33E064"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4341C6E"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6E337DB7"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86ABE3B"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4210B4E0"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15F7CE3E"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5EAFE455"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3B0E3697"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115C2D0B"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1838ABCE"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They are in the process of being drafted</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5123C923"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64E8329B"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3AEA5DEB"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C21D2A4"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489AC85A"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7504F850"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5AB70A2D"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1994083B"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2B511B52"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6191D1CF"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Landscape/ Seascape Plans are completed and adopted.</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322AD4CE"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032BE2D"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25B687EF"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6689AF84"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4B1F5709"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bottom w:val="single" w:sz="4" w:space="0" w:color="auto"/>
              <w:right w:val="single" w:sz="4" w:space="0" w:color="auto"/>
            </w:tcBorders>
          </w:tcPr>
          <w:p w14:paraId="0C5AC652"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bottom w:val="single" w:sz="4" w:space="0" w:color="auto"/>
              <w:right w:val="single" w:sz="4" w:space="0" w:color="auto"/>
            </w:tcBorders>
            <w:vAlign w:val="center"/>
          </w:tcPr>
          <w:p w14:paraId="1176E74C"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574B5AE0" w14:textId="77777777" w:rsidTr="005F36E3">
        <w:trPr>
          <w:trHeight w:val="240"/>
        </w:trPr>
        <w:tc>
          <w:tcPr>
            <w:tcW w:w="1615" w:type="dxa"/>
            <w:vMerge w:val="restart"/>
            <w:tcBorders>
              <w:top w:val="nil"/>
              <w:left w:val="single" w:sz="4" w:space="0" w:color="auto"/>
              <w:bottom w:val="single" w:sz="4" w:space="0" w:color="000000"/>
              <w:right w:val="single" w:sz="4" w:space="0" w:color="auto"/>
            </w:tcBorders>
            <w:shd w:val="clear" w:color="auto" w:fill="auto"/>
            <w:hideMark/>
          </w:tcPr>
          <w:p w14:paraId="5F0C8D0F" w14:textId="77777777" w:rsidR="00874815" w:rsidRPr="00EB71A9" w:rsidRDefault="00874815"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1.5. What is the status of existing Landscape/ Seascape Plan IMPLEMENTATION and management?</w:t>
            </w:r>
          </w:p>
        </w:tc>
        <w:tc>
          <w:tcPr>
            <w:tcW w:w="2340" w:type="dxa"/>
            <w:tcBorders>
              <w:top w:val="single" w:sz="4" w:space="0" w:color="auto"/>
              <w:left w:val="nil"/>
              <w:bottom w:val="single" w:sz="4" w:space="0" w:color="auto"/>
              <w:right w:val="single" w:sz="4" w:space="0" w:color="auto"/>
            </w:tcBorders>
            <w:shd w:val="clear" w:color="auto" w:fill="auto"/>
            <w:hideMark/>
          </w:tcPr>
          <w:p w14:paraId="7F8C592E"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There is no implementation</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464626A8"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5D912"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6EA53970"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97CD7"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40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2572763"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 xml:space="preserve"> PNMS and PAN are being implemented. </w:t>
            </w:r>
          </w:p>
        </w:tc>
        <w:tc>
          <w:tcPr>
            <w:tcW w:w="2340" w:type="dxa"/>
            <w:vMerge w:val="restart"/>
            <w:tcBorders>
              <w:top w:val="single" w:sz="4" w:space="0" w:color="auto"/>
              <w:left w:val="single" w:sz="4" w:space="0" w:color="auto"/>
              <w:right w:val="single" w:sz="4" w:space="0" w:color="auto"/>
            </w:tcBorders>
          </w:tcPr>
          <w:p w14:paraId="248ECE4B"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 xml:space="preserve">Once Landscape/ Seascape Plans are completed, the project will support testing of Best Practices and demonstration-site implementation of aspects of plans. </w:t>
            </w:r>
          </w:p>
        </w:tc>
        <w:tc>
          <w:tcPr>
            <w:tcW w:w="1980" w:type="dxa"/>
            <w:vMerge w:val="restart"/>
            <w:tcBorders>
              <w:top w:val="single" w:sz="4" w:space="0" w:color="auto"/>
              <w:left w:val="single" w:sz="4" w:space="0" w:color="auto"/>
              <w:right w:val="single" w:sz="4" w:space="0" w:color="auto"/>
            </w:tcBorders>
            <w:vAlign w:val="center"/>
          </w:tcPr>
          <w:p w14:paraId="158CD81C"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 and 3</w:t>
            </w:r>
          </w:p>
        </w:tc>
      </w:tr>
      <w:tr w:rsidR="005F36E3" w:rsidRPr="00B02352" w14:paraId="77537EF3"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00EA1FC4"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30D15442"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They are in the beginning stages of implementation</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699A2857"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A0A7812"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5EAD2041"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2BB5606"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57DFFA0C"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46887E58"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7D63C397"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60DCED33"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593A1D4C"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2582D18A"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Implementation is progressing, but with significant barriers</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26AD6850"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65877BFC"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19AC51DC"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2CD1A33"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1172CFA0"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7C93F056"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52780176"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5BCF15B0"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1684957F"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7767E60D"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 plans are being fully implemented</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67F17469"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50BCB5E"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2085AC38"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32C965E"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20916C91"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bottom w:val="single" w:sz="4" w:space="0" w:color="auto"/>
              <w:right w:val="single" w:sz="4" w:space="0" w:color="auto"/>
            </w:tcBorders>
          </w:tcPr>
          <w:p w14:paraId="05FEB70B"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bottom w:val="single" w:sz="4" w:space="0" w:color="auto"/>
              <w:right w:val="single" w:sz="4" w:space="0" w:color="auto"/>
            </w:tcBorders>
            <w:vAlign w:val="center"/>
          </w:tcPr>
          <w:p w14:paraId="17C0D599"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582570C5" w14:textId="77777777" w:rsidTr="005F36E3">
        <w:trPr>
          <w:trHeight w:val="240"/>
        </w:trPr>
        <w:tc>
          <w:tcPr>
            <w:tcW w:w="11628" w:type="dxa"/>
            <w:gridSpan w:val="7"/>
            <w:tcBorders>
              <w:top w:val="single" w:sz="4" w:space="0" w:color="auto"/>
              <w:left w:val="single" w:sz="4" w:space="0" w:color="auto"/>
              <w:bottom w:val="single" w:sz="4" w:space="0" w:color="auto"/>
              <w:right w:val="single" w:sz="4" w:space="0" w:color="auto"/>
            </w:tcBorders>
            <w:shd w:val="clear" w:color="000000" w:fill="C6E0B4"/>
            <w:vAlign w:val="center"/>
            <w:hideMark/>
          </w:tcPr>
          <w:p w14:paraId="327FE93D" w14:textId="77777777" w:rsidR="00874815" w:rsidRPr="00EB71A9" w:rsidRDefault="00874815"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Capacity to implement policies, legislation, strategies and programs</w:t>
            </w:r>
          </w:p>
        </w:tc>
        <w:tc>
          <w:tcPr>
            <w:tcW w:w="2340" w:type="dxa"/>
            <w:tcBorders>
              <w:top w:val="single" w:sz="4" w:space="0" w:color="auto"/>
              <w:left w:val="single" w:sz="4" w:space="0" w:color="auto"/>
              <w:bottom w:val="single" w:sz="4" w:space="0" w:color="auto"/>
              <w:right w:val="single" w:sz="4" w:space="0" w:color="auto"/>
            </w:tcBorders>
            <w:shd w:val="clear" w:color="000000" w:fill="C6E0B4"/>
            <w:vAlign w:val="center"/>
          </w:tcPr>
          <w:p w14:paraId="70239D01"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1980" w:type="dxa"/>
            <w:tcBorders>
              <w:top w:val="single" w:sz="4" w:space="0" w:color="auto"/>
              <w:left w:val="single" w:sz="4" w:space="0" w:color="auto"/>
              <w:bottom w:val="single" w:sz="4" w:space="0" w:color="auto"/>
              <w:right w:val="single" w:sz="4" w:space="0" w:color="auto"/>
            </w:tcBorders>
            <w:shd w:val="clear" w:color="000000" w:fill="C6E0B4"/>
            <w:vAlign w:val="center"/>
          </w:tcPr>
          <w:p w14:paraId="214B1305" w14:textId="77777777" w:rsidR="00874815" w:rsidRPr="00EB71A9" w:rsidRDefault="00874815" w:rsidP="00B02352">
            <w:pPr>
              <w:spacing w:after="0"/>
              <w:jc w:val="left"/>
              <w:rPr>
                <w:rFonts w:asciiTheme="majorHAnsi" w:eastAsia="Times New Roman" w:hAnsiTheme="majorHAnsi"/>
                <w:b/>
                <w:bCs/>
                <w:color w:val="000000"/>
                <w:sz w:val="18"/>
                <w:szCs w:val="18"/>
              </w:rPr>
            </w:pPr>
          </w:p>
        </w:tc>
      </w:tr>
      <w:tr w:rsidR="005F36E3" w:rsidRPr="00B02352" w14:paraId="225ED271" w14:textId="77777777" w:rsidTr="005F36E3">
        <w:trPr>
          <w:trHeight w:val="240"/>
        </w:trPr>
        <w:tc>
          <w:tcPr>
            <w:tcW w:w="1615" w:type="dxa"/>
            <w:vMerge w:val="restart"/>
            <w:tcBorders>
              <w:top w:val="nil"/>
              <w:left w:val="single" w:sz="4" w:space="0" w:color="auto"/>
              <w:bottom w:val="single" w:sz="4" w:space="0" w:color="000000"/>
              <w:right w:val="single" w:sz="4" w:space="0" w:color="auto"/>
            </w:tcBorders>
            <w:shd w:val="clear" w:color="auto" w:fill="auto"/>
            <w:hideMark/>
          </w:tcPr>
          <w:p w14:paraId="2F641A1F" w14:textId="77777777" w:rsidR="00874815" w:rsidRPr="00EB71A9" w:rsidRDefault="00874815"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2.1. Is there a permanent coordinating body mandated to implement Landscape/ Seascape Planning &amp; Management across boundaries?</w:t>
            </w:r>
          </w:p>
        </w:tc>
        <w:tc>
          <w:tcPr>
            <w:tcW w:w="2340" w:type="dxa"/>
            <w:tcBorders>
              <w:top w:val="single" w:sz="4" w:space="0" w:color="auto"/>
              <w:left w:val="nil"/>
              <w:bottom w:val="single" w:sz="4" w:space="0" w:color="auto"/>
              <w:right w:val="single" w:sz="4" w:space="0" w:color="auto"/>
            </w:tcBorders>
            <w:shd w:val="clear" w:color="auto" w:fill="auto"/>
            <w:hideMark/>
          </w:tcPr>
          <w:p w14:paraId="2E4AE7F6"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No</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0AB193E6"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395A0"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2810085F"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DF7E9"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40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ABC5F7D" w14:textId="70DAC864"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 NEPC was only reconstituted in 2016. Currently the NEPC is not mandated to implement projects; it is mandated to coordinate between the government agencies that have implementation mandates</w:t>
            </w:r>
            <w:r w:rsidR="00194AA1" w:rsidRPr="00EB71A9">
              <w:rPr>
                <w:rFonts w:asciiTheme="majorHAnsi" w:eastAsia="Times New Roman" w:hAnsiTheme="majorHAnsi"/>
                <w:color w:val="000000"/>
                <w:sz w:val="18"/>
                <w:szCs w:val="18"/>
              </w:rPr>
              <w:t xml:space="preserve">. </w:t>
            </w:r>
            <w:r w:rsidRPr="00EB71A9">
              <w:rPr>
                <w:rFonts w:asciiTheme="majorHAnsi" w:eastAsia="Times New Roman" w:hAnsiTheme="majorHAnsi"/>
                <w:color w:val="000000"/>
                <w:sz w:val="18"/>
                <w:szCs w:val="18"/>
              </w:rPr>
              <w:t xml:space="preserve">The NEPC does not have adequate representation across States and stakeholders as it is National government only. </w:t>
            </w:r>
          </w:p>
        </w:tc>
        <w:tc>
          <w:tcPr>
            <w:tcW w:w="2340" w:type="dxa"/>
            <w:vMerge w:val="restart"/>
            <w:tcBorders>
              <w:top w:val="single" w:sz="4" w:space="0" w:color="auto"/>
              <w:left w:val="single" w:sz="4" w:space="0" w:color="auto"/>
              <w:right w:val="single" w:sz="4" w:space="0" w:color="auto"/>
            </w:tcBorders>
          </w:tcPr>
          <w:p w14:paraId="67A820F0"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As part of the project, establish the necessary subcommittees under the NEPC, the State Planning Teams, and hire the Coordinator for MNRET’s future Environmental Planning Unit. Identify national and state policies that need to be mainstreamed across boundaries and build capacity through trainings and consultancies to do planning and implement plans. Update the NEPC Executive Order and ensure a Planning Body is included in draft legislation.</w:t>
            </w:r>
          </w:p>
        </w:tc>
        <w:tc>
          <w:tcPr>
            <w:tcW w:w="1980" w:type="dxa"/>
            <w:vMerge w:val="restart"/>
            <w:tcBorders>
              <w:top w:val="single" w:sz="4" w:space="0" w:color="auto"/>
              <w:left w:val="single" w:sz="4" w:space="0" w:color="auto"/>
              <w:right w:val="single" w:sz="4" w:space="0" w:color="auto"/>
            </w:tcBorders>
            <w:vAlign w:val="center"/>
          </w:tcPr>
          <w:p w14:paraId="380491EC"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 2, and 3</w:t>
            </w:r>
          </w:p>
        </w:tc>
      </w:tr>
      <w:tr w:rsidR="005F36E3" w:rsidRPr="00B02352" w14:paraId="464470A5"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2ABC0C5F"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0B3371C1"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Coordinating body appointed but only temporary or not functional</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4F9FB967"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D98786A"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1D5045BD"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B902539"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53F0D313"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58DE51CC"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63F4ED67"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06F34F4B"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4AA236D1"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4C1DD7B3"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Permanent coordinating body operational but with functional limitations</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2FE8DDD2"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13929B6E"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7A619224"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C305E5A"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36A04C22"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3E9578FC"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074F4413"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2606F5D9"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3F35A12D"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07750648"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Coordinating body operational, has annual workplan targets and reports annually on progress to regional government</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2F7E9DD9"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77A4F52"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1A41CD31"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69698074"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0F71D010"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bottom w:val="single" w:sz="4" w:space="0" w:color="auto"/>
              <w:right w:val="single" w:sz="4" w:space="0" w:color="auto"/>
            </w:tcBorders>
          </w:tcPr>
          <w:p w14:paraId="1C47BB33"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bottom w:val="single" w:sz="4" w:space="0" w:color="auto"/>
              <w:right w:val="single" w:sz="4" w:space="0" w:color="auto"/>
            </w:tcBorders>
            <w:vAlign w:val="center"/>
          </w:tcPr>
          <w:p w14:paraId="06E54EA6"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443657AB" w14:textId="77777777" w:rsidTr="005F36E3">
        <w:trPr>
          <w:trHeight w:val="240"/>
        </w:trPr>
        <w:tc>
          <w:tcPr>
            <w:tcW w:w="1615" w:type="dxa"/>
            <w:vMerge w:val="restart"/>
            <w:tcBorders>
              <w:top w:val="nil"/>
              <w:left w:val="single" w:sz="4" w:space="0" w:color="auto"/>
              <w:bottom w:val="single" w:sz="4" w:space="0" w:color="000000"/>
              <w:right w:val="single" w:sz="4" w:space="0" w:color="auto"/>
            </w:tcBorders>
            <w:shd w:val="clear" w:color="auto" w:fill="auto"/>
            <w:hideMark/>
          </w:tcPr>
          <w:p w14:paraId="74123A81" w14:textId="77777777" w:rsidR="00874815" w:rsidRPr="00EB71A9" w:rsidRDefault="00874815"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2.2. Does the coordinating body have an annual operating budget?</w:t>
            </w:r>
          </w:p>
        </w:tc>
        <w:tc>
          <w:tcPr>
            <w:tcW w:w="2340" w:type="dxa"/>
            <w:tcBorders>
              <w:top w:val="single" w:sz="4" w:space="0" w:color="auto"/>
              <w:left w:val="nil"/>
              <w:bottom w:val="single" w:sz="4" w:space="0" w:color="auto"/>
              <w:right w:val="single" w:sz="4" w:space="0" w:color="auto"/>
            </w:tcBorders>
            <w:shd w:val="clear" w:color="auto" w:fill="auto"/>
            <w:hideMark/>
          </w:tcPr>
          <w:p w14:paraId="7A5B5B4C"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No</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1DCA7D4E"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5D533"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38410AC0"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64017"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40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293419E" w14:textId="7577953F"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 NEPC budget includes Secretariat, but has no funding for implementation. This is direct from the National Government not reliant on grants for annual operations. The funding for NEPC is insufficient to meet even workplan targets, although there are no formal workplan targets because there is no annual workplan linked to Landscape/ Seascape Planning.</w:t>
            </w:r>
          </w:p>
        </w:tc>
        <w:tc>
          <w:tcPr>
            <w:tcW w:w="2340" w:type="dxa"/>
            <w:vMerge w:val="restart"/>
            <w:tcBorders>
              <w:top w:val="single" w:sz="4" w:space="0" w:color="auto"/>
              <w:left w:val="single" w:sz="4" w:space="0" w:color="auto"/>
              <w:right w:val="single" w:sz="4" w:space="0" w:color="auto"/>
            </w:tcBorders>
          </w:tcPr>
          <w:p w14:paraId="1649377F"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Identify funding needs and sources.</w:t>
            </w:r>
          </w:p>
        </w:tc>
        <w:tc>
          <w:tcPr>
            <w:tcW w:w="1980" w:type="dxa"/>
            <w:vMerge w:val="restart"/>
            <w:tcBorders>
              <w:top w:val="single" w:sz="4" w:space="0" w:color="auto"/>
              <w:left w:val="single" w:sz="4" w:space="0" w:color="auto"/>
              <w:right w:val="single" w:sz="4" w:space="0" w:color="auto"/>
            </w:tcBorders>
            <w:vAlign w:val="center"/>
          </w:tcPr>
          <w:p w14:paraId="11E2C899"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4A73E1AC"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73CE1CE6"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4537A555"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Yes, but this is only sufficient to meet selected workplan targets</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02CE7870"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5EF09E6"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7E5B92A5"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1A15CFD6"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51D2FD03"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264145BE"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311D41D9"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322451A7"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5AA55408"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13959ADD"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Yes, sufficient to meet most workplan targets</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6D62CF99"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2C30D15"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0FD992B5"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8DDE673"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63DE9933"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6DA8280B"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67152B20"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547A28C7"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365D4424"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330BF611"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Yes, sufficient for full implementation of annual workplan</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6CEBAD9C"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87025CC"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7166BAC7"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D1862ED"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7B97D0AC"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bottom w:val="single" w:sz="4" w:space="0" w:color="auto"/>
              <w:right w:val="single" w:sz="4" w:space="0" w:color="auto"/>
            </w:tcBorders>
          </w:tcPr>
          <w:p w14:paraId="0A2D47A1"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bottom w:val="single" w:sz="4" w:space="0" w:color="auto"/>
              <w:right w:val="single" w:sz="4" w:space="0" w:color="auto"/>
            </w:tcBorders>
            <w:vAlign w:val="center"/>
          </w:tcPr>
          <w:p w14:paraId="0621A9C2"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63D9D9A0" w14:textId="77777777" w:rsidTr="005F36E3">
        <w:trPr>
          <w:trHeight w:val="240"/>
        </w:trPr>
        <w:tc>
          <w:tcPr>
            <w:tcW w:w="1615" w:type="dxa"/>
            <w:vMerge w:val="restart"/>
            <w:tcBorders>
              <w:top w:val="nil"/>
              <w:left w:val="single" w:sz="4" w:space="0" w:color="auto"/>
              <w:bottom w:val="single" w:sz="4" w:space="0" w:color="000000"/>
              <w:right w:val="single" w:sz="4" w:space="0" w:color="auto"/>
            </w:tcBorders>
            <w:shd w:val="clear" w:color="auto" w:fill="auto"/>
            <w:hideMark/>
          </w:tcPr>
          <w:p w14:paraId="6D7B480F" w14:textId="77777777" w:rsidR="00874815" w:rsidRPr="00EB71A9" w:rsidRDefault="00874815"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2.3. Does the coordinating body have adequate representation from multiple scientific, traditional, and social sectors?</w:t>
            </w:r>
          </w:p>
        </w:tc>
        <w:tc>
          <w:tcPr>
            <w:tcW w:w="2340" w:type="dxa"/>
            <w:tcBorders>
              <w:top w:val="single" w:sz="4" w:space="0" w:color="auto"/>
              <w:left w:val="nil"/>
              <w:bottom w:val="single" w:sz="4" w:space="0" w:color="auto"/>
              <w:right w:val="single" w:sz="4" w:space="0" w:color="auto"/>
            </w:tcBorders>
            <w:shd w:val="clear" w:color="auto" w:fill="auto"/>
            <w:hideMark/>
          </w:tcPr>
          <w:p w14:paraId="2D886BA0"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No</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65959C7C"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12633"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3C43549C"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1B597"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40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87068A8"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 NEPC has no State representation and is National government. There is no body with State, Private, and NGO representation.</w:t>
            </w:r>
          </w:p>
        </w:tc>
        <w:tc>
          <w:tcPr>
            <w:tcW w:w="2340" w:type="dxa"/>
            <w:vMerge w:val="restart"/>
            <w:tcBorders>
              <w:top w:val="single" w:sz="4" w:space="0" w:color="auto"/>
              <w:left w:val="single" w:sz="4" w:space="0" w:color="auto"/>
              <w:right w:val="single" w:sz="4" w:space="0" w:color="auto"/>
            </w:tcBorders>
          </w:tcPr>
          <w:p w14:paraId="5B6B9FD0"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Establish the appropriate subcommittees under the NEPC using the ad hoc authority, and confirm the participation of multiple stakeholders identified in the Project Document, including business and private sector and State representatives.</w:t>
            </w:r>
          </w:p>
        </w:tc>
        <w:tc>
          <w:tcPr>
            <w:tcW w:w="1980" w:type="dxa"/>
            <w:vMerge w:val="restart"/>
            <w:tcBorders>
              <w:top w:val="single" w:sz="4" w:space="0" w:color="auto"/>
              <w:left w:val="single" w:sz="4" w:space="0" w:color="auto"/>
              <w:right w:val="single" w:sz="4" w:space="0" w:color="auto"/>
            </w:tcBorders>
            <w:vAlign w:val="center"/>
          </w:tcPr>
          <w:p w14:paraId="4ADEE3E6"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 2, and 3</w:t>
            </w:r>
          </w:p>
        </w:tc>
      </w:tr>
      <w:tr w:rsidR="005F36E3" w:rsidRPr="00B02352" w14:paraId="714852AC"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377EBE9F"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14639808"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Representation is from one sector only</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4BCC1C35"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0630B05"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22AAC2FE"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C074DA3"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0F3A2502"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44AA7972"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5B01DB56"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186A7F83" w14:textId="77777777" w:rsidTr="005F36E3">
        <w:trPr>
          <w:trHeight w:val="480"/>
        </w:trPr>
        <w:tc>
          <w:tcPr>
            <w:tcW w:w="1615" w:type="dxa"/>
            <w:vMerge/>
            <w:tcBorders>
              <w:top w:val="nil"/>
              <w:left w:val="single" w:sz="4" w:space="0" w:color="auto"/>
              <w:bottom w:val="single" w:sz="4" w:space="0" w:color="000000"/>
              <w:right w:val="single" w:sz="4" w:space="0" w:color="auto"/>
            </w:tcBorders>
            <w:hideMark/>
          </w:tcPr>
          <w:p w14:paraId="7E9887EB"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3CA330E4"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There is representation from more than one sectors, but it does not include adequate representation of all stakeholders</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5B9771AB"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BF09AF7"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3875DA83"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1C4C92D5"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40A9B48B"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4980170E"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520156C4"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36C642EF"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48AA840E"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5098E128"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Full systematic representation from multiple sectors</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14028DBB"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103FC60"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50F5C69E"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FD169C5"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1FD3AA9F"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bottom w:val="single" w:sz="4" w:space="0" w:color="auto"/>
              <w:right w:val="single" w:sz="4" w:space="0" w:color="auto"/>
            </w:tcBorders>
          </w:tcPr>
          <w:p w14:paraId="16455993"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bottom w:val="single" w:sz="4" w:space="0" w:color="auto"/>
              <w:right w:val="single" w:sz="4" w:space="0" w:color="auto"/>
            </w:tcBorders>
            <w:vAlign w:val="center"/>
          </w:tcPr>
          <w:p w14:paraId="7D8A1EA3"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23927B70" w14:textId="77777777" w:rsidTr="005F36E3">
        <w:trPr>
          <w:trHeight w:val="240"/>
        </w:trPr>
        <w:tc>
          <w:tcPr>
            <w:tcW w:w="1615" w:type="dxa"/>
            <w:vMerge w:val="restart"/>
            <w:tcBorders>
              <w:top w:val="nil"/>
              <w:left w:val="single" w:sz="4" w:space="0" w:color="auto"/>
              <w:bottom w:val="single" w:sz="4" w:space="0" w:color="000000"/>
              <w:right w:val="single" w:sz="4" w:space="0" w:color="auto"/>
            </w:tcBorders>
            <w:shd w:val="clear" w:color="auto" w:fill="auto"/>
            <w:hideMark/>
          </w:tcPr>
          <w:p w14:paraId="6F029E11" w14:textId="77777777" w:rsidR="00874815" w:rsidRPr="00EB71A9" w:rsidRDefault="00874815"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2.4. Is the coordinating body actively engaged in Landscape/ Seascape Planning?</w:t>
            </w:r>
          </w:p>
        </w:tc>
        <w:tc>
          <w:tcPr>
            <w:tcW w:w="2340" w:type="dxa"/>
            <w:tcBorders>
              <w:top w:val="single" w:sz="4" w:space="0" w:color="auto"/>
              <w:left w:val="nil"/>
              <w:bottom w:val="single" w:sz="4" w:space="0" w:color="auto"/>
              <w:right w:val="single" w:sz="4" w:space="0" w:color="auto"/>
            </w:tcBorders>
            <w:shd w:val="clear" w:color="auto" w:fill="auto"/>
            <w:hideMark/>
          </w:tcPr>
          <w:p w14:paraId="5276EACF"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No</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371AF21F"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770D2"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413FEECC"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8DF07"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40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B50DDFE"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There is no body engaged in Landscape/ Seascape Planning.</w:t>
            </w:r>
          </w:p>
        </w:tc>
        <w:tc>
          <w:tcPr>
            <w:tcW w:w="2340" w:type="dxa"/>
            <w:vMerge w:val="restart"/>
            <w:tcBorders>
              <w:top w:val="single" w:sz="4" w:space="0" w:color="auto"/>
              <w:left w:val="single" w:sz="4" w:space="0" w:color="auto"/>
              <w:right w:val="single" w:sz="4" w:space="0" w:color="auto"/>
            </w:tcBorders>
          </w:tcPr>
          <w:p w14:paraId="186139EF"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Establish all planning units called for in the project, engage the services of technical experts and consultants, and begin planning through the mapping exercise.</w:t>
            </w:r>
          </w:p>
        </w:tc>
        <w:tc>
          <w:tcPr>
            <w:tcW w:w="1980" w:type="dxa"/>
            <w:vMerge w:val="restart"/>
            <w:tcBorders>
              <w:top w:val="single" w:sz="4" w:space="0" w:color="auto"/>
              <w:left w:val="single" w:sz="4" w:space="0" w:color="auto"/>
              <w:right w:val="single" w:sz="4" w:space="0" w:color="auto"/>
            </w:tcBorders>
            <w:vAlign w:val="center"/>
          </w:tcPr>
          <w:p w14:paraId="64F84596"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 2, and 3</w:t>
            </w:r>
          </w:p>
        </w:tc>
      </w:tr>
      <w:tr w:rsidR="005F36E3" w:rsidRPr="00B02352" w14:paraId="780648C2"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45963966"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2F24E35C"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 body engages in planning on an ad hoc basis</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35330A14"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21669F3"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30EB4A19"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D866B1D"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38C813B3"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6EA87D89"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50E4E3DC"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57CA0769"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24223284"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4EF8A521"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 body engages in planning on a semi-consistent basis, but this is inadequate to complete plans</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33E3BF27"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328FEAE"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16BF25F1"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E1F4207"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5034D837"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16578F5F"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3823FDBD"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7CE18C82"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7C8B397B"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04292AEF"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 xml:space="preserve">The body is actively and consistently involved in Landscape/ Seascape Planning with evaluation </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3A60C10E"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CDB12B3"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6B6923FB"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B9654E9"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11444AE2"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bottom w:val="single" w:sz="4" w:space="0" w:color="auto"/>
              <w:right w:val="single" w:sz="4" w:space="0" w:color="auto"/>
            </w:tcBorders>
          </w:tcPr>
          <w:p w14:paraId="03F98A96"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bottom w:val="single" w:sz="4" w:space="0" w:color="auto"/>
              <w:right w:val="single" w:sz="4" w:space="0" w:color="auto"/>
            </w:tcBorders>
            <w:vAlign w:val="center"/>
          </w:tcPr>
          <w:p w14:paraId="17463EBD"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0E604E06" w14:textId="77777777" w:rsidTr="005F36E3">
        <w:trPr>
          <w:trHeight w:val="240"/>
        </w:trPr>
        <w:tc>
          <w:tcPr>
            <w:tcW w:w="1615" w:type="dxa"/>
            <w:vMerge w:val="restart"/>
            <w:tcBorders>
              <w:top w:val="nil"/>
              <w:left w:val="single" w:sz="4" w:space="0" w:color="auto"/>
              <w:bottom w:val="single" w:sz="4" w:space="0" w:color="000000"/>
              <w:right w:val="single" w:sz="4" w:space="0" w:color="auto"/>
            </w:tcBorders>
            <w:shd w:val="clear" w:color="auto" w:fill="auto"/>
            <w:hideMark/>
          </w:tcPr>
          <w:p w14:paraId="73D84BBD" w14:textId="77777777" w:rsidR="00874815" w:rsidRPr="00EB71A9" w:rsidRDefault="00874815"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2.5. Is there a common vision or guiding principle for Landscape/ Seascape Planning?</w:t>
            </w:r>
          </w:p>
        </w:tc>
        <w:tc>
          <w:tcPr>
            <w:tcW w:w="2340" w:type="dxa"/>
            <w:tcBorders>
              <w:top w:val="single" w:sz="4" w:space="0" w:color="auto"/>
              <w:left w:val="nil"/>
              <w:bottom w:val="single" w:sz="4" w:space="0" w:color="auto"/>
              <w:right w:val="single" w:sz="4" w:space="0" w:color="auto"/>
            </w:tcBorders>
            <w:shd w:val="clear" w:color="auto" w:fill="auto"/>
            <w:hideMark/>
          </w:tcPr>
          <w:p w14:paraId="4BDE7CE2"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No</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3169C13F"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74AE1"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1B706E09"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A1002"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40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584F42B"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There are several national level visions, such as Pristine Palau and the vision in the Sustainable Land Management Policy, National Climate Change Policy, and PNMS. There is no coherent vision across sectors.</w:t>
            </w:r>
          </w:p>
        </w:tc>
        <w:tc>
          <w:tcPr>
            <w:tcW w:w="2340" w:type="dxa"/>
            <w:vMerge w:val="restart"/>
            <w:tcBorders>
              <w:top w:val="single" w:sz="4" w:space="0" w:color="auto"/>
              <w:left w:val="single" w:sz="4" w:space="0" w:color="auto"/>
              <w:right w:val="single" w:sz="4" w:space="0" w:color="auto"/>
            </w:tcBorders>
          </w:tcPr>
          <w:p w14:paraId="7897EE7C"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After the mapping exercise, task each Planning Team with developing a coherent vision that considers cross-sectors and cross-boundaries. The vision should also consider gender mainstreaming and inclusivity goals.</w:t>
            </w:r>
          </w:p>
        </w:tc>
        <w:tc>
          <w:tcPr>
            <w:tcW w:w="1980" w:type="dxa"/>
            <w:vMerge w:val="restart"/>
            <w:tcBorders>
              <w:top w:val="single" w:sz="4" w:space="0" w:color="auto"/>
              <w:left w:val="single" w:sz="4" w:space="0" w:color="auto"/>
              <w:right w:val="single" w:sz="4" w:space="0" w:color="auto"/>
            </w:tcBorders>
            <w:vAlign w:val="center"/>
          </w:tcPr>
          <w:p w14:paraId="77A4F538"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All</w:t>
            </w:r>
          </w:p>
        </w:tc>
      </w:tr>
      <w:tr w:rsidR="005F36E3" w:rsidRPr="00B02352" w14:paraId="309175E2"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1F9DE637"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0795A200"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A vision is in development, or is outdated</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1274A18F"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1F66B056"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41878E5C"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86D4554"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63095C30"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792291DF"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3E43228E"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3F57A717"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57641FD7"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3726528C"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A Vision or Design principles have been proposed, but are supported or understood by only a few stakeholders</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54399DB9"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164AC61"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4E35EDD6"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5F21A77"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33EDF40A"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4AB7EEEF"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0D5635B9"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424AC62B"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20B1EFA1"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6542B7E5"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A stakeholder-driven vision and design principles forms the underlying basis of Landscape/ Seascape Plans</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4B95C62D"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BE07B19"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7DDF443F"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94A20BD"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2BD6FC9B"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bottom w:val="single" w:sz="4" w:space="0" w:color="auto"/>
              <w:right w:val="single" w:sz="4" w:space="0" w:color="auto"/>
            </w:tcBorders>
          </w:tcPr>
          <w:p w14:paraId="71A58938"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bottom w:val="single" w:sz="4" w:space="0" w:color="auto"/>
              <w:right w:val="single" w:sz="4" w:space="0" w:color="auto"/>
            </w:tcBorders>
            <w:vAlign w:val="center"/>
          </w:tcPr>
          <w:p w14:paraId="768E0B0C"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4F6E4044" w14:textId="77777777" w:rsidTr="005F36E3">
        <w:trPr>
          <w:trHeight w:val="240"/>
        </w:trPr>
        <w:tc>
          <w:tcPr>
            <w:tcW w:w="1615" w:type="dxa"/>
            <w:vMerge w:val="restart"/>
            <w:tcBorders>
              <w:top w:val="nil"/>
              <w:left w:val="single" w:sz="4" w:space="0" w:color="auto"/>
              <w:bottom w:val="single" w:sz="4" w:space="0" w:color="000000"/>
              <w:right w:val="single" w:sz="4" w:space="0" w:color="auto"/>
            </w:tcBorders>
            <w:shd w:val="clear" w:color="auto" w:fill="auto"/>
            <w:hideMark/>
          </w:tcPr>
          <w:p w14:paraId="49A12E5F" w14:textId="77777777" w:rsidR="00874815" w:rsidRPr="00EB71A9" w:rsidRDefault="00874815"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2.6. Are Landscape/ Seascape Planning &amp; Management requirements incorporated into the different Agency’s and Organization’s plans and Strategy’s?</w:t>
            </w:r>
          </w:p>
        </w:tc>
        <w:tc>
          <w:tcPr>
            <w:tcW w:w="2340" w:type="dxa"/>
            <w:tcBorders>
              <w:top w:val="single" w:sz="4" w:space="0" w:color="auto"/>
              <w:left w:val="nil"/>
              <w:bottom w:val="single" w:sz="4" w:space="0" w:color="auto"/>
              <w:right w:val="single" w:sz="4" w:space="0" w:color="auto"/>
            </w:tcBorders>
            <w:shd w:val="clear" w:color="auto" w:fill="auto"/>
            <w:hideMark/>
          </w:tcPr>
          <w:p w14:paraId="477CC8AE"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No</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192B90B5"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B2CE5"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3FD62F6C"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62119"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40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5906DEA"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 xml:space="preserve">Incorporation of National Policies are integrated across work plans in an ad hoc basis. PAN requirements are integrated into management plans for sites. </w:t>
            </w:r>
          </w:p>
        </w:tc>
        <w:tc>
          <w:tcPr>
            <w:tcW w:w="2340" w:type="dxa"/>
            <w:vMerge w:val="restart"/>
            <w:tcBorders>
              <w:top w:val="single" w:sz="4" w:space="0" w:color="auto"/>
              <w:left w:val="single" w:sz="4" w:space="0" w:color="auto"/>
              <w:right w:val="single" w:sz="4" w:space="0" w:color="auto"/>
            </w:tcBorders>
          </w:tcPr>
          <w:p w14:paraId="60D55577"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 xml:space="preserve">Identify national level and state level priorities and policies that need to be mainstreamed into work plans. </w:t>
            </w:r>
          </w:p>
          <w:p w14:paraId="733C9D8E" w14:textId="77777777" w:rsidR="00874815" w:rsidRPr="00EB71A9" w:rsidRDefault="00874815" w:rsidP="00B02352">
            <w:pPr>
              <w:spacing w:after="0"/>
              <w:jc w:val="left"/>
              <w:rPr>
                <w:rFonts w:asciiTheme="majorHAnsi" w:eastAsia="Times New Roman" w:hAnsiTheme="majorHAnsi"/>
                <w:color w:val="000000"/>
                <w:sz w:val="18"/>
                <w:szCs w:val="18"/>
              </w:rPr>
            </w:pPr>
          </w:p>
          <w:p w14:paraId="77753CEE"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Begin annual joint work planning by the NEPC and its subcommittees to determine and model and appropriate process.</w:t>
            </w:r>
          </w:p>
        </w:tc>
        <w:tc>
          <w:tcPr>
            <w:tcW w:w="1980" w:type="dxa"/>
            <w:vMerge w:val="restart"/>
            <w:tcBorders>
              <w:top w:val="single" w:sz="4" w:space="0" w:color="auto"/>
              <w:left w:val="single" w:sz="4" w:space="0" w:color="auto"/>
              <w:right w:val="single" w:sz="4" w:space="0" w:color="auto"/>
            </w:tcBorders>
            <w:vAlign w:val="center"/>
          </w:tcPr>
          <w:p w14:paraId="67AF6979"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 2, and 3</w:t>
            </w:r>
          </w:p>
        </w:tc>
      </w:tr>
      <w:tr w:rsidR="005F36E3" w:rsidRPr="00B02352" w14:paraId="4DFB2385"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53A44D77"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613CA31F"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Unsystematic, ad hoc inclusion of Landscape/ Seascape Planning issues and requirements</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6E4AD4BE"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7D08039"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24D3E6A5"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0441CE8"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0015EFBD"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649AD816"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2360A733"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1462AE1E"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368E96E9"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17402A36"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Relatively systematic attention to  Landscape/ Seascape Planning issues and requirements</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13A00AA0"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DC447A8"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6DFDE653"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079E661"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1F87E431"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3B49F42F"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1F297463"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06A4D23E" w14:textId="77777777" w:rsidTr="005F36E3">
        <w:trPr>
          <w:trHeight w:val="480"/>
        </w:trPr>
        <w:tc>
          <w:tcPr>
            <w:tcW w:w="1615" w:type="dxa"/>
            <w:vMerge/>
            <w:tcBorders>
              <w:top w:val="nil"/>
              <w:left w:val="single" w:sz="4" w:space="0" w:color="auto"/>
              <w:bottom w:val="single" w:sz="4" w:space="0" w:color="000000"/>
              <w:right w:val="single" w:sz="4" w:space="0" w:color="auto"/>
            </w:tcBorders>
            <w:hideMark/>
          </w:tcPr>
          <w:p w14:paraId="28BE788F"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2E23E09D"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Full systematic attention to Landscape/ Seascape Planning issues and requirements including formalized coordination arrangements</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316CB8A2"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2F3F146"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537BDCC6"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1D189AC"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6E9B5AFB"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bottom w:val="single" w:sz="4" w:space="0" w:color="auto"/>
              <w:right w:val="single" w:sz="4" w:space="0" w:color="auto"/>
            </w:tcBorders>
          </w:tcPr>
          <w:p w14:paraId="58FE44AC"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bottom w:val="single" w:sz="4" w:space="0" w:color="auto"/>
              <w:right w:val="single" w:sz="4" w:space="0" w:color="auto"/>
            </w:tcBorders>
            <w:vAlign w:val="center"/>
          </w:tcPr>
          <w:p w14:paraId="2D9D4D22"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44AB7939" w14:textId="77777777" w:rsidTr="005F36E3">
        <w:trPr>
          <w:trHeight w:val="240"/>
        </w:trPr>
        <w:tc>
          <w:tcPr>
            <w:tcW w:w="1615" w:type="dxa"/>
            <w:vMerge w:val="restart"/>
            <w:tcBorders>
              <w:top w:val="nil"/>
              <w:left w:val="single" w:sz="4" w:space="0" w:color="auto"/>
              <w:bottom w:val="single" w:sz="4" w:space="0" w:color="000000"/>
              <w:right w:val="single" w:sz="4" w:space="0" w:color="auto"/>
            </w:tcBorders>
            <w:shd w:val="clear" w:color="auto" w:fill="auto"/>
            <w:hideMark/>
          </w:tcPr>
          <w:p w14:paraId="7C225389" w14:textId="77777777" w:rsidR="00874815" w:rsidRPr="00EB71A9" w:rsidRDefault="00874815"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2.7. Are Landscape/ Seascape Planning &amp; Management requirements including biodiversity and ecosystem services mainstreamed into development plans?</w:t>
            </w:r>
          </w:p>
        </w:tc>
        <w:tc>
          <w:tcPr>
            <w:tcW w:w="2340" w:type="dxa"/>
            <w:tcBorders>
              <w:top w:val="single" w:sz="4" w:space="0" w:color="auto"/>
              <w:left w:val="nil"/>
              <w:bottom w:val="single" w:sz="4" w:space="0" w:color="auto"/>
              <w:right w:val="single" w:sz="4" w:space="0" w:color="auto"/>
            </w:tcBorders>
            <w:shd w:val="clear" w:color="auto" w:fill="auto"/>
            <w:hideMark/>
          </w:tcPr>
          <w:p w14:paraId="4BEBA5C1"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No</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2A42C80A"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0E2D3"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400AA586"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CDC98"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40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4661BA4" w14:textId="4E2D1359"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National development plans such as the 2020 Master Plan and the Mid-Term Development Plan consider biodiversity and ecosystem services but do not mandate their inclusion. On-the-ground development is driven by private businesses and by states opportunistically. The only legal mandates for mainstreaming come from EQPB’s permitting requirements.</w:t>
            </w:r>
          </w:p>
        </w:tc>
        <w:tc>
          <w:tcPr>
            <w:tcW w:w="2340" w:type="dxa"/>
            <w:vMerge w:val="restart"/>
            <w:tcBorders>
              <w:top w:val="single" w:sz="4" w:space="0" w:color="auto"/>
              <w:left w:val="single" w:sz="4" w:space="0" w:color="auto"/>
              <w:right w:val="single" w:sz="4" w:space="0" w:color="auto"/>
            </w:tcBorders>
          </w:tcPr>
          <w:p w14:paraId="1C3F292A"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 xml:space="preserve">Create Landscape/ Seascape Planning teams at the State level and ensure that the representatives are empowered and that resultant plans will have the force of law </w:t>
            </w:r>
          </w:p>
          <w:p w14:paraId="3E1AE7C8"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by also working with states to pass legislation and leasing requirements.</w:t>
            </w:r>
          </w:p>
          <w:p w14:paraId="293AADFD"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Reach out to business sector partners to sit on NEPC subcommittees and State Planning Teams. Include requirements in outreach materials.</w:t>
            </w:r>
          </w:p>
        </w:tc>
        <w:tc>
          <w:tcPr>
            <w:tcW w:w="1980" w:type="dxa"/>
            <w:vMerge w:val="restart"/>
            <w:tcBorders>
              <w:top w:val="single" w:sz="4" w:space="0" w:color="auto"/>
              <w:left w:val="single" w:sz="4" w:space="0" w:color="auto"/>
              <w:right w:val="single" w:sz="4" w:space="0" w:color="auto"/>
            </w:tcBorders>
            <w:vAlign w:val="center"/>
          </w:tcPr>
          <w:p w14:paraId="4B317D94"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All</w:t>
            </w:r>
          </w:p>
        </w:tc>
      </w:tr>
      <w:tr w:rsidR="005F36E3" w:rsidRPr="00B02352" w14:paraId="17576EC0"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01564D1D"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66D8F6FF"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Unsystematic and ad hoc, only including legally mandated environmental safeguards</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2C888DF3"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DBA6525"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42C6E2F4"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62FD926A"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34E6DC4D"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179E501D"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2F742FB8"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4B4D333A" w14:textId="77777777" w:rsidTr="005F36E3">
        <w:trPr>
          <w:trHeight w:val="480"/>
        </w:trPr>
        <w:tc>
          <w:tcPr>
            <w:tcW w:w="1615" w:type="dxa"/>
            <w:vMerge/>
            <w:tcBorders>
              <w:top w:val="nil"/>
              <w:left w:val="single" w:sz="4" w:space="0" w:color="auto"/>
              <w:bottom w:val="single" w:sz="4" w:space="0" w:color="000000"/>
              <w:right w:val="single" w:sz="4" w:space="0" w:color="auto"/>
            </w:tcBorders>
            <w:hideMark/>
          </w:tcPr>
          <w:p w14:paraId="10408B7A"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173384FD"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Relatively systematic attention to Landscape/ Seascape requirements but not fully taking biodiversity and ecosystem services into account</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2E81A432"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E84D42D"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08CC9D2A"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CB60D6E"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5F2DFF23"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02A1DB2D"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166211AF"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13F6C33A" w14:textId="77777777" w:rsidTr="005F36E3">
        <w:trPr>
          <w:trHeight w:val="480"/>
        </w:trPr>
        <w:tc>
          <w:tcPr>
            <w:tcW w:w="1615" w:type="dxa"/>
            <w:vMerge/>
            <w:tcBorders>
              <w:top w:val="nil"/>
              <w:left w:val="single" w:sz="4" w:space="0" w:color="auto"/>
              <w:bottom w:val="single" w:sz="4" w:space="0" w:color="000000"/>
              <w:right w:val="single" w:sz="4" w:space="0" w:color="auto"/>
            </w:tcBorders>
            <w:hideMark/>
          </w:tcPr>
          <w:p w14:paraId="6BB321F1"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522A0DA4"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Full systematic mainstreaming of Landscape/ Seascape Planning issues including formalized screening for biodiversity and ecosystem services in planning procedures</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325A266B"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780A88B"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2DCEB5E3"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6E2493B0"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0C42B90F"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bottom w:val="single" w:sz="4" w:space="0" w:color="auto"/>
              <w:right w:val="single" w:sz="4" w:space="0" w:color="auto"/>
            </w:tcBorders>
          </w:tcPr>
          <w:p w14:paraId="76C21A23"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bottom w:val="single" w:sz="4" w:space="0" w:color="auto"/>
              <w:right w:val="single" w:sz="4" w:space="0" w:color="auto"/>
            </w:tcBorders>
            <w:vAlign w:val="center"/>
          </w:tcPr>
          <w:p w14:paraId="0F719892"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67F0197E" w14:textId="77777777" w:rsidTr="005F36E3">
        <w:trPr>
          <w:trHeight w:val="240"/>
        </w:trPr>
        <w:tc>
          <w:tcPr>
            <w:tcW w:w="1615" w:type="dxa"/>
            <w:vMerge w:val="restart"/>
            <w:tcBorders>
              <w:top w:val="nil"/>
              <w:left w:val="single" w:sz="4" w:space="0" w:color="auto"/>
              <w:bottom w:val="single" w:sz="4" w:space="0" w:color="000000"/>
              <w:right w:val="single" w:sz="4" w:space="0" w:color="auto"/>
            </w:tcBorders>
            <w:shd w:val="clear" w:color="auto" w:fill="auto"/>
            <w:hideMark/>
          </w:tcPr>
          <w:p w14:paraId="7CAC45A8" w14:textId="77777777" w:rsidR="00874815" w:rsidRPr="00EB71A9" w:rsidRDefault="00874815"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2.8. Are Landscape/ Seascape Planning &amp; Management requirements incorporated into EA/EIS procedures for development projects?</w:t>
            </w:r>
          </w:p>
        </w:tc>
        <w:tc>
          <w:tcPr>
            <w:tcW w:w="2340" w:type="dxa"/>
            <w:tcBorders>
              <w:top w:val="single" w:sz="4" w:space="0" w:color="auto"/>
              <w:left w:val="nil"/>
              <w:bottom w:val="single" w:sz="4" w:space="0" w:color="auto"/>
              <w:right w:val="single" w:sz="4" w:space="0" w:color="auto"/>
            </w:tcBorders>
            <w:shd w:val="clear" w:color="auto" w:fill="auto"/>
            <w:hideMark/>
          </w:tcPr>
          <w:p w14:paraId="77F94A12"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No</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319B811D"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4F0A8"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79811C91"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1E813"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40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AA1156B" w14:textId="2D0253F2"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EQPB’s EA requirements do not have strong protections and very few development projects trigger the EIS requirement, which does have more stringent requirements. EQPB’s regulations are outdated</w:t>
            </w:r>
            <w:r w:rsidR="00194AA1" w:rsidRPr="00EB71A9">
              <w:rPr>
                <w:rFonts w:asciiTheme="majorHAnsi" w:eastAsia="Times New Roman" w:hAnsiTheme="majorHAnsi"/>
                <w:color w:val="000000"/>
                <w:sz w:val="18"/>
                <w:szCs w:val="18"/>
              </w:rPr>
              <w:t xml:space="preserve">. </w:t>
            </w:r>
            <w:r w:rsidRPr="00EB71A9">
              <w:rPr>
                <w:rFonts w:asciiTheme="majorHAnsi" w:eastAsia="Times New Roman" w:hAnsiTheme="majorHAnsi"/>
                <w:color w:val="000000"/>
                <w:sz w:val="18"/>
                <w:szCs w:val="18"/>
              </w:rPr>
              <w:t xml:space="preserve">Projects are encouraged to avoid harming the environment but in many cases there is no way to enforce these requirements. </w:t>
            </w:r>
          </w:p>
        </w:tc>
        <w:tc>
          <w:tcPr>
            <w:tcW w:w="2340" w:type="dxa"/>
            <w:vMerge w:val="restart"/>
            <w:tcBorders>
              <w:top w:val="single" w:sz="4" w:space="0" w:color="auto"/>
              <w:left w:val="single" w:sz="4" w:space="0" w:color="auto"/>
              <w:right w:val="single" w:sz="4" w:space="0" w:color="auto"/>
            </w:tcBorders>
          </w:tcPr>
          <w:p w14:paraId="50BF6EA8"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Outside of this project, EQPB is conducting a review and update of its regulations. The project will need to partner with EQPB to keep Planning Teams fully abreast of changes and to mainstream the new regulations into plans.</w:t>
            </w:r>
          </w:p>
        </w:tc>
        <w:tc>
          <w:tcPr>
            <w:tcW w:w="1980" w:type="dxa"/>
            <w:vMerge w:val="restart"/>
            <w:tcBorders>
              <w:top w:val="single" w:sz="4" w:space="0" w:color="auto"/>
              <w:left w:val="single" w:sz="4" w:space="0" w:color="auto"/>
              <w:right w:val="single" w:sz="4" w:space="0" w:color="auto"/>
            </w:tcBorders>
            <w:vAlign w:val="center"/>
          </w:tcPr>
          <w:p w14:paraId="5B04F321"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r>
      <w:tr w:rsidR="005F36E3" w:rsidRPr="00B02352" w14:paraId="4A1B08F8"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010EF52E"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35E0A999"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EA/EIS procedures are applied but with little attention to avoidance or mitigation of development impacts</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06D71BCB"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551E516"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31CE2228"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C0135F7"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658031F9"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020A1738"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58297930"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11FC57A0" w14:textId="77777777" w:rsidTr="005F36E3">
        <w:trPr>
          <w:trHeight w:val="480"/>
        </w:trPr>
        <w:tc>
          <w:tcPr>
            <w:tcW w:w="1615" w:type="dxa"/>
            <w:vMerge/>
            <w:tcBorders>
              <w:top w:val="nil"/>
              <w:left w:val="single" w:sz="4" w:space="0" w:color="auto"/>
              <w:bottom w:val="single" w:sz="4" w:space="0" w:color="000000"/>
              <w:right w:val="single" w:sz="4" w:space="0" w:color="auto"/>
            </w:tcBorders>
            <w:hideMark/>
          </w:tcPr>
          <w:p w14:paraId="0A33FD78"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078FA33D"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EA/EIS procedures take into account available biodiversity and ecosystem services knowledge and include avoidance and mitigation measures</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2C7608F1"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741DEB7"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4509F22A"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99C0D60"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62B9E6BA"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10D55905"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63C4DA6C"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2F7C661E" w14:textId="77777777" w:rsidTr="005F36E3">
        <w:trPr>
          <w:trHeight w:val="480"/>
        </w:trPr>
        <w:tc>
          <w:tcPr>
            <w:tcW w:w="1615" w:type="dxa"/>
            <w:vMerge/>
            <w:tcBorders>
              <w:top w:val="nil"/>
              <w:left w:val="single" w:sz="4" w:space="0" w:color="auto"/>
              <w:bottom w:val="single" w:sz="4" w:space="0" w:color="000000"/>
              <w:right w:val="single" w:sz="4" w:space="0" w:color="auto"/>
            </w:tcBorders>
            <w:hideMark/>
          </w:tcPr>
          <w:p w14:paraId="18BA484E"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3D748E23"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Proactive measures are taken to avoid impacts on biodiversity and ecosystem services through Landscape/ Seascape Planning and detailed EA/EIS procedures for projects in environmentally sensitive areas</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3B7D983A"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C45B5CC"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795C2CF2"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603537F3"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74B03ED0"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bottom w:val="single" w:sz="4" w:space="0" w:color="auto"/>
              <w:right w:val="single" w:sz="4" w:space="0" w:color="auto"/>
            </w:tcBorders>
          </w:tcPr>
          <w:p w14:paraId="2866B417"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bottom w:val="single" w:sz="4" w:space="0" w:color="auto"/>
              <w:right w:val="single" w:sz="4" w:space="0" w:color="auto"/>
            </w:tcBorders>
            <w:vAlign w:val="center"/>
          </w:tcPr>
          <w:p w14:paraId="07179A05"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71B172C4" w14:textId="77777777" w:rsidTr="005F36E3">
        <w:trPr>
          <w:trHeight w:val="240"/>
        </w:trPr>
        <w:tc>
          <w:tcPr>
            <w:tcW w:w="1615" w:type="dxa"/>
            <w:vMerge w:val="restart"/>
            <w:tcBorders>
              <w:top w:val="nil"/>
              <w:left w:val="single" w:sz="4" w:space="0" w:color="auto"/>
              <w:bottom w:val="single" w:sz="4" w:space="0" w:color="000000"/>
              <w:right w:val="single" w:sz="4" w:space="0" w:color="auto"/>
            </w:tcBorders>
            <w:shd w:val="clear" w:color="auto" w:fill="auto"/>
            <w:hideMark/>
          </w:tcPr>
          <w:p w14:paraId="52665E7F" w14:textId="77777777" w:rsidR="00874815" w:rsidRPr="00EB71A9" w:rsidRDefault="00874815"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2.9. Are Landscape/ Seascape Plans coordinated with other site-specific plans such as PAN Management Plans?</w:t>
            </w:r>
          </w:p>
        </w:tc>
        <w:tc>
          <w:tcPr>
            <w:tcW w:w="2340" w:type="dxa"/>
            <w:tcBorders>
              <w:top w:val="single" w:sz="4" w:space="0" w:color="auto"/>
              <w:left w:val="nil"/>
              <w:bottom w:val="single" w:sz="4" w:space="0" w:color="auto"/>
              <w:right w:val="single" w:sz="4" w:space="0" w:color="auto"/>
            </w:tcBorders>
            <w:shd w:val="clear" w:color="auto" w:fill="auto"/>
            <w:hideMark/>
          </w:tcPr>
          <w:p w14:paraId="3C44008F"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No</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17D6404C"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D6EFE"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2E47AF69"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11E46"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40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8CEA05F" w14:textId="07A58548"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Currently there is awareness of the need to align and coordinate within the marine sectors, but as there are no Landscape/ Seascape Plans beyond a few draft Master Plans in 3 states there is no way for PAN or Site Plans to be aligned.</w:t>
            </w:r>
          </w:p>
        </w:tc>
        <w:tc>
          <w:tcPr>
            <w:tcW w:w="2340" w:type="dxa"/>
            <w:vMerge w:val="restart"/>
            <w:tcBorders>
              <w:top w:val="single" w:sz="4" w:space="0" w:color="auto"/>
              <w:left w:val="single" w:sz="4" w:space="0" w:color="auto"/>
              <w:right w:val="single" w:sz="4" w:space="0" w:color="auto"/>
            </w:tcBorders>
          </w:tcPr>
          <w:p w14:paraId="49EB1B87"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 xml:space="preserve">Improve coordination mechanisms at MNRET to align the PAN Program with Landscape/ Seascape Planning </w:t>
            </w:r>
          </w:p>
          <w:p w14:paraId="5B8BDAAA"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such as by hiring the coordinator for the future Environmental Planning Unit and by building in criteria into State level plans to consider PAN and other site level plans.</w:t>
            </w:r>
          </w:p>
        </w:tc>
        <w:tc>
          <w:tcPr>
            <w:tcW w:w="1980" w:type="dxa"/>
            <w:vMerge w:val="restart"/>
            <w:tcBorders>
              <w:top w:val="single" w:sz="4" w:space="0" w:color="auto"/>
              <w:left w:val="single" w:sz="4" w:space="0" w:color="auto"/>
              <w:right w:val="single" w:sz="4" w:space="0" w:color="auto"/>
            </w:tcBorders>
            <w:vAlign w:val="center"/>
          </w:tcPr>
          <w:p w14:paraId="1F5096AF"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 2, and 3</w:t>
            </w:r>
          </w:p>
        </w:tc>
      </w:tr>
      <w:tr w:rsidR="005F36E3" w:rsidRPr="00B02352" w14:paraId="1FC33F9A"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3F8CB613"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1431CDE6"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There is some awareness of the need to coordinate individual with larger scale plans</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55B49F9C"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D5C0036"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1D80D79C"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2DC33CA"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04BBCE76"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33EC44EF"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0A1D43EB"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5B0DD9A8"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206BB763"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5F670C88"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Coordination of site and larger scale plans has begun</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0F58A6C2"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70222C9"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07FD6FB6"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0B341CE"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17F04784"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77F457F6"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73DF5D5E"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5463B4C3"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3D63DB45"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3ADFCCB8"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Site-level and Landscape/ Seascape Level Plans are fully coordinated</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36BD82D7"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1F513D56"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0AAACDCF"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5A62F34"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636DAFC9"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bottom w:val="single" w:sz="4" w:space="0" w:color="auto"/>
              <w:right w:val="single" w:sz="4" w:space="0" w:color="auto"/>
            </w:tcBorders>
          </w:tcPr>
          <w:p w14:paraId="01FDA051"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bottom w:val="single" w:sz="4" w:space="0" w:color="auto"/>
              <w:right w:val="single" w:sz="4" w:space="0" w:color="auto"/>
            </w:tcBorders>
            <w:vAlign w:val="center"/>
          </w:tcPr>
          <w:p w14:paraId="79FC0549"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1175D95A" w14:textId="77777777" w:rsidTr="005F36E3">
        <w:trPr>
          <w:trHeight w:val="240"/>
        </w:trPr>
        <w:tc>
          <w:tcPr>
            <w:tcW w:w="11628" w:type="dxa"/>
            <w:gridSpan w:val="7"/>
            <w:tcBorders>
              <w:top w:val="single" w:sz="4" w:space="0" w:color="auto"/>
              <w:left w:val="single" w:sz="4" w:space="0" w:color="auto"/>
              <w:bottom w:val="single" w:sz="4" w:space="0" w:color="auto"/>
              <w:right w:val="single" w:sz="4" w:space="0" w:color="auto"/>
            </w:tcBorders>
            <w:shd w:val="clear" w:color="000000" w:fill="C6E0B4"/>
            <w:vAlign w:val="center"/>
            <w:hideMark/>
          </w:tcPr>
          <w:p w14:paraId="101A7555" w14:textId="77777777" w:rsidR="00874815" w:rsidRPr="00EB71A9" w:rsidRDefault="00874815"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Capacity to mobilize information and knowledge</w:t>
            </w:r>
          </w:p>
        </w:tc>
        <w:tc>
          <w:tcPr>
            <w:tcW w:w="2340" w:type="dxa"/>
            <w:tcBorders>
              <w:top w:val="single" w:sz="4" w:space="0" w:color="auto"/>
              <w:left w:val="single" w:sz="4" w:space="0" w:color="auto"/>
              <w:bottom w:val="single" w:sz="4" w:space="0" w:color="auto"/>
              <w:right w:val="single" w:sz="4" w:space="0" w:color="auto"/>
            </w:tcBorders>
            <w:shd w:val="clear" w:color="000000" w:fill="C6E0B4"/>
            <w:vAlign w:val="center"/>
          </w:tcPr>
          <w:p w14:paraId="62140535"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1980" w:type="dxa"/>
            <w:tcBorders>
              <w:top w:val="single" w:sz="4" w:space="0" w:color="auto"/>
              <w:left w:val="single" w:sz="4" w:space="0" w:color="auto"/>
              <w:bottom w:val="single" w:sz="4" w:space="0" w:color="auto"/>
              <w:right w:val="single" w:sz="4" w:space="0" w:color="auto"/>
            </w:tcBorders>
            <w:shd w:val="clear" w:color="000000" w:fill="C6E0B4"/>
            <w:vAlign w:val="center"/>
          </w:tcPr>
          <w:p w14:paraId="3518BF76" w14:textId="77777777" w:rsidR="00874815" w:rsidRPr="00EB71A9" w:rsidRDefault="00874815" w:rsidP="00B02352">
            <w:pPr>
              <w:spacing w:after="0"/>
              <w:jc w:val="left"/>
              <w:rPr>
                <w:rFonts w:asciiTheme="majorHAnsi" w:eastAsia="Times New Roman" w:hAnsiTheme="majorHAnsi"/>
                <w:b/>
                <w:bCs/>
                <w:color w:val="000000"/>
                <w:sz w:val="18"/>
                <w:szCs w:val="18"/>
              </w:rPr>
            </w:pPr>
          </w:p>
        </w:tc>
      </w:tr>
      <w:tr w:rsidR="005F36E3" w:rsidRPr="00B02352" w14:paraId="5E634DBF" w14:textId="77777777" w:rsidTr="005F36E3">
        <w:trPr>
          <w:trHeight w:val="240"/>
        </w:trPr>
        <w:tc>
          <w:tcPr>
            <w:tcW w:w="1615" w:type="dxa"/>
            <w:vMerge w:val="restart"/>
            <w:tcBorders>
              <w:top w:val="nil"/>
              <w:left w:val="single" w:sz="4" w:space="0" w:color="auto"/>
              <w:bottom w:val="single" w:sz="4" w:space="0" w:color="000000"/>
              <w:right w:val="single" w:sz="4" w:space="0" w:color="auto"/>
            </w:tcBorders>
            <w:shd w:val="clear" w:color="auto" w:fill="auto"/>
            <w:hideMark/>
          </w:tcPr>
          <w:p w14:paraId="7120101C" w14:textId="77777777" w:rsidR="00874815" w:rsidRPr="00EB71A9" w:rsidRDefault="00874815"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3.1. What information on biodiversity, ecosystem services, and socio-economic vulnerability exists to support Landscape/ Seascape Planning?</w:t>
            </w:r>
          </w:p>
        </w:tc>
        <w:tc>
          <w:tcPr>
            <w:tcW w:w="2340" w:type="dxa"/>
            <w:tcBorders>
              <w:top w:val="single" w:sz="4" w:space="0" w:color="auto"/>
              <w:left w:val="nil"/>
              <w:bottom w:val="single" w:sz="4" w:space="0" w:color="auto"/>
              <w:right w:val="single" w:sz="4" w:space="0" w:color="auto"/>
            </w:tcBorders>
            <w:shd w:val="clear" w:color="auto" w:fill="auto"/>
            <w:hideMark/>
          </w:tcPr>
          <w:p w14:paraId="7616E7C6"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Information is virtually lacking</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67C67C75"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17323"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00CAEF5E"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DA0F9"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40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125304C" w14:textId="73F6C424"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Spatial information on the marine sector is quite good, but there are significant gaps on land and in the mangroves. High resolution maps exist for parts of Babeldaob</w:t>
            </w:r>
            <w:r w:rsidR="00EB71A9">
              <w:rPr>
                <w:rFonts w:asciiTheme="majorHAnsi" w:eastAsia="Times New Roman" w:hAnsiTheme="majorHAnsi"/>
                <w:color w:val="000000"/>
                <w:sz w:val="18"/>
                <w:szCs w:val="18"/>
              </w:rPr>
              <w:t>,</w:t>
            </w:r>
            <w:r w:rsidRPr="00EB71A9">
              <w:rPr>
                <w:rFonts w:asciiTheme="majorHAnsi" w:eastAsia="Times New Roman" w:hAnsiTheme="majorHAnsi"/>
                <w:color w:val="000000"/>
                <w:sz w:val="18"/>
                <w:szCs w:val="18"/>
              </w:rPr>
              <w:t xml:space="preserve"> but not country-wide. </w:t>
            </w:r>
          </w:p>
          <w:p w14:paraId="7ABAAFA7"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br/>
              <w:t>The SLM Policy identified some information needs, but there is no clarity on what information exactly is needed to conduct Landscape/ Seascape Plans.</w:t>
            </w:r>
          </w:p>
        </w:tc>
        <w:tc>
          <w:tcPr>
            <w:tcW w:w="2340" w:type="dxa"/>
            <w:vMerge w:val="restart"/>
            <w:tcBorders>
              <w:top w:val="single" w:sz="4" w:space="0" w:color="auto"/>
              <w:left w:val="single" w:sz="4" w:space="0" w:color="auto"/>
              <w:right w:val="single" w:sz="4" w:space="0" w:color="auto"/>
            </w:tcBorders>
          </w:tcPr>
          <w:p w14:paraId="66F184A0"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First, identify the information needs for Landscape/ Seascape Planning.</w:t>
            </w:r>
          </w:p>
          <w:p w14:paraId="5A79E662" w14:textId="77777777" w:rsidR="00874815" w:rsidRPr="00EB71A9" w:rsidRDefault="00874815" w:rsidP="00B02352">
            <w:pPr>
              <w:spacing w:after="0"/>
              <w:jc w:val="left"/>
              <w:rPr>
                <w:rFonts w:asciiTheme="majorHAnsi" w:eastAsia="Times New Roman" w:hAnsiTheme="majorHAnsi"/>
                <w:color w:val="000000"/>
                <w:sz w:val="18"/>
                <w:szCs w:val="18"/>
              </w:rPr>
            </w:pPr>
          </w:p>
          <w:p w14:paraId="11882BE6"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Conduct the mapping exercise through the project, including filling of information gaps.</w:t>
            </w:r>
          </w:p>
        </w:tc>
        <w:tc>
          <w:tcPr>
            <w:tcW w:w="1980" w:type="dxa"/>
            <w:vMerge w:val="restart"/>
            <w:tcBorders>
              <w:top w:val="single" w:sz="4" w:space="0" w:color="auto"/>
              <w:left w:val="single" w:sz="4" w:space="0" w:color="auto"/>
              <w:right w:val="single" w:sz="4" w:space="0" w:color="auto"/>
            </w:tcBorders>
            <w:vAlign w:val="center"/>
          </w:tcPr>
          <w:p w14:paraId="3008D86B"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 2, and 3</w:t>
            </w:r>
          </w:p>
        </w:tc>
      </w:tr>
      <w:tr w:rsidR="005F36E3" w:rsidRPr="00B02352" w14:paraId="2D7D57B4"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22AA802A"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020394B1"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Some information exists but is of poor quality and/or limited coverage of geographic and thematic subjects</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5E6BFE13"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6FFF0C72"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268D77B0"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1C356199"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46EDE912"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3013441D"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6E28C793"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60FABE4D" w14:textId="77777777" w:rsidTr="005F36E3">
        <w:trPr>
          <w:trHeight w:val="480"/>
        </w:trPr>
        <w:tc>
          <w:tcPr>
            <w:tcW w:w="1615" w:type="dxa"/>
            <w:vMerge/>
            <w:tcBorders>
              <w:top w:val="nil"/>
              <w:left w:val="single" w:sz="4" w:space="0" w:color="auto"/>
              <w:bottom w:val="single" w:sz="4" w:space="0" w:color="000000"/>
              <w:right w:val="single" w:sz="4" w:space="0" w:color="auto"/>
            </w:tcBorders>
            <w:hideMark/>
          </w:tcPr>
          <w:p w14:paraId="3C9A4D43"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0692D803"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Adequate information exists and is mostly of good quality, but gaps remain in quality, coverage and/or updating</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4A75A84E"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1EC6A18A"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452FDF82"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89E56CA"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4D74780C"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082E3715"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7003E87C"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6B6CCB80" w14:textId="77777777" w:rsidTr="005F36E3">
        <w:trPr>
          <w:trHeight w:val="480"/>
        </w:trPr>
        <w:tc>
          <w:tcPr>
            <w:tcW w:w="1615" w:type="dxa"/>
            <w:vMerge/>
            <w:tcBorders>
              <w:top w:val="nil"/>
              <w:left w:val="single" w:sz="4" w:space="0" w:color="auto"/>
              <w:bottom w:val="single" w:sz="4" w:space="0" w:color="000000"/>
              <w:right w:val="single" w:sz="4" w:space="0" w:color="auto"/>
            </w:tcBorders>
            <w:hideMark/>
          </w:tcPr>
          <w:p w14:paraId="0E63877D"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1B516F06"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Good quality information exists covering required geographical and thematic subjects and is updated to support planning purposes</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1E1CFDE4"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944DCF5"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41DD87A2"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6AA92984"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76AA9AB8"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bottom w:val="single" w:sz="4" w:space="0" w:color="auto"/>
              <w:right w:val="single" w:sz="4" w:space="0" w:color="auto"/>
            </w:tcBorders>
          </w:tcPr>
          <w:p w14:paraId="09FE8905"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bottom w:val="single" w:sz="4" w:space="0" w:color="auto"/>
              <w:right w:val="single" w:sz="4" w:space="0" w:color="auto"/>
            </w:tcBorders>
            <w:vAlign w:val="center"/>
          </w:tcPr>
          <w:p w14:paraId="04DB482E"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54A61EC1" w14:textId="77777777" w:rsidTr="005F36E3">
        <w:trPr>
          <w:trHeight w:val="512"/>
        </w:trPr>
        <w:tc>
          <w:tcPr>
            <w:tcW w:w="1615" w:type="dxa"/>
            <w:vMerge w:val="restart"/>
            <w:tcBorders>
              <w:top w:val="nil"/>
              <w:left w:val="single" w:sz="4" w:space="0" w:color="auto"/>
              <w:bottom w:val="single" w:sz="4" w:space="0" w:color="000000"/>
              <w:right w:val="single" w:sz="4" w:space="0" w:color="auto"/>
            </w:tcBorders>
            <w:shd w:val="clear" w:color="auto" w:fill="auto"/>
            <w:hideMark/>
          </w:tcPr>
          <w:p w14:paraId="47C7CF95" w14:textId="77777777" w:rsidR="00874815" w:rsidRPr="00EB71A9" w:rsidRDefault="00874815"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3.2. Is information on biodiversity, ecosystem services, and socio- economic vulnerability available in a useful form to support Landscape/ Seascape planning?</w:t>
            </w:r>
          </w:p>
        </w:tc>
        <w:tc>
          <w:tcPr>
            <w:tcW w:w="2340" w:type="dxa"/>
            <w:tcBorders>
              <w:top w:val="single" w:sz="4" w:space="0" w:color="auto"/>
              <w:left w:val="nil"/>
              <w:bottom w:val="single" w:sz="4" w:space="0" w:color="auto"/>
              <w:right w:val="single" w:sz="4" w:space="0" w:color="auto"/>
            </w:tcBorders>
            <w:shd w:val="clear" w:color="auto" w:fill="auto"/>
            <w:hideMark/>
          </w:tcPr>
          <w:p w14:paraId="57735820"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No information is available in a useable form</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7F08AB06"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5F87F"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366AE898"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9DB7F"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40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E166D87"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Data is plentiful and much of it is in useful form for mapping and planning. There are gaps in socio-economic spatial information. Existing information is located at many locations throughout Palau.</w:t>
            </w:r>
          </w:p>
        </w:tc>
        <w:tc>
          <w:tcPr>
            <w:tcW w:w="2340" w:type="dxa"/>
            <w:vMerge w:val="restart"/>
            <w:tcBorders>
              <w:top w:val="single" w:sz="4" w:space="0" w:color="auto"/>
              <w:left w:val="single" w:sz="4" w:space="0" w:color="auto"/>
              <w:right w:val="single" w:sz="4" w:space="0" w:color="auto"/>
            </w:tcBorders>
          </w:tcPr>
          <w:p w14:paraId="3D74BE71"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Outside of this project, the GEF-funded CB2 project is identifying locations of information and creating PALARIS as a coordinating mechanism. Information at PALARIS is in usable GIS form, but few have the capacity to access it. At the state level few have this type of technical capacity.</w:t>
            </w:r>
          </w:p>
          <w:p w14:paraId="42BACC31" w14:textId="77777777" w:rsidR="00874815" w:rsidRPr="00EB71A9" w:rsidRDefault="00874815" w:rsidP="00B02352">
            <w:pPr>
              <w:spacing w:after="0"/>
              <w:jc w:val="left"/>
              <w:rPr>
                <w:rFonts w:asciiTheme="majorHAnsi" w:eastAsia="Times New Roman" w:hAnsiTheme="majorHAnsi"/>
                <w:color w:val="000000"/>
                <w:sz w:val="18"/>
                <w:szCs w:val="18"/>
              </w:rPr>
            </w:pPr>
          </w:p>
          <w:p w14:paraId="13385729"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 project will build the capacity for Planning Teams to use the existing information.</w:t>
            </w:r>
          </w:p>
        </w:tc>
        <w:tc>
          <w:tcPr>
            <w:tcW w:w="1980" w:type="dxa"/>
            <w:vMerge w:val="restart"/>
            <w:tcBorders>
              <w:top w:val="single" w:sz="4" w:space="0" w:color="auto"/>
              <w:left w:val="single" w:sz="4" w:space="0" w:color="auto"/>
              <w:right w:val="single" w:sz="4" w:space="0" w:color="auto"/>
            </w:tcBorders>
            <w:vAlign w:val="center"/>
          </w:tcPr>
          <w:p w14:paraId="73746DD3"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34F2057F" w14:textId="77777777" w:rsidTr="005F36E3">
        <w:trPr>
          <w:trHeight w:val="350"/>
        </w:trPr>
        <w:tc>
          <w:tcPr>
            <w:tcW w:w="1615" w:type="dxa"/>
            <w:vMerge/>
            <w:tcBorders>
              <w:top w:val="nil"/>
              <w:left w:val="single" w:sz="4" w:space="0" w:color="auto"/>
              <w:bottom w:val="single" w:sz="4" w:space="0" w:color="000000"/>
              <w:right w:val="single" w:sz="4" w:space="0" w:color="auto"/>
            </w:tcBorders>
            <w:hideMark/>
          </w:tcPr>
          <w:p w14:paraId="03F6A98F"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28D38574"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Limited information is available in a useable form</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55B376F3"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60E730E0"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204AF118"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60FF8E3"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5DCC0E21"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7846F6F4"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557CEF37"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43D9B728"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43C99DEC"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28BC36D6"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Adequate information is available in a useable form, but some challenges remain</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579069E3"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A3B0181"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24B59C1D"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6632CDBD"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460BB742"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4A823285"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7FD90675"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50D21428"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12544EBA"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475CFD34"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 xml:space="preserve">A wide range of adequate information exists in a useable form </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556A803E"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1C6A7E2"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6D236F60"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374B3D5"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2F23B2E5"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bottom w:val="single" w:sz="4" w:space="0" w:color="auto"/>
              <w:right w:val="single" w:sz="4" w:space="0" w:color="auto"/>
            </w:tcBorders>
          </w:tcPr>
          <w:p w14:paraId="0792BDBB"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bottom w:val="single" w:sz="4" w:space="0" w:color="auto"/>
              <w:right w:val="single" w:sz="4" w:space="0" w:color="auto"/>
            </w:tcBorders>
            <w:vAlign w:val="center"/>
          </w:tcPr>
          <w:p w14:paraId="23856DCD"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19E2F866" w14:textId="77777777" w:rsidTr="005F36E3">
        <w:trPr>
          <w:trHeight w:val="890"/>
        </w:trPr>
        <w:tc>
          <w:tcPr>
            <w:tcW w:w="1615" w:type="dxa"/>
            <w:vMerge w:val="restart"/>
            <w:tcBorders>
              <w:top w:val="nil"/>
              <w:left w:val="single" w:sz="4" w:space="0" w:color="auto"/>
              <w:bottom w:val="single" w:sz="4" w:space="0" w:color="000000"/>
              <w:right w:val="single" w:sz="4" w:space="0" w:color="auto"/>
            </w:tcBorders>
            <w:shd w:val="clear" w:color="auto" w:fill="auto"/>
            <w:hideMark/>
          </w:tcPr>
          <w:p w14:paraId="265C35B3" w14:textId="77777777" w:rsidR="00874815" w:rsidRPr="00EB71A9" w:rsidRDefault="00874815"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 xml:space="preserve">3.3. Is information on the biophysical connections between land and sea environments available in a useful form to support Landscape/ Seascape Planning </w:t>
            </w:r>
          </w:p>
          <w:p w14:paraId="3A84CE79" w14:textId="77777777" w:rsidR="00874815" w:rsidRPr="00EB71A9" w:rsidRDefault="00874815"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such as connectivity, river flows, sedimentation, nutrient enrichment, pollution, coastal dynamics, climate drivers, and sea level rise?</w:t>
            </w:r>
          </w:p>
        </w:tc>
        <w:tc>
          <w:tcPr>
            <w:tcW w:w="2340" w:type="dxa"/>
            <w:tcBorders>
              <w:top w:val="single" w:sz="4" w:space="0" w:color="auto"/>
              <w:left w:val="nil"/>
              <w:bottom w:val="single" w:sz="4" w:space="0" w:color="auto"/>
              <w:right w:val="single" w:sz="4" w:space="0" w:color="auto"/>
            </w:tcBorders>
            <w:shd w:val="clear" w:color="auto" w:fill="auto"/>
            <w:hideMark/>
          </w:tcPr>
          <w:p w14:paraId="13F1C583"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No information is available in a useable form</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3D32E5FE"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E0BFA"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040E5356"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FB1BB"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40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D722235" w14:textId="1F867B8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 xml:space="preserve">There is good information for the marine sector, particularly in terms of coastal dynamics and connectivity between marine habitats. Most information is housed at PICRC </w:t>
            </w:r>
            <w:r w:rsidR="00EB71A9">
              <w:rPr>
                <w:rFonts w:asciiTheme="majorHAnsi" w:eastAsia="Times New Roman" w:hAnsiTheme="majorHAnsi"/>
                <w:color w:val="000000"/>
                <w:sz w:val="18"/>
                <w:szCs w:val="18"/>
              </w:rPr>
              <w:t>that</w:t>
            </w:r>
            <w:r w:rsidRPr="00EB71A9">
              <w:rPr>
                <w:rFonts w:asciiTheme="majorHAnsi" w:eastAsia="Times New Roman" w:hAnsiTheme="majorHAnsi"/>
                <w:color w:val="000000"/>
                <w:sz w:val="18"/>
                <w:szCs w:val="18"/>
              </w:rPr>
              <w:t xml:space="preserve"> is accessible but limited in its personnel capacity to analyze individual requests.</w:t>
            </w:r>
          </w:p>
          <w:p w14:paraId="4E972BD6" w14:textId="77777777" w:rsidR="00874815" w:rsidRPr="00EB71A9" w:rsidRDefault="00874815" w:rsidP="00B02352">
            <w:pPr>
              <w:spacing w:after="0"/>
              <w:jc w:val="left"/>
              <w:rPr>
                <w:rFonts w:asciiTheme="majorHAnsi" w:eastAsia="Times New Roman" w:hAnsiTheme="majorHAnsi"/>
                <w:color w:val="000000"/>
                <w:sz w:val="18"/>
                <w:szCs w:val="18"/>
              </w:rPr>
            </w:pPr>
          </w:p>
          <w:p w14:paraId="18798FD4"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 xml:space="preserve">There is limited information on terrestrial and freshwater connectivity. </w:t>
            </w:r>
          </w:p>
        </w:tc>
        <w:tc>
          <w:tcPr>
            <w:tcW w:w="2340" w:type="dxa"/>
            <w:vMerge w:val="restart"/>
            <w:tcBorders>
              <w:top w:val="single" w:sz="4" w:space="0" w:color="auto"/>
              <w:left w:val="single" w:sz="4" w:space="0" w:color="auto"/>
              <w:right w:val="single" w:sz="4" w:space="0" w:color="auto"/>
            </w:tcBorders>
          </w:tcPr>
          <w:p w14:paraId="0A8F7EC0"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 mapping exercise should identify relevant cross-sector connections, and help identify information needs.</w:t>
            </w:r>
          </w:p>
          <w:p w14:paraId="3DFE5135" w14:textId="77777777" w:rsidR="00874815" w:rsidRPr="00EB71A9" w:rsidRDefault="00874815" w:rsidP="00B02352">
            <w:pPr>
              <w:spacing w:after="0"/>
              <w:jc w:val="left"/>
              <w:rPr>
                <w:rFonts w:asciiTheme="majorHAnsi" w:eastAsia="Times New Roman" w:hAnsiTheme="majorHAnsi"/>
                <w:color w:val="000000"/>
                <w:sz w:val="18"/>
                <w:szCs w:val="18"/>
              </w:rPr>
            </w:pPr>
          </w:p>
          <w:p w14:paraId="607E46B4"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This project does not have a large investment in research, thus Landscape/ Seascape Plans will need to follow the National Climate Change Policy’s “No Regrets” principle.</w:t>
            </w:r>
          </w:p>
        </w:tc>
        <w:tc>
          <w:tcPr>
            <w:tcW w:w="1980" w:type="dxa"/>
            <w:vMerge w:val="restart"/>
            <w:tcBorders>
              <w:top w:val="single" w:sz="4" w:space="0" w:color="auto"/>
              <w:left w:val="single" w:sz="4" w:space="0" w:color="auto"/>
              <w:right w:val="single" w:sz="4" w:space="0" w:color="auto"/>
            </w:tcBorders>
            <w:vAlign w:val="center"/>
          </w:tcPr>
          <w:p w14:paraId="676B492C"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 2, and 3</w:t>
            </w:r>
          </w:p>
        </w:tc>
      </w:tr>
      <w:tr w:rsidR="005F36E3" w:rsidRPr="00B02352" w14:paraId="04831D83"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33602B9C"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0B75CF40"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Limited information is available in a useable form or is not readily accessible</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419C79FB"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B0060B6"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488AE761"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13DB5619"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6082B919"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1203E0E2"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39D6E7B0"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6F09A2DD"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350FE483"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3DBE38BA"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Adequate information is available in a useable form, but is not accessible or some other challenges remain</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459307D2"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49FCB5F"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7149CB4F"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70980B3"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029B1531"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1288BB31"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2281F7BC"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259A90C4"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5FB9E1A2"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7911ECAC"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A wide range of adequate information exists in a useable form and is readily accessible</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3FB1871C"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18990422"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4140405A"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8F198C8"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477F1390"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bottom w:val="single" w:sz="4" w:space="0" w:color="auto"/>
              <w:right w:val="single" w:sz="4" w:space="0" w:color="auto"/>
            </w:tcBorders>
          </w:tcPr>
          <w:p w14:paraId="711E4C28"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bottom w:val="single" w:sz="4" w:space="0" w:color="auto"/>
              <w:right w:val="single" w:sz="4" w:space="0" w:color="auto"/>
            </w:tcBorders>
            <w:vAlign w:val="center"/>
          </w:tcPr>
          <w:p w14:paraId="325C9A5C"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7B4A8BCA" w14:textId="77777777" w:rsidTr="005F36E3">
        <w:trPr>
          <w:trHeight w:val="240"/>
        </w:trPr>
        <w:tc>
          <w:tcPr>
            <w:tcW w:w="1615" w:type="dxa"/>
            <w:vMerge w:val="restart"/>
            <w:tcBorders>
              <w:top w:val="nil"/>
              <w:left w:val="single" w:sz="4" w:space="0" w:color="auto"/>
              <w:bottom w:val="single" w:sz="4" w:space="0" w:color="000000"/>
              <w:right w:val="single" w:sz="4" w:space="0" w:color="auto"/>
            </w:tcBorders>
            <w:shd w:val="clear" w:color="auto" w:fill="auto"/>
            <w:hideMark/>
          </w:tcPr>
          <w:p w14:paraId="35B084C6" w14:textId="77777777" w:rsidR="00874815" w:rsidRPr="00EB71A9" w:rsidRDefault="00874815"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3.4. Do planning authorities have the capacity to make use of available information on biodiversity, ecosystem services, and socio- economic vulnerability in planning processes?</w:t>
            </w:r>
          </w:p>
        </w:tc>
        <w:tc>
          <w:tcPr>
            <w:tcW w:w="2340" w:type="dxa"/>
            <w:tcBorders>
              <w:top w:val="single" w:sz="4" w:space="0" w:color="auto"/>
              <w:left w:val="nil"/>
              <w:bottom w:val="single" w:sz="4" w:space="0" w:color="auto"/>
              <w:right w:val="single" w:sz="4" w:space="0" w:color="auto"/>
            </w:tcBorders>
            <w:shd w:val="clear" w:color="auto" w:fill="auto"/>
            <w:hideMark/>
          </w:tcPr>
          <w:p w14:paraId="4FE2640A"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There is no mechanism for taking account of such information</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3B24B1BE"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3A543"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31A7A9A6"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40286"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40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8819183"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 xml:space="preserve">There is limited capacity for state-based leasing authorities and existing planning commissions </w:t>
            </w:r>
          </w:p>
          <w:p w14:paraId="4DB84FB1"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 xml:space="preserve">e.g. in Koror and Ngardmau to make use of information without technical expertise. For instance Koror has its own leasing program, but it does not always consider biodiversity and it is unclear if they have a process for considering ecological information. </w:t>
            </w:r>
          </w:p>
          <w:p w14:paraId="32D611DE" w14:textId="77777777" w:rsidR="00874815" w:rsidRPr="00EB71A9" w:rsidRDefault="00874815" w:rsidP="00B02352">
            <w:pPr>
              <w:spacing w:after="0"/>
              <w:jc w:val="left"/>
              <w:rPr>
                <w:rFonts w:asciiTheme="majorHAnsi" w:eastAsia="Times New Roman" w:hAnsiTheme="majorHAnsi"/>
                <w:color w:val="000000"/>
                <w:sz w:val="18"/>
                <w:szCs w:val="18"/>
              </w:rPr>
            </w:pPr>
          </w:p>
          <w:p w14:paraId="753A1FFF" w14:textId="75234038"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 xml:space="preserve">In some cases there is strong political or economic pressure to ignore available information </w:t>
            </w:r>
            <w:r w:rsidR="005F36E3">
              <w:rPr>
                <w:rFonts w:asciiTheme="majorHAnsi" w:eastAsia="Times New Roman" w:hAnsiTheme="majorHAnsi"/>
                <w:color w:val="000000"/>
                <w:sz w:val="18"/>
                <w:szCs w:val="18"/>
              </w:rPr>
              <w:t>e.</w:t>
            </w:r>
            <w:r w:rsidRPr="00EB71A9">
              <w:rPr>
                <w:rFonts w:asciiTheme="majorHAnsi" w:eastAsia="Times New Roman" w:hAnsiTheme="majorHAnsi"/>
                <w:color w:val="000000"/>
                <w:sz w:val="18"/>
                <w:szCs w:val="18"/>
              </w:rPr>
              <w:t xml:space="preserve">g. Airai gives out leases even where Master Plan indicates it is not ecologically beneficial to do so. </w:t>
            </w:r>
          </w:p>
        </w:tc>
        <w:tc>
          <w:tcPr>
            <w:tcW w:w="2340" w:type="dxa"/>
            <w:vMerge w:val="restart"/>
            <w:tcBorders>
              <w:top w:val="single" w:sz="4" w:space="0" w:color="auto"/>
              <w:left w:val="single" w:sz="4" w:space="0" w:color="auto"/>
              <w:right w:val="single" w:sz="4" w:space="0" w:color="auto"/>
            </w:tcBorders>
          </w:tcPr>
          <w:p w14:paraId="51EA67DB"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 Project incorporates trainings, consultations, multiple stakeholders, and outreach to build technical capacity.</w:t>
            </w:r>
          </w:p>
        </w:tc>
        <w:tc>
          <w:tcPr>
            <w:tcW w:w="1980" w:type="dxa"/>
            <w:vMerge w:val="restart"/>
            <w:tcBorders>
              <w:top w:val="single" w:sz="4" w:space="0" w:color="auto"/>
              <w:left w:val="single" w:sz="4" w:space="0" w:color="auto"/>
              <w:right w:val="single" w:sz="4" w:space="0" w:color="auto"/>
            </w:tcBorders>
            <w:vAlign w:val="center"/>
          </w:tcPr>
          <w:p w14:paraId="289F1DE4"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 2, and 3</w:t>
            </w:r>
          </w:p>
        </w:tc>
      </w:tr>
      <w:tr w:rsidR="005F36E3" w:rsidRPr="00B02352" w14:paraId="601C9B9A"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75E1CE06"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72A9AFF1"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 information is only used in an ad hoc, non-systematic manner</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72CFA2D0"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2A605EB"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563DC1B1"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1A3C7B6B"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1D5782BA"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413EDEA8"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23F098A4"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2541E052" w14:textId="77777777" w:rsidTr="005F36E3">
        <w:trPr>
          <w:trHeight w:val="827"/>
        </w:trPr>
        <w:tc>
          <w:tcPr>
            <w:tcW w:w="1615" w:type="dxa"/>
            <w:vMerge/>
            <w:tcBorders>
              <w:top w:val="nil"/>
              <w:left w:val="single" w:sz="4" w:space="0" w:color="auto"/>
              <w:bottom w:val="single" w:sz="4" w:space="0" w:color="000000"/>
              <w:right w:val="single" w:sz="4" w:space="0" w:color="auto"/>
            </w:tcBorders>
            <w:hideMark/>
          </w:tcPr>
          <w:p w14:paraId="448A3C7C"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063F3D36"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A systemic approach exists for making use of such information but is not effectively utilized</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431C0421"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4D732B8"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6EC17051"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DFECB77"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02D04769"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0B503CF2"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203ED36E"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7147587A"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6B476B50"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2DECC321"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A systemic approach is utilized to good effect</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6F0689CC"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68E15BE1"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288EC1D9"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7AF6605"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6EE98C87"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bottom w:val="single" w:sz="4" w:space="0" w:color="auto"/>
              <w:right w:val="single" w:sz="4" w:space="0" w:color="auto"/>
            </w:tcBorders>
          </w:tcPr>
          <w:p w14:paraId="10C11886"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bottom w:val="single" w:sz="4" w:space="0" w:color="auto"/>
              <w:right w:val="single" w:sz="4" w:space="0" w:color="auto"/>
            </w:tcBorders>
            <w:vAlign w:val="center"/>
          </w:tcPr>
          <w:p w14:paraId="5AD67B5C"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13F3A9EB" w14:textId="77777777" w:rsidTr="005F36E3">
        <w:trPr>
          <w:trHeight w:val="240"/>
        </w:trPr>
        <w:tc>
          <w:tcPr>
            <w:tcW w:w="11628" w:type="dxa"/>
            <w:gridSpan w:val="7"/>
            <w:tcBorders>
              <w:top w:val="single" w:sz="4" w:space="0" w:color="auto"/>
              <w:left w:val="single" w:sz="4" w:space="0" w:color="auto"/>
              <w:bottom w:val="single" w:sz="4" w:space="0" w:color="auto"/>
              <w:right w:val="single" w:sz="4" w:space="0" w:color="auto"/>
            </w:tcBorders>
            <w:shd w:val="clear" w:color="000000" w:fill="C6E0B4"/>
            <w:vAlign w:val="center"/>
            <w:hideMark/>
          </w:tcPr>
          <w:p w14:paraId="591A3B47" w14:textId="77777777" w:rsidR="00874815" w:rsidRPr="00EB71A9" w:rsidRDefault="00874815"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Capacity to engage and build consensus among all stakeholders</w:t>
            </w:r>
          </w:p>
        </w:tc>
        <w:tc>
          <w:tcPr>
            <w:tcW w:w="2340" w:type="dxa"/>
            <w:tcBorders>
              <w:top w:val="single" w:sz="4" w:space="0" w:color="auto"/>
              <w:left w:val="single" w:sz="4" w:space="0" w:color="auto"/>
              <w:bottom w:val="single" w:sz="4" w:space="0" w:color="auto"/>
              <w:right w:val="single" w:sz="4" w:space="0" w:color="auto"/>
            </w:tcBorders>
            <w:shd w:val="clear" w:color="000000" w:fill="C6E0B4"/>
            <w:vAlign w:val="center"/>
          </w:tcPr>
          <w:p w14:paraId="5E60EF7A"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1980" w:type="dxa"/>
            <w:tcBorders>
              <w:top w:val="single" w:sz="4" w:space="0" w:color="auto"/>
              <w:left w:val="single" w:sz="4" w:space="0" w:color="auto"/>
              <w:bottom w:val="single" w:sz="4" w:space="0" w:color="auto"/>
              <w:right w:val="single" w:sz="4" w:space="0" w:color="auto"/>
            </w:tcBorders>
            <w:shd w:val="clear" w:color="000000" w:fill="C6E0B4"/>
            <w:vAlign w:val="center"/>
          </w:tcPr>
          <w:p w14:paraId="47D00F9C" w14:textId="77777777" w:rsidR="00874815" w:rsidRPr="00EB71A9" w:rsidRDefault="00874815" w:rsidP="00B02352">
            <w:pPr>
              <w:spacing w:after="0"/>
              <w:jc w:val="left"/>
              <w:rPr>
                <w:rFonts w:asciiTheme="majorHAnsi" w:eastAsia="Times New Roman" w:hAnsiTheme="majorHAnsi"/>
                <w:b/>
                <w:bCs/>
                <w:color w:val="000000"/>
                <w:sz w:val="18"/>
                <w:szCs w:val="18"/>
              </w:rPr>
            </w:pPr>
          </w:p>
        </w:tc>
      </w:tr>
      <w:tr w:rsidR="005F36E3" w:rsidRPr="00B02352" w14:paraId="37B1CD03" w14:textId="77777777" w:rsidTr="005F36E3">
        <w:trPr>
          <w:trHeight w:val="240"/>
        </w:trPr>
        <w:tc>
          <w:tcPr>
            <w:tcW w:w="1615" w:type="dxa"/>
            <w:vMerge w:val="restart"/>
            <w:tcBorders>
              <w:top w:val="nil"/>
              <w:left w:val="single" w:sz="4" w:space="0" w:color="auto"/>
              <w:bottom w:val="single" w:sz="4" w:space="0" w:color="000000"/>
              <w:right w:val="single" w:sz="4" w:space="0" w:color="auto"/>
            </w:tcBorders>
            <w:shd w:val="clear" w:color="auto" w:fill="auto"/>
            <w:hideMark/>
          </w:tcPr>
          <w:p w14:paraId="05CA5279" w14:textId="77777777" w:rsidR="00874815" w:rsidRPr="00EB71A9" w:rsidRDefault="00874815"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4.1. Have sectoral agencies established the partnerships needed to achieve mainstreaming of biodiversity and ecosystem services in Landscape/ Seascape Planning practices?</w:t>
            </w:r>
          </w:p>
        </w:tc>
        <w:tc>
          <w:tcPr>
            <w:tcW w:w="2340" w:type="dxa"/>
            <w:tcBorders>
              <w:top w:val="single" w:sz="4" w:space="0" w:color="auto"/>
              <w:left w:val="nil"/>
              <w:bottom w:val="single" w:sz="4" w:space="0" w:color="auto"/>
              <w:right w:val="single" w:sz="4" w:space="0" w:color="auto"/>
            </w:tcBorders>
            <w:shd w:val="clear" w:color="auto" w:fill="auto"/>
            <w:hideMark/>
          </w:tcPr>
          <w:p w14:paraId="3DCAA4FA"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Sectoral agencies operate in isolation</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2227ED6E"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C49EF"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683D3FC5"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462C7"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40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90E2995"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Some ad hoc partnerships are in place, but there are no legal mandates. These existing partnerships have many gaps; for instance few link land with the sea and are separated by sector.</w:t>
            </w:r>
          </w:p>
        </w:tc>
        <w:tc>
          <w:tcPr>
            <w:tcW w:w="2340" w:type="dxa"/>
            <w:vMerge w:val="restart"/>
            <w:tcBorders>
              <w:top w:val="single" w:sz="4" w:space="0" w:color="auto"/>
              <w:left w:val="single" w:sz="4" w:space="0" w:color="auto"/>
              <w:right w:val="single" w:sz="4" w:space="0" w:color="auto"/>
            </w:tcBorders>
          </w:tcPr>
          <w:p w14:paraId="0F5E294D"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Significantly expand the stakeholder participation in Landscape/ Seascape Planning through creation of the NEPC’s subcommittees and State Landscape/ Seascape Planning Teams and by inclusion of the business sector, states, and NGOs. At the NEPC, identify partnership needs to mainstream policies into agency work plans.</w:t>
            </w:r>
          </w:p>
        </w:tc>
        <w:tc>
          <w:tcPr>
            <w:tcW w:w="1980" w:type="dxa"/>
            <w:vMerge w:val="restart"/>
            <w:tcBorders>
              <w:top w:val="single" w:sz="4" w:space="0" w:color="auto"/>
              <w:left w:val="single" w:sz="4" w:space="0" w:color="auto"/>
              <w:right w:val="single" w:sz="4" w:space="0" w:color="auto"/>
            </w:tcBorders>
            <w:vAlign w:val="center"/>
          </w:tcPr>
          <w:p w14:paraId="2A631F3A"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r>
      <w:tr w:rsidR="005F36E3" w:rsidRPr="00B02352" w14:paraId="75F4BE54"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3B12B6DE"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57FE4720"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Some partnerships are in place but there are significant gaps, and existing partnerships achieve little</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50FB86B8"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C6C107E"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38C18ED6"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4917225"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0AD4DD72"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23401663"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6CA7A1BD"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3230B266" w14:textId="77777777" w:rsidTr="005F36E3">
        <w:trPr>
          <w:trHeight w:val="480"/>
        </w:trPr>
        <w:tc>
          <w:tcPr>
            <w:tcW w:w="1615" w:type="dxa"/>
            <w:vMerge/>
            <w:tcBorders>
              <w:top w:val="nil"/>
              <w:left w:val="single" w:sz="4" w:space="0" w:color="auto"/>
              <w:bottom w:val="single" w:sz="4" w:space="0" w:color="000000"/>
              <w:right w:val="single" w:sz="4" w:space="0" w:color="auto"/>
            </w:tcBorders>
            <w:hideMark/>
          </w:tcPr>
          <w:p w14:paraId="4936814B"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4B0AFFEC"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Many partnerships are in place with a wide range of stakeholders, but gaps remain and partnerships have limited effectiveness</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0008ED3C"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181CADF"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1B50B012"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17F68C0"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0FE248CC"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770F72AE"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26AF67E0"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662F6E5D" w14:textId="77777777" w:rsidTr="005F36E3">
        <w:trPr>
          <w:trHeight w:val="480"/>
        </w:trPr>
        <w:tc>
          <w:tcPr>
            <w:tcW w:w="1615" w:type="dxa"/>
            <w:vMerge/>
            <w:tcBorders>
              <w:top w:val="nil"/>
              <w:left w:val="single" w:sz="4" w:space="0" w:color="auto"/>
              <w:bottom w:val="single" w:sz="4" w:space="0" w:color="000000"/>
              <w:right w:val="single" w:sz="4" w:space="0" w:color="auto"/>
            </w:tcBorders>
            <w:hideMark/>
          </w:tcPr>
          <w:p w14:paraId="1138CB79"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4AE2A152"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Effective partnerships established with a wide range of stakeholders to enable effective mainstreaming of biodiversity and ecosystem services in Landscape/ Seascape Planning practices</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7353A1C0"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6A713038"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1353BCB9"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E7BB9A9"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3B8E4191"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bottom w:val="single" w:sz="4" w:space="0" w:color="auto"/>
              <w:right w:val="single" w:sz="4" w:space="0" w:color="auto"/>
            </w:tcBorders>
          </w:tcPr>
          <w:p w14:paraId="5B7621DA"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bottom w:val="single" w:sz="4" w:space="0" w:color="auto"/>
              <w:right w:val="single" w:sz="4" w:space="0" w:color="auto"/>
            </w:tcBorders>
            <w:vAlign w:val="center"/>
          </w:tcPr>
          <w:p w14:paraId="5DFDA1A7"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18034FD6" w14:textId="77777777" w:rsidTr="005F36E3">
        <w:trPr>
          <w:trHeight w:val="480"/>
        </w:trPr>
        <w:tc>
          <w:tcPr>
            <w:tcW w:w="1615" w:type="dxa"/>
            <w:vMerge w:val="restart"/>
            <w:tcBorders>
              <w:top w:val="nil"/>
              <w:left w:val="single" w:sz="4" w:space="0" w:color="auto"/>
              <w:bottom w:val="single" w:sz="4" w:space="0" w:color="000000"/>
              <w:right w:val="single" w:sz="4" w:space="0" w:color="auto"/>
            </w:tcBorders>
            <w:shd w:val="clear" w:color="auto" w:fill="auto"/>
            <w:hideMark/>
          </w:tcPr>
          <w:p w14:paraId="44A9D8CD" w14:textId="77777777" w:rsidR="00874815" w:rsidRPr="00EB71A9" w:rsidRDefault="00874815"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4.2. Do existing Landscape/ Seascape Plans have the political commitment required for effective implementation?</w:t>
            </w:r>
          </w:p>
        </w:tc>
        <w:tc>
          <w:tcPr>
            <w:tcW w:w="2340" w:type="dxa"/>
            <w:tcBorders>
              <w:top w:val="single" w:sz="4" w:space="0" w:color="auto"/>
              <w:left w:val="nil"/>
              <w:bottom w:val="single" w:sz="4" w:space="0" w:color="auto"/>
              <w:right w:val="single" w:sz="4" w:space="0" w:color="auto"/>
            </w:tcBorders>
            <w:shd w:val="clear" w:color="auto" w:fill="auto"/>
            <w:hideMark/>
          </w:tcPr>
          <w:p w14:paraId="42EF0358"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There is no political will at all, or worse, the prevailing political will runs counter to the interests of mainstreaming biodiversity into sectoral plans</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66601CC2"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C3DDC"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721DCC4D"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3ACB1"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40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574F2EB"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There is growing political will, with rather strong political desire for a National and State Master Plans. However often political will is not strong enough to withstand economic forces.</w:t>
            </w:r>
          </w:p>
        </w:tc>
        <w:tc>
          <w:tcPr>
            <w:tcW w:w="2340" w:type="dxa"/>
            <w:vMerge w:val="restart"/>
            <w:tcBorders>
              <w:top w:val="single" w:sz="4" w:space="0" w:color="auto"/>
              <w:left w:val="single" w:sz="4" w:space="0" w:color="auto"/>
              <w:right w:val="single" w:sz="4" w:space="0" w:color="auto"/>
            </w:tcBorders>
          </w:tcPr>
          <w:p w14:paraId="5297FB82"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 xml:space="preserve">As requested by elected officials during the Project Document preparation, conduct expert- and foreigner-led outreach on the importance of Landscape/ Seascape Planning and create a clear understanding of the process and benefits of implementing such plans. </w:t>
            </w:r>
          </w:p>
        </w:tc>
        <w:tc>
          <w:tcPr>
            <w:tcW w:w="1980" w:type="dxa"/>
            <w:vMerge w:val="restart"/>
            <w:tcBorders>
              <w:top w:val="single" w:sz="4" w:space="0" w:color="auto"/>
              <w:left w:val="single" w:sz="4" w:space="0" w:color="auto"/>
              <w:right w:val="single" w:sz="4" w:space="0" w:color="auto"/>
            </w:tcBorders>
            <w:vAlign w:val="center"/>
          </w:tcPr>
          <w:p w14:paraId="2B9897C6"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 2, and 3</w:t>
            </w:r>
          </w:p>
        </w:tc>
      </w:tr>
      <w:tr w:rsidR="005F36E3" w:rsidRPr="00B02352" w14:paraId="1AD0B774" w14:textId="77777777" w:rsidTr="005F36E3">
        <w:trPr>
          <w:trHeight w:val="240"/>
        </w:trPr>
        <w:tc>
          <w:tcPr>
            <w:tcW w:w="1615" w:type="dxa"/>
            <w:vMerge/>
            <w:tcBorders>
              <w:top w:val="nil"/>
              <w:left w:val="single" w:sz="4" w:space="0" w:color="auto"/>
              <w:bottom w:val="single" w:sz="4" w:space="0" w:color="000000"/>
              <w:right w:val="single" w:sz="4" w:space="0" w:color="auto"/>
            </w:tcBorders>
            <w:hideMark/>
          </w:tcPr>
          <w:p w14:paraId="521A9477"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60BE7D42"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Some political will exists, but is not strong enough to make a difference</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06D839A0"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0277123"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742C2686"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CCEE893"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08BD4006"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5F4DD9E1"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48AC7351"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7BA3E2AC" w14:textId="77777777" w:rsidTr="005F36E3">
        <w:trPr>
          <w:trHeight w:val="480"/>
        </w:trPr>
        <w:tc>
          <w:tcPr>
            <w:tcW w:w="1615" w:type="dxa"/>
            <w:vMerge/>
            <w:tcBorders>
              <w:top w:val="nil"/>
              <w:left w:val="single" w:sz="4" w:space="0" w:color="auto"/>
              <w:bottom w:val="single" w:sz="4" w:space="0" w:color="000000"/>
              <w:right w:val="single" w:sz="4" w:space="0" w:color="auto"/>
            </w:tcBorders>
            <w:hideMark/>
          </w:tcPr>
          <w:p w14:paraId="541AAC7D"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1E581EF7"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Reasonable political will exists, but is not always strong enough to fully support mainstreaming of biodiversity into sectoral plans</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35A89E42"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0CC0A1E"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4EACE6F5"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A251879"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5C28C122"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right w:val="single" w:sz="4" w:space="0" w:color="auto"/>
            </w:tcBorders>
          </w:tcPr>
          <w:p w14:paraId="228613C3"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right w:val="single" w:sz="4" w:space="0" w:color="auto"/>
            </w:tcBorders>
            <w:vAlign w:val="center"/>
          </w:tcPr>
          <w:p w14:paraId="0CB0F496"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447D1F98" w14:textId="77777777" w:rsidTr="005F36E3">
        <w:trPr>
          <w:trHeight w:val="480"/>
        </w:trPr>
        <w:tc>
          <w:tcPr>
            <w:tcW w:w="1615" w:type="dxa"/>
            <w:vMerge/>
            <w:tcBorders>
              <w:top w:val="nil"/>
              <w:left w:val="single" w:sz="4" w:space="0" w:color="auto"/>
              <w:bottom w:val="single" w:sz="4" w:space="0" w:color="000000"/>
              <w:right w:val="single" w:sz="4" w:space="0" w:color="auto"/>
            </w:tcBorders>
            <w:hideMark/>
          </w:tcPr>
          <w:p w14:paraId="593BEBED"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6AD6BE48"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 xml:space="preserve">There are very high levels of political will to support mainstreaming of biodiversity into sectoral plans </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4B4ED288"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9EF8758"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65280FEF"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CF84347"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6B39D381"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left w:val="single" w:sz="4" w:space="0" w:color="auto"/>
              <w:bottom w:val="single" w:sz="4" w:space="0" w:color="auto"/>
              <w:right w:val="single" w:sz="4" w:space="0" w:color="auto"/>
            </w:tcBorders>
          </w:tcPr>
          <w:p w14:paraId="2473FE77"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left w:val="single" w:sz="4" w:space="0" w:color="auto"/>
              <w:bottom w:val="single" w:sz="4" w:space="0" w:color="auto"/>
              <w:right w:val="single" w:sz="4" w:space="0" w:color="auto"/>
            </w:tcBorders>
            <w:vAlign w:val="center"/>
          </w:tcPr>
          <w:p w14:paraId="10F5E5CA"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23C7BDC2" w14:textId="77777777" w:rsidTr="005F36E3">
        <w:trPr>
          <w:trHeight w:val="240"/>
        </w:trPr>
        <w:tc>
          <w:tcPr>
            <w:tcW w:w="11628" w:type="dxa"/>
            <w:gridSpan w:val="7"/>
            <w:tcBorders>
              <w:top w:val="single" w:sz="4" w:space="0" w:color="auto"/>
              <w:left w:val="single" w:sz="4" w:space="0" w:color="auto"/>
              <w:bottom w:val="single" w:sz="4" w:space="0" w:color="auto"/>
              <w:right w:val="single" w:sz="4" w:space="0" w:color="auto"/>
            </w:tcBorders>
            <w:shd w:val="clear" w:color="000000" w:fill="C6E0B4"/>
            <w:vAlign w:val="center"/>
            <w:hideMark/>
          </w:tcPr>
          <w:p w14:paraId="0F31E051" w14:textId="77777777" w:rsidR="00874815" w:rsidRPr="00EB71A9" w:rsidRDefault="00874815"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Capacity to monitor, evaluate, report and learn</w:t>
            </w:r>
          </w:p>
        </w:tc>
        <w:tc>
          <w:tcPr>
            <w:tcW w:w="2340" w:type="dxa"/>
            <w:tcBorders>
              <w:top w:val="single" w:sz="4" w:space="0" w:color="auto"/>
              <w:left w:val="single" w:sz="4" w:space="0" w:color="auto"/>
              <w:bottom w:val="single" w:sz="4" w:space="0" w:color="auto"/>
              <w:right w:val="single" w:sz="4" w:space="0" w:color="auto"/>
            </w:tcBorders>
            <w:shd w:val="clear" w:color="000000" w:fill="C6E0B4"/>
            <w:vAlign w:val="center"/>
          </w:tcPr>
          <w:p w14:paraId="07772B97"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1980" w:type="dxa"/>
            <w:tcBorders>
              <w:top w:val="single" w:sz="4" w:space="0" w:color="auto"/>
              <w:left w:val="single" w:sz="4" w:space="0" w:color="auto"/>
              <w:bottom w:val="single" w:sz="4" w:space="0" w:color="auto"/>
              <w:right w:val="single" w:sz="4" w:space="0" w:color="auto"/>
            </w:tcBorders>
            <w:shd w:val="clear" w:color="000000" w:fill="C6E0B4"/>
            <w:vAlign w:val="center"/>
          </w:tcPr>
          <w:p w14:paraId="01D0011F" w14:textId="77777777" w:rsidR="00874815" w:rsidRPr="00EB71A9" w:rsidRDefault="00874815" w:rsidP="00B02352">
            <w:pPr>
              <w:spacing w:after="0"/>
              <w:jc w:val="left"/>
              <w:rPr>
                <w:rFonts w:asciiTheme="majorHAnsi" w:eastAsia="Times New Roman" w:hAnsiTheme="majorHAnsi"/>
                <w:b/>
                <w:bCs/>
                <w:color w:val="000000"/>
                <w:sz w:val="18"/>
                <w:szCs w:val="18"/>
              </w:rPr>
            </w:pPr>
          </w:p>
        </w:tc>
      </w:tr>
      <w:tr w:rsidR="005F36E3" w:rsidRPr="00B02352" w14:paraId="1E55774C" w14:textId="77777777" w:rsidTr="005F36E3">
        <w:trPr>
          <w:trHeight w:val="240"/>
        </w:trPr>
        <w:tc>
          <w:tcPr>
            <w:tcW w:w="161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0C7777F" w14:textId="77777777" w:rsidR="00874815" w:rsidRPr="00EB71A9" w:rsidRDefault="00874815"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5.1. 1. Do institutions engaged in Landscape/ Seascape Planning have effective internal mechanisms for monitoring, evaluation, reporting, and learning on biodiversity and ecosystem services mainstreaming?</w:t>
            </w:r>
          </w:p>
          <w:p w14:paraId="3F402093"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1A2E6E4A"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No internal mechanisms exist for monitoring, evaluation, reporting or learning</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0249B9EB"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E2637"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59BCEE83"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702F6"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40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DD97C5F"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 xml:space="preserve">Much reporting and evaluation is done at the Project level or within individual agencies. At the national level there has been progress in national level reporting with the reconstitution of the NEPC and the implementation of a National Environment Symposium and State of the Environment Report combined with State of the Republic reports. Agency Performance Reports tend to report only budgets and not on objectives. </w:t>
            </w:r>
          </w:p>
          <w:p w14:paraId="2B851CA8" w14:textId="77777777" w:rsidR="00874815" w:rsidRPr="00EB71A9" w:rsidRDefault="00874815" w:rsidP="00B02352">
            <w:pPr>
              <w:spacing w:after="0"/>
              <w:jc w:val="left"/>
              <w:rPr>
                <w:rFonts w:asciiTheme="majorHAnsi" w:eastAsia="Times New Roman" w:hAnsiTheme="majorHAnsi"/>
                <w:color w:val="000000"/>
                <w:sz w:val="18"/>
                <w:szCs w:val="18"/>
              </w:rPr>
            </w:pPr>
          </w:p>
          <w:p w14:paraId="2CA93233"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 xml:space="preserve">PICRC conducts some monitoring of the marine environment and there is disconnected monitoring of terrestrial habitats and species through BNM, EQPB, and Forestry. However there are no systems to evaluate, as the data is often not used and there is no evaluation rubric to compare to. </w:t>
            </w:r>
          </w:p>
          <w:p w14:paraId="71F787D8" w14:textId="77777777" w:rsidR="00874815" w:rsidRPr="00EB71A9" w:rsidRDefault="00874815" w:rsidP="00B02352">
            <w:pPr>
              <w:spacing w:after="0"/>
              <w:jc w:val="left"/>
              <w:rPr>
                <w:rFonts w:asciiTheme="majorHAnsi" w:eastAsia="Times New Roman" w:hAnsiTheme="majorHAnsi"/>
                <w:color w:val="000000"/>
                <w:sz w:val="18"/>
                <w:szCs w:val="18"/>
              </w:rPr>
            </w:pPr>
          </w:p>
          <w:p w14:paraId="402367F3"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 xml:space="preserve">PAN and PNMS have some institutional monitoring and evaluation against environmental criteria. </w:t>
            </w:r>
          </w:p>
        </w:tc>
        <w:tc>
          <w:tcPr>
            <w:tcW w:w="2340" w:type="dxa"/>
            <w:vMerge w:val="restart"/>
            <w:tcBorders>
              <w:top w:val="single" w:sz="4" w:space="0" w:color="auto"/>
              <w:left w:val="single" w:sz="4" w:space="0" w:color="auto"/>
              <w:bottom w:val="single" w:sz="4" w:space="0" w:color="auto"/>
              <w:right w:val="single" w:sz="4" w:space="0" w:color="auto"/>
            </w:tcBorders>
          </w:tcPr>
          <w:p w14:paraId="2957A022"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Develop a template for Landscape/ Seascape Plans that includes clear monitoring and evaluation.</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21A6FD70"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 and 4</w:t>
            </w:r>
          </w:p>
        </w:tc>
      </w:tr>
      <w:tr w:rsidR="005F36E3" w:rsidRPr="00B02352" w14:paraId="022DAA6D" w14:textId="77777777" w:rsidTr="005F36E3">
        <w:trPr>
          <w:trHeight w:val="240"/>
        </w:trPr>
        <w:tc>
          <w:tcPr>
            <w:tcW w:w="1615" w:type="dxa"/>
            <w:vMerge/>
            <w:tcBorders>
              <w:top w:val="single" w:sz="4" w:space="0" w:color="auto"/>
              <w:left w:val="single" w:sz="4" w:space="0" w:color="auto"/>
              <w:bottom w:val="single" w:sz="4" w:space="0" w:color="auto"/>
              <w:right w:val="single" w:sz="4" w:space="0" w:color="auto"/>
            </w:tcBorders>
            <w:shd w:val="clear" w:color="auto" w:fill="auto"/>
            <w:hideMark/>
          </w:tcPr>
          <w:p w14:paraId="4FCE6EA2"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3D771664"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There are some mechanisms for monitoring, evaluation, reporting and learning but they are limited and weak</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1CA2D67E"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E0B6349"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05ECB440"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64CBAEB9"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74FAE73D"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top w:val="single" w:sz="4" w:space="0" w:color="auto"/>
              <w:left w:val="single" w:sz="4" w:space="0" w:color="auto"/>
              <w:bottom w:val="single" w:sz="4" w:space="0" w:color="auto"/>
              <w:right w:val="single" w:sz="4" w:space="0" w:color="auto"/>
            </w:tcBorders>
          </w:tcPr>
          <w:p w14:paraId="58860EE9"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29F6F54F"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28957240" w14:textId="77777777" w:rsidTr="005F36E3">
        <w:trPr>
          <w:trHeight w:val="480"/>
        </w:trPr>
        <w:tc>
          <w:tcPr>
            <w:tcW w:w="1615" w:type="dxa"/>
            <w:vMerge/>
            <w:tcBorders>
              <w:left w:val="single" w:sz="4" w:space="0" w:color="auto"/>
              <w:bottom w:val="single" w:sz="4" w:space="0" w:color="auto"/>
              <w:right w:val="single" w:sz="4" w:space="0" w:color="auto"/>
            </w:tcBorders>
            <w:shd w:val="clear" w:color="auto" w:fill="auto"/>
            <w:hideMark/>
          </w:tcPr>
          <w:p w14:paraId="2CEFB918"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039C889E"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Reasonable mechanisms for monitoring, evaluation, reporting and learning are in place but are not as strong or comprehensive as they could be</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2731D70A"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E13529B"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0654D217"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F0C5E4B"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188A6E51"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top w:val="single" w:sz="4" w:space="0" w:color="auto"/>
              <w:left w:val="single" w:sz="4" w:space="0" w:color="auto"/>
              <w:bottom w:val="single" w:sz="4" w:space="0" w:color="auto"/>
              <w:right w:val="single" w:sz="4" w:space="0" w:color="auto"/>
            </w:tcBorders>
          </w:tcPr>
          <w:p w14:paraId="11B6D1B3"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2D978350"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20561E25" w14:textId="77777777" w:rsidTr="005F36E3">
        <w:trPr>
          <w:trHeight w:val="647"/>
        </w:trPr>
        <w:tc>
          <w:tcPr>
            <w:tcW w:w="1615" w:type="dxa"/>
            <w:vMerge/>
            <w:tcBorders>
              <w:left w:val="single" w:sz="4" w:space="0" w:color="auto"/>
              <w:bottom w:val="single" w:sz="4" w:space="0" w:color="auto"/>
              <w:right w:val="single" w:sz="4" w:space="0" w:color="auto"/>
            </w:tcBorders>
            <w:shd w:val="clear" w:color="auto" w:fill="auto"/>
            <w:hideMark/>
          </w:tcPr>
          <w:p w14:paraId="084CC118"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hideMark/>
          </w:tcPr>
          <w:p w14:paraId="03985FE8"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Institutions have effective internal mechanisms for monitoring, evaluation, reporting and learning</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07A404E0" w14:textId="77777777" w:rsidR="00874815" w:rsidRPr="00EB71A9" w:rsidRDefault="00874815"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A5BC4B1"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6D95806E"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1B6CFCC4"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4050" w:type="dxa"/>
            <w:vMerge/>
            <w:tcBorders>
              <w:top w:val="single" w:sz="4" w:space="0" w:color="auto"/>
              <w:left w:val="single" w:sz="4" w:space="0" w:color="auto"/>
              <w:bottom w:val="single" w:sz="4" w:space="0" w:color="auto"/>
              <w:right w:val="single" w:sz="4" w:space="0" w:color="auto"/>
            </w:tcBorders>
            <w:hideMark/>
          </w:tcPr>
          <w:p w14:paraId="3F29A7F8"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2340" w:type="dxa"/>
            <w:vMerge/>
            <w:tcBorders>
              <w:top w:val="single" w:sz="4" w:space="0" w:color="auto"/>
              <w:left w:val="single" w:sz="4" w:space="0" w:color="auto"/>
              <w:bottom w:val="single" w:sz="4" w:space="0" w:color="auto"/>
              <w:right w:val="single" w:sz="4" w:space="0" w:color="auto"/>
            </w:tcBorders>
          </w:tcPr>
          <w:p w14:paraId="3C1DBAD9" w14:textId="77777777" w:rsidR="00874815" w:rsidRPr="00EB71A9" w:rsidRDefault="00874815" w:rsidP="00B02352">
            <w:pPr>
              <w:spacing w:after="0"/>
              <w:jc w:val="left"/>
              <w:rPr>
                <w:rFonts w:asciiTheme="majorHAnsi" w:eastAsia="Times New Roman" w:hAnsiTheme="majorHAnsi"/>
                <w:color w:val="000000"/>
                <w:sz w:val="18"/>
                <w:szCs w:val="18"/>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5B95E3EF" w14:textId="77777777" w:rsidR="00874815" w:rsidRPr="00EB71A9" w:rsidRDefault="00874815" w:rsidP="00B02352">
            <w:pPr>
              <w:spacing w:after="0"/>
              <w:jc w:val="left"/>
              <w:rPr>
                <w:rFonts w:asciiTheme="majorHAnsi" w:eastAsia="Times New Roman" w:hAnsiTheme="majorHAnsi"/>
                <w:color w:val="000000"/>
                <w:sz w:val="18"/>
                <w:szCs w:val="18"/>
              </w:rPr>
            </w:pPr>
          </w:p>
        </w:tc>
      </w:tr>
      <w:tr w:rsidR="005F36E3" w:rsidRPr="00B02352" w14:paraId="778C1CF5" w14:textId="77777777" w:rsidTr="005F36E3">
        <w:trPr>
          <w:trHeight w:val="89"/>
        </w:trPr>
        <w:tc>
          <w:tcPr>
            <w:tcW w:w="1615" w:type="dxa"/>
            <w:tcBorders>
              <w:top w:val="single" w:sz="4" w:space="0" w:color="auto"/>
              <w:right w:val="single" w:sz="4" w:space="0" w:color="auto"/>
            </w:tcBorders>
            <w:shd w:val="clear" w:color="auto" w:fill="auto"/>
            <w:vAlign w:val="center"/>
          </w:tcPr>
          <w:p w14:paraId="22CF2E83" w14:textId="77777777" w:rsidR="00874815" w:rsidRPr="00EB71A9" w:rsidRDefault="00874815" w:rsidP="00B02352">
            <w:pPr>
              <w:spacing w:after="0"/>
              <w:jc w:val="left"/>
              <w:rPr>
                <w:rFonts w:asciiTheme="majorHAnsi" w:eastAsia="Times New Roman" w:hAnsiTheme="majorHAnsi"/>
                <w:b/>
                <w:bCs/>
                <w:color w:val="000000"/>
                <w:sz w:val="18"/>
                <w:szCs w:val="18"/>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01380C7E" w14:textId="77777777" w:rsidR="00874815" w:rsidRPr="00EB71A9" w:rsidRDefault="00874815" w:rsidP="00B02352">
            <w:pPr>
              <w:spacing w:after="0"/>
              <w:jc w:val="left"/>
              <w:rPr>
                <w:rFonts w:asciiTheme="majorHAnsi" w:eastAsia="Times New Roman" w:hAnsiTheme="majorHAnsi"/>
                <w:b/>
                <w:color w:val="000000"/>
                <w:sz w:val="18"/>
                <w:szCs w:val="18"/>
              </w:rPr>
            </w:pPr>
            <w:r w:rsidRPr="00EB71A9">
              <w:rPr>
                <w:rFonts w:asciiTheme="majorHAnsi" w:eastAsia="Times New Roman" w:hAnsiTheme="majorHAnsi"/>
                <w:b/>
                <w:color w:val="000000"/>
                <w:sz w:val="18"/>
                <w:szCs w:val="18"/>
              </w:rPr>
              <w:t>Total</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3FA64" w14:textId="77777777" w:rsidR="00874815" w:rsidRPr="00EB71A9" w:rsidRDefault="00874815" w:rsidP="00B02352">
            <w:pPr>
              <w:spacing w:after="0"/>
              <w:jc w:val="left"/>
              <w:rPr>
                <w:rFonts w:asciiTheme="majorHAnsi" w:eastAsia="Times New Roman" w:hAnsiTheme="majorHAnsi"/>
                <w:b/>
                <w:color w:val="000000"/>
                <w:sz w:val="18"/>
                <w:szCs w:val="18"/>
              </w:rPr>
            </w:pPr>
            <w:r w:rsidRPr="00EB71A9">
              <w:rPr>
                <w:rFonts w:asciiTheme="majorHAnsi" w:eastAsia="Times New Roman" w:hAnsiTheme="majorHAnsi"/>
                <w:b/>
                <w:color w:val="000000"/>
                <w:sz w:val="18"/>
                <w:szCs w:val="18"/>
              </w:rPr>
              <w:t>63</w:t>
            </w:r>
          </w:p>
        </w:tc>
        <w:tc>
          <w:tcPr>
            <w:tcW w:w="990" w:type="dxa"/>
            <w:tcBorders>
              <w:top w:val="single" w:sz="4" w:space="0" w:color="auto"/>
              <w:left w:val="single" w:sz="4" w:space="0" w:color="auto"/>
              <w:bottom w:val="single" w:sz="4" w:space="0" w:color="auto"/>
              <w:right w:val="single" w:sz="4" w:space="0" w:color="auto"/>
            </w:tcBorders>
            <w:vAlign w:val="center"/>
          </w:tcPr>
          <w:p w14:paraId="70E9A625" w14:textId="77777777" w:rsidR="00874815" w:rsidRPr="00EB71A9" w:rsidRDefault="00874815" w:rsidP="00B02352">
            <w:pPr>
              <w:spacing w:after="0"/>
              <w:jc w:val="left"/>
              <w:rPr>
                <w:rFonts w:asciiTheme="majorHAnsi" w:eastAsia="Times New Roman" w:hAnsiTheme="majorHAnsi"/>
                <w:b/>
                <w:color w:val="000000"/>
                <w:sz w:val="18"/>
                <w:szCs w:val="18"/>
              </w:rPr>
            </w:pPr>
            <w:r w:rsidRPr="00EB71A9">
              <w:rPr>
                <w:rFonts w:asciiTheme="majorHAnsi" w:eastAsia="Times New Roman" w:hAnsiTheme="majorHAnsi"/>
                <w:b/>
                <w:color w:val="000000"/>
                <w:sz w:val="18"/>
                <w:szCs w:val="18"/>
              </w:rPr>
              <w:t>16</w:t>
            </w:r>
          </w:p>
        </w:tc>
        <w:tc>
          <w:tcPr>
            <w:tcW w:w="810" w:type="dxa"/>
            <w:tcBorders>
              <w:top w:val="single" w:sz="4" w:space="0" w:color="auto"/>
              <w:left w:val="single" w:sz="4" w:space="0" w:color="auto"/>
              <w:bottom w:val="single" w:sz="4" w:space="0" w:color="auto"/>
              <w:right w:val="single" w:sz="4" w:space="0" w:color="auto"/>
            </w:tcBorders>
            <w:vAlign w:val="center"/>
          </w:tcPr>
          <w:p w14:paraId="4E97BA40" w14:textId="77777777" w:rsidR="00874815" w:rsidRPr="00EB71A9" w:rsidRDefault="00874815" w:rsidP="00B02352">
            <w:pPr>
              <w:spacing w:after="0"/>
              <w:jc w:val="left"/>
              <w:rPr>
                <w:rFonts w:asciiTheme="majorHAnsi" w:eastAsia="Times New Roman" w:hAnsiTheme="majorHAnsi"/>
                <w:b/>
                <w:color w:val="000000"/>
                <w:sz w:val="18"/>
                <w:szCs w:val="18"/>
              </w:rPr>
            </w:pPr>
            <w:r w:rsidRPr="00EB71A9">
              <w:rPr>
                <w:rFonts w:asciiTheme="majorHAnsi" w:eastAsia="Times New Roman" w:hAnsiTheme="majorHAnsi"/>
                <w:b/>
                <w:color w:val="000000"/>
                <w:sz w:val="18"/>
                <w:szCs w:val="18"/>
              </w:rPr>
              <w:t>32</w:t>
            </w:r>
          </w:p>
        </w:tc>
        <w:tc>
          <w:tcPr>
            <w:tcW w:w="990" w:type="dxa"/>
            <w:tcBorders>
              <w:top w:val="single" w:sz="4" w:space="0" w:color="auto"/>
              <w:left w:val="single" w:sz="4" w:space="0" w:color="auto"/>
              <w:bottom w:val="single" w:sz="4" w:space="0" w:color="auto"/>
              <w:right w:val="single" w:sz="4" w:space="0" w:color="auto"/>
            </w:tcBorders>
            <w:vAlign w:val="center"/>
          </w:tcPr>
          <w:p w14:paraId="2DD0F6CD" w14:textId="77777777" w:rsidR="00874815" w:rsidRPr="00EB71A9" w:rsidRDefault="00874815" w:rsidP="00B02352">
            <w:pPr>
              <w:spacing w:after="0"/>
              <w:jc w:val="left"/>
              <w:rPr>
                <w:rFonts w:asciiTheme="majorHAnsi" w:eastAsia="Times New Roman" w:hAnsiTheme="majorHAnsi"/>
                <w:b/>
                <w:color w:val="000000"/>
                <w:sz w:val="18"/>
                <w:szCs w:val="18"/>
              </w:rPr>
            </w:pPr>
            <w:r w:rsidRPr="00EB71A9">
              <w:rPr>
                <w:rFonts w:asciiTheme="majorHAnsi" w:eastAsia="Times New Roman" w:hAnsiTheme="majorHAnsi"/>
                <w:b/>
                <w:color w:val="000000"/>
                <w:sz w:val="18"/>
                <w:szCs w:val="18"/>
              </w:rPr>
              <w:t>43</w:t>
            </w:r>
          </w:p>
        </w:tc>
        <w:tc>
          <w:tcPr>
            <w:tcW w:w="4050" w:type="dxa"/>
            <w:tcBorders>
              <w:top w:val="single" w:sz="4" w:space="0" w:color="auto"/>
              <w:left w:val="single" w:sz="4" w:space="0" w:color="auto"/>
            </w:tcBorders>
            <w:vAlign w:val="center"/>
          </w:tcPr>
          <w:p w14:paraId="4498F03D" w14:textId="77777777" w:rsidR="00874815" w:rsidRPr="00EB71A9" w:rsidRDefault="00874815" w:rsidP="00B02352">
            <w:pPr>
              <w:spacing w:after="0"/>
              <w:jc w:val="left"/>
              <w:rPr>
                <w:rFonts w:asciiTheme="majorHAnsi" w:eastAsia="Times New Roman" w:hAnsiTheme="majorHAnsi"/>
                <w:b/>
                <w:color w:val="000000"/>
                <w:sz w:val="18"/>
                <w:szCs w:val="18"/>
              </w:rPr>
            </w:pPr>
          </w:p>
        </w:tc>
        <w:tc>
          <w:tcPr>
            <w:tcW w:w="2340" w:type="dxa"/>
            <w:tcBorders>
              <w:top w:val="single" w:sz="4" w:space="0" w:color="auto"/>
            </w:tcBorders>
            <w:vAlign w:val="center"/>
          </w:tcPr>
          <w:p w14:paraId="3A451EDD" w14:textId="77777777" w:rsidR="00874815" w:rsidRPr="00EB71A9" w:rsidRDefault="00874815" w:rsidP="00B02352">
            <w:pPr>
              <w:spacing w:after="0"/>
              <w:jc w:val="left"/>
              <w:rPr>
                <w:rFonts w:asciiTheme="majorHAnsi" w:eastAsia="Times New Roman" w:hAnsiTheme="majorHAnsi"/>
                <w:b/>
                <w:color w:val="000000"/>
                <w:sz w:val="18"/>
                <w:szCs w:val="18"/>
              </w:rPr>
            </w:pPr>
          </w:p>
        </w:tc>
        <w:tc>
          <w:tcPr>
            <w:tcW w:w="1980" w:type="dxa"/>
            <w:tcBorders>
              <w:top w:val="single" w:sz="4" w:space="0" w:color="auto"/>
            </w:tcBorders>
            <w:vAlign w:val="center"/>
          </w:tcPr>
          <w:p w14:paraId="08BDE1CD" w14:textId="77777777" w:rsidR="00874815" w:rsidRPr="00EB71A9" w:rsidRDefault="00874815" w:rsidP="00B02352">
            <w:pPr>
              <w:spacing w:after="0"/>
              <w:jc w:val="left"/>
              <w:rPr>
                <w:rFonts w:asciiTheme="majorHAnsi" w:eastAsia="Times New Roman" w:hAnsiTheme="majorHAnsi"/>
                <w:b/>
                <w:color w:val="000000"/>
                <w:sz w:val="18"/>
                <w:szCs w:val="18"/>
              </w:rPr>
            </w:pPr>
          </w:p>
        </w:tc>
      </w:tr>
    </w:tbl>
    <w:p w14:paraId="553FD8A4" w14:textId="77777777" w:rsidR="00874815" w:rsidRPr="00B02352" w:rsidRDefault="00874815" w:rsidP="00B02352">
      <w:pPr>
        <w:jc w:val="left"/>
        <w:rPr>
          <w:rFonts w:asciiTheme="majorHAnsi" w:hAnsiTheme="majorHAnsi"/>
          <w:sz w:val="18"/>
          <w:szCs w:val="18"/>
        </w:rPr>
      </w:pPr>
    </w:p>
    <w:p w14:paraId="4E9A19F8" w14:textId="77777777" w:rsidR="00B02352" w:rsidRDefault="00B02352" w:rsidP="00B02352">
      <w:pPr>
        <w:spacing w:after="160" w:line="259" w:lineRule="auto"/>
        <w:jc w:val="left"/>
        <w:rPr>
          <w:rFonts w:asciiTheme="majorHAnsi" w:hAnsiTheme="majorHAnsi"/>
          <w:sz w:val="18"/>
          <w:szCs w:val="18"/>
        </w:rPr>
      </w:pPr>
    </w:p>
    <w:p w14:paraId="0D6C6534" w14:textId="77777777" w:rsidR="005F36E3" w:rsidRPr="00B02352" w:rsidRDefault="005F36E3" w:rsidP="00B02352">
      <w:pPr>
        <w:spacing w:after="160" w:line="259" w:lineRule="auto"/>
        <w:jc w:val="left"/>
        <w:rPr>
          <w:rFonts w:asciiTheme="majorHAnsi" w:hAnsiTheme="majorHAnsi"/>
          <w:sz w:val="18"/>
          <w:szCs w:val="18"/>
        </w:rPr>
      </w:pPr>
    </w:p>
    <w:p w14:paraId="08E31B56" w14:textId="77777777" w:rsidR="00B02352" w:rsidRPr="00EB71A9" w:rsidRDefault="00B02352" w:rsidP="00B02352">
      <w:pPr>
        <w:jc w:val="left"/>
        <w:rPr>
          <w:b/>
          <w:sz w:val="20"/>
          <w:szCs w:val="20"/>
        </w:rPr>
      </w:pPr>
      <w:r w:rsidRPr="00EB71A9">
        <w:rPr>
          <w:b/>
          <w:sz w:val="20"/>
          <w:szCs w:val="20"/>
        </w:rPr>
        <w:t>2. State Landscape/ Seascape Planning Framework Scorecards</w:t>
      </w:r>
    </w:p>
    <w:p w14:paraId="0B9C565C" w14:textId="77777777" w:rsidR="00B02352" w:rsidRPr="00B02352" w:rsidRDefault="00B02352" w:rsidP="00B02352">
      <w:pPr>
        <w:jc w:val="left"/>
        <w:rPr>
          <w:i/>
          <w:sz w:val="18"/>
          <w:szCs w:val="18"/>
        </w:rPr>
      </w:pPr>
      <w:r w:rsidRPr="00EB71A9">
        <w:rPr>
          <w:i/>
          <w:sz w:val="20"/>
          <w:szCs w:val="20"/>
        </w:rPr>
        <w:t>Baseline scores for each State determined in May 2017 through interviews with key informants or groups from each State. When possible, scores were agreed by consensus</w:t>
      </w:r>
      <w:r w:rsidRPr="00B02352">
        <w:rPr>
          <w:i/>
          <w:sz w:val="18"/>
          <w:szCs w:val="18"/>
        </w:rPr>
        <w:t>.</w:t>
      </w:r>
    </w:p>
    <w:p w14:paraId="07A9D008" w14:textId="77777777" w:rsidR="00B02352" w:rsidRPr="00B02352" w:rsidRDefault="00B02352" w:rsidP="00B02352">
      <w:pPr>
        <w:jc w:val="left"/>
        <w:rPr>
          <w:b/>
          <w:sz w:val="18"/>
          <w:szCs w:val="18"/>
        </w:rPr>
      </w:pPr>
    </w:p>
    <w:tbl>
      <w:tblPr>
        <w:tblW w:w="1488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1890"/>
        <w:gridCol w:w="450"/>
        <w:gridCol w:w="1158"/>
        <w:gridCol w:w="1002"/>
        <w:gridCol w:w="900"/>
        <w:gridCol w:w="912"/>
        <w:gridCol w:w="1068"/>
        <w:gridCol w:w="1170"/>
        <w:gridCol w:w="1080"/>
        <w:gridCol w:w="1373"/>
        <w:gridCol w:w="1237"/>
        <w:gridCol w:w="1110"/>
      </w:tblGrid>
      <w:tr w:rsidR="00B02352" w:rsidRPr="00B02352" w14:paraId="6FE63935" w14:textId="77777777" w:rsidTr="005F36E3">
        <w:trPr>
          <w:trHeight w:val="495"/>
        </w:trPr>
        <w:tc>
          <w:tcPr>
            <w:tcW w:w="1535" w:type="dxa"/>
            <w:shd w:val="clear" w:color="000000" w:fill="C2D69B"/>
            <w:hideMark/>
          </w:tcPr>
          <w:p w14:paraId="189E76C2"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Capacity Result / Indicator</w:t>
            </w:r>
          </w:p>
        </w:tc>
        <w:tc>
          <w:tcPr>
            <w:tcW w:w="1890" w:type="dxa"/>
            <w:shd w:val="clear" w:color="000000" w:fill="C2D69B"/>
            <w:hideMark/>
          </w:tcPr>
          <w:p w14:paraId="123EBEA1"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Staged Indicators</w:t>
            </w:r>
          </w:p>
        </w:tc>
        <w:tc>
          <w:tcPr>
            <w:tcW w:w="450" w:type="dxa"/>
            <w:shd w:val="clear" w:color="000000" w:fill="C2D69B"/>
            <w:hideMark/>
          </w:tcPr>
          <w:p w14:paraId="0C23EB47"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Rating</w:t>
            </w:r>
          </w:p>
        </w:tc>
        <w:tc>
          <w:tcPr>
            <w:tcW w:w="1158" w:type="dxa"/>
            <w:shd w:val="clear" w:color="000000" w:fill="C2D69B"/>
            <w:hideMark/>
          </w:tcPr>
          <w:p w14:paraId="5905AC87"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Aimeliik State**</w:t>
            </w:r>
          </w:p>
        </w:tc>
        <w:tc>
          <w:tcPr>
            <w:tcW w:w="1002" w:type="dxa"/>
            <w:shd w:val="clear" w:color="000000" w:fill="C2D69B"/>
            <w:hideMark/>
          </w:tcPr>
          <w:p w14:paraId="49B8978D"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Melekeok State</w:t>
            </w:r>
          </w:p>
        </w:tc>
        <w:tc>
          <w:tcPr>
            <w:tcW w:w="900" w:type="dxa"/>
            <w:shd w:val="clear" w:color="000000" w:fill="C2D69B"/>
            <w:hideMark/>
          </w:tcPr>
          <w:p w14:paraId="499AD443"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Airai State</w:t>
            </w:r>
          </w:p>
        </w:tc>
        <w:tc>
          <w:tcPr>
            <w:tcW w:w="912" w:type="dxa"/>
            <w:shd w:val="clear" w:color="000000" w:fill="C2D69B"/>
            <w:hideMark/>
          </w:tcPr>
          <w:p w14:paraId="53CDF896"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Ngchesar State</w:t>
            </w:r>
          </w:p>
        </w:tc>
        <w:tc>
          <w:tcPr>
            <w:tcW w:w="1068" w:type="dxa"/>
            <w:shd w:val="clear" w:color="000000" w:fill="C2D69B"/>
            <w:hideMark/>
          </w:tcPr>
          <w:p w14:paraId="1FC68210"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Ngaraard State</w:t>
            </w:r>
          </w:p>
        </w:tc>
        <w:tc>
          <w:tcPr>
            <w:tcW w:w="1170" w:type="dxa"/>
            <w:shd w:val="clear" w:color="000000" w:fill="C2D69B"/>
            <w:hideMark/>
          </w:tcPr>
          <w:p w14:paraId="1D78650C"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Ngeremlengui State</w:t>
            </w:r>
          </w:p>
        </w:tc>
        <w:tc>
          <w:tcPr>
            <w:tcW w:w="1080" w:type="dxa"/>
            <w:shd w:val="clear" w:color="000000" w:fill="C2D69B"/>
            <w:hideMark/>
          </w:tcPr>
          <w:p w14:paraId="2EC950E8"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Ngarchelong State</w:t>
            </w:r>
          </w:p>
        </w:tc>
        <w:tc>
          <w:tcPr>
            <w:tcW w:w="1373" w:type="dxa"/>
            <w:shd w:val="clear" w:color="000000" w:fill="C2D69B"/>
            <w:hideMark/>
          </w:tcPr>
          <w:p w14:paraId="7C319C0F"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Ngardmau State</w:t>
            </w:r>
          </w:p>
        </w:tc>
        <w:tc>
          <w:tcPr>
            <w:tcW w:w="1237" w:type="dxa"/>
            <w:shd w:val="clear" w:color="000000" w:fill="C2D69B"/>
            <w:hideMark/>
          </w:tcPr>
          <w:p w14:paraId="163CEC1B"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Koror State</w:t>
            </w:r>
          </w:p>
        </w:tc>
        <w:tc>
          <w:tcPr>
            <w:tcW w:w="1110" w:type="dxa"/>
            <w:shd w:val="clear" w:color="000000" w:fill="C2D69B"/>
            <w:hideMark/>
          </w:tcPr>
          <w:p w14:paraId="3A3A76A4"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Peleliu State</w:t>
            </w:r>
          </w:p>
        </w:tc>
      </w:tr>
      <w:tr w:rsidR="00B02352" w:rsidRPr="00B02352" w14:paraId="2839B275" w14:textId="77777777" w:rsidTr="005F36E3">
        <w:trPr>
          <w:trHeight w:val="1215"/>
        </w:trPr>
        <w:tc>
          <w:tcPr>
            <w:tcW w:w="3875" w:type="dxa"/>
            <w:gridSpan w:val="3"/>
            <w:shd w:val="clear" w:color="000000" w:fill="C2D69B"/>
            <w:hideMark/>
          </w:tcPr>
          <w:p w14:paraId="6E2D98F7" w14:textId="77777777" w:rsidR="00B02352" w:rsidRPr="00EB71A9" w:rsidRDefault="00B02352" w:rsidP="00B02352">
            <w:pPr>
              <w:spacing w:after="0"/>
              <w:jc w:val="left"/>
              <w:rPr>
                <w:rFonts w:asciiTheme="majorHAnsi" w:eastAsia="Times New Roman" w:hAnsiTheme="majorHAnsi"/>
                <w:b/>
                <w:bCs/>
                <w:i/>
                <w:color w:val="000000"/>
                <w:sz w:val="18"/>
                <w:szCs w:val="18"/>
              </w:rPr>
            </w:pPr>
            <w:r w:rsidRPr="00EB71A9">
              <w:rPr>
                <w:rFonts w:asciiTheme="majorHAnsi" w:eastAsia="Times New Roman" w:hAnsiTheme="majorHAnsi"/>
                <w:b/>
                <w:bCs/>
                <w:i/>
                <w:color w:val="000000"/>
                <w:sz w:val="18"/>
                <w:szCs w:val="18"/>
              </w:rPr>
              <w:t> How many people and who participated in scoring exercise?</w:t>
            </w:r>
          </w:p>
          <w:p w14:paraId="66523F87" w14:textId="77777777" w:rsidR="00B02352" w:rsidRPr="00EB71A9" w:rsidRDefault="00B02352" w:rsidP="00B02352">
            <w:pPr>
              <w:spacing w:after="0"/>
              <w:jc w:val="left"/>
              <w:rPr>
                <w:rFonts w:asciiTheme="majorHAnsi" w:eastAsia="Times New Roman" w:hAnsiTheme="majorHAnsi"/>
                <w:b/>
                <w:bCs/>
                <w:i/>
                <w:color w:val="000000"/>
                <w:sz w:val="18"/>
                <w:szCs w:val="18"/>
              </w:rPr>
            </w:pPr>
          </w:p>
        </w:tc>
        <w:tc>
          <w:tcPr>
            <w:tcW w:w="1158" w:type="dxa"/>
            <w:shd w:val="clear" w:color="000000" w:fill="C2D69B"/>
            <w:hideMark/>
          </w:tcPr>
          <w:p w14:paraId="7C5C0B5C" w14:textId="77777777" w:rsidR="00B02352" w:rsidRPr="00EB71A9" w:rsidRDefault="00B02352" w:rsidP="00B02352">
            <w:pPr>
              <w:spacing w:after="0"/>
              <w:jc w:val="left"/>
              <w:rPr>
                <w:rFonts w:asciiTheme="majorHAnsi" w:eastAsia="Times New Roman" w:hAnsiTheme="majorHAnsi"/>
                <w:bCs/>
                <w:i/>
                <w:color w:val="000000"/>
                <w:sz w:val="18"/>
                <w:szCs w:val="18"/>
              </w:rPr>
            </w:pPr>
            <w:r w:rsidRPr="00EB71A9">
              <w:rPr>
                <w:rFonts w:asciiTheme="majorHAnsi" w:eastAsia="Times New Roman" w:hAnsiTheme="majorHAnsi"/>
                <w:bCs/>
                <w:i/>
                <w:color w:val="000000"/>
                <w:sz w:val="18"/>
                <w:szCs w:val="18"/>
              </w:rPr>
              <w:t>2: Governor and Staff</w:t>
            </w:r>
          </w:p>
        </w:tc>
        <w:tc>
          <w:tcPr>
            <w:tcW w:w="1002" w:type="dxa"/>
            <w:shd w:val="clear" w:color="000000" w:fill="C2D69B"/>
            <w:hideMark/>
          </w:tcPr>
          <w:p w14:paraId="722CC925" w14:textId="77777777" w:rsidR="00B02352" w:rsidRPr="00EB71A9" w:rsidRDefault="00B02352" w:rsidP="00B02352">
            <w:pPr>
              <w:spacing w:after="0"/>
              <w:jc w:val="left"/>
              <w:rPr>
                <w:rFonts w:asciiTheme="majorHAnsi" w:eastAsia="Times New Roman" w:hAnsiTheme="majorHAnsi"/>
                <w:bCs/>
                <w:i/>
                <w:color w:val="000000"/>
                <w:sz w:val="18"/>
                <w:szCs w:val="18"/>
              </w:rPr>
            </w:pPr>
            <w:r w:rsidRPr="00EB71A9">
              <w:rPr>
                <w:rFonts w:asciiTheme="majorHAnsi" w:eastAsia="Times New Roman" w:hAnsiTheme="majorHAnsi"/>
                <w:bCs/>
                <w:i/>
                <w:color w:val="000000"/>
                <w:sz w:val="18"/>
                <w:szCs w:val="18"/>
              </w:rPr>
              <w:t>1: Technical Advisor at PCS</w:t>
            </w:r>
          </w:p>
        </w:tc>
        <w:tc>
          <w:tcPr>
            <w:tcW w:w="900" w:type="dxa"/>
            <w:shd w:val="clear" w:color="000000" w:fill="C2D69B"/>
            <w:hideMark/>
          </w:tcPr>
          <w:p w14:paraId="3B2D930B" w14:textId="77777777" w:rsidR="00B02352" w:rsidRPr="00EB71A9" w:rsidRDefault="00B02352" w:rsidP="00B02352">
            <w:pPr>
              <w:spacing w:after="0"/>
              <w:jc w:val="left"/>
              <w:rPr>
                <w:rFonts w:asciiTheme="majorHAnsi" w:eastAsia="Times New Roman" w:hAnsiTheme="majorHAnsi"/>
                <w:bCs/>
                <w:i/>
                <w:color w:val="000000"/>
                <w:sz w:val="18"/>
                <w:szCs w:val="18"/>
              </w:rPr>
            </w:pPr>
            <w:r w:rsidRPr="00EB71A9">
              <w:rPr>
                <w:rFonts w:asciiTheme="majorHAnsi" w:eastAsia="Times New Roman" w:hAnsiTheme="majorHAnsi"/>
                <w:bCs/>
                <w:i/>
                <w:color w:val="000000"/>
                <w:sz w:val="18"/>
                <w:szCs w:val="18"/>
              </w:rPr>
              <w:t>1: Technical Advisor at PCS</w:t>
            </w:r>
          </w:p>
        </w:tc>
        <w:tc>
          <w:tcPr>
            <w:tcW w:w="912" w:type="dxa"/>
            <w:shd w:val="clear" w:color="000000" w:fill="C2D69B"/>
            <w:hideMark/>
          </w:tcPr>
          <w:p w14:paraId="5E6ED78C" w14:textId="77777777" w:rsidR="00B02352" w:rsidRPr="00EB71A9" w:rsidRDefault="00B02352" w:rsidP="00B02352">
            <w:pPr>
              <w:spacing w:after="0"/>
              <w:jc w:val="left"/>
              <w:rPr>
                <w:rFonts w:asciiTheme="majorHAnsi" w:eastAsia="Times New Roman" w:hAnsiTheme="majorHAnsi"/>
                <w:bCs/>
                <w:i/>
                <w:color w:val="000000"/>
                <w:sz w:val="18"/>
                <w:szCs w:val="18"/>
              </w:rPr>
            </w:pPr>
            <w:r w:rsidRPr="00EB71A9">
              <w:rPr>
                <w:rFonts w:asciiTheme="majorHAnsi" w:eastAsia="Times New Roman" w:hAnsiTheme="majorHAnsi"/>
                <w:bCs/>
                <w:i/>
                <w:color w:val="000000"/>
                <w:sz w:val="18"/>
                <w:szCs w:val="18"/>
              </w:rPr>
              <w:t>1: Technical Advisor at PCS</w:t>
            </w:r>
          </w:p>
        </w:tc>
        <w:tc>
          <w:tcPr>
            <w:tcW w:w="1068" w:type="dxa"/>
            <w:shd w:val="clear" w:color="000000" w:fill="C2D69B"/>
            <w:hideMark/>
          </w:tcPr>
          <w:p w14:paraId="5D500BCC" w14:textId="77777777" w:rsidR="00B02352" w:rsidRPr="00EB71A9" w:rsidRDefault="00B02352" w:rsidP="00B02352">
            <w:pPr>
              <w:spacing w:after="0"/>
              <w:jc w:val="left"/>
              <w:rPr>
                <w:rFonts w:asciiTheme="majorHAnsi" w:eastAsia="Times New Roman" w:hAnsiTheme="majorHAnsi"/>
                <w:bCs/>
                <w:i/>
                <w:color w:val="000000"/>
                <w:sz w:val="18"/>
                <w:szCs w:val="18"/>
              </w:rPr>
            </w:pPr>
            <w:r w:rsidRPr="00EB71A9">
              <w:rPr>
                <w:rFonts w:asciiTheme="majorHAnsi" w:eastAsia="Times New Roman" w:hAnsiTheme="majorHAnsi"/>
                <w:bCs/>
                <w:i/>
                <w:color w:val="000000"/>
                <w:sz w:val="18"/>
                <w:szCs w:val="18"/>
              </w:rPr>
              <w:t>3: Governor, PAN Coordinator, &amp; Office Staff</w:t>
            </w:r>
          </w:p>
        </w:tc>
        <w:tc>
          <w:tcPr>
            <w:tcW w:w="1170" w:type="dxa"/>
            <w:shd w:val="clear" w:color="000000" w:fill="C2D69B"/>
            <w:hideMark/>
          </w:tcPr>
          <w:p w14:paraId="62E16733" w14:textId="77777777" w:rsidR="00B02352" w:rsidRPr="00EB71A9" w:rsidRDefault="00B02352" w:rsidP="00B02352">
            <w:pPr>
              <w:spacing w:after="0"/>
              <w:jc w:val="left"/>
              <w:rPr>
                <w:rFonts w:asciiTheme="majorHAnsi" w:eastAsia="Times New Roman" w:hAnsiTheme="majorHAnsi"/>
                <w:bCs/>
                <w:i/>
                <w:color w:val="000000"/>
                <w:sz w:val="18"/>
                <w:szCs w:val="18"/>
              </w:rPr>
            </w:pPr>
            <w:r w:rsidRPr="00EB71A9">
              <w:rPr>
                <w:rFonts w:asciiTheme="majorHAnsi" w:eastAsia="Times New Roman" w:hAnsiTheme="majorHAnsi"/>
                <w:bCs/>
                <w:i/>
                <w:color w:val="000000"/>
                <w:sz w:val="18"/>
                <w:szCs w:val="18"/>
              </w:rPr>
              <w:t>1: Governor</w:t>
            </w:r>
          </w:p>
        </w:tc>
        <w:tc>
          <w:tcPr>
            <w:tcW w:w="1080" w:type="dxa"/>
            <w:shd w:val="clear" w:color="000000" w:fill="C2D69B"/>
            <w:hideMark/>
          </w:tcPr>
          <w:p w14:paraId="7C41046A" w14:textId="77777777" w:rsidR="00B02352" w:rsidRPr="00EB71A9" w:rsidRDefault="00B02352" w:rsidP="00B02352">
            <w:pPr>
              <w:spacing w:after="0"/>
              <w:jc w:val="left"/>
              <w:rPr>
                <w:rFonts w:asciiTheme="majorHAnsi" w:eastAsia="Times New Roman" w:hAnsiTheme="majorHAnsi"/>
                <w:bCs/>
                <w:i/>
                <w:color w:val="000000"/>
                <w:sz w:val="18"/>
                <w:szCs w:val="18"/>
              </w:rPr>
            </w:pPr>
            <w:r w:rsidRPr="00EB71A9">
              <w:rPr>
                <w:rFonts w:asciiTheme="majorHAnsi" w:eastAsia="Times New Roman" w:hAnsiTheme="majorHAnsi"/>
                <w:bCs/>
                <w:i/>
                <w:color w:val="000000"/>
                <w:sz w:val="18"/>
                <w:szCs w:val="18"/>
              </w:rPr>
              <w:t>8: 1 Legislator, Ebiil Society, and WestCare</w:t>
            </w:r>
          </w:p>
        </w:tc>
        <w:tc>
          <w:tcPr>
            <w:tcW w:w="1373" w:type="dxa"/>
            <w:shd w:val="clear" w:color="000000" w:fill="C2D69B"/>
            <w:hideMark/>
          </w:tcPr>
          <w:p w14:paraId="65533E22" w14:textId="77777777" w:rsidR="00B02352" w:rsidRPr="00EB71A9" w:rsidRDefault="00B02352" w:rsidP="00B02352">
            <w:pPr>
              <w:spacing w:after="0"/>
              <w:jc w:val="left"/>
              <w:rPr>
                <w:rFonts w:asciiTheme="majorHAnsi" w:eastAsia="Times New Roman" w:hAnsiTheme="majorHAnsi"/>
                <w:bCs/>
                <w:i/>
                <w:color w:val="000000"/>
                <w:sz w:val="18"/>
                <w:szCs w:val="18"/>
              </w:rPr>
            </w:pPr>
            <w:r w:rsidRPr="00EB71A9">
              <w:rPr>
                <w:rFonts w:asciiTheme="majorHAnsi" w:eastAsia="Times New Roman" w:hAnsiTheme="majorHAnsi"/>
                <w:bCs/>
                <w:i/>
                <w:color w:val="000000"/>
                <w:sz w:val="18"/>
                <w:szCs w:val="18"/>
              </w:rPr>
              <w:t>3: State Planning Commission</w:t>
            </w:r>
          </w:p>
        </w:tc>
        <w:tc>
          <w:tcPr>
            <w:tcW w:w="1237" w:type="dxa"/>
            <w:shd w:val="clear" w:color="000000" w:fill="C2D69B"/>
            <w:hideMark/>
          </w:tcPr>
          <w:p w14:paraId="45838048" w14:textId="77777777" w:rsidR="00B02352" w:rsidRPr="00EB71A9" w:rsidRDefault="00B02352" w:rsidP="00B02352">
            <w:pPr>
              <w:spacing w:after="0"/>
              <w:jc w:val="left"/>
              <w:rPr>
                <w:rFonts w:asciiTheme="majorHAnsi" w:eastAsia="Times New Roman" w:hAnsiTheme="majorHAnsi"/>
                <w:bCs/>
                <w:i/>
                <w:color w:val="000000"/>
                <w:sz w:val="18"/>
                <w:szCs w:val="18"/>
              </w:rPr>
            </w:pPr>
            <w:r w:rsidRPr="00EB71A9">
              <w:rPr>
                <w:rFonts w:asciiTheme="majorHAnsi" w:eastAsia="Times New Roman" w:hAnsiTheme="majorHAnsi"/>
                <w:bCs/>
                <w:i/>
                <w:color w:val="000000"/>
                <w:sz w:val="18"/>
                <w:szCs w:val="18"/>
              </w:rPr>
              <w:t xml:space="preserve">2: Department of Conservation and Law Enforcement </w:t>
            </w:r>
          </w:p>
          <w:p w14:paraId="60DD3381" w14:textId="77777777" w:rsidR="00B02352" w:rsidRPr="00EB71A9" w:rsidRDefault="00B02352" w:rsidP="00B02352">
            <w:pPr>
              <w:spacing w:after="0"/>
              <w:jc w:val="left"/>
              <w:rPr>
                <w:rFonts w:asciiTheme="majorHAnsi" w:eastAsia="Times New Roman" w:hAnsiTheme="majorHAnsi"/>
                <w:bCs/>
                <w:i/>
                <w:color w:val="000000"/>
                <w:sz w:val="18"/>
                <w:szCs w:val="18"/>
              </w:rPr>
            </w:pPr>
            <w:r w:rsidRPr="00EB71A9">
              <w:rPr>
                <w:rFonts w:asciiTheme="majorHAnsi" w:eastAsia="Times New Roman" w:hAnsiTheme="majorHAnsi"/>
                <w:bCs/>
                <w:i/>
                <w:color w:val="000000"/>
                <w:sz w:val="18"/>
                <w:szCs w:val="18"/>
              </w:rPr>
              <w:t>current and former</w:t>
            </w:r>
          </w:p>
        </w:tc>
        <w:tc>
          <w:tcPr>
            <w:tcW w:w="1110" w:type="dxa"/>
            <w:shd w:val="clear" w:color="000000" w:fill="C2D69B"/>
            <w:hideMark/>
          </w:tcPr>
          <w:p w14:paraId="210DC48A" w14:textId="77777777" w:rsidR="00B02352" w:rsidRPr="00EB71A9" w:rsidRDefault="00B02352" w:rsidP="00B02352">
            <w:pPr>
              <w:spacing w:after="0"/>
              <w:jc w:val="left"/>
              <w:rPr>
                <w:rFonts w:asciiTheme="majorHAnsi" w:eastAsia="Times New Roman" w:hAnsiTheme="majorHAnsi"/>
                <w:bCs/>
                <w:i/>
                <w:color w:val="000000"/>
                <w:sz w:val="18"/>
                <w:szCs w:val="18"/>
              </w:rPr>
            </w:pPr>
            <w:r w:rsidRPr="00EB71A9">
              <w:rPr>
                <w:rFonts w:asciiTheme="majorHAnsi" w:eastAsia="Times New Roman" w:hAnsiTheme="majorHAnsi"/>
                <w:bCs/>
                <w:i/>
                <w:color w:val="000000"/>
                <w:sz w:val="18"/>
                <w:szCs w:val="18"/>
              </w:rPr>
              <w:t>1: Consultant based on meeting with Governor in February 2017</w:t>
            </w:r>
          </w:p>
        </w:tc>
      </w:tr>
      <w:tr w:rsidR="00B02352" w:rsidRPr="00EB71A9" w14:paraId="71C87043" w14:textId="77777777" w:rsidTr="00A35929">
        <w:trPr>
          <w:trHeight w:val="101"/>
        </w:trPr>
        <w:tc>
          <w:tcPr>
            <w:tcW w:w="14885" w:type="dxa"/>
            <w:gridSpan w:val="13"/>
            <w:shd w:val="clear" w:color="000000" w:fill="C6E0B4"/>
            <w:hideMark/>
          </w:tcPr>
          <w:p w14:paraId="4880018E" w14:textId="2BCD3B14" w:rsidR="00B02352" w:rsidRPr="00EB71A9" w:rsidRDefault="00B02352" w:rsidP="00EB71A9">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Capacity to conceptualize and formulate policies, legislations, strategies and program</w:t>
            </w:r>
            <w:r w:rsidR="00EB71A9" w:rsidRPr="00EB71A9">
              <w:rPr>
                <w:rFonts w:asciiTheme="majorHAnsi" w:eastAsia="Times New Roman" w:hAnsiTheme="majorHAnsi"/>
                <w:b/>
                <w:bCs/>
                <w:color w:val="000000"/>
                <w:sz w:val="18"/>
                <w:szCs w:val="18"/>
              </w:rPr>
              <w:t>s</w:t>
            </w:r>
          </w:p>
        </w:tc>
      </w:tr>
      <w:tr w:rsidR="00B02352" w:rsidRPr="00EB71A9" w14:paraId="2C25273C" w14:textId="77777777" w:rsidTr="005F36E3">
        <w:trPr>
          <w:trHeight w:val="300"/>
        </w:trPr>
        <w:tc>
          <w:tcPr>
            <w:tcW w:w="1535" w:type="dxa"/>
            <w:vMerge w:val="restart"/>
            <w:shd w:val="clear" w:color="auto" w:fill="auto"/>
            <w:hideMark/>
          </w:tcPr>
          <w:p w14:paraId="3187A5B7"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1.1. Is there a legal mandate and regulatory framework for Landscape/ Seascape Planning &amp; Management across boundaries?</w:t>
            </w:r>
          </w:p>
        </w:tc>
        <w:tc>
          <w:tcPr>
            <w:tcW w:w="1890" w:type="dxa"/>
            <w:shd w:val="clear" w:color="auto" w:fill="auto"/>
            <w:hideMark/>
          </w:tcPr>
          <w:p w14:paraId="3BED1C32"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No</w:t>
            </w:r>
          </w:p>
        </w:tc>
        <w:tc>
          <w:tcPr>
            <w:tcW w:w="450" w:type="dxa"/>
            <w:shd w:val="clear" w:color="auto" w:fill="auto"/>
            <w:noWrap/>
            <w:hideMark/>
          </w:tcPr>
          <w:p w14:paraId="125F8548"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1158" w:type="dxa"/>
            <w:vMerge w:val="restart"/>
            <w:shd w:val="clear" w:color="auto" w:fill="auto"/>
            <w:hideMark/>
          </w:tcPr>
          <w:p w14:paraId="7588C9D5"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002" w:type="dxa"/>
            <w:vMerge w:val="restart"/>
            <w:shd w:val="clear" w:color="auto" w:fill="auto"/>
            <w:hideMark/>
          </w:tcPr>
          <w:p w14:paraId="1BB3F6CE"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900" w:type="dxa"/>
            <w:vMerge w:val="restart"/>
            <w:shd w:val="clear" w:color="auto" w:fill="auto"/>
            <w:hideMark/>
          </w:tcPr>
          <w:p w14:paraId="620FEB37"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912" w:type="dxa"/>
            <w:vMerge w:val="restart"/>
            <w:shd w:val="clear" w:color="auto" w:fill="auto"/>
            <w:hideMark/>
          </w:tcPr>
          <w:p w14:paraId="17BF8788"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068" w:type="dxa"/>
            <w:vMerge w:val="restart"/>
            <w:shd w:val="clear" w:color="auto" w:fill="auto"/>
            <w:hideMark/>
          </w:tcPr>
          <w:p w14:paraId="29BF2B1F"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170" w:type="dxa"/>
            <w:vMerge w:val="restart"/>
            <w:shd w:val="clear" w:color="auto" w:fill="auto"/>
            <w:hideMark/>
          </w:tcPr>
          <w:p w14:paraId="25E61F60"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080" w:type="dxa"/>
            <w:vMerge w:val="restart"/>
            <w:shd w:val="clear" w:color="auto" w:fill="auto"/>
            <w:hideMark/>
          </w:tcPr>
          <w:p w14:paraId="084E7AEC"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373" w:type="dxa"/>
            <w:vMerge w:val="restart"/>
            <w:shd w:val="clear" w:color="auto" w:fill="auto"/>
            <w:hideMark/>
          </w:tcPr>
          <w:p w14:paraId="45CE696E"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2 </w:t>
            </w:r>
          </w:p>
          <w:p w14:paraId="1AAF758F"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Law exists, but regulations not in place</w:t>
            </w:r>
          </w:p>
        </w:tc>
        <w:tc>
          <w:tcPr>
            <w:tcW w:w="1237" w:type="dxa"/>
            <w:vMerge w:val="restart"/>
            <w:shd w:val="clear" w:color="auto" w:fill="auto"/>
            <w:hideMark/>
          </w:tcPr>
          <w:p w14:paraId="583DA532"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1 </w:t>
            </w:r>
          </w:p>
          <w:p w14:paraId="4FF75C7C"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Legal mandate for Department of Conservation and Law Enforcement to work with other agencies within Koror State and with partner agencies in government</w:t>
            </w:r>
          </w:p>
        </w:tc>
        <w:tc>
          <w:tcPr>
            <w:tcW w:w="1110" w:type="dxa"/>
            <w:vMerge w:val="restart"/>
            <w:shd w:val="clear" w:color="auto" w:fill="auto"/>
            <w:hideMark/>
          </w:tcPr>
          <w:p w14:paraId="5FA3DB69"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r>
      <w:tr w:rsidR="00B02352" w:rsidRPr="00EB71A9" w14:paraId="474E2E23" w14:textId="77777777" w:rsidTr="005F36E3">
        <w:trPr>
          <w:trHeight w:val="495"/>
        </w:trPr>
        <w:tc>
          <w:tcPr>
            <w:tcW w:w="1535" w:type="dxa"/>
            <w:vMerge/>
            <w:hideMark/>
          </w:tcPr>
          <w:p w14:paraId="285EE557"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5B910B74"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Legal requirements exist only for attention to environmental concerns in sector planning</w:t>
            </w:r>
          </w:p>
        </w:tc>
        <w:tc>
          <w:tcPr>
            <w:tcW w:w="450" w:type="dxa"/>
            <w:shd w:val="clear" w:color="auto" w:fill="auto"/>
            <w:noWrap/>
            <w:hideMark/>
          </w:tcPr>
          <w:p w14:paraId="66713A9A"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1158" w:type="dxa"/>
            <w:vMerge/>
            <w:hideMark/>
          </w:tcPr>
          <w:p w14:paraId="20E22181"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1E2C197F"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1CDAE97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153C3DC6"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431A94D8"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6DCCF9F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6B9F1861"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5177275D"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632E0ACD"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78614983"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4AE313BD" w14:textId="77777777" w:rsidTr="005F36E3">
        <w:trPr>
          <w:trHeight w:val="495"/>
        </w:trPr>
        <w:tc>
          <w:tcPr>
            <w:tcW w:w="1535" w:type="dxa"/>
            <w:vMerge/>
            <w:hideMark/>
          </w:tcPr>
          <w:p w14:paraId="1D4CBED2"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24414A6B"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Law to establish inter-agency coordination for Landscape/ Seascape Planning approved</w:t>
            </w:r>
          </w:p>
        </w:tc>
        <w:tc>
          <w:tcPr>
            <w:tcW w:w="450" w:type="dxa"/>
            <w:shd w:val="clear" w:color="auto" w:fill="auto"/>
            <w:noWrap/>
            <w:hideMark/>
          </w:tcPr>
          <w:p w14:paraId="77D0B353"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1158" w:type="dxa"/>
            <w:vMerge/>
            <w:hideMark/>
          </w:tcPr>
          <w:p w14:paraId="1C7C69C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6BF36749"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73CE53D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4D73C79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6DBD776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189B5C9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1B3B5470"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4E2308C8"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3114AE0F"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01664148"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134BB5B1" w14:textId="77777777" w:rsidTr="005F36E3">
        <w:trPr>
          <w:trHeight w:val="495"/>
        </w:trPr>
        <w:tc>
          <w:tcPr>
            <w:tcW w:w="1535" w:type="dxa"/>
            <w:vMerge/>
            <w:hideMark/>
          </w:tcPr>
          <w:p w14:paraId="0479166D"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345E0D98"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Regulations to implement inter-agency coordination for Landscape/ Seascape Planning approved and operational</w:t>
            </w:r>
          </w:p>
        </w:tc>
        <w:tc>
          <w:tcPr>
            <w:tcW w:w="450" w:type="dxa"/>
            <w:shd w:val="clear" w:color="auto" w:fill="auto"/>
            <w:noWrap/>
            <w:hideMark/>
          </w:tcPr>
          <w:p w14:paraId="173C4A53"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1158" w:type="dxa"/>
            <w:vMerge/>
            <w:hideMark/>
          </w:tcPr>
          <w:p w14:paraId="7EFC1E47"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2922789D"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2A79EB6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2248125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41F3E06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43F5B37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43F32F27"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6364D138"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2DBB3A52"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02B921A0"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0773CDF0" w14:textId="77777777" w:rsidTr="005F36E3">
        <w:trPr>
          <w:trHeight w:val="101"/>
        </w:trPr>
        <w:tc>
          <w:tcPr>
            <w:tcW w:w="1535" w:type="dxa"/>
            <w:vMerge w:val="restart"/>
            <w:shd w:val="clear" w:color="auto" w:fill="auto"/>
            <w:hideMark/>
          </w:tcPr>
          <w:p w14:paraId="5A86147A"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1.2. Does a POLICY exist for integrating land with coastal / marine management, including recognition of the biophysical and social/cultural connections between these environments?</w:t>
            </w:r>
          </w:p>
        </w:tc>
        <w:tc>
          <w:tcPr>
            <w:tcW w:w="1890" w:type="dxa"/>
            <w:shd w:val="clear" w:color="auto" w:fill="auto"/>
            <w:hideMark/>
          </w:tcPr>
          <w:p w14:paraId="64CC809B"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No</w:t>
            </w:r>
          </w:p>
        </w:tc>
        <w:tc>
          <w:tcPr>
            <w:tcW w:w="450" w:type="dxa"/>
            <w:shd w:val="clear" w:color="auto" w:fill="auto"/>
            <w:noWrap/>
            <w:hideMark/>
          </w:tcPr>
          <w:p w14:paraId="146EB6EB"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1158" w:type="dxa"/>
            <w:vMerge w:val="restart"/>
            <w:shd w:val="clear" w:color="auto" w:fill="auto"/>
            <w:hideMark/>
          </w:tcPr>
          <w:p w14:paraId="766C0B77"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002" w:type="dxa"/>
            <w:vMerge w:val="restart"/>
            <w:shd w:val="clear" w:color="auto" w:fill="auto"/>
            <w:hideMark/>
          </w:tcPr>
          <w:p w14:paraId="2A00D9FB"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900" w:type="dxa"/>
            <w:vMerge w:val="restart"/>
            <w:shd w:val="clear" w:color="auto" w:fill="auto"/>
            <w:hideMark/>
          </w:tcPr>
          <w:p w14:paraId="7DB72E7F"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912" w:type="dxa"/>
            <w:vMerge w:val="restart"/>
            <w:shd w:val="clear" w:color="auto" w:fill="auto"/>
            <w:hideMark/>
          </w:tcPr>
          <w:p w14:paraId="777FC6CE"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068" w:type="dxa"/>
            <w:vMerge w:val="restart"/>
            <w:shd w:val="clear" w:color="auto" w:fill="auto"/>
            <w:hideMark/>
          </w:tcPr>
          <w:p w14:paraId="7BFAB2A9"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170" w:type="dxa"/>
            <w:vMerge w:val="restart"/>
            <w:shd w:val="clear" w:color="auto" w:fill="auto"/>
            <w:hideMark/>
          </w:tcPr>
          <w:p w14:paraId="5BA4F7E7"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080" w:type="dxa"/>
            <w:vMerge w:val="restart"/>
            <w:shd w:val="clear" w:color="auto" w:fill="auto"/>
            <w:hideMark/>
          </w:tcPr>
          <w:p w14:paraId="62C73228"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1 </w:t>
            </w:r>
          </w:p>
          <w:p w14:paraId="0EDC0F30"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There are channels for Ebiil Channel and PAN Sites, as well as plans for Northern Reefs</w:t>
            </w:r>
          </w:p>
        </w:tc>
        <w:tc>
          <w:tcPr>
            <w:tcW w:w="1373" w:type="dxa"/>
            <w:vMerge w:val="restart"/>
            <w:shd w:val="clear" w:color="auto" w:fill="auto"/>
            <w:hideMark/>
          </w:tcPr>
          <w:p w14:paraId="2B3F5212"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3 </w:t>
            </w:r>
          </w:p>
          <w:p w14:paraId="373C47C5"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State policies exist mandating land use planning. It has been fully endorsed. The OSCA </w:t>
            </w:r>
          </w:p>
          <w:p w14:paraId="1E9A1222"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PAN Site Network also integrates across land and sea.</w:t>
            </w:r>
          </w:p>
        </w:tc>
        <w:tc>
          <w:tcPr>
            <w:tcW w:w="1237" w:type="dxa"/>
            <w:vMerge w:val="restart"/>
            <w:shd w:val="clear" w:color="auto" w:fill="auto"/>
            <w:hideMark/>
          </w:tcPr>
          <w:p w14:paraId="17B6535C"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1110" w:type="dxa"/>
            <w:vMerge w:val="restart"/>
            <w:shd w:val="clear" w:color="auto" w:fill="auto"/>
            <w:hideMark/>
          </w:tcPr>
          <w:p w14:paraId="48A89BF4"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r>
      <w:tr w:rsidR="00B02352" w:rsidRPr="00EB71A9" w14:paraId="69C8DD4C" w14:textId="77777777" w:rsidTr="005F36E3">
        <w:trPr>
          <w:trHeight w:val="495"/>
        </w:trPr>
        <w:tc>
          <w:tcPr>
            <w:tcW w:w="1535" w:type="dxa"/>
            <w:vMerge/>
            <w:hideMark/>
          </w:tcPr>
          <w:p w14:paraId="00B0320E"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027CE99A"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Policy only requiring attention to environmental concerns in sector planning</w:t>
            </w:r>
          </w:p>
        </w:tc>
        <w:tc>
          <w:tcPr>
            <w:tcW w:w="450" w:type="dxa"/>
            <w:shd w:val="clear" w:color="auto" w:fill="auto"/>
            <w:noWrap/>
            <w:hideMark/>
          </w:tcPr>
          <w:p w14:paraId="0D1A7A5D"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1158" w:type="dxa"/>
            <w:vMerge/>
            <w:hideMark/>
          </w:tcPr>
          <w:p w14:paraId="4BD4F05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43157E7D"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2AA26152"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327C4D7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65B3F34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43886446"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627BB2D6"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3E889AAD"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19A2BE02"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1360206E"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1C6D4EF1" w14:textId="77777777" w:rsidTr="005F36E3">
        <w:trPr>
          <w:trHeight w:val="735"/>
        </w:trPr>
        <w:tc>
          <w:tcPr>
            <w:tcW w:w="1535" w:type="dxa"/>
            <w:vMerge/>
            <w:hideMark/>
          </w:tcPr>
          <w:p w14:paraId="59DE956F"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4B17A195"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Policy requiring inter-agency coordination to achieve biodiversity and ecosystem services mainstreaming in Landscape/ Seascape Planning in prep</w:t>
            </w:r>
          </w:p>
        </w:tc>
        <w:tc>
          <w:tcPr>
            <w:tcW w:w="450" w:type="dxa"/>
            <w:shd w:val="clear" w:color="auto" w:fill="auto"/>
            <w:noWrap/>
            <w:hideMark/>
          </w:tcPr>
          <w:p w14:paraId="649EBE4C"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1158" w:type="dxa"/>
            <w:vMerge/>
            <w:hideMark/>
          </w:tcPr>
          <w:p w14:paraId="38F75C66"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04A0996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202926C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65C0B85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2D6DCA76"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67FCE250"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6B8301E8"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1BED223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7347227F"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0B036604"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009A717D" w14:textId="77777777" w:rsidTr="005F36E3">
        <w:trPr>
          <w:trHeight w:val="735"/>
        </w:trPr>
        <w:tc>
          <w:tcPr>
            <w:tcW w:w="1535" w:type="dxa"/>
            <w:vMerge/>
            <w:hideMark/>
          </w:tcPr>
          <w:p w14:paraId="287A42D4"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7562793B"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Policy requiring inter-agency coordination to achieve biodiversity and ecosystem services mainstreaming in Landscape/ Seascape Planning approved</w:t>
            </w:r>
          </w:p>
        </w:tc>
        <w:tc>
          <w:tcPr>
            <w:tcW w:w="450" w:type="dxa"/>
            <w:shd w:val="clear" w:color="auto" w:fill="auto"/>
            <w:noWrap/>
            <w:hideMark/>
          </w:tcPr>
          <w:p w14:paraId="5DD1D1CE"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1158" w:type="dxa"/>
            <w:vMerge/>
            <w:hideMark/>
          </w:tcPr>
          <w:p w14:paraId="556AB1F6"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793A1A4F"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451030C6"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192C014F"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483B0452"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1B21A8B7"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75522FA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6CFBC65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11F5680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0EA59038"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066A0749" w14:textId="77777777" w:rsidTr="005F36E3">
        <w:trPr>
          <w:trHeight w:val="288"/>
        </w:trPr>
        <w:tc>
          <w:tcPr>
            <w:tcW w:w="1535" w:type="dxa"/>
            <w:vMerge w:val="restart"/>
            <w:shd w:val="clear" w:color="auto" w:fill="auto"/>
            <w:hideMark/>
          </w:tcPr>
          <w:p w14:paraId="40008447"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1.3. Does a PROCESS exist for mainstreaming biodiversity and ecosystem services into Landscape/ Seascape Planning &amp; Management?</w:t>
            </w:r>
          </w:p>
        </w:tc>
        <w:tc>
          <w:tcPr>
            <w:tcW w:w="1890" w:type="dxa"/>
            <w:shd w:val="clear" w:color="auto" w:fill="auto"/>
            <w:hideMark/>
          </w:tcPr>
          <w:p w14:paraId="6EDF76A7"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No recognition of land-sea connections in existing policies</w:t>
            </w:r>
          </w:p>
        </w:tc>
        <w:tc>
          <w:tcPr>
            <w:tcW w:w="450" w:type="dxa"/>
            <w:shd w:val="clear" w:color="auto" w:fill="auto"/>
            <w:noWrap/>
            <w:hideMark/>
          </w:tcPr>
          <w:p w14:paraId="0DD7C853"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1158" w:type="dxa"/>
            <w:vMerge w:val="restart"/>
            <w:shd w:val="clear" w:color="auto" w:fill="auto"/>
            <w:hideMark/>
          </w:tcPr>
          <w:p w14:paraId="2A2CE21C"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002" w:type="dxa"/>
            <w:vMerge w:val="restart"/>
            <w:shd w:val="clear" w:color="auto" w:fill="auto"/>
            <w:hideMark/>
          </w:tcPr>
          <w:p w14:paraId="16EB0A5D"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900" w:type="dxa"/>
            <w:vMerge w:val="restart"/>
            <w:shd w:val="clear" w:color="auto" w:fill="auto"/>
            <w:hideMark/>
          </w:tcPr>
          <w:p w14:paraId="51F9627B"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912" w:type="dxa"/>
            <w:vMerge w:val="restart"/>
            <w:shd w:val="clear" w:color="auto" w:fill="auto"/>
            <w:hideMark/>
          </w:tcPr>
          <w:p w14:paraId="6743FA93"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068" w:type="dxa"/>
            <w:vMerge w:val="restart"/>
            <w:shd w:val="clear" w:color="auto" w:fill="auto"/>
            <w:hideMark/>
          </w:tcPr>
          <w:p w14:paraId="35F0B6D7"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170" w:type="dxa"/>
            <w:vMerge w:val="restart"/>
            <w:shd w:val="clear" w:color="auto" w:fill="auto"/>
            <w:hideMark/>
          </w:tcPr>
          <w:p w14:paraId="6EA31CFC"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080" w:type="dxa"/>
            <w:vMerge w:val="restart"/>
            <w:shd w:val="clear" w:color="auto" w:fill="auto"/>
            <w:hideMark/>
          </w:tcPr>
          <w:p w14:paraId="029BE94F"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0 </w:t>
            </w:r>
          </w:p>
          <w:p w14:paraId="3252359F"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Although there is draft watershed legislation</w:t>
            </w:r>
          </w:p>
        </w:tc>
        <w:tc>
          <w:tcPr>
            <w:tcW w:w="1373" w:type="dxa"/>
            <w:vMerge w:val="restart"/>
            <w:shd w:val="clear" w:color="auto" w:fill="auto"/>
            <w:hideMark/>
          </w:tcPr>
          <w:p w14:paraId="16DFD7E7"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2 </w:t>
            </w:r>
          </w:p>
          <w:p w14:paraId="246A79CF"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It is not comprehensive</w:t>
            </w:r>
          </w:p>
        </w:tc>
        <w:tc>
          <w:tcPr>
            <w:tcW w:w="1237" w:type="dxa"/>
            <w:vMerge w:val="restart"/>
            <w:shd w:val="clear" w:color="auto" w:fill="auto"/>
            <w:hideMark/>
          </w:tcPr>
          <w:p w14:paraId="23CFB937"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2 </w:t>
            </w:r>
          </w:p>
          <w:p w14:paraId="7301439A"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These are very different processes for zoning plans, World Heritage site planning, PAN management planning. There is some ad hoc alignment</w:t>
            </w:r>
          </w:p>
        </w:tc>
        <w:tc>
          <w:tcPr>
            <w:tcW w:w="1110" w:type="dxa"/>
            <w:vMerge w:val="restart"/>
            <w:shd w:val="clear" w:color="auto" w:fill="auto"/>
            <w:hideMark/>
          </w:tcPr>
          <w:p w14:paraId="128B55DF"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r>
      <w:tr w:rsidR="00B02352" w:rsidRPr="00EB71A9" w14:paraId="7F0027FB" w14:textId="77777777" w:rsidTr="005F36E3">
        <w:trPr>
          <w:trHeight w:val="495"/>
        </w:trPr>
        <w:tc>
          <w:tcPr>
            <w:tcW w:w="1535" w:type="dxa"/>
            <w:vMerge/>
            <w:hideMark/>
          </w:tcPr>
          <w:p w14:paraId="2CA622A2"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7C8B73A5"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Policies reflect the need for integrated management of land and seascapes without connections</w:t>
            </w:r>
          </w:p>
        </w:tc>
        <w:tc>
          <w:tcPr>
            <w:tcW w:w="450" w:type="dxa"/>
            <w:shd w:val="clear" w:color="auto" w:fill="auto"/>
            <w:noWrap/>
            <w:hideMark/>
          </w:tcPr>
          <w:p w14:paraId="0CE07622"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1158" w:type="dxa"/>
            <w:vMerge/>
            <w:hideMark/>
          </w:tcPr>
          <w:p w14:paraId="1A20AD20"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729E75FF"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44219B8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5857F5B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417B24E2"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2C42C80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190134F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5E5917C8"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1AF234C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58DF0643"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5F86971A" w14:textId="77777777" w:rsidTr="005F36E3">
        <w:trPr>
          <w:trHeight w:val="495"/>
        </w:trPr>
        <w:tc>
          <w:tcPr>
            <w:tcW w:w="1535" w:type="dxa"/>
            <w:vMerge/>
            <w:hideMark/>
          </w:tcPr>
          <w:p w14:paraId="440ABAC0"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6AAB273F"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Land-sea connections are reflected in some policies but are not comprehensive</w:t>
            </w:r>
          </w:p>
        </w:tc>
        <w:tc>
          <w:tcPr>
            <w:tcW w:w="450" w:type="dxa"/>
            <w:shd w:val="clear" w:color="auto" w:fill="auto"/>
            <w:noWrap/>
            <w:hideMark/>
          </w:tcPr>
          <w:p w14:paraId="430D9160"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1158" w:type="dxa"/>
            <w:vMerge/>
            <w:hideMark/>
          </w:tcPr>
          <w:p w14:paraId="7A8EE285"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5694EF91"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2AB77335"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5ACB707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49A5CE75"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78EE40CF"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67392B06"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17347FB1"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54135C1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05C13122"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16ED2097" w14:textId="77777777" w:rsidTr="005F36E3">
        <w:trPr>
          <w:trHeight w:val="495"/>
        </w:trPr>
        <w:tc>
          <w:tcPr>
            <w:tcW w:w="1535" w:type="dxa"/>
            <w:vMerge/>
            <w:hideMark/>
          </w:tcPr>
          <w:p w14:paraId="495FB1A9"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772F8BD7"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Land-sea connections are comprehensively reflected in holistic policy</w:t>
            </w:r>
          </w:p>
        </w:tc>
        <w:tc>
          <w:tcPr>
            <w:tcW w:w="450" w:type="dxa"/>
            <w:shd w:val="clear" w:color="auto" w:fill="auto"/>
            <w:noWrap/>
            <w:hideMark/>
          </w:tcPr>
          <w:p w14:paraId="7614A313"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1158" w:type="dxa"/>
            <w:vMerge/>
            <w:hideMark/>
          </w:tcPr>
          <w:p w14:paraId="10C1065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581DFE5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11B43B29"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4A4E53A9"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39EC43F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37F88F89"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55A739B5"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0B5DC4C6"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2752A89D"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291B49DB"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0B3377DF" w14:textId="77777777" w:rsidTr="005F36E3">
        <w:trPr>
          <w:trHeight w:val="270"/>
        </w:trPr>
        <w:tc>
          <w:tcPr>
            <w:tcW w:w="1535" w:type="dxa"/>
            <w:vMerge w:val="restart"/>
            <w:shd w:val="clear" w:color="auto" w:fill="auto"/>
            <w:hideMark/>
          </w:tcPr>
          <w:p w14:paraId="22080604"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1.4. What is the status of existing Landscape/ Seascape Plans</w:t>
            </w:r>
          </w:p>
        </w:tc>
        <w:tc>
          <w:tcPr>
            <w:tcW w:w="1890" w:type="dxa"/>
            <w:shd w:val="clear" w:color="auto" w:fill="auto"/>
            <w:hideMark/>
          </w:tcPr>
          <w:p w14:paraId="28DB9408"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There are no such plans</w:t>
            </w:r>
          </w:p>
        </w:tc>
        <w:tc>
          <w:tcPr>
            <w:tcW w:w="450" w:type="dxa"/>
            <w:shd w:val="clear" w:color="auto" w:fill="auto"/>
            <w:noWrap/>
            <w:hideMark/>
          </w:tcPr>
          <w:p w14:paraId="0ACAC2D0"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1158" w:type="dxa"/>
            <w:vMerge w:val="restart"/>
            <w:shd w:val="clear" w:color="auto" w:fill="auto"/>
            <w:hideMark/>
          </w:tcPr>
          <w:p w14:paraId="1FA0591E"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002" w:type="dxa"/>
            <w:vMerge w:val="restart"/>
            <w:shd w:val="clear" w:color="auto" w:fill="auto"/>
            <w:hideMark/>
          </w:tcPr>
          <w:p w14:paraId="6587862C"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1 </w:t>
            </w:r>
          </w:p>
          <w:p w14:paraId="1B33419E"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Recently completed Master Plan, starting with Land Use Planning</w:t>
            </w:r>
          </w:p>
        </w:tc>
        <w:tc>
          <w:tcPr>
            <w:tcW w:w="900" w:type="dxa"/>
            <w:vMerge w:val="restart"/>
            <w:shd w:val="clear" w:color="auto" w:fill="auto"/>
            <w:hideMark/>
          </w:tcPr>
          <w:p w14:paraId="18691900"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3 </w:t>
            </w:r>
          </w:p>
          <w:p w14:paraId="12F0DD3C" w14:textId="50F5EE04" w:rsidR="00B02352" w:rsidRPr="00EB71A9" w:rsidRDefault="00B02352" w:rsidP="005F36E3">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Airai has a Watersh</w:t>
            </w:r>
            <w:r w:rsidR="005F36E3">
              <w:rPr>
                <w:rFonts w:asciiTheme="majorHAnsi" w:eastAsia="Times New Roman" w:hAnsiTheme="majorHAnsi"/>
                <w:bCs/>
                <w:color w:val="000000"/>
                <w:sz w:val="18"/>
                <w:szCs w:val="18"/>
              </w:rPr>
              <w:t>-</w:t>
            </w:r>
            <w:r w:rsidRPr="00EB71A9">
              <w:rPr>
                <w:rFonts w:asciiTheme="majorHAnsi" w:eastAsia="Times New Roman" w:hAnsiTheme="majorHAnsi"/>
                <w:bCs/>
                <w:color w:val="000000"/>
                <w:sz w:val="18"/>
                <w:szCs w:val="18"/>
              </w:rPr>
              <w:t>ed Manage</w:t>
            </w:r>
            <w:r w:rsidR="005F36E3">
              <w:rPr>
                <w:rFonts w:asciiTheme="majorHAnsi" w:eastAsia="Times New Roman" w:hAnsiTheme="majorHAnsi"/>
                <w:bCs/>
                <w:color w:val="000000"/>
                <w:sz w:val="18"/>
                <w:szCs w:val="18"/>
              </w:rPr>
              <w:t>-</w:t>
            </w:r>
            <w:r w:rsidRPr="00EB71A9">
              <w:rPr>
                <w:rFonts w:asciiTheme="majorHAnsi" w:eastAsia="Times New Roman" w:hAnsiTheme="majorHAnsi"/>
                <w:bCs/>
                <w:color w:val="000000"/>
                <w:sz w:val="18"/>
                <w:szCs w:val="18"/>
              </w:rPr>
              <w:t>ment Plan that consider land and sea and which has been adopted</w:t>
            </w:r>
          </w:p>
        </w:tc>
        <w:tc>
          <w:tcPr>
            <w:tcW w:w="912" w:type="dxa"/>
            <w:vMerge w:val="restart"/>
            <w:shd w:val="clear" w:color="auto" w:fill="auto"/>
            <w:hideMark/>
          </w:tcPr>
          <w:p w14:paraId="3D63FE2B"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068" w:type="dxa"/>
            <w:vMerge w:val="restart"/>
            <w:shd w:val="clear" w:color="auto" w:fill="auto"/>
            <w:hideMark/>
          </w:tcPr>
          <w:p w14:paraId="401A9A60"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170" w:type="dxa"/>
            <w:vMerge w:val="restart"/>
            <w:shd w:val="clear" w:color="auto" w:fill="auto"/>
            <w:hideMark/>
          </w:tcPr>
          <w:p w14:paraId="57A13E26"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1080" w:type="dxa"/>
            <w:vMerge w:val="restart"/>
            <w:shd w:val="clear" w:color="auto" w:fill="auto"/>
            <w:hideMark/>
          </w:tcPr>
          <w:p w14:paraId="5FDA1982"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1 </w:t>
            </w:r>
          </w:p>
          <w:p w14:paraId="4D118B09" w14:textId="042B924B" w:rsidR="00B02352" w:rsidRPr="00EB71A9" w:rsidRDefault="005F36E3" w:rsidP="005F36E3">
            <w:pPr>
              <w:spacing w:after="0"/>
              <w:jc w:val="left"/>
              <w:rPr>
                <w:rFonts w:asciiTheme="majorHAnsi" w:eastAsia="Times New Roman" w:hAnsiTheme="majorHAnsi"/>
                <w:bCs/>
                <w:color w:val="000000"/>
                <w:sz w:val="18"/>
                <w:szCs w:val="18"/>
              </w:rPr>
            </w:pPr>
            <w:r>
              <w:rPr>
                <w:rFonts w:asciiTheme="majorHAnsi" w:eastAsia="Times New Roman" w:hAnsiTheme="majorHAnsi"/>
                <w:bCs/>
                <w:color w:val="000000"/>
                <w:sz w:val="18"/>
                <w:szCs w:val="18"/>
              </w:rPr>
              <w:t>For</w:t>
            </w:r>
            <w:r w:rsidR="00B02352" w:rsidRPr="00EB71A9">
              <w:rPr>
                <w:rFonts w:asciiTheme="majorHAnsi" w:eastAsia="Times New Roman" w:hAnsiTheme="majorHAnsi"/>
                <w:bCs/>
                <w:color w:val="000000"/>
                <w:sz w:val="18"/>
                <w:szCs w:val="18"/>
              </w:rPr>
              <w:t xml:space="preserve"> Marine</w:t>
            </w:r>
            <w:r>
              <w:rPr>
                <w:rFonts w:asciiTheme="majorHAnsi" w:eastAsia="Times New Roman" w:hAnsiTheme="majorHAnsi"/>
                <w:bCs/>
                <w:color w:val="000000"/>
                <w:sz w:val="18"/>
                <w:szCs w:val="18"/>
              </w:rPr>
              <w:t xml:space="preserve"> only</w:t>
            </w:r>
            <w:r w:rsidR="00B02352" w:rsidRPr="00EB71A9">
              <w:rPr>
                <w:rFonts w:asciiTheme="majorHAnsi" w:eastAsia="Times New Roman" w:hAnsiTheme="majorHAnsi"/>
                <w:bCs/>
                <w:color w:val="000000"/>
                <w:sz w:val="18"/>
                <w:szCs w:val="18"/>
              </w:rPr>
              <w:t>, with the Northern Marine Managed Area</w:t>
            </w:r>
          </w:p>
        </w:tc>
        <w:tc>
          <w:tcPr>
            <w:tcW w:w="1373" w:type="dxa"/>
            <w:vMerge w:val="restart"/>
            <w:shd w:val="clear" w:color="auto" w:fill="auto"/>
            <w:hideMark/>
          </w:tcPr>
          <w:p w14:paraId="350FA6F2"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2 </w:t>
            </w:r>
          </w:p>
          <w:p w14:paraId="3484611D"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Master Plan has been drafted and Land Use Planning is underway. Master Plan has not been adopted.</w:t>
            </w:r>
          </w:p>
        </w:tc>
        <w:tc>
          <w:tcPr>
            <w:tcW w:w="1237" w:type="dxa"/>
            <w:vMerge w:val="restart"/>
            <w:shd w:val="clear" w:color="auto" w:fill="auto"/>
            <w:hideMark/>
          </w:tcPr>
          <w:p w14:paraId="558E6F26"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1110" w:type="dxa"/>
            <w:vMerge w:val="restart"/>
            <w:shd w:val="clear" w:color="auto" w:fill="auto"/>
            <w:hideMark/>
          </w:tcPr>
          <w:p w14:paraId="544AE7EF"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0 </w:t>
            </w:r>
          </w:p>
          <w:p w14:paraId="58B0A193"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PAN Site is marine only</w:t>
            </w:r>
          </w:p>
        </w:tc>
      </w:tr>
      <w:tr w:rsidR="00B02352" w:rsidRPr="00EB71A9" w14:paraId="4D2448F1" w14:textId="77777777" w:rsidTr="005F36E3">
        <w:trPr>
          <w:trHeight w:val="255"/>
        </w:trPr>
        <w:tc>
          <w:tcPr>
            <w:tcW w:w="1535" w:type="dxa"/>
            <w:vMerge/>
            <w:hideMark/>
          </w:tcPr>
          <w:p w14:paraId="508A55F7"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6610C829"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They are in the beginning Stages, or are outdated</w:t>
            </w:r>
          </w:p>
        </w:tc>
        <w:tc>
          <w:tcPr>
            <w:tcW w:w="450" w:type="dxa"/>
            <w:shd w:val="clear" w:color="auto" w:fill="auto"/>
            <w:noWrap/>
            <w:hideMark/>
          </w:tcPr>
          <w:p w14:paraId="2CDBA829"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1158" w:type="dxa"/>
            <w:vMerge/>
            <w:hideMark/>
          </w:tcPr>
          <w:p w14:paraId="01CEE98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79E11E67"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4C585120"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732D2531"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25F8D09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55664FF9"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5116E29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76009519"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0F64C7C9"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28512C7C"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60A11781" w14:textId="77777777" w:rsidTr="005F36E3">
        <w:trPr>
          <w:trHeight w:val="255"/>
        </w:trPr>
        <w:tc>
          <w:tcPr>
            <w:tcW w:w="1535" w:type="dxa"/>
            <w:vMerge/>
            <w:hideMark/>
          </w:tcPr>
          <w:p w14:paraId="040F32BA"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5619AFA2"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They are in the process of being drafted</w:t>
            </w:r>
          </w:p>
        </w:tc>
        <w:tc>
          <w:tcPr>
            <w:tcW w:w="450" w:type="dxa"/>
            <w:shd w:val="clear" w:color="auto" w:fill="auto"/>
            <w:noWrap/>
            <w:hideMark/>
          </w:tcPr>
          <w:p w14:paraId="3273BE2F"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1158" w:type="dxa"/>
            <w:vMerge/>
            <w:hideMark/>
          </w:tcPr>
          <w:p w14:paraId="1D53CCDF"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32E7388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6B70E271"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64AC00D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35A9E2D8"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51705A06"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5E3A850D"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060F1AA5"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0C7DD408"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523BF133"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1B90C776" w14:textId="77777777" w:rsidTr="005F36E3">
        <w:trPr>
          <w:trHeight w:val="510"/>
        </w:trPr>
        <w:tc>
          <w:tcPr>
            <w:tcW w:w="1535" w:type="dxa"/>
            <w:vMerge/>
            <w:hideMark/>
          </w:tcPr>
          <w:p w14:paraId="1F0F91DF"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335BE1F8"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Landscape/ Seascape Plans are completed and adopted.</w:t>
            </w:r>
          </w:p>
        </w:tc>
        <w:tc>
          <w:tcPr>
            <w:tcW w:w="450" w:type="dxa"/>
            <w:shd w:val="clear" w:color="auto" w:fill="auto"/>
            <w:noWrap/>
            <w:hideMark/>
          </w:tcPr>
          <w:p w14:paraId="66F8A548"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1158" w:type="dxa"/>
            <w:vMerge/>
            <w:hideMark/>
          </w:tcPr>
          <w:p w14:paraId="6BE9B237"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7F66D9D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27C11D7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36938BB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556485A9"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0C68807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2015D197"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00165EB5"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753BF8D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18C6BEC2"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3D3A4B6C" w14:textId="77777777" w:rsidTr="005F36E3">
        <w:trPr>
          <w:trHeight w:val="495"/>
        </w:trPr>
        <w:tc>
          <w:tcPr>
            <w:tcW w:w="1535" w:type="dxa"/>
            <w:vMerge w:val="restart"/>
            <w:shd w:val="clear" w:color="auto" w:fill="auto"/>
            <w:hideMark/>
          </w:tcPr>
          <w:p w14:paraId="1C40A913"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1.5. What is the status of existing Landscape/ Seascape Plan IMPLEMENTATION and management?</w:t>
            </w:r>
          </w:p>
        </w:tc>
        <w:tc>
          <w:tcPr>
            <w:tcW w:w="1890" w:type="dxa"/>
            <w:shd w:val="clear" w:color="auto" w:fill="auto"/>
            <w:hideMark/>
          </w:tcPr>
          <w:p w14:paraId="77A30202"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There is no implementation</w:t>
            </w:r>
          </w:p>
        </w:tc>
        <w:tc>
          <w:tcPr>
            <w:tcW w:w="450" w:type="dxa"/>
            <w:shd w:val="clear" w:color="auto" w:fill="auto"/>
            <w:noWrap/>
            <w:hideMark/>
          </w:tcPr>
          <w:p w14:paraId="43910B33"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1158" w:type="dxa"/>
            <w:vMerge w:val="restart"/>
            <w:shd w:val="clear" w:color="auto" w:fill="auto"/>
            <w:hideMark/>
          </w:tcPr>
          <w:p w14:paraId="2E6782C3"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002" w:type="dxa"/>
            <w:vMerge w:val="restart"/>
            <w:shd w:val="clear" w:color="auto" w:fill="auto"/>
            <w:hideMark/>
          </w:tcPr>
          <w:p w14:paraId="54104782"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900" w:type="dxa"/>
            <w:vMerge w:val="restart"/>
            <w:shd w:val="clear" w:color="auto" w:fill="auto"/>
            <w:hideMark/>
          </w:tcPr>
          <w:p w14:paraId="0F9429CF"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912" w:type="dxa"/>
            <w:vMerge w:val="restart"/>
            <w:shd w:val="clear" w:color="auto" w:fill="auto"/>
            <w:hideMark/>
          </w:tcPr>
          <w:p w14:paraId="4214AD09"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068" w:type="dxa"/>
            <w:vMerge w:val="restart"/>
            <w:shd w:val="clear" w:color="auto" w:fill="auto"/>
            <w:hideMark/>
          </w:tcPr>
          <w:p w14:paraId="2E3F0D02"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170" w:type="dxa"/>
            <w:vMerge w:val="restart"/>
            <w:shd w:val="clear" w:color="auto" w:fill="auto"/>
            <w:hideMark/>
          </w:tcPr>
          <w:p w14:paraId="43E2DE4B"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1080" w:type="dxa"/>
            <w:vMerge w:val="restart"/>
            <w:shd w:val="clear" w:color="auto" w:fill="auto"/>
            <w:hideMark/>
          </w:tcPr>
          <w:p w14:paraId="7176B18B"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1 </w:t>
            </w:r>
          </w:p>
          <w:p w14:paraId="71861A94" w14:textId="4F99813F" w:rsidR="00B02352" w:rsidRPr="00EB71A9" w:rsidRDefault="005F36E3" w:rsidP="00B02352">
            <w:pPr>
              <w:spacing w:after="0"/>
              <w:jc w:val="left"/>
              <w:rPr>
                <w:rFonts w:asciiTheme="majorHAnsi" w:eastAsia="Times New Roman" w:hAnsiTheme="majorHAnsi"/>
                <w:bCs/>
                <w:color w:val="000000"/>
                <w:sz w:val="18"/>
                <w:szCs w:val="18"/>
              </w:rPr>
            </w:pPr>
            <w:r>
              <w:rPr>
                <w:rFonts w:asciiTheme="majorHAnsi" w:eastAsia="Times New Roman" w:hAnsiTheme="majorHAnsi"/>
                <w:bCs/>
                <w:color w:val="000000"/>
                <w:sz w:val="18"/>
                <w:szCs w:val="18"/>
              </w:rPr>
              <w:t>F</w:t>
            </w:r>
            <w:r w:rsidR="00B02352" w:rsidRPr="00EB71A9">
              <w:rPr>
                <w:rFonts w:asciiTheme="majorHAnsi" w:eastAsia="Times New Roman" w:hAnsiTheme="majorHAnsi"/>
                <w:bCs/>
                <w:color w:val="000000"/>
                <w:sz w:val="18"/>
                <w:szCs w:val="18"/>
              </w:rPr>
              <w:t>or marine only</w:t>
            </w:r>
          </w:p>
        </w:tc>
        <w:tc>
          <w:tcPr>
            <w:tcW w:w="1373" w:type="dxa"/>
            <w:vMerge w:val="restart"/>
            <w:shd w:val="clear" w:color="auto" w:fill="auto"/>
            <w:hideMark/>
          </w:tcPr>
          <w:p w14:paraId="40B68DFC"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2 </w:t>
            </w:r>
          </w:p>
          <w:p w14:paraId="3671DDE1"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There are political and economic barriers to adopting the Master Plan and then implementing it. Work outside the OSCA is slow.</w:t>
            </w:r>
          </w:p>
        </w:tc>
        <w:tc>
          <w:tcPr>
            <w:tcW w:w="1237" w:type="dxa"/>
            <w:vMerge w:val="restart"/>
            <w:shd w:val="clear" w:color="auto" w:fill="auto"/>
            <w:hideMark/>
          </w:tcPr>
          <w:p w14:paraId="4959D8B4"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2 </w:t>
            </w:r>
          </w:p>
          <w:p w14:paraId="16DB54AC"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Plans are being well implemented in the Rock Islands. Zoning is followed but with many exemptions</w:t>
            </w:r>
          </w:p>
        </w:tc>
        <w:tc>
          <w:tcPr>
            <w:tcW w:w="1110" w:type="dxa"/>
            <w:vMerge w:val="restart"/>
            <w:shd w:val="clear" w:color="auto" w:fill="auto"/>
            <w:hideMark/>
          </w:tcPr>
          <w:p w14:paraId="774C17CF"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r>
      <w:tr w:rsidR="00B02352" w:rsidRPr="00EB71A9" w14:paraId="04E00EAB" w14:textId="77777777" w:rsidTr="005F36E3">
        <w:trPr>
          <w:trHeight w:val="255"/>
        </w:trPr>
        <w:tc>
          <w:tcPr>
            <w:tcW w:w="1535" w:type="dxa"/>
            <w:vMerge/>
            <w:hideMark/>
          </w:tcPr>
          <w:p w14:paraId="006C4561"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54AE573B"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They are in the beginning stages of implementation</w:t>
            </w:r>
          </w:p>
        </w:tc>
        <w:tc>
          <w:tcPr>
            <w:tcW w:w="450" w:type="dxa"/>
            <w:shd w:val="clear" w:color="auto" w:fill="auto"/>
            <w:noWrap/>
            <w:hideMark/>
          </w:tcPr>
          <w:p w14:paraId="3F5546BB"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1158" w:type="dxa"/>
            <w:vMerge/>
            <w:hideMark/>
          </w:tcPr>
          <w:p w14:paraId="4587402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70B44E2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5026833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70856BA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497F3A0F"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30E33661"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17A9F46B"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6E1263CB"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528B420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4371EEB9"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52A0B914" w14:textId="77777777" w:rsidTr="005F36E3">
        <w:trPr>
          <w:trHeight w:val="495"/>
        </w:trPr>
        <w:tc>
          <w:tcPr>
            <w:tcW w:w="1535" w:type="dxa"/>
            <w:vMerge/>
            <w:hideMark/>
          </w:tcPr>
          <w:p w14:paraId="229F7955"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5AFE8918"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Implementation is progressing, but with significant barriers</w:t>
            </w:r>
          </w:p>
        </w:tc>
        <w:tc>
          <w:tcPr>
            <w:tcW w:w="450" w:type="dxa"/>
            <w:shd w:val="clear" w:color="auto" w:fill="auto"/>
            <w:noWrap/>
            <w:hideMark/>
          </w:tcPr>
          <w:p w14:paraId="71DE480A"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1158" w:type="dxa"/>
            <w:vMerge/>
            <w:hideMark/>
          </w:tcPr>
          <w:p w14:paraId="777E9E2B"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4F86BF3F"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7F63B5D0"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2F42FC47"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37D4F241"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7F5E85DF"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6842A92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60613C9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0D5DBEB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6069B710"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4D252DE7" w14:textId="77777777" w:rsidTr="005F36E3">
        <w:trPr>
          <w:trHeight w:val="255"/>
        </w:trPr>
        <w:tc>
          <w:tcPr>
            <w:tcW w:w="1535" w:type="dxa"/>
            <w:vMerge/>
            <w:hideMark/>
          </w:tcPr>
          <w:p w14:paraId="7AE90D0D"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59A6B54A"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 plans are being fully implemented</w:t>
            </w:r>
          </w:p>
        </w:tc>
        <w:tc>
          <w:tcPr>
            <w:tcW w:w="450" w:type="dxa"/>
            <w:shd w:val="clear" w:color="auto" w:fill="auto"/>
            <w:noWrap/>
            <w:hideMark/>
          </w:tcPr>
          <w:p w14:paraId="6B85C49A"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1158" w:type="dxa"/>
            <w:vMerge/>
            <w:hideMark/>
          </w:tcPr>
          <w:p w14:paraId="05D4374B"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3959E8B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4941EF0D"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017CAA81"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26A5D61B"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431388F9"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5F7AA28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7EB9933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3052A3F1"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6D68161C"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1D50819A" w14:textId="77777777" w:rsidTr="00A35929">
        <w:trPr>
          <w:trHeight w:val="170"/>
        </w:trPr>
        <w:tc>
          <w:tcPr>
            <w:tcW w:w="14885" w:type="dxa"/>
            <w:gridSpan w:val="13"/>
            <w:shd w:val="clear" w:color="000000" w:fill="C6E0B4"/>
            <w:hideMark/>
          </w:tcPr>
          <w:p w14:paraId="265EC8F7"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Capacity to implement policies, legislation, strategies and programs </w:t>
            </w:r>
          </w:p>
        </w:tc>
      </w:tr>
      <w:tr w:rsidR="00B02352" w:rsidRPr="00EB71A9" w14:paraId="1CC5EDB7" w14:textId="77777777" w:rsidTr="005F36E3">
        <w:trPr>
          <w:trHeight w:val="270"/>
        </w:trPr>
        <w:tc>
          <w:tcPr>
            <w:tcW w:w="1535" w:type="dxa"/>
            <w:vMerge w:val="restart"/>
            <w:shd w:val="clear" w:color="auto" w:fill="auto"/>
            <w:hideMark/>
          </w:tcPr>
          <w:p w14:paraId="3488AA91"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2.1. Is there a permanent coordinating body mandated to implement Landscape/ Seascape Planning &amp; Management across boundaries?</w:t>
            </w:r>
          </w:p>
        </w:tc>
        <w:tc>
          <w:tcPr>
            <w:tcW w:w="1890" w:type="dxa"/>
            <w:shd w:val="clear" w:color="auto" w:fill="auto"/>
            <w:hideMark/>
          </w:tcPr>
          <w:p w14:paraId="7A044A4C"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No</w:t>
            </w:r>
          </w:p>
        </w:tc>
        <w:tc>
          <w:tcPr>
            <w:tcW w:w="450" w:type="dxa"/>
            <w:shd w:val="clear" w:color="auto" w:fill="auto"/>
            <w:noWrap/>
            <w:hideMark/>
          </w:tcPr>
          <w:p w14:paraId="11A34CB5"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1158" w:type="dxa"/>
            <w:vMerge w:val="restart"/>
            <w:shd w:val="clear" w:color="auto" w:fill="auto"/>
            <w:hideMark/>
          </w:tcPr>
          <w:p w14:paraId="40C28269"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002" w:type="dxa"/>
            <w:vMerge w:val="restart"/>
            <w:shd w:val="clear" w:color="auto" w:fill="auto"/>
            <w:hideMark/>
          </w:tcPr>
          <w:p w14:paraId="0111DB01"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2</w:t>
            </w:r>
          </w:p>
        </w:tc>
        <w:tc>
          <w:tcPr>
            <w:tcW w:w="900" w:type="dxa"/>
            <w:vMerge w:val="restart"/>
            <w:shd w:val="clear" w:color="auto" w:fill="auto"/>
            <w:hideMark/>
          </w:tcPr>
          <w:p w14:paraId="250B5536"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912" w:type="dxa"/>
            <w:vMerge w:val="restart"/>
            <w:shd w:val="clear" w:color="auto" w:fill="auto"/>
            <w:hideMark/>
          </w:tcPr>
          <w:p w14:paraId="3ED0B3AA"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068" w:type="dxa"/>
            <w:vMerge w:val="restart"/>
            <w:shd w:val="clear" w:color="auto" w:fill="auto"/>
            <w:hideMark/>
          </w:tcPr>
          <w:p w14:paraId="678944D4"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1 </w:t>
            </w:r>
          </w:p>
          <w:p w14:paraId="182266DD"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Public Lands Authority, but only consider the land with a narrow focus on leasing</w:t>
            </w:r>
          </w:p>
        </w:tc>
        <w:tc>
          <w:tcPr>
            <w:tcW w:w="1170" w:type="dxa"/>
            <w:vMerge w:val="restart"/>
            <w:shd w:val="clear" w:color="auto" w:fill="auto"/>
            <w:hideMark/>
          </w:tcPr>
          <w:p w14:paraId="7AD0EAB2"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1 </w:t>
            </w:r>
          </w:p>
          <w:p w14:paraId="3BC8BAA1"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Public Lands Authority, but not thinking big picture</w:t>
            </w:r>
          </w:p>
        </w:tc>
        <w:tc>
          <w:tcPr>
            <w:tcW w:w="1080" w:type="dxa"/>
            <w:vMerge w:val="restart"/>
            <w:shd w:val="clear" w:color="auto" w:fill="auto"/>
            <w:hideMark/>
          </w:tcPr>
          <w:p w14:paraId="1EAC9805"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1 </w:t>
            </w:r>
          </w:p>
          <w:p w14:paraId="5E50B003"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Public lands, Northern Reefs planning team not active anymore</w:t>
            </w:r>
          </w:p>
        </w:tc>
        <w:tc>
          <w:tcPr>
            <w:tcW w:w="1373" w:type="dxa"/>
            <w:vMerge w:val="restart"/>
            <w:shd w:val="clear" w:color="auto" w:fill="auto"/>
            <w:hideMark/>
          </w:tcPr>
          <w:p w14:paraId="587D45C5"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2 </w:t>
            </w:r>
          </w:p>
          <w:p w14:paraId="58EA78DF"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Planning Commission</w:t>
            </w:r>
          </w:p>
        </w:tc>
        <w:tc>
          <w:tcPr>
            <w:tcW w:w="1237" w:type="dxa"/>
            <w:vMerge w:val="restart"/>
            <w:shd w:val="clear" w:color="auto" w:fill="auto"/>
            <w:hideMark/>
          </w:tcPr>
          <w:p w14:paraId="362BE8D7"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1 </w:t>
            </w:r>
          </w:p>
          <w:p w14:paraId="4D90542D"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Numerous bodies are functional but none with Landscape/ Seascape purview. Includes Department of Public Works, Conservation and Law Enforcement, Building and Zoning Commission, Planning Commission, KSPLA. All work a bit on planning in ad hoc fashion, but without tight links</w:t>
            </w:r>
          </w:p>
        </w:tc>
        <w:tc>
          <w:tcPr>
            <w:tcW w:w="1110" w:type="dxa"/>
            <w:vMerge w:val="restart"/>
            <w:shd w:val="clear" w:color="auto" w:fill="auto"/>
            <w:hideMark/>
          </w:tcPr>
          <w:p w14:paraId="34FA148C"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1 </w:t>
            </w:r>
          </w:p>
          <w:p w14:paraId="78F2FC4C"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PLA only, but most leasing direct from Governor's office</w:t>
            </w:r>
          </w:p>
        </w:tc>
      </w:tr>
      <w:tr w:rsidR="00B02352" w:rsidRPr="00EB71A9" w14:paraId="55242C9C" w14:textId="77777777" w:rsidTr="005F36E3">
        <w:trPr>
          <w:trHeight w:val="495"/>
        </w:trPr>
        <w:tc>
          <w:tcPr>
            <w:tcW w:w="1535" w:type="dxa"/>
            <w:vMerge/>
            <w:hideMark/>
          </w:tcPr>
          <w:p w14:paraId="703D53EE"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7BC9B21D"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Coordinating body appointed but only temporary or not functional</w:t>
            </w:r>
          </w:p>
        </w:tc>
        <w:tc>
          <w:tcPr>
            <w:tcW w:w="450" w:type="dxa"/>
            <w:shd w:val="clear" w:color="auto" w:fill="auto"/>
            <w:noWrap/>
            <w:hideMark/>
          </w:tcPr>
          <w:p w14:paraId="03C30F08"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1158" w:type="dxa"/>
            <w:vMerge/>
            <w:hideMark/>
          </w:tcPr>
          <w:p w14:paraId="6D244932"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2418F236"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6C10BC95"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591F9E75"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2D0ED1EF"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2C989917"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7535C3F8"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2AABFF46"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236CF5C6"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261D8280"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23A5DC1A" w14:textId="77777777" w:rsidTr="005F36E3">
        <w:trPr>
          <w:trHeight w:val="495"/>
        </w:trPr>
        <w:tc>
          <w:tcPr>
            <w:tcW w:w="1535" w:type="dxa"/>
            <w:vMerge/>
            <w:hideMark/>
          </w:tcPr>
          <w:p w14:paraId="67D03AC8"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3A6BE9E4"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Permanent coordinating body operational but with functional limitations</w:t>
            </w:r>
          </w:p>
        </w:tc>
        <w:tc>
          <w:tcPr>
            <w:tcW w:w="450" w:type="dxa"/>
            <w:shd w:val="clear" w:color="auto" w:fill="auto"/>
            <w:noWrap/>
            <w:hideMark/>
          </w:tcPr>
          <w:p w14:paraId="58F8A47F"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1158" w:type="dxa"/>
            <w:vMerge/>
            <w:hideMark/>
          </w:tcPr>
          <w:p w14:paraId="55CB7FB7"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7AEF78AD"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4FF585F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192093E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11D773A5"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117C292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634491F1"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589FA849"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0007DB47"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4873F5B4"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5C83B686" w14:textId="77777777" w:rsidTr="005F36E3">
        <w:trPr>
          <w:trHeight w:val="735"/>
        </w:trPr>
        <w:tc>
          <w:tcPr>
            <w:tcW w:w="1535" w:type="dxa"/>
            <w:vMerge/>
            <w:hideMark/>
          </w:tcPr>
          <w:p w14:paraId="2CF98D2A"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7CA9552D"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Coordinating body operational, has annual workplan targets and reports annually on progress to regional government</w:t>
            </w:r>
          </w:p>
        </w:tc>
        <w:tc>
          <w:tcPr>
            <w:tcW w:w="450" w:type="dxa"/>
            <w:shd w:val="clear" w:color="auto" w:fill="auto"/>
            <w:noWrap/>
            <w:hideMark/>
          </w:tcPr>
          <w:p w14:paraId="0735A626"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1158" w:type="dxa"/>
            <w:vMerge/>
            <w:hideMark/>
          </w:tcPr>
          <w:p w14:paraId="3033AA97"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492431D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0C987D17"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5103A47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13CA0DA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497B7D8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218AF85D"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6B66BF3B"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5FC32428"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5C4EF7C2"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4CCC2DDB" w14:textId="77777777" w:rsidTr="005F36E3">
        <w:trPr>
          <w:trHeight w:val="260"/>
        </w:trPr>
        <w:tc>
          <w:tcPr>
            <w:tcW w:w="1535" w:type="dxa"/>
            <w:vMerge w:val="restart"/>
            <w:shd w:val="clear" w:color="auto" w:fill="auto"/>
            <w:hideMark/>
          </w:tcPr>
          <w:p w14:paraId="43FE25D8"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2.2. Does the coordinating body have an annual operating budget?</w:t>
            </w:r>
          </w:p>
        </w:tc>
        <w:tc>
          <w:tcPr>
            <w:tcW w:w="1890" w:type="dxa"/>
            <w:shd w:val="clear" w:color="auto" w:fill="auto"/>
            <w:hideMark/>
          </w:tcPr>
          <w:p w14:paraId="07FEB048"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No</w:t>
            </w:r>
          </w:p>
        </w:tc>
        <w:tc>
          <w:tcPr>
            <w:tcW w:w="450" w:type="dxa"/>
            <w:shd w:val="clear" w:color="auto" w:fill="auto"/>
            <w:noWrap/>
            <w:hideMark/>
          </w:tcPr>
          <w:p w14:paraId="50BD6158"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1158" w:type="dxa"/>
            <w:vMerge w:val="restart"/>
            <w:shd w:val="clear" w:color="auto" w:fill="auto"/>
            <w:hideMark/>
          </w:tcPr>
          <w:p w14:paraId="0C4C46BC"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002" w:type="dxa"/>
            <w:vMerge w:val="restart"/>
            <w:shd w:val="clear" w:color="auto" w:fill="auto"/>
            <w:hideMark/>
          </w:tcPr>
          <w:p w14:paraId="65426500"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900" w:type="dxa"/>
            <w:vMerge w:val="restart"/>
            <w:shd w:val="clear" w:color="auto" w:fill="auto"/>
            <w:hideMark/>
          </w:tcPr>
          <w:p w14:paraId="3F298E83"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912" w:type="dxa"/>
            <w:vMerge w:val="restart"/>
            <w:shd w:val="clear" w:color="auto" w:fill="auto"/>
            <w:hideMark/>
          </w:tcPr>
          <w:p w14:paraId="384D0571"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068" w:type="dxa"/>
            <w:vMerge w:val="restart"/>
            <w:shd w:val="clear" w:color="auto" w:fill="auto"/>
            <w:hideMark/>
          </w:tcPr>
          <w:p w14:paraId="7DD68F52"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1170" w:type="dxa"/>
            <w:vMerge w:val="restart"/>
            <w:shd w:val="clear" w:color="auto" w:fill="auto"/>
            <w:hideMark/>
          </w:tcPr>
          <w:p w14:paraId="2B4543BD"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1 </w:t>
            </w:r>
          </w:p>
          <w:p w14:paraId="1B446262" w14:textId="7F4BC104" w:rsidR="00B02352" w:rsidRPr="00EB71A9" w:rsidRDefault="005F36E3" w:rsidP="00B02352">
            <w:pPr>
              <w:spacing w:after="0"/>
              <w:jc w:val="left"/>
              <w:rPr>
                <w:rFonts w:asciiTheme="majorHAnsi" w:eastAsia="Times New Roman" w:hAnsiTheme="majorHAnsi"/>
                <w:bCs/>
                <w:color w:val="000000"/>
                <w:sz w:val="18"/>
                <w:szCs w:val="18"/>
              </w:rPr>
            </w:pPr>
            <w:r>
              <w:rPr>
                <w:rFonts w:asciiTheme="majorHAnsi" w:eastAsia="Times New Roman" w:hAnsiTheme="majorHAnsi"/>
                <w:bCs/>
                <w:color w:val="000000"/>
                <w:sz w:val="18"/>
                <w:szCs w:val="18"/>
              </w:rPr>
              <w:t>Revenue</w:t>
            </w:r>
            <w:r w:rsidR="00B02352" w:rsidRPr="00EB71A9">
              <w:rPr>
                <w:rFonts w:asciiTheme="majorHAnsi" w:eastAsia="Times New Roman" w:hAnsiTheme="majorHAnsi"/>
                <w:bCs/>
                <w:color w:val="000000"/>
                <w:sz w:val="18"/>
                <w:szCs w:val="18"/>
              </w:rPr>
              <w:t xml:space="preserve"> from leases</w:t>
            </w:r>
          </w:p>
        </w:tc>
        <w:tc>
          <w:tcPr>
            <w:tcW w:w="1080" w:type="dxa"/>
            <w:vMerge w:val="restart"/>
            <w:shd w:val="clear" w:color="auto" w:fill="auto"/>
            <w:hideMark/>
          </w:tcPr>
          <w:p w14:paraId="297F1056"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1373" w:type="dxa"/>
            <w:vMerge w:val="restart"/>
            <w:shd w:val="clear" w:color="auto" w:fill="auto"/>
            <w:hideMark/>
          </w:tcPr>
          <w:p w14:paraId="0AA278B4"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2</w:t>
            </w:r>
          </w:p>
        </w:tc>
        <w:tc>
          <w:tcPr>
            <w:tcW w:w="1237" w:type="dxa"/>
            <w:vMerge w:val="restart"/>
            <w:shd w:val="clear" w:color="auto" w:fill="auto"/>
            <w:hideMark/>
          </w:tcPr>
          <w:p w14:paraId="15FD537B"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2</w:t>
            </w:r>
          </w:p>
        </w:tc>
        <w:tc>
          <w:tcPr>
            <w:tcW w:w="1110" w:type="dxa"/>
            <w:vMerge w:val="restart"/>
            <w:shd w:val="clear" w:color="auto" w:fill="auto"/>
            <w:hideMark/>
          </w:tcPr>
          <w:p w14:paraId="3278511A"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r>
      <w:tr w:rsidR="00B02352" w:rsidRPr="00EB71A9" w14:paraId="5519A17D" w14:textId="77777777" w:rsidTr="005F36E3">
        <w:trPr>
          <w:trHeight w:val="260"/>
        </w:trPr>
        <w:tc>
          <w:tcPr>
            <w:tcW w:w="1535" w:type="dxa"/>
            <w:vMerge/>
            <w:hideMark/>
          </w:tcPr>
          <w:p w14:paraId="50081B7A"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6212E6E4"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Yes, but this is only sufficient to meet selected workplan targets</w:t>
            </w:r>
          </w:p>
        </w:tc>
        <w:tc>
          <w:tcPr>
            <w:tcW w:w="450" w:type="dxa"/>
            <w:shd w:val="clear" w:color="auto" w:fill="auto"/>
            <w:noWrap/>
            <w:hideMark/>
          </w:tcPr>
          <w:p w14:paraId="0A30B54A"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1158" w:type="dxa"/>
            <w:vMerge/>
            <w:hideMark/>
          </w:tcPr>
          <w:p w14:paraId="09A7800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79E80D9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565F6E9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262385E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3BD5CFD5"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1492E617"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6291AD50"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09B2AF4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26FC03A0"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2D23E51F"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4C6E0ACE" w14:textId="77777777" w:rsidTr="005F36E3">
        <w:trPr>
          <w:trHeight w:val="255"/>
        </w:trPr>
        <w:tc>
          <w:tcPr>
            <w:tcW w:w="1535" w:type="dxa"/>
            <w:vMerge/>
            <w:hideMark/>
          </w:tcPr>
          <w:p w14:paraId="53552056"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03C65A9D"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Yes, sufficient to meet most workplan targets</w:t>
            </w:r>
          </w:p>
        </w:tc>
        <w:tc>
          <w:tcPr>
            <w:tcW w:w="450" w:type="dxa"/>
            <w:shd w:val="clear" w:color="auto" w:fill="auto"/>
            <w:noWrap/>
            <w:hideMark/>
          </w:tcPr>
          <w:p w14:paraId="6B8EE491"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1158" w:type="dxa"/>
            <w:vMerge/>
            <w:hideMark/>
          </w:tcPr>
          <w:p w14:paraId="63E37CF8"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293E1E52"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4F1DFCA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4C72ED88"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700F6A32"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1A6A00AB"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6FA86760"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2A92C41D"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5B7A5849"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7F99DADB"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1BA95FF0" w14:textId="77777777" w:rsidTr="005F36E3">
        <w:trPr>
          <w:trHeight w:val="255"/>
        </w:trPr>
        <w:tc>
          <w:tcPr>
            <w:tcW w:w="1535" w:type="dxa"/>
            <w:vMerge/>
            <w:hideMark/>
          </w:tcPr>
          <w:p w14:paraId="34A1556E"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2C573993"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Yes, sufficient for full implementation of annual workplan</w:t>
            </w:r>
          </w:p>
        </w:tc>
        <w:tc>
          <w:tcPr>
            <w:tcW w:w="450" w:type="dxa"/>
            <w:shd w:val="clear" w:color="auto" w:fill="auto"/>
            <w:noWrap/>
            <w:hideMark/>
          </w:tcPr>
          <w:p w14:paraId="2948835C"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1158" w:type="dxa"/>
            <w:vMerge/>
            <w:hideMark/>
          </w:tcPr>
          <w:p w14:paraId="5DE43AC9"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17B00D1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57F3A7B6"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3975E85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7B5EB7F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7BC4ED60"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4CD369F2"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65943C4F"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02DA82E9"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13DCE0D1"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54250380" w14:textId="77777777" w:rsidTr="005F36E3">
        <w:trPr>
          <w:trHeight w:val="188"/>
        </w:trPr>
        <w:tc>
          <w:tcPr>
            <w:tcW w:w="1535" w:type="dxa"/>
            <w:vMerge w:val="restart"/>
            <w:shd w:val="clear" w:color="auto" w:fill="auto"/>
            <w:hideMark/>
          </w:tcPr>
          <w:p w14:paraId="4BD23288"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2.3. Does the coordinating body have adequate representation from multiple scientific, traditional, and social sectors?</w:t>
            </w:r>
          </w:p>
        </w:tc>
        <w:tc>
          <w:tcPr>
            <w:tcW w:w="1890" w:type="dxa"/>
            <w:shd w:val="clear" w:color="auto" w:fill="auto"/>
            <w:hideMark/>
          </w:tcPr>
          <w:p w14:paraId="59E97C06"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No</w:t>
            </w:r>
          </w:p>
        </w:tc>
        <w:tc>
          <w:tcPr>
            <w:tcW w:w="450" w:type="dxa"/>
            <w:shd w:val="clear" w:color="auto" w:fill="auto"/>
            <w:noWrap/>
            <w:hideMark/>
          </w:tcPr>
          <w:p w14:paraId="6D47CC3E"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1158" w:type="dxa"/>
            <w:vMerge w:val="restart"/>
            <w:shd w:val="clear" w:color="auto" w:fill="auto"/>
            <w:hideMark/>
          </w:tcPr>
          <w:p w14:paraId="76734D19"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002" w:type="dxa"/>
            <w:vMerge w:val="restart"/>
            <w:shd w:val="clear" w:color="auto" w:fill="auto"/>
            <w:hideMark/>
          </w:tcPr>
          <w:p w14:paraId="4061AB8C"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900" w:type="dxa"/>
            <w:vMerge w:val="restart"/>
            <w:shd w:val="clear" w:color="auto" w:fill="auto"/>
            <w:hideMark/>
          </w:tcPr>
          <w:p w14:paraId="7DFEF040"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912" w:type="dxa"/>
            <w:vMerge w:val="restart"/>
            <w:shd w:val="clear" w:color="auto" w:fill="auto"/>
            <w:hideMark/>
          </w:tcPr>
          <w:p w14:paraId="3853B1A6"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068" w:type="dxa"/>
            <w:vMerge w:val="restart"/>
            <w:shd w:val="clear" w:color="auto" w:fill="auto"/>
            <w:hideMark/>
          </w:tcPr>
          <w:p w14:paraId="7DD30471"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1170" w:type="dxa"/>
            <w:vMerge w:val="restart"/>
            <w:shd w:val="clear" w:color="auto" w:fill="auto"/>
            <w:hideMark/>
          </w:tcPr>
          <w:p w14:paraId="235E6CC5"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2</w:t>
            </w:r>
          </w:p>
        </w:tc>
        <w:tc>
          <w:tcPr>
            <w:tcW w:w="1080" w:type="dxa"/>
            <w:vMerge w:val="restart"/>
            <w:shd w:val="clear" w:color="auto" w:fill="auto"/>
            <w:hideMark/>
          </w:tcPr>
          <w:p w14:paraId="787F9602"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2</w:t>
            </w:r>
          </w:p>
        </w:tc>
        <w:tc>
          <w:tcPr>
            <w:tcW w:w="1373" w:type="dxa"/>
            <w:vMerge w:val="restart"/>
            <w:shd w:val="clear" w:color="auto" w:fill="auto"/>
            <w:hideMark/>
          </w:tcPr>
          <w:p w14:paraId="51AABFC4"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3 </w:t>
            </w:r>
          </w:p>
          <w:p w14:paraId="1E8B918E"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Women and the poor represented</w:t>
            </w:r>
          </w:p>
        </w:tc>
        <w:tc>
          <w:tcPr>
            <w:tcW w:w="1237" w:type="dxa"/>
            <w:vMerge w:val="restart"/>
            <w:shd w:val="clear" w:color="auto" w:fill="auto"/>
            <w:hideMark/>
          </w:tcPr>
          <w:p w14:paraId="6B5BB5C5"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2</w:t>
            </w:r>
          </w:p>
        </w:tc>
        <w:tc>
          <w:tcPr>
            <w:tcW w:w="1110" w:type="dxa"/>
            <w:vMerge w:val="restart"/>
            <w:shd w:val="clear" w:color="auto" w:fill="auto"/>
            <w:hideMark/>
          </w:tcPr>
          <w:p w14:paraId="385947D2"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r>
      <w:tr w:rsidR="00B02352" w:rsidRPr="00EB71A9" w14:paraId="680FE203" w14:textId="77777777" w:rsidTr="005F36E3">
        <w:trPr>
          <w:trHeight w:val="255"/>
        </w:trPr>
        <w:tc>
          <w:tcPr>
            <w:tcW w:w="1535" w:type="dxa"/>
            <w:vMerge/>
            <w:hideMark/>
          </w:tcPr>
          <w:p w14:paraId="2B0438E4"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5C07522D"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Representation is from one sector only</w:t>
            </w:r>
          </w:p>
        </w:tc>
        <w:tc>
          <w:tcPr>
            <w:tcW w:w="450" w:type="dxa"/>
            <w:shd w:val="clear" w:color="auto" w:fill="auto"/>
            <w:noWrap/>
            <w:hideMark/>
          </w:tcPr>
          <w:p w14:paraId="1FE86FE7"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1158" w:type="dxa"/>
            <w:vMerge/>
            <w:hideMark/>
          </w:tcPr>
          <w:p w14:paraId="3319A572"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79ECC68D"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0B89FBA6"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4787BC7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3D56CF31"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46576517"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21CDF87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75C220FB"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33783405"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257080F4"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2C1D8D0A" w14:textId="77777777" w:rsidTr="005F36E3">
        <w:trPr>
          <w:trHeight w:val="735"/>
        </w:trPr>
        <w:tc>
          <w:tcPr>
            <w:tcW w:w="1535" w:type="dxa"/>
            <w:vMerge/>
            <w:hideMark/>
          </w:tcPr>
          <w:p w14:paraId="445E70F8"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7620B8CD"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There is representation from more than one sectors, but it does not include adequate representation of all stakeholders</w:t>
            </w:r>
          </w:p>
        </w:tc>
        <w:tc>
          <w:tcPr>
            <w:tcW w:w="450" w:type="dxa"/>
            <w:shd w:val="clear" w:color="auto" w:fill="auto"/>
            <w:noWrap/>
            <w:hideMark/>
          </w:tcPr>
          <w:p w14:paraId="605E8117"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1158" w:type="dxa"/>
            <w:vMerge/>
            <w:hideMark/>
          </w:tcPr>
          <w:p w14:paraId="248B297F"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09C3B452"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33E976B2"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1E7B5A6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7D476BF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3806DBE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7A2FAEE5"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12556FF2"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72B447FD"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093AB424"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39280CB1" w14:textId="77777777" w:rsidTr="005F36E3">
        <w:trPr>
          <w:trHeight w:val="255"/>
        </w:trPr>
        <w:tc>
          <w:tcPr>
            <w:tcW w:w="1535" w:type="dxa"/>
            <w:vMerge/>
            <w:hideMark/>
          </w:tcPr>
          <w:p w14:paraId="04B888CF"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36652E50"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Full systematic representation from multiple sectors</w:t>
            </w:r>
          </w:p>
        </w:tc>
        <w:tc>
          <w:tcPr>
            <w:tcW w:w="450" w:type="dxa"/>
            <w:shd w:val="clear" w:color="auto" w:fill="auto"/>
            <w:noWrap/>
            <w:hideMark/>
          </w:tcPr>
          <w:p w14:paraId="62AE86FB"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1158" w:type="dxa"/>
            <w:vMerge/>
            <w:hideMark/>
          </w:tcPr>
          <w:p w14:paraId="5C7D35C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4A860BE2"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1382B419"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1843D22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7CE1653F"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6DF62E99"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1866A895"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355E1F7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76EAE38F"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2C28ED65"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276A3EB5" w14:textId="77777777" w:rsidTr="005F36E3">
        <w:trPr>
          <w:trHeight w:val="55"/>
        </w:trPr>
        <w:tc>
          <w:tcPr>
            <w:tcW w:w="1535" w:type="dxa"/>
            <w:vMerge w:val="restart"/>
            <w:shd w:val="clear" w:color="auto" w:fill="auto"/>
            <w:hideMark/>
          </w:tcPr>
          <w:p w14:paraId="507BA356"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2.4. Is the coordinating body actively engaged in Landscape/ Seascape Planning?</w:t>
            </w:r>
          </w:p>
        </w:tc>
        <w:tc>
          <w:tcPr>
            <w:tcW w:w="1890" w:type="dxa"/>
            <w:shd w:val="clear" w:color="auto" w:fill="auto"/>
            <w:hideMark/>
          </w:tcPr>
          <w:p w14:paraId="32360D8F"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No</w:t>
            </w:r>
          </w:p>
        </w:tc>
        <w:tc>
          <w:tcPr>
            <w:tcW w:w="450" w:type="dxa"/>
            <w:shd w:val="clear" w:color="auto" w:fill="auto"/>
            <w:noWrap/>
            <w:hideMark/>
          </w:tcPr>
          <w:p w14:paraId="5EB2EF54"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1158" w:type="dxa"/>
            <w:vMerge w:val="restart"/>
            <w:shd w:val="clear" w:color="auto" w:fill="auto"/>
            <w:hideMark/>
          </w:tcPr>
          <w:p w14:paraId="11945531"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002" w:type="dxa"/>
            <w:vMerge w:val="restart"/>
            <w:shd w:val="clear" w:color="auto" w:fill="auto"/>
            <w:hideMark/>
          </w:tcPr>
          <w:p w14:paraId="0294ECF4"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900" w:type="dxa"/>
            <w:vMerge w:val="restart"/>
            <w:shd w:val="clear" w:color="auto" w:fill="auto"/>
            <w:hideMark/>
          </w:tcPr>
          <w:p w14:paraId="2653104E"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912" w:type="dxa"/>
            <w:vMerge w:val="restart"/>
            <w:shd w:val="clear" w:color="auto" w:fill="auto"/>
            <w:hideMark/>
          </w:tcPr>
          <w:p w14:paraId="5BA534A3"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068" w:type="dxa"/>
            <w:vMerge w:val="restart"/>
            <w:shd w:val="clear" w:color="auto" w:fill="auto"/>
            <w:hideMark/>
          </w:tcPr>
          <w:p w14:paraId="6BE139D0"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170" w:type="dxa"/>
            <w:vMerge w:val="restart"/>
            <w:shd w:val="clear" w:color="auto" w:fill="auto"/>
            <w:hideMark/>
          </w:tcPr>
          <w:p w14:paraId="3A73D048"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080" w:type="dxa"/>
            <w:vMerge w:val="restart"/>
            <w:shd w:val="clear" w:color="auto" w:fill="auto"/>
            <w:hideMark/>
          </w:tcPr>
          <w:p w14:paraId="080A2D68"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1 </w:t>
            </w:r>
          </w:p>
          <w:p w14:paraId="097C9AB1" w14:textId="48C206C9" w:rsidR="00B02352" w:rsidRPr="00EB71A9" w:rsidRDefault="005F36E3" w:rsidP="00B02352">
            <w:pPr>
              <w:spacing w:after="0"/>
              <w:jc w:val="left"/>
              <w:rPr>
                <w:rFonts w:asciiTheme="majorHAnsi" w:eastAsia="Times New Roman" w:hAnsiTheme="majorHAnsi"/>
                <w:bCs/>
                <w:color w:val="000000"/>
                <w:sz w:val="18"/>
                <w:szCs w:val="18"/>
              </w:rPr>
            </w:pPr>
            <w:r>
              <w:rPr>
                <w:rFonts w:asciiTheme="majorHAnsi" w:eastAsia="Times New Roman" w:hAnsiTheme="majorHAnsi"/>
                <w:bCs/>
                <w:color w:val="000000"/>
                <w:sz w:val="18"/>
                <w:szCs w:val="18"/>
              </w:rPr>
              <w:t>M</w:t>
            </w:r>
            <w:r w:rsidR="00B02352" w:rsidRPr="00EB71A9">
              <w:rPr>
                <w:rFonts w:asciiTheme="majorHAnsi" w:eastAsia="Times New Roman" w:hAnsiTheme="majorHAnsi"/>
                <w:bCs/>
                <w:color w:val="000000"/>
                <w:sz w:val="18"/>
                <w:szCs w:val="18"/>
              </w:rPr>
              <w:t>arine, some NGO activities connect land with sea</w:t>
            </w:r>
          </w:p>
        </w:tc>
        <w:tc>
          <w:tcPr>
            <w:tcW w:w="1373" w:type="dxa"/>
            <w:vMerge w:val="restart"/>
            <w:shd w:val="clear" w:color="auto" w:fill="auto"/>
            <w:hideMark/>
          </w:tcPr>
          <w:p w14:paraId="0C473CB7"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3 </w:t>
            </w:r>
          </w:p>
          <w:p w14:paraId="23F0E5BD"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Although evaluation is limited, but body is actively and consistently engaged in planning.</w:t>
            </w:r>
          </w:p>
        </w:tc>
        <w:tc>
          <w:tcPr>
            <w:tcW w:w="1237" w:type="dxa"/>
            <w:vMerge w:val="restart"/>
            <w:shd w:val="clear" w:color="auto" w:fill="auto"/>
            <w:hideMark/>
          </w:tcPr>
          <w:p w14:paraId="6BAA5268"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2</w:t>
            </w:r>
          </w:p>
        </w:tc>
        <w:tc>
          <w:tcPr>
            <w:tcW w:w="1110" w:type="dxa"/>
            <w:vMerge w:val="restart"/>
            <w:shd w:val="clear" w:color="auto" w:fill="auto"/>
            <w:hideMark/>
          </w:tcPr>
          <w:p w14:paraId="00285C51"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r>
      <w:tr w:rsidR="00B02352" w:rsidRPr="00EB71A9" w14:paraId="35FA39D6" w14:textId="77777777" w:rsidTr="005F36E3">
        <w:trPr>
          <w:trHeight w:val="255"/>
        </w:trPr>
        <w:tc>
          <w:tcPr>
            <w:tcW w:w="1535" w:type="dxa"/>
            <w:vMerge/>
            <w:hideMark/>
          </w:tcPr>
          <w:p w14:paraId="31F470D6"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099983C2"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 body engages in planning on an ad hoc basis</w:t>
            </w:r>
          </w:p>
        </w:tc>
        <w:tc>
          <w:tcPr>
            <w:tcW w:w="450" w:type="dxa"/>
            <w:shd w:val="clear" w:color="auto" w:fill="auto"/>
            <w:noWrap/>
            <w:hideMark/>
          </w:tcPr>
          <w:p w14:paraId="61605DED"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1158" w:type="dxa"/>
            <w:vMerge/>
            <w:hideMark/>
          </w:tcPr>
          <w:p w14:paraId="49002CA2"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26BD0D08"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3DA9BF01"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34114DB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16DE98AF"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74941E1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7152E16B"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139EC55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4D04D9F1"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4E29D5C1"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27A9658E" w14:textId="77777777" w:rsidTr="005F36E3">
        <w:trPr>
          <w:trHeight w:val="495"/>
        </w:trPr>
        <w:tc>
          <w:tcPr>
            <w:tcW w:w="1535" w:type="dxa"/>
            <w:vMerge/>
            <w:hideMark/>
          </w:tcPr>
          <w:p w14:paraId="5B898FB9"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475B82E6"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 body engages in planning on a semi-consistent basis, but this is inadequate to complete plans</w:t>
            </w:r>
          </w:p>
        </w:tc>
        <w:tc>
          <w:tcPr>
            <w:tcW w:w="450" w:type="dxa"/>
            <w:shd w:val="clear" w:color="auto" w:fill="auto"/>
            <w:noWrap/>
            <w:hideMark/>
          </w:tcPr>
          <w:p w14:paraId="1CB99177"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1158" w:type="dxa"/>
            <w:vMerge/>
            <w:hideMark/>
          </w:tcPr>
          <w:p w14:paraId="160E48E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3D0F1152"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06183D00"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6AE8E40B"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038158EF"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143D81B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16A55E56"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6120C675"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416A5FB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28E65721"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61F8E52E" w14:textId="77777777" w:rsidTr="005F36E3">
        <w:trPr>
          <w:trHeight w:val="485"/>
        </w:trPr>
        <w:tc>
          <w:tcPr>
            <w:tcW w:w="1535" w:type="dxa"/>
            <w:vMerge/>
            <w:hideMark/>
          </w:tcPr>
          <w:p w14:paraId="28A9C6E3"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143FC530"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 xml:space="preserve">The body is actively and consistently involved in Landscape/ Seascape Planning with evaluation </w:t>
            </w:r>
          </w:p>
        </w:tc>
        <w:tc>
          <w:tcPr>
            <w:tcW w:w="450" w:type="dxa"/>
            <w:shd w:val="clear" w:color="auto" w:fill="auto"/>
            <w:noWrap/>
            <w:hideMark/>
          </w:tcPr>
          <w:p w14:paraId="6D7C8A4B"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1158" w:type="dxa"/>
            <w:vMerge/>
            <w:hideMark/>
          </w:tcPr>
          <w:p w14:paraId="5DD24080"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66016602"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5EB35010"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201360E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2278AD99"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0AA884D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7DFD507F"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7A0605E7"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541D732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08D80307"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197D3ABC" w14:textId="77777777" w:rsidTr="005F36E3">
        <w:trPr>
          <w:trHeight w:val="89"/>
        </w:trPr>
        <w:tc>
          <w:tcPr>
            <w:tcW w:w="1535" w:type="dxa"/>
            <w:vMerge w:val="restart"/>
            <w:shd w:val="clear" w:color="auto" w:fill="auto"/>
            <w:hideMark/>
          </w:tcPr>
          <w:p w14:paraId="247CF40C"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2.5. Is there a common vision or guiding principle for Landscape/ Seascape Planning?</w:t>
            </w:r>
          </w:p>
        </w:tc>
        <w:tc>
          <w:tcPr>
            <w:tcW w:w="1890" w:type="dxa"/>
            <w:shd w:val="clear" w:color="auto" w:fill="auto"/>
            <w:hideMark/>
          </w:tcPr>
          <w:p w14:paraId="68AB3E22"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No</w:t>
            </w:r>
          </w:p>
        </w:tc>
        <w:tc>
          <w:tcPr>
            <w:tcW w:w="450" w:type="dxa"/>
            <w:shd w:val="clear" w:color="auto" w:fill="auto"/>
            <w:noWrap/>
            <w:hideMark/>
          </w:tcPr>
          <w:p w14:paraId="0C7B8D06"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1158" w:type="dxa"/>
            <w:vMerge w:val="restart"/>
            <w:shd w:val="clear" w:color="auto" w:fill="auto"/>
            <w:hideMark/>
          </w:tcPr>
          <w:p w14:paraId="7ADDDD84"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1 </w:t>
            </w:r>
          </w:p>
          <w:p w14:paraId="2C8815F4"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The State has been pursuing a high end investment strategy, including attracting wealthy retirees with a potential housing subdivision and a golf course. This is not formal.</w:t>
            </w:r>
          </w:p>
        </w:tc>
        <w:tc>
          <w:tcPr>
            <w:tcW w:w="1002" w:type="dxa"/>
            <w:vMerge w:val="restart"/>
            <w:shd w:val="clear" w:color="auto" w:fill="auto"/>
            <w:hideMark/>
          </w:tcPr>
          <w:p w14:paraId="7BBEF4FF"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900" w:type="dxa"/>
            <w:vMerge w:val="restart"/>
            <w:shd w:val="clear" w:color="auto" w:fill="auto"/>
            <w:hideMark/>
          </w:tcPr>
          <w:p w14:paraId="67C9E627"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912" w:type="dxa"/>
            <w:vMerge w:val="restart"/>
            <w:shd w:val="clear" w:color="auto" w:fill="auto"/>
            <w:hideMark/>
          </w:tcPr>
          <w:p w14:paraId="478F4866"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068" w:type="dxa"/>
            <w:vMerge w:val="restart"/>
            <w:shd w:val="clear" w:color="auto" w:fill="auto"/>
            <w:hideMark/>
          </w:tcPr>
          <w:p w14:paraId="5ED94FEA"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170" w:type="dxa"/>
            <w:vMerge w:val="restart"/>
            <w:shd w:val="clear" w:color="auto" w:fill="auto"/>
            <w:hideMark/>
          </w:tcPr>
          <w:p w14:paraId="51DB9C33"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080" w:type="dxa"/>
            <w:vMerge w:val="restart"/>
            <w:shd w:val="clear" w:color="auto" w:fill="auto"/>
            <w:hideMark/>
          </w:tcPr>
          <w:p w14:paraId="71042259"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373" w:type="dxa"/>
            <w:vMerge w:val="restart"/>
            <w:shd w:val="clear" w:color="auto" w:fill="auto"/>
            <w:hideMark/>
          </w:tcPr>
          <w:p w14:paraId="46A697A8"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3</w:t>
            </w:r>
          </w:p>
        </w:tc>
        <w:tc>
          <w:tcPr>
            <w:tcW w:w="1237" w:type="dxa"/>
            <w:vMerge w:val="restart"/>
            <w:shd w:val="clear" w:color="auto" w:fill="auto"/>
            <w:hideMark/>
          </w:tcPr>
          <w:p w14:paraId="0014F475"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1 </w:t>
            </w:r>
          </w:p>
          <w:p w14:paraId="3EF2D99C"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There is no statewide vision. Individual plans have a vision. Commons goals are to protect resources and be able to use at a sustainable level.</w:t>
            </w:r>
          </w:p>
        </w:tc>
        <w:tc>
          <w:tcPr>
            <w:tcW w:w="1110" w:type="dxa"/>
            <w:vMerge w:val="restart"/>
            <w:shd w:val="clear" w:color="auto" w:fill="auto"/>
            <w:hideMark/>
          </w:tcPr>
          <w:p w14:paraId="05931CDA"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0 </w:t>
            </w:r>
          </w:p>
          <w:p w14:paraId="77C69CE0"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Internal conflict within the state on a long-term vision</w:t>
            </w:r>
          </w:p>
        </w:tc>
      </w:tr>
      <w:tr w:rsidR="00B02352" w:rsidRPr="00EB71A9" w14:paraId="3C159F40" w14:textId="77777777" w:rsidTr="005F36E3">
        <w:trPr>
          <w:trHeight w:val="255"/>
        </w:trPr>
        <w:tc>
          <w:tcPr>
            <w:tcW w:w="1535" w:type="dxa"/>
            <w:vMerge/>
            <w:hideMark/>
          </w:tcPr>
          <w:p w14:paraId="7442ED6D"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469B521A"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A vision is in development, or is outdated</w:t>
            </w:r>
          </w:p>
        </w:tc>
        <w:tc>
          <w:tcPr>
            <w:tcW w:w="450" w:type="dxa"/>
            <w:shd w:val="clear" w:color="auto" w:fill="auto"/>
            <w:noWrap/>
            <w:hideMark/>
          </w:tcPr>
          <w:p w14:paraId="4FA991AD"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1158" w:type="dxa"/>
            <w:vMerge/>
            <w:hideMark/>
          </w:tcPr>
          <w:p w14:paraId="374678B5"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25918FF2"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5C4C08B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6BF7FB9F"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237CEF1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0AEDD1D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60975E85"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2A121079"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120ECAF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5C8D8434"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11F34261" w14:textId="77777777" w:rsidTr="005F36E3">
        <w:trPr>
          <w:trHeight w:val="495"/>
        </w:trPr>
        <w:tc>
          <w:tcPr>
            <w:tcW w:w="1535" w:type="dxa"/>
            <w:vMerge/>
            <w:hideMark/>
          </w:tcPr>
          <w:p w14:paraId="248B245B"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08FE8330"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A Vision or Design principles have been proposed, but are supported or understood by only a few stakeholders</w:t>
            </w:r>
          </w:p>
        </w:tc>
        <w:tc>
          <w:tcPr>
            <w:tcW w:w="450" w:type="dxa"/>
            <w:shd w:val="clear" w:color="auto" w:fill="auto"/>
            <w:noWrap/>
            <w:hideMark/>
          </w:tcPr>
          <w:p w14:paraId="26FB90E5"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1158" w:type="dxa"/>
            <w:vMerge/>
            <w:hideMark/>
          </w:tcPr>
          <w:p w14:paraId="1BF26D79"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3E5E6AFD"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473B2FF2"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44AB2E0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7612B270"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46546D58"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2FF3B025"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32B959D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0BB8D4F1"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4CCDE5BC"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0C4F70AE" w14:textId="77777777" w:rsidTr="005F36E3">
        <w:trPr>
          <w:trHeight w:val="495"/>
        </w:trPr>
        <w:tc>
          <w:tcPr>
            <w:tcW w:w="1535" w:type="dxa"/>
            <w:vMerge/>
            <w:hideMark/>
          </w:tcPr>
          <w:p w14:paraId="3C4637FD"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6CDEB9F4"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A stakeholder-driven vision and design principles forms the underlying basis of Landscape/ Seascape Plans</w:t>
            </w:r>
          </w:p>
        </w:tc>
        <w:tc>
          <w:tcPr>
            <w:tcW w:w="450" w:type="dxa"/>
            <w:shd w:val="clear" w:color="auto" w:fill="auto"/>
            <w:noWrap/>
            <w:hideMark/>
          </w:tcPr>
          <w:p w14:paraId="3790A5B3"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1158" w:type="dxa"/>
            <w:vMerge/>
            <w:hideMark/>
          </w:tcPr>
          <w:p w14:paraId="433198C5"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60BEA81D"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0D44459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0F2F7327"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2A614DD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71F45DE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46C2C86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398FB3E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58F632A9"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780253A2"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68208A79" w14:textId="77777777" w:rsidTr="005F36E3">
        <w:trPr>
          <w:trHeight w:val="101"/>
        </w:trPr>
        <w:tc>
          <w:tcPr>
            <w:tcW w:w="1535" w:type="dxa"/>
            <w:vMerge w:val="restart"/>
            <w:shd w:val="clear" w:color="auto" w:fill="auto"/>
            <w:hideMark/>
          </w:tcPr>
          <w:p w14:paraId="5EA27C61"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2.6. Are Landscape/ Seascape Planning &amp; Management requirements incorporated into the different Agency’s and Organization’s plans and Strategy’s?</w:t>
            </w:r>
          </w:p>
        </w:tc>
        <w:tc>
          <w:tcPr>
            <w:tcW w:w="1890" w:type="dxa"/>
            <w:shd w:val="clear" w:color="auto" w:fill="auto"/>
            <w:hideMark/>
          </w:tcPr>
          <w:p w14:paraId="1A8A85C8"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No</w:t>
            </w:r>
          </w:p>
        </w:tc>
        <w:tc>
          <w:tcPr>
            <w:tcW w:w="450" w:type="dxa"/>
            <w:shd w:val="clear" w:color="auto" w:fill="auto"/>
            <w:noWrap/>
            <w:hideMark/>
          </w:tcPr>
          <w:p w14:paraId="4F3B1CC0"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1158" w:type="dxa"/>
            <w:vMerge w:val="restart"/>
            <w:shd w:val="clear" w:color="auto" w:fill="auto"/>
            <w:hideMark/>
          </w:tcPr>
          <w:p w14:paraId="29CADC73"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002" w:type="dxa"/>
            <w:vMerge w:val="restart"/>
            <w:shd w:val="clear" w:color="auto" w:fill="auto"/>
            <w:hideMark/>
          </w:tcPr>
          <w:p w14:paraId="6677F46D"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900" w:type="dxa"/>
            <w:vMerge w:val="restart"/>
            <w:shd w:val="clear" w:color="auto" w:fill="auto"/>
            <w:hideMark/>
          </w:tcPr>
          <w:p w14:paraId="22E8F2D5"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912" w:type="dxa"/>
            <w:vMerge w:val="restart"/>
            <w:shd w:val="clear" w:color="auto" w:fill="auto"/>
            <w:hideMark/>
          </w:tcPr>
          <w:p w14:paraId="5DB8AB2C"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068" w:type="dxa"/>
            <w:vMerge w:val="restart"/>
            <w:shd w:val="clear" w:color="auto" w:fill="auto"/>
            <w:hideMark/>
          </w:tcPr>
          <w:p w14:paraId="108B9001"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170" w:type="dxa"/>
            <w:vMerge w:val="restart"/>
            <w:shd w:val="clear" w:color="auto" w:fill="auto"/>
            <w:hideMark/>
          </w:tcPr>
          <w:p w14:paraId="552021BF"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080" w:type="dxa"/>
            <w:vMerge w:val="restart"/>
            <w:shd w:val="clear" w:color="auto" w:fill="auto"/>
            <w:hideMark/>
          </w:tcPr>
          <w:p w14:paraId="4CBB7CBE"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373" w:type="dxa"/>
            <w:vMerge w:val="restart"/>
            <w:shd w:val="clear" w:color="auto" w:fill="auto"/>
            <w:hideMark/>
          </w:tcPr>
          <w:p w14:paraId="4FAD757D"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1 </w:t>
            </w:r>
          </w:p>
          <w:p w14:paraId="4C812EE6"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No agency-based Strategic Planning as part of implementing Master Plan yet; OSCA Management Plan considered in planning for tourist sites</w:t>
            </w:r>
          </w:p>
        </w:tc>
        <w:tc>
          <w:tcPr>
            <w:tcW w:w="1237" w:type="dxa"/>
            <w:vMerge w:val="restart"/>
            <w:shd w:val="clear" w:color="auto" w:fill="auto"/>
            <w:hideMark/>
          </w:tcPr>
          <w:p w14:paraId="12F11C60"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1 </w:t>
            </w:r>
          </w:p>
          <w:p w14:paraId="46DA5B27"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The Rock Island Management Plan is incorporated into multiple agency's work plans </w:t>
            </w:r>
          </w:p>
          <w:p w14:paraId="41E7BD8F" w14:textId="568B21D6"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not just Conser</w:t>
            </w:r>
            <w:r w:rsidR="005F36E3">
              <w:rPr>
                <w:rFonts w:asciiTheme="majorHAnsi" w:eastAsia="Times New Roman" w:hAnsiTheme="majorHAnsi"/>
                <w:bCs/>
                <w:color w:val="000000"/>
                <w:sz w:val="18"/>
                <w:szCs w:val="18"/>
              </w:rPr>
              <w:t>v</w:t>
            </w:r>
            <w:r w:rsidRPr="00EB71A9">
              <w:rPr>
                <w:rFonts w:asciiTheme="majorHAnsi" w:eastAsia="Times New Roman" w:hAnsiTheme="majorHAnsi"/>
                <w:bCs/>
                <w:color w:val="000000"/>
                <w:sz w:val="18"/>
                <w:szCs w:val="18"/>
              </w:rPr>
              <w:t>ation and Law Enforcement.</w:t>
            </w:r>
          </w:p>
        </w:tc>
        <w:tc>
          <w:tcPr>
            <w:tcW w:w="1110" w:type="dxa"/>
            <w:vMerge w:val="restart"/>
            <w:shd w:val="clear" w:color="auto" w:fill="auto"/>
            <w:hideMark/>
          </w:tcPr>
          <w:p w14:paraId="72600158"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r>
      <w:tr w:rsidR="00B02352" w:rsidRPr="00EB71A9" w14:paraId="6E36FECE" w14:textId="77777777" w:rsidTr="005F36E3">
        <w:trPr>
          <w:trHeight w:val="495"/>
        </w:trPr>
        <w:tc>
          <w:tcPr>
            <w:tcW w:w="1535" w:type="dxa"/>
            <w:vMerge/>
            <w:hideMark/>
          </w:tcPr>
          <w:p w14:paraId="436D2763"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4D8CDC3A"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Unsystematic, ad hoc inclusion of Landscape/ Seascape Planning issues and requirements</w:t>
            </w:r>
          </w:p>
        </w:tc>
        <w:tc>
          <w:tcPr>
            <w:tcW w:w="450" w:type="dxa"/>
            <w:shd w:val="clear" w:color="auto" w:fill="auto"/>
            <w:noWrap/>
            <w:hideMark/>
          </w:tcPr>
          <w:p w14:paraId="2FE9800D"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1158" w:type="dxa"/>
            <w:vMerge/>
            <w:hideMark/>
          </w:tcPr>
          <w:p w14:paraId="2BE24A8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2352657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2B0BCEE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7F0CC4EF"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27EC094D"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252D87D8"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5EC13E2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3679A84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743A2E71"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7714A626"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26F05699" w14:textId="77777777" w:rsidTr="005F36E3">
        <w:trPr>
          <w:trHeight w:val="495"/>
        </w:trPr>
        <w:tc>
          <w:tcPr>
            <w:tcW w:w="1535" w:type="dxa"/>
            <w:vMerge/>
            <w:hideMark/>
          </w:tcPr>
          <w:p w14:paraId="4EDA208B"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211F4A24"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Relatively systematic attention to  Landscape/ Seascape Planning issues and requirements</w:t>
            </w:r>
          </w:p>
        </w:tc>
        <w:tc>
          <w:tcPr>
            <w:tcW w:w="450" w:type="dxa"/>
            <w:shd w:val="clear" w:color="auto" w:fill="auto"/>
            <w:noWrap/>
            <w:hideMark/>
          </w:tcPr>
          <w:p w14:paraId="486C1228"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1158" w:type="dxa"/>
            <w:vMerge/>
            <w:hideMark/>
          </w:tcPr>
          <w:p w14:paraId="7501628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512D67ED"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55F8C03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42F3FFD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25AB85FF"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404050C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7E6753D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5D07EA0B"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13AA95EB"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12461DC2"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65BBCD86" w14:textId="77777777" w:rsidTr="005F36E3">
        <w:trPr>
          <w:trHeight w:val="735"/>
        </w:trPr>
        <w:tc>
          <w:tcPr>
            <w:tcW w:w="1535" w:type="dxa"/>
            <w:vMerge/>
            <w:hideMark/>
          </w:tcPr>
          <w:p w14:paraId="6D36EB1E"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6EE6DF4C"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Full systematic attention to Landscape/ Seascape Planning issues and requirements including formalized coordination arrangements</w:t>
            </w:r>
          </w:p>
        </w:tc>
        <w:tc>
          <w:tcPr>
            <w:tcW w:w="450" w:type="dxa"/>
            <w:shd w:val="clear" w:color="auto" w:fill="auto"/>
            <w:noWrap/>
            <w:hideMark/>
          </w:tcPr>
          <w:p w14:paraId="2A115B20"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1158" w:type="dxa"/>
            <w:vMerge/>
            <w:hideMark/>
          </w:tcPr>
          <w:p w14:paraId="76E19F7B"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48B02F1D"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2A0C481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3435C0E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0D35C951"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6378DDC6"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2EE0DB5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034C178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192ED42F"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348ECF84"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66C16319" w14:textId="77777777" w:rsidTr="005F36E3">
        <w:trPr>
          <w:trHeight w:val="101"/>
        </w:trPr>
        <w:tc>
          <w:tcPr>
            <w:tcW w:w="1535" w:type="dxa"/>
            <w:vMerge w:val="restart"/>
            <w:shd w:val="clear" w:color="auto" w:fill="auto"/>
            <w:hideMark/>
          </w:tcPr>
          <w:p w14:paraId="70C86DF6"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2.7. Are Landscape/ Seascape Planning &amp; Management requirements including biodiversity and ecosystem services mainstreamed into development plans?</w:t>
            </w:r>
          </w:p>
        </w:tc>
        <w:tc>
          <w:tcPr>
            <w:tcW w:w="1890" w:type="dxa"/>
            <w:shd w:val="clear" w:color="auto" w:fill="auto"/>
            <w:hideMark/>
          </w:tcPr>
          <w:p w14:paraId="542F5FDE"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No</w:t>
            </w:r>
          </w:p>
        </w:tc>
        <w:tc>
          <w:tcPr>
            <w:tcW w:w="450" w:type="dxa"/>
            <w:shd w:val="clear" w:color="auto" w:fill="auto"/>
            <w:noWrap/>
            <w:hideMark/>
          </w:tcPr>
          <w:p w14:paraId="387D97E6"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1158" w:type="dxa"/>
            <w:vMerge w:val="restart"/>
            <w:shd w:val="clear" w:color="auto" w:fill="auto"/>
            <w:hideMark/>
          </w:tcPr>
          <w:p w14:paraId="45391AA3"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1002" w:type="dxa"/>
            <w:vMerge w:val="restart"/>
            <w:shd w:val="clear" w:color="auto" w:fill="auto"/>
            <w:hideMark/>
          </w:tcPr>
          <w:p w14:paraId="3ABFAF04"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900" w:type="dxa"/>
            <w:vMerge w:val="restart"/>
            <w:shd w:val="clear" w:color="auto" w:fill="auto"/>
            <w:hideMark/>
          </w:tcPr>
          <w:p w14:paraId="66A9F116"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912" w:type="dxa"/>
            <w:vMerge w:val="restart"/>
            <w:shd w:val="clear" w:color="auto" w:fill="auto"/>
            <w:hideMark/>
          </w:tcPr>
          <w:p w14:paraId="2092C185"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068" w:type="dxa"/>
            <w:vMerge w:val="restart"/>
            <w:shd w:val="clear" w:color="auto" w:fill="auto"/>
            <w:hideMark/>
          </w:tcPr>
          <w:p w14:paraId="3916CDB4"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170" w:type="dxa"/>
            <w:vMerge w:val="restart"/>
            <w:shd w:val="clear" w:color="auto" w:fill="auto"/>
            <w:hideMark/>
          </w:tcPr>
          <w:p w14:paraId="3ADE49AF"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080" w:type="dxa"/>
            <w:vMerge w:val="restart"/>
            <w:shd w:val="clear" w:color="auto" w:fill="auto"/>
            <w:hideMark/>
          </w:tcPr>
          <w:p w14:paraId="7CBD8980"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373" w:type="dxa"/>
            <w:vMerge w:val="restart"/>
            <w:shd w:val="clear" w:color="auto" w:fill="auto"/>
            <w:hideMark/>
          </w:tcPr>
          <w:p w14:paraId="0E50E5EB"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1 </w:t>
            </w:r>
          </w:p>
          <w:p w14:paraId="509129EF"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OSCA Management Plan requirements considered in tourism businesses operating on site. No statewide economic development plan.</w:t>
            </w:r>
          </w:p>
        </w:tc>
        <w:tc>
          <w:tcPr>
            <w:tcW w:w="1237" w:type="dxa"/>
            <w:vMerge w:val="restart"/>
            <w:shd w:val="clear" w:color="auto" w:fill="auto"/>
            <w:hideMark/>
          </w:tcPr>
          <w:p w14:paraId="6C028D30"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110" w:type="dxa"/>
            <w:vMerge w:val="restart"/>
            <w:shd w:val="clear" w:color="auto" w:fill="auto"/>
            <w:hideMark/>
          </w:tcPr>
          <w:p w14:paraId="38EF62B3"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1 </w:t>
            </w:r>
          </w:p>
          <w:p w14:paraId="52AA3508"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Conflicts between economic drivers of development and scientific knowledge</w:t>
            </w:r>
          </w:p>
        </w:tc>
      </w:tr>
      <w:tr w:rsidR="00B02352" w:rsidRPr="00EB71A9" w14:paraId="3CBA4335" w14:textId="77777777" w:rsidTr="005F36E3">
        <w:trPr>
          <w:trHeight w:val="495"/>
        </w:trPr>
        <w:tc>
          <w:tcPr>
            <w:tcW w:w="1535" w:type="dxa"/>
            <w:vMerge/>
            <w:hideMark/>
          </w:tcPr>
          <w:p w14:paraId="2403A534"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3AE57DAE"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Unsystematic and ad hoc, only including legally mandated environmental safeguards</w:t>
            </w:r>
          </w:p>
        </w:tc>
        <w:tc>
          <w:tcPr>
            <w:tcW w:w="450" w:type="dxa"/>
            <w:shd w:val="clear" w:color="auto" w:fill="auto"/>
            <w:noWrap/>
            <w:hideMark/>
          </w:tcPr>
          <w:p w14:paraId="1113421F"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1158" w:type="dxa"/>
            <w:vMerge/>
            <w:hideMark/>
          </w:tcPr>
          <w:p w14:paraId="2ADC64C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6413AF2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6233BBEB"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75BD0228"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6F08A5ED"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39D2566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554A9200"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28CFF440"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4CDA047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62E9C1BC"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27B299F4" w14:textId="77777777" w:rsidTr="005F36E3">
        <w:trPr>
          <w:trHeight w:val="735"/>
        </w:trPr>
        <w:tc>
          <w:tcPr>
            <w:tcW w:w="1535" w:type="dxa"/>
            <w:vMerge/>
            <w:hideMark/>
          </w:tcPr>
          <w:p w14:paraId="50B11009"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33C1038F"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Relatively systematic attention to Landscape/ Seascape requirements but not fully taking biodiversity and ecosystem services into account</w:t>
            </w:r>
          </w:p>
        </w:tc>
        <w:tc>
          <w:tcPr>
            <w:tcW w:w="450" w:type="dxa"/>
            <w:shd w:val="clear" w:color="auto" w:fill="auto"/>
            <w:noWrap/>
            <w:hideMark/>
          </w:tcPr>
          <w:p w14:paraId="0EB25A12"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1158" w:type="dxa"/>
            <w:vMerge/>
            <w:hideMark/>
          </w:tcPr>
          <w:p w14:paraId="6B36253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173E0C5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426D28E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70C7B71B"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38C86AB0"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7BB1C0B8"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6D3B4A6D"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16A333E8"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0E0B0BF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58D61363"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09EF43C3" w14:textId="77777777" w:rsidTr="005F36E3">
        <w:trPr>
          <w:trHeight w:val="975"/>
        </w:trPr>
        <w:tc>
          <w:tcPr>
            <w:tcW w:w="1535" w:type="dxa"/>
            <w:vMerge/>
            <w:hideMark/>
          </w:tcPr>
          <w:p w14:paraId="09C8E914"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7BA26A05"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Full systematic mainstreaming of Landscape/ Seascape Planning issues including formalized screening for biodiversity and ecosystem services in planning procedures</w:t>
            </w:r>
          </w:p>
        </w:tc>
        <w:tc>
          <w:tcPr>
            <w:tcW w:w="450" w:type="dxa"/>
            <w:shd w:val="clear" w:color="auto" w:fill="auto"/>
            <w:noWrap/>
            <w:hideMark/>
          </w:tcPr>
          <w:p w14:paraId="20CA4624"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1158" w:type="dxa"/>
            <w:vMerge/>
            <w:hideMark/>
          </w:tcPr>
          <w:p w14:paraId="0AF1A487"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73419386"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35C57CA2"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744B1D8D"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00B9AE1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6E58C2E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5E3B1A19"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1C651D35"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6E1E31D9"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176B497F"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1A404F2F" w14:textId="77777777" w:rsidTr="00A35929">
        <w:trPr>
          <w:trHeight w:val="683"/>
        </w:trPr>
        <w:tc>
          <w:tcPr>
            <w:tcW w:w="3875" w:type="dxa"/>
            <w:gridSpan w:val="3"/>
            <w:shd w:val="clear" w:color="auto" w:fill="auto"/>
            <w:hideMark/>
          </w:tcPr>
          <w:p w14:paraId="3B075347" w14:textId="77777777" w:rsidR="00B02352" w:rsidRPr="00EB71A9" w:rsidRDefault="00B02352" w:rsidP="00B02352">
            <w:pPr>
              <w:spacing w:after="0"/>
              <w:jc w:val="left"/>
              <w:rPr>
                <w:rFonts w:asciiTheme="majorHAnsi" w:eastAsia="Times New Roman" w:hAnsiTheme="majorHAnsi"/>
                <w:b/>
                <w:color w:val="000000"/>
                <w:sz w:val="18"/>
                <w:szCs w:val="18"/>
              </w:rPr>
            </w:pPr>
            <w:r w:rsidRPr="00EB71A9">
              <w:rPr>
                <w:rFonts w:asciiTheme="majorHAnsi" w:eastAsia="Times New Roman" w:hAnsiTheme="majorHAnsi"/>
                <w:b/>
                <w:bCs/>
                <w:color w:val="000000"/>
                <w:sz w:val="18"/>
                <w:szCs w:val="18"/>
              </w:rPr>
              <w:t>2.8. Are Landscape/ Seascape Planning &amp; Management requirements incorporated into EA/EIS procedures for development projects?</w:t>
            </w:r>
          </w:p>
        </w:tc>
        <w:tc>
          <w:tcPr>
            <w:tcW w:w="11010" w:type="dxa"/>
            <w:gridSpan w:val="10"/>
            <w:shd w:val="clear" w:color="auto" w:fill="auto"/>
            <w:hideMark/>
          </w:tcPr>
          <w:p w14:paraId="2312908E"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No additional State requirements</w:t>
            </w:r>
          </w:p>
        </w:tc>
      </w:tr>
      <w:tr w:rsidR="00B02352" w:rsidRPr="00EB71A9" w14:paraId="79878D7D" w14:textId="77777777" w:rsidTr="005F36E3">
        <w:trPr>
          <w:trHeight w:val="101"/>
        </w:trPr>
        <w:tc>
          <w:tcPr>
            <w:tcW w:w="1535" w:type="dxa"/>
            <w:vMerge w:val="restart"/>
            <w:shd w:val="clear" w:color="auto" w:fill="auto"/>
            <w:hideMark/>
          </w:tcPr>
          <w:p w14:paraId="302A8F5F"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2.9. Are Landscape/ Seascape Plans coordinated with other site-specific plans such as PAN Management Plans?</w:t>
            </w:r>
          </w:p>
        </w:tc>
        <w:tc>
          <w:tcPr>
            <w:tcW w:w="1890" w:type="dxa"/>
            <w:shd w:val="clear" w:color="auto" w:fill="auto"/>
            <w:hideMark/>
          </w:tcPr>
          <w:p w14:paraId="6BCB0C6C"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No</w:t>
            </w:r>
          </w:p>
        </w:tc>
        <w:tc>
          <w:tcPr>
            <w:tcW w:w="450" w:type="dxa"/>
            <w:shd w:val="clear" w:color="auto" w:fill="auto"/>
            <w:noWrap/>
            <w:hideMark/>
          </w:tcPr>
          <w:p w14:paraId="67A86E10"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1158" w:type="dxa"/>
            <w:vMerge w:val="restart"/>
            <w:shd w:val="clear" w:color="auto" w:fill="auto"/>
            <w:hideMark/>
          </w:tcPr>
          <w:p w14:paraId="43934C21"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1002" w:type="dxa"/>
            <w:vMerge w:val="restart"/>
            <w:shd w:val="clear" w:color="auto" w:fill="auto"/>
            <w:hideMark/>
          </w:tcPr>
          <w:p w14:paraId="04DC728C"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900" w:type="dxa"/>
            <w:vMerge w:val="restart"/>
            <w:shd w:val="clear" w:color="auto" w:fill="auto"/>
            <w:hideMark/>
          </w:tcPr>
          <w:p w14:paraId="18230F32"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912" w:type="dxa"/>
            <w:vMerge w:val="restart"/>
            <w:shd w:val="clear" w:color="auto" w:fill="auto"/>
            <w:hideMark/>
          </w:tcPr>
          <w:p w14:paraId="140ABCB2"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068" w:type="dxa"/>
            <w:vMerge w:val="restart"/>
            <w:shd w:val="clear" w:color="auto" w:fill="auto"/>
            <w:hideMark/>
          </w:tcPr>
          <w:p w14:paraId="7AF5AFBC"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2 </w:t>
            </w:r>
          </w:p>
          <w:p w14:paraId="3E63AC8B"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PAN Sites were coordinated with Emergency Response Plan for state</w:t>
            </w:r>
          </w:p>
        </w:tc>
        <w:tc>
          <w:tcPr>
            <w:tcW w:w="1170" w:type="dxa"/>
            <w:vMerge w:val="restart"/>
            <w:shd w:val="clear" w:color="auto" w:fill="auto"/>
            <w:hideMark/>
          </w:tcPr>
          <w:p w14:paraId="10DF240B"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1080" w:type="dxa"/>
            <w:vMerge w:val="restart"/>
            <w:shd w:val="clear" w:color="auto" w:fill="auto"/>
            <w:hideMark/>
          </w:tcPr>
          <w:p w14:paraId="5B7681C7"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2</w:t>
            </w:r>
          </w:p>
        </w:tc>
        <w:tc>
          <w:tcPr>
            <w:tcW w:w="1373" w:type="dxa"/>
            <w:vMerge w:val="restart"/>
            <w:shd w:val="clear" w:color="auto" w:fill="auto"/>
            <w:hideMark/>
          </w:tcPr>
          <w:p w14:paraId="6C5D8994"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3 </w:t>
            </w:r>
          </w:p>
          <w:p w14:paraId="5B73EE3F"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The OSCA Site Plans and other plans in the state </w:t>
            </w:r>
          </w:p>
          <w:p w14:paraId="0987CDEB"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such as free trade zone were integrated into Master Plan and now into Land Use Plan</w:t>
            </w:r>
          </w:p>
        </w:tc>
        <w:tc>
          <w:tcPr>
            <w:tcW w:w="1237" w:type="dxa"/>
            <w:vMerge w:val="restart"/>
            <w:shd w:val="clear" w:color="auto" w:fill="auto"/>
            <w:hideMark/>
          </w:tcPr>
          <w:p w14:paraId="39F35A7B"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1 </w:t>
            </w:r>
          </w:p>
          <w:p w14:paraId="47E2FDAB"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Rock Island Management Plan is incorporated loosely into other plans. World Heritage boundaries are considered with other plans. However, there is nor formal Landscape/Seascape Plan.</w:t>
            </w:r>
          </w:p>
        </w:tc>
        <w:tc>
          <w:tcPr>
            <w:tcW w:w="1110" w:type="dxa"/>
            <w:vMerge w:val="restart"/>
            <w:shd w:val="clear" w:color="auto" w:fill="auto"/>
            <w:hideMark/>
          </w:tcPr>
          <w:p w14:paraId="6A2A72EB"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r>
      <w:tr w:rsidR="00B02352" w:rsidRPr="00EB71A9" w14:paraId="3DB9C738" w14:textId="77777777" w:rsidTr="005F36E3">
        <w:trPr>
          <w:trHeight w:val="495"/>
        </w:trPr>
        <w:tc>
          <w:tcPr>
            <w:tcW w:w="1535" w:type="dxa"/>
            <w:vMerge/>
            <w:hideMark/>
          </w:tcPr>
          <w:p w14:paraId="604BF8BB"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5D9215BE"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There is some awareness of the need to coordinate individual with larger scale plans</w:t>
            </w:r>
          </w:p>
        </w:tc>
        <w:tc>
          <w:tcPr>
            <w:tcW w:w="450" w:type="dxa"/>
            <w:shd w:val="clear" w:color="auto" w:fill="auto"/>
            <w:noWrap/>
            <w:hideMark/>
          </w:tcPr>
          <w:p w14:paraId="485904DF"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1158" w:type="dxa"/>
            <w:vMerge/>
            <w:hideMark/>
          </w:tcPr>
          <w:p w14:paraId="1A1CB99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5B09139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0640C4F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7DD049E2"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3AAF585D"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73DDCBF6"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1EE696F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0F39C86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36CA3FB5"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07FADB3F"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63ADC48F" w14:textId="77777777" w:rsidTr="005F36E3">
        <w:trPr>
          <w:trHeight w:val="255"/>
        </w:trPr>
        <w:tc>
          <w:tcPr>
            <w:tcW w:w="1535" w:type="dxa"/>
            <w:vMerge/>
            <w:hideMark/>
          </w:tcPr>
          <w:p w14:paraId="1B1C8630"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3054A6EC"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Coordination of site and larger scale plans has begun</w:t>
            </w:r>
          </w:p>
        </w:tc>
        <w:tc>
          <w:tcPr>
            <w:tcW w:w="450" w:type="dxa"/>
            <w:shd w:val="clear" w:color="auto" w:fill="auto"/>
            <w:noWrap/>
            <w:hideMark/>
          </w:tcPr>
          <w:p w14:paraId="3A946A26"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1158" w:type="dxa"/>
            <w:vMerge/>
            <w:hideMark/>
          </w:tcPr>
          <w:p w14:paraId="6AB91968"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5A10904F"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487D0542"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7F3F97A7"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45A9EA56"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228FCB12"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016E459D"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7E7143DD"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5A457F7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3737686C"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20D0E2E0" w14:textId="77777777" w:rsidTr="005F36E3">
        <w:trPr>
          <w:trHeight w:val="495"/>
        </w:trPr>
        <w:tc>
          <w:tcPr>
            <w:tcW w:w="1535" w:type="dxa"/>
            <w:vMerge/>
            <w:hideMark/>
          </w:tcPr>
          <w:p w14:paraId="1C5A8D2D"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58E6A80D"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Site-level and Landscape/ Seascape Level Plans are fully coordinated</w:t>
            </w:r>
          </w:p>
        </w:tc>
        <w:tc>
          <w:tcPr>
            <w:tcW w:w="450" w:type="dxa"/>
            <w:shd w:val="clear" w:color="auto" w:fill="auto"/>
            <w:noWrap/>
            <w:hideMark/>
          </w:tcPr>
          <w:p w14:paraId="23C9D71C"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1158" w:type="dxa"/>
            <w:vMerge/>
            <w:hideMark/>
          </w:tcPr>
          <w:p w14:paraId="114E2597"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7E04D237"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1A01894F"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47FD62F5"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5ECA20E0"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0B5C2358"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68C4A502"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5AFB26D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700E4CF6"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6FAB7C6A"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7273DCEA" w14:textId="77777777" w:rsidTr="00A35929">
        <w:trPr>
          <w:trHeight w:val="101"/>
        </w:trPr>
        <w:tc>
          <w:tcPr>
            <w:tcW w:w="14885" w:type="dxa"/>
            <w:gridSpan w:val="13"/>
            <w:shd w:val="clear" w:color="000000" w:fill="C6E0B4"/>
            <w:hideMark/>
          </w:tcPr>
          <w:p w14:paraId="089C624D"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Capacity to mobilize information and knowledge</w:t>
            </w:r>
          </w:p>
        </w:tc>
      </w:tr>
      <w:tr w:rsidR="00B02352" w:rsidRPr="00EB71A9" w14:paraId="017A03E2" w14:textId="77777777" w:rsidTr="005F36E3">
        <w:trPr>
          <w:trHeight w:val="179"/>
        </w:trPr>
        <w:tc>
          <w:tcPr>
            <w:tcW w:w="1535" w:type="dxa"/>
            <w:vMerge w:val="restart"/>
            <w:shd w:val="clear" w:color="auto" w:fill="auto"/>
            <w:hideMark/>
          </w:tcPr>
          <w:p w14:paraId="61EEFF02"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3.1. What information on biodiversity, ecosystem services, and socio-economic vulnerability exists to support Landscape/ Seascape Planning?</w:t>
            </w:r>
          </w:p>
        </w:tc>
        <w:tc>
          <w:tcPr>
            <w:tcW w:w="1890" w:type="dxa"/>
            <w:shd w:val="clear" w:color="auto" w:fill="auto"/>
            <w:hideMark/>
          </w:tcPr>
          <w:p w14:paraId="28B9CF43"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Information is virtually lacking</w:t>
            </w:r>
          </w:p>
        </w:tc>
        <w:tc>
          <w:tcPr>
            <w:tcW w:w="450" w:type="dxa"/>
            <w:shd w:val="clear" w:color="auto" w:fill="auto"/>
            <w:noWrap/>
            <w:hideMark/>
          </w:tcPr>
          <w:p w14:paraId="7B510784"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1158" w:type="dxa"/>
            <w:vMerge w:val="restart"/>
            <w:shd w:val="clear" w:color="auto" w:fill="auto"/>
            <w:hideMark/>
          </w:tcPr>
          <w:p w14:paraId="6E9A4C69"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1 </w:t>
            </w:r>
          </w:p>
          <w:p w14:paraId="307242EB"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Especially for conservation areas</w:t>
            </w:r>
          </w:p>
        </w:tc>
        <w:tc>
          <w:tcPr>
            <w:tcW w:w="1002" w:type="dxa"/>
            <w:vMerge w:val="restart"/>
            <w:shd w:val="clear" w:color="auto" w:fill="auto"/>
            <w:hideMark/>
          </w:tcPr>
          <w:p w14:paraId="2A7E0511"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900" w:type="dxa"/>
            <w:vMerge w:val="restart"/>
            <w:shd w:val="clear" w:color="auto" w:fill="auto"/>
            <w:hideMark/>
          </w:tcPr>
          <w:p w14:paraId="3F9532E5"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2</w:t>
            </w:r>
          </w:p>
        </w:tc>
        <w:tc>
          <w:tcPr>
            <w:tcW w:w="912" w:type="dxa"/>
            <w:vMerge w:val="restart"/>
            <w:shd w:val="clear" w:color="auto" w:fill="auto"/>
            <w:hideMark/>
          </w:tcPr>
          <w:p w14:paraId="59CE4D3D"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1068" w:type="dxa"/>
            <w:vMerge w:val="restart"/>
            <w:shd w:val="clear" w:color="auto" w:fill="auto"/>
            <w:hideMark/>
          </w:tcPr>
          <w:p w14:paraId="5A75F307"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1 </w:t>
            </w:r>
          </w:p>
          <w:p w14:paraId="79F93386"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Especially for PAN Sites and watersheds</w:t>
            </w:r>
          </w:p>
        </w:tc>
        <w:tc>
          <w:tcPr>
            <w:tcW w:w="1170" w:type="dxa"/>
            <w:vMerge w:val="restart"/>
            <w:shd w:val="clear" w:color="auto" w:fill="auto"/>
            <w:hideMark/>
          </w:tcPr>
          <w:p w14:paraId="683A8FAB"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2 </w:t>
            </w:r>
          </w:p>
          <w:p w14:paraId="29A673DB"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Especially for the terrestrial forests and parks in the state. State has been site of forestry surveys, including on invasive species. Also, marine environments, especially within the Ngermeduu Bay Biosphere Reserve have been well studied.</w:t>
            </w:r>
          </w:p>
        </w:tc>
        <w:tc>
          <w:tcPr>
            <w:tcW w:w="1080" w:type="dxa"/>
            <w:vMerge w:val="restart"/>
            <w:shd w:val="clear" w:color="auto" w:fill="auto"/>
            <w:hideMark/>
          </w:tcPr>
          <w:p w14:paraId="71B75F23"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1373" w:type="dxa"/>
            <w:vMerge w:val="restart"/>
            <w:shd w:val="clear" w:color="auto" w:fill="auto"/>
            <w:hideMark/>
          </w:tcPr>
          <w:p w14:paraId="22C9C5F7"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2 </w:t>
            </w:r>
          </w:p>
          <w:p w14:paraId="31BC5F23"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Information has so far been adequate for planning</w:t>
            </w:r>
          </w:p>
        </w:tc>
        <w:tc>
          <w:tcPr>
            <w:tcW w:w="1237" w:type="dxa"/>
            <w:vMerge w:val="restart"/>
            <w:shd w:val="clear" w:color="auto" w:fill="auto"/>
            <w:hideMark/>
          </w:tcPr>
          <w:p w14:paraId="229A835B"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1110" w:type="dxa"/>
            <w:vMerge w:val="restart"/>
            <w:shd w:val="clear" w:color="auto" w:fill="auto"/>
            <w:hideMark/>
          </w:tcPr>
          <w:p w14:paraId="1CADF208"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2 </w:t>
            </w:r>
          </w:p>
          <w:p w14:paraId="582AEAAE"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Peleliu lands have been well studied and mapped. Marine on lagoon side well studied.</w:t>
            </w:r>
          </w:p>
        </w:tc>
      </w:tr>
      <w:tr w:rsidR="00B02352" w:rsidRPr="00EB71A9" w14:paraId="1CEBD2FA" w14:textId="77777777" w:rsidTr="005F36E3">
        <w:trPr>
          <w:trHeight w:val="495"/>
        </w:trPr>
        <w:tc>
          <w:tcPr>
            <w:tcW w:w="1535" w:type="dxa"/>
            <w:vMerge/>
            <w:hideMark/>
          </w:tcPr>
          <w:p w14:paraId="40F3B371"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6037D4AF"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Some information exists but is of poor quality and/or limited coverage of geographic and thematic subjects</w:t>
            </w:r>
          </w:p>
        </w:tc>
        <w:tc>
          <w:tcPr>
            <w:tcW w:w="450" w:type="dxa"/>
            <w:shd w:val="clear" w:color="auto" w:fill="auto"/>
            <w:noWrap/>
            <w:hideMark/>
          </w:tcPr>
          <w:p w14:paraId="58E732B0"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1158" w:type="dxa"/>
            <w:vMerge/>
            <w:hideMark/>
          </w:tcPr>
          <w:p w14:paraId="3890601B"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15C3C14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11DB8A7B"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2E5C4C8D"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25F19C15"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40FDA9D2"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5E68AF1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7112AC7F"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7470707B"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189811B4"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7B6FFBE1" w14:textId="77777777" w:rsidTr="005F36E3">
        <w:trPr>
          <w:trHeight w:val="495"/>
        </w:trPr>
        <w:tc>
          <w:tcPr>
            <w:tcW w:w="1535" w:type="dxa"/>
            <w:vMerge/>
            <w:hideMark/>
          </w:tcPr>
          <w:p w14:paraId="1E097738"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6C2F743C"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Adequate information exists and is mostly of good quality, but gaps remain in quality, coverage and/or updating</w:t>
            </w:r>
          </w:p>
        </w:tc>
        <w:tc>
          <w:tcPr>
            <w:tcW w:w="450" w:type="dxa"/>
            <w:shd w:val="clear" w:color="auto" w:fill="auto"/>
            <w:noWrap/>
            <w:hideMark/>
          </w:tcPr>
          <w:p w14:paraId="738B1A47"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1158" w:type="dxa"/>
            <w:vMerge/>
            <w:hideMark/>
          </w:tcPr>
          <w:p w14:paraId="3A7C18F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45D7A436"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7CC38095"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7328D39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0049D3E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2B53C1A7"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4738F0FF"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6E8239E1"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14F36560"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5884D86F"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445733BF" w14:textId="77777777" w:rsidTr="005F36E3">
        <w:trPr>
          <w:trHeight w:val="101"/>
        </w:trPr>
        <w:tc>
          <w:tcPr>
            <w:tcW w:w="1535" w:type="dxa"/>
            <w:vMerge/>
            <w:hideMark/>
          </w:tcPr>
          <w:p w14:paraId="121ED39D"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43A8DEAA"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Good quality information exists covering required geographical and thematic subjects and is updated to support planning purposes</w:t>
            </w:r>
          </w:p>
        </w:tc>
        <w:tc>
          <w:tcPr>
            <w:tcW w:w="450" w:type="dxa"/>
            <w:shd w:val="clear" w:color="auto" w:fill="auto"/>
            <w:noWrap/>
            <w:hideMark/>
          </w:tcPr>
          <w:p w14:paraId="4072F52D"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1158" w:type="dxa"/>
            <w:vMerge/>
            <w:hideMark/>
          </w:tcPr>
          <w:p w14:paraId="15349BE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1E4D1375"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0DF027A1"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512D00D6"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4685F82B"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1C8E6F1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1F48037F"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28BADF9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241FEC56"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77BA623A"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684942A8" w14:textId="77777777" w:rsidTr="005F36E3">
        <w:trPr>
          <w:trHeight w:val="101"/>
        </w:trPr>
        <w:tc>
          <w:tcPr>
            <w:tcW w:w="1535" w:type="dxa"/>
            <w:vMerge w:val="restart"/>
            <w:shd w:val="clear" w:color="auto" w:fill="auto"/>
            <w:hideMark/>
          </w:tcPr>
          <w:p w14:paraId="6068F6C8"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3.2. Is information on biodiversity, ecosystem services, and socio- economic vulnerability available in a useful form to support Landscape/ Seascape planning?</w:t>
            </w:r>
          </w:p>
        </w:tc>
        <w:tc>
          <w:tcPr>
            <w:tcW w:w="1890" w:type="dxa"/>
            <w:shd w:val="clear" w:color="auto" w:fill="auto"/>
            <w:hideMark/>
          </w:tcPr>
          <w:p w14:paraId="35D0530A"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No information is available in a useable form</w:t>
            </w:r>
          </w:p>
        </w:tc>
        <w:tc>
          <w:tcPr>
            <w:tcW w:w="450" w:type="dxa"/>
            <w:shd w:val="clear" w:color="auto" w:fill="auto"/>
            <w:noWrap/>
            <w:hideMark/>
          </w:tcPr>
          <w:p w14:paraId="140E6E31"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1158" w:type="dxa"/>
            <w:vMerge w:val="restart"/>
            <w:shd w:val="clear" w:color="auto" w:fill="auto"/>
            <w:hideMark/>
          </w:tcPr>
          <w:p w14:paraId="08A61330"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1002" w:type="dxa"/>
            <w:vMerge w:val="restart"/>
            <w:shd w:val="clear" w:color="auto" w:fill="auto"/>
            <w:hideMark/>
          </w:tcPr>
          <w:p w14:paraId="663AD38E"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900" w:type="dxa"/>
            <w:vMerge w:val="restart"/>
            <w:shd w:val="clear" w:color="auto" w:fill="auto"/>
            <w:hideMark/>
          </w:tcPr>
          <w:p w14:paraId="79D2D47C"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912" w:type="dxa"/>
            <w:vMerge w:val="restart"/>
            <w:shd w:val="clear" w:color="auto" w:fill="auto"/>
            <w:hideMark/>
          </w:tcPr>
          <w:p w14:paraId="282E9A73"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1068" w:type="dxa"/>
            <w:vMerge w:val="restart"/>
            <w:shd w:val="clear" w:color="auto" w:fill="auto"/>
            <w:hideMark/>
          </w:tcPr>
          <w:p w14:paraId="1EE7FBEE"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1 </w:t>
            </w:r>
          </w:p>
          <w:p w14:paraId="44B89E3F"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Although held with National Government</w:t>
            </w:r>
          </w:p>
        </w:tc>
        <w:tc>
          <w:tcPr>
            <w:tcW w:w="1170" w:type="dxa"/>
            <w:vMerge w:val="restart"/>
            <w:shd w:val="clear" w:color="auto" w:fill="auto"/>
            <w:hideMark/>
          </w:tcPr>
          <w:p w14:paraId="799BA6FB"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2</w:t>
            </w:r>
          </w:p>
        </w:tc>
        <w:tc>
          <w:tcPr>
            <w:tcW w:w="1080" w:type="dxa"/>
            <w:vMerge w:val="restart"/>
            <w:shd w:val="clear" w:color="auto" w:fill="auto"/>
            <w:hideMark/>
          </w:tcPr>
          <w:p w14:paraId="6361F20D"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1373" w:type="dxa"/>
            <w:vMerge w:val="restart"/>
            <w:shd w:val="clear" w:color="auto" w:fill="auto"/>
            <w:hideMark/>
          </w:tcPr>
          <w:p w14:paraId="3F8FDB21"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2</w:t>
            </w:r>
          </w:p>
        </w:tc>
        <w:tc>
          <w:tcPr>
            <w:tcW w:w="1237" w:type="dxa"/>
            <w:vMerge w:val="restart"/>
            <w:shd w:val="clear" w:color="auto" w:fill="auto"/>
            <w:hideMark/>
          </w:tcPr>
          <w:p w14:paraId="0CD644E0"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1 </w:t>
            </w:r>
          </w:p>
          <w:p w14:paraId="131D0E95"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There is a lot of old data sitting in various researcher offices that has not been analyzed or made accessible.</w:t>
            </w:r>
          </w:p>
        </w:tc>
        <w:tc>
          <w:tcPr>
            <w:tcW w:w="1110" w:type="dxa"/>
            <w:vMerge w:val="restart"/>
            <w:shd w:val="clear" w:color="auto" w:fill="auto"/>
            <w:hideMark/>
          </w:tcPr>
          <w:p w14:paraId="5CC52F5C"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2 </w:t>
            </w:r>
          </w:p>
          <w:p w14:paraId="13B6D655"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Adequate information has been made available</w:t>
            </w:r>
          </w:p>
        </w:tc>
      </w:tr>
      <w:tr w:rsidR="00B02352" w:rsidRPr="00EB71A9" w14:paraId="52591987" w14:textId="77777777" w:rsidTr="005F36E3">
        <w:trPr>
          <w:trHeight w:val="255"/>
        </w:trPr>
        <w:tc>
          <w:tcPr>
            <w:tcW w:w="1535" w:type="dxa"/>
            <w:vMerge/>
            <w:hideMark/>
          </w:tcPr>
          <w:p w14:paraId="5D8F27AF"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57F239B1"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Limited information is available in a useable form</w:t>
            </w:r>
          </w:p>
        </w:tc>
        <w:tc>
          <w:tcPr>
            <w:tcW w:w="450" w:type="dxa"/>
            <w:shd w:val="clear" w:color="auto" w:fill="auto"/>
            <w:noWrap/>
            <w:hideMark/>
          </w:tcPr>
          <w:p w14:paraId="029C2255"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1158" w:type="dxa"/>
            <w:vMerge/>
            <w:hideMark/>
          </w:tcPr>
          <w:p w14:paraId="3ADDC0FD"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684186E5"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34E0FFF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36C9965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6E98F34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7CBAA231"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1EED2E1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0C0EA8D7"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296FEA38"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45791CF7"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1390F176" w14:textId="77777777" w:rsidTr="005F36E3">
        <w:trPr>
          <w:trHeight w:val="495"/>
        </w:trPr>
        <w:tc>
          <w:tcPr>
            <w:tcW w:w="1535" w:type="dxa"/>
            <w:vMerge/>
            <w:hideMark/>
          </w:tcPr>
          <w:p w14:paraId="3F353C2A"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7851F537"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Adequate information is available in a useable form, but some challenges remain</w:t>
            </w:r>
          </w:p>
        </w:tc>
        <w:tc>
          <w:tcPr>
            <w:tcW w:w="450" w:type="dxa"/>
            <w:shd w:val="clear" w:color="auto" w:fill="auto"/>
            <w:noWrap/>
            <w:hideMark/>
          </w:tcPr>
          <w:p w14:paraId="7B3936A3"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1158" w:type="dxa"/>
            <w:vMerge/>
            <w:hideMark/>
          </w:tcPr>
          <w:p w14:paraId="5CF20E90"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4D259430"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35B2C22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25CF9F19"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291753C1"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7EF4EC80"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1521DF17"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4F78411B"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53669B26"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225AE1B0"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00DBA345" w14:textId="77777777" w:rsidTr="005F36E3">
        <w:trPr>
          <w:trHeight w:val="495"/>
        </w:trPr>
        <w:tc>
          <w:tcPr>
            <w:tcW w:w="1535" w:type="dxa"/>
            <w:vMerge/>
            <w:hideMark/>
          </w:tcPr>
          <w:p w14:paraId="3A8BEB26"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24C8DBE3"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 xml:space="preserve">A wide range of adequate information exists in a useable form </w:t>
            </w:r>
          </w:p>
        </w:tc>
        <w:tc>
          <w:tcPr>
            <w:tcW w:w="450" w:type="dxa"/>
            <w:shd w:val="clear" w:color="auto" w:fill="auto"/>
            <w:noWrap/>
            <w:hideMark/>
          </w:tcPr>
          <w:p w14:paraId="48A84717"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1158" w:type="dxa"/>
            <w:vMerge/>
            <w:hideMark/>
          </w:tcPr>
          <w:p w14:paraId="7ABC1CF6"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1DB000E1"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041E86CB"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2225BF10"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1D1F8DD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5E90964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6BE28F6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6DA3C87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3F4F699B"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6493456F"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695645FA" w14:textId="77777777" w:rsidTr="005F36E3">
        <w:trPr>
          <w:trHeight w:val="101"/>
        </w:trPr>
        <w:tc>
          <w:tcPr>
            <w:tcW w:w="1535" w:type="dxa"/>
            <w:vMerge w:val="restart"/>
            <w:shd w:val="clear" w:color="auto" w:fill="auto"/>
            <w:hideMark/>
          </w:tcPr>
          <w:p w14:paraId="05134FC8"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 xml:space="preserve">3.3. Is information on the biophysical connections between land and sea environments available in a useful form to support Landscape/ Seascape Planning </w:t>
            </w:r>
          </w:p>
          <w:p w14:paraId="50E86A99"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such as connectivity, river flows, sedimentation, nutrient enrichment, pollution, coastal dynamics, climate drivers, and sea level rise?</w:t>
            </w:r>
          </w:p>
        </w:tc>
        <w:tc>
          <w:tcPr>
            <w:tcW w:w="1890" w:type="dxa"/>
            <w:shd w:val="clear" w:color="auto" w:fill="auto"/>
            <w:hideMark/>
          </w:tcPr>
          <w:p w14:paraId="7F4E44BB"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No information is available in a useable form</w:t>
            </w:r>
          </w:p>
        </w:tc>
        <w:tc>
          <w:tcPr>
            <w:tcW w:w="450" w:type="dxa"/>
            <w:shd w:val="clear" w:color="auto" w:fill="auto"/>
            <w:noWrap/>
            <w:hideMark/>
          </w:tcPr>
          <w:p w14:paraId="78AFB004"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1158" w:type="dxa"/>
            <w:vMerge w:val="restart"/>
            <w:shd w:val="clear" w:color="auto" w:fill="auto"/>
            <w:hideMark/>
          </w:tcPr>
          <w:p w14:paraId="070093D9"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002" w:type="dxa"/>
            <w:vMerge w:val="restart"/>
            <w:shd w:val="clear" w:color="auto" w:fill="auto"/>
            <w:hideMark/>
          </w:tcPr>
          <w:p w14:paraId="3C34B231"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1 </w:t>
            </w:r>
          </w:p>
          <w:p w14:paraId="4CA4CAC8" w14:textId="1F6B4794"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Only state with high resolution </w:t>
            </w:r>
            <w:r w:rsidR="005F36E3">
              <w:rPr>
                <w:rFonts w:asciiTheme="majorHAnsi" w:eastAsia="Times New Roman" w:hAnsiTheme="majorHAnsi"/>
                <w:bCs/>
                <w:color w:val="000000"/>
                <w:sz w:val="18"/>
                <w:szCs w:val="18"/>
              </w:rPr>
              <w:t>topograph-</w:t>
            </w:r>
            <w:r w:rsidRPr="00EB71A9">
              <w:rPr>
                <w:rFonts w:asciiTheme="majorHAnsi" w:eastAsia="Times New Roman" w:hAnsiTheme="majorHAnsi"/>
                <w:bCs/>
                <w:color w:val="000000"/>
                <w:sz w:val="18"/>
                <w:szCs w:val="18"/>
              </w:rPr>
              <w:t>y and sea level rise data</w:t>
            </w:r>
          </w:p>
        </w:tc>
        <w:tc>
          <w:tcPr>
            <w:tcW w:w="900" w:type="dxa"/>
            <w:vMerge w:val="restart"/>
            <w:shd w:val="clear" w:color="auto" w:fill="auto"/>
            <w:hideMark/>
          </w:tcPr>
          <w:p w14:paraId="69043159"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912" w:type="dxa"/>
            <w:vMerge w:val="restart"/>
            <w:shd w:val="clear" w:color="auto" w:fill="auto"/>
            <w:hideMark/>
          </w:tcPr>
          <w:p w14:paraId="60E6033D"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1068" w:type="dxa"/>
            <w:vMerge w:val="restart"/>
            <w:shd w:val="clear" w:color="auto" w:fill="auto"/>
            <w:hideMark/>
          </w:tcPr>
          <w:p w14:paraId="7317282E"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1 </w:t>
            </w:r>
          </w:p>
          <w:p w14:paraId="5A6D5190"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State only has access to portion of information</w:t>
            </w:r>
          </w:p>
        </w:tc>
        <w:tc>
          <w:tcPr>
            <w:tcW w:w="1170" w:type="dxa"/>
            <w:vMerge w:val="restart"/>
            <w:shd w:val="clear" w:color="auto" w:fill="auto"/>
            <w:hideMark/>
          </w:tcPr>
          <w:p w14:paraId="2EDEEE09"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2</w:t>
            </w:r>
          </w:p>
        </w:tc>
        <w:tc>
          <w:tcPr>
            <w:tcW w:w="1080" w:type="dxa"/>
            <w:vMerge w:val="restart"/>
            <w:shd w:val="clear" w:color="auto" w:fill="auto"/>
            <w:hideMark/>
          </w:tcPr>
          <w:p w14:paraId="395E9840"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1 </w:t>
            </w:r>
          </w:p>
          <w:p w14:paraId="7D03A5F0"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Especially noting importance of traditional knowledge on connectivity in the Northern Reefs and around the land into the water</w:t>
            </w:r>
          </w:p>
        </w:tc>
        <w:tc>
          <w:tcPr>
            <w:tcW w:w="1373" w:type="dxa"/>
            <w:vMerge w:val="restart"/>
            <w:shd w:val="clear" w:color="auto" w:fill="auto"/>
            <w:hideMark/>
          </w:tcPr>
          <w:p w14:paraId="1001EE76"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1237" w:type="dxa"/>
            <w:vMerge w:val="restart"/>
            <w:shd w:val="clear" w:color="auto" w:fill="auto"/>
            <w:hideMark/>
          </w:tcPr>
          <w:p w14:paraId="3525EB87"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1110" w:type="dxa"/>
            <w:vMerge w:val="restart"/>
            <w:shd w:val="clear" w:color="auto" w:fill="auto"/>
            <w:hideMark/>
          </w:tcPr>
          <w:p w14:paraId="0AC95889"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r>
      <w:tr w:rsidR="00B02352" w:rsidRPr="00EB71A9" w14:paraId="6779F998" w14:textId="77777777" w:rsidTr="005F36E3">
        <w:trPr>
          <w:trHeight w:val="495"/>
        </w:trPr>
        <w:tc>
          <w:tcPr>
            <w:tcW w:w="1535" w:type="dxa"/>
            <w:vMerge/>
            <w:hideMark/>
          </w:tcPr>
          <w:p w14:paraId="2DC7693B"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561CB501"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Limited information is available in a useable form or is not readily accessible</w:t>
            </w:r>
          </w:p>
        </w:tc>
        <w:tc>
          <w:tcPr>
            <w:tcW w:w="450" w:type="dxa"/>
            <w:shd w:val="clear" w:color="auto" w:fill="auto"/>
            <w:noWrap/>
            <w:hideMark/>
          </w:tcPr>
          <w:p w14:paraId="2658C686"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1158" w:type="dxa"/>
            <w:vMerge/>
            <w:hideMark/>
          </w:tcPr>
          <w:p w14:paraId="36C4D062"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377B00F1"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04DFE00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1BA1B15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251D9081"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7A3D7149"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22300837"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27B7E1D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546020B1"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06D2FE7F"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0B292409" w14:textId="77777777" w:rsidTr="005F36E3">
        <w:trPr>
          <w:trHeight w:val="495"/>
        </w:trPr>
        <w:tc>
          <w:tcPr>
            <w:tcW w:w="1535" w:type="dxa"/>
            <w:vMerge/>
            <w:hideMark/>
          </w:tcPr>
          <w:p w14:paraId="4D69238B"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558577D7"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Adequate information is available in a useable form, but is not accessible or some other challenges remain</w:t>
            </w:r>
          </w:p>
        </w:tc>
        <w:tc>
          <w:tcPr>
            <w:tcW w:w="450" w:type="dxa"/>
            <w:shd w:val="clear" w:color="auto" w:fill="auto"/>
            <w:noWrap/>
            <w:hideMark/>
          </w:tcPr>
          <w:p w14:paraId="7C5365F8"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1158" w:type="dxa"/>
            <w:vMerge/>
            <w:hideMark/>
          </w:tcPr>
          <w:p w14:paraId="267BC665"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7576C85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68F1700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11647BA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56E8F389"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41D3B340"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719067F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4BF1D7D5"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17F1E38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35B21054"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3FA4552B" w14:textId="77777777" w:rsidTr="005F36E3">
        <w:trPr>
          <w:trHeight w:val="495"/>
        </w:trPr>
        <w:tc>
          <w:tcPr>
            <w:tcW w:w="1535" w:type="dxa"/>
            <w:vMerge/>
            <w:hideMark/>
          </w:tcPr>
          <w:p w14:paraId="4458259E"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04A7E8A8"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A wide range of adequate information exists in a useable form and is readily accessible</w:t>
            </w:r>
          </w:p>
        </w:tc>
        <w:tc>
          <w:tcPr>
            <w:tcW w:w="450" w:type="dxa"/>
            <w:shd w:val="clear" w:color="auto" w:fill="auto"/>
            <w:noWrap/>
            <w:hideMark/>
          </w:tcPr>
          <w:p w14:paraId="389528BC"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1158" w:type="dxa"/>
            <w:vMerge/>
            <w:hideMark/>
          </w:tcPr>
          <w:p w14:paraId="4D48748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6FAA929D"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7DC786B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6A89350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2CC39606"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665F272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6B6E5EE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043CC727"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2AB0CBDB"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5B895C3C"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29C15D1E" w14:textId="77777777" w:rsidTr="005F36E3">
        <w:trPr>
          <w:trHeight w:val="161"/>
        </w:trPr>
        <w:tc>
          <w:tcPr>
            <w:tcW w:w="1535" w:type="dxa"/>
            <w:vMerge w:val="restart"/>
            <w:shd w:val="clear" w:color="auto" w:fill="auto"/>
            <w:hideMark/>
          </w:tcPr>
          <w:p w14:paraId="1E6437A0"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3.4. Do planning authorities have the capacity to make use of available information on biodiversity, ecosystem services, and socio- economic vulnerability in planning processes?</w:t>
            </w:r>
          </w:p>
        </w:tc>
        <w:tc>
          <w:tcPr>
            <w:tcW w:w="1890" w:type="dxa"/>
            <w:shd w:val="clear" w:color="auto" w:fill="auto"/>
            <w:hideMark/>
          </w:tcPr>
          <w:p w14:paraId="05B6C946"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There is no mechanism for taking account of such information</w:t>
            </w:r>
          </w:p>
        </w:tc>
        <w:tc>
          <w:tcPr>
            <w:tcW w:w="450" w:type="dxa"/>
            <w:shd w:val="clear" w:color="auto" w:fill="auto"/>
            <w:noWrap/>
            <w:hideMark/>
          </w:tcPr>
          <w:p w14:paraId="5054353B"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1158" w:type="dxa"/>
            <w:vMerge w:val="restart"/>
            <w:shd w:val="clear" w:color="auto" w:fill="auto"/>
            <w:hideMark/>
          </w:tcPr>
          <w:p w14:paraId="498AF81E"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1002" w:type="dxa"/>
            <w:vMerge w:val="restart"/>
            <w:shd w:val="clear" w:color="auto" w:fill="auto"/>
            <w:hideMark/>
          </w:tcPr>
          <w:p w14:paraId="735D6F03"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900" w:type="dxa"/>
            <w:vMerge w:val="restart"/>
            <w:shd w:val="clear" w:color="auto" w:fill="auto"/>
            <w:hideMark/>
          </w:tcPr>
          <w:p w14:paraId="6278B74E"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912" w:type="dxa"/>
            <w:vMerge w:val="restart"/>
            <w:shd w:val="clear" w:color="auto" w:fill="auto"/>
            <w:hideMark/>
          </w:tcPr>
          <w:p w14:paraId="4C1D16DC"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068" w:type="dxa"/>
            <w:vMerge w:val="restart"/>
            <w:shd w:val="clear" w:color="auto" w:fill="auto"/>
            <w:hideMark/>
          </w:tcPr>
          <w:p w14:paraId="1302C280"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2 </w:t>
            </w:r>
          </w:p>
          <w:p w14:paraId="6BEC7466"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PAN Planning team has many of the nation's experts</w:t>
            </w:r>
          </w:p>
        </w:tc>
        <w:tc>
          <w:tcPr>
            <w:tcW w:w="1170" w:type="dxa"/>
            <w:vMerge w:val="restart"/>
            <w:shd w:val="clear" w:color="auto" w:fill="auto"/>
            <w:hideMark/>
          </w:tcPr>
          <w:p w14:paraId="693A6D54"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1080" w:type="dxa"/>
            <w:vMerge w:val="restart"/>
            <w:shd w:val="clear" w:color="auto" w:fill="auto"/>
            <w:hideMark/>
          </w:tcPr>
          <w:p w14:paraId="01812E86"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1373" w:type="dxa"/>
            <w:vMerge w:val="restart"/>
            <w:shd w:val="clear" w:color="auto" w:fill="auto"/>
            <w:hideMark/>
          </w:tcPr>
          <w:p w14:paraId="53E27995"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1237" w:type="dxa"/>
            <w:vMerge w:val="restart"/>
            <w:shd w:val="clear" w:color="auto" w:fill="auto"/>
            <w:hideMark/>
          </w:tcPr>
          <w:p w14:paraId="325F3E18"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1 </w:t>
            </w:r>
          </w:p>
          <w:p w14:paraId="0ADDF26B"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There is a lot of information for Koror State, especially the marine environment, but planning bodies don't know how to access it, use it, or see the importance of such information.</w:t>
            </w:r>
          </w:p>
        </w:tc>
        <w:tc>
          <w:tcPr>
            <w:tcW w:w="1110" w:type="dxa"/>
            <w:vMerge w:val="restart"/>
            <w:shd w:val="clear" w:color="auto" w:fill="auto"/>
            <w:hideMark/>
          </w:tcPr>
          <w:p w14:paraId="7FA9A239"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r>
      <w:tr w:rsidR="00B02352" w:rsidRPr="00EB71A9" w14:paraId="275B0A00" w14:textId="77777777" w:rsidTr="005F36E3">
        <w:trPr>
          <w:trHeight w:val="495"/>
        </w:trPr>
        <w:tc>
          <w:tcPr>
            <w:tcW w:w="1535" w:type="dxa"/>
            <w:vMerge/>
            <w:hideMark/>
          </w:tcPr>
          <w:p w14:paraId="7A1E1DD7"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706BA80E"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 information is only used in an ad hoc, non-systematic manner</w:t>
            </w:r>
          </w:p>
        </w:tc>
        <w:tc>
          <w:tcPr>
            <w:tcW w:w="450" w:type="dxa"/>
            <w:shd w:val="clear" w:color="auto" w:fill="auto"/>
            <w:noWrap/>
            <w:hideMark/>
          </w:tcPr>
          <w:p w14:paraId="6D1B111A"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1158" w:type="dxa"/>
            <w:vMerge/>
            <w:hideMark/>
          </w:tcPr>
          <w:p w14:paraId="426C0190"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4484D98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379A500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35FC4481"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29DCD24B"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177C616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19B0DA26"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30ADACB6"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11C791D8"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3032C923"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2381FC20" w14:textId="77777777" w:rsidTr="005F36E3">
        <w:trPr>
          <w:trHeight w:val="495"/>
        </w:trPr>
        <w:tc>
          <w:tcPr>
            <w:tcW w:w="1535" w:type="dxa"/>
            <w:vMerge/>
            <w:hideMark/>
          </w:tcPr>
          <w:p w14:paraId="6A9B6402"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6658A1E7"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A systemic approach exists for making use of such information but is not effectively utilized</w:t>
            </w:r>
          </w:p>
        </w:tc>
        <w:tc>
          <w:tcPr>
            <w:tcW w:w="450" w:type="dxa"/>
            <w:shd w:val="clear" w:color="auto" w:fill="auto"/>
            <w:noWrap/>
            <w:hideMark/>
          </w:tcPr>
          <w:p w14:paraId="7147FA73"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1158" w:type="dxa"/>
            <w:vMerge/>
            <w:hideMark/>
          </w:tcPr>
          <w:p w14:paraId="715FFE51"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0AAC630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1260229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0D1CD2C8"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25CEEBCB"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0E3899E0"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2C73D2A9"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72655E48"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35DED589"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40B2B978"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713AADC8" w14:textId="77777777" w:rsidTr="005F36E3">
        <w:trPr>
          <w:trHeight w:val="255"/>
        </w:trPr>
        <w:tc>
          <w:tcPr>
            <w:tcW w:w="1535" w:type="dxa"/>
            <w:vMerge/>
            <w:hideMark/>
          </w:tcPr>
          <w:p w14:paraId="4CB20EB2"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65EAAFE8"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A systemic approach is utilized to good effect</w:t>
            </w:r>
          </w:p>
        </w:tc>
        <w:tc>
          <w:tcPr>
            <w:tcW w:w="450" w:type="dxa"/>
            <w:shd w:val="clear" w:color="auto" w:fill="auto"/>
            <w:noWrap/>
            <w:hideMark/>
          </w:tcPr>
          <w:p w14:paraId="776B5109"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1158" w:type="dxa"/>
            <w:vMerge/>
            <w:hideMark/>
          </w:tcPr>
          <w:p w14:paraId="6B10CCD7"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7E8F36A2"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572FDFA8"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62A4252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4E31D29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6869802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3266AEC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284B511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6C71FE65"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6C39673E"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23B89573" w14:textId="77777777" w:rsidTr="00A35929">
        <w:trPr>
          <w:trHeight w:val="161"/>
        </w:trPr>
        <w:tc>
          <w:tcPr>
            <w:tcW w:w="14885" w:type="dxa"/>
            <w:gridSpan w:val="13"/>
            <w:shd w:val="clear" w:color="000000" w:fill="C6E0B4"/>
            <w:hideMark/>
          </w:tcPr>
          <w:p w14:paraId="7329C006"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Capacity to engage and build consensus among all stakeholders</w:t>
            </w:r>
          </w:p>
        </w:tc>
      </w:tr>
      <w:tr w:rsidR="00B02352" w:rsidRPr="00EB71A9" w14:paraId="16DC8709" w14:textId="77777777" w:rsidTr="005F36E3">
        <w:trPr>
          <w:trHeight w:val="161"/>
        </w:trPr>
        <w:tc>
          <w:tcPr>
            <w:tcW w:w="1535" w:type="dxa"/>
            <w:vMerge w:val="restart"/>
            <w:shd w:val="clear" w:color="auto" w:fill="auto"/>
            <w:hideMark/>
          </w:tcPr>
          <w:p w14:paraId="7B4A2C93"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4.1. Have sectoral agencies established the partnerships needed to achieve mainstreaming of biodiversity and ecosystem services in Landscape/ Seascape Planning practices?</w:t>
            </w:r>
          </w:p>
        </w:tc>
        <w:tc>
          <w:tcPr>
            <w:tcW w:w="1890" w:type="dxa"/>
            <w:shd w:val="clear" w:color="auto" w:fill="auto"/>
            <w:hideMark/>
          </w:tcPr>
          <w:p w14:paraId="679CEE66"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Sectoral agencies operate in isolation</w:t>
            </w:r>
          </w:p>
        </w:tc>
        <w:tc>
          <w:tcPr>
            <w:tcW w:w="450" w:type="dxa"/>
            <w:shd w:val="clear" w:color="auto" w:fill="auto"/>
            <w:noWrap/>
            <w:hideMark/>
          </w:tcPr>
          <w:p w14:paraId="0A72A795"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1158" w:type="dxa"/>
            <w:vMerge w:val="restart"/>
            <w:shd w:val="clear" w:color="auto" w:fill="auto"/>
            <w:hideMark/>
          </w:tcPr>
          <w:p w14:paraId="6B93C183"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1002" w:type="dxa"/>
            <w:vMerge w:val="restart"/>
            <w:shd w:val="clear" w:color="auto" w:fill="auto"/>
            <w:hideMark/>
          </w:tcPr>
          <w:p w14:paraId="1E73BC3F"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900" w:type="dxa"/>
            <w:vMerge w:val="restart"/>
            <w:shd w:val="clear" w:color="auto" w:fill="auto"/>
            <w:hideMark/>
          </w:tcPr>
          <w:p w14:paraId="590987E4"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912" w:type="dxa"/>
            <w:vMerge w:val="restart"/>
            <w:shd w:val="clear" w:color="auto" w:fill="auto"/>
            <w:hideMark/>
          </w:tcPr>
          <w:p w14:paraId="5DAF08D9"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1068" w:type="dxa"/>
            <w:vMerge w:val="restart"/>
            <w:shd w:val="clear" w:color="auto" w:fill="auto"/>
            <w:hideMark/>
          </w:tcPr>
          <w:p w14:paraId="1EF35090"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1 </w:t>
            </w:r>
          </w:p>
          <w:p w14:paraId="77667515"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Given PAN relationships</w:t>
            </w:r>
          </w:p>
        </w:tc>
        <w:tc>
          <w:tcPr>
            <w:tcW w:w="1170" w:type="dxa"/>
            <w:vMerge w:val="restart"/>
            <w:shd w:val="clear" w:color="auto" w:fill="auto"/>
            <w:hideMark/>
          </w:tcPr>
          <w:p w14:paraId="30A69F7D"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1080" w:type="dxa"/>
            <w:vMerge w:val="restart"/>
            <w:shd w:val="clear" w:color="auto" w:fill="auto"/>
            <w:hideMark/>
          </w:tcPr>
          <w:p w14:paraId="034157CE"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1373" w:type="dxa"/>
            <w:vMerge w:val="restart"/>
            <w:shd w:val="clear" w:color="auto" w:fill="auto"/>
            <w:hideMark/>
          </w:tcPr>
          <w:p w14:paraId="7CD221B2"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1237" w:type="dxa"/>
            <w:vMerge w:val="restart"/>
            <w:shd w:val="clear" w:color="auto" w:fill="auto"/>
            <w:hideMark/>
          </w:tcPr>
          <w:p w14:paraId="24639BC9"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1110" w:type="dxa"/>
            <w:vMerge w:val="restart"/>
            <w:shd w:val="clear" w:color="auto" w:fill="auto"/>
            <w:hideMark/>
          </w:tcPr>
          <w:p w14:paraId="1C5C2AA4"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r>
      <w:tr w:rsidR="00B02352" w:rsidRPr="00EB71A9" w14:paraId="0F95358D" w14:textId="77777777" w:rsidTr="005F36E3">
        <w:trPr>
          <w:trHeight w:val="495"/>
        </w:trPr>
        <w:tc>
          <w:tcPr>
            <w:tcW w:w="1535" w:type="dxa"/>
            <w:vMerge/>
            <w:hideMark/>
          </w:tcPr>
          <w:p w14:paraId="25351340"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003053D3"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Some partnerships are in place but there are significant gaps, and existing partnerships achieve little</w:t>
            </w:r>
          </w:p>
        </w:tc>
        <w:tc>
          <w:tcPr>
            <w:tcW w:w="450" w:type="dxa"/>
            <w:shd w:val="clear" w:color="auto" w:fill="auto"/>
            <w:noWrap/>
            <w:hideMark/>
          </w:tcPr>
          <w:p w14:paraId="590C6366"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1158" w:type="dxa"/>
            <w:vMerge/>
            <w:hideMark/>
          </w:tcPr>
          <w:p w14:paraId="4B4E1E2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0EE81EE2"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79F56D9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577AEBA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21AEB0B2"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45BD6665"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0E0E0058"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4A2FE6AB"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2AB0F887"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623B14AE"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32395FF6" w14:textId="77777777" w:rsidTr="005F36E3">
        <w:trPr>
          <w:trHeight w:val="735"/>
        </w:trPr>
        <w:tc>
          <w:tcPr>
            <w:tcW w:w="1535" w:type="dxa"/>
            <w:vMerge/>
            <w:hideMark/>
          </w:tcPr>
          <w:p w14:paraId="6A3409A2"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69627A85"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Many partnerships are in place with a wide range of stakeholders, but gaps remain and partnerships have limited effectiveness</w:t>
            </w:r>
          </w:p>
        </w:tc>
        <w:tc>
          <w:tcPr>
            <w:tcW w:w="450" w:type="dxa"/>
            <w:shd w:val="clear" w:color="auto" w:fill="auto"/>
            <w:noWrap/>
            <w:hideMark/>
          </w:tcPr>
          <w:p w14:paraId="02032506"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1158" w:type="dxa"/>
            <w:vMerge/>
            <w:hideMark/>
          </w:tcPr>
          <w:p w14:paraId="4DB00F7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764D986D"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19DD82C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61EF3627"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30FD6DE8"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056E1ACD"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6C06E2D1"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5F385C8B"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10431AA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7961A665"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60A75653" w14:textId="77777777" w:rsidTr="005F36E3">
        <w:trPr>
          <w:trHeight w:val="975"/>
        </w:trPr>
        <w:tc>
          <w:tcPr>
            <w:tcW w:w="1535" w:type="dxa"/>
            <w:vMerge/>
            <w:hideMark/>
          </w:tcPr>
          <w:p w14:paraId="5E23302A"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06FBA642"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Effective partnerships established with a wide range of stakeholders to enable effective mainstreaming of biodiversity and ecosystem services in Landscape/ Seascape Planning practices</w:t>
            </w:r>
          </w:p>
        </w:tc>
        <w:tc>
          <w:tcPr>
            <w:tcW w:w="450" w:type="dxa"/>
            <w:shd w:val="clear" w:color="auto" w:fill="auto"/>
            <w:noWrap/>
            <w:hideMark/>
          </w:tcPr>
          <w:p w14:paraId="7F25F422"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1158" w:type="dxa"/>
            <w:vMerge/>
            <w:hideMark/>
          </w:tcPr>
          <w:p w14:paraId="6E13CB76"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08716BAD"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023C7E6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65CAE660"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33F4D55B"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52A9E4C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5ABB065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53EEA266"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04D913C0"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16D7676C"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7377E4B8" w14:textId="77777777" w:rsidTr="005F36E3">
        <w:trPr>
          <w:trHeight w:val="710"/>
        </w:trPr>
        <w:tc>
          <w:tcPr>
            <w:tcW w:w="1535" w:type="dxa"/>
            <w:vMerge w:val="restart"/>
            <w:shd w:val="clear" w:color="auto" w:fill="auto"/>
            <w:hideMark/>
          </w:tcPr>
          <w:p w14:paraId="0EA7A1EB"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4.2. Do existing Landscape/ Seascape Plans have the political commitment required for effective implementation?</w:t>
            </w:r>
          </w:p>
        </w:tc>
        <w:tc>
          <w:tcPr>
            <w:tcW w:w="1890" w:type="dxa"/>
            <w:shd w:val="clear" w:color="auto" w:fill="auto"/>
            <w:hideMark/>
          </w:tcPr>
          <w:p w14:paraId="4FFB8033"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There is no political will at all, or worse, the prevailing political will runs counter to the interests of mainstreaming biodiversity into sectoral plans</w:t>
            </w:r>
          </w:p>
        </w:tc>
        <w:tc>
          <w:tcPr>
            <w:tcW w:w="450" w:type="dxa"/>
            <w:shd w:val="clear" w:color="auto" w:fill="auto"/>
            <w:noWrap/>
            <w:hideMark/>
          </w:tcPr>
          <w:p w14:paraId="7E71F778"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1158" w:type="dxa"/>
            <w:vMerge w:val="restart"/>
            <w:shd w:val="clear" w:color="auto" w:fill="auto"/>
            <w:hideMark/>
          </w:tcPr>
          <w:p w14:paraId="752FB9B7"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1002" w:type="dxa"/>
            <w:vMerge w:val="restart"/>
            <w:shd w:val="clear" w:color="auto" w:fill="auto"/>
            <w:hideMark/>
          </w:tcPr>
          <w:p w14:paraId="42F49CE3"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900" w:type="dxa"/>
            <w:vMerge w:val="restart"/>
            <w:shd w:val="clear" w:color="auto" w:fill="auto"/>
            <w:hideMark/>
          </w:tcPr>
          <w:p w14:paraId="3D339099"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912" w:type="dxa"/>
            <w:vMerge w:val="restart"/>
            <w:shd w:val="clear" w:color="auto" w:fill="auto"/>
            <w:hideMark/>
          </w:tcPr>
          <w:p w14:paraId="7E3F1924"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068" w:type="dxa"/>
            <w:vMerge w:val="restart"/>
            <w:shd w:val="clear" w:color="auto" w:fill="auto"/>
            <w:hideMark/>
          </w:tcPr>
          <w:p w14:paraId="55B478EE"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1170" w:type="dxa"/>
            <w:vMerge w:val="restart"/>
            <w:shd w:val="clear" w:color="auto" w:fill="auto"/>
            <w:hideMark/>
          </w:tcPr>
          <w:p w14:paraId="0790303C"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1080" w:type="dxa"/>
            <w:vMerge w:val="restart"/>
            <w:shd w:val="clear" w:color="auto" w:fill="auto"/>
            <w:hideMark/>
          </w:tcPr>
          <w:p w14:paraId="4197253E"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2</w:t>
            </w:r>
          </w:p>
        </w:tc>
        <w:tc>
          <w:tcPr>
            <w:tcW w:w="1373" w:type="dxa"/>
            <w:vMerge w:val="restart"/>
            <w:shd w:val="clear" w:color="auto" w:fill="auto"/>
            <w:hideMark/>
          </w:tcPr>
          <w:p w14:paraId="5E7CA53F"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2</w:t>
            </w:r>
          </w:p>
        </w:tc>
        <w:tc>
          <w:tcPr>
            <w:tcW w:w="1237" w:type="dxa"/>
            <w:vMerge w:val="restart"/>
            <w:shd w:val="clear" w:color="auto" w:fill="auto"/>
            <w:hideMark/>
          </w:tcPr>
          <w:p w14:paraId="6EDC470A"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2</w:t>
            </w:r>
          </w:p>
        </w:tc>
        <w:tc>
          <w:tcPr>
            <w:tcW w:w="1110" w:type="dxa"/>
            <w:vMerge w:val="restart"/>
            <w:shd w:val="clear" w:color="auto" w:fill="auto"/>
            <w:hideMark/>
          </w:tcPr>
          <w:p w14:paraId="139E2CB8"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1 </w:t>
            </w:r>
          </w:p>
          <w:p w14:paraId="3626397B"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Some clear desire to develop a Master Plan</w:t>
            </w:r>
          </w:p>
        </w:tc>
      </w:tr>
      <w:tr w:rsidR="00B02352" w:rsidRPr="00EB71A9" w14:paraId="442060BA" w14:textId="77777777" w:rsidTr="005F36E3">
        <w:trPr>
          <w:trHeight w:val="495"/>
        </w:trPr>
        <w:tc>
          <w:tcPr>
            <w:tcW w:w="1535" w:type="dxa"/>
            <w:vMerge/>
            <w:hideMark/>
          </w:tcPr>
          <w:p w14:paraId="598E5A28"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45259F5A"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Some political will exists, but is not strong enough to make a difference</w:t>
            </w:r>
          </w:p>
        </w:tc>
        <w:tc>
          <w:tcPr>
            <w:tcW w:w="450" w:type="dxa"/>
            <w:shd w:val="clear" w:color="auto" w:fill="auto"/>
            <w:noWrap/>
            <w:hideMark/>
          </w:tcPr>
          <w:p w14:paraId="4F5F0BF9"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1158" w:type="dxa"/>
            <w:vMerge/>
            <w:hideMark/>
          </w:tcPr>
          <w:p w14:paraId="0C5B25D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1FC7E03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51F20E9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4E2600C2"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22F7E6C6"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1B5CFAA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59094990"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5457F22D"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4CF29285"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10EBE0EB"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5DA23ACF" w14:textId="77777777" w:rsidTr="005F36E3">
        <w:trPr>
          <w:trHeight w:val="576"/>
        </w:trPr>
        <w:tc>
          <w:tcPr>
            <w:tcW w:w="1535" w:type="dxa"/>
            <w:vMerge/>
            <w:hideMark/>
          </w:tcPr>
          <w:p w14:paraId="292B92BE"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07A94E55"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Reasonable political will exists, but is not always strong enough to fully support mainstreaming of biodiversity into sectoral plans</w:t>
            </w:r>
          </w:p>
        </w:tc>
        <w:tc>
          <w:tcPr>
            <w:tcW w:w="450" w:type="dxa"/>
            <w:shd w:val="clear" w:color="auto" w:fill="auto"/>
            <w:noWrap/>
            <w:hideMark/>
          </w:tcPr>
          <w:p w14:paraId="052EB50D"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1158" w:type="dxa"/>
            <w:vMerge/>
            <w:hideMark/>
          </w:tcPr>
          <w:p w14:paraId="6BE4609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335AEC95"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4232D4B0"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3316457F"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7874DFA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36B493D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48992D5F"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376E762C"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23B8359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6CED1096"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27EBD6B3" w14:textId="77777777" w:rsidTr="005F36E3">
        <w:trPr>
          <w:trHeight w:val="495"/>
        </w:trPr>
        <w:tc>
          <w:tcPr>
            <w:tcW w:w="1535" w:type="dxa"/>
            <w:vMerge/>
            <w:hideMark/>
          </w:tcPr>
          <w:p w14:paraId="33B6FBD4"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0DE7CBAF"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 xml:space="preserve">There are very high levels of political will to support mainstreaming of biodiversity into sectoral plans </w:t>
            </w:r>
          </w:p>
        </w:tc>
        <w:tc>
          <w:tcPr>
            <w:tcW w:w="450" w:type="dxa"/>
            <w:shd w:val="clear" w:color="auto" w:fill="auto"/>
            <w:noWrap/>
            <w:hideMark/>
          </w:tcPr>
          <w:p w14:paraId="107DBFFC"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1158" w:type="dxa"/>
            <w:vMerge/>
            <w:hideMark/>
          </w:tcPr>
          <w:p w14:paraId="433ADDF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446342FF"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2F0E15CB"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4A66C877"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64254E27"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06340E9B"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1620FB05"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0A4AB6D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6F54857B"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1891AECE"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2572CC19" w14:textId="77777777" w:rsidTr="00A35929">
        <w:trPr>
          <w:trHeight w:val="233"/>
        </w:trPr>
        <w:tc>
          <w:tcPr>
            <w:tcW w:w="14885" w:type="dxa"/>
            <w:gridSpan w:val="13"/>
            <w:shd w:val="clear" w:color="000000" w:fill="C6E0B4"/>
            <w:hideMark/>
          </w:tcPr>
          <w:p w14:paraId="1D985DE8"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Capacity to monitor, evaluate, report and learn</w:t>
            </w:r>
          </w:p>
          <w:p w14:paraId="79574EB1" w14:textId="77777777" w:rsidR="00B02352" w:rsidRPr="00EB71A9" w:rsidRDefault="00B02352" w:rsidP="00B02352">
            <w:pPr>
              <w:spacing w:after="0"/>
              <w:jc w:val="left"/>
              <w:rPr>
                <w:rFonts w:asciiTheme="majorHAnsi" w:eastAsia="Times New Roman" w:hAnsiTheme="majorHAnsi"/>
                <w:b/>
                <w:bCs/>
                <w:color w:val="000000"/>
                <w:sz w:val="18"/>
                <w:szCs w:val="18"/>
              </w:rPr>
            </w:pPr>
          </w:p>
        </w:tc>
      </w:tr>
      <w:tr w:rsidR="00B02352" w:rsidRPr="00EB71A9" w14:paraId="29B91D6B" w14:textId="77777777" w:rsidTr="005F36E3">
        <w:trPr>
          <w:trHeight w:val="440"/>
        </w:trPr>
        <w:tc>
          <w:tcPr>
            <w:tcW w:w="1535" w:type="dxa"/>
            <w:vMerge w:val="restart"/>
            <w:shd w:val="clear" w:color="auto" w:fill="auto"/>
            <w:hideMark/>
          </w:tcPr>
          <w:p w14:paraId="400C8EDC"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5.1. 1. Do institutions engaged in Landscape/ Seascape Planning have effective internal mechanisms for monitoring, evaluation, reporting, and learning on biodiversity and ecosystem services mainstreaming?</w:t>
            </w:r>
          </w:p>
        </w:tc>
        <w:tc>
          <w:tcPr>
            <w:tcW w:w="1890" w:type="dxa"/>
            <w:shd w:val="clear" w:color="auto" w:fill="auto"/>
            <w:hideMark/>
          </w:tcPr>
          <w:p w14:paraId="3CD1551B"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No internal mechanisms exist for monitoring, evaluation, reporting or learning</w:t>
            </w:r>
          </w:p>
        </w:tc>
        <w:tc>
          <w:tcPr>
            <w:tcW w:w="450" w:type="dxa"/>
            <w:shd w:val="clear" w:color="auto" w:fill="auto"/>
            <w:noWrap/>
            <w:hideMark/>
          </w:tcPr>
          <w:p w14:paraId="45BAB5B7"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0</w:t>
            </w:r>
          </w:p>
        </w:tc>
        <w:tc>
          <w:tcPr>
            <w:tcW w:w="1158" w:type="dxa"/>
            <w:vMerge w:val="restart"/>
            <w:shd w:val="clear" w:color="auto" w:fill="auto"/>
            <w:hideMark/>
          </w:tcPr>
          <w:p w14:paraId="26D9FD35"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1002" w:type="dxa"/>
            <w:vMerge w:val="restart"/>
            <w:shd w:val="clear" w:color="auto" w:fill="auto"/>
            <w:hideMark/>
          </w:tcPr>
          <w:p w14:paraId="13D397EC"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900" w:type="dxa"/>
            <w:vMerge w:val="restart"/>
            <w:shd w:val="clear" w:color="auto" w:fill="auto"/>
            <w:hideMark/>
          </w:tcPr>
          <w:p w14:paraId="3777FF05"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912" w:type="dxa"/>
            <w:vMerge w:val="restart"/>
            <w:shd w:val="clear" w:color="auto" w:fill="auto"/>
            <w:hideMark/>
          </w:tcPr>
          <w:p w14:paraId="117F24D5"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068" w:type="dxa"/>
            <w:vMerge w:val="restart"/>
            <w:shd w:val="clear" w:color="auto" w:fill="auto"/>
            <w:hideMark/>
          </w:tcPr>
          <w:p w14:paraId="55B4B3D4"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1170" w:type="dxa"/>
            <w:vMerge w:val="restart"/>
            <w:shd w:val="clear" w:color="auto" w:fill="auto"/>
            <w:hideMark/>
          </w:tcPr>
          <w:p w14:paraId="1063AB8D"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1 </w:t>
            </w:r>
          </w:p>
          <w:p w14:paraId="5AB90A66" w14:textId="379BE050" w:rsidR="00B02352" w:rsidRPr="00EB71A9" w:rsidRDefault="00B02352" w:rsidP="005F36E3">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These include PAN Progress reports, State Performance Reports, and reporting to the State Congress every quarter</w:t>
            </w:r>
          </w:p>
        </w:tc>
        <w:tc>
          <w:tcPr>
            <w:tcW w:w="1080" w:type="dxa"/>
            <w:vMerge w:val="restart"/>
            <w:shd w:val="clear" w:color="auto" w:fill="auto"/>
            <w:hideMark/>
          </w:tcPr>
          <w:p w14:paraId="07D0E484"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c>
          <w:tcPr>
            <w:tcW w:w="1373" w:type="dxa"/>
            <w:vMerge w:val="restart"/>
            <w:shd w:val="clear" w:color="auto" w:fill="auto"/>
            <w:hideMark/>
          </w:tcPr>
          <w:p w14:paraId="73DB6049"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 xml:space="preserve">0 </w:t>
            </w:r>
          </w:p>
          <w:p w14:paraId="4209C389"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Nothing state-wide, although OSCA has reporting and evalauation at the site level.</w:t>
            </w:r>
          </w:p>
        </w:tc>
        <w:tc>
          <w:tcPr>
            <w:tcW w:w="1237" w:type="dxa"/>
            <w:vMerge w:val="restart"/>
            <w:shd w:val="clear" w:color="auto" w:fill="auto"/>
            <w:hideMark/>
          </w:tcPr>
          <w:p w14:paraId="0B9F31B8"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1</w:t>
            </w:r>
          </w:p>
        </w:tc>
        <w:tc>
          <w:tcPr>
            <w:tcW w:w="1110" w:type="dxa"/>
            <w:vMerge w:val="restart"/>
            <w:shd w:val="clear" w:color="auto" w:fill="auto"/>
            <w:hideMark/>
          </w:tcPr>
          <w:p w14:paraId="7543163D" w14:textId="77777777" w:rsidR="00B02352" w:rsidRPr="00EB71A9" w:rsidRDefault="00B02352" w:rsidP="00B02352">
            <w:pPr>
              <w:spacing w:after="0"/>
              <w:jc w:val="left"/>
              <w:rPr>
                <w:rFonts w:asciiTheme="majorHAnsi" w:eastAsia="Times New Roman" w:hAnsiTheme="majorHAnsi"/>
                <w:bCs/>
                <w:color w:val="000000"/>
                <w:sz w:val="18"/>
                <w:szCs w:val="18"/>
              </w:rPr>
            </w:pPr>
            <w:r w:rsidRPr="00EB71A9">
              <w:rPr>
                <w:rFonts w:asciiTheme="majorHAnsi" w:eastAsia="Times New Roman" w:hAnsiTheme="majorHAnsi"/>
                <w:bCs/>
                <w:color w:val="000000"/>
                <w:sz w:val="18"/>
                <w:szCs w:val="18"/>
              </w:rPr>
              <w:t>0</w:t>
            </w:r>
          </w:p>
        </w:tc>
      </w:tr>
      <w:tr w:rsidR="00B02352" w:rsidRPr="00EB71A9" w14:paraId="05544757" w14:textId="77777777" w:rsidTr="005F36E3">
        <w:trPr>
          <w:trHeight w:val="495"/>
        </w:trPr>
        <w:tc>
          <w:tcPr>
            <w:tcW w:w="1535" w:type="dxa"/>
            <w:vMerge/>
            <w:hideMark/>
          </w:tcPr>
          <w:p w14:paraId="3DAA6411"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4CCDC3FB"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There are some mechanisms for monitoring, evaluation, reporting and learning but they are limited and weak</w:t>
            </w:r>
          </w:p>
        </w:tc>
        <w:tc>
          <w:tcPr>
            <w:tcW w:w="450" w:type="dxa"/>
            <w:shd w:val="clear" w:color="auto" w:fill="auto"/>
            <w:noWrap/>
            <w:hideMark/>
          </w:tcPr>
          <w:p w14:paraId="0CE44BEE"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w:t>
            </w:r>
          </w:p>
        </w:tc>
        <w:tc>
          <w:tcPr>
            <w:tcW w:w="1158" w:type="dxa"/>
            <w:vMerge/>
            <w:hideMark/>
          </w:tcPr>
          <w:p w14:paraId="2D419179"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4776A8A5"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2E30AC0B"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1C44DD4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18E9472F"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485C8282"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2007840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5B61C3DB"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50A3A04B"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30494120"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6F2BE4B7" w14:textId="77777777" w:rsidTr="005F36E3">
        <w:trPr>
          <w:trHeight w:val="735"/>
        </w:trPr>
        <w:tc>
          <w:tcPr>
            <w:tcW w:w="1535" w:type="dxa"/>
            <w:vMerge/>
            <w:hideMark/>
          </w:tcPr>
          <w:p w14:paraId="0D417880"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23B87A34"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Reasonable mechanisms for monitoring, evaluation, reporting and learning are in place but are not as strong or comprehensive as they could be</w:t>
            </w:r>
          </w:p>
        </w:tc>
        <w:tc>
          <w:tcPr>
            <w:tcW w:w="450" w:type="dxa"/>
            <w:shd w:val="clear" w:color="auto" w:fill="auto"/>
            <w:noWrap/>
            <w:hideMark/>
          </w:tcPr>
          <w:p w14:paraId="7734DD1A"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w:t>
            </w:r>
          </w:p>
        </w:tc>
        <w:tc>
          <w:tcPr>
            <w:tcW w:w="1158" w:type="dxa"/>
            <w:vMerge/>
            <w:hideMark/>
          </w:tcPr>
          <w:p w14:paraId="421321D6"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7305DE17"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4325FFE8"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23D74252"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141811D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7A722F76"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0993BC74"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03B167EA"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47EC3135"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4B2896BE"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03E6EF2D" w14:textId="77777777" w:rsidTr="005F36E3">
        <w:trPr>
          <w:trHeight w:val="224"/>
        </w:trPr>
        <w:tc>
          <w:tcPr>
            <w:tcW w:w="1535" w:type="dxa"/>
            <w:vMerge/>
            <w:hideMark/>
          </w:tcPr>
          <w:p w14:paraId="01F23DB1" w14:textId="77777777" w:rsidR="00B02352" w:rsidRPr="00EB71A9" w:rsidRDefault="00B02352" w:rsidP="00B02352">
            <w:pPr>
              <w:spacing w:after="0"/>
              <w:jc w:val="left"/>
              <w:rPr>
                <w:rFonts w:asciiTheme="majorHAnsi" w:eastAsia="Times New Roman" w:hAnsiTheme="majorHAnsi"/>
                <w:b/>
                <w:bCs/>
                <w:color w:val="000000"/>
                <w:sz w:val="18"/>
                <w:szCs w:val="18"/>
              </w:rPr>
            </w:pPr>
          </w:p>
        </w:tc>
        <w:tc>
          <w:tcPr>
            <w:tcW w:w="1890" w:type="dxa"/>
            <w:shd w:val="clear" w:color="auto" w:fill="auto"/>
            <w:hideMark/>
          </w:tcPr>
          <w:p w14:paraId="4535507E"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Institutions have effective internal mechanisms for monitoring, evaluation, reporting and learning</w:t>
            </w:r>
          </w:p>
        </w:tc>
        <w:tc>
          <w:tcPr>
            <w:tcW w:w="450" w:type="dxa"/>
            <w:shd w:val="clear" w:color="auto" w:fill="auto"/>
            <w:noWrap/>
            <w:hideMark/>
          </w:tcPr>
          <w:p w14:paraId="295DDD86"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w:t>
            </w:r>
          </w:p>
        </w:tc>
        <w:tc>
          <w:tcPr>
            <w:tcW w:w="1158" w:type="dxa"/>
            <w:vMerge/>
            <w:hideMark/>
          </w:tcPr>
          <w:p w14:paraId="11082FCE"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02" w:type="dxa"/>
            <w:vMerge/>
            <w:hideMark/>
          </w:tcPr>
          <w:p w14:paraId="021EA850"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00" w:type="dxa"/>
            <w:vMerge/>
            <w:hideMark/>
          </w:tcPr>
          <w:p w14:paraId="6D2BBA8F"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912" w:type="dxa"/>
            <w:vMerge/>
            <w:hideMark/>
          </w:tcPr>
          <w:p w14:paraId="41A0F451"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68" w:type="dxa"/>
            <w:vMerge/>
            <w:hideMark/>
          </w:tcPr>
          <w:p w14:paraId="56C99546"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70" w:type="dxa"/>
            <w:vMerge/>
            <w:hideMark/>
          </w:tcPr>
          <w:p w14:paraId="0E709412"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080" w:type="dxa"/>
            <w:vMerge/>
            <w:hideMark/>
          </w:tcPr>
          <w:p w14:paraId="0FED30C3"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373" w:type="dxa"/>
            <w:vMerge/>
            <w:hideMark/>
          </w:tcPr>
          <w:p w14:paraId="1974617D"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237" w:type="dxa"/>
            <w:vMerge/>
            <w:hideMark/>
          </w:tcPr>
          <w:p w14:paraId="20CCB82D" w14:textId="77777777" w:rsidR="00B02352" w:rsidRPr="00EB71A9" w:rsidRDefault="00B02352" w:rsidP="00B02352">
            <w:pPr>
              <w:spacing w:after="0"/>
              <w:jc w:val="left"/>
              <w:rPr>
                <w:rFonts w:asciiTheme="majorHAnsi" w:eastAsia="Times New Roman" w:hAnsiTheme="majorHAnsi"/>
                <w:bCs/>
                <w:color w:val="000000"/>
                <w:sz w:val="18"/>
                <w:szCs w:val="18"/>
              </w:rPr>
            </w:pPr>
          </w:p>
        </w:tc>
        <w:tc>
          <w:tcPr>
            <w:tcW w:w="1110" w:type="dxa"/>
            <w:vMerge/>
            <w:hideMark/>
          </w:tcPr>
          <w:p w14:paraId="68C25FED" w14:textId="77777777" w:rsidR="00B02352" w:rsidRPr="00EB71A9" w:rsidRDefault="00B02352" w:rsidP="00B02352">
            <w:pPr>
              <w:spacing w:after="0"/>
              <w:jc w:val="left"/>
              <w:rPr>
                <w:rFonts w:asciiTheme="majorHAnsi" w:eastAsia="Times New Roman" w:hAnsiTheme="majorHAnsi"/>
                <w:bCs/>
                <w:color w:val="000000"/>
                <w:sz w:val="18"/>
                <w:szCs w:val="18"/>
              </w:rPr>
            </w:pPr>
          </w:p>
        </w:tc>
      </w:tr>
      <w:tr w:rsidR="00B02352" w:rsidRPr="00EB71A9" w14:paraId="4FC257AF" w14:textId="77777777" w:rsidTr="005F36E3">
        <w:trPr>
          <w:trHeight w:val="255"/>
        </w:trPr>
        <w:tc>
          <w:tcPr>
            <w:tcW w:w="1535" w:type="dxa"/>
            <w:shd w:val="clear" w:color="auto" w:fill="auto"/>
            <w:noWrap/>
            <w:hideMark/>
          </w:tcPr>
          <w:p w14:paraId="4D725049" w14:textId="77777777" w:rsidR="00B02352" w:rsidRPr="00EB71A9" w:rsidRDefault="00B02352" w:rsidP="00B02352">
            <w:pPr>
              <w:spacing w:after="0"/>
              <w:jc w:val="left"/>
              <w:rPr>
                <w:rFonts w:asciiTheme="majorHAnsi" w:eastAsia="Times New Roman" w:hAnsiTheme="majorHAnsi"/>
                <w:b/>
                <w:color w:val="000000"/>
                <w:sz w:val="18"/>
                <w:szCs w:val="18"/>
              </w:rPr>
            </w:pPr>
          </w:p>
        </w:tc>
        <w:tc>
          <w:tcPr>
            <w:tcW w:w="1890" w:type="dxa"/>
            <w:shd w:val="clear" w:color="auto" w:fill="auto"/>
            <w:noWrap/>
            <w:hideMark/>
          </w:tcPr>
          <w:p w14:paraId="357EF08A" w14:textId="77777777" w:rsidR="00B02352" w:rsidRPr="00EB71A9" w:rsidRDefault="00B02352" w:rsidP="00B02352">
            <w:pPr>
              <w:spacing w:after="0"/>
              <w:jc w:val="left"/>
              <w:rPr>
                <w:rFonts w:asciiTheme="majorHAnsi" w:eastAsia="Times New Roman" w:hAnsiTheme="majorHAnsi"/>
                <w:b/>
                <w:color w:val="000000"/>
                <w:sz w:val="18"/>
                <w:szCs w:val="18"/>
              </w:rPr>
            </w:pPr>
            <w:r w:rsidRPr="00EB71A9">
              <w:rPr>
                <w:rFonts w:asciiTheme="majorHAnsi" w:eastAsia="Times New Roman" w:hAnsiTheme="majorHAnsi"/>
                <w:b/>
                <w:color w:val="000000"/>
                <w:sz w:val="18"/>
                <w:szCs w:val="18"/>
              </w:rPr>
              <w:t>TOTAL</w:t>
            </w:r>
          </w:p>
        </w:tc>
        <w:tc>
          <w:tcPr>
            <w:tcW w:w="450" w:type="dxa"/>
            <w:shd w:val="clear" w:color="auto" w:fill="auto"/>
            <w:noWrap/>
            <w:hideMark/>
          </w:tcPr>
          <w:p w14:paraId="61DEA6D0" w14:textId="77777777" w:rsidR="00B02352" w:rsidRPr="00EB71A9" w:rsidRDefault="00B02352" w:rsidP="00B02352">
            <w:pPr>
              <w:spacing w:after="0"/>
              <w:jc w:val="left"/>
              <w:rPr>
                <w:rFonts w:asciiTheme="majorHAnsi" w:eastAsia="Times New Roman" w:hAnsiTheme="majorHAnsi"/>
                <w:b/>
                <w:color w:val="000000"/>
                <w:sz w:val="18"/>
                <w:szCs w:val="18"/>
              </w:rPr>
            </w:pPr>
            <w:r w:rsidRPr="00EB71A9">
              <w:rPr>
                <w:rFonts w:asciiTheme="majorHAnsi" w:eastAsia="Times New Roman" w:hAnsiTheme="majorHAnsi"/>
                <w:b/>
                <w:color w:val="000000"/>
                <w:sz w:val="18"/>
                <w:szCs w:val="18"/>
              </w:rPr>
              <w:t>60</w:t>
            </w:r>
          </w:p>
        </w:tc>
        <w:tc>
          <w:tcPr>
            <w:tcW w:w="1158" w:type="dxa"/>
            <w:shd w:val="clear" w:color="auto" w:fill="auto"/>
            <w:noWrap/>
            <w:hideMark/>
          </w:tcPr>
          <w:p w14:paraId="35B25ABF" w14:textId="77777777" w:rsidR="00B02352" w:rsidRPr="00EB71A9" w:rsidRDefault="00B02352" w:rsidP="00B02352">
            <w:pPr>
              <w:spacing w:after="0"/>
              <w:jc w:val="left"/>
              <w:rPr>
                <w:rFonts w:asciiTheme="majorHAnsi" w:eastAsia="Times New Roman" w:hAnsiTheme="majorHAnsi"/>
                <w:b/>
                <w:color w:val="000000"/>
                <w:sz w:val="18"/>
                <w:szCs w:val="18"/>
              </w:rPr>
            </w:pPr>
            <w:r w:rsidRPr="00EB71A9">
              <w:rPr>
                <w:rFonts w:asciiTheme="majorHAnsi" w:eastAsia="Times New Roman" w:hAnsiTheme="majorHAnsi"/>
                <w:b/>
                <w:color w:val="000000"/>
                <w:sz w:val="18"/>
                <w:szCs w:val="18"/>
              </w:rPr>
              <w:t>9</w:t>
            </w:r>
          </w:p>
        </w:tc>
        <w:tc>
          <w:tcPr>
            <w:tcW w:w="1002" w:type="dxa"/>
            <w:shd w:val="clear" w:color="auto" w:fill="auto"/>
            <w:noWrap/>
            <w:hideMark/>
          </w:tcPr>
          <w:p w14:paraId="16501B6B" w14:textId="77777777" w:rsidR="00B02352" w:rsidRPr="00EB71A9" w:rsidRDefault="00B02352" w:rsidP="00B02352">
            <w:pPr>
              <w:spacing w:after="0"/>
              <w:jc w:val="left"/>
              <w:rPr>
                <w:rFonts w:asciiTheme="majorHAnsi" w:eastAsia="Times New Roman" w:hAnsiTheme="majorHAnsi"/>
                <w:b/>
                <w:color w:val="000000"/>
                <w:sz w:val="18"/>
                <w:szCs w:val="18"/>
              </w:rPr>
            </w:pPr>
            <w:r w:rsidRPr="00EB71A9">
              <w:rPr>
                <w:rFonts w:asciiTheme="majorHAnsi" w:eastAsia="Times New Roman" w:hAnsiTheme="majorHAnsi"/>
                <w:b/>
                <w:color w:val="000000"/>
                <w:sz w:val="18"/>
                <w:szCs w:val="18"/>
              </w:rPr>
              <w:t>15</w:t>
            </w:r>
          </w:p>
        </w:tc>
        <w:tc>
          <w:tcPr>
            <w:tcW w:w="900" w:type="dxa"/>
            <w:shd w:val="clear" w:color="auto" w:fill="auto"/>
            <w:noWrap/>
            <w:hideMark/>
          </w:tcPr>
          <w:p w14:paraId="1A389D08" w14:textId="77777777" w:rsidR="00B02352" w:rsidRPr="00EB71A9" w:rsidRDefault="00B02352" w:rsidP="00B02352">
            <w:pPr>
              <w:spacing w:after="0"/>
              <w:jc w:val="left"/>
              <w:rPr>
                <w:rFonts w:asciiTheme="majorHAnsi" w:eastAsia="Times New Roman" w:hAnsiTheme="majorHAnsi"/>
                <w:b/>
                <w:color w:val="000000"/>
                <w:sz w:val="18"/>
                <w:szCs w:val="18"/>
              </w:rPr>
            </w:pPr>
            <w:r w:rsidRPr="00EB71A9">
              <w:rPr>
                <w:rFonts w:asciiTheme="majorHAnsi" w:eastAsia="Times New Roman" w:hAnsiTheme="majorHAnsi"/>
                <w:b/>
                <w:color w:val="000000"/>
                <w:sz w:val="18"/>
                <w:szCs w:val="18"/>
              </w:rPr>
              <w:t>21</w:t>
            </w:r>
          </w:p>
        </w:tc>
        <w:tc>
          <w:tcPr>
            <w:tcW w:w="912" w:type="dxa"/>
            <w:shd w:val="clear" w:color="auto" w:fill="auto"/>
            <w:noWrap/>
            <w:hideMark/>
          </w:tcPr>
          <w:p w14:paraId="08ED087D" w14:textId="77777777" w:rsidR="00B02352" w:rsidRPr="00EB71A9" w:rsidRDefault="00B02352" w:rsidP="00B02352">
            <w:pPr>
              <w:spacing w:after="0"/>
              <w:jc w:val="left"/>
              <w:rPr>
                <w:rFonts w:asciiTheme="majorHAnsi" w:eastAsia="Times New Roman" w:hAnsiTheme="majorHAnsi"/>
                <w:b/>
                <w:color w:val="000000"/>
                <w:sz w:val="18"/>
                <w:szCs w:val="18"/>
              </w:rPr>
            </w:pPr>
            <w:r w:rsidRPr="00EB71A9">
              <w:rPr>
                <w:rFonts w:asciiTheme="majorHAnsi" w:eastAsia="Times New Roman" w:hAnsiTheme="majorHAnsi"/>
                <w:b/>
                <w:color w:val="000000"/>
                <w:sz w:val="18"/>
                <w:szCs w:val="18"/>
              </w:rPr>
              <w:t>4</w:t>
            </w:r>
          </w:p>
        </w:tc>
        <w:tc>
          <w:tcPr>
            <w:tcW w:w="1068" w:type="dxa"/>
            <w:shd w:val="clear" w:color="auto" w:fill="auto"/>
            <w:noWrap/>
            <w:hideMark/>
          </w:tcPr>
          <w:p w14:paraId="086B48F4" w14:textId="77777777" w:rsidR="00B02352" w:rsidRPr="00EB71A9" w:rsidRDefault="00B02352" w:rsidP="00B02352">
            <w:pPr>
              <w:spacing w:after="0"/>
              <w:jc w:val="left"/>
              <w:rPr>
                <w:rFonts w:asciiTheme="majorHAnsi" w:eastAsia="Times New Roman" w:hAnsiTheme="majorHAnsi"/>
                <w:b/>
                <w:color w:val="000000"/>
                <w:sz w:val="18"/>
                <w:szCs w:val="18"/>
              </w:rPr>
            </w:pPr>
            <w:r w:rsidRPr="00EB71A9">
              <w:rPr>
                <w:rFonts w:asciiTheme="majorHAnsi" w:eastAsia="Times New Roman" w:hAnsiTheme="majorHAnsi"/>
                <w:b/>
                <w:color w:val="000000"/>
                <w:sz w:val="18"/>
                <w:szCs w:val="18"/>
              </w:rPr>
              <w:t>13</w:t>
            </w:r>
          </w:p>
        </w:tc>
        <w:tc>
          <w:tcPr>
            <w:tcW w:w="1170" w:type="dxa"/>
            <w:shd w:val="clear" w:color="auto" w:fill="auto"/>
            <w:noWrap/>
            <w:hideMark/>
          </w:tcPr>
          <w:p w14:paraId="16DA6C32" w14:textId="77777777" w:rsidR="00B02352" w:rsidRPr="00EB71A9" w:rsidRDefault="00B02352" w:rsidP="00B02352">
            <w:pPr>
              <w:spacing w:after="0"/>
              <w:jc w:val="left"/>
              <w:rPr>
                <w:rFonts w:asciiTheme="majorHAnsi" w:eastAsia="Times New Roman" w:hAnsiTheme="majorHAnsi"/>
                <w:b/>
                <w:color w:val="000000"/>
                <w:sz w:val="18"/>
                <w:szCs w:val="18"/>
              </w:rPr>
            </w:pPr>
            <w:r w:rsidRPr="00EB71A9">
              <w:rPr>
                <w:rFonts w:asciiTheme="majorHAnsi" w:eastAsia="Times New Roman" w:hAnsiTheme="majorHAnsi"/>
                <w:b/>
                <w:color w:val="000000"/>
                <w:sz w:val="18"/>
                <w:szCs w:val="18"/>
              </w:rPr>
              <w:t>17</w:t>
            </w:r>
          </w:p>
        </w:tc>
        <w:tc>
          <w:tcPr>
            <w:tcW w:w="1080" w:type="dxa"/>
            <w:shd w:val="clear" w:color="auto" w:fill="auto"/>
            <w:noWrap/>
            <w:hideMark/>
          </w:tcPr>
          <w:p w14:paraId="54756C71" w14:textId="77777777" w:rsidR="00B02352" w:rsidRPr="00EB71A9" w:rsidRDefault="00B02352" w:rsidP="00B02352">
            <w:pPr>
              <w:spacing w:after="0"/>
              <w:jc w:val="left"/>
              <w:rPr>
                <w:rFonts w:asciiTheme="majorHAnsi" w:eastAsia="Times New Roman" w:hAnsiTheme="majorHAnsi"/>
                <w:b/>
                <w:color w:val="000000"/>
                <w:sz w:val="18"/>
                <w:szCs w:val="18"/>
              </w:rPr>
            </w:pPr>
            <w:r w:rsidRPr="00EB71A9">
              <w:rPr>
                <w:rFonts w:asciiTheme="majorHAnsi" w:eastAsia="Times New Roman" w:hAnsiTheme="majorHAnsi"/>
                <w:b/>
                <w:color w:val="000000"/>
                <w:sz w:val="18"/>
                <w:szCs w:val="18"/>
              </w:rPr>
              <w:t>17</w:t>
            </w:r>
          </w:p>
        </w:tc>
        <w:tc>
          <w:tcPr>
            <w:tcW w:w="1373" w:type="dxa"/>
            <w:shd w:val="clear" w:color="auto" w:fill="auto"/>
            <w:noWrap/>
            <w:hideMark/>
          </w:tcPr>
          <w:p w14:paraId="37CE0052" w14:textId="77777777" w:rsidR="00B02352" w:rsidRPr="00EB71A9" w:rsidRDefault="00B02352" w:rsidP="00B02352">
            <w:pPr>
              <w:spacing w:after="0"/>
              <w:jc w:val="left"/>
              <w:rPr>
                <w:rFonts w:asciiTheme="majorHAnsi" w:eastAsia="Times New Roman" w:hAnsiTheme="majorHAnsi"/>
                <w:b/>
                <w:color w:val="000000"/>
                <w:sz w:val="18"/>
                <w:szCs w:val="18"/>
              </w:rPr>
            </w:pPr>
            <w:r w:rsidRPr="00EB71A9">
              <w:rPr>
                <w:rFonts w:asciiTheme="majorHAnsi" w:eastAsia="Times New Roman" w:hAnsiTheme="majorHAnsi"/>
                <w:b/>
                <w:color w:val="000000"/>
                <w:sz w:val="18"/>
                <w:szCs w:val="18"/>
              </w:rPr>
              <w:t>39</w:t>
            </w:r>
          </w:p>
        </w:tc>
        <w:tc>
          <w:tcPr>
            <w:tcW w:w="1237" w:type="dxa"/>
            <w:shd w:val="clear" w:color="auto" w:fill="auto"/>
            <w:noWrap/>
            <w:hideMark/>
          </w:tcPr>
          <w:p w14:paraId="74EF1863" w14:textId="77777777" w:rsidR="00B02352" w:rsidRPr="00EB71A9" w:rsidRDefault="00B02352" w:rsidP="00B02352">
            <w:pPr>
              <w:spacing w:after="0"/>
              <w:jc w:val="left"/>
              <w:rPr>
                <w:rFonts w:asciiTheme="majorHAnsi" w:eastAsia="Times New Roman" w:hAnsiTheme="majorHAnsi"/>
                <w:b/>
                <w:color w:val="000000"/>
                <w:sz w:val="18"/>
                <w:szCs w:val="18"/>
              </w:rPr>
            </w:pPr>
            <w:r w:rsidRPr="00EB71A9">
              <w:rPr>
                <w:rFonts w:asciiTheme="majorHAnsi" w:eastAsia="Times New Roman" w:hAnsiTheme="majorHAnsi"/>
                <w:b/>
                <w:color w:val="000000"/>
                <w:sz w:val="18"/>
                <w:szCs w:val="18"/>
              </w:rPr>
              <w:t>25</w:t>
            </w:r>
          </w:p>
        </w:tc>
        <w:tc>
          <w:tcPr>
            <w:tcW w:w="1110" w:type="dxa"/>
            <w:shd w:val="clear" w:color="auto" w:fill="auto"/>
            <w:noWrap/>
            <w:hideMark/>
          </w:tcPr>
          <w:p w14:paraId="13877C90" w14:textId="77777777" w:rsidR="00B02352" w:rsidRPr="00EB71A9" w:rsidRDefault="00B02352" w:rsidP="00B02352">
            <w:pPr>
              <w:spacing w:after="0"/>
              <w:jc w:val="left"/>
              <w:rPr>
                <w:rFonts w:asciiTheme="majorHAnsi" w:eastAsia="Times New Roman" w:hAnsiTheme="majorHAnsi"/>
                <w:b/>
                <w:color w:val="000000"/>
                <w:sz w:val="18"/>
                <w:szCs w:val="18"/>
              </w:rPr>
            </w:pPr>
            <w:r w:rsidRPr="00EB71A9">
              <w:rPr>
                <w:rFonts w:asciiTheme="majorHAnsi" w:eastAsia="Times New Roman" w:hAnsiTheme="majorHAnsi"/>
                <w:b/>
                <w:color w:val="000000"/>
                <w:sz w:val="18"/>
                <w:szCs w:val="18"/>
              </w:rPr>
              <w:t>9</w:t>
            </w:r>
          </w:p>
        </w:tc>
      </w:tr>
    </w:tbl>
    <w:p w14:paraId="6DAAB754" w14:textId="77777777" w:rsidR="00B02352" w:rsidRPr="00EB71A9" w:rsidRDefault="00B02352" w:rsidP="00B02352">
      <w:pPr>
        <w:jc w:val="left"/>
        <w:rPr>
          <w:rFonts w:asciiTheme="majorHAnsi" w:hAnsiTheme="majorHAnsi"/>
          <w:sz w:val="18"/>
          <w:szCs w:val="18"/>
        </w:rPr>
      </w:pPr>
    </w:p>
    <w:p w14:paraId="4947FACA" w14:textId="77777777" w:rsidR="00B02352" w:rsidRPr="00EB71A9" w:rsidRDefault="00B02352" w:rsidP="00B02352">
      <w:pPr>
        <w:spacing w:after="160" w:line="259" w:lineRule="auto"/>
        <w:jc w:val="left"/>
        <w:rPr>
          <w:rFonts w:asciiTheme="majorHAnsi" w:hAnsiTheme="majorHAnsi"/>
          <w:b/>
          <w:sz w:val="18"/>
          <w:szCs w:val="18"/>
        </w:rPr>
      </w:pPr>
      <w:r w:rsidRPr="00EB71A9">
        <w:rPr>
          <w:rFonts w:asciiTheme="majorHAnsi" w:hAnsiTheme="majorHAnsi"/>
          <w:b/>
          <w:sz w:val="18"/>
          <w:szCs w:val="18"/>
        </w:rPr>
        <w:t>** Ngiwal State and Ngatpang State could not be surveyed in time for the Project Document. Based on available information, their scores were deemed to be similar to that of Aimeliik and Peleliu (9 for each).</w:t>
      </w:r>
    </w:p>
    <w:tbl>
      <w:tblPr>
        <w:tblW w:w="3460" w:type="dxa"/>
        <w:tblInd w:w="-5" w:type="dxa"/>
        <w:tblLook w:val="04A0" w:firstRow="1" w:lastRow="0" w:firstColumn="1" w:lastColumn="0" w:noHBand="0" w:noVBand="1"/>
      </w:tblPr>
      <w:tblGrid>
        <w:gridCol w:w="2160"/>
        <w:gridCol w:w="1300"/>
      </w:tblGrid>
      <w:tr w:rsidR="00B02352" w:rsidRPr="00EB71A9" w14:paraId="4A23E00A" w14:textId="77777777" w:rsidTr="00A35929">
        <w:trPr>
          <w:trHeight w:val="20"/>
        </w:trPr>
        <w:tc>
          <w:tcPr>
            <w:tcW w:w="2160"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696CF929"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Aimeliik State</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49F9BAC"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9</w:t>
            </w:r>
          </w:p>
        </w:tc>
      </w:tr>
      <w:tr w:rsidR="00B02352" w:rsidRPr="00EB71A9" w14:paraId="6072D6DB" w14:textId="77777777" w:rsidTr="00A35929">
        <w:trPr>
          <w:trHeight w:val="20"/>
        </w:trPr>
        <w:tc>
          <w:tcPr>
            <w:tcW w:w="2160" w:type="dxa"/>
            <w:tcBorders>
              <w:top w:val="nil"/>
              <w:left w:val="single" w:sz="4" w:space="0" w:color="auto"/>
              <w:bottom w:val="single" w:sz="4" w:space="0" w:color="auto"/>
              <w:right w:val="single" w:sz="4" w:space="0" w:color="auto"/>
            </w:tcBorders>
            <w:shd w:val="clear" w:color="000000" w:fill="C6E0B4"/>
            <w:vAlign w:val="center"/>
            <w:hideMark/>
          </w:tcPr>
          <w:p w14:paraId="5D56AF35"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Melekeok State</w:t>
            </w:r>
          </w:p>
        </w:tc>
        <w:tc>
          <w:tcPr>
            <w:tcW w:w="1300" w:type="dxa"/>
            <w:tcBorders>
              <w:top w:val="nil"/>
              <w:left w:val="nil"/>
              <w:bottom w:val="single" w:sz="4" w:space="0" w:color="auto"/>
              <w:right w:val="single" w:sz="4" w:space="0" w:color="auto"/>
            </w:tcBorders>
            <w:shd w:val="clear" w:color="auto" w:fill="auto"/>
            <w:noWrap/>
            <w:vAlign w:val="bottom"/>
            <w:hideMark/>
          </w:tcPr>
          <w:p w14:paraId="618C5A58"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15</w:t>
            </w:r>
          </w:p>
        </w:tc>
      </w:tr>
      <w:tr w:rsidR="00B02352" w:rsidRPr="00EB71A9" w14:paraId="015EB7D9" w14:textId="77777777" w:rsidTr="00A35929">
        <w:trPr>
          <w:trHeight w:val="20"/>
        </w:trPr>
        <w:tc>
          <w:tcPr>
            <w:tcW w:w="2160" w:type="dxa"/>
            <w:tcBorders>
              <w:top w:val="nil"/>
              <w:left w:val="single" w:sz="4" w:space="0" w:color="auto"/>
              <w:bottom w:val="single" w:sz="4" w:space="0" w:color="auto"/>
              <w:right w:val="single" w:sz="4" w:space="0" w:color="auto"/>
            </w:tcBorders>
            <w:shd w:val="clear" w:color="000000" w:fill="C6E0B4"/>
            <w:vAlign w:val="center"/>
            <w:hideMark/>
          </w:tcPr>
          <w:p w14:paraId="30A97730"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Airai State</w:t>
            </w:r>
          </w:p>
        </w:tc>
        <w:tc>
          <w:tcPr>
            <w:tcW w:w="1300" w:type="dxa"/>
            <w:tcBorders>
              <w:top w:val="nil"/>
              <w:left w:val="nil"/>
              <w:bottom w:val="single" w:sz="4" w:space="0" w:color="auto"/>
              <w:right w:val="single" w:sz="4" w:space="0" w:color="auto"/>
            </w:tcBorders>
            <w:shd w:val="clear" w:color="auto" w:fill="auto"/>
            <w:noWrap/>
            <w:vAlign w:val="bottom"/>
            <w:hideMark/>
          </w:tcPr>
          <w:p w14:paraId="704E27EE"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21</w:t>
            </w:r>
          </w:p>
        </w:tc>
      </w:tr>
      <w:tr w:rsidR="00B02352" w:rsidRPr="00EB71A9" w14:paraId="54B3FC9C" w14:textId="77777777" w:rsidTr="00A35929">
        <w:trPr>
          <w:trHeight w:val="20"/>
        </w:trPr>
        <w:tc>
          <w:tcPr>
            <w:tcW w:w="2160" w:type="dxa"/>
            <w:tcBorders>
              <w:top w:val="nil"/>
              <w:left w:val="single" w:sz="4" w:space="0" w:color="auto"/>
              <w:bottom w:val="single" w:sz="4" w:space="0" w:color="auto"/>
              <w:right w:val="single" w:sz="4" w:space="0" w:color="auto"/>
            </w:tcBorders>
            <w:shd w:val="clear" w:color="000000" w:fill="C6E0B4"/>
            <w:vAlign w:val="center"/>
            <w:hideMark/>
          </w:tcPr>
          <w:p w14:paraId="29BF9FFA"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Ngchesar State</w:t>
            </w:r>
          </w:p>
        </w:tc>
        <w:tc>
          <w:tcPr>
            <w:tcW w:w="1300" w:type="dxa"/>
            <w:tcBorders>
              <w:top w:val="nil"/>
              <w:left w:val="nil"/>
              <w:bottom w:val="single" w:sz="4" w:space="0" w:color="auto"/>
              <w:right w:val="single" w:sz="4" w:space="0" w:color="auto"/>
            </w:tcBorders>
            <w:shd w:val="clear" w:color="auto" w:fill="auto"/>
            <w:noWrap/>
            <w:vAlign w:val="bottom"/>
            <w:hideMark/>
          </w:tcPr>
          <w:p w14:paraId="376910BD"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4</w:t>
            </w:r>
          </w:p>
        </w:tc>
      </w:tr>
      <w:tr w:rsidR="00B02352" w:rsidRPr="00EB71A9" w14:paraId="348AD75A" w14:textId="77777777" w:rsidTr="00A35929">
        <w:trPr>
          <w:trHeight w:val="20"/>
        </w:trPr>
        <w:tc>
          <w:tcPr>
            <w:tcW w:w="2160" w:type="dxa"/>
            <w:tcBorders>
              <w:top w:val="nil"/>
              <w:left w:val="single" w:sz="4" w:space="0" w:color="auto"/>
              <w:bottom w:val="single" w:sz="4" w:space="0" w:color="auto"/>
              <w:right w:val="single" w:sz="4" w:space="0" w:color="auto"/>
            </w:tcBorders>
            <w:shd w:val="clear" w:color="000000" w:fill="C6E0B4"/>
            <w:vAlign w:val="center"/>
            <w:hideMark/>
          </w:tcPr>
          <w:p w14:paraId="17EEDC05"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Ngaraard State</w:t>
            </w:r>
          </w:p>
        </w:tc>
        <w:tc>
          <w:tcPr>
            <w:tcW w:w="1300" w:type="dxa"/>
            <w:tcBorders>
              <w:top w:val="nil"/>
              <w:left w:val="nil"/>
              <w:bottom w:val="single" w:sz="4" w:space="0" w:color="auto"/>
              <w:right w:val="single" w:sz="4" w:space="0" w:color="auto"/>
            </w:tcBorders>
            <w:shd w:val="clear" w:color="auto" w:fill="auto"/>
            <w:noWrap/>
            <w:vAlign w:val="bottom"/>
            <w:hideMark/>
          </w:tcPr>
          <w:p w14:paraId="417B5C25"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13</w:t>
            </w:r>
          </w:p>
        </w:tc>
      </w:tr>
      <w:tr w:rsidR="00B02352" w:rsidRPr="00EB71A9" w14:paraId="39E0F26E" w14:textId="77777777" w:rsidTr="00A35929">
        <w:trPr>
          <w:trHeight w:val="20"/>
        </w:trPr>
        <w:tc>
          <w:tcPr>
            <w:tcW w:w="2160" w:type="dxa"/>
            <w:tcBorders>
              <w:top w:val="nil"/>
              <w:left w:val="single" w:sz="4" w:space="0" w:color="auto"/>
              <w:bottom w:val="single" w:sz="4" w:space="0" w:color="auto"/>
              <w:right w:val="single" w:sz="4" w:space="0" w:color="auto"/>
            </w:tcBorders>
            <w:shd w:val="clear" w:color="000000" w:fill="C6E0B4"/>
            <w:vAlign w:val="center"/>
            <w:hideMark/>
          </w:tcPr>
          <w:p w14:paraId="4D745E5A"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Ngeremlengui State</w:t>
            </w:r>
          </w:p>
        </w:tc>
        <w:tc>
          <w:tcPr>
            <w:tcW w:w="1300" w:type="dxa"/>
            <w:tcBorders>
              <w:top w:val="nil"/>
              <w:left w:val="nil"/>
              <w:bottom w:val="single" w:sz="4" w:space="0" w:color="auto"/>
              <w:right w:val="single" w:sz="4" w:space="0" w:color="auto"/>
            </w:tcBorders>
            <w:shd w:val="clear" w:color="auto" w:fill="auto"/>
            <w:noWrap/>
            <w:vAlign w:val="bottom"/>
            <w:hideMark/>
          </w:tcPr>
          <w:p w14:paraId="0454878E"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17</w:t>
            </w:r>
          </w:p>
        </w:tc>
      </w:tr>
      <w:tr w:rsidR="00B02352" w:rsidRPr="00EB71A9" w14:paraId="2364C4CA" w14:textId="77777777" w:rsidTr="00A35929">
        <w:trPr>
          <w:trHeight w:val="20"/>
        </w:trPr>
        <w:tc>
          <w:tcPr>
            <w:tcW w:w="2160" w:type="dxa"/>
            <w:tcBorders>
              <w:top w:val="nil"/>
              <w:left w:val="single" w:sz="4" w:space="0" w:color="auto"/>
              <w:bottom w:val="single" w:sz="4" w:space="0" w:color="auto"/>
              <w:right w:val="single" w:sz="4" w:space="0" w:color="auto"/>
            </w:tcBorders>
            <w:shd w:val="clear" w:color="000000" w:fill="C6E0B4"/>
            <w:vAlign w:val="center"/>
            <w:hideMark/>
          </w:tcPr>
          <w:p w14:paraId="05C1475F"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Ngarchelong State</w:t>
            </w:r>
          </w:p>
        </w:tc>
        <w:tc>
          <w:tcPr>
            <w:tcW w:w="1300" w:type="dxa"/>
            <w:tcBorders>
              <w:top w:val="nil"/>
              <w:left w:val="nil"/>
              <w:bottom w:val="single" w:sz="4" w:space="0" w:color="auto"/>
              <w:right w:val="single" w:sz="4" w:space="0" w:color="auto"/>
            </w:tcBorders>
            <w:shd w:val="clear" w:color="auto" w:fill="auto"/>
            <w:noWrap/>
            <w:vAlign w:val="bottom"/>
            <w:hideMark/>
          </w:tcPr>
          <w:p w14:paraId="62DBC015"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17</w:t>
            </w:r>
          </w:p>
        </w:tc>
      </w:tr>
      <w:tr w:rsidR="00B02352" w:rsidRPr="00EB71A9" w14:paraId="16CCF758" w14:textId="77777777" w:rsidTr="00A35929">
        <w:trPr>
          <w:trHeight w:val="20"/>
        </w:trPr>
        <w:tc>
          <w:tcPr>
            <w:tcW w:w="2160" w:type="dxa"/>
            <w:tcBorders>
              <w:top w:val="nil"/>
              <w:left w:val="single" w:sz="4" w:space="0" w:color="auto"/>
              <w:bottom w:val="single" w:sz="4" w:space="0" w:color="auto"/>
              <w:right w:val="single" w:sz="4" w:space="0" w:color="auto"/>
            </w:tcBorders>
            <w:shd w:val="clear" w:color="000000" w:fill="C6E0B4"/>
            <w:vAlign w:val="center"/>
            <w:hideMark/>
          </w:tcPr>
          <w:p w14:paraId="6BDE4715"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Ngardmau State</w:t>
            </w:r>
          </w:p>
        </w:tc>
        <w:tc>
          <w:tcPr>
            <w:tcW w:w="1300" w:type="dxa"/>
            <w:tcBorders>
              <w:top w:val="nil"/>
              <w:left w:val="nil"/>
              <w:bottom w:val="single" w:sz="4" w:space="0" w:color="auto"/>
              <w:right w:val="single" w:sz="4" w:space="0" w:color="auto"/>
            </w:tcBorders>
            <w:shd w:val="clear" w:color="auto" w:fill="auto"/>
            <w:noWrap/>
            <w:vAlign w:val="bottom"/>
            <w:hideMark/>
          </w:tcPr>
          <w:p w14:paraId="4959D854"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39</w:t>
            </w:r>
          </w:p>
        </w:tc>
      </w:tr>
      <w:tr w:rsidR="00B02352" w:rsidRPr="00EB71A9" w14:paraId="385485EE" w14:textId="77777777" w:rsidTr="00A35929">
        <w:trPr>
          <w:trHeight w:val="20"/>
        </w:trPr>
        <w:tc>
          <w:tcPr>
            <w:tcW w:w="2160" w:type="dxa"/>
            <w:tcBorders>
              <w:top w:val="nil"/>
              <w:left w:val="single" w:sz="4" w:space="0" w:color="auto"/>
              <w:bottom w:val="single" w:sz="4" w:space="0" w:color="auto"/>
              <w:right w:val="single" w:sz="4" w:space="0" w:color="auto"/>
            </w:tcBorders>
            <w:shd w:val="clear" w:color="000000" w:fill="C6E0B4"/>
            <w:vAlign w:val="center"/>
            <w:hideMark/>
          </w:tcPr>
          <w:p w14:paraId="5039A2DD"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Ngiwal</w:t>
            </w:r>
          </w:p>
        </w:tc>
        <w:tc>
          <w:tcPr>
            <w:tcW w:w="1300" w:type="dxa"/>
            <w:tcBorders>
              <w:top w:val="nil"/>
              <w:left w:val="nil"/>
              <w:bottom w:val="single" w:sz="4" w:space="0" w:color="auto"/>
              <w:right w:val="single" w:sz="4" w:space="0" w:color="auto"/>
            </w:tcBorders>
            <w:shd w:val="clear" w:color="auto" w:fill="auto"/>
            <w:noWrap/>
            <w:vAlign w:val="bottom"/>
            <w:hideMark/>
          </w:tcPr>
          <w:p w14:paraId="4E29E575"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13</w:t>
            </w:r>
          </w:p>
        </w:tc>
      </w:tr>
      <w:tr w:rsidR="00B02352" w:rsidRPr="00EB71A9" w14:paraId="461CC806" w14:textId="77777777" w:rsidTr="00A35929">
        <w:trPr>
          <w:trHeight w:val="20"/>
        </w:trPr>
        <w:tc>
          <w:tcPr>
            <w:tcW w:w="2160" w:type="dxa"/>
            <w:tcBorders>
              <w:top w:val="nil"/>
              <w:left w:val="single" w:sz="4" w:space="0" w:color="auto"/>
              <w:bottom w:val="single" w:sz="4" w:space="0" w:color="auto"/>
              <w:right w:val="single" w:sz="4" w:space="0" w:color="auto"/>
            </w:tcBorders>
            <w:shd w:val="clear" w:color="000000" w:fill="C6E0B4"/>
            <w:vAlign w:val="center"/>
            <w:hideMark/>
          </w:tcPr>
          <w:p w14:paraId="1DA2DFCB"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Koror State</w:t>
            </w:r>
          </w:p>
        </w:tc>
        <w:tc>
          <w:tcPr>
            <w:tcW w:w="1300" w:type="dxa"/>
            <w:tcBorders>
              <w:top w:val="nil"/>
              <w:left w:val="nil"/>
              <w:bottom w:val="single" w:sz="4" w:space="0" w:color="auto"/>
              <w:right w:val="single" w:sz="4" w:space="0" w:color="auto"/>
            </w:tcBorders>
            <w:shd w:val="clear" w:color="auto" w:fill="auto"/>
            <w:noWrap/>
            <w:vAlign w:val="bottom"/>
            <w:hideMark/>
          </w:tcPr>
          <w:p w14:paraId="0C702A8B"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25</w:t>
            </w:r>
          </w:p>
        </w:tc>
      </w:tr>
      <w:tr w:rsidR="00B02352" w:rsidRPr="00EB71A9" w14:paraId="01029032" w14:textId="77777777" w:rsidTr="00A35929">
        <w:trPr>
          <w:trHeight w:val="20"/>
        </w:trPr>
        <w:tc>
          <w:tcPr>
            <w:tcW w:w="2160" w:type="dxa"/>
            <w:tcBorders>
              <w:top w:val="nil"/>
              <w:left w:val="single" w:sz="4" w:space="0" w:color="auto"/>
              <w:bottom w:val="single" w:sz="4" w:space="0" w:color="auto"/>
              <w:right w:val="single" w:sz="4" w:space="0" w:color="auto"/>
            </w:tcBorders>
            <w:shd w:val="clear" w:color="000000" w:fill="C6E0B4"/>
            <w:vAlign w:val="center"/>
            <w:hideMark/>
          </w:tcPr>
          <w:p w14:paraId="59326A7D"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Peleliu State</w:t>
            </w:r>
          </w:p>
        </w:tc>
        <w:tc>
          <w:tcPr>
            <w:tcW w:w="1300" w:type="dxa"/>
            <w:tcBorders>
              <w:top w:val="nil"/>
              <w:left w:val="nil"/>
              <w:bottom w:val="single" w:sz="4" w:space="0" w:color="auto"/>
              <w:right w:val="single" w:sz="4" w:space="0" w:color="auto"/>
            </w:tcBorders>
            <w:shd w:val="clear" w:color="auto" w:fill="auto"/>
            <w:noWrap/>
            <w:vAlign w:val="bottom"/>
            <w:hideMark/>
          </w:tcPr>
          <w:p w14:paraId="7E2C3538"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9</w:t>
            </w:r>
          </w:p>
        </w:tc>
      </w:tr>
      <w:tr w:rsidR="00B02352" w:rsidRPr="00EB71A9" w14:paraId="1F8B6CCB" w14:textId="77777777" w:rsidTr="00A35929">
        <w:trPr>
          <w:trHeight w:val="20"/>
        </w:trPr>
        <w:tc>
          <w:tcPr>
            <w:tcW w:w="2160" w:type="dxa"/>
            <w:tcBorders>
              <w:top w:val="nil"/>
              <w:left w:val="single" w:sz="4" w:space="0" w:color="auto"/>
              <w:bottom w:val="single" w:sz="4" w:space="0" w:color="auto"/>
              <w:right w:val="single" w:sz="4" w:space="0" w:color="auto"/>
            </w:tcBorders>
            <w:shd w:val="clear" w:color="000000" w:fill="C6E0B4"/>
            <w:noWrap/>
            <w:vAlign w:val="bottom"/>
            <w:hideMark/>
          </w:tcPr>
          <w:p w14:paraId="5A62828A" w14:textId="77777777" w:rsidR="00B02352" w:rsidRPr="00EB71A9" w:rsidRDefault="00B02352" w:rsidP="00B02352">
            <w:pPr>
              <w:spacing w:after="0"/>
              <w:jc w:val="left"/>
              <w:rPr>
                <w:rFonts w:asciiTheme="majorHAnsi" w:eastAsia="Times New Roman" w:hAnsiTheme="majorHAnsi"/>
                <w:b/>
                <w:color w:val="000000"/>
                <w:sz w:val="18"/>
                <w:szCs w:val="18"/>
              </w:rPr>
            </w:pPr>
            <w:r w:rsidRPr="00EB71A9">
              <w:rPr>
                <w:rFonts w:asciiTheme="majorHAnsi" w:eastAsia="Times New Roman" w:hAnsiTheme="majorHAnsi"/>
                <w:b/>
                <w:color w:val="000000"/>
                <w:sz w:val="18"/>
                <w:szCs w:val="18"/>
              </w:rPr>
              <w:t>Ngiwal</w:t>
            </w:r>
          </w:p>
        </w:tc>
        <w:tc>
          <w:tcPr>
            <w:tcW w:w="1300" w:type="dxa"/>
            <w:tcBorders>
              <w:top w:val="nil"/>
              <w:left w:val="nil"/>
              <w:bottom w:val="single" w:sz="4" w:space="0" w:color="auto"/>
              <w:right w:val="single" w:sz="4" w:space="0" w:color="auto"/>
            </w:tcBorders>
            <w:shd w:val="clear" w:color="auto" w:fill="auto"/>
            <w:noWrap/>
            <w:vAlign w:val="bottom"/>
            <w:hideMark/>
          </w:tcPr>
          <w:p w14:paraId="1036C0B4"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9</w:t>
            </w:r>
          </w:p>
        </w:tc>
      </w:tr>
      <w:tr w:rsidR="00B02352" w:rsidRPr="00EB71A9" w14:paraId="00A17BBD" w14:textId="77777777" w:rsidTr="00A35929">
        <w:trPr>
          <w:trHeight w:val="20"/>
        </w:trPr>
        <w:tc>
          <w:tcPr>
            <w:tcW w:w="2160" w:type="dxa"/>
            <w:tcBorders>
              <w:top w:val="nil"/>
              <w:left w:val="single" w:sz="4" w:space="0" w:color="auto"/>
              <w:bottom w:val="single" w:sz="4" w:space="0" w:color="auto"/>
              <w:right w:val="single" w:sz="4" w:space="0" w:color="auto"/>
            </w:tcBorders>
            <w:shd w:val="clear" w:color="000000" w:fill="C6E0B4"/>
            <w:noWrap/>
            <w:vAlign w:val="bottom"/>
            <w:hideMark/>
          </w:tcPr>
          <w:p w14:paraId="42D97273" w14:textId="77777777" w:rsidR="00B02352" w:rsidRPr="00EB71A9" w:rsidRDefault="00B02352" w:rsidP="00B02352">
            <w:pPr>
              <w:spacing w:after="0"/>
              <w:jc w:val="left"/>
              <w:rPr>
                <w:rFonts w:asciiTheme="majorHAnsi" w:eastAsia="Times New Roman" w:hAnsiTheme="majorHAnsi"/>
                <w:b/>
                <w:color w:val="000000"/>
                <w:sz w:val="18"/>
                <w:szCs w:val="18"/>
              </w:rPr>
            </w:pPr>
            <w:r w:rsidRPr="00EB71A9">
              <w:rPr>
                <w:rFonts w:asciiTheme="majorHAnsi" w:eastAsia="Times New Roman" w:hAnsiTheme="majorHAnsi"/>
                <w:b/>
                <w:color w:val="000000"/>
                <w:sz w:val="18"/>
                <w:szCs w:val="18"/>
              </w:rPr>
              <w:t>Ngatpang</w:t>
            </w:r>
          </w:p>
        </w:tc>
        <w:tc>
          <w:tcPr>
            <w:tcW w:w="1300" w:type="dxa"/>
            <w:tcBorders>
              <w:top w:val="nil"/>
              <w:left w:val="nil"/>
              <w:bottom w:val="single" w:sz="4" w:space="0" w:color="auto"/>
              <w:right w:val="single" w:sz="4" w:space="0" w:color="auto"/>
            </w:tcBorders>
            <w:shd w:val="clear" w:color="auto" w:fill="auto"/>
            <w:noWrap/>
            <w:vAlign w:val="bottom"/>
            <w:hideMark/>
          </w:tcPr>
          <w:p w14:paraId="2B08834A" w14:textId="77777777" w:rsidR="00B02352" w:rsidRPr="00EB71A9" w:rsidRDefault="00B02352" w:rsidP="00B02352">
            <w:pPr>
              <w:spacing w:after="0"/>
              <w:jc w:val="left"/>
              <w:rPr>
                <w:rFonts w:asciiTheme="majorHAnsi" w:eastAsia="Times New Roman" w:hAnsiTheme="majorHAnsi"/>
                <w:color w:val="000000"/>
                <w:sz w:val="18"/>
                <w:szCs w:val="18"/>
              </w:rPr>
            </w:pPr>
            <w:r w:rsidRPr="00EB71A9">
              <w:rPr>
                <w:rFonts w:asciiTheme="majorHAnsi" w:eastAsia="Times New Roman" w:hAnsiTheme="majorHAnsi"/>
                <w:color w:val="000000"/>
                <w:sz w:val="18"/>
                <w:szCs w:val="18"/>
              </w:rPr>
              <w:t>9</w:t>
            </w:r>
          </w:p>
        </w:tc>
      </w:tr>
      <w:tr w:rsidR="00B02352" w:rsidRPr="00EB71A9" w14:paraId="0526553D" w14:textId="77777777" w:rsidTr="00A35929">
        <w:trPr>
          <w:trHeight w:val="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4E14AA92"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Average Score at Baseline</w:t>
            </w:r>
          </w:p>
        </w:tc>
        <w:tc>
          <w:tcPr>
            <w:tcW w:w="1300" w:type="dxa"/>
            <w:tcBorders>
              <w:top w:val="nil"/>
              <w:left w:val="nil"/>
              <w:bottom w:val="single" w:sz="4" w:space="0" w:color="auto"/>
              <w:right w:val="single" w:sz="4" w:space="0" w:color="auto"/>
            </w:tcBorders>
            <w:shd w:val="clear" w:color="auto" w:fill="auto"/>
            <w:noWrap/>
            <w:vAlign w:val="bottom"/>
            <w:hideMark/>
          </w:tcPr>
          <w:p w14:paraId="09E083A0" w14:textId="77777777" w:rsidR="00B02352" w:rsidRPr="00EB71A9" w:rsidRDefault="00B02352" w:rsidP="00B02352">
            <w:pPr>
              <w:spacing w:after="0"/>
              <w:jc w:val="left"/>
              <w:rPr>
                <w:rFonts w:asciiTheme="majorHAnsi" w:eastAsia="Times New Roman" w:hAnsiTheme="majorHAnsi"/>
                <w:b/>
                <w:bCs/>
                <w:color w:val="000000"/>
                <w:sz w:val="18"/>
                <w:szCs w:val="18"/>
              </w:rPr>
            </w:pPr>
            <w:r w:rsidRPr="00EB71A9">
              <w:rPr>
                <w:rFonts w:asciiTheme="majorHAnsi" w:eastAsia="Times New Roman" w:hAnsiTheme="majorHAnsi"/>
                <w:b/>
                <w:bCs/>
                <w:color w:val="000000"/>
                <w:sz w:val="18"/>
                <w:szCs w:val="18"/>
              </w:rPr>
              <w:t>15/60</w:t>
            </w:r>
          </w:p>
        </w:tc>
      </w:tr>
    </w:tbl>
    <w:p w14:paraId="2AA0BCE9" w14:textId="77777777" w:rsidR="00B02352" w:rsidRPr="00EB71A9" w:rsidRDefault="00B02352" w:rsidP="00B02352">
      <w:pPr>
        <w:spacing w:after="160" w:line="259" w:lineRule="auto"/>
        <w:jc w:val="left"/>
        <w:rPr>
          <w:rFonts w:asciiTheme="majorHAnsi" w:hAnsiTheme="majorHAnsi"/>
          <w:b/>
          <w:sz w:val="18"/>
          <w:szCs w:val="18"/>
        </w:rPr>
      </w:pPr>
    </w:p>
    <w:p w14:paraId="737BEF83" w14:textId="77777777" w:rsidR="00B02352" w:rsidRPr="00EB71A9" w:rsidRDefault="00B02352" w:rsidP="00B02352">
      <w:pPr>
        <w:spacing w:after="160" w:line="259" w:lineRule="auto"/>
        <w:jc w:val="left"/>
        <w:rPr>
          <w:rFonts w:asciiTheme="majorHAnsi" w:hAnsiTheme="majorHAnsi"/>
          <w:b/>
          <w:sz w:val="18"/>
          <w:szCs w:val="18"/>
        </w:rPr>
      </w:pPr>
      <w:r w:rsidRPr="00EB71A9">
        <w:rPr>
          <w:rFonts w:asciiTheme="majorHAnsi" w:hAnsiTheme="majorHAnsi"/>
          <w:b/>
          <w:sz w:val="18"/>
          <w:szCs w:val="18"/>
        </w:rPr>
        <w:t>Mid-Term Scores: Calculated based on getting every project state to a minimum of 1 in each category: 23/60</w:t>
      </w:r>
    </w:p>
    <w:p w14:paraId="74A06F9F" w14:textId="77777777" w:rsidR="00B02352" w:rsidRPr="00EB71A9" w:rsidRDefault="00B02352" w:rsidP="00B02352">
      <w:pPr>
        <w:spacing w:after="160" w:line="259" w:lineRule="auto"/>
        <w:jc w:val="left"/>
        <w:rPr>
          <w:rFonts w:asciiTheme="majorHAnsi" w:hAnsiTheme="majorHAnsi"/>
          <w:b/>
          <w:sz w:val="18"/>
          <w:szCs w:val="18"/>
        </w:rPr>
      </w:pPr>
      <w:r w:rsidRPr="00EB71A9">
        <w:rPr>
          <w:rFonts w:asciiTheme="majorHAnsi" w:hAnsiTheme="majorHAnsi"/>
          <w:b/>
          <w:sz w:val="18"/>
          <w:szCs w:val="18"/>
        </w:rPr>
        <w:t>EOP Score: Raising every project state by a score of 1 in each category: 35/60</w:t>
      </w:r>
    </w:p>
    <w:p w14:paraId="49E70A7E" w14:textId="77777777" w:rsidR="00B02352" w:rsidRPr="00B02352" w:rsidRDefault="00B02352" w:rsidP="00B02352">
      <w:pPr>
        <w:spacing w:after="160" w:line="259" w:lineRule="auto"/>
        <w:jc w:val="left"/>
        <w:rPr>
          <w:b/>
          <w:sz w:val="18"/>
          <w:szCs w:val="18"/>
        </w:rPr>
      </w:pPr>
      <w:r w:rsidRPr="00B02352">
        <w:rPr>
          <w:b/>
          <w:sz w:val="18"/>
          <w:szCs w:val="18"/>
        </w:rPr>
        <w:br w:type="page"/>
      </w:r>
    </w:p>
    <w:p w14:paraId="3F8A549F" w14:textId="77777777" w:rsidR="00B02352" w:rsidRPr="005F36E3" w:rsidRDefault="00B02352" w:rsidP="00B02352">
      <w:pPr>
        <w:jc w:val="left"/>
        <w:rPr>
          <w:b/>
          <w:sz w:val="20"/>
          <w:szCs w:val="20"/>
        </w:rPr>
      </w:pPr>
      <w:r w:rsidRPr="005F36E3">
        <w:rPr>
          <w:b/>
          <w:sz w:val="20"/>
          <w:szCs w:val="20"/>
        </w:rPr>
        <w:t>3. National Biosecurity Framework Scorecard</w:t>
      </w:r>
    </w:p>
    <w:p w14:paraId="38DD313A" w14:textId="77777777" w:rsidR="00B02352" w:rsidRPr="005F36E3" w:rsidRDefault="00B02352" w:rsidP="00B02352">
      <w:pPr>
        <w:jc w:val="left"/>
        <w:rPr>
          <w:sz w:val="20"/>
          <w:szCs w:val="20"/>
        </w:rPr>
      </w:pPr>
      <w:r w:rsidRPr="005F36E3">
        <w:rPr>
          <w:i/>
          <w:sz w:val="20"/>
          <w:szCs w:val="20"/>
        </w:rPr>
        <w:t>Baseline determined in May 2017 through two rounds: 1 as a Key Informant Interview with the recently retired former National Invasive Species Coordinator, and 2 as a Focus Group Meeting with four members of the National Invasive Species Committee. Scores were agreed by consensus.</w:t>
      </w:r>
    </w:p>
    <w:tbl>
      <w:tblPr>
        <w:tblW w:w="13845" w:type="dxa"/>
        <w:tblLayout w:type="fixed"/>
        <w:tblLook w:val="04A0" w:firstRow="1" w:lastRow="0" w:firstColumn="1" w:lastColumn="0" w:noHBand="0" w:noVBand="1"/>
      </w:tblPr>
      <w:tblGrid>
        <w:gridCol w:w="1520"/>
        <w:gridCol w:w="3605"/>
        <w:gridCol w:w="695"/>
        <w:gridCol w:w="844"/>
        <w:gridCol w:w="748"/>
        <w:gridCol w:w="717"/>
        <w:gridCol w:w="2587"/>
        <w:gridCol w:w="2056"/>
        <w:gridCol w:w="1073"/>
      </w:tblGrid>
      <w:tr w:rsidR="00B02352" w:rsidRPr="00B02352" w14:paraId="6AE113F8" w14:textId="77777777" w:rsidTr="00A35929">
        <w:trPr>
          <w:trHeight w:val="720"/>
          <w:tblHeader/>
        </w:trPr>
        <w:tc>
          <w:tcPr>
            <w:tcW w:w="1520" w:type="dxa"/>
            <w:tcBorders>
              <w:top w:val="single" w:sz="4" w:space="0" w:color="auto"/>
              <w:left w:val="single" w:sz="4" w:space="0" w:color="auto"/>
              <w:bottom w:val="single" w:sz="4" w:space="0" w:color="auto"/>
              <w:right w:val="single" w:sz="4" w:space="0" w:color="auto"/>
            </w:tcBorders>
            <w:shd w:val="clear" w:color="000000" w:fill="C2D69B"/>
            <w:vAlign w:val="center"/>
            <w:hideMark/>
          </w:tcPr>
          <w:p w14:paraId="18B65344" w14:textId="77777777" w:rsidR="00B02352" w:rsidRPr="00B02352" w:rsidRDefault="00B02352" w:rsidP="00B02352">
            <w:pPr>
              <w:spacing w:after="0"/>
              <w:jc w:val="left"/>
              <w:rPr>
                <w:rFonts w:eastAsia="Times New Roman"/>
                <w:b/>
                <w:bCs/>
                <w:color w:val="000000"/>
                <w:sz w:val="18"/>
                <w:szCs w:val="18"/>
              </w:rPr>
            </w:pPr>
            <w:r w:rsidRPr="00B02352">
              <w:rPr>
                <w:rFonts w:eastAsia="Times New Roman"/>
                <w:b/>
                <w:bCs/>
                <w:color w:val="000000"/>
                <w:sz w:val="18"/>
                <w:szCs w:val="18"/>
              </w:rPr>
              <w:t>Capacity Result / Indicator</w:t>
            </w:r>
          </w:p>
        </w:tc>
        <w:tc>
          <w:tcPr>
            <w:tcW w:w="3605" w:type="dxa"/>
            <w:tcBorders>
              <w:top w:val="single" w:sz="4" w:space="0" w:color="auto"/>
              <w:left w:val="nil"/>
              <w:bottom w:val="single" w:sz="4" w:space="0" w:color="auto"/>
              <w:right w:val="single" w:sz="4" w:space="0" w:color="auto"/>
            </w:tcBorders>
            <w:shd w:val="clear" w:color="000000" w:fill="C2D69B"/>
            <w:vAlign w:val="center"/>
            <w:hideMark/>
          </w:tcPr>
          <w:p w14:paraId="25A51F56" w14:textId="77777777" w:rsidR="00B02352" w:rsidRPr="00B02352" w:rsidRDefault="00B02352" w:rsidP="00B02352">
            <w:pPr>
              <w:spacing w:after="0"/>
              <w:jc w:val="left"/>
              <w:rPr>
                <w:rFonts w:eastAsia="Times New Roman"/>
                <w:b/>
                <w:bCs/>
                <w:color w:val="000000"/>
                <w:sz w:val="18"/>
                <w:szCs w:val="18"/>
              </w:rPr>
            </w:pPr>
            <w:r w:rsidRPr="00B02352">
              <w:rPr>
                <w:rFonts w:eastAsia="Times New Roman"/>
                <w:b/>
                <w:bCs/>
                <w:color w:val="000000"/>
                <w:sz w:val="18"/>
                <w:szCs w:val="18"/>
              </w:rPr>
              <w:t>Staged Indicators</w:t>
            </w:r>
          </w:p>
        </w:tc>
        <w:tc>
          <w:tcPr>
            <w:tcW w:w="695" w:type="dxa"/>
            <w:tcBorders>
              <w:top w:val="single" w:sz="4" w:space="0" w:color="auto"/>
              <w:left w:val="nil"/>
              <w:bottom w:val="single" w:sz="4" w:space="0" w:color="auto"/>
              <w:right w:val="single" w:sz="4" w:space="0" w:color="auto"/>
            </w:tcBorders>
            <w:shd w:val="clear" w:color="000000" w:fill="C2D69B"/>
            <w:vAlign w:val="center"/>
            <w:hideMark/>
          </w:tcPr>
          <w:p w14:paraId="4AAFF298" w14:textId="77777777" w:rsidR="00B02352" w:rsidRPr="00B02352" w:rsidRDefault="00B02352" w:rsidP="00B02352">
            <w:pPr>
              <w:spacing w:after="0"/>
              <w:jc w:val="left"/>
              <w:rPr>
                <w:rFonts w:eastAsia="Times New Roman"/>
                <w:b/>
                <w:bCs/>
                <w:color w:val="000000"/>
                <w:sz w:val="18"/>
                <w:szCs w:val="18"/>
              </w:rPr>
            </w:pPr>
            <w:r w:rsidRPr="00B02352">
              <w:rPr>
                <w:rFonts w:eastAsia="Times New Roman"/>
                <w:b/>
                <w:bCs/>
                <w:color w:val="000000"/>
                <w:sz w:val="18"/>
                <w:szCs w:val="18"/>
              </w:rPr>
              <w:t>Rating</w:t>
            </w:r>
          </w:p>
        </w:tc>
        <w:tc>
          <w:tcPr>
            <w:tcW w:w="844" w:type="dxa"/>
            <w:tcBorders>
              <w:top w:val="single" w:sz="4" w:space="0" w:color="auto"/>
              <w:left w:val="nil"/>
              <w:bottom w:val="single" w:sz="4" w:space="0" w:color="auto"/>
              <w:right w:val="single" w:sz="4" w:space="0" w:color="auto"/>
            </w:tcBorders>
            <w:shd w:val="clear" w:color="000000" w:fill="C2D69B"/>
            <w:vAlign w:val="center"/>
            <w:hideMark/>
          </w:tcPr>
          <w:p w14:paraId="5AFA8E94" w14:textId="77777777" w:rsidR="00B02352" w:rsidRPr="00B02352" w:rsidRDefault="00B02352" w:rsidP="00B02352">
            <w:pPr>
              <w:spacing w:after="0"/>
              <w:jc w:val="left"/>
              <w:rPr>
                <w:rFonts w:eastAsia="Times New Roman"/>
                <w:b/>
                <w:bCs/>
                <w:color w:val="000000"/>
                <w:sz w:val="18"/>
                <w:szCs w:val="18"/>
              </w:rPr>
            </w:pPr>
            <w:r w:rsidRPr="00B02352">
              <w:rPr>
                <w:rFonts w:eastAsia="Times New Roman"/>
                <w:b/>
                <w:bCs/>
                <w:color w:val="000000"/>
                <w:sz w:val="18"/>
                <w:szCs w:val="18"/>
              </w:rPr>
              <w:t>Baseline Score</w:t>
            </w:r>
          </w:p>
        </w:tc>
        <w:tc>
          <w:tcPr>
            <w:tcW w:w="748" w:type="dxa"/>
            <w:tcBorders>
              <w:top w:val="single" w:sz="4" w:space="0" w:color="auto"/>
              <w:left w:val="nil"/>
              <w:bottom w:val="single" w:sz="4" w:space="0" w:color="auto"/>
              <w:right w:val="single" w:sz="4" w:space="0" w:color="auto"/>
            </w:tcBorders>
            <w:shd w:val="clear" w:color="000000" w:fill="C2D69B"/>
            <w:vAlign w:val="center"/>
            <w:hideMark/>
          </w:tcPr>
          <w:p w14:paraId="593CAA0B" w14:textId="77777777" w:rsidR="00B02352" w:rsidRPr="00B02352" w:rsidRDefault="00B02352" w:rsidP="00B02352">
            <w:pPr>
              <w:spacing w:after="0"/>
              <w:jc w:val="left"/>
              <w:rPr>
                <w:rFonts w:eastAsia="Times New Roman"/>
                <w:b/>
                <w:bCs/>
                <w:color w:val="000000"/>
                <w:sz w:val="18"/>
                <w:szCs w:val="18"/>
              </w:rPr>
            </w:pPr>
            <w:r w:rsidRPr="00B02352">
              <w:rPr>
                <w:rFonts w:eastAsia="Times New Roman"/>
                <w:b/>
                <w:bCs/>
                <w:color w:val="000000"/>
                <w:sz w:val="18"/>
                <w:szCs w:val="18"/>
              </w:rPr>
              <w:t>Mid-project Target Score</w:t>
            </w:r>
          </w:p>
        </w:tc>
        <w:tc>
          <w:tcPr>
            <w:tcW w:w="717" w:type="dxa"/>
            <w:tcBorders>
              <w:top w:val="single" w:sz="4" w:space="0" w:color="auto"/>
              <w:left w:val="nil"/>
              <w:bottom w:val="single" w:sz="4" w:space="0" w:color="auto"/>
              <w:right w:val="single" w:sz="4" w:space="0" w:color="auto"/>
            </w:tcBorders>
            <w:shd w:val="clear" w:color="000000" w:fill="C2D69B"/>
            <w:vAlign w:val="center"/>
            <w:hideMark/>
          </w:tcPr>
          <w:p w14:paraId="07543F84" w14:textId="77777777" w:rsidR="00B02352" w:rsidRPr="00B02352" w:rsidRDefault="00B02352" w:rsidP="00B02352">
            <w:pPr>
              <w:spacing w:after="0"/>
              <w:jc w:val="left"/>
              <w:rPr>
                <w:rFonts w:eastAsia="Times New Roman"/>
                <w:b/>
                <w:bCs/>
                <w:color w:val="000000"/>
                <w:sz w:val="18"/>
                <w:szCs w:val="18"/>
              </w:rPr>
            </w:pPr>
            <w:r w:rsidRPr="00B02352">
              <w:rPr>
                <w:rFonts w:eastAsia="Times New Roman"/>
                <w:b/>
                <w:bCs/>
                <w:color w:val="000000"/>
                <w:sz w:val="18"/>
                <w:szCs w:val="18"/>
              </w:rPr>
              <w:t>EOP Target Score</w:t>
            </w:r>
          </w:p>
        </w:tc>
        <w:tc>
          <w:tcPr>
            <w:tcW w:w="2587" w:type="dxa"/>
            <w:tcBorders>
              <w:top w:val="single" w:sz="4" w:space="0" w:color="auto"/>
              <w:left w:val="nil"/>
              <w:bottom w:val="single" w:sz="4" w:space="0" w:color="auto"/>
              <w:right w:val="nil"/>
            </w:tcBorders>
            <w:shd w:val="clear" w:color="000000" w:fill="C2D69B"/>
            <w:vAlign w:val="center"/>
            <w:hideMark/>
          </w:tcPr>
          <w:p w14:paraId="4615646C" w14:textId="77777777" w:rsidR="00B02352" w:rsidRPr="00B02352" w:rsidRDefault="00B02352" w:rsidP="00B02352">
            <w:pPr>
              <w:spacing w:after="0"/>
              <w:jc w:val="left"/>
              <w:rPr>
                <w:rFonts w:eastAsia="Times New Roman"/>
                <w:b/>
                <w:bCs/>
                <w:color w:val="000000"/>
                <w:sz w:val="18"/>
                <w:szCs w:val="18"/>
              </w:rPr>
            </w:pPr>
            <w:r w:rsidRPr="00B02352">
              <w:rPr>
                <w:rFonts w:eastAsia="Times New Roman"/>
                <w:b/>
                <w:bCs/>
                <w:color w:val="000000"/>
                <w:sz w:val="18"/>
                <w:szCs w:val="18"/>
              </w:rPr>
              <w:t>Comments</w:t>
            </w:r>
          </w:p>
        </w:tc>
        <w:tc>
          <w:tcPr>
            <w:tcW w:w="2056" w:type="dxa"/>
            <w:tcBorders>
              <w:top w:val="single" w:sz="4" w:space="0" w:color="auto"/>
              <w:left w:val="single" w:sz="4" w:space="0" w:color="auto"/>
              <w:bottom w:val="single" w:sz="4" w:space="0" w:color="auto"/>
              <w:right w:val="nil"/>
            </w:tcBorders>
            <w:shd w:val="clear" w:color="000000" w:fill="C2D69B"/>
            <w:vAlign w:val="center"/>
            <w:hideMark/>
          </w:tcPr>
          <w:p w14:paraId="3DBA694A" w14:textId="77777777" w:rsidR="00B02352" w:rsidRPr="00B02352" w:rsidRDefault="00B02352" w:rsidP="00B02352">
            <w:pPr>
              <w:spacing w:after="0"/>
              <w:jc w:val="left"/>
              <w:rPr>
                <w:rFonts w:eastAsia="Times New Roman"/>
                <w:b/>
                <w:bCs/>
                <w:color w:val="000000"/>
                <w:sz w:val="18"/>
                <w:szCs w:val="18"/>
              </w:rPr>
            </w:pPr>
            <w:r w:rsidRPr="00B02352">
              <w:rPr>
                <w:rFonts w:eastAsia="Times New Roman"/>
                <w:b/>
                <w:bCs/>
                <w:color w:val="000000"/>
                <w:sz w:val="18"/>
                <w:szCs w:val="18"/>
              </w:rPr>
              <w:t>Next Steps</w:t>
            </w:r>
          </w:p>
        </w:tc>
        <w:tc>
          <w:tcPr>
            <w:tcW w:w="1073" w:type="dxa"/>
            <w:tcBorders>
              <w:top w:val="single" w:sz="4" w:space="0" w:color="auto"/>
              <w:left w:val="single" w:sz="4" w:space="0" w:color="auto"/>
              <w:bottom w:val="single" w:sz="4" w:space="0" w:color="auto"/>
              <w:right w:val="single" w:sz="4" w:space="0" w:color="auto"/>
            </w:tcBorders>
            <w:shd w:val="clear" w:color="000000" w:fill="C2D69B"/>
            <w:vAlign w:val="center"/>
            <w:hideMark/>
          </w:tcPr>
          <w:p w14:paraId="3365FE7F" w14:textId="77777777" w:rsidR="00B02352" w:rsidRPr="00B02352" w:rsidRDefault="00B02352" w:rsidP="00B02352">
            <w:pPr>
              <w:spacing w:after="0"/>
              <w:jc w:val="left"/>
              <w:rPr>
                <w:rFonts w:eastAsia="Times New Roman"/>
                <w:b/>
                <w:bCs/>
                <w:color w:val="000000"/>
                <w:sz w:val="18"/>
                <w:szCs w:val="18"/>
              </w:rPr>
            </w:pPr>
            <w:r w:rsidRPr="00B02352">
              <w:rPr>
                <w:rFonts w:eastAsia="Times New Roman"/>
                <w:b/>
                <w:bCs/>
                <w:color w:val="000000"/>
                <w:sz w:val="18"/>
                <w:szCs w:val="18"/>
              </w:rPr>
              <w:t>Contribution to which Outcome</w:t>
            </w:r>
          </w:p>
        </w:tc>
      </w:tr>
      <w:tr w:rsidR="00B02352" w:rsidRPr="00B02352" w14:paraId="2D36116F" w14:textId="77777777" w:rsidTr="00A35929">
        <w:trPr>
          <w:trHeight w:val="116"/>
        </w:trPr>
        <w:tc>
          <w:tcPr>
            <w:tcW w:w="13845" w:type="dxa"/>
            <w:gridSpan w:val="9"/>
            <w:tcBorders>
              <w:top w:val="nil"/>
              <w:left w:val="single" w:sz="4" w:space="0" w:color="auto"/>
              <w:bottom w:val="single" w:sz="4" w:space="0" w:color="auto"/>
              <w:right w:val="single" w:sz="4" w:space="0" w:color="auto"/>
            </w:tcBorders>
            <w:shd w:val="clear" w:color="000000" w:fill="D6E3BC"/>
            <w:hideMark/>
          </w:tcPr>
          <w:p w14:paraId="57C7F605" w14:textId="77777777" w:rsidR="00B02352" w:rsidRPr="00B02352" w:rsidRDefault="00B02352" w:rsidP="00B02352">
            <w:pPr>
              <w:spacing w:after="0"/>
              <w:jc w:val="left"/>
              <w:rPr>
                <w:rFonts w:eastAsia="Times New Roman"/>
                <w:b/>
                <w:bCs/>
                <w:color w:val="000000"/>
                <w:sz w:val="18"/>
                <w:szCs w:val="18"/>
              </w:rPr>
            </w:pPr>
            <w:r w:rsidRPr="00B02352">
              <w:rPr>
                <w:rFonts w:eastAsia="Times New Roman"/>
                <w:b/>
                <w:bCs/>
                <w:color w:val="000000"/>
                <w:sz w:val="18"/>
                <w:szCs w:val="18"/>
              </w:rPr>
              <w:t>CR 1: Capacities for engagement </w:t>
            </w:r>
          </w:p>
        </w:tc>
      </w:tr>
      <w:tr w:rsidR="00B02352" w:rsidRPr="00B02352" w14:paraId="7299F0DA" w14:textId="77777777" w:rsidTr="005F36E3">
        <w:trPr>
          <w:trHeight w:val="800"/>
        </w:trPr>
        <w:tc>
          <w:tcPr>
            <w:tcW w:w="1520" w:type="dxa"/>
            <w:vMerge w:val="restart"/>
            <w:tcBorders>
              <w:top w:val="nil"/>
              <w:left w:val="single" w:sz="4" w:space="0" w:color="auto"/>
              <w:bottom w:val="single" w:sz="4" w:space="0" w:color="000000"/>
              <w:right w:val="single" w:sz="4" w:space="0" w:color="auto"/>
            </w:tcBorders>
            <w:shd w:val="clear" w:color="auto" w:fill="auto"/>
            <w:hideMark/>
          </w:tcPr>
          <w:p w14:paraId="0E478D38" w14:textId="77777777" w:rsidR="00B02352" w:rsidRPr="00B02352" w:rsidRDefault="00B02352" w:rsidP="00B02352">
            <w:pPr>
              <w:spacing w:after="0"/>
              <w:jc w:val="left"/>
              <w:rPr>
                <w:rFonts w:eastAsia="Times New Roman"/>
                <w:b/>
                <w:bCs/>
                <w:color w:val="000000"/>
                <w:sz w:val="18"/>
                <w:szCs w:val="18"/>
              </w:rPr>
            </w:pPr>
            <w:r w:rsidRPr="00B02352">
              <w:rPr>
                <w:rFonts w:eastAsia="Times New Roman"/>
                <w:b/>
                <w:bCs/>
                <w:color w:val="000000"/>
                <w:sz w:val="18"/>
                <w:szCs w:val="18"/>
              </w:rPr>
              <w:t xml:space="preserve">1.1. Degree of legitimacy/ mandate of lead Biosecurity and IAS organizations </w:t>
            </w:r>
          </w:p>
        </w:tc>
        <w:tc>
          <w:tcPr>
            <w:tcW w:w="3605" w:type="dxa"/>
            <w:tcBorders>
              <w:top w:val="nil"/>
              <w:left w:val="nil"/>
              <w:bottom w:val="single" w:sz="4" w:space="0" w:color="auto"/>
              <w:right w:val="single" w:sz="4" w:space="0" w:color="auto"/>
            </w:tcBorders>
            <w:shd w:val="clear" w:color="auto" w:fill="auto"/>
            <w:hideMark/>
          </w:tcPr>
          <w:p w14:paraId="6A01522A" w14:textId="71F92EA8"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Organizational responsibilities for environmental management are not clearly defined </w:t>
            </w:r>
          </w:p>
        </w:tc>
        <w:tc>
          <w:tcPr>
            <w:tcW w:w="695" w:type="dxa"/>
            <w:tcBorders>
              <w:top w:val="nil"/>
              <w:left w:val="nil"/>
              <w:bottom w:val="single" w:sz="4" w:space="0" w:color="auto"/>
              <w:right w:val="single" w:sz="4" w:space="0" w:color="auto"/>
            </w:tcBorders>
            <w:shd w:val="clear" w:color="auto" w:fill="auto"/>
            <w:vAlign w:val="center"/>
            <w:hideMark/>
          </w:tcPr>
          <w:p w14:paraId="4FBA17A2"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0</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14:paraId="31297DCA"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14:paraId="1FCB835B"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w:t>
            </w:r>
          </w:p>
        </w:tc>
        <w:tc>
          <w:tcPr>
            <w:tcW w:w="717" w:type="dxa"/>
            <w:vMerge w:val="restart"/>
            <w:tcBorders>
              <w:top w:val="nil"/>
              <w:left w:val="single" w:sz="4" w:space="0" w:color="auto"/>
              <w:bottom w:val="single" w:sz="4" w:space="0" w:color="000000"/>
              <w:right w:val="single" w:sz="4" w:space="0" w:color="auto"/>
            </w:tcBorders>
            <w:shd w:val="clear" w:color="auto" w:fill="auto"/>
            <w:vAlign w:val="center"/>
            <w:hideMark/>
          </w:tcPr>
          <w:p w14:paraId="5D7AECC9"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3</w:t>
            </w:r>
          </w:p>
        </w:tc>
        <w:tc>
          <w:tcPr>
            <w:tcW w:w="2587" w:type="dxa"/>
            <w:vMerge w:val="restart"/>
            <w:tcBorders>
              <w:top w:val="nil"/>
              <w:left w:val="single" w:sz="4" w:space="0" w:color="auto"/>
              <w:bottom w:val="single" w:sz="4" w:space="0" w:color="000000"/>
              <w:right w:val="single" w:sz="4" w:space="0" w:color="auto"/>
            </w:tcBorders>
            <w:shd w:val="clear" w:color="auto" w:fill="auto"/>
            <w:hideMark/>
          </w:tcPr>
          <w:p w14:paraId="4FDAB3BC"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The Biosecurity Act clearly defines the roles and powers of government agencies tasked with Biosecurity. Updated regulations coming out of the Biosecurity Act define actions. However, awareness is not high among all stakeholders, especially not community or business. Awareness is higher among environmental stakeholders.</w:t>
            </w:r>
          </w:p>
        </w:tc>
        <w:tc>
          <w:tcPr>
            <w:tcW w:w="2056" w:type="dxa"/>
            <w:vMerge w:val="restart"/>
            <w:tcBorders>
              <w:top w:val="nil"/>
              <w:left w:val="single" w:sz="4" w:space="0" w:color="auto"/>
              <w:bottom w:val="single" w:sz="4" w:space="0" w:color="000000"/>
              <w:right w:val="single" w:sz="4" w:space="0" w:color="auto"/>
            </w:tcBorders>
            <w:shd w:val="clear" w:color="auto" w:fill="auto"/>
            <w:hideMark/>
          </w:tcPr>
          <w:p w14:paraId="142E0F89"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Develop NISSAP and regulations, and improve staffing and training. Conduct cross training. Improve general awareness, including about agencies.</w:t>
            </w:r>
          </w:p>
        </w:tc>
        <w:tc>
          <w:tcPr>
            <w:tcW w:w="1073" w:type="dxa"/>
            <w:vMerge w:val="restart"/>
            <w:tcBorders>
              <w:top w:val="nil"/>
              <w:left w:val="single" w:sz="4" w:space="0" w:color="auto"/>
              <w:bottom w:val="single" w:sz="4" w:space="0" w:color="000000"/>
              <w:right w:val="single" w:sz="4" w:space="0" w:color="auto"/>
            </w:tcBorders>
            <w:shd w:val="clear" w:color="auto" w:fill="auto"/>
            <w:vAlign w:val="center"/>
            <w:hideMark/>
          </w:tcPr>
          <w:p w14:paraId="4616C540"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r>
      <w:tr w:rsidR="00B02352" w:rsidRPr="00B02352" w14:paraId="7A79842A" w14:textId="77777777" w:rsidTr="00A35929">
        <w:trPr>
          <w:trHeight w:val="240"/>
        </w:trPr>
        <w:tc>
          <w:tcPr>
            <w:tcW w:w="1520" w:type="dxa"/>
            <w:vMerge/>
            <w:tcBorders>
              <w:top w:val="nil"/>
              <w:left w:val="single" w:sz="4" w:space="0" w:color="auto"/>
              <w:bottom w:val="single" w:sz="4" w:space="0" w:color="000000"/>
              <w:right w:val="single" w:sz="4" w:space="0" w:color="auto"/>
            </w:tcBorders>
            <w:vAlign w:val="center"/>
            <w:hideMark/>
          </w:tcPr>
          <w:p w14:paraId="16B9DBC6"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73310914" w14:textId="7F7FDBD0"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Organizational responsibilities for environmental management are identified </w:t>
            </w:r>
          </w:p>
        </w:tc>
        <w:tc>
          <w:tcPr>
            <w:tcW w:w="695" w:type="dxa"/>
            <w:tcBorders>
              <w:top w:val="nil"/>
              <w:left w:val="nil"/>
              <w:bottom w:val="single" w:sz="4" w:space="0" w:color="auto"/>
              <w:right w:val="single" w:sz="4" w:space="0" w:color="auto"/>
            </w:tcBorders>
            <w:shd w:val="clear" w:color="auto" w:fill="auto"/>
            <w:vAlign w:val="center"/>
            <w:hideMark/>
          </w:tcPr>
          <w:p w14:paraId="3B362F6A"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c>
          <w:tcPr>
            <w:tcW w:w="844" w:type="dxa"/>
            <w:vMerge/>
            <w:tcBorders>
              <w:top w:val="nil"/>
              <w:left w:val="single" w:sz="4" w:space="0" w:color="auto"/>
              <w:bottom w:val="single" w:sz="4" w:space="0" w:color="000000"/>
              <w:right w:val="single" w:sz="4" w:space="0" w:color="auto"/>
            </w:tcBorders>
            <w:vAlign w:val="center"/>
            <w:hideMark/>
          </w:tcPr>
          <w:p w14:paraId="28C5C5C2"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46406B8F"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306B1CC0"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183AB663"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1F73B621"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351ED260" w14:textId="77777777" w:rsidR="00B02352" w:rsidRPr="00B02352" w:rsidRDefault="00B02352" w:rsidP="00B02352">
            <w:pPr>
              <w:spacing w:after="0"/>
              <w:jc w:val="left"/>
              <w:rPr>
                <w:rFonts w:eastAsia="Times New Roman"/>
                <w:color w:val="000000"/>
                <w:sz w:val="18"/>
                <w:szCs w:val="18"/>
              </w:rPr>
            </w:pPr>
          </w:p>
        </w:tc>
      </w:tr>
      <w:tr w:rsidR="00B02352" w:rsidRPr="00B02352" w14:paraId="0C316EB1" w14:textId="77777777" w:rsidTr="00A35929">
        <w:trPr>
          <w:trHeight w:val="480"/>
        </w:trPr>
        <w:tc>
          <w:tcPr>
            <w:tcW w:w="1520" w:type="dxa"/>
            <w:vMerge/>
            <w:tcBorders>
              <w:top w:val="nil"/>
              <w:left w:val="single" w:sz="4" w:space="0" w:color="auto"/>
              <w:bottom w:val="single" w:sz="4" w:space="0" w:color="000000"/>
              <w:right w:val="single" w:sz="4" w:space="0" w:color="auto"/>
            </w:tcBorders>
            <w:vAlign w:val="center"/>
            <w:hideMark/>
          </w:tcPr>
          <w:p w14:paraId="22D0308D"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27E35D47" w14:textId="6720B345"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Authority and legitimacy of all lead organizations responsible for environmental management are partially recognized by stakeholders </w:t>
            </w:r>
          </w:p>
        </w:tc>
        <w:tc>
          <w:tcPr>
            <w:tcW w:w="695" w:type="dxa"/>
            <w:tcBorders>
              <w:top w:val="nil"/>
              <w:left w:val="nil"/>
              <w:bottom w:val="single" w:sz="4" w:space="0" w:color="auto"/>
              <w:right w:val="single" w:sz="4" w:space="0" w:color="auto"/>
            </w:tcBorders>
            <w:shd w:val="clear" w:color="auto" w:fill="auto"/>
            <w:vAlign w:val="center"/>
            <w:hideMark/>
          </w:tcPr>
          <w:p w14:paraId="587E2E47"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w:t>
            </w:r>
          </w:p>
        </w:tc>
        <w:tc>
          <w:tcPr>
            <w:tcW w:w="844" w:type="dxa"/>
            <w:vMerge/>
            <w:tcBorders>
              <w:top w:val="nil"/>
              <w:left w:val="single" w:sz="4" w:space="0" w:color="auto"/>
              <w:bottom w:val="single" w:sz="4" w:space="0" w:color="000000"/>
              <w:right w:val="single" w:sz="4" w:space="0" w:color="auto"/>
            </w:tcBorders>
            <w:vAlign w:val="center"/>
            <w:hideMark/>
          </w:tcPr>
          <w:p w14:paraId="7BC2508D"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68992D9A"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57775ADD"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18E5BC09"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406B6063"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725D9BDD" w14:textId="77777777" w:rsidR="00B02352" w:rsidRPr="00B02352" w:rsidRDefault="00B02352" w:rsidP="00B02352">
            <w:pPr>
              <w:spacing w:after="0"/>
              <w:jc w:val="left"/>
              <w:rPr>
                <w:rFonts w:eastAsia="Times New Roman"/>
                <w:color w:val="000000"/>
                <w:sz w:val="18"/>
                <w:szCs w:val="18"/>
              </w:rPr>
            </w:pPr>
          </w:p>
        </w:tc>
      </w:tr>
      <w:tr w:rsidR="00B02352" w:rsidRPr="00B02352" w14:paraId="6DE48380" w14:textId="77777777" w:rsidTr="00A35929">
        <w:trPr>
          <w:trHeight w:val="480"/>
        </w:trPr>
        <w:tc>
          <w:tcPr>
            <w:tcW w:w="1520" w:type="dxa"/>
            <w:vMerge/>
            <w:tcBorders>
              <w:top w:val="nil"/>
              <w:left w:val="single" w:sz="4" w:space="0" w:color="auto"/>
              <w:bottom w:val="single" w:sz="4" w:space="0" w:color="000000"/>
              <w:right w:val="single" w:sz="4" w:space="0" w:color="auto"/>
            </w:tcBorders>
            <w:vAlign w:val="center"/>
            <w:hideMark/>
          </w:tcPr>
          <w:p w14:paraId="5F702416"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6C254B23" w14:textId="6C8A4FE1"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Authority and legitimacy of all lead organizations responsible for environmental management recognized by stakeholders </w:t>
            </w:r>
          </w:p>
        </w:tc>
        <w:tc>
          <w:tcPr>
            <w:tcW w:w="695" w:type="dxa"/>
            <w:tcBorders>
              <w:top w:val="nil"/>
              <w:left w:val="nil"/>
              <w:bottom w:val="single" w:sz="4" w:space="0" w:color="auto"/>
              <w:right w:val="single" w:sz="4" w:space="0" w:color="auto"/>
            </w:tcBorders>
            <w:shd w:val="clear" w:color="auto" w:fill="auto"/>
            <w:vAlign w:val="center"/>
            <w:hideMark/>
          </w:tcPr>
          <w:p w14:paraId="6DC0742D"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3</w:t>
            </w:r>
          </w:p>
        </w:tc>
        <w:tc>
          <w:tcPr>
            <w:tcW w:w="844" w:type="dxa"/>
            <w:vMerge/>
            <w:tcBorders>
              <w:top w:val="nil"/>
              <w:left w:val="single" w:sz="4" w:space="0" w:color="auto"/>
              <w:bottom w:val="single" w:sz="4" w:space="0" w:color="000000"/>
              <w:right w:val="single" w:sz="4" w:space="0" w:color="auto"/>
            </w:tcBorders>
            <w:vAlign w:val="center"/>
            <w:hideMark/>
          </w:tcPr>
          <w:p w14:paraId="0B35C2EF"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2884038C"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6B88D897"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7BEA04AD"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5BC2495F"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4785AA56" w14:textId="77777777" w:rsidR="00B02352" w:rsidRPr="00B02352" w:rsidRDefault="00B02352" w:rsidP="00B02352">
            <w:pPr>
              <w:spacing w:after="0"/>
              <w:jc w:val="left"/>
              <w:rPr>
                <w:rFonts w:eastAsia="Times New Roman"/>
                <w:color w:val="000000"/>
                <w:sz w:val="18"/>
                <w:szCs w:val="18"/>
              </w:rPr>
            </w:pPr>
          </w:p>
        </w:tc>
      </w:tr>
      <w:tr w:rsidR="00B02352" w:rsidRPr="00B02352" w14:paraId="3308ED54" w14:textId="77777777" w:rsidTr="00A35929">
        <w:trPr>
          <w:trHeight w:val="480"/>
        </w:trPr>
        <w:tc>
          <w:tcPr>
            <w:tcW w:w="1520" w:type="dxa"/>
            <w:vMerge w:val="restart"/>
            <w:tcBorders>
              <w:top w:val="nil"/>
              <w:left w:val="single" w:sz="4" w:space="0" w:color="auto"/>
              <w:bottom w:val="single" w:sz="4" w:space="0" w:color="000000"/>
              <w:right w:val="single" w:sz="4" w:space="0" w:color="auto"/>
            </w:tcBorders>
            <w:shd w:val="clear" w:color="auto" w:fill="auto"/>
            <w:hideMark/>
          </w:tcPr>
          <w:p w14:paraId="7295B2AB" w14:textId="77777777" w:rsidR="00B02352" w:rsidRPr="00B02352" w:rsidRDefault="00B02352" w:rsidP="00B02352">
            <w:pPr>
              <w:spacing w:after="0"/>
              <w:jc w:val="left"/>
              <w:rPr>
                <w:rFonts w:eastAsia="Times New Roman"/>
                <w:b/>
                <w:bCs/>
                <w:color w:val="000000"/>
                <w:sz w:val="18"/>
                <w:szCs w:val="18"/>
              </w:rPr>
            </w:pPr>
            <w:r w:rsidRPr="00B02352">
              <w:rPr>
                <w:rFonts w:eastAsia="Times New Roman"/>
                <w:b/>
                <w:bCs/>
                <w:color w:val="000000"/>
                <w:sz w:val="18"/>
                <w:szCs w:val="18"/>
              </w:rPr>
              <w:t>1.2 Existence of operational co-management mechanisms for Biosecurity and IAS activities</w:t>
            </w:r>
          </w:p>
        </w:tc>
        <w:tc>
          <w:tcPr>
            <w:tcW w:w="3605" w:type="dxa"/>
            <w:tcBorders>
              <w:top w:val="nil"/>
              <w:left w:val="nil"/>
              <w:bottom w:val="single" w:sz="4" w:space="0" w:color="auto"/>
              <w:right w:val="single" w:sz="4" w:space="0" w:color="auto"/>
            </w:tcBorders>
            <w:shd w:val="clear" w:color="auto" w:fill="auto"/>
            <w:hideMark/>
          </w:tcPr>
          <w:p w14:paraId="73F43CFC" w14:textId="11276792"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No co-management mechanisms are in place </w:t>
            </w:r>
          </w:p>
        </w:tc>
        <w:tc>
          <w:tcPr>
            <w:tcW w:w="695" w:type="dxa"/>
            <w:tcBorders>
              <w:top w:val="nil"/>
              <w:left w:val="nil"/>
              <w:bottom w:val="single" w:sz="4" w:space="0" w:color="auto"/>
              <w:right w:val="single" w:sz="4" w:space="0" w:color="auto"/>
            </w:tcBorders>
            <w:shd w:val="clear" w:color="auto" w:fill="auto"/>
            <w:vAlign w:val="center"/>
            <w:hideMark/>
          </w:tcPr>
          <w:p w14:paraId="7BD47AEA"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0</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14:paraId="217C6E74"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14:paraId="3DA60CF7"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w:t>
            </w:r>
          </w:p>
        </w:tc>
        <w:tc>
          <w:tcPr>
            <w:tcW w:w="717" w:type="dxa"/>
            <w:vMerge w:val="restart"/>
            <w:tcBorders>
              <w:top w:val="nil"/>
              <w:left w:val="single" w:sz="4" w:space="0" w:color="auto"/>
              <w:bottom w:val="single" w:sz="4" w:space="0" w:color="000000"/>
              <w:right w:val="single" w:sz="4" w:space="0" w:color="auto"/>
            </w:tcBorders>
            <w:shd w:val="clear" w:color="auto" w:fill="auto"/>
            <w:vAlign w:val="center"/>
            <w:hideMark/>
          </w:tcPr>
          <w:p w14:paraId="264C3BBF"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w:t>
            </w:r>
          </w:p>
        </w:tc>
        <w:tc>
          <w:tcPr>
            <w:tcW w:w="2587" w:type="dxa"/>
            <w:vMerge w:val="restart"/>
            <w:tcBorders>
              <w:top w:val="nil"/>
              <w:left w:val="single" w:sz="4" w:space="0" w:color="auto"/>
              <w:bottom w:val="single" w:sz="4" w:space="0" w:color="000000"/>
              <w:right w:val="single" w:sz="4" w:space="0" w:color="auto"/>
            </w:tcBorders>
            <w:shd w:val="clear" w:color="auto" w:fill="auto"/>
            <w:hideMark/>
          </w:tcPr>
          <w:p w14:paraId="7A168955" w14:textId="487C5941"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Relationships between agencies are established but not formal. There is a strong relationship between the Bureau of Agriculture home to the Biosecurity Office and the Import and Customs agencies, each housed in different ministries. However, there are no formal MOUs in place.</w:t>
            </w:r>
          </w:p>
        </w:tc>
        <w:tc>
          <w:tcPr>
            <w:tcW w:w="2056" w:type="dxa"/>
            <w:vMerge w:val="restart"/>
            <w:tcBorders>
              <w:top w:val="nil"/>
              <w:left w:val="single" w:sz="4" w:space="0" w:color="auto"/>
              <w:bottom w:val="single" w:sz="4" w:space="0" w:color="000000"/>
              <w:right w:val="single" w:sz="4" w:space="0" w:color="auto"/>
            </w:tcBorders>
            <w:shd w:val="clear" w:color="auto" w:fill="auto"/>
            <w:hideMark/>
          </w:tcPr>
          <w:p w14:paraId="4D9F8155"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Develop NISSAP and expand capacity of the National Invasive Species Coordinator, including training.</w:t>
            </w:r>
          </w:p>
        </w:tc>
        <w:tc>
          <w:tcPr>
            <w:tcW w:w="1073" w:type="dxa"/>
            <w:vMerge w:val="restart"/>
            <w:tcBorders>
              <w:top w:val="nil"/>
              <w:left w:val="single" w:sz="4" w:space="0" w:color="auto"/>
              <w:bottom w:val="single" w:sz="4" w:space="0" w:color="000000"/>
              <w:right w:val="single" w:sz="4" w:space="0" w:color="auto"/>
            </w:tcBorders>
            <w:shd w:val="clear" w:color="auto" w:fill="auto"/>
            <w:vAlign w:val="center"/>
            <w:hideMark/>
          </w:tcPr>
          <w:p w14:paraId="7B3172AA"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 2, and 3</w:t>
            </w:r>
          </w:p>
        </w:tc>
      </w:tr>
      <w:tr w:rsidR="00B02352" w:rsidRPr="00B02352" w14:paraId="1833863E" w14:textId="77777777" w:rsidTr="00A35929">
        <w:trPr>
          <w:trHeight w:val="240"/>
        </w:trPr>
        <w:tc>
          <w:tcPr>
            <w:tcW w:w="1520" w:type="dxa"/>
            <w:vMerge/>
            <w:tcBorders>
              <w:top w:val="nil"/>
              <w:left w:val="single" w:sz="4" w:space="0" w:color="auto"/>
              <w:bottom w:val="single" w:sz="4" w:space="0" w:color="000000"/>
              <w:right w:val="single" w:sz="4" w:space="0" w:color="auto"/>
            </w:tcBorders>
            <w:vAlign w:val="center"/>
            <w:hideMark/>
          </w:tcPr>
          <w:p w14:paraId="788575DF"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3307DB5B" w14:textId="2FBD1732"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Some co-management mechanisms are in place and operational </w:t>
            </w:r>
          </w:p>
        </w:tc>
        <w:tc>
          <w:tcPr>
            <w:tcW w:w="695" w:type="dxa"/>
            <w:tcBorders>
              <w:top w:val="nil"/>
              <w:left w:val="nil"/>
              <w:bottom w:val="single" w:sz="4" w:space="0" w:color="auto"/>
              <w:right w:val="single" w:sz="4" w:space="0" w:color="auto"/>
            </w:tcBorders>
            <w:shd w:val="clear" w:color="auto" w:fill="auto"/>
            <w:vAlign w:val="center"/>
            <w:hideMark/>
          </w:tcPr>
          <w:p w14:paraId="4F7708E6"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c>
          <w:tcPr>
            <w:tcW w:w="844" w:type="dxa"/>
            <w:vMerge/>
            <w:tcBorders>
              <w:top w:val="nil"/>
              <w:left w:val="single" w:sz="4" w:space="0" w:color="auto"/>
              <w:bottom w:val="single" w:sz="4" w:space="0" w:color="000000"/>
              <w:right w:val="single" w:sz="4" w:space="0" w:color="auto"/>
            </w:tcBorders>
            <w:vAlign w:val="center"/>
            <w:hideMark/>
          </w:tcPr>
          <w:p w14:paraId="249D4D67"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41AF26D5"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77719EFB"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5CECE8B6"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07A86CC1"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6360EB66" w14:textId="77777777" w:rsidR="00B02352" w:rsidRPr="00B02352" w:rsidRDefault="00B02352" w:rsidP="00B02352">
            <w:pPr>
              <w:spacing w:after="0"/>
              <w:jc w:val="left"/>
              <w:rPr>
                <w:rFonts w:eastAsia="Times New Roman"/>
                <w:color w:val="000000"/>
                <w:sz w:val="18"/>
                <w:szCs w:val="18"/>
              </w:rPr>
            </w:pPr>
          </w:p>
        </w:tc>
      </w:tr>
      <w:tr w:rsidR="00B02352" w:rsidRPr="00B02352" w14:paraId="65F66B52" w14:textId="77777777" w:rsidTr="00A35929">
        <w:trPr>
          <w:trHeight w:val="240"/>
        </w:trPr>
        <w:tc>
          <w:tcPr>
            <w:tcW w:w="1520" w:type="dxa"/>
            <w:vMerge/>
            <w:tcBorders>
              <w:top w:val="nil"/>
              <w:left w:val="single" w:sz="4" w:space="0" w:color="auto"/>
              <w:bottom w:val="single" w:sz="4" w:space="0" w:color="000000"/>
              <w:right w:val="single" w:sz="4" w:space="0" w:color="auto"/>
            </w:tcBorders>
            <w:vAlign w:val="center"/>
            <w:hideMark/>
          </w:tcPr>
          <w:p w14:paraId="0BB1B85E"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3BFA9855" w14:textId="3E7E1369"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Some co-management mechanisms are formally established through agreements, MOUs, etc</w:t>
            </w:r>
            <w:r w:rsidR="00194AA1">
              <w:rPr>
                <w:rFonts w:eastAsia="Times New Roman" w:cs="Arial"/>
                <w:color w:val="000000"/>
                <w:sz w:val="18"/>
                <w:szCs w:val="18"/>
              </w:rPr>
              <w:t xml:space="preserve">. </w:t>
            </w:r>
          </w:p>
        </w:tc>
        <w:tc>
          <w:tcPr>
            <w:tcW w:w="695" w:type="dxa"/>
            <w:tcBorders>
              <w:top w:val="nil"/>
              <w:left w:val="nil"/>
              <w:bottom w:val="single" w:sz="4" w:space="0" w:color="auto"/>
              <w:right w:val="single" w:sz="4" w:space="0" w:color="auto"/>
            </w:tcBorders>
            <w:shd w:val="clear" w:color="auto" w:fill="auto"/>
            <w:vAlign w:val="center"/>
            <w:hideMark/>
          </w:tcPr>
          <w:p w14:paraId="17B2D8D6"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w:t>
            </w:r>
          </w:p>
        </w:tc>
        <w:tc>
          <w:tcPr>
            <w:tcW w:w="844" w:type="dxa"/>
            <w:vMerge/>
            <w:tcBorders>
              <w:top w:val="nil"/>
              <w:left w:val="single" w:sz="4" w:space="0" w:color="auto"/>
              <w:bottom w:val="single" w:sz="4" w:space="0" w:color="000000"/>
              <w:right w:val="single" w:sz="4" w:space="0" w:color="auto"/>
            </w:tcBorders>
            <w:vAlign w:val="center"/>
            <w:hideMark/>
          </w:tcPr>
          <w:p w14:paraId="4335490F"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6E408A94"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3D115091"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5C4CADCE"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04B49D98"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200E76F5" w14:textId="77777777" w:rsidR="00B02352" w:rsidRPr="00B02352" w:rsidRDefault="00B02352" w:rsidP="00B02352">
            <w:pPr>
              <w:spacing w:after="0"/>
              <w:jc w:val="left"/>
              <w:rPr>
                <w:rFonts w:eastAsia="Times New Roman"/>
                <w:color w:val="000000"/>
                <w:sz w:val="18"/>
                <w:szCs w:val="18"/>
              </w:rPr>
            </w:pPr>
          </w:p>
        </w:tc>
      </w:tr>
      <w:tr w:rsidR="00B02352" w:rsidRPr="00B02352" w14:paraId="5AB90A11" w14:textId="77777777" w:rsidTr="00A35929">
        <w:trPr>
          <w:trHeight w:val="240"/>
        </w:trPr>
        <w:tc>
          <w:tcPr>
            <w:tcW w:w="1520" w:type="dxa"/>
            <w:vMerge/>
            <w:tcBorders>
              <w:top w:val="nil"/>
              <w:left w:val="single" w:sz="4" w:space="0" w:color="auto"/>
              <w:bottom w:val="single" w:sz="4" w:space="0" w:color="000000"/>
              <w:right w:val="single" w:sz="4" w:space="0" w:color="auto"/>
            </w:tcBorders>
            <w:vAlign w:val="center"/>
            <w:hideMark/>
          </w:tcPr>
          <w:p w14:paraId="39800C38"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00619B9C" w14:textId="042F93C3"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Comprehensive co-management mechanisms are formally established and are operational/functional </w:t>
            </w:r>
          </w:p>
        </w:tc>
        <w:tc>
          <w:tcPr>
            <w:tcW w:w="695" w:type="dxa"/>
            <w:tcBorders>
              <w:top w:val="nil"/>
              <w:left w:val="nil"/>
              <w:bottom w:val="single" w:sz="4" w:space="0" w:color="auto"/>
              <w:right w:val="single" w:sz="4" w:space="0" w:color="auto"/>
            </w:tcBorders>
            <w:shd w:val="clear" w:color="auto" w:fill="auto"/>
            <w:vAlign w:val="center"/>
            <w:hideMark/>
          </w:tcPr>
          <w:p w14:paraId="3B9B6C4A"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3</w:t>
            </w:r>
          </w:p>
        </w:tc>
        <w:tc>
          <w:tcPr>
            <w:tcW w:w="844" w:type="dxa"/>
            <w:vMerge/>
            <w:tcBorders>
              <w:top w:val="nil"/>
              <w:left w:val="single" w:sz="4" w:space="0" w:color="auto"/>
              <w:bottom w:val="single" w:sz="4" w:space="0" w:color="000000"/>
              <w:right w:val="single" w:sz="4" w:space="0" w:color="auto"/>
            </w:tcBorders>
            <w:vAlign w:val="center"/>
            <w:hideMark/>
          </w:tcPr>
          <w:p w14:paraId="54962AB3"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1FF0F8C2"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7A83FB3F"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344A98BF"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2CD2B0C7"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29D49085" w14:textId="77777777" w:rsidR="00B02352" w:rsidRPr="00B02352" w:rsidRDefault="00B02352" w:rsidP="00B02352">
            <w:pPr>
              <w:spacing w:after="0"/>
              <w:jc w:val="left"/>
              <w:rPr>
                <w:rFonts w:eastAsia="Times New Roman"/>
                <w:color w:val="000000"/>
                <w:sz w:val="18"/>
                <w:szCs w:val="18"/>
              </w:rPr>
            </w:pPr>
          </w:p>
        </w:tc>
      </w:tr>
      <w:tr w:rsidR="00B02352" w:rsidRPr="00B02352" w14:paraId="6A86CE17" w14:textId="77777777" w:rsidTr="00A35929">
        <w:trPr>
          <w:trHeight w:val="480"/>
        </w:trPr>
        <w:tc>
          <w:tcPr>
            <w:tcW w:w="1520" w:type="dxa"/>
            <w:vMerge w:val="restart"/>
            <w:tcBorders>
              <w:top w:val="nil"/>
              <w:left w:val="single" w:sz="4" w:space="0" w:color="auto"/>
              <w:bottom w:val="single" w:sz="4" w:space="0" w:color="000000"/>
              <w:right w:val="single" w:sz="4" w:space="0" w:color="auto"/>
            </w:tcBorders>
            <w:shd w:val="clear" w:color="auto" w:fill="auto"/>
            <w:hideMark/>
          </w:tcPr>
          <w:p w14:paraId="07C42085" w14:textId="77777777" w:rsidR="00B02352" w:rsidRPr="00B02352" w:rsidRDefault="00B02352" w:rsidP="00B02352">
            <w:pPr>
              <w:spacing w:after="0"/>
              <w:jc w:val="left"/>
              <w:rPr>
                <w:rFonts w:eastAsia="Times New Roman"/>
                <w:b/>
                <w:bCs/>
                <w:color w:val="000000"/>
                <w:sz w:val="18"/>
                <w:szCs w:val="18"/>
              </w:rPr>
            </w:pPr>
            <w:r w:rsidRPr="00B02352">
              <w:rPr>
                <w:rFonts w:eastAsia="Times New Roman"/>
                <w:b/>
                <w:bCs/>
                <w:color w:val="000000"/>
                <w:sz w:val="18"/>
                <w:szCs w:val="18"/>
              </w:rPr>
              <w:t>1.3. Existence of cooperation with stakeholder groups for Biosecurity</w:t>
            </w:r>
          </w:p>
        </w:tc>
        <w:tc>
          <w:tcPr>
            <w:tcW w:w="3605" w:type="dxa"/>
            <w:tcBorders>
              <w:top w:val="nil"/>
              <w:left w:val="nil"/>
              <w:bottom w:val="single" w:sz="4" w:space="0" w:color="auto"/>
              <w:right w:val="single" w:sz="4" w:space="0" w:color="auto"/>
            </w:tcBorders>
            <w:shd w:val="clear" w:color="auto" w:fill="auto"/>
            <w:hideMark/>
          </w:tcPr>
          <w:p w14:paraId="0A2048D7" w14:textId="304454F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Identification of stakeholders and their participation/involvement in decision-making is poor </w:t>
            </w:r>
          </w:p>
        </w:tc>
        <w:tc>
          <w:tcPr>
            <w:tcW w:w="695" w:type="dxa"/>
            <w:tcBorders>
              <w:top w:val="nil"/>
              <w:left w:val="nil"/>
              <w:bottom w:val="single" w:sz="4" w:space="0" w:color="auto"/>
              <w:right w:val="single" w:sz="4" w:space="0" w:color="auto"/>
            </w:tcBorders>
            <w:shd w:val="clear" w:color="auto" w:fill="auto"/>
            <w:vAlign w:val="center"/>
            <w:hideMark/>
          </w:tcPr>
          <w:p w14:paraId="13970E44"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0</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14:paraId="250AF5FC"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14:paraId="308B8FA0"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w:t>
            </w:r>
          </w:p>
        </w:tc>
        <w:tc>
          <w:tcPr>
            <w:tcW w:w="717" w:type="dxa"/>
            <w:vMerge w:val="restart"/>
            <w:tcBorders>
              <w:top w:val="nil"/>
              <w:left w:val="single" w:sz="4" w:space="0" w:color="auto"/>
              <w:bottom w:val="single" w:sz="4" w:space="0" w:color="000000"/>
              <w:right w:val="single" w:sz="4" w:space="0" w:color="auto"/>
            </w:tcBorders>
            <w:shd w:val="clear" w:color="auto" w:fill="auto"/>
            <w:vAlign w:val="center"/>
            <w:hideMark/>
          </w:tcPr>
          <w:p w14:paraId="7511C71C"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w:t>
            </w:r>
          </w:p>
        </w:tc>
        <w:tc>
          <w:tcPr>
            <w:tcW w:w="2587" w:type="dxa"/>
            <w:vMerge w:val="restart"/>
            <w:tcBorders>
              <w:top w:val="nil"/>
              <w:left w:val="single" w:sz="4" w:space="0" w:color="auto"/>
              <w:bottom w:val="single" w:sz="4" w:space="0" w:color="000000"/>
              <w:right w:val="single" w:sz="4" w:space="0" w:color="auto"/>
            </w:tcBorders>
            <w:shd w:val="clear" w:color="auto" w:fill="auto"/>
            <w:hideMark/>
          </w:tcPr>
          <w:p w14:paraId="46108325"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Biosecurity agencies are limited in ability to conduct awareness and build partnerships, especially with new businesses. They communicate with stakeholders on an ad hoc basis that varies in mechanism.</w:t>
            </w:r>
          </w:p>
        </w:tc>
        <w:tc>
          <w:tcPr>
            <w:tcW w:w="2056" w:type="dxa"/>
            <w:vMerge w:val="restart"/>
            <w:tcBorders>
              <w:top w:val="nil"/>
              <w:left w:val="single" w:sz="4" w:space="0" w:color="auto"/>
              <w:bottom w:val="single" w:sz="4" w:space="0" w:color="000000"/>
              <w:right w:val="single" w:sz="4" w:space="0" w:color="auto"/>
            </w:tcBorders>
            <w:shd w:val="clear" w:color="auto" w:fill="auto"/>
            <w:hideMark/>
          </w:tcPr>
          <w:p w14:paraId="0283F398"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Incorporate framework into national and state planning documents across multiple agencies, starting with MNRET, NISCO, NISC, and BD. Update plans with input from same stakeholders. Conduct cross training.</w:t>
            </w:r>
          </w:p>
        </w:tc>
        <w:tc>
          <w:tcPr>
            <w:tcW w:w="1073" w:type="dxa"/>
            <w:vMerge w:val="restart"/>
            <w:tcBorders>
              <w:top w:val="nil"/>
              <w:left w:val="single" w:sz="4" w:space="0" w:color="auto"/>
              <w:bottom w:val="single" w:sz="4" w:space="0" w:color="000000"/>
              <w:right w:val="single" w:sz="4" w:space="0" w:color="auto"/>
            </w:tcBorders>
            <w:shd w:val="clear" w:color="auto" w:fill="auto"/>
            <w:vAlign w:val="center"/>
            <w:hideMark/>
          </w:tcPr>
          <w:p w14:paraId="1B24B6D5"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 2, and 3</w:t>
            </w:r>
          </w:p>
        </w:tc>
      </w:tr>
      <w:tr w:rsidR="00B02352" w:rsidRPr="00B02352" w14:paraId="5AEACF06" w14:textId="77777777" w:rsidTr="00A35929">
        <w:trPr>
          <w:trHeight w:val="240"/>
        </w:trPr>
        <w:tc>
          <w:tcPr>
            <w:tcW w:w="1520" w:type="dxa"/>
            <w:vMerge/>
            <w:tcBorders>
              <w:top w:val="nil"/>
              <w:left w:val="single" w:sz="4" w:space="0" w:color="auto"/>
              <w:bottom w:val="single" w:sz="4" w:space="0" w:color="000000"/>
              <w:right w:val="single" w:sz="4" w:space="0" w:color="auto"/>
            </w:tcBorders>
            <w:vAlign w:val="center"/>
            <w:hideMark/>
          </w:tcPr>
          <w:p w14:paraId="509D287D"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38271EF9" w14:textId="6578DE10"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Stakeholders are identified but their participation in decision-making is limited </w:t>
            </w:r>
          </w:p>
        </w:tc>
        <w:tc>
          <w:tcPr>
            <w:tcW w:w="695" w:type="dxa"/>
            <w:tcBorders>
              <w:top w:val="nil"/>
              <w:left w:val="nil"/>
              <w:bottom w:val="single" w:sz="4" w:space="0" w:color="auto"/>
              <w:right w:val="single" w:sz="4" w:space="0" w:color="auto"/>
            </w:tcBorders>
            <w:shd w:val="clear" w:color="auto" w:fill="auto"/>
            <w:vAlign w:val="center"/>
            <w:hideMark/>
          </w:tcPr>
          <w:p w14:paraId="4FDC0EF2"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c>
          <w:tcPr>
            <w:tcW w:w="844" w:type="dxa"/>
            <w:vMerge/>
            <w:tcBorders>
              <w:top w:val="nil"/>
              <w:left w:val="single" w:sz="4" w:space="0" w:color="auto"/>
              <w:bottom w:val="single" w:sz="4" w:space="0" w:color="000000"/>
              <w:right w:val="single" w:sz="4" w:space="0" w:color="auto"/>
            </w:tcBorders>
            <w:vAlign w:val="center"/>
            <w:hideMark/>
          </w:tcPr>
          <w:p w14:paraId="4836479C"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65660283"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157B4970"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35BD0C1B"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3086270D"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2594DCE4" w14:textId="77777777" w:rsidR="00B02352" w:rsidRPr="00B02352" w:rsidRDefault="00B02352" w:rsidP="00B02352">
            <w:pPr>
              <w:spacing w:after="0"/>
              <w:jc w:val="left"/>
              <w:rPr>
                <w:rFonts w:eastAsia="Times New Roman"/>
                <w:color w:val="000000"/>
                <w:sz w:val="18"/>
                <w:szCs w:val="18"/>
              </w:rPr>
            </w:pPr>
          </w:p>
        </w:tc>
      </w:tr>
      <w:tr w:rsidR="00B02352" w:rsidRPr="00B02352" w14:paraId="0AEB364B" w14:textId="77777777" w:rsidTr="00A35929">
        <w:trPr>
          <w:trHeight w:val="240"/>
        </w:trPr>
        <w:tc>
          <w:tcPr>
            <w:tcW w:w="1520" w:type="dxa"/>
            <w:vMerge/>
            <w:tcBorders>
              <w:top w:val="nil"/>
              <w:left w:val="single" w:sz="4" w:space="0" w:color="auto"/>
              <w:bottom w:val="single" w:sz="4" w:space="0" w:color="000000"/>
              <w:right w:val="single" w:sz="4" w:space="0" w:color="auto"/>
            </w:tcBorders>
            <w:vAlign w:val="center"/>
            <w:hideMark/>
          </w:tcPr>
          <w:p w14:paraId="7D14FBDB"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290F093B" w14:textId="68EC08A4"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Stakeholders are identified and regular consultations mechanisms are established </w:t>
            </w:r>
          </w:p>
        </w:tc>
        <w:tc>
          <w:tcPr>
            <w:tcW w:w="695" w:type="dxa"/>
            <w:tcBorders>
              <w:top w:val="nil"/>
              <w:left w:val="nil"/>
              <w:bottom w:val="single" w:sz="4" w:space="0" w:color="auto"/>
              <w:right w:val="single" w:sz="4" w:space="0" w:color="auto"/>
            </w:tcBorders>
            <w:shd w:val="clear" w:color="auto" w:fill="auto"/>
            <w:vAlign w:val="center"/>
            <w:hideMark/>
          </w:tcPr>
          <w:p w14:paraId="40E1DBE6"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w:t>
            </w:r>
          </w:p>
        </w:tc>
        <w:tc>
          <w:tcPr>
            <w:tcW w:w="844" w:type="dxa"/>
            <w:vMerge/>
            <w:tcBorders>
              <w:top w:val="nil"/>
              <w:left w:val="single" w:sz="4" w:space="0" w:color="auto"/>
              <w:bottom w:val="single" w:sz="4" w:space="0" w:color="000000"/>
              <w:right w:val="single" w:sz="4" w:space="0" w:color="auto"/>
            </w:tcBorders>
            <w:vAlign w:val="center"/>
            <w:hideMark/>
          </w:tcPr>
          <w:p w14:paraId="33BDDAA0"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1578FE53"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5DC17398"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617C65F5"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7C605CBD"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17D2BEB7" w14:textId="77777777" w:rsidR="00B02352" w:rsidRPr="00B02352" w:rsidRDefault="00B02352" w:rsidP="00B02352">
            <w:pPr>
              <w:spacing w:after="0"/>
              <w:jc w:val="left"/>
              <w:rPr>
                <w:rFonts w:eastAsia="Times New Roman"/>
                <w:color w:val="000000"/>
                <w:sz w:val="18"/>
                <w:szCs w:val="18"/>
              </w:rPr>
            </w:pPr>
          </w:p>
        </w:tc>
      </w:tr>
      <w:tr w:rsidR="00B02352" w:rsidRPr="00B02352" w14:paraId="6C029AD3" w14:textId="77777777" w:rsidTr="00A35929">
        <w:trPr>
          <w:trHeight w:val="710"/>
        </w:trPr>
        <w:tc>
          <w:tcPr>
            <w:tcW w:w="1520" w:type="dxa"/>
            <w:vMerge/>
            <w:tcBorders>
              <w:top w:val="nil"/>
              <w:left w:val="single" w:sz="4" w:space="0" w:color="auto"/>
              <w:bottom w:val="single" w:sz="4" w:space="0" w:color="000000"/>
              <w:right w:val="single" w:sz="4" w:space="0" w:color="auto"/>
            </w:tcBorders>
            <w:vAlign w:val="center"/>
            <w:hideMark/>
          </w:tcPr>
          <w:p w14:paraId="7C8E9D7B"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063C6768" w14:textId="24A452F0"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Stakeholders are identified and they actively contribute to established participative decision</w:t>
            </w:r>
            <w:r w:rsidR="005F36E3">
              <w:rPr>
                <w:rFonts w:eastAsia="Times New Roman" w:cs="Arial"/>
                <w:color w:val="000000"/>
                <w:sz w:val="18"/>
                <w:szCs w:val="18"/>
              </w:rPr>
              <w:t>-</w:t>
            </w:r>
            <w:r w:rsidRPr="00B02352">
              <w:rPr>
                <w:rFonts w:eastAsia="Times New Roman" w:cs="Arial"/>
                <w:color w:val="000000"/>
                <w:sz w:val="18"/>
                <w:szCs w:val="18"/>
              </w:rPr>
              <w:t xml:space="preserve">making processes </w:t>
            </w:r>
          </w:p>
        </w:tc>
        <w:tc>
          <w:tcPr>
            <w:tcW w:w="695" w:type="dxa"/>
            <w:tcBorders>
              <w:top w:val="nil"/>
              <w:left w:val="nil"/>
              <w:bottom w:val="single" w:sz="4" w:space="0" w:color="auto"/>
              <w:right w:val="single" w:sz="4" w:space="0" w:color="auto"/>
            </w:tcBorders>
            <w:shd w:val="clear" w:color="auto" w:fill="auto"/>
            <w:vAlign w:val="center"/>
            <w:hideMark/>
          </w:tcPr>
          <w:p w14:paraId="5657ADAA"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3</w:t>
            </w:r>
          </w:p>
        </w:tc>
        <w:tc>
          <w:tcPr>
            <w:tcW w:w="844" w:type="dxa"/>
            <w:vMerge/>
            <w:tcBorders>
              <w:top w:val="nil"/>
              <w:left w:val="single" w:sz="4" w:space="0" w:color="auto"/>
              <w:bottom w:val="single" w:sz="4" w:space="0" w:color="000000"/>
              <w:right w:val="single" w:sz="4" w:space="0" w:color="auto"/>
            </w:tcBorders>
            <w:vAlign w:val="center"/>
            <w:hideMark/>
          </w:tcPr>
          <w:p w14:paraId="7CAE2507"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3FCF6851"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12E1BF20"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796DDDFA"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06E9B83C"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4F4D8560" w14:textId="77777777" w:rsidR="00B02352" w:rsidRPr="00B02352" w:rsidRDefault="00B02352" w:rsidP="00B02352">
            <w:pPr>
              <w:spacing w:after="0"/>
              <w:jc w:val="left"/>
              <w:rPr>
                <w:rFonts w:eastAsia="Times New Roman"/>
                <w:color w:val="000000"/>
                <w:sz w:val="18"/>
                <w:szCs w:val="18"/>
              </w:rPr>
            </w:pPr>
          </w:p>
        </w:tc>
      </w:tr>
      <w:tr w:rsidR="00B02352" w:rsidRPr="00B02352" w14:paraId="37214F80" w14:textId="77777777" w:rsidTr="00A35929">
        <w:trPr>
          <w:trHeight w:val="188"/>
        </w:trPr>
        <w:tc>
          <w:tcPr>
            <w:tcW w:w="13845" w:type="dxa"/>
            <w:gridSpan w:val="9"/>
            <w:tcBorders>
              <w:top w:val="nil"/>
              <w:left w:val="single" w:sz="4" w:space="0" w:color="auto"/>
              <w:bottom w:val="single" w:sz="4" w:space="0" w:color="auto"/>
              <w:right w:val="single" w:sz="4" w:space="0" w:color="auto"/>
            </w:tcBorders>
            <w:shd w:val="clear" w:color="000000" w:fill="D6E3BC"/>
            <w:hideMark/>
          </w:tcPr>
          <w:p w14:paraId="3AFA8085" w14:textId="77777777" w:rsidR="00B02352" w:rsidRPr="00B02352" w:rsidRDefault="00B02352" w:rsidP="00B02352">
            <w:pPr>
              <w:spacing w:after="0"/>
              <w:jc w:val="left"/>
              <w:rPr>
                <w:rFonts w:eastAsia="Times New Roman"/>
                <w:b/>
                <w:bCs/>
                <w:color w:val="000000"/>
                <w:sz w:val="18"/>
                <w:szCs w:val="18"/>
              </w:rPr>
            </w:pPr>
            <w:r w:rsidRPr="00B02352">
              <w:rPr>
                <w:rFonts w:eastAsia="Times New Roman"/>
                <w:b/>
                <w:bCs/>
                <w:color w:val="000000"/>
                <w:sz w:val="18"/>
                <w:szCs w:val="18"/>
              </w:rPr>
              <w:t>CR 2: Capacities to generate, access and use information and knowledge</w:t>
            </w:r>
          </w:p>
        </w:tc>
      </w:tr>
      <w:tr w:rsidR="00B02352" w:rsidRPr="00B02352" w14:paraId="03C45A3A" w14:textId="77777777" w:rsidTr="00A35929">
        <w:trPr>
          <w:trHeight w:val="480"/>
        </w:trPr>
        <w:tc>
          <w:tcPr>
            <w:tcW w:w="1520" w:type="dxa"/>
            <w:vMerge w:val="restart"/>
            <w:tcBorders>
              <w:top w:val="nil"/>
              <w:left w:val="single" w:sz="4" w:space="0" w:color="auto"/>
              <w:bottom w:val="single" w:sz="4" w:space="0" w:color="000000"/>
              <w:right w:val="single" w:sz="4" w:space="0" w:color="auto"/>
            </w:tcBorders>
            <w:shd w:val="clear" w:color="auto" w:fill="auto"/>
            <w:hideMark/>
          </w:tcPr>
          <w:p w14:paraId="13F3AB88" w14:textId="77777777" w:rsidR="00B02352" w:rsidRPr="00B02352" w:rsidRDefault="00B02352" w:rsidP="00B02352">
            <w:pPr>
              <w:spacing w:after="0"/>
              <w:jc w:val="left"/>
              <w:rPr>
                <w:rFonts w:eastAsia="Times New Roman"/>
                <w:b/>
                <w:bCs/>
                <w:color w:val="000000"/>
                <w:sz w:val="18"/>
                <w:szCs w:val="18"/>
              </w:rPr>
            </w:pPr>
            <w:r w:rsidRPr="00B02352">
              <w:rPr>
                <w:rFonts w:eastAsia="Times New Roman"/>
                <w:b/>
                <w:bCs/>
                <w:color w:val="000000"/>
                <w:sz w:val="18"/>
                <w:szCs w:val="18"/>
              </w:rPr>
              <w:t>2.1. Degree of Biosecurity awareness of stakeholders</w:t>
            </w:r>
          </w:p>
        </w:tc>
        <w:tc>
          <w:tcPr>
            <w:tcW w:w="3605" w:type="dxa"/>
            <w:tcBorders>
              <w:top w:val="nil"/>
              <w:left w:val="nil"/>
              <w:bottom w:val="single" w:sz="4" w:space="0" w:color="auto"/>
              <w:right w:val="single" w:sz="4" w:space="0" w:color="auto"/>
            </w:tcBorders>
            <w:shd w:val="clear" w:color="auto" w:fill="auto"/>
            <w:hideMark/>
          </w:tcPr>
          <w:p w14:paraId="06084592"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Stakeholders are not aware about global environmental issues and their related possible solutions </w:t>
            </w:r>
          </w:p>
          <w:p w14:paraId="06619842"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MEAs </w:t>
            </w:r>
          </w:p>
        </w:tc>
        <w:tc>
          <w:tcPr>
            <w:tcW w:w="695" w:type="dxa"/>
            <w:tcBorders>
              <w:top w:val="nil"/>
              <w:left w:val="nil"/>
              <w:bottom w:val="single" w:sz="4" w:space="0" w:color="auto"/>
              <w:right w:val="single" w:sz="4" w:space="0" w:color="auto"/>
            </w:tcBorders>
            <w:shd w:val="clear" w:color="auto" w:fill="auto"/>
            <w:vAlign w:val="center"/>
            <w:hideMark/>
          </w:tcPr>
          <w:p w14:paraId="691AC183"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0</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14:paraId="427EBEDE"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14:paraId="136D234B"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w:t>
            </w:r>
          </w:p>
        </w:tc>
        <w:tc>
          <w:tcPr>
            <w:tcW w:w="717" w:type="dxa"/>
            <w:vMerge w:val="restart"/>
            <w:tcBorders>
              <w:top w:val="nil"/>
              <w:left w:val="single" w:sz="4" w:space="0" w:color="auto"/>
              <w:bottom w:val="single" w:sz="4" w:space="0" w:color="000000"/>
              <w:right w:val="single" w:sz="4" w:space="0" w:color="auto"/>
            </w:tcBorders>
            <w:shd w:val="clear" w:color="auto" w:fill="auto"/>
            <w:vAlign w:val="center"/>
            <w:hideMark/>
          </w:tcPr>
          <w:p w14:paraId="5CEFA326"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3</w:t>
            </w:r>
          </w:p>
        </w:tc>
        <w:tc>
          <w:tcPr>
            <w:tcW w:w="2587" w:type="dxa"/>
            <w:vMerge w:val="restart"/>
            <w:tcBorders>
              <w:top w:val="nil"/>
              <w:left w:val="single" w:sz="4" w:space="0" w:color="auto"/>
              <w:bottom w:val="single" w:sz="4" w:space="0" w:color="000000"/>
              <w:right w:val="single" w:sz="4" w:space="0" w:color="auto"/>
            </w:tcBorders>
            <w:shd w:val="clear" w:color="auto" w:fill="auto"/>
            <w:hideMark/>
          </w:tcPr>
          <w:p w14:paraId="7052DDC4"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Currently there is little awareness of Biosecurity and limited knowledge of certain Invasive Alien Species and/or their management. The vast majority of community-based stakeholders do not know how to recognize, prevent, or control IAS. Many don't see the links between actions on the ground and biosecurity nor do they understand the value of Biosecurity.</w:t>
            </w:r>
          </w:p>
        </w:tc>
        <w:tc>
          <w:tcPr>
            <w:tcW w:w="2056" w:type="dxa"/>
            <w:vMerge w:val="restart"/>
            <w:tcBorders>
              <w:top w:val="nil"/>
              <w:left w:val="single" w:sz="4" w:space="0" w:color="auto"/>
              <w:bottom w:val="single" w:sz="4" w:space="0" w:color="000000"/>
              <w:right w:val="single" w:sz="4" w:space="0" w:color="auto"/>
            </w:tcBorders>
            <w:shd w:val="clear" w:color="auto" w:fill="auto"/>
            <w:hideMark/>
          </w:tcPr>
          <w:p w14:paraId="361296CC"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Develop awareness strategy and conduct initial survey to determine current level of knowledge. Implement national awareness campaign. Develop school curriculum.</w:t>
            </w:r>
          </w:p>
        </w:tc>
        <w:tc>
          <w:tcPr>
            <w:tcW w:w="1073" w:type="dxa"/>
            <w:vMerge w:val="restart"/>
            <w:tcBorders>
              <w:top w:val="nil"/>
              <w:left w:val="single" w:sz="4" w:space="0" w:color="auto"/>
              <w:bottom w:val="single" w:sz="4" w:space="0" w:color="000000"/>
              <w:right w:val="single" w:sz="4" w:space="0" w:color="auto"/>
            </w:tcBorders>
            <w:shd w:val="clear" w:color="auto" w:fill="auto"/>
            <w:vAlign w:val="center"/>
            <w:hideMark/>
          </w:tcPr>
          <w:p w14:paraId="022FEDD9"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4</w:t>
            </w:r>
          </w:p>
        </w:tc>
      </w:tr>
      <w:tr w:rsidR="00B02352" w:rsidRPr="00B02352" w14:paraId="76878EBD" w14:textId="77777777" w:rsidTr="00A35929">
        <w:trPr>
          <w:trHeight w:val="240"/>
        </w:trPr>
        <w:tc>
          <w:tcPr>
            <w:tcW w:w="1520" w:type="dxa"/>
            <w:vMerge/>
            <w:tcBorders>
              <w:top w:val="nil"/>
              <w:left w:val="single" w:sz="4" w:space="0" w:color="auto"/>
              <w:bottom w:val="single" w:sz="4" w:space="0" w:color="000000"/>
              <w:right w:val="single" w:sz="4" w:space="0" w:color="auto"/>
            </w:tcBorders>
            <w:vAlign w:val="center"/>
            <w:hideMark/>
          </w:tcPr>
          <w:p w14:paraId="1EC625FC"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32AC06E3"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Stakeholders are aware about global environmental issues but not about the possible solutions </w:t>
            </w:r>
          </w:p>
          <w:p w14:paraId="0C90EE99"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MEAs </w:t>
            </w:r>
          </w:p>
        </w:tc>
        <w:tc>
          <w:tcPr>
            <w:tcW w:w="695" w:type="dxa"/>
            <w:tcBorders>
              <w:top w:val="nil"/>
              <w:left w:val="nil"/>
              <w:bottom w:val="single" w:sz="4" w:space="0" w:color="auto"/>
              <w:right w:val="single" w:sz="4" w:space="0" w:color="auto"/>
            </w:tcBorders>
            <w:shd w:val="clear" w:color="auto" w:fill="auto"/>
            <w:vAlign w:val="center"/>
            <w:hideMark/>
          </w:tcPr>
          <w:p w14:paraId="2F1E2149"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c>
          <w:tcPr>
            <w:tcW w:w="844" w:type="dxa"/>
            <w:vMerge/>
            <w:tcBorders>
              <w:top w:val="nil"/>
              <w:left w:val="single" w:sz="4" w:space="0" w:color="auto"/>
              <w:bottom w:val="single" w:sz="4" w:space="0" w:color="000000"/>
              <w:right w:val="single" w:sz="4" w:space="0" w:color="auto"/>
            </w:tcBorders>
            <w:vAlign w:val="center"/>
            <w:hideMark/>
          </w:tcPr>
          <w:p w14:paraId="31EFCA78"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573730BA"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7B552A91"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0D4F00DA"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2AE06E8F"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7EFE22BC" w14:textId="77777777" w:rsidR="00B02352" w:rsidRPr="00B02352" w:rsidRDefault="00B02352" w:rsidP="00B02352">
            <w:pPr>
              <w:spacing w:after="0"/>
              <w:jc w:val="left"/>
              <w:rPr>
                <w:rFonts w:eastAsia="Times New Roman"/>
                <w:color w:val="000000"/>
                <w:sz w:val="18"/>
                <w:szCs w:val="18"/>
              </w:rPr>
            </w:pPr>
          </w:p>
        </w:tc>
      </w:tr>
      <w:tr w:rsidR="00B02352" w:rsidRPr="00B02352" w14:paraId="0F2DE64A" w14:textId="77777777" w:rsidTr="00A35929">
        <w:trPr>
          <w:trHeight w:val="480"/>
        </w:trPr>
        <w:tc>
          <w:tcPr>
            <w:tcW w:w="1520" w:type="dxa"/>
            <w:vMerge/>
            <w:tcBorders>
              <w:top w:val="nil"/>
              <w:left w:val="single" w:sz="4" w:space="0" w:color="auto"/>
              <w:bottom w:val="single" w:sz="4" w:space="0" w:color="000000"/>
              <w:right w:val="single" w:sz="4" w:space="0" w:color="auto"/>
            </w:tcBorders>
            <w:vAlign w:val="center"/>
            <w:hideMark/>
          </w:tcPr>
          <w:p w14:paraId="497BE005"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304E074B"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Stakeholders are aware about global environmental issues and the possible solutions but do not know how to participate </w:t>
            </w:r>
          </w:p>
        </w:tc>
        <w:tc>
          <w:tcPr>
            <w:tcW w:w="695" w:type="dxa"/>
            <w:tcBorders>
              <w:top w:val="nil"/>
              <w:left w:val="nil"/>
              <w:bottom w:val="single" w:sz="4" w:space="0" w:color="auto"/>
              <w:right w:val="single" w:sz="4" w:space="0" w:color="auto"/>
            </w:tcBorders>
            <w:shd w:val="clear" w:color="auto" w:fill="auto"/>
            <w:vAlign w:val="center"/>
            <w:hideMark/>
          </w:tcPr>
          <w:p w14:paraId="3C7A9C2B"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w:t>
            </w:r>
          </w:p>
        </w:tc>
        <w:tc>
          <w:tcPr>
            <w:tcW w:w="844" w:type="dxa"/>
            <w:vMerge/>
            <w:tcBorders>
              <w:top w:val="nil"/>
              <w:left w:val="single" w:sz="4" w:space="0" w:color="auto"/>
              <w:bottom w:val="single" w:sz="4" w:space="0" w:color="000000"/>
              <w:right w:val="single" w:sz="4" w:space="0" w:color="auto"/>
            </w:tcBorders>
            <w:vAlign w:val="center"/>
            <w:hideMark/>
          </w:tcPr>
          <w:p w14:paraId="46C5E1E1"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307760C9"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6EC8D602"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29C70683"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535185C3"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79857030" w14:textId="77777777" w:rsidR="00B02352" w:rsidRPr="00B02352" w:rsidRDefault="00B02352" w:rsidP="00B02352">
            <w:pPr>
              <w:spacing w:after="0"/>
              <w:jc w:val="left"/>
              <w:rPr>
                <w:rFonts w:eastAsia="Times New Roman"/>
                <w:color w:val="000000"/>
                <w:sz w:val="18"/>
                <w:szCs w:val="18"/>
              </w:rPr>
            </w:pPr>
          </w:p>
        </w:tc>
      </w:tr>
      <w:tr w:rsidR="00B02352" w:rsidRPr="00B02352" w14:paraId="01EFC3B8" w14:textId="77777777" w:rsidTr="00A35929">
        <w:trPr>
          <w:trHeight w:val="480"/>
        </w:trPr>
        <w:tc>
          <w:tcPr>
            <w:tcW w:w="1520" w:type="dxa"/>
            <w:vMerge/>
            <w:tcBorders>
              <w:top w:val="nil"/>
              <w:left w:val="single" w:sz="4" w:space="0" w:color="auto"/>
              <w:bottom w:val="single" w:sz="4" w:space="0" w:color="000000"/>
              <w:right w:val="single" w:sz="4" w:space="0" w:color="auto"/>
            </w:tcBorders>
            <w:vAlign w:val="center"/>
            <w:hideMark/>
          </w:tcPr>
          <w:p w14:paraId="6EE85A4E"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62DD4FBB"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Stakeholders are aware about global environmental issues and are actively participating in the implementation of related solutions </w:t>
            </w:r>
          </w:p>
        </w:tc>
        <w:tc>
          <w:tcPr>
            <w:tcW w:w="695" w:type="dxa"/>
            <w:tcBorders>
              <w:top w:val="nil"/>
              <w:left w:val="nil"/>
              <w:bottom w:val="single" w:sz="4" w:space="0" w:color="auto"/>
              <w:right w:val="single" w:sz="4" w:space="0" w:color="auto"/>
            </w:tcBorders>
            <w:shd w:val="clear" w:color="auto" w:fill="auto"/>
            <w:vAlign w:val="center"/>
            <w:hideMark/>
          </w:tcPr>
          <w:p w14:paraId="5F489A44"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3</w:t>
            </w:r>
          </w:p>
        </w:tc>
        <w:tc>
          <w:tcPr>
            <w:tcW w:w="844" w:type="dxa"/>
            <w:vMerge/>
            <w:tcBorders>
              <w:top w:val="nil"/>
              <w:left w:val="single" w:sz="4" w:space="0" w:color="auto"/>
              <w:bottom w:val="single" w:sz="4" w:space="0" w:color="000000"/>
              <w:right w:val="single" w:sz="4" w:space="0" w:color="auto"/>
            </w:tcBorders>
            <w:vAlign w:val="center"/>
            <w:hideMark/>
          </w:tcPr>
          <w:p w14:paraId="7F52FAAA"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2D675567"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70441DD1"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0038CD1F"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1E21CAD9"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116F9D3C" w14:textId="77777777" w:rsidR="00B02352" w:rsidRPr="00B02352" w:rsidRDefault="00B02352" w:rsidP="00B02352">
            <w:pPr>
              <w:spacing w:after="0"/>
              <w:jc w:val="left"/>
              <w:rPr>
                <w:rFonts w:eastAsia="Times New Roman"/>
                <w:color w:val="000000"/>
                <w:sz w:val="18"/>
                <w:szCs w:val="18"/>
              </w:rPr>
            </w:pPr>
          </w:p>
        </w:tc>
      </w:tr>
      <w:tr w:rsidR="00B02352" w:rsidRPr="00B02352" w14:paraId="26CA6226" w14:textId="77777777" w:rsidTr="00A35929">
        <w:trPr>
          <w:trHeight w:val="720"/>
        </w:trPr>
        <w:tc>
          <w:tcPr>
            <w:tcW w:w="1520" w:type="dxa"/>
            <w:vMerge w:val="restart"/>
            <w:tcBorders>
              <w:top w:val="nil"/>
              <w:left w:val="single" w:sz="4" w:space="0" w:color="auto"/>
              <w:bottom w:val="single" w:sz="4" w:space="0" w:color="000000"/>
              <w:right w:val="single" w:sz="4" w:space="0" w:color="auto"/>
            </w:tcBorders>
            <w:shd w:val="clear" w:color="auto" w:fill="auto"/>
            <w:hideMark/>
          </w:tcPr>
          <w:p w14:paraId="663410CE" w14:textId="7A19DE5B" w:rsidR="00B02352" w:rsidRPr="00B02352" w:rsidRDefault="00B02352" w:rsidP="00B02352">
            <w:pPr>
              <w:spacing w:after="0"/>
              <w:jc w:val="left"/>
              <w:rPr>
                <w:rFonts w:eastAsia="Times New Roman"/>
                <w:b/>
                <w:bCs/>
                <w:color w:val="000000"/>
                <w:sz w:val="18"/>
                <w:szCs w:val="18"/>
              </w:rPr>
            </w:pPr>
            <w:r w:rsidRPr="00B02352">
              <w:rPr>
                <w:rFonts w:eastAsia="Times New Roman"/>
                <w:b/>
                <w:bCs/>
                <w:color w:val="000000"/>
                <w:sz w:val="18"/>
                <w:szCs w:val="18"/>
              </w:rPr>
              <w:t xml:space="preserve">2.2. Access and </w:t>
            </w:r>
            <w:r w:rsidR="005F36E3">
              <w:rPr>
                <w:rFonts w:eastAsia="Times New Roman"/>
                <w:b/>
                <w:bCs/>
                <w:color w:val="000000"/>
                <w:sz w:val="18"/>
                <w:szCs w:val="18"/>
              </w:rPr>
              <w:t xml:space="preserve">sharing of biosecurity-related </w:t>
            </w:r>
            <w:r w:rsidRPr="00B02352">
              <w:rPr>
                <w:rFonts w:eastAsia="Times New Roman"/>
                <w:b/>
                <w:bCs/>
                <w:color w:val="000000"/>
                <w:sz w:val="18"/>
                <w:szCs w:val="18"/>
              </w:rPr>
              <w:t>information by stakeholders</w:t>
            </w:r>
          </w:p>
        </w:tc>
        <w:tc>
          <w:tcPr>
            <w:tcW w:w="3605" w:type="dxa"/>
            <w:tcBorders>
              <w:top w:val="nil"/>
              <w:left w:val="nil"/>
              <w:bottom w:val="single" w:sz="4" w:space="0" w:color="auto"/>
              <w:right w:val="single" w:sz="4" w:space="0" w:color="auto"/>
            </w:tcBorders>
            <w:shd w:val="clear" w:color="auto" w:fill="auto"/>
            <w:hideMark/>
          </w:tcPr>
          <w:p w14:paraId="76759A0F"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The environmental information needs are not identified and the information management infrastructure is inadequate </w:t>
            </w:r>
          </w:p>
        </w:tc>
        <w:tc>
          <w:tcPr>
            <w:tcW w:w="695" w:type="dxa"/>
            <w:tcBorders>
              <w:top w:val="nil"/>
              <w:left w:val="nil"/>
              <w:bottom w:val="single" w:sz="4" w:space="0" w:color="auto"/>
              <w:right w:val="single" w:sz="4" w:space="0" w:color="auto"/>
            </w:tcBorders>
            <w:shd w:val="clear" w:color="auto" w:fill="auto"/>
            <w:vAlign w:val="center"/>
            <w:hideMark/>
          </w:tcPr>
          <w:p w14:paraId="18A41F86"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0</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14:paraId="6B5A04B6"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14:paraId="77739A52"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w:t>
            </w:r>
          </w:p>
        </w:tc>
        <w:tc>
          <w:tcPr>
            <w:tcW w:w="717" w:type="dxa"/>
            <w:vMerge w:val="restart"/>
            <w:tcBorders>
              <w:top w:val="nil"/>
              <w:left w:val="single" w:sz="4" w:space="0" w:color="auto"/>
              <w:bottom w:val="single" w:sz="4" w:space="0" w:color="000000"/>
              <w:right w:val="single" w:sz="4" w:space="0" w:color="auto"/>
            </w:tcBorders>
            <w:shd w:val="clear" w:color="auto" w:fill="auto"/>
            <w:vAlign w:val="center"/>
            <w:hideMark/>
          </w:tcPr>
          <w:p w14:paraId="28F444AF"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w:t>
            </w:r>
          </w:p>
        </w:tc>
        <w:tc>
          <w:tcPr>
            <w:tcW w:w="2587" w:type="dxa"/>
            <w:vMerge w:val="restart"/>
            <w:tcBorders>
              <w:top w:val="nil"/>
              <w:left w:val="single" w:sz="4" w:space="0" w:color="auto"/>
              <w:bottom w:val="single" w:sz="4" w:space="0" w:color="000000"/>
              <w:right w:val="single" w:sz="4" w:space="0" w:color="auto"/>
            </w:tcBorders>
            <w:shd w:val="clear" w:color="auto" w:fill="auto"/>
            <w:hideMark/>
          </w:tcPr>
          <w:p w14:paraId="3DFBC205"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Both information and information sharing mechanisms are limited. There is no information management infrastructure in place other than informal sharing mechanisms.</w:t>
            </w:r>
          </w:p>
        </w:tc>
        <w:tc>
          <w:tcPr>
            <w:tcW w:w="2056" w:type="dxa"/>
            <w:vMerge w:val="restart"/>
            <w:tcBorders>
              <w:top w:val="nil"/>
              <w:left w:val="single" w:sz="4" w:space="0" w:color="auto"/>
              <w:bottom w:val="single" w:sz="4" w:space="0" w:color="000000"/>
              <w:right w:val="single" w:sz="4" w:space="0" w:color="auto"/>
            </w:tcBorders>
            <w:shd w:val="clear" w:color="auto" w:fill="auto"/>
            <w:hideMark/>
          </w:tcPr>
          <w:p w14:paraId="7E4F087D"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Analyze biosecurity data needs and role of biosecurity database within existing environmental databases</w:t>
            </w:r>
          </w:p>
        </w:tc>
        <w:tc>
          <w:tcPr>
            <w:tcW w:w="1073" w:type="dxa"/>
            <w:vMerge w:val="restart"/>
            <w:tcBorders>
              <w:top w:val="nil"/>
              <w:left w:val="single" w:sz="4" w:space="0" w:color="auto"/>
              <w:bottom w:val="single" w:sz="4" w:space="0" w:color="000000"/>
              <w:right w:val="single" w:sz="4" w:space="0" w:color="auto"/>
            </w:tcBorders>
            <w:shd w:val="clear" w:color="auto" w:fill="auto"/>
            <w:vAlign w:val="center"/>
            <w:hideMark/>
          </w:tcPr>
          <w:p w14:paraId="390598F9"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 3, and 4</w:t>
            </w:r>
          </w:p>
        </w:tc>
      </w:tr>
      <w:tr w:rsidR="00B02352" w:rsidRPr="00B02352" w14:paraId="46F95E33" w14:textId="77777777" w:rsidTr="00A35929">
        <w:trPr>
          <w:trHeight w:val="480"/>
        </w:trPr>
        <w:tc>
          <w:tcPr>
            <w:tcW w:w="1520" w:type="dxa"/>
            <w:vMerge/>
            <w:tcBorders>
              <w:top w:val="nil"/>
              <w:left w:val="single" w:sz="4" w:space="0" w:color="auto"/>
              <w:bottom w:val="single" w:sz="4" w:space="0" w:color="000000"/>
              <w:right w:val="single" w:sz="4" w:space="0" w:color="auto"/>
            </w:tcBorders>
            <w:vAlign w:val="center"/>
            <w:hideMark/>
          </w:tcPr>
          <w:p w14:paraId="3D240F8A"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2B7502C4"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The environmental information needs are identified but the information management infrastructure is inadequate </w:t>
            </w:r>
          </w:p>
        </w:tc>
        <w:tc>
          <w:tcPr>
            <w:tcW w:w="695" w:type="dxa"/>
            <w:tcBorders>
              <w:top w:val="nil"/>
              <w:left w:val="nil"/>
              <w:bottom w:val="single" w:sz="4" w:space="0" w:color="auto"/>
              <w:right w:val="single" w:sz="4" w:space="0" w:color="auto"/>
            </w:tcBorders>
            <w:shd w:val="clear" w:color="auto" w:fill="auto"/>
            <w:vAlign w:val="center"/>
            <w:hideMark/>
          </w:tcPr>
          <w:p w14:paraId="42F7E6AE"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c>
          <w:tcPr>
            <w:tcW w:w="844" w:type="dxa"/>
            <w:vMerge/>
            <w:tcBorders>
              <w:top w:val="nil"/>
              <w:left w:val="single" w:sz="4" w:space="0" w:color="auto"/>
              <w:bottom w:val="single" w:sz="4" w:space="0" w:color="000000"/>
              <w:right w:val="single" w:sz="4" w:space="0" w:color="auto"/>
            </w:tcBorders>
            <w:vAlign w:val="center"/>
            <w:hideMark/>
          </w:tcPr>
          <w:p w14:paraId="3B597402"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71C43F8C"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10C6E15D"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38C057DF"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45F7CA7F"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4E2044B9" w14:textId="77777777" w:rsidR="00B02352" w:rsidRPr="00B02352" w:rsidRDefault="00B02352" w:rsidP="00B02352">
            <w:pPr>
              <w:spacing w:after="0"/>
              <w:jc w:val="left"/>
              <w:rPr>
                <w:rFonts w:eastAsia="Times New Roman"/>
                <w:color w:val="000000"/>
                <w:sz w:val="18"/>
                <w:szCs w:val="18"/>
              </w:rPr>
            </w:pPr>
          </w:p>
        </w:tc>
      </w:tr>
      <w:tr w:rsidR="00B02352" w:rsidRPr="00B02352" w14:paraId="268101D0" w14:textId="77777777" w:rsidTr="00A35929">
        <w:trPr>
          <w:trHeight w:val="720"/>
        </w:trPr>
        <w:tc>
          <w:tcPr>
            <w:tcW w:w="1520" w:type="dxa"/>
            <w:vMerge/>
            <w:tcBorders>
              <w:top w:val="nil"/>
              <w:left w:val="single" w:sz="4" w:space="0" w:color="auto"/>
              <w:bottom w:val="single" w:sz="4" w:space="0" w:color="000000"/>
              <w:right w:val="single" w:sz="4" w:space="0" w:color="auto"/>
            </w:tcBorders>
            <w:vAlign w:val="center"/>
            <w:hideMark/>
          </w:tcPr>
          <w:p w14:paraId="679FA111"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71F30182"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The environmental information is partially available and shared among stakeholders but is not covering all focal areas and/or the information management infrastructure to manage and give information access to the public is limited </w:t>
            </w:r>
          </w:p>
        </w:tc>
        <w:tc>
          <w:tcPr>
            <w:tcW w:w="695" w:type="dxa"/>
            <w:tcBorders>
              <w:top w:val="nil"/>
              <w:left w:val="nil"/>
              <w:bottom w:val="single" w:sz="4" w:space="0" w:color="auto"/>
              <w:right w:val="single" w:sz="4" w:space="0" w:color="auto"/>
            </w:tcBorders>
            <w:shd w:val="clear" w:color="auto" w:fill="auto"/>
            <w:vAlign w:val="center"/>
            <w:hideMark/>
          </w:tcPr>
          <w:p w14:paraId="128DCD7E"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w:t>
            </w:r>
          </w:p>
        </w:tc>
        <w:tc>
          <w:tcPr>
            <w:tcW w:w="844" w:type="dxa"/>
            <w:vMerge/>
            <w:tcBorders>
              <w:top w:val="nil"/>
              <w:left w:val="single" w:sz="4" w:space="0" w:color="auto"/>
              <w:bottom w:val="single" w:sz="4" w:space="0" w:color="000000"/>
              <w:right w:val="single" w:sz="4" w:space="0" w:color="auto"/>
            </w:tcBorders>
            <w:vAlign w:val="center"/>
            <w:hideMark/>
          </w:tcPr>
          <w:p w14:paraId="65111896"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5BE92D13"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1B73120A"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2887BED5"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7AB0C9DE"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6B3D3757" w14:textId="77777777" w:rsidR="00B02352" w:rsidRPr="00B02352" w:rsidRDefault="00B02352" w:rsidP="00B02352">
            <w:pPr>
              <w:spacing w:after="0"/>
              <w:jc w:val="left"/>
              <w:rPr>
                <w:rFonts w:eastAsia="Times New Roman"/>
                <w:color w:val="000000"/>
                <w:sz w:val="18"/>
                <w:szCs w:val="18"/>
              </w:rPr>
            </w:pPr>
          </w:p>
        </w:tc>
      </w:tr>
      <w:tr w:rsidR="00B02352" w:rsidRPr="00B02352" w14:paraId="76DCA4F7" w14:textId="77777777" w:rsidTr="00A35929">
        <w:trPr>
          <w:trHeight w:val="480"/>
        </w:trPr>
        <w:tc>
          <w:tcPr>
            <w:tcW w:w="1520" w:type="dxa"/>
            <w:vMerge/>
            <w:tcBorders>
              <w:top w:val="nil"/>
              <w:left w:val="single" w:sz="4" w:space="0" w:color="auto"/>
              <w:bottom w:val="single" w:sz="4" w:space="0" w:color="000000"/>
              <w:right w:val="single" w:sz="4" w:space="0" w:color="auto"/>
            </w:tcBorders>
            <w:vAlign w:val="center"/>
            <w:hideMark/>
          </w:tcPr>
          <w:p w14:paraId="3E2F501F"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38217AA5"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Comprehensive environmental information is available and shared through an adequate information management infrastructure </w:t>
            </w:r>
          </w:p>
        </w:tc>
        <w:tc>
          <w:tcPr>
            <w:tcW w:w="695" w:type="dxa"/>
            <w:tcBorders>
              <w:top w:val="nil"/>
              <w:left w:val="nil"/>
              <w:bottom w:val="single" w:sz="4" w:space="0" w:color="auto"/>
              <w:right w:val="single" w:sz="4" w:space="0" w:color="auto"/>
            </w:tcBorders>
            <w:shd w:val="clear" w:color="auto" w:fill="auto"/>
            <w:vAlign w:val="center"/>
            <w:hideMark/>
          </w:tcPr>
          <w:p w14:paraId="776AED6C"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3</w:t>
            </w:r>
          </w:p>
        </w:tc>
        <w:tc>
          <w:tcPr>
            <w:tcW w:w="844" w:type="dxa"/>
            <w:vMerge/>
            <w:tcBorders>
              <w:top w:val="nil"/>
              <w:left w:val="single" w:sz="4" w:space="0" w:color="auto"/>
              <w:bottom w:val="single" w:sz="4" w:space="0" w:color="000000"/>
              <w:right w:val="single" w:sz="4" w:space="0" w:color="auto"/>
            </w:tcBorders>
            <w:vAlign w:val="center"/>
            <w:hideMark/>
          </w:tcPr>
          <w:p w14:paraId="5C232E23"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4CADCFC1"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4307ED30"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22232E9E"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3AC0379E"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7B228887" w14:textId="77777777" w:rsidR="00B02352" w:rsidRPr="00B02352" w:rsidRDefault="00B02352" w:rsidP="00B02352">
            <w:pPr>
              <w:spacing w:after="0"/>
              <w:jc w:val="left"/>
              <w:rPr>
                <w:rFonts w:eastAsia="Times New Roman"/>
                <w:color w:val="000000"/>
                <w:sz w:val="18"/>
                <w:szCs w:val="18"/>
              </w:rPr>
            </w:pPr>
          </w:p>
        </w:tc>
      </w:tr>
      <w:tr w:rsidR="00B02352" w:rsidRPr="00B02352" w14:paraId="6EE809D0" w14:textId="77777777" w:rsidTr="00A35929">
        <w:trPr>
          <w:trHeight w:val="480"/>
        </w:trPr>
        <w:tc>
          <w:tcPr>
            <w:tcW w:w="1520" w:type="dxa"/>
            <w:vMerge w:val="restart"/>
            <w:tcBorders>
              <w:top w:val="nil"/>
              <w:left w:val="single" w:sz="4" w:space="0" w:color="auto"/>
              <w:bottom w:val="single" w:sz="4" w:space="0" w:color="000000"/>
              <w:right w:val="single" w:sz="4" w:space="0" w:color="auto"/>
            </w:tcBorders>
            <w:shd w:val="clear" w:color="auto" w:fill="auto"/>
            <w:hideMark/>
          </w:tcPr>
          <w:p w14:paraId="09B196BD" w14:textId="77777777" w:rsidR="00B02352" w:rsidRPr="00B02352" w:rsidRDefault="00B02352" w:rsidP="00B02352">
            <w:pPr>
              <w:spacing w:after="0"/>
              <w:jc w:val="left"/>
              <w:rPr>
                <w:rFonts w:eastAsia="Times New Roman"/>
                <w:b/>
                <w:bCs/>
                <w:color w:val="000000"/>
                <w:sz w:val="18"/>
                <w:szCs w:val="18"/>
              </w:rPr>
            </w:pPr>
            <w:r w:rsidRPr="00B02352">
              <w:rPr>
                <w:rFonts w:eastAsia="Times New Roman"/>
                <w:b/>
                <w:bCs/>
                <w:color w:val="000000"/>
                <w:sz w:val="18"/>
                <w:szCs w:val="18"/>
              </w:rPr>
              <w:t>2.3. Existence of Biosecurity awareness and education programs</w:t>
            </w:r>
          </w:p>
        </w:tc>
        <w:tc>
          <w:tcPr>
            <w:tcW w:w="3605" w:type="dxa"/>
            <w:tcBorders>
              <w:top w:val="nil"/>
              <w:left w:val="nil"/>
              <w:bottom w:val="single" w:sz="4" w:space="0" w:color="auto"/>
              <w:right w:val="single" w:sz="4" w:space="0" w:color="auto"/>
            </w:tcBorders>
            <w:shd w:val="clear" w:color="auto" w:fill="auto"/>
            <w:hideMark/>
          </w:tcPr>
          <w:p w14:paraId="7CF07FA3" w14:textId="4D7441EB" w:rsidR="00B02352" w:rsidRPr="00B02352" w:rsidRDefault="00B02352" w:rsidP="005F36E3">
            <w:pPr>
              <w:spacing w:after="0"/>
              <w:jc w:val="left"/>
              <w:rPr>
                <w:rFonts w:eastAsia="Times New Roman" w:cs="Arial"/>
                <w:color w:val="000000"/>
                <w:sz w:val="18"/>
                <w:szCs w:val="18"/>
              </w:rPr>
            </w:pPr>
            <w:r w:rsidRPr="00B02352">
              <w:rPr>
                <w:rFonts w:eastAsia="Times New Roman" w:cs="Arial"/>
                <w:color w:val="000000"/>
                <w:sz w:val="18"/>
                <w:szCs w:val="18"/>
              </w:rPr>
              <w:t xml:space="preserve"> No environmental education programs are in place </w:t>
            </w:r>
          </w:p>
        </w:tc>
        <w:tc>
          <w:tcPr>
            <w:tcW w:w="695" w:type="dxa"/>
            <w:tcBorders>
              <w:top w:val="nil"/>
              <w:left w:val="nil"/>
              <w:bottom w:val="single" w:sz="4" w:space="0" w:color="auto"/>
              <w:right w:val="single" w:sz="4" w:space="0" w:color="auto"/>
            </w:tcBorders>
            <w:shd w:val="clear" w:color="auto" w:fill="auto"/>
            <w:vAlign w:val="center"/>
            <w:hideMark/>
          </w:tcPr>
          <w:p w14:paraId="315D8C26"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0</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14:paraId="6CD65210"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14:paraId="75171BDB"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w:t>
            </w:r>
          </w:p>
        </w:tc>
        <w:tc>
          <w:tcPr>
            <w:tcW w:w="717" w:type="dxa"/>
            <w:vMerge w:val="restart"/>
            <w:tcBorders>
              <w:top w:val="nil"/>
              <w:left w:val="single" w:sz="4" w:space="0" w:color="auto"/>
              <w:bottom w:val="single" w:sz="4" w:space="0" w:color="000000"/>
              <w:right w:val="single" w:sz="4" w:space="0" w:color="auto"/>
            </w:tcBorders>
            <w:shd w:val="clear" w:color="auto" w:fill="auto"/>
            <w:vAlign w:val="center"/>
            <w:hideMark/>
          </w:tcPr>
          <w:p w14:paraId="12949E11"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3</w:t>
            </w:r>
          </w:p>
        </w:tc>
        <w:tc>
          <w:tcPr>
            <w:tcW w:w="2587" w:type="dxa"/>
            <w:vMerge w:val="restart"/>
            <w:tcBorders>
              <w:top w:val="nil"/>
              <w:left w:val="single" w:sz="4" w:space="0" w:color="auto"/>
              <w:bottom w:val="single" w:sz="4" w:space="0" w:color="000000"/>
              <w:right w:val="single" w:sz="4" w:space="0" w:color="auto"/>
            </w:tcBorders>
            <w:shd w:val="clear" w:color="auto" w:fill="auto"/>
            <w:hideMark/>
          </w:tcPr>
          <w:p w14:paraId="6A80AF3D"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Education programs currently are delivered in bursts of outreach, aligned with national environmental outreach activities to the public such as Earth Day, Invasives Week, and use of signs. However, these tend to be diluted and ineffective. When communities reach out they receive targeted IAS information based on their needs. There is an outreach element to the NISC, but no Biosecurity education programs have been fully developed.</w:t>
            </w:r>
          </w:p>
        </w:tc>
        <w:tc>
          <w:tcPr>
            <w:tcW w:w="2056" w:type="dxa"/>
            <w:vMerge w:val="restart"/>
            <w:tcBorders>
              <w:top w:val="nil"/>
              <w:left w:val="single" w:sz="4" w:space="0" w:color="auto"/>
              <w:bottom w:val="single" w:sz="4" w:space="0" w:color="000000"/>
              <w:right w:val="single" w:sz="4" w:space="0" w:color="auto"/>
            </w:tcBorders>
            <w:shd w:val="clear" w:color="auto" w:fill="auto"/>
            <w:hideMark/>
          </w:tcPr>
          <w:p w14:paraId="65CFB8C9"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Develop and deliver national-state EDRR strategy, national-state IAS awareness strategy, and school curriculum.</w:t>
            </w:r>
          </w:p>
        </w:tc>
        <w:tc>
          <w:tcPr>
            <w:tcW w:w="1073" w:type="dxa"/>
            <w:vMerge w:val="restart"/>
            <w:tcBorders>
              <w:top w:val="nil"/>
              <w:left w:val="single" w:sz="4" w:space="0" w:color="auto"/>
              <w:bottom w:val="single" w:sz="4" w:space="0" w:color="000000"/>
              <w:right w:val="single" w:sz="4" w:space="0" w:color="auto"/>
            </w:tcBorders>
            <w:shd w:val="clear" w:color="auto" w:fill="auto"/>
            <w:vAlign w:val="center"/>
            <w:hideMark/>
          </w:tcPr>
          <w:p w14:paraId="6CF0D9FF"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 and 4</w:t>
            </w:r>
          </w:p>
        </w:tc>
      </w:tr>
      <w:tr w:rsidR="00B02352" w:rsidRPr="00B02352" w14:paraId="4EF40DDB" w14:textId="77777777" w:rsidTr="00A35929">
        <w:trPr>
          <w:trHeight w:val="240"/>
        </w:trPr>
        <w:tc>
          <w:tcPr>
            <w:tcW w:w="1520" w:type="dxa"/>
            <w:vMerge/>
            <w:tcBorders>
              <w:top w:val="nil"/>
              <w:left w:val="single" w:sz="4" w:space="0" w:color="auto"/>
              <w:bottom w:val="single" w:sz="4" w:space="0" w:color="000000"/>
              <w:right w:val="single" w:sz="4" w:space="0" w:color="auto"/>
            </w:tcBorders>
            <w:vAlign w:val="center"/>
            <w:hideMark/>
          </w:tcPr>
          <w:p w14:paraId="56CD6C45"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21BF68B6" w14:textId="0011ADC4" w:rsidR="00B02352" w:rsidRPr="00B02352" w:rsidRDefault="00B02352" w:rsidP="005F36E3">
            <w:pPr>
              <w:spacing w:after="0"/>
              <w:jc w:val="left"/>
              <w:rPr>
                <w:rFonts w:eastAsia="Times New Roman" w:cs="Arial"/>
                <w:color w:val="000000"/>
                <w:sz w:val="18"/>
                <w:szCs w:val="18"/>
              </w:rPr>
            </w:pPr>
            <w:r w:rsidRPr="00B02352">
              <w:rPr>
                <w:rFonts w:eastAsia="Times New Roman" w:cs="Arial"/>
                <w:color w:val="000000"/>
                <w:sz w:val="18"/>
                <w:szCs w:val="18"/>
              </w:rPr>
              <w:t xml:space="preserve"> Environmental education programs are partially developed and partially delivered </w:t>
            </w:r>
          </w:p>
        </w:tc>
        <w:tc>
          <w:tcPr>
            <w:tcW w:w="695" w:type="dxa"/>
            <w:tcBorders>
              <w:top w:val="nil"/>
              <w:left w:val="nil"/>
              <w:bottom w:val="single" w:sz="4" w:space="0" w:color="auto"/>
              <w:right w:val="single" w:sz="4" w:space="0" w:color="auto"/>
            </w:tcBorders>
            <w:shd w:val="clear" w:color="auto" w:fill="auto"/>
            <w:vAlign w:val="center"/>
            <w:hideMark/>
          </w:tcPr>
          <w:p w14:paraId="4720D932"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c>
          <w:tcPr>
            <w:tcW w:w="844" w:type="dxa"/>
            <w:vMerge/>
            <w:tcBorders>
              <w:top w:val="nil"/>
              <w:left w:val="single" w:sz="4" w:space="0" w:color="auto"/>
              <w:bottom w:val="single" w:sz="4" w:space="0" w:color="000000"/>
              <w:right w:val="single" w:sz="4" w:space="0" w:color="auto"/>
            </w:tcBorders>
            <w:vAlign w:val="center"/>
            <w:hideMark/>
          </w:tcPr>
          <w:p w14:paraId="52392D27"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768610C6"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103E7372"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46DF851A"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08020220"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50184AA2" w14:textId="77777777" w:rsidR="00B02352" w:rsidRPr="00B02352" w:rsidRDefault="00B02352" w:rsidP="00B02352">
            <w:pPr>
              <w:spacing w:after="0"/>
              <w:jc w:val="left"/>
              <w:rPr>
                <w:rFonts w:eastAsia="Times New Roman"/>
                <w:color w:val="000000"/>
                <w:sz w:val="18"/>
                <w:szCs w:val="18"/>
              </w:rPr>
            </w:pPr>
          </w:p>
        </w:tc>
      </w:tr>
      <w:tr w:rsidR="00B02352" w:rsidRPr="00B02352" w14:paraId="4E414D58" w14:textId="77777777" w:rsidTr="00A35929">
        <w:trPr>
          <w:trHeight w:val="240"/>
        </w:trPr>
        <w:tc>
          <w:tcPr>
            <w:tcW w:w="1520" w:type="dxa"/>
            <w:vMerge/>
            <w:tcBorders>
              <w:top w:val="nil"/>
              <w:left w:val="single" w:sz="4" w:space="0" w:color="auto"/>
              <w:bottom w:val="single" w:sz="4" w:space="0" w:color="000000"/>
              <w:right w:val="single" w:sz="4" w:space="0" w:color="auto"/>
            </w:tcBorders>
            <w:vAlign w:val="center"/>
            <w:hideMark/>
          </w:tcPr>
          <w:p w14:paraId="03C45EB5"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1F71F88F" w14:textId="4143E011" w:rsidR="00B02352" w:rsidRPr="00B02352" w:rsidRDefault="00B02352" w:rsidP="005F36E3">
            <w:pPr>
              <w:spacing w:after="0"/>
              <w:jc w:val="left"/>
              <w:rPr>
                <w:rFonts w:eastAsia="Times New Roman" w:cs="Arial"/>
                <w:color w:val="000000"/>
                <w:sz w:val="18"/>
                <w:szCs w:val="18"/>
              </w:rPr>
            </w:pPr>
            <w:r w:rsidRPr="00B02352">
              <w:rPr>
                <w:rFonts w:eastAsia="Times New Roman" w:cs="Arial"/>
                <w:color w:val="000000"/>
                <w:sz w:val="18"/>
                <w:szCs w:val="18"/>
              </w:rPr>
              <w:t xml:space="preserve"> Environmental education programs are fully developed but partially delivered </w:t>
            </w:r>
          </w:p>
        </w:tc>
        <w:tc>
          <w:tcPr>
            <w:tcW w:w="695" w:type="dxa"/>
            <w:tcBorders>
              <w:top w:val="nil"/>
              <w:left w:val="nil"/>
              <w:bottom w:val="single" w:sz="4" w:space="0" w:color="auto"/>
              <w:right w:val="single" w:sz="4" w:space="0" w:color="auto"/>
            </w:tcBorders>
            <w:shd w:val="clear" w:color="auto" w:fill="auto"/>
            <w:vAlign w:val="center"/>
            <w:hideMark/>
          </w:tcPr>
          <w:p w14:paraId="72593F44"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w:t>
            </w:r>
          </w:p>
        </w:tc>
        <w:tc>
          <w:tcPr>
            <w:tcW w:w="844" w:type="dxa"/>
            <w:vMerge/>
            <w:tcBorders>
              <w:top w:val="nil"/>
              <w:left w:val="single" w:sz="4" w:space="0" w:color="auto"/>
              <w:bottom w:val="single" w:sz="4" w:space="0" w:color="000000"/>
              <w:right w:val="single" w:sz="4" w:space="0" w:color="auto"/>
            </w:tcBorders>
            <w:vAlign w:val="center"/>
            <w:hideMark/>
          </w:tcPr>
          <w:p w14:paraId="64DD122E"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100F5FEE"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38DFF28C"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0268AA79"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04608D9F"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0725BFF2" w14:textId="77777777" w:rsidR="00B02352" w:rsidRPr="00B02352" w:rsidRDefault="00B02352" w:rsidP="00B02352">
            <w:pPr>
              <w:spacing w:after="0"/>
              <w:jc w:val="left"/>
              <w:rPr>
                <w:rFonts w:eastAsia="Times New Roman"/>
                <w:color w:val="000000"/>
                <w:sz w:val="18"/>
                <w:szCs w:val="18"/>
              </w:rPr>
            </w:pPr>
          </w:p>
        </w:tc>
      </w:tr>
      <w:tr w:rsidR="00B02352" w:rsidRPr="00B02352" w14:paraId="6D236645" w14:textId="77777777" w:rsidTr="00A35929">
        <w:trPr>
          <w:trHeight w:val="240"/>
        </w:trPr>
        <w:tc>
          <w:tcPr>
            <w:tcW w:w="1520" w:type="dxa"/>
            <w:vMerge/>
            <w:tcBorders>
              <w:top w:val="nil"/>
              <w:left w:val="single" w:sz="4" w:space="0" w:color="auto"/>
              <w:bottom w:val="single" w:sz="4" w:space="0" w:color="000000"/>
              <w:right w:val="single" w:sz="4" w:space="0" w:color="auto"/>
            </w:tcBorders>
            <w:vAlign w:val="center"/>
            <w:hideMark/>
          </w:tcPr>
          <w:p w14:paraId="3A40FA85"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69D7932F" w14:textId="63F7B7EE" w:rsidR="00B02352" w:rsidRPr="00B02352" w:rsidRDefault="00B02352" w:rsidP="005F36E3">
            <w:pPr>
              <w:spacing w:after="0"/>
              <w:jc w:val="left"/>
              <w:rPr>
                <w:rFonts w:eastAsia="Times New Roman" w:cs="Arial"/>
                <w:color w:val="000000"/>
                <w:sz w:val="18"/>
                <w:szCs w:val="18"/>
              </w:rPr>
            </w:pPr>
            <w:r w:rsidRPr="00B02352">
              <w:rPr>
                <w:rFonts w:eastAsia="Times New Roman" w:cs="Arial"/>
                <w:color w:val="000000"/>
                <w:sz w:val="18"/>
                <w:szCs w:val="18"/>
              </w:rPr>
              <w:t xml:space="preserve"> Comprehensive environmental education programs exist and are being delivered </w:t>
            </w:r>
          </w:p>
        </w:tc>
        <w:tc>
          <w:tcPr>
            <w:tcW w:w="695" w:type="dxa"/>
            <w:tcBorders>
              <w:top w:val="nil"/>
              <w:left w:val="nil"/>
              <w:bottom w:val="single" w:sz="4" w:space="0" w:color="auto"/>
              <w:right w:val="single" w:sz="4" w:space="0" w:color="auto"/>
            </w:tcBorders>
            <w:shd w:val="clear" w:color="auto" w:fill="auto"/>
            <w:vAlign w:val="center"/>
            <w:hideMark/>
          </w:tcPr>
          <w:p w14:paraId="0E366E3C"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3</w:t>
            </w:r>
          </w:p>
        </w:tc>
        <w:tc>
          <w:tcPr>
            <w:tcW w:w="844" w:type="dxa"/>
            <w:vMerge/>
            <w:tcBorders>
              <w:top w:val="nil"/>
              <w:left w:val="single" w:sz="4" w:space="0" w:color="auto"/>
              <w:bottom w:val="single" w:sz="4" w:space="0" w:color="000000"/>
              <w:right w:val="single" w:sz="4" w:space="0" w:color="auto"/>
            </w:tcBorders>
            <w:vAlign w:val="center"/>
            <w:hideMark/>
          </w:tcPr>
          <w:p w14:paraId="592FA672"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14115B87"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78F10409"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5134BDBC"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6F5FC7DC"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488338B5" w14:textId="77777777" w:rsidR="00B02352" w:rsidRPr="00B02352" w:rsidRDefault="00B02352" w:rsidP="00B02352">
            <w:pPr>
              <w:spacing w:after="0"/>
              <w:jc w:val="left"/>
              <w:rPr>
                <w:rFonts w:eastAsia="Times New Roman"/>
                <w:color w:val="000000"/>
                <w:sz w:val="18"/>
                <w:szCs w:val="18"/>
              </w:rPr>
            </w:pPr>
          </w:p>
        </w:tc>
      </w:tr>
      <w:tr w:rsidR="00B02352" w:rsidRPr="00B02352" w14:paraId="5563DB4B" w14:textId="77777777" w:rsidTr="00A35929">
        <w:trPr>
          <w:trHeight w:val="720"/>
        </w:trPr>
        <w:tc>
          <w:tcPr>
            <w:tcW w:w="1520" w:type="dxa"/>
            <w:vMerge w:val="restart"/>
            <w:tcBorders>
              <w:top w:val="nil"/>
              <w:left w:val="single" w:sz="4" w:space="0" w:color="auto"/>
              <w:bottom w:val="single" w:sz="4" w:space="0" w:color="000000"/>
              <w:right w:val="single" w:sz="4" w:space="0" w:color="auto"/>
            </w:tcBorders>
            <w:shd w:val="clear" w:color="auto" w:fill="auto"/>
            <w:hideMark/>
          </w:tcPr>
          <w:p w14:paraId="02176233" w14:textId="3C079BA9" w:rsidR="00B02352" w:rsidRPr="00B02352" w:rsidRDefault="00B02352" w:rsidP="00B02352">
            <w:pPr>
              <w:spacing w:after="0"/>
              <w:jc w:val="left"/>
              <w:rPr>
                <w:rFonts w:eastAsia="Times New Roman"/>
                <w:b/>
                <w:bCs/>
                <w:color w:val="000000"/>
                <w:sz w:val="18"/>
                <w:szCs w:val="18"/>
              </w:rPr>
            </w:pPr>
            <w:r w:rsidRPr="00B02352">
              <w:rPr>
                <w:rFonts w:eastAsia="Times New Roman"/>
                <w:b/>
                <w:bCs/>
                <w:color w:val="000000"/>
                <w:sz w:val="18"/>
                <w:szCs w:val="18"/>
              </w:rPr>
              <w:t>2.4.</w:t>
            </w:r>
            <w:r w:rsidR="005F36E3">
              <w:rPr>
                <w:rFonts w:eastAsia="Times New Roman"/>
                <w:b/>
                <w:bCs/>
                <w:color w:val="000000"/>
                <w:sz w:val="18"/>
                <w:szCs w:val="18"/>
              </w:rPr>
              <w:t xml:space="preserve"> Extent of the linkage between </w:t>
            </w:r>
            <w:r w:rsidRPr="00B02352">
              <w:rPr>
                <w:rFonts w:eastAsia="Times New Roman"/>
                <w:b/>
                <w:bCs/>
                <w:color w:val="000000"/>
                <w:sz w:val="18"/>
                <w:szCs w:val="18"/>
              </w:rPr>
              <w:t>research/science and Biosecurity policy development</w:t>
            </w:r>
          </w:p>
        </w:tc>
        <w:tc>
          <w:tcPr>
            <w:tcW w:w="3605" w:type="dxa"/>
            <w:tcBorders>
              <w:top w:val="nil"/>
              <w:left w:val="nil"/>
              <w:bottom w:val="single" w:sz="4" w:space="0" w:color="auto"/>
              <w:right w:val="single" w:sz="4" w:space="0" w:color="auto"/>
            </w:tcBorders>
            <w:shd w:val="clear" w:color="auto" w:fill="auto"/>
            <w:hideMark/>
          </w:tcPr>
          <w:p w14:paraId="561EFF30" w14:textId="3157FF14" w:rsidR="00B02352" w:rsidRPr="00B02352" w:rsidRDefault="00B02352" w:rsidP="005F36E3">
            <w:pPr>
              <w:spacing w:after="0"/>
              <w:jc w:val="left"/>
              <w:rPr>
                <w:rFonts w:eastAsia="Times New Roman" w:cs="Arial"/>
                <w:color w:val="000000"/>
                <w:sz w:val="18"/>
                <w:szCs w:val="18"/>
              </w:rPr>
            </w:pPr>
            <w:r w:rsidRPr="00B02352">
              <w:rPr>
                <w:rFonts w:eastAsia="Times New Roman" w:cs="Arial"/>
                <w:color w:val="000000"/>
                <w:sz w:val="18"/>
                <w:szCs w:val="18"/>
              </w:rPr>
              <w:t xml:space="preserve"> No linkage exist between environmental policy development and science/research strategies and programs </w:t>
            </w:r>
          </w:p>
        </w:tc>
        <w:tc>
          <w:tcPr>
            <w:tcW w:w="695" w:type="dxa"/>
            <w:tcBorders>
              <w:top w:val="nil"/>
              <w:left w:val="nil"/>
              <w:bottom w:val="single" w:sz="4" w:space="0" w:color="auto"/>
              <w:right w:val="single" w:sz="4" w:space="0" w:color="auto"/>
            </w:tcBorders>
            <w:shd w:val="clear" w:color="auto" w:fill="auto"/>
            <w:vAlign w:val="center"/>
            <w:hideMark/>
          </w:tcPr>
          <w:p w14:paraId="7E30CB46"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0</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14:paraId="30F3306C"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0</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14:paraId="7C95599A"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c>
          <w:tcPr>
            <w:tcW w:w="717" w:type="dxa"/>
            <w:vMerge w:val="restart"/>
            <w:tcBorders>
              <w:top w:val="nil"/>
              <w:left w:val="single" w:sz="4" w:space="0" w:color="auto"/>
              <w:bottom w:val="single" w:sz="4" w:space="0" w:color="000000"/>
              <w:right w:val="single" w:sz="4" w:space="0" w:color="auto"/>
            </w:tcBorders>
            <w:shd w:val="clear" w:color="auto" w:fill="auto"/>
            <w:vAlign w:val="center"/>
            <w:hideMark/>
          </w:tcPr>
          <w:p w14:paraId="089B55E5"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w:t>
            </w:r>
          </w:p>
        </w:tc>
        <w:tc>
          <w:tcPr>
            <w:tcW w:w="2587" w:type="dxa"/>
            <w:vMerge w:val="restart"/>
            <w:tcBorders>
              <w:top w:val="nil"/>
              <w:left w:val="single" w:sz="4" w:space="0" w:color="auto"/>
              <w:bottom w:val="single" w:sz="4" w:space="0" w:color="000000"/>
              <w:right w:val="single" w:sz="4" w:space="0" w:color="auto"/>
            </w:tcBorders>
            <w:shd w:val="clear" w:color="auto" w:fill="auto"/>
            <w:hideMark/>
          </w:tcPr>
          <w:p w14:paraId="4A3AE9DD"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There are no links between the Biosecurity Office and research, as there is little IAS and biosecurity research that is ongoing in country. Private organizations that study IAS are not well linked with the government agencies and there is no joint strategizing on research needs and plans.</w:t>
            </w:r>
          </w:p>
        </w:tc>
        <w:tc>
          <w:tcPr>
            <w:tcW w:w="2056" w:type="dxa"/>
            <w:vMerge w:val="restart"/>
            <w:tcBorders>
              <w:top w:val="nil"/>
              <w:left w:val="single" w:sz="4" w:space="0" w:color="auto"/>
              <w:bottom w:val="single" w:sz="4" w:space="0" w:color="000000"/>
              <w:right w:val="single" w:sz="4" w:space="0" w:color="auto"/>
            </w:tcBorders>
            <w:shd w:val="clear" w:color="auto" w:fill="auto"/>
            <w:hideMark/>
          </w:tcPr>
          <w:p w14:paraId="512A9B8D"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With states, develop state level review of IAS needs and integrate into planning documents.</w:t>
            </w:r>
          </w:p>
        </w:tc>
        <w:tc>
          <w:tcPr>
            <w:tcW w:w="1073" w:type="dxa"/>
            <w:vMerge w:val="restart"/>
            <w:tcBorders>
              <w:top w:val="nil"/>
              <w:left w:val="single" w:sz="4" w:space="0" w:color="auto"/>
              <w:bottom w:val="single" w:sz="4" w:space="0" w:color="000000"/>
              <w:right w:val="single" w:sz="4" w:space="0" w:color="auto"/>
            </w:tcBorders>
            <w:shd w:val="clear" w:color="auto" w:fill="auto"/>
            <w:vAlign w:val="center"/>
            <w:hideMark/>
          </w:tcPr>
          <w:p w14:paraId="6A9E4903"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r>
      <w:tr w:rsidR="00B02352" w:rsidRPr="00B02352" w14:paraId="12A468D5" w14:textId="77777777" w:rsidTr="00A35929">
        <w:trPr>
          <w:trHeight w:val="480"/>
        </w:trPr>
        <w:tc>
          <w:tcPr>
            <w:tcW w:w="1520" w:type="dxa"/>
            <w:vMerge/>
            <w:tcBorders>
              <w:top w:val="nil"/>
              <w:left w:val="single" w:sz="4" w:space="0" w:color="auto"/>
              <w:bottom w:val="single" w:sz="4" w:space="0" w:color="000000"/>
              <w:right w:val="single" w:sz="4" w:space="0" w:color="auto"/>
            </w:tcBorders>
            <w:vAlign w:val="center"/>
            <w:hideMark/>
          </w:tcPr>
          <w:p w14:paraId="72E0B8F7"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3224CB13" w14:textId="05213175"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Research needs for environmental policy development are identified but are not translated into relevant r</w:t>
            </w:r>
            <w:r w:rsidR="005F36E3">
              <w:rPr>
                <w:rFonts w:eastAsia="Times New Roman" w:cs="Arial"/>
                <w:color w:val="000000"/>
                <w:sz w:val="18"/>
                <w:szCs w:val="18"/>
              </w:rPr>
              <w:t>esearch strategies and program</w:t>
            </w:r>
            <w:r w:rsidRPr="00B02352">
              <w:rPr>
                <w:rFonts w:eastAsia="Times New Roman" w:cs="Arial"/>
                <w:color w:val="000000"/>
                <w:sz w:val="18"/>
                <w:szCs w:val="18"/>
              </w:rPr>
              <w:t xml:space="preserve">s </w:t>
            </w:r>
          </w:p>
        </w:tc>
        <w:tc>
          <w:tcPr>
            <w:tcW w:w="695" w:type="dxa"/>
            <w:tcBorders>
              <w:top w:val="nil"/>
              <w:left w:val="nil"/>
              <w:bottom w:val="single" w:sz="4" w:space="0" w:color="auto"/>
              <w:right w:val="single" w:sz="4" w:space="0" w:color="auto"/>
            </w:tcBorders>
            <w:shd w:val="clear" w:color="auto" w:fill="auto"/>
            <w:vAlign w:val="center"/>
            <w:hideMark/>
          </w:tcPr>
          <w:p w14:paraId="488F6EBE"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c>
          <w:tcPr>
            <w:tcW w:w="844" w:type="dxa"/>
            <w:vMerge/>
            <w:tcBorders>
              <w:top w:val="nil"/>
              <w:left w:val="single" w:sz="4" w:space="0" w:color="auto"/>
              <w:bottom w:val="single" w:sz="4" w:space="0" w:color="000000"/>
              <w:right w:val="single" w:sz="4" w:space="0" w:color="auto"/>
            </w:tcBorders>
            <w:vAlign w:val="center"/>
            <w:hideMark/>
          </w:tcPr>
          <w:p w14:paraId="41985CDE"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0D2F956E"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75845C33"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71D1F60D"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1ED955B9"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12BA5D92" w14:textId="77777777" w:rsidR="00B02352" w:rsidRPr="00B02352" w:rsidRDefault="00B02352" w:rsidP="00B02352">
            <w:pPr>
              <w:spacing w:after="0"/>
              <w:jc w:val="left"/>
              <w:rPr>
                <w:rFonts w:eastAsia="Times New Roman"/>
                <w:color w:val="000000"/>
                <w:sz w:val="18"/>
                <w:szCs w:val="18"/>
              </w:rPr>
            </w:pPr>
          </w:p>
        </w:tc>
      </w:tr>
      <w:tr w:rsidR="00B02352" w:rsidRPr="00B02352" w14:paraId="087B71E9" w14:textId="77777777" w:rsidTr="00A35929">
        <w:trPr>
          <w:trHeight w:val="480"/>
        </w:trPr>
        <w:tc>
          <w:tcPr>
            <w:tcW w:w="1520" w:type="dxa"/>
            <w:vMerge/>
            <w:tcBorders>
              <w:top w:val="nil"/>
              <w:left w:val="single" w:sz="4" w:space="0" w:color="auto"/>
              <w:bottom w:val="single" w:sz="4" w:space="0" w:color="000000"/>
              <w:right w:val="single" w:sz="4" w:space="0" w:color="auto"/>
            </w:tcBorders>
            <w:vAlign w:val="center"/>
            <w:hideMark/>
          </w:tcPr>
          <w:p w14:paraId="48566F19"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36F0E301" w14:textId="0A9C464E"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Relevant r</w:t>
            </w:r>
            <w:r w:rsidR="005F36E3">
              <w:rPr>
                <w:rFonts w:eastAsia="Times New Roman" w:cs="Arial"/>
                <w:color w:val="000000"/>
                <w:sz w:val="18"/>
                <w:szCs w:val="18"/>
              </w:rPr>
              <w:t>esearch strategies and program</w:t>
            </w:r>
            <w:r w:rsidRPr="00B02352">
              <w:rPr>
                <w:rFonts w:eastAsia="Times New Roman" w:cs="Arial"/>
                <w:color w:val="000000"/>
                <w:sz w:val="18"/>
                <w:szCs w:val="18"/>
              </w:rPr>
              <w:t xml:space="preserve">s for environmental policy development exist but the research information is not responding fully to the policy research needs </w:t>
            </w:r>
          </w:p>
        </w:tc>
        <w:tc>
          <w:tcPr>
            <w:tcW w:w="695" w:type="dxa"/>
            <w:tcBorders>
              <w:top w:val="nil"/>
              <w:left w:val="nil"/>
              <w:bottom w:val="single" w:sz="4" w:space="0" w:color="auto"/>
              <w:right w:val="single" w:sz="4" w:space="0" w:color="auto"/>
            </w:tcBorders>
            <w:shd w:val="clear" w:color="auto" w:fill="auto"/>
            <w:vAlign w:val="center"/>
            <w:hideMark/>
          </w:tcPr>
          <w:p w14:paraId="52417DCC"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w:t>
            </w:r>
          </w:p>
        </w:tc>
        <w:tc>
          <w:tcPr>
            <w:tcW w:w="844" w:type="dxa"/>
            <w:vMerge/>
            <w:tcBorders>
              <w:top w:val="nil"/>
              <w:left w:val="single" w:sz="4" w:space="0" w:color="auto"/>
              <w:bottom w:val="single" w:sz="4" w:space="0" w:color="000000"/>
              <w:right w:val="single" w:sz="4" w:space="0" w:color="auto"/>
            </w:tcBorders>
            <w:vAlign w:val="center"/>
            <w:hideMark/>
          </w:tcPr>
          <w:p w14:paraId="3583CC2F"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1C3CEF15"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68ACC175"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4686949F"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34007FEA"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1237F9EB" w14:textId="77777777" w:rsidR="00B02352" w:rsidRPr="00B02352" w:rsidRDefault="00B02352" w:rsidP="00B02352">
            <w:pPr>
              <w:spacing w:after="0"/>
              <w:jc w:val="left"/>
              <w:rPr>
                <w:rFonts w:eastAsia="Times New Roman"/>
                <w:color w:val="000000"/>
                <w:sz w:val="18"/>
                <w:szCs w:val="18"/>
              </w:rPr>
            </w:pPr>
          </w:p>
        </w:tc>
      </w:tr>
      <w:tr w:rsidR="00B02352" w:rsidRPr="00B02352" w14:paraId="7C49CFBC" w14:textId="77777777" w:rsidTr="00A35929">
        <w:trPr>
          <w:trHeight w:val="240"/>
        </w:trPr>
        <w:tc>
          <w:tcPr>
            <w:tcW w:w="1520" w:type="dxa"/>
            <w:vMerge/>
            <w:tcBorders>
              <w:top w:val="nil"/>
              <w:left w:val="single" w:sz="4" w:space="0" w:color="auto"/>
              <w:bottom w:val="single" w:sz="4" w:space="0" w:color="000000"/>
              <w:right w:val="single" w:sz="4" w:space="0" w:color="auto"/>
            </w:tcBorders>
            <w:vAlign w:val="center"/>
            <w:hideMark/>
          </w:tcPr>
          <w:p w14:paraId="02CD9A57"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24A6B2E8"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Relevant research results are available for environmental policy development </w:t>
            </w:r>
          </w:p>
        </w:tc>
        <w:tc>
          <w:tcPr>
            <w:tcW w:w="695" w:type="dxa"/>
            <w:tcBorders>
              <w:top w:val="nil"/>
              <w:left w:val="nil"/>
              <w:bottom w:val="single" w:sz="4" w:space="0" w:color="auto"/>
              <w:right w:val="single" w:sz="4" w:space="0" w:color="auto"/>
            </w:tcBorders>
            <w:shd w:val="clear" w:color="auto" w:fill="auto"/>
            <w:vAlign w:val="center"/>
            <w:hideMark/>
          </w:tcPr>
          <w:p w14:paraId="2A2A23B6"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3</w:t>
            </w:r>
          </w:p>
        </w:tc>
        <w:tc>
          <w:tcPr>
            <w:tcW w:w="844" w:type="dxa"/>
            <w:vMerge/>
            <w:tcBorders>
              <w:top w:val="nil"/>
              <w:left w:val="single" w:sz="4" w:space="0" w:color="auto"/>
              <w:bottom w:val="single" w:sz="4" w:space="0" w:color="000000"/>
              <w:right w:val="single" w:sz="4" w:space="0" w:color="auto"/>
            </w:tcBorders>
            <w:vAlign w:val="center"/>
            <w:hideMark/>
          </w:tcPr>
          <w:p w14:paraId="2DA8B4CA"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3C2C81A6"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12769619"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6A68F9EC"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5848BF74"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79E5B47B" w14:textId="77777777" w:rsidR="00B02352" w:rsidRPr="00B02352" w:rsidRDefault="00B02352" w:rsidP="00B02352">
            <w:pPr>
              <w:spacing w:after="0"/>
              <w:jc w:val="left"/>
              <w:rPr>
                <w:rFonts w:eastAsia="Times New Roman"/>
                <w:color w:val="000000"/>
                <w:sz w:val="18"/>
                <w:szCs w:val="18"/>
              </w:rPr>
            </w:pPr>
          </w:p>
        </w:tc>
      </w:tr>
      <w:tr w:rsidR="00B02352" w:rsidRPr="00B02352" w14:paraId="33AC5B1C" w14:textId="77777777" w:rsidTr="00A35929">
        <w:trPr>
          <w:trHeight w:val="720"/>
        </w:trPr>
        <w:tc>
          <w:tcPr>
            <w:tcW w:w="1520" w:type="dxa"/>
            <w:vMerge w:val="restart"/>
            <w:tcBorders>
              <w:top w:val="nil"/>
              <w:left w:val="single" w:sz="4" w:space="0" w:color="auto"/>
              <w:bottom w:val="single" w:sz="4" w:space="0" w:color="000000"/>
              <w:right w:val="single" w:sz="4" w:space="0" w:color="auto"/>
            </w:tcBorders>
            <w:shd w:val="clear" w:color="auto" w:fill="auto"/>
            <w:hideMark/>
          </w:tcPr>
          <w:p w14:paraId="36B365A5" w14:textId="77777777" w:rsidR="00B02352" w:rsidRPr="00B02352" w:rsidRDefault="00B02352" w:rsidP="00B02352">
            <w:pPr>
              <w:spacing w:after="0"/>
              <w:jc w:val="left"/>
              <w:rPr>
                <w:rFonts w:eastAsia="Times New Roman"/>
                <w:b/>
                <w:bCs/>
                <w:color w:val="000000"/>
                <w:sz w:val="18"/>
                <w:szCs w:val="18"/>
              </w:rPr>
            </w:pPr>
            <w:r w:rsidRPr="00B02352">
              <w:rPr>
                <w:rFonts w:eastAsia="Times New Roman"/>
                <w:b/>
                <w:bCs/>
                <w:color w:val="000000"/>
                <w:sz w:val="18"/>
                <w:szCs w:val="18"/>
              </w:rPr>
              <w:t>2.5. Extent of inclusion/use of traditional knowledge in Biosecurity decision-making</w:t>
            </w:r>
          </w:p>
        </w:tc>
        <w:tc>
          <w:tcPr>
            <w:tcW w:w="3605" w:type="dxa"/>
            <w:tcBorders>
              <w:top w:val="nil"/>
              <w:left w:val="nil"/>
              <w:bottom w:val="single" w:sz="4" w:space="0" w:color="auto"/>
              <w:right w:val="single" w:sz="4" w:space="0" w:color="auto"/>
            </w:tcBorders>
            <w:shd w:val="clear" w:color="auto" w:fill="auto"/>
            <w:hideMark/>
          </w:tcPr>
          <w:p w14:paraId="1B4F38A5"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Traditional knowledge is ignored and not taken into account into relevant participative decision-making processes </w:t>
            </w:r>
          </w:p>
        </w:tc>
        <w:tc>
          <w:tcPr>
            <w:tcW w:w="695" w:type="dxa"/>
            <w:tcBorders>
              <w:top w:val="nil"/>
              <w:left w:val="nil"/>
              <w:bottom w:val="single" w:sz="4" w:space="0" w:color="auto"/>
              <w:right w:val="single" w:sz="4" w:space="0" w:color="auto"/>
            </w:tcBorders>
            <w:shd w:val="clear" w:color="auto" w:fill="auto"/>
            <w:vAlign w:val="center"/>
            <w:hideMark/>
          </w:tcPr>
          <w:p w14:paraId="493CD347"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0</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14:paraId="3D82339E"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14:paraId="470312A8"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c>
          <w:tcPr>
            <w:tcW w:w="717" w:type="dxa"/>
            <w:vMerge w:val="restart"/>
            <w:tcBorders>
              <w:top w:val="nil"/>
              <w:left w:val="single" w:sz="4" w:space="0" w:color="auto"/>
              <w:bottom w:val="single" w:sz="4" w:space="0" w:color="000000"/>
              <w:right w:val="single" w:sz="4" w:space="0" w:color="auto"/>
            </w:tcBorders>
            <w:shd w:val="clear" w:color="auto" w:fill="auto"/>
            <w:vAlign w:val="center"/>
            <w:hideMark/>
          </w:tcPr>
          <w:p w14:paraId="5BEFA433"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c>
          <w:tcPr>
            <w:tcW w:w="2587" w:type="dxa"/>
            <w:vMerge w:val="restart"/>
            <w:tcBorders>
              <w:top w:val="nil"/>
              <w:left w:val="single" w:sz="4" w:space="0" w:color="auto"/>
              <w:bottom w:val="single" w:sz="4" w:space="0" w:color="000000"/>
              <w:right w:val="single" w:sz="4" w:space="0" w:color="auto"/>
            </w:tcBorders>
            <w:shd w:val="clear" w:color="auto" w:fill="auto"/>
            <w:hideMark/>
          </w:tcPr>
          <w:p w14:paraId="137B2B52"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Biosecurity is currently on focusing on external border protection and less on internal mechanisms. There is little Traditional Knowledge on IAS as they are generally newer introductions.</w:t>
            </w:r>
          </w:p>
        </w:tc>
        <w:tc>
          <w:tcPr>
            <w:tcW w:w="2056" w:type="dxa"/>
            <w:vMerge w:val="restart"/>
            <w:tcBorders>
              <w:top w:val="nil"/>
              <w:left w:val="single" w:sz="4" w:space="0" w:color="auto"/>
              <w:bottom w:val="single" w:sz="4" w:space="0" w:color="000000"/>
              <w:right w:val="single" w:sz="4" w:space="0" w:color="auto"/>
            </w:tcBorders>
            <w:shd w:val="clear" w:color="auto" w:fill="auto"/>
            <w:hideMark/>
          </w:tcPr>
          <w:p w14:paraId="7739A6C0"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Ensure that local level experts are included in state reviews.</w:t>
            </w:r>
          </w:p>
        </w:tc>
        <w:tc>
          <w:tcPr>
            <w:tcW w:w="1073" w:type="dxa"/>
            <w:vMerge w:val="restart"/>
            <w:tcBorders>
              <w:top w:val="nil"/>
              <w:left w:val="single" w:sz="4" w:space="0" w:color="auto"/>
              <w:bottom w:val="single" w:sz="4" w:space="0" w:color="000000"/>
              <w:right w:val="single" w:sz="4" w:space="0" w:color="auto"/>
            </w:tcBorders>
            <w:shd w:val="clear" w:color="auto" w:fill="auto"/>
            <w:vAlign w:val="center"/>
            <w:hideMark/>
          </w:tcPr>
          <w:p w14:paraId="79BF1C44"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 and 3</w:t>
            </w:r>
          </w:p>
        </w:tc>
      </w:tr>
      <w:tr w:rsidR="00B02352" w:rsidRPr="00B02352" w14:paraId="39706C2B" w14:textId="77777777" w:rsidTr="00A35929">
        <w:trPr>
          <w:trHeight w:val="480"/>
        </w:trPr>
        <w:tc>
          <w:tcPr>
            <w:tcW w:w="1520" w:type="dxa"/>
            <w:vMerge/>
            <w:tcBorders>
              <w:top w:val="nil"/>
              <w:left w:val="single" w:sz="4" w:space="0" w:color="auto"/>
              <w:bottom w:val="single" w:sz="4" w:space="0" w:color="000000"/>
              <w:right w:val="single" w:sz="4" w:space="0" w:color="auto"/>
            </w:tcBorders>
            <w:vAlign w:val="center"/>
            <w:hideMark/>
          </w:tcPr>
          <w:p w14:paraId="76300521"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2B41B987"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Traditional knowledge is identified and recognized as important but is not collected and used in relevant participative decision-making processes </w:t>
            </w:r>
          </w:p>
        </w:tc>
        <w:tc>
          <w:tcPr>
            <w:tcW w:w="695" w:type="dxa"/>
            <w:tcBorders>
              <w:top w:val="nil"/>
              <w:left w:val="nil"/>
              <w:bottom w:val="single" w:sz="4" w:space="0" w:color="auto"/>
              <w:right w:val="single" w:sz="4" w:space="0" w:color="auto"/>
            </w:tcBorders>
            <w:shd w:val="clear" w:color="auto" w:fill="auto"/>
            <w:vAlign w:val="center"/>
            <w:hideMark/>
          </w:tcPr>
          <w:p w14:paraId="1377314F"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c>
          <w:tcPr>
            <w:tcW w:w="844" w:type="dxa"/>
            <w:vMerge/>
            <w:tcBorders>
              <w:top w:val="nil"/>
              <w:left w:val="single" w:sz="4" w:space="0" w:color="auto"/>
              <w:bottom w:val="single" w:sz="4" w:space="0" w:color="000000"/>
              <w:right w:val="single" w:sz="4" w:space="0" w:color="auto"/>
            </w:tcBorders>
            <w:vAlign w:val="center"/>
            <w:hideMark/>
          </w:tcPr>
          <w:p w14:paraId="5EAB5F31"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6F6FBD2E"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2CB97A82"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629D9D2C"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53A399EB"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4654ACA7" w14:textId="77777777" w:rsidR="00B02352" w:rsidRPr="00B02352" w:rsidRDefault="00B02352" w:rsidP="00B02352">
            <w:pPr>
              <w:spacing w:after="0"/>
              <w:jc w:val="left"/>
              <w:rPr>
                <w:rFonts w:eastAsia="Times New Roman"/>
                <w:color w:val="000000"/>
                <w:sz w:val="18"/>
                <w:szCs w:val="18"/>
              </w:rPr>
            </w:pPr>
          </w:p>
        </w:tc>
      </w:tr>
      <w:tr w:rsidR="00B02352" w:rsidRPr="00B02352" w14:paraId="6AB90C98" w14:textId="77777777" w:rsidTr="00A35929">
        <w:trPr>
          <w:trHeight w:val="480"/>
        </w:trPr>
        <w:tc>
          <w:tcPr>
            <w:tcW w:w="1520" w:type="dxa"/>
            <w:vMerge/>
            <w:tcBorders>
              <w:top w:val="nil"/>
              <w:left w:val="single" w:sz="4" w:space="0" w:color="auto"/>
              <w:bottom w:val="single" w:sz="4" w:space="0" w:color="000000"/>
              <w:right w:val="single" w:sz="4" w:space="0" w:color="auto"/>
            </w:tcBorders>
            <w:vAlign w:val="center"/>
            <w:hideMark/>
          </w:tcPr>
          <w:p w14:paraId="28F27DDF"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79D39C17" w14:textId="2841DAF4"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Traditional knowledge is collected but is not used systematically into relevant participative decision</w:t>
            </w:r>
            <w:r w:rsidR="005F36E3">
              <w:rPr>
                <w:rFonts w:eastAsia="Times New Roman" w:cs="Arial"/>
                <w:color w:val="000000"/>
                <w:sz w:val="18"/>
                <w:szCs w:val="18"/>
              </w:rPr>
              <w:t>-</w:t>
            </w:r>
            <w:r w:rsidRPr="00B02352">
              <w:rPr>
                <w:rFonts w:eastAsia="Times New Roman" w:cs="Arial"/>
                <w:color w:val="000000"/>
                <w:sz w:val="18"/>
                <w:szCs w:val="18"/>
              </w:rPr>
              <w:t xml:space="preserve">making processes </w:t>
            </w:r>
          </w:p>
        </w:tc>
        <w:tc>
          <w:tcPr>
            <w:tcW w:w="695" w:type="dxa"/>
            <w:tcBorders>
              <w:top w:val="nil"/>
              <w:left w:val="nil"/>
              <w:bottom w:val="single" w:sz="4" w:space="0" w:color="auto"/>
              <w:right w:val="single" w:sz="4" w:space="0" w:color="auto"/>
            </w:tcBorders>
            <w:shd w:val="clear" w:color="auto" w:fill="auto"/>
            <w:vAlign w:val="center"/>
            <w:hideMark/>
          </w:tcPr>
          <w:p w14:paraId="46181484"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w:t>
            </w:r>
          </w:p>
        </w:tc>
        <w:tc>
          <w:tcPr>
            <w:tcW w:w="844" w:type="dxa"/>
            <w:vMerge/>
            <w:tcBorders>
              <w:top w:val="nil"/>
              <w:left w:val="single" w:sz="4" w:space="0" w:color="auto"/>
              <w:bottom w:val="single" w:sz="4" w:space="0" w:color="000000"/>
              <w:right w:val="single" w:sz="4" w:space="0" w:color="auto"/>
            </w:tcBorders>
            <w:vAlign w:val="center"/>
            <w:hideMark/>
          </w:tcPr>
          <w:p w14:paraId="24D7F707"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0C2C90AD"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24B6FB1D"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1ACC5F34"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2D6D154C"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4CD6E26B" w14:textId="77777777" w:rsidR="00B02352" w:rsidRPr="00B02352" w:rsidRDefault="00B02352" w:rsidP="00B02352">
            <w:pPr>
              <w:spacing w:after="0"/>
              <w:jc w:val="left"/>
              <w:rPr>
                <w:rFonts w:eastAsia="Times New Roman"/>
                <w:color w:val="000000"/>
                <w:sz w:val="18"/>
                <w:szCs w:val="18"/>
              </w:rPr>
            </w:pPr>
          </w:p>
        </w:tc>
      </w:tr>
      <w:tr w:rsidR="00B02352" w:rsidRPr="00B02352" w14:paraId="25F84C1A" w14:textId="77777777" w:rsidTr="00A35929">
        <w:trPr>
          <w:trHeight w:val="584"/>
        </w:trPr>
        <w:tc>
          <w:tcPr>
            <w:tcW w:w="1520" w:type="dxa"/>
            <w:vMerge/>
            <w:tcBorders>
              <w:top w:val="nil"/>
              <w:left w:val="single" w:sz="4" w:space="0" w:color="auto"/>
              <w:bottom w:val="single" w:sz="4" w:space="0" w:color="000000"/>
              <w:right w:val="single" w:sz="4" w:space="0" w:color="auto"/>
            </w:tcBorders>
            <w:vAlign w:val="center"/>
            <w:hideMark/>
          </w:tcPr>
          <w:p w14:paraId="5825085F"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1FBF0698"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Traditional knowledge is collected, used and shared for effective participative decision-making processes </w:t>
            </w:r>
          </w:p>
        </w:tc>
        <w:tc>
          <w:tcPr>
            <w:tcW w:w="695" w:type="dxa"/>
            <w:tcBorders>
              <w:top w:val="nil"/>
              <w:left w:val="nil"/>
              <w:bottom w:val="single" w:sz="4" w:space="0" w:color="auto"/>
              <w:right w:val="single" w:sz="4" w:space="0" w:color="auto"/>
            </w:tcBorders>
            <w:shd w:val="clear" w:color="auto" w:fill="auto"/>
            <w:vAlign w:val="center"/>
            <w:hideMark/>
          </w:tcPr>
          <w:p w14:paraId="7E6CC623"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3</w:t>
            </w:r>
          </w:p>
        </w:tc>
        <w:tc>
          <w:tcPr>
            <w:tcW w:w="844" w:type="dxa"/>
            <w:vMerge/>
            <w:tcBorders>
              <w:top w:val="nil"/>
              <w:left w:val="single" w:sz="4" w:space="0" w:color="auto"/>
              <w:bottom w:val="single" w:sz="4" w:space="0" w:color="000000"/>
              <w:right w:val="single" w:sz="4" w:space="0" w:color="auto"/>
            </w:tcBorders>
            <w:vAlign w:val="center"/>
            <w:hideMark/>
          </w:tcPr>
          <w:p w14:paraId="2DFA3383"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7296F9BC"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24F796A3"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495AB013"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37219FF8"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2002C97C" w14:textId="77777777" w:rsidR="00B02352" w:rsidRPr="00B02352" w:rsidRDefault="00B02352" w:rsidP="00B02352">
            <w:pPr>
              <w:spacing w:after="0"/>
              <w:jc w:val="left"/>
              <w:rPr>
                <w:rFonts w:eastAsia="Times New Roman"/>
                <w:color w:val="000000"/>
                <w:sz w:val="18"/>
                <w:szCs w:val="18"/>
              </w:rPr>
            </w:pPr>
          </w:p>
        </w:tc>
      </w:tr>
      <w:tr w:rsidR="00B02352" w:rsidRPr="00B02352" w14:paraId="3CC57D2A" w14:textId="77777777" w:rsidTr="00A35929">
        <w:trPr>
          <w:trHeight w:val="55"/>
        </w:trPr>
        <w:tc>
          <w:tcPr>
            <w:tcW w:w="13845" w:type="dxa"/>
            <w:gridSpan w:val="9"/>
            <w:tcBorders>
              <w:top w:val="nil"/>
              <w:left w:val="single" w:sz="4" w:space="0" w:color="auto"/>
              <w:bottom w:val="single" w:sz="4" w:space="0" w:color="auto"/>
              <w:right w:val="single" w:sz="4" w:space="0" w:color="auto"/>
            </w:tcBorders>
            <w:shd w:val="clear" w:color="000000" w:fill="D6E3BC"/>
            <w:hideMark/>
          </w:tcPr>
          <w:p w14:paraId="418C41CF" w14:textId="77777777" w:rsidR="00B02352" w:rsidRPr="00B02352" w:rsidRDefault="00B02352" w:rsidP="00B02352">
            <w:pPr>
              <w:spacing w:after="0"/>
              <w:jc w:val="left"/>
              <w:rPr>
                <w:rFonts w:eastAsia="Times New Roman"/>
                <w:b/>
                <w:bCs/>
                <w:color w:val="000000"/>
                <w:sz w:val="18"/>
                <w:szCs w:val="18"/>
              </w:rPr>
            </w:pPr>
            <w:r w:rsidRPr="00B02352">
              <w:rPr>
                <w:rFonts w:eastAsia="Times New Roman"/>
                <w:b/>
                <w:bCs/>
                <w:color w:val="000000"/>
                <w:sz w:val="18"/>
                <w:szCs w:val="18"/>
              </w:rPr>
              <w:t>CR 3: Capacities to strategy, policy and legislation development</w:t>
            </w:r>
          </w:p>
        </w:tc>
      </w:tr>
      <w:tr w:rsidR="00B02352" w:rsidRPr="00B02352" w14:paraId="5652E007" w14:textId="77777777" w:rsidTr="00A35929">
        <w:trPr>
          <w:trHeight w:val="720"/>
        </w:trPr>
        <w:tc>
          <w:tcPr>
            <w:tcW w:w="1520" w:type="dxa"/>
            <w:vMerge w:val="restart"/>
            <w:tcBorders>
              <w:top w:val="nil"/>
              <w:left w:val="single" w:sz="4" w:space="0" w:color="auto"/>
              <w:bottom w:val="single" w:sz="4" w:space="0" w:color="000000"/>
              <w:right w:val="single" w:sz="4" w:space="0" w:color="auto"/>
            </w:tcBorders>
            <w:shd w:val="clear" w:color="auto" w:fill="auto"/>
            <w:hideMark/>
          </w:tcPr>
          <w:p w14:paraId="7F5F7B5C" w14:textId="77777777" w:rsidR="00B02352" w:rsidRPr="00B02352" w:rsidRDefault="00B02352" w:rsidP="00B02352">
            <w:pPr>
              <w:spacing w:after="0"/>
              <w:jc w:val="left"/>
              <w:rPr>
                <w:rFonts w:eastAsia="Times New Roman"/>
                <w:b/>
                <w:bCs/>
                <w:color w:val="000000"/>
                <w:sz w:val="18"/>
                <w:szCs w:val="18"/>
              </w:rPr>
            </w:pPr>
            <w:r w:rsidRPr="00B02352">
              <w:rPr>
                <w:rFonts w:eastAsia="Times New Roman"/>
                <w:b/>
                <w:bCs/>
                <w:color w:val="000000"/>
                <w:sz w:val="18"/>
                <w:szCs w:val="18"/>
              </w:rPr>
              <w:t>3.1. Extent of the Biosecurity planning and strategy development process</w:t>
            </w:r>
          </w:p>
        </w:tc>
        <w:tc>
          <w:tcPr>
            <w:tcW w:w="3605" w:type="dxa"/>
            <w:tcBorders>
              <w:top w:val="nil"/>
              <w:left w:val="nil"/>
              <w:bottom w:val="single" w:sz="4" w:space="0" w:color="auto"/>
              <w:right w:val="single" w:sz="4" w:space="0" w:color="auto"/>
            </w:tcBorders>
            <w:shd w:val="clear" w:color="auto" w:fill="auto"/>
            <w:hideMark/>
          </w:tcPr>
          <w:p w14:paraId="0D0C8717"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The environmental planning and strategy development process is not coordinated and does not produce adequate environmental plans and strategies </w:t>
            </w:r>
          </w:p>
        </w:tc>
        <w:tc>
          <w:tcPr>
            <w:tcW w:w="695" w:type="dxa"/>
            <w:tcBorders>
              <w:top w:val="nil"/>
              <w:left w:val="nil"/>
              <w:bottom w:val="single" w:sz="4" w:space="0" w:color="auto"/>
              <w:right w:val="single" w:sz="4" w:space="0" w:color="auto"/>
            </w:tcBorders>
            <w:shd w:val="clear" w:color="auto" w:fill="auto"/>
            <w:vAlign w:val="center"/>
            <w:hideMark/>
          </w:tcPr>
          <w:p w14:paraId="34A72AD7"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0</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14:paraId="0C233766"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0</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14:paraId="3E110DDC"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c>
          <w:tcPr>
            <w:tcW w:w="717" w:type="dxa"/>
            <w:vMerge w:val="restart"/>
            <w:tcBorders>
              <w:top w:val="nil"/>
              <w:left w:val="single" w:sz="4" w:space="0" w:color="auto"/>
              <w:bottom w:val="single" w:sz="4" w:space="0" w:color="000000"/>
              <w:right w:val="single" w:sz="4" w:space="0" w:color="auto"/>
            </w:tcBorders>
            <w:shd w:val="clear" w:color="auto" w:fill="auto"/>
            <w:vAlign w:val="center"/>
            <w:hideMark/>
          </w:tcPr>
          <w:p w14:paraId="2F4D878A"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3</w:t>
            </w:r>
          </w:p>
        </w:tc>
        <w:tc>
          <w:tcPr>
            <w:tcW w:w="2587" w:type="dxa"/>
            <w:vMerge w:val="restart"/>
            <w:tcBorders>
              <w:top w:val="nil"/>
              <w:left w:val="single" w:sz="4" w:space="0" w:color="auto"/>
              <w:bottom w:val="single" w:sz="4" w:space="0" w:color="000000"/>
              <w:right w:val="single" w:sz="4" w:space="0" w:color="auto"/>
            </w:tcBorders>
            <w:shd w:val="clear" w:color="auto" w:fill="auto"/>
            <w:hideMark/>
          </w:tcPr>
          <w:p w14:paraId="4C559213"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 xml:space="preserve">The Biosecurity Office has already retained a consultant to begin working on strategies and plans but has not made much progress. </w:t>
            </w:r>
          </w:p>
        </w:tc>
        <w:tc>
          <w:tcPr>
            <w:tcW w:w="2056" w:type="dxa"/>
            <w:vMerge w:val="restart"/>
            <w:tcBorders>
              <w:top w:val="nil"/>
              <w:left w:val="single" w:sz="4" w:space="0" w:color="auto"/>
              <w:bottom w:val="single" w:sz="4" w:space="0" w:color="000000"/>
              <w:right w:val="single" w:sz="4" w:space="0" w:color="auto"/>
            </w:tcBorders>
            <w:shd w:val="clear" w:color="auto" w:fill="auto"/>
            <w:hideMark/>
          </w:tcPr>
          <w:p w14:paraId="09D1ADAF"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Develop NISSAP and EDRR Strategy.</w:t>
            </w:r>
          </w:p>
        </w:tc>
        <w:tc>
          <w:tcPr>
            <w:tcW w:w="1073" w:type="dxa"/>
            <w:vMerge w:val="restart"/>
            <w:tcBorders>
              <w:top w:val="nil"/>
              <w:left w:val="single" w:sz="4" w:space="0" w:color="auto"/>
              <w:bottom w:val="single" w:sz="4" w:space="0" w:color="000000"/>
              <w:right w:val="single" w:sz="4" w:space="0" w:color="auto"/>
            </w:tcBorders>
            <w:shd w:val="clear" w:color="auto" w:fill="auto"/>
            <w:vAlign w:val="center"/>
            <w:hideMark/>
          </w:tcPr>
          <w:p w14:paraId="4C00D0B0"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r>
      <w:tr w:rsidR="00B02352" w:rsidRPr="00B02352" w14:paraId="63DA3548" w14:textId="77777777" w:rsidTr="00A35929">
        <w:trPr>
          <w:trHeight w:val="480"/>
        </w:trPr>
        <w:tc>
          <w:tcPr>
            <w:tcW w:w="1520" w:type="dxa"/>
            <w:vMerge/>
            <w:tcBorders>
              <w:top w:val="nil"/>
              <w:left w:val="single" w:sz="4" w:space="0" w:color="auto"/>
              <w:bottom w:val="single" w:sz="4" w:space="0" w:color="000000"/>
              <w:right w:val="single" w:sz="4" w:space="0" w:color="auto"/>
            </w:tcBorders>
            <w:vAlign w:val="center"/>
            <w:hideMark/>
          </w:tcPr>
          <w:p w14:paraId="4469628E"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19F6BEA6"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The environmental planning and strategy development process does produce adequate environmental plans and strategies but there are not implemented/used </w:t>
            </w:r>
          </w:p>
        </w:tc>
        <w:tc>
          <w:tcPr>
            <w:tcW w:w="695" w:type="dxa"/>
            <w:tcBorders>
              <w:top w:val="nil"/>
              <w:left w:val="nil"/>
              <w:bottom w:val="single" w:sz="4" w:space="0" w:color="auto"/>
              <w:right w:val="single" w:sz="4" w:space="0" w:color="auto"/>
            </w:tcBorders>
            <w:shd w:val="clear" w:color="auto" w:fill="auto"/>
            <w:vAlign w:val="center"/>
            <w:hideMark/>
          </w:tcPr>
          <w:p w14:paraId="29FCB0B6"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c>
          <w:tcPr>
            <w:tcW w:w="844" w:type="dxa"/>
            <w:vMerge/>
            <w:tcBorders>
              <w:top w:val="nil"/>
              <w:left w:val="single" w:sz="4" w:space="0" w:color="auto"/>
              <w:bottom w:val="single" w:sz="4" w:space="0" w:color="000000"/>
              <w:right w:val="single" w:sz="4" w:space="0" w:color="auto"/>
            </w:tcBorders>
            <w:vAlign w:val="center"/>
            <w:hideMark/>
          </w:tcPr>
          <w:p w14:paraId="5E13F7C1"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3F148573"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11505A8E"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52AEC1E4"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15512C89"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66263C0A" w14:textId="77777777" w:rsidR="00B02352" w:rsidRPr="00B02352" w:rsidRDefault="00B02352" w:rsidP="00B02352">
            <w:pPr>
              <w:spacing w:after="0"/>
              <w:jc w:val="left"/>
              <w:rPr>
                <w:rFonts w:eastAsia="Times New Roman"/>
                <w:color w:val="000000"/>
                <w:sz w:val="18"/>
                <w:szCs w:val="18"/>
              </w:rPr>
            </w:pPr>
          </w:p>
        </w:tc>
      </w:tr>
      <w:tr w:rsidR="00B02352" w:rsidRPr="00B02352" w14:paraId="7DCB6FD7" w14:textId="77777777" w:rsidTr="00A35929">
        <w:trPr>
          <w:trHeight w:val="480"/>
        </w:trPr>
        <w:tc>
          <w:tcPr>
            <w:tcW w:w="1520" w:type="dxa"/>
            <w:vMerge/>
            <w:tcBorders>
              <w:top w:val="nil"/>
              <w:left w:val="single" w:sz="4" w:space="0" w:color="auto"/>
              <w:bottom w:val="single" w:sz="4" w:space="0" w:color="000000"/>
              <w:right w:val="single" w:sz="4" w:space="0" w:color="auto"/>
            </w:tcBorders>
            <w:vAlign w:val="center"/>
            <w:hideMark/>
          </w:tcPr>
          <w:p w14:paraId="453AE957"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001694D0"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Adequate environmental plans and strategies are produced but there are only partially implemented because of funding constraints and/or other problems </w:t>
            </w:r>
          </w:p>
        </w:tc>
        <w:tc>
          <w:tcPr>
            <w:tcW w:w="695" w:type="dxa"/>
            <w:tcBorders>
              <w:top w:val="nil"/>
              <w:left w:val="nil"/>
              <w:bottom w:val="single" w:sz="4" w:space="0" w:color="auto"/>
              <w:right w:val="single" w:sz="4" w:space="0" w:color="auto"/>
            </w:tcBorders>
            <w:shd w:val="clear" w:color="auto" w:fill="auto"/>
            <w:vAlign w:val="center"/>
            <w:hideMark/>
          </w:tcPr>
          <w:p w14:paraId="7D5799BE"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w:t>
            </w:r>
          </w:p>
        </w:tc>
        <w:tc>
          <w:tcPr>
            <w:tcW w:w="844" w:type="dxa"/>
            <w:vMerge/>
            <w:tcBorders>
              <w:top w:val="nil"/>
              <w:left w:val="single" w:sz="4" w:space="0" w:color="auto"/>
              <w:bottom w:val="single" w:sz="4" w:space="0" w:color="000000"/>
              <w:right w:val="single" w:sz="4" w:space="0" w:color="auto"/>
            </w:tcBorders>
            <w:vAlign w:val="center"/>
            <w:hideMark/>
          </w:tcPr>
          <w:p w14:paraId="24B21858"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5F5CB512"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029B49DC"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1A6D39FE"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6B567A2C"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6F99E3F7" w14:textId="77777777" w:rsidR="00B02352" w:rsidRPr="00B02352" w:rsidRDefault="00B02352" w:rsidP="00B02352">
            <w:pPr>
              <w:spacing w:after="0"/>
              <w:jc w:val="left"/>
              <w:rPr>
                <w:rFonts w:eastAsia="Times New Roman"/>
                <w:color w:val="000000"/>
                <w:sz w:val="18"/>
                <w:szCs w:val="18"/>
              </w:rPr>
            </w:pPr>
          </w:p>
        </w:tc>
      </w:tr>
      <w:tr w:rsidR="00B02352" w:rsidRPr="00B02352" w14:paraId="0EB66905" w14:textId="77777777" w:rsidTr="00A35929">
        <w:trPr>
          <w:trHeight w:val="480"/>
        </w:trPr>
        <w:tc>
          <w:tcPr>
            <w:tcW w:w="1520" w:type="dxa"/>
            <w:vMerge/>
            <w:tcBorders>
              <w:top w:val="nil"/>
              <w:left w:val="single" w:sz="4" w:space="0" w:color="auto"/>
              <w:bottom w:val="single" w:sz="4" w:space="0" w:color="000000"/>
              <w:right w:val="single" w:sz="4" w:space="0" w:color="auto"/>
            </w:tcBorders>
            <w:vAlign w:val="center"/>
            <w:hideMark/>
          </w:tcPr>
          <w:p w14:paraId="008E87B7"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76F92DA7"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The environmental planning and strategy development process is well coordinated by the lead environmental organizations and produces the required environmental plans and strategies; which are being implemented </w:t>
            </w:r>
          </w:p>
        </w:tc>
        <w:tc>
          <w:tcPr>
            <w:tcW w:w="695" w:type="dxa"/>
            <w:tcBorders>
              <w:top w:val="nil"/>
              <w:left w:val="nil"/>
              <w:bottom w:val="single" w:sz="4" w:space="0" w:color="auto"/>
              <w:right w:val="single" w:sz="4" w:space="0" w:color="auto"/>
            </w:tcBorders>
            <w:shd w:val="clear" w:color="auto" w:fill="auto"/>
            <w:vAlign w:val="center"/>
            <w:hideMark/>
          </w:tcPr>
          <w:p w14:paraId="50594605"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3</w:t>
            </w:r>
          </w:p>
        </w:tc>
        <w:tc>
          <w:tcPr>
            <w:tcW w:w="844" w:type="dxa"/>
            <w:vMerge/>
            <w:tcBorders>
              <w:top w:val="nil"/>
              <w:left w:val="single" w:sz="4" w:space="0" w:color="auto"/>
              <w:bottom w:val="single" w:sz="4" w:space="0" w:color="000000"/>
              <w:right w:val="single" w:sz="4" w:space="0" w:color="auto"/>
            </w:tcBorders>
            <w:vAlign w:val="center"/>
            <w:hideMark/>
          </w:tcPr>
          <w:p w14:paraId="0BE017D8"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2EFF6DC5"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1822F02B"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0F644DAF"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1604DE8F"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53DADF54" w14:textId="77777777" w:rsidR="00B02352" w:rsidRPr="00B02352" w:rsidRDefault="00B02352" w:rsidP="00B02352">
            <w:pPr>
              <w:spacing w:after="0"/>
              <w:jc w:val="left"/>
              <w:rPr>
                <w:rFonts w:eastAsia="Times New Roman"/>
                <w:color w:val="000000"/>
                <w:sz w:val="18"/>
                <w:szCs w:val="18"/>
              </w:rPr>
            </w:pPr>
          </w:p>
        </w:tc>
      </w:tr>
      <w:tr w:rsidR="00B02352" w:rsidRPr="00B02352" w14:paraId="77C7D1D2" w14:textId="77777777" w:rsidTr="00A35929">
        <w:trPr>
          <w:trHeight w:val="720"/>
        </w:trPr>
        <w:tc>
          <w:tcPr>
            <w:tcW w:w="1520" w:type="dxa"/>
            <w:vMerge w:val="restart"/>
            <w:tcBorders>
              <w:top w:val="nil"/>
              <w:left w:val="single" w:sz="4" w:space="0" w:color="auto"/>
              <w:bottom w:val="single" w:sz="4" w:space="0" w:color="000000"/>
              <w:right w:val="single" w:sz="4" w:space="0" w:color="auto"/>
            </w:tcBorders>
            <w:shd w:val="clear" w:color="auto" w:fill="auto"/>
            <w:hideMark/>
          </w:tcPr>
          <w:p w14:paraId="06E78D95" w14:textId="77777777" w:rsidR="00B02352" w:rsidRPr="00B02352" w:rsidRDefault="00B02352" w:rsidP="00B02352">
            <w:pPr>
              <w:spacing w:after="0"/>
              <w:jc w:val="left"/>
              <w:rPr>
                <w:rFonts w:eastAsia="Times New Roman"/>
                <w:b/>
                <w:bCs/>
                <w:color w:val="000000"/>
                <w:sz w:val="18"/>
                <w:szCs w:val="18"/>
              </w:rPr>
            </w:pPr>
            <w:r w:rsidRPr="00B02352">
              <w:rPr>
                <w:rFonts w:eastAsia="Times New Roman"/>
                <w:b/>
                <w:bCs/>
                <w:color w:val="000000"/>
                <w:sz w:val="18"/>
                <w:szCs w:val="18"/>
              </w:rPr>
              <w:t>3.2. Existence of an adequate Biosecurity policy and regulatory frameworks</w:t>
            </w:r>
          </w:p>
        </w:tc>
        <w:tc>
          <w:tcPr>
            <w:tcW w:w="3605" w:type="dxa"/>
            <w:tcBorders>
              <w:top w:val="nil"/>
              <w:left w:val="nil"/>
              <w:bottom w:val="single" w:sz="4" w:space="0" w:color="auto"/>
              <w:right w:val="single" w:sz="4" w:space="0" w:color="auto"/>
            </w:tcBorders>
            <w:shd w:val="clear" w:color="auto" w:fill="auto"/>
            <w:hideMark/>
          </w:tcPr>
          <w:p w14:paraId="7C2F3968"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The environmental policy and regulatory frameworks are insufficient; they do not provide an enabling environment </w:t>
            </w:r>
          </w:p>
        </w:tc>
        <w:tc>
          <w:tcPr>
            <w:tcW w:w="695" w:type="dxa"/>
            <w:tcBorders>
              <w:top w:val="nil"/>
              <w:left w:val="nil"/>
              <w:bottom w:val="single" w:sz="4" w:space="0" w:color="auto"/>
              <w:right w:val="single" w:sz="4" w:space="0" w:color="auto"/>
            </w:tcBorders>
            <w:shd w:val="clear" w:color="auto" w:fill="auto"/>
            <w:vAlign w:val="center"/>
            <w:hideMark/>
          </w:tcPr>
          <w:p w14:paraId="3ABA5865"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0</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14:paraId="19DE0039"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14:paraId="74BB42E6"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w:t>
            </w:r>
          </w:p>
        </w:tc>
        <w:tc>
          <w:tcPr>
            <w:tcW w:w="717" w:type="dxa"/>
            <w:vMerge w:val="restart"/>
            <w:tcBorders>
              <w:top w:val="nil"/>
              <w:left w:val="single" w:sz="4" w:space="0" w:color="auto"/>
              <w:bottom w:val="single" w:sz="4" w:space="0" w:color="000000"/>
              <w:right w:val="single" w:sz="4" w:space="0" w:color="auto"/>
            </w:tcBorders>
            <w:shd w:val="clear" w:color="auto" w:fill="auto"/>
            <w:vAlign w:val="center"/>
            <w:hideMark/>
          </w:tcPr>
          <w:p w14:paraId="4F027A99"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3</w:t>
            </w:r>
          </w:p>
        </w:tc>
        <w:tc>
          <w:tcPr>
            <w:tcW w:w="2587" w:type="dxa"/>
            <w:vMerge w:val="restart"/>
            <w:tcBorders>
              <w:top w:val="nil"/>
              <w:left w:val="single" w:sz="4" w:space="0" w:color="auto"/>
              <w:bottom w:val="single" w:sz="4" w:space="0" w:color="000000"/>
              <w:right w:val="single" w:sz="4" w:space="0" w:color="auto"/>
            </w:tcBorders>
            <w:shd w:val="clear" w:color="auto" w:fill="auto"/>
            <w:hideMark/>
          </w:tcPr>
          <w:p w14:paraId="2D2621F7"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Legislation has passed and has been fully vetted, but regulations have not yet been developed. Terrestrial regulations are a significant gap, with the last regulations related to biosecurity and IAS updated in 1998.</w:t>
            </w:r>
          </w:p>
        </w:tc>
        <w:tc>
          <w:tcPr>
            <w:tcW w:w="2056" w:type="dxa"/>
            <w:vMerge w:val="restart"/>
            <w:tcBorders>
              <w:top w:val="nil"/>
              <w:left w:val="single" w:sz="4" w:space="0" w:color="auto"/>
              <w:bottom w:val="single" w:sz="4" w:space="0" w:color="000000"/>
              <w:right w:val="single" w:sz="4" w:space="0" w:color="auto"/>
            </w:tcBorders>
            <w:shd w:val="clear" w:color="auto" w:fill="auto"/>
            <w:hideMark/>
          </w:tcPr>
          <w:p w14:paraId="2AF1C72A"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Develop regulations for the Biosecurity Act.</w:t>
            </w:r>
          </w:p>
        </w:tc>
        <w:tc>
          <w:tcPr>
            <w:tcW w:w="1073" w:type="dxa"/>
            <w:vMerge w:val="restart"/>
            <w:tcBorders>
              <w:top w:val="nil"/>
              <w:left w:val="single" w:sz="4" w:space="0" w:color="auto"/>
              <w:bottom w:val="single" w:sz="4" w:space="0" w:color="000000"/>
              <w:right w:val="single" w:sz="4" w:space="0" w:color="auto"/>
            </w:tcBorders>
            <w:shd w:val="clear" w:color="auto" w:fill="auto"/>
            <w:vAlign w:val="center"/>
            <w:hideMark/>
          </w:tcPr>
          <w:p w14:paraId="18726636"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 2, and 3</w:t>
            </w:r>
          </w:p>
        </w:tc>
      </w:tr>
      <w:tr w:rsidR="00B02352" w:rsidRPr="00B02352" w14:paraId="7CD549E2" w14:textId="77777777" w:rsidTr="00A35929">
        <w:trPr>
          <w:trHeight w:val="240"/>
        </w:trPr>
        <w:tc>
          <w:tcPr>
            <w:tcW w:w="1520" w:type="dxa"/>
            <w:vMerge/>
            <w:tcBorders>
              <w:top w:val="nil"/>
              <w:left w:val="single" w:sz="4" w:space="0" w:color="auto"/>
              <w:bottom w:val="single" w:sz="4" w:space="0" w:color="000000"/>
              <w:right w:val="single" w:sz="4" w:space="0" w:color="auto"/>
            </w:tcBorders>
            <w:vAlign w:val="center"/>
            <w:hideMark/>
          </w:tcPr>
          <w:p w14:paraId="47C96BEF"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153E9967"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Some relevant environmental policies and laws exist but few are implemented and enforced </w:t>
            </w:r>
          </w:p>
        </w:tc>
        <w:tc>
          <w:tcPr>
            <w:tcW w:w="695" w:type="dxa"/>
            <w:tcBorders>
              <w:top w:val="nil"/>
              <w:left w:val="nil"/>
              <w:bottom w:val="single" w:sz="4" w:space="0" w:color="auto"/>
              <w:right w:val="single" w:sz="4" w:space="0" w:color="auto"/>
            </w:tcBorders>
            <w:shd w:val="clear" w:color="auto" w:fill="auto"/>
            <w:vAlign w:val="center"/>
            <w:hideMark/>
          </w:tcPr>
          <w:p w14:paraId="1D8FB546"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c>
          <w:tcPr>
            <w:tcW w:w="844" w:type="dxa"/>
            <w:vMerge/>
            <w:tcBorders>
              <w:top w:val="nil"/>
              <w:left w:val="single" w:sz="4" w:space="0" w:color="auto"/>
              <w:bottom w:val="single" w:sz="4" w:space="0" w:color="000000"/>
              <w:right w:val="single" w:sz="4" w:space="0" w:color="auto"/>
            </w:tcBorders>
            <w:vAlign w:val="center"/>
            <w:hideMark/>
          </w:tcPr>
          <w:p w14:paraId="2D2A0264"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3FAA8680"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0BF6C3FB"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14C921BE"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03203A4A"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0668C835" w14:textId="77777777" w:rsidR="00B02352" w:rsidRPr="00B02352" w:rsidRDefault="00B02352" w:rsidP="00B02352">
            <w:pPr>
              <w:spacing w:after="0"/>
              <w:jc w:val="left"/>
              <w:rPr>
                <w:rFonts w:eastAsia="Times New Roman"/>
                <w:color w:val="000000"/>
                <w:sz w:val="18"/>
                <w:szCs w:val="18"/>
              </w:rPr>
            </w:pPr>
          </w:p>
        </w:tc>
      </w:tr>
      <w:tr w:rsidR="00B02352" w:rsidRPr="00B02352" w14:paraId="2DB2DA52" w14:textId="77777777" w:rsidTr="00A35929">
        <w:trPr>
          <w:trHeight w:val="480"/>
        </w:trPr>
        <w:tc>
          <w:tcPr>
            <w:tcW w:w="1520" w:type="dxa"/>
            <w:vMerge/>
            <w:tcBorders>
              <w:top w:val="nil"/>
              <w:left w:val="single" w:sz="4" w:space="0" w:color="auto"/>
              <w:bottom w:val="single" w:sz="4" w:space="0" w:color="000000"/>
              <w:right w:val="single" w:sz="4" w:space="0" w:color="auto"/>
            </w:tcBorders>
            <w:vAlign w:val="center"/>
            <w:hideMark/>
          </w:tcPr>
          <w:p w14:paraId="1D804F84"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5E773F36"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Adequate environmental policy and legislation frameworks exist but there are problems in implementing and enforcing them </w:t>
            </w:r>
          </w:p>
        </w:tc>
        <w:tc>
          <w:tcPr>
            <w:tcW w:w="695" w:type="dxa"/>
            <w:tcBorders>
              <w:top w:val="nil"/>
              <w:left w:val="nil"/>
              <w:bottom w:val="single" w:sz="4" w:space="0" w:color="auto"/>
              <w:right w:val="single" w:sz="4" w:space="0" w:color="auto"/>
            </w:tcBorders>
            <w:shd w:val="clear" w:color="auto" w:fill="auto"/>
            <w:vAlign w:val="center"/>
            <w:hideMark/>
          </w:tcPr>
          <w:p w14:paraId="1FC0E6AB"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w:t>
            </w:r>
          </w:p>
        </w:tc>
        <w:tc>
          <w:tcPr>
            <w:tcW w:w="844" w:type="dxa"/>
            <w:vMerge/>
            <w:tcBorders>
              <w:top w:val="nil"/>
              <w:left w:val="single" w:sz="4" w:space="0" w:color="auto"/>
              <w:bottom w:val="single" w:sz="4" w:space="0" w:color="000000"/>
              <w:right w:val="single" w:sz="4" w:space="0" w:color="auto"/>
            </w:tcBorders>
            <w:vAlign w:val="center"/>
            <w:hideMark/>
          </w:tcPr>
          <w:p w14:paraId="465DDEC0"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1A37412C"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54CBEB28"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2E0943E2"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347E1396"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63C23D34" w14:textId="77777777" w:rsidR="00B02352" w:rsidRPr="00B02352" w:rsidRDefault="00B02352" w:rsidP="00B02352">
            <w:pPr>
              <w:spacing w:after="0"/>
              <w:jc w:val="left"/>
              <w:rPr>
                <w:rFonts w:eastAsia="Times New Roman"/>
                <w:color w:val="000000"/>
                <w:sz w:val="18"/>
                <w:szCs w:val="18"/>
              </w:rPr>
            </w:pPr>
          </w:p>
        </w:tc>
      </w:tr>
      <w:tr w:rsidR="00B02352" w:rsidRPr="00B02352" w14:paraId="61FC9691" w14:textId="77777777" w:rsidTr="00A35929">
        <w:trPr>
          <w:trHeight w:val="480"/>
        </w:trPr>
        <w:tc>
          <w:tcPr>
            <w:tcW w:w="1520" w:type="dxa"/>
            <w:vMerge/>
            <w:tcBorders>
              <w:top w:val="nil"/>
              <w:left w:val="single" w:sz="4" w:space="0" w:color="auto"/>
              <w:bottom w:val="single" w:sz="4" w:space="0" w:color="000000"/>
              <w:right w:val="single" w:sz="4" w:space="0" w:color="auto"/>
            </w:tcBorders>
            <w:vAlign w:val="center"/>
            <w:hideMark/>
          </w:tcPr>
          <w:p w14:paraId="416E3AE1"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3CD5A154"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Adequate policy and legislation frameworks are implemented and provide an adequate enabling environment; a compliance and enforcement mechanism is established and functions </w:t>
            </w:r>
          </w:p>
        </w:tc>
        <w:tc>
          <w:tcPr>
            <w:tcW w:w="695" w:type="dxa"/>
            <w:tcBorders>
              <w:top w:val="nil"/>
              <w:left w:val="nil"/>
              <w:bottom w:val="single" w:sz="4" w:space="0" w:color="auto"/>
              <w:right w:val="single" w:sz="4" w:space="0" w:color="auto"/>
            </w:tcBorders>
            <w:shd w:val="clear" w:color="auto" w:fill="auto"/>
            <w:vAlign w:val="center"/>
            <w:hideMark/>
          </w:tcPr>
          <w:p w14:paraId="6A9AFA51"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3</w:t>
            </w:r>
          </w:p>
        </w:tc>
        <w:tc>
          <w:tcPr>
            <w:tcW w:w="844" w:type="dxa"/>
            <w:vMerge/>
            <w:tcBorders>
              <w:top w:val="nil"/>
              <w:left w:val="single" w:sz="4" w:space="0" w:color="auto"/>
              <w:bottom w:val="single" w:sz="4" w:space="0" w:color="000000"/>
              <w:right w:val="single" w:sz="4" w:space="0" w:color="auto"/>
            </w:tcBorders>
            <w:vAlign w:val="center"/>
            <w:hideMark/>
          </w:tcPr>
          <w:p w14:paraId="5681D75B"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4E2FA768"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15362976"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59E13DD3"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310DBD11"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771B00DA" w14:textId="77777777" w:rsidR="00B02352" w:rsidRPr="00B02352" w:rsidRDefault="00B02352" w:rsidP="00B02352">
            <w:pPr>
              <w:spacing w:after="0"/>
              <w:jc w:val="left"/>
              <w:rPr>
                <w:rFonts w:eastAsia="Times New Roman"/>
                <w:color w:val="000000"/>
                <w:sz w:val="18"/>
                <w:szCs w:val="18"/>
              </w:rPr>
            </w:pPr>
          </w:p>
        </w:tc>
      </w:tr>
      <w:tr w:rsidR="00B02352" w:rsidRPr="00B02352" w14:paraId="13822A65" w14:textId="77777777" w:rsidTr="00A35929">
        <w:trPr>
          <w:trHeight w:val="720"/>
        </w:trPr>
        <w:tc>
          <w:tcPr>
            <w:tcW w:w="1520" w:type="dxa"/>
            <w:vMerge w:val="restart"/>
            <w:tcBorders>
              <w:top w:val="nil"/>
              <w:left w:val="single" w:sz="4" w:space="0" w:color="auto"/>
              <w:bottom w:val="single" w:sz="4" w:space="0" w:color="000000"/>
              <w:right w:val="single" w:sz="4" w:space="0" w:color="auto"/>
            </w:tcBorders>
            <w:shd w:val="clear" w:color="auto" w:fill="auto"/>
            <w:hideMark/>
          </w:tcPr>
          <w:p w14:paraId="32291DC1" w14:textId="77777777" w:rsidR="00B02352" w:rsidRPr="00B02352" w:rsidRDefault="00B02352" w:rsidP="00B02352">
            <w:pPr>
              <w:spacing w:after="0"/>
              <w:jc w:val="left"/>
              <w:rPr>
                <w:rFonts w:eastAsia="Times New Roman"/>
                <w:b/>
                <w:bCs/>
                <w:color w:val="000000"/>
                <w:sz w:val="18"/>
                <w:szCs w:val="18"/>
              </w:rPr>
            </w:pPr>
            <w:r w:rsidRPr="00B02352">
              <w:rPr>
                <w:rFonts w:eastAsia="Times New Roman"/>
                <w:b/>
                <w:bCs/>
                <w:color w:val="000000"/>
                <w:sz w:val="18"/>
                <w:szCs w:val="18"/>
              </w:rPr>
              <w:t>3.3. Adequacy of the IAS and Biosecurity information available for decision-making</w:t>
            </w:r>
          </w:p>
        </w:tc>
        <w:tc>
          <w:tcPr>
            <w:tcW w:w="3605" w:type="dxa"/>
            <w:tcBorders>
              <w:top w:val="nil"/>
              <w:left w:val="nil"/>
              <w:bottom w:val="single" w:sz="4" w:space="0" w:color="auto"/>
              <w:right w:val="single" w:sz="4" w:space="0" w:color="auto"/>
            </w:tcBorders>
            <w:shd w:val="clear" w:color="auto" w:fill="auto"/>
            <w:hideMark/>
          </w:tcPr>
          <w:p w14:paraId="6E675039"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The availability of environmental information for decision-making is lacking </w:t>
            </w:r>
          </w:p>
        </w:tc>
        <w:tc>
          <w:tcPr>
            <w:tcW w:w="695" w:type="dxa"/>
            <w:tcBorders>
              <w:top w:val="nil"/>
              <w:left w:val="nil"/>
              <w:bottom w:val="single" w:sz="4" w:space="0" w:color="auto"/>
              <w:right w:val="single" w:sz="4" w:space="0" w:color="auto"/>
            </w:tcBorders>
            <w:shd w:val="clear" w:color="auto" w:fill="auto"/>
            <w:vAlign w:val="center"/>
            <w:hideMark/>
          </w:tcPr>
          <w:p w14:paraId="0C7D961E"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0</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14:paraId="48F4B6AB"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14:paraId="6F1099AE"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w:t>
            </w:r>
          </w:p>
        </w:tc>
        <w:tc>
          <w:tcPr>
            <w:tcW w:w="717" w:type="dxa"/>
            <w:vMerge w:val="restart"/>
            <w:tcBorders>
              <w:top w:val="nil"/>
              <w:left w:val="single" w:sz="4" w:space="0" w:color="auto"/>
              <w:bottom w:val="single" w:sz="4" w:space="0" w:color="000000"/>
              <w:right w:val="single" w:sz="4" w:space="0" w:color="auto"/>
            </w:tcBorders>
            <w:shd w:val="clear" w:color="auto" w:fill="auto"/>
            <w:vAlign w:val="center"/>
            <w:hideMark/>
          </w:tcPr>
          <w:p w14:paraId="6AE4A710"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3</w:t>
            </w:r>
          </w:p>
        </w:tc>
        <w:tc>
          <w:tcPr>
            <w:tcW w:w="2587" w:type="dxa"/>
            <w:vMerge w:val="restart"/>
            <w:tcBorders>
              <w:top w:val="nil"/>
              <w:left w:val="single" w:sz="4" w:space="0" w:color="auto"/>
              <w:bottom w:val="single" w:sz="4" w:space="0" w:color="000000"/>
              <w:right w:val="single" w:sz="4" w:space="0" w:color="auto"/>
            </w:tcBorders>
            <w:shd w:val="clear" w:color="auto" w:fill="auto"/>
            <w:hideMark/>
          </w:tcPr>
          <w:p w14:paraId="0BD87804" w14:textId="01799A76"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Currently the Biosecurity Office relies on bilateral partners such as Australia and New Zealand to provide information that can be used for decision making. The Biosecurity Office has not yet established mechanisms to determine its own information needs and to feed that information into policy. There is no system for updating information.</w:t>
            </w:r>
          </w:p>
        </w:tc>
        <w:tc>
          <w:tcPr>
            <w:tcW w:w="2056" w:type="dxa"/>
            <w:vMerge w:val="restart"/>
            <w:tcBorders>
              <w:top w:val="nil"/>
              <w:left w:val="single" w:sz="4" w:space="0" w:color="auto"/>
              <w:bottom w:val="single" w:sz="4" w:space="0" w:color="000000"/>
              <w:right w:val="single" w:sz="4" w:space="0" w:color="auto"/>
            </w:tcBorders>
            <w:shd w:val="clear" w:color="auto" w:fill="auto"/>
            <w:hideMark/>
          </w:tcPr>
          <w:p w14:paraId="0A80FBC9"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Develop the standard framework for planning documents that includes all key elements from biodiversity, biosecurity, and IAS management, including reporting mechanisms. Conduct CRB surveys and mapping and survey key gap areas.</w:t>
            </w:r>
          </w:p>
        </w:tc>
        <w:tc>
          <w:tcPr>
            <w:tcW w:w="1073" w:type="dxa"/>
            <w:vMerge w:val="restart"/>
            <w:tcBorders>
              <w:top w:val="nil"/>
              <w:left w:val="single" w:sz="4" w:space="0" w:color="auto"/>
              <w:bottom w:val="single" w:sz="4" w:space="0" w:color="000000"/>
              <w:right w:val="single" w:sz="4" w:space="0" w:color="auto"/>
            </w:tcBorders>
            <w:shd w:val="clear" w:color="auto" w:fill="auto"/>
            <w:vAlign w:val="center"/>
            <w:hideMark/>
          </w:tcPr>
          <w:p w14:paraId="114808B1"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r>
      <w:tr w:rsidR="00B02352" w:rsidRPr="00B02352" w14:paraId="4E4C062A" w14:textId="77777777" w:rsidTr="00A35929">
        <w:trPr>
          <w:trHeight w:val="480"/>
        </w:trPr>
        <w:tc>
          <w:tcPr>
            <w:tcW w:w="1520" w:type="dxa"/>
            <w:vMerge/>
            <w:tcBorders>
              <w:top w:val="nil"/>
              <w:left w:val="single" w:sz="4" w:space="0" w:color="auto"/>
              <w:bottom w:val="single" w:sz="4" w:space="0" w:color="000000"/>
              <w:right w:val="single" w:sz="4" w:space="0" w:color="auto"/>
            </w:tcBorders>
            <w:vAlign w:val="center"/>
            <w:hideMark/>
          </w:tcPr>
          <w:p w14:paraId="03A13219"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5A0B8E8B"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Some environmental information exists but it is not sufficient to support environmental decision-making processes </w:t>
            </w:r>
          </w:p>
        </w:tc>
        <w:tc>
          <w:tcPr>
            <w:tcW w:w="695" w:type="dxa"/>
            <w:tcBorders>
              <w:top w:val="nil"/>
              <w:left w:val="nil"/>
              <w:bottom w:val="single" w:sz="4" w:space="0" w:color="auto"/>
              <w:right w:val="single" w:sz="4" w:space="0" w:color="auto"/>
            </w:tcBorders>
            <w:shd w:val="clear" w:color="auto" w:fill="auto"/>
            <w:vAlign w:val="center"/>
            <w:hideMark/>
          </w:tcPr>
          <w:p w14:paraId="086863CF"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c>
          <w:tcPr>
            <w:tcW w:w="844" w:type="dxa"/>
            <w:vMerge/>
            <w:tcBorders>
              <w:top w:val="nil"/>
              <w:left w:val="single" w:sz="4" w:space="0" w:color="auto"/>
              <w:bottom w:val="single" w:sz="4" w:space="0" w:color="000000"/>
              <w:right w:val="single" w:sz="4" w:space="0" w:color="auto"/>
            </w:tcBorders>
            <w:vAlign w:val="center"/>
            <w:hideMark/>
          </w:tcPr>
          <w:p w14:paraId="27C9B299"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7FD56C79"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39AF5671"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169409E4"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484C2554"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2C40D584" w14:textId="77777777" w:rsidR="00B02352" w:rsidRPr="00B02352" w:rsidRDefault="00B02352" w:rsidP="00B02352">
            <w:pPr>
              <w:spacing w:after="0"/>
              <w:jc w:val="left"/>
              <w:rPr>
                <w:rFonts w:eastAsia="Times New Roman"/>
                <w:color w:val="000000"/>
                <w:sz w:val="18"/>
                <w:szCs w:val="18"/>
              </w:rPr>
            </w:pPr>
          </w:p>
        </w:tc>
      </w:tr>
      <w:tr w:rsidR="00B02352" w:rsidRPr="00B02352" w14:paraId="384C3044" w14:textId="77777777" w:rsidTr="00A35929">
        <w:trPr>
          <w:trHeight w:val="480"/>
        </w:trPr>
        <w:tc>
          <w:tcPr>
            <w:tcW w:w="1520" w:type="dxa"/>
            <w:vMerge/>
            <w:tcBorders>
              <w:top w:val="nil"/>
              <w:left w:val="single" w:sz="4" w:space="0" w:color="auto"/>
              <w:bottom w:val="single" w:sz="4" w:space="0" w:color="000000"/>
              <w:right w:val="single" w:sz="4" w:space="0" w:color="auto"/>
            </w:tcBorders>
            <w:vAlign w:val="center"/>
            <w:hideMark/>
          </w:tcPr>
          <w:p w14:paraId="55955199"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5C683A57"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Relevant environmental information is made available to environmental decision-makers but the process to update this information is not functioning properly </w:t>
            </w:r>
          </w:p>
        </w:tc>
        <w:tc>
          <w:tcPr>
            <w:tcW w:w="695" w:type="dxa"/>
            <w:tcBorders>
              <w:top w:val="nil"/>
              <w:left w:val="nil"/>
              <w:bottom w:val="single" w:sz="4" w:space="0" w:color="auto"/>
              <w:right w:val="single" w:sz="4" w:space="0" w:color="auto"/>
            </w:tcBorders>
            <w:shd w:val="clear" w:color="auto" w:fill="auto"/>
            <w:vAlign w:val="center"/>
            <w:hideMark/>
          </w:tcPr>
          <w:p w14:paraId="2592FAB1"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w:t>
            </w:r>
          </w:p>
        </w:tc>
        <w:tc>
          <w:tcPr>
            <w:tcW w:w="844" w:type="dxa"/>
            <w:vMerge/>
            <w:tcBorders>
              <w:top w:val="nil"/>
              <w:left w:val="single" w:sz="4" w:space="0" w:color="auto"/>
              <w:bottom w:val="single" w:sz="4" w:space="0" w:color="000000"/>
              <w:right w:val="single" w:sz="4" w:space="0" w:color="auto"/>
            </w:tcBorders>
            <w:vAlign w:val="center"/>
            <w:hideMark/>
          </w:tcPr>
          <w:p w14:paraId="12A81F09"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56BB61BA"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6DA10505"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554A7299"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241B3312"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42830B10" w14:textId="77777777" w:rsidR="00B02352" w:rsidRPr="00B02352" w:rsidRDefault="00B02352" w:rsidP="00B02352">
            <w:pPr>
              <w:spacing w:after="0"/>
              <w:jc w:val="left"/>
              <w:rPr>
                <w:rFonts w:eastAsia="Times New Roman"/>
                <w:color w:val="000000"/>
                <w:sz w:val="18"/>
                <w:szCs w:val="18"/>
              </w:rPr>
            </w:pPr>
          </w:p>
        </w:tc>
      </w:tr>
      <w:tr w:rsidR="00B02352" w:rsidRPr="00B02352" w14:paraId="37B36DF4" w14:textId="77777777" w:rsidTr="00A35929">
        <w:trPr>
          <w:trHeight w:val="480"/>
        </w:trPr>
        <w:tc>
          <w:tcPr>
            <w:tcW w:w="1520" w:type="dxa"/>
            <w:vMerge/>
            <w:tcBorders>
              <w:top w:val="nil"/>
              <w:left w:val="single" w:sz="4" w:space="0" w:color="auto"/>
              <w:bottom w:val="single" w:sz="4" w:space="0" w:color="000000"/>
              <w:right w:val="single" w:sz="4" w:space="0" w:color="auto"/>
            </w:tcBorders>
            <w:vAlign w:val="center"/>
            <w:hideMark/>
          </w:tcPr>
          <w:p w14:paraId="5DE4772B"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20BC9DFD"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Political and administrative decision-makers obtain and use updated environmental information to make environmental decisions </w:t>
            </w:r>
          </w:p>
        </w:tc>
        <w:tc>
          <w:tcPr>
            <w:tcW w:w="695" w:type="dxa"/>
            <w:tcBorders>
              <w:top w:val="nil"/>
              <w:left w:val="nil"/>
              <w:bottom w:val="single" w:sz="4" w:space="0" w:color="auto"/>
              <w:right w:val="single" w:sz="4" w:space="0" w:color="auto"/>
            </w:tcBorders>
            <w:shd w:val="clear" w:color="auto" w:fill="auto"/>
            <w:vAlign w:val="center"/>
            <w:hideMark/>
          </w:tcPr>
          <w:p w14:paraId="7F05C5ED"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3</w:t>
            </w:r>
          </w:p>
        </w:tc>
        <w:tc>
          <w:tcPr>
            <w:tcW w:w="844" w:type="dxa"/>
            <w:vMerge/>
            <w:tcBorders>
              <w:top w:val="nil"/>
              <w:left w:val="single" w:sz="4" w:space="0" w:color="auto"/>
              <w:bottom w:val="single" w:sz="4" w:space="0" w:color="000000"/>
              <w:right w:val="single" w:sz="4" w:space="0" w:color="auto"/>
            </w:tcBorders>
            <w:vAlign w:val="center"/>
            <w:hideMark/>
          </w:tcPr>
          <w:p w14:paraId="1B871F31"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29C46BA6"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6F6298C4"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348B92C3"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698A0A8B"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6FC3702D" w14:textId="77777777" w:rsidR="00B02352" w:rsidRPr="00B02352" w:rsidRDefault="00B02352" w:rsidP="00B02352">
            <w:pPr>
              <w:spacing w:after="0"/>
              <w:jc w:val="left"/>
              <w:rPr>
                <w:rFonts w:eastAsia="Times New Roman"/>
                <w:color w:val="000000"/>
                <w:sz w:val="18"/>
                <w:szCs w:val="18"/>
              </w:rPr>
            </w:pPr>
          </w:p>
        </w:tc>
      </w:tr>
      <w:tr w:rsidR="00B02352" w:rsidRPr="00B02352" w14:paraId="54570353" w14:textId="77777777" w:rsidTr="00A35929">
        <w:trPr>
          <w:trHeight w:val="224"/>
        </w:trPr>
        <w:tc>
          <w:tcPr>
            <w:tcW w:w="13845" w:type="dxa"/>
            <w:gridSpan w:val="9"/>
            <w:tcBorders>
              <w:top w:val="nil"/>
              <w:left w:val="single" w:sz="4" w:space="0" w:color="auto"/>
              <w:bottom w:val="single" w:sz="4" w:space="0" w:color="auto"/>
              <w:right w:val="single" w:sz="4" w:space="0" w:color="auto"/>
            </w:tcBorders>
            <w:shd w:val="clear" w:color="000000" w:fill="D6E3BC"/>
            <w:hideMark/>
          </w:tcPr>
          <w:p w14:paraId="798DEA00" w14:textId="31274FD9" w:rsidR="00B02352" w:rsidRPr="00B02352" w:rsidRDefault="00B02352" w:rsidP="00B02352">
            <w:pPr>
              <w:spacing w:after="0"/>
              <w:jc w:val="left"/>
              <w:rPr>
                <w:rFonts w:eastAsia="Times New Roman"/>
                <w:b/>
                <w:bCs/>
                <w:color w:val="000000"/>
                <w:sz w:val="18"/>
                <w:szCs w:val="18"/>
              </w:rPr>
            </w:pPr>
            <w:r w:rsidRPr="00B02352">
              <w:rPr>
                <w:rFonts w:eastAsia="Times New Roman"/>
                <w:b/>
                <w:bCs/>
                <w:color w:val="000000"/>
                <w:sz w:val="18"/>
                <w:szCs w:val="18"/>
              </w:rPr>
              <w:t xml:space="preserve">CR 4: Capacities for management and implementation </w:t>
            </w:r>
          </w:p>
        </w:tc>
      </w:tr>
      <w:tr w:rsidR="00B02352" w:rsidRPr="00B02352" w14:paraId="37EB46D7" w14:textId="77777777" w:rsidTr="00A35929">
        <w:trPr>
          <w:trHeight w:val="720"/>
        </w:trPr>
        <w:tc>
          <w:tcPr>
            <w:tcW w:w="1520" w:type="dxa"/>
            <w:vMerge w:val="restart"/>
            <w:tcBorders>
              <w:top w:val="nil"/>
              <w:left w:val="single" w:sz="4" w:space="0" w:color="auto"/>
              <w:bottom w:val="single" w:sz="4" w:space="0" w:color="000000"/>
              <w:right w:val="single" w:sz="4" w:space="0" w:color="auto"/>
            </w:tcBorders>
            <w:shd w:val="clear" w:color="auto" w:fill="auto"/>
            <w:hideMark/>
          </w:tcPr>
          <w:p w14:paraId="292774C6" w14:textId="77777777" w:rsidR="00B02352" w:rsidRPr="00B02352" w:rsidRDefault="00B02352" w:rsidP="00B02352">
            <w:pPr>
              <w:spacing w:after="0"/>
              <w:jc w:val="left"/>
              <w:rPr>
                <w:rFonts w:eastAsia="Times New Roman"/>
                <w:b/>
                <w:bCs/>
                <w:color w:val="000000"/>
                <w:sz w:val="18"/>
                <w:szCs w:val="18"/>
              </w:rPr>
            </w:pPr>
            <w:r w:rsidRPr="00B02352">
              <w:rPr>
                <w:rFonts w:eastAsia="Times New Roman"/>
                <w:b/>
                <w:bCs/>
                <w:color w:val="000000"/>
                <w:sz w:val="18"/>
                <w:szCs w:val="18"/>
              </w:rPr>
              <w:t>4.1. Existence and mobilization of resources by relevant organizations</w:t>
            </w:r>
          </w:p>
        </w:tc>
        <w:tc>
          <w:tcPr>
            <w:tcW w:w="3605" w:type="dxa"/>
            <w:tcBorders>
              <w:top w:val="nil"/>
              <w:left w:val="nil"/>
              <w:bottom w:val="single" w:sz="4" w:space="0" w:color="auto"/>
              <w:right w:val="single" w:sz="4" w:space="0" w:color="auto"/>
            </w:tcBorders>
            <w:shd w:val="clear" w:color="auto" w:fill="auto"/>
            <w:hideMark/>
          </w:tcPr>
          <w:p w14:paraId="69B79FCD" w14:textId="4421F808"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The environmental organizations don’t have adequa</w:t>
            </w:r>
            <w:r w:rsidR="005F36E3">
              <w:rPr>
                <w:rFonts w:eastAsia="Times New Roman" w:cs="Arial"/>
                <w:color w:val="000000"/>
                <w:sz w:val="18"/>
                <w:szCs w:val="18"/>
              </w:rPr>
              <w:t>te resources for their program</w:t>
            </w:r>
            <w:r w:rsidRPr="00B02352">
              <w:rPr>
                <w:rFonts w:eastAsia="Times New Roman" w:cs="Arial"/>
                <w:color w:val="000000"/>
                <w:sz w:val="18"/>
                <w:szCs w:val="18"/>
              </w:rPr>
              <w:t xml:space="preserve">s and projects and the requirements have not been assessed </w:t>
            </w:r>
          </w:p>
        </w:tc>
        <w:tc>
          <w:tcPr>
            <w:tcW w:w="695" w:type="dxa"/>
            <w:tcBorders>
              <w:top w:val="nil"/>
              <w:left w:val="nil"/>
              <w:bottom w:val="single" w:sz="4" w:space="0" w:color="auto"/>
              <w:right w:val="single" w:sz="4" w:space="0" w:color="auto"/>
            </w:tcBorders>
            <w:shd w:val="clear" w:color="auto" w:fill="auto"/>
            <w:vAlign w:val="center"/>
            <w:hideMark/>
          </w:tcPr>
          <w:p w14:paraId="447A6D70"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0</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14:paraId="27C54618"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14:paraId="561EC97B"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w:t>
            </w:r>
          </w:p>
        </w:tc>
        <w:tc>
          <w:tcPr>
            <w:tcW w:w="717" w:type="dxa"/>
            <w:vMerge w:val="restart"/>
            <w:tcBorders>
              <w:top w:val="nil"/>
              <w:left w:val="single" w:sz="4" w:space="0" w:color="auto"/>
              <w:bottom w:val="single" w:sz="4" w:space="0" w:color="000000"/>
              <w:right w:val="single" w:sz="4" w:space="0" w:color="auto"/>
            </w:tcBorders>
            <w:shd w:val="clear" w:color="auto" w:fill="auto"/>
            <w:vAlign w:val="center"/>
            <w:hideMark/>
          </w:tcPr>
          <w:p w14:paraId="76244773"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3</w:t>
            </w:r>
          </w:p>
        </w:tc>
        <w:tc>
          <w:tcPr>
            <w:tcW w:w="2587" w:type="dxa"/>
            <w:vMerge w:val="restart"/>
            <w:tcBorders>
              <w:top w:val="nil"/>
              <w:left w:val="single" w:sz="4" w:space="0" w:color="auto"/>
              <w:bottom w:val="single" w:sz="4" w:space="0" w:color="000000"/>
              <w:right w:val="single" w:sz="4" w:space="0" w:color="auto"/>
            </w:tcBorders>
            <w:shd w:val="clear" w:color="auto" w:fill="auto"/>
            <w:hideMark/>
          </w:tcPr>
          <w:p w14:paraId="68D609D3"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 xml:space="preserve">The new Biosecurity legislation has established a revolving account that meets basic needs plus some unexpected needs. There is always some funding available. However, there has not yet been a full assessment of need thus there is no understanding of how much funding is needed in total. Planned cost-recovery mechanisms </w:t>
            </w:r>
          </w:p>
          <w:p w14:paraId="7643D803"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e.g. fees and fines are in development.</w:t>
            </w:r>
          </w:p>
        </w:tc>
        <w:tc>
          <w:tcPr>
            <w:tcW w:w="2056" w:type="dxa"/>
            <w:vMerge w:val="restart"/>
            <w:tcBorders>
              <w:top w:val="nil"/>
              <w:left w:val="single" w:sz="4" w:space="0" w:color="auto"/>
              <w:bottom w:val="single" w:sz="4" w:space="0" w:color="000000"/>
              <w:right w:val="single" w:sz="4" w:space="0" w:color="auto"/>
            </w:tcBorders>
            <w:shd w:val="clear" w:color="auto" w:fill="auto"/>
            <w:hideMark/>
          </w:tcPr>
          <w:p w14:paraId="23C2EEAA"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After regulations and NISSAP and EDRR developed, expand cost-recovery mechanisms</w:t>
            </w:r>
          </w:p>
        </w:tc>
        <w:tc>
          <w:tcPr>
            <w:tcW w:w="1073" w:type="dxa"/>
            <w:vMerge w:val="restart"/>
            <w:tcBorders>
              <w:top w:val="nil"/>
              <w:left w:val="single" w:sz="4" w:space="0" w:color="auto"/>
              <w:bottom w:val="single" w:sz="4" w:space="0" w:color="000000"/>
              <w:right w:val="single" w:sz="4" w:space="0" w:color="auto"/>
            </w:tcBorders>
            <w:shd w:val="clear" w:color="auto" w:fill="auto"/>
            <w:vAlign w:val="center"/>
            <w:hideMark/>
          </w:tcPr>
          <w:p w14:paraId="084AC81A"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r>
      <w:tr w:rsidR="00B02352" w:rsidRPr="00B02352" w14:paraId="406B9528" w14:textId="77777777" w:rsidTr="00A35929">
        <w:trPr>
          <w:trHeight w:val="240"/>
        </w:trPr>
        <w:tc>
          <w:tcPr>
            <w:tcW w:w="1520" w:type="dxa"/>
            <w:vMerge/>
            <w:tcBorders>
              <w:top w:val="nil"/>
              <w:left w:val="single" w:sz="4" w:space="0" w:color="auto"/>
              <w:bottom w:val="single" w:sz="4" w:space="0" w:color="000000"/>
              <w:right w:val="single" w:sz="4" w:space="0" w:color="auto"/>
            </w:tcBorders>
            <w:vAlign w:val="center"/>
            <w:hideMark/>
          </w:tcPr>
          <w:p w14:paraId="58098530"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00476F8A"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The resource requirements are known but are not being addressed </w:t>
            </w:r>
          </w:p>
        </w:tc>
        <w:tc>
          <w:tcPr>
            <w:tcW w:w="695" w:type="dxa"/>
            <w:tcBorders>
              <w:top w:val="nil"/>
              <w:left w:val="nil"/>
              <w:bottom w:val="single" w:sz="4" w:space="0" w:color="auto"/>
              <w:right w:val="single" w:sz="4" w:space="0" w:color="auto"/>
            </w:tcBorders>
            <w:shd w:val="clear" w:color="auto" w:fill="auto"/>
            <w:vAlign w:val="center"/>
            <w:hideMark/>
          </w:tcPr>
          <w:p w14:paraId="4F8EA03A"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c>
          <w:tcPr>
            <w:tcW w:w="844" w:type="dxa"/>
            <w:vMerge/>
            <w:tcBorders>
              <w:top w:val="nil"/>
              <w:left w:val="single" w:sz="4" w:space="0" w:color="auto"/>
              <w:bottom w:val="single" w:sz="4" w:space="0" w:color="000000"/>
              <w:right w:val="single" w:sz="4" w:space="0" w:color="auto"/>
            </w:tcBorders>
            <w:vAlign w:val="center"/>
            <w:hideMark/>
          </w:tcPr>
          <w:p w14:paraId="2DA5B986"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49CB137C"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0EB752AB"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29EB1CB3"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3BB8C9CE"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3B22C851" w14:textId="77777777" w:rsidR="00B02352" w:rsidRPr="00B02352" w:rsidRDefault="00B02352" w:rsidP="00B02352">
            <w:pPr>
              <w:spacing w:after="0"/>
              <w:jc w:val="left"/>
              <w:rPr>
                <w:rFonts w:eastAsia="Times New Roman"/>
                <w:color w:val="000000"/>
                <w:sz w:val="18"/>
                <w:szCs w:val="18"/>
              </w:rPr>
            </w:pPr>
          </w:p>
        </w:tc>
      </w:tr>
      <w:tr w:rsidR="00B02352" w:rsidRPr="00B02352" w14:paraId="5D093940" w14:textId="77777777" w:rsidTr="00A35929">
        <w:trPr>
          <w:trHeight w:val="480"/>
        </w:trPr>
        <w:tc>
          <w:tcPr>
            <w:tcW w:w="1520" w:type="dxa"/>
            <w:vMerge/>
            <w:tcBorders>
              <w:top w:val="nil"/>
              <w:left w:val="single" w:sz="4" w:space="0" w:color="auto"/>
              <w:bottom w:val="single" w:sz="4" w:space="0" w:color="000000"/>
              <w:right w:val="single" w:sz="4" w:space="0" w:color="auto"/>
            </w:tcBorders>
            <w:vAlign w:val="center"/>
            <w:hideMark/>
          </w:tcPr>
          <w:p w14:paraId="7A45EF2D"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67F594C5"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The funding sources for these resource requirements are partially identified and the resource requirements are partially addressed </w:t>
            </w:r>
          </w:p>
        </w:tc>
        <w:tc>
          <w:tcPr>
            <w:tcW w:w="695" w:type="dxa"/>
            <w:tcBorders>
              <w:top w:val="nil"/>
              <w:left w:val="nil"/>
              <w:bottom w:val="single" w:sz="4" w:space="0" w:color="auto"/>
              <w:right w:val="single" w:sz="4" w:space="0" w:color="auto"/>
            </w:tcBorders>
            <w:shd w:val="clear" w:color="auto" w:fill="auto"/>
            <w:vAlign w:val="center"/>
            <w:hideMark/>
          </w:tcPr>
          <w:p w14:paraId="53593A7C"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w:t>
            </w:r>
          </w:p>
        </w:tc>
        <w:tc>
          <w:tcPr>
            <w:tcW w:w="844" w:type="dxa"/>
            <w:vMerge/>
            <w:tcBorders>
              <w:top w:val="nil"/>
              <w:left w:val="single" w:sz="4" w:space="0" w:color="auto"/>
              <w:bottom w:val="single" w:sz="4" w:space="0" w:color="000000"/>
              <w:right w:val="single" w:sz="4" w:space="0" w:color="auto"/>
            </w:tcBorders>
            <w:vAlign w:val="center"/>
            <w:hideMark/>
          </w:tcPr>
          <w:p w14:paraId="2125769F"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354487DB"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211CAB16"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63DC2C41"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109A9B79"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164B2CFA" w14:textId="77777777" w:rsidR="00B02352" w:rsidRPr="00B02352" w:rsidRDefault="00B02352" w:rsidP="00B02352">
            <w:pPr>
              <w:spacing w:after="0"/>
              <w:jc w:val="left"/>
              <w:rPr>
                <w:rFonts w:eastAsia="Times New Roman"/>
                <w:color w:val="000000"/>
                <w:sz w:val="18"/>
                <w:szCs w:val="18"/>
              </w:rPr>
            </w:pPr>
          </w:p>
        </w:tc>
      </w:tr>
      <w:tr w:rsidR="00B02352" w:rsidRPr="00B02352" w14:paraId="039D1A91" w14:textId="77777777" w:rsidTr="00A35929">
        <w:trPr>
          <w:trHeight w:val="240"/>
        </w:trPr>
        <w:tc>
          <w:tcPr>
            <w:tcW w:w="1520" w:type="dxa"/>
            <w:vMerge/>
            <w:tcBorders>
              <w:top w:val="nil"/>
              <w:left w:val="single" w:sz="4" w:space="0" w:color="auto"/>
              <w:bottom w:val="single" w:sz="4" w:space="0" w:color="000000"/>
              <w:right w:val="single" w:sz="4" w:space="0" w:color="auto"/>
            </w:tcBorders>
            <w:vAlign w:val="center"/>
            <w:hideMark/>
          </w:tcPr>
          <w:p w14:paraId="45E64290"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2D9460E3"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Adequate resources are mobilized and available for the functioning of the lead environmental organizations </w:t>
            </w:r>
          </w:p>
        </w:tc>
        <w:tc>
          <w:tcPr>
            <w:tcW w:w="695" w:type="dxa"/>
            <w:tcBorders>
              <w:top w:val="nil"/>
              <w:left w:val="nil"/>
              <w:bottom w:val="single" w:sz="4" w:space="0" w:color="auto"/>
              <w:right w:val="single" w:sz="4" w:space="0" w:color="auto"/>
            </w:tcBorders>
            <w:shd w:val="clear" w:color="auto" w:fill="auto"/>
            <w:vAlign w:val="center"/>
            <w:hideMark/>
          </w:tcPr>
          <w:p w14:paraId="30559E63"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3</w:t>
            </w:r>
          </w:p>
        </w:tc>
        <w:tc>
          <w:tcPr>
            <w:tcW w:w="844" w:type="dxa"/>
            <w:vMerge/>
            <w:tcBorders>
              <w:top w:val="nil"/>
              <w:left w:val="single" w:sz="4" w:space="0" w:color="auto"/>
              <w:bottom w:val="single" w:sz="4" w:space="0" w:color="000000"/>
              <w:right w:val="single" w:sz="4" w:space="0" w:color="auto"/>
            </w:tcBorders>
            <w:vAlign w:val="center"/>
            <w:hideMark/>
          </w:tcPr>
          <w:p w14:paraId="5FA9FF19"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17AC58B2"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49D36CBF"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4EFFAB2F"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41571512"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44D03C10" w14:textId="77777777" w:rsidR="00B02352" w:rsidRPr="00B02352" w:rsidRDefault="00B02352" w:rsidP="00B02352">
            <w:pPr>
              <w:spacing w:after="0"/>
              <w:jc w:val="left"/>
              <w:rPr>
                <w:rFonts w:eastAsia="Times New Roman"/>
                <w:color w:val="000000"/>
                <w:sz w:val="18"/>
                <w:szCs w:val="18"/>
              </w:rPr>
            </w:pPr>
          </w:p>
        </w:tc>
      </w:tr>
      <w:tr w:rsidR="00B02352" w:rsidRPr="00B02352" w14:paraId="1D753199" w14:textId="77777777" w:rsidTr="00A35929">
        <w:trPr>
          <w:trHeight w:val="720"/>
        </w:trPr>
        <w:tc>
          <w:tcPr>
            <w:tcW w:w="1520" w:type="dxa"/>
            <w:vMerge w:val="restart"/>
            <w:tcBorders>
              <w:top w:val="nil"/>
              <w:left w:val="single" w:sz="4" w:space="0" w:color="auto"/>
              <w:bottom w:val="single" w:sz="4" w:space="0" w:color="000000"/>
              <w:right w:val="single" w:sz="4" w:space="0" w:color="auto"/>
            </w:tcBorders>
            <w:shd w:val="clear" w:color="auto" w:fill="auto"/>
            <w:hideMark/>
          </w:tcPr>
          <w:p w14:paraId="3D10DD9B" w14:textId="77777777" w:rsidR="00B02352" w:rsidRPr="00B02352" w:rsidRDefault="00B02352" w:rsidP="00B02352">
            <w:pPr>
              <w:spacing w:after="0"/>
              <w:jc w:val="left"/>
              <w:rPr>
                <w:rFonts w:eastAsia="Times New Roman"/>
                <w:b/>
                <w:bCs/>
                <w:color w:val="000000"/>
                <w:sz w:val="18"/>
                <w:szCs w:val="18"/>
              </w:rPr>
            </w:pPr>
            <w:r w:rsidRPr="00B02352">
              <w:rPr>
                <w:rFonts w:eastAsia="Times New Roman"/>
                <w:b/>
                <w:bCs/>
                <w:color w:val="000000"/>
                <w:sz w:val="18"/>
                <w:szCs w:val="18"/>
              </w:rPr>
              <w:t>4.2. Availability of required technical skills and technology transfer</w:t>
            </w:r>
          </w:p>
        </w:tc>
        <w:tc>
          <w:tcPr>
            <w:tcW w:w="3605" w:type="dxa"/>
            <w:tcBorders>
              <w:top w:val="nil"/>
              <w:left w:val="nil"/>
              <w:bottom w:val="single" w:sz="4" w:space="0" w:color="auto"/>
              <w:right w:val="single" w:sz="4" w:space="0" w:color="auto"/>
            </w:tcBorders>
            <w:shd w:val="clear" w:color="auto" w:fill="auto"/>
            <w:hideMark/>
          </w:tcPr>
          <w:p w14:paraId="4B124E3D"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The necessary required skills and technology are not available and the needs are not identified </w:t>
            </w:r>
          </w:p>
        </w:tc>
        <w:tc>
          <w:tcPr>
            <w:tcW w:w="695" w:type="dxa"/>
            <w:tcBorders>
              <w:top w:val="nil"/>
              <w:left w:val="nil"/>
              <w:bottom w:val="single" w:sz="4" w:space="0" w:color="auto"/>
              <w:right w:val="single" w:sz="4" w:space="0" w:color="auto"/>
            </w:tcBorders>
            <w:shd w:val="clear" w:color="auto" w:fill="auto"/>
            <w:vAlign w:val="center"/>
            <w:hideMark/>
          </w:tcPr>
          <w:p w14:paraId="18504637"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0</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14:paraId="5AA26D77"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14:paraId="244E64FE"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w:t>
            </w:r>
          </w:p>
        </w:tc>
        <w:tc>
          <w:tcPr>
            <w:tcW w:w="717" w:type="dxa"/>
            <w:vMerge w:val="restart"/>
            <w:tcBorders>
              <w:top w:val="nil"/>
              <w:left w:val="single" w:sz="4" w:space="0" w:color="auto"/>
              <w:bottom w:val="single" w:sz="4" w:space="0" w:color="000000"/>
              <w:right w:val="single" w:sz="4" w:space="0" w:color="auto"/>
            </w:tcBorders>
            <w:shd w:val="clear" w:color="auto" w:fill="auto"/>
            <w:vAlign w:val="center"/>
            <w:hideMark/>
          </w:tcPr>
          <w:p w14:paraId="6E853A4A"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w:t>
            </w:r>
          </w:p>
        </w:tc>
        <w:tc>
          <w:tcPr>
            <w:tcW w:w="2587" w:type="dxa"/>
            <w:vMerge w:val="restart"/>
            <w:tcBorders>
              <w:top w:val="nil"/>
              <w:left w:val="single" w:sz="4" w:space="0" w:color="auto"/>
              <w:bottom w:val="single" w:sz="4" w:space="0" w:color="000000"/>
              <w:right w:val="single" w:sz="4" w:space="0" w:color="auto"/>
            </w:tcBorders>
            <w:shd w:val="clear" w:color="auto" w:fill="auto"/>
            <w:hideMark/>
          </w:tcPr>
          <w:p w14:paraId="081A16CE"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Lead biosecurity agencies rely on external agencies for training and funding, especially SPC.</w:t>
            </w:r>
          </w:p>
        </w:tc>
        <w:tc>
          <w:tcPr>
            <w:tcW w:w="2056" w:type="dxa"/>
            <w:vMerge w:val="restart"/>
            <w:tcBorders>
              <w:top w:val="nil"/>
              <w:left w:val="single" w:sz="4" w:space="0" w:color="auto"/>
              <w:bottom w:val="single" w:sz="4" w:space="0" w:color="000000"/>
              <w:right w:val="single" w:sz="4" w:space="0" w:color="auto"/>
            </w:tcBorders>
            <w:shd w:val="clear" w:color="auto" w:fill="auto"/>
            <w:hideMark/>
          </w:tcPr>
          <w:p w14:paraId="6BE9A24B"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Acquire X-rays and improve training programs.</w:t>
            </w:r>
          </w:p>
        </w:tc>
        <w:tc>
          <w:tcPr>
            <w:tcW w:w="1073" w:type="dxa"/>
            <w:vMerge w:val="restart"/>
            <w:tcBorders>
              <w:top w:val="nil"/>
              <w:left w:val="single" w:sz="4" w:space="0" w:color="auto"/>
              <w:bottom w:val="single" w:sz="4" w:space="0" w:color="000000"/>
              <w:right w:val="single" w:sz="4" w:space="0" w:color="auto"/>
            </w:tcBorders>
            <w:shd w:val="clear" w:color="auto" w:fill="auto"/>
            <w:vAlign w:val="center"/>
            <w:hideMark/>
          </w:tcPr>
          <w:p w14:paraId="7D03FFB1"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 2, and 3</w:t>
            </w:r>
          </w:p>
        </w:tc>
      </w:tr>
      <w:tr w:rsidR="00B02352" w:rsidRPr="00B02352" w14:paraId="2C4BBCFD" w14:textId="77777777" w:rsidTr="00A35929">
        <w:trPr>
          <w:trHeight w:val="240"/>
        </w:trPr>
        <w:tc>
          <w:tcPr>
            <w:tcW w:w="1520" w:type="dxa"/>
            <w:vMerge/>
            <w:tcBorders>
              <w:top w:val="nil"/>
              <w:left w:val="single" w:sz="4" w:space="0" w:color="auto"/>
              <w:bottom w:val="single" w:sz="4" w:space="0" w:color="000000"/>
              <w:right w:val="single" w:sz="4" w:space="0" w:color="auto"/>
            </w:tcBorders>
            <w:vAlign w:val="center"/>
            <w:hideMark/>
          </w:tcPr>
          <w:p w14:paraId="33FC7DA5"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786CEC38"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The required skills and technologies needs are identified as well as their sources </w:t>
            </w:r>
          </w:p>
        </w:tc>
        <w:tc>
          <w:tcPr>
            <w:tcW w:w="695" w:type="dxa"/>
            <w:tcBorders>
              <w:top w:val="nil"/>
              <w:left w:val="nil"/>
              <w:bottom w:val="single" w:sz="4" w:space="0" w:color="auto"/>
              <w:right w:val="single" w:sz="4" w:space="0" w:color="auto"/>
            </w:tcBorders>
            <w:shd w:val="clear" w:color="auto" w:fill="auto"/>
            <w:vAlign w:val="center"/>
            <w:hideMark/>
          </w:tcPr>
          <w:p w14:paraId="05AF12EA"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c>
          <w:tcPr>
            <w:tcW w:w="844" w:type="dxa"/>
            <w:vMerge/>
            <w:tcBorders>
              <w:top w:val="nil"/>
              <w:left w:val="single" w:sz="4" w:space="0" w:color="auto"/>
              <w:bottom w:val="single" w:sz="4" w:space="0" w:color="000000"/>
              <w:right w:val="single" w:sz="4" w:space="0" w:color="auto"/>
            </w:tcBorders>
            <w:vAlign w:val="center"/>
            <w:hideMark/>
          </w:tcPr>
          <w:p w14:paraId="28754425"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35C40E91"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3D6FA352"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7ED96809"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75792D02"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44C09CCA" w14:textId="77777777" w:rsidR="00B02352" w:rsidRPr="00B02352" w:rsidRDefault="00B02352" w:rsidP="00B02352">
            <w:pPr>
              <w:spacing w:after="0"/>
              <w:jc w:val="left"/>
              <w:rPr>
                <w:rFonts w:eastAsia="Times New Roman"/>
                <w:color w:val="000000"/>
                <w:sz w:val="18"/>
                <w:szCs w:val="18"/>
              </w:rPr>
            </w:pPr>
          </w:p>
        </w:tc>
      </w:tr>
      <w:tr w:rsidR="00B02352" w:rsidRPr="00B02352" w14:paraId="1083FE00" w14:textId="77777777" w:rsidTr="00A35929">
        <w:trPr>
          <w:trHeight w:val="240"/>
        </w:trPr>
        <w:tc>
          <w:tcPr>
            <w:tcW w:w="1520" w:type="dxa"/>
            <w:vMerge/>
            <w:tcBorders>
              <w:top w:val="nil"/>
              <w:left w:val="single" w:sz="4" w:space="0" w:color="auto"/>
              <w:bottom w:val="single" w:sz="4" w:space="0" w:color="000000"/>
              <w:right w:val="single" w:sz="4" w:space="0" w:color="auto"/>
            </w:tcBorders>
            <w:vAlign w:val="center"/>
            <w:hideMark/>
          </w:tcPr>
          <w:p w14:paraId="709DF3F3"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76A49A66"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The required skills and technologies are obtained but their access depend on foreign sources </w:t>
            </w:r>
          </w:p>
        </w:tc>
        <w:tc>
          <w:tcPr>
            <w:tcW w:w="695" w:type="dxa"/>
            <w:tcBorders>
              <w:top w:val="nil"/>
              <w:left w:val="nil"/>
              <w:bottom w:val="single" w:sz="4" w:space="0" w:color="auto"/>
              <w:right w:val="single" w:sz="4" w:space="0" w:color="auto"/>
            </w:tcBorders>
            <w:shd w:val="clear" w:color="auto" w:fill="auto"/>
            <w:vAlign w:val="center"/>
            <w:hideMark/>
          </w:tcPr>
          <w:p w14:paraId="23C43544"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w:t>
            </w:r>
          </w:p>
        </w:tc>
        <w:tc>
          <w:tcPr>
            <w:tcW w:w="844" w:type="dxa"/>
            <w:vMerge/>
            <w:tcBorders>
              <w:top w:val="nil"/>
              <w:left w:val="single" w:sz="4" w:space="0" w:color="auto"/>
              <w:bottom w:val="single" w:sz="4" w:space="0" w:color="000000"/>
              <w:right w:val="single" w:sz="4" w:space="0" w:color="auto"/>
            </w:tcBorders>
            <w:vAlign w:val="center"/>
            <w:hideMark/>
          </w:tcPr>
          <w:p w14:paraId="393C2F12"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54E69650"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2D214D8F"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71A94043"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051337F7"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4D56A851" w14:textId="77777777" w:rsidR="00B02352" w:rsidRPr="00B02352" w:rsidRDefault="00B02352" w:rsidP="00B02352">
            <w:pPr>
              <w:spacing w:after="0"/>
              <w:jc w:val="left"/>
              <w:rPr>
                <w:rFonts w:eastAsia="Times New Roman"/>
                <w:color w:val="000000"/>
                <w:sz w:val="18"/>
                <w:szCs w:val="18"/>
              </w:rPr>
            </w:pPr>
          </w:p>
        </w:tc>
      </w:tr>
      <w:tr w:rsidR="00B02352" w:rsidRPr="00B02352" w14:paraId="55B44621" w14:textId="77777777" w:rsidTr="00A35929">
        <w:trPr>
          <w:trHeight w:val="683"/>
        </w:trPr>
        <w:tc>
          <w:tcPr>
            <w:tcW w:w="1520" w:type="dxa"/>
            <w:vMerge/>
            <w:tcBorders>
              <w:top w:val="nil"/>
              <w:left w:val="single" w:sz="4" w:space="0" w:color="auto"/>
              <w:bottom w:val="single" w:sz="4" w:space="0" w:color="000000"/>
              <w:right w:val="single" w:sz="4" w:space="0" w:color="auto"/>
            </w:tcBorders>
            <w:vAlign w:val="center"/>
            <w:hideMark/>
          </w:tcPr>
          <w:p w14:paraId="32B3FFEC"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3E6DC3DF"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The required skills and technologies are available and there is a national-based mechanism for updating the required skills and for upgrading the technologies </w:t>
            </w:r>
          </w:p>
        </w:tc>
        <w:tc>
          <w:tcPr>
            <w:tcW w:w="695" w:type="dxa"/>
            <w:tcBorders>
              <w:top w:val="nil"/>
              <w:left w:val="nil"/>
              <w:bottom w:val="single" w:sz="4" w:space="0" w:color="auto"/>
              <w:right w:val="single" w:sz="4" w:space="0" w:color="auto"/>
            </w:tcBorders>
            <w:shd w:val="clear" w:color="auto" w:fill="auto"/>
            <w:vAlign w:val="center"/>
            <w:hideMark/>
          </w:tcPr>
          <w:p w14:paraId="14001243"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3</w:t>
            </w:r>
          </w:p>
        </w:tc>
        <w:tc>
          <w:tcPr>
            <w:tcW w:w="844" w:type="dxa"/>
            <w:vMerge/>
            <w:tcBorders>
              <w:top w:val="nil"/>
              <w:left w:val="single" w:sz="4" w:space="0" w:color="auto"/>
              <w:bottom w:val="single" w:sz="4" w:space="0" w:color="000000"/>
              <w:right w:val="single" w:sz="4" w:space="0" w:color="auto"/>
            </w:tcBorders>
            <w:vAlign w:val="center"/>
            <w:hideMark/>
          </w:tcPr>
          <w:p w14:paraId="61C95C6B"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04EB6B09"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5675FCE7"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07741272"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0AF461CE"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5C58CCC3" w14:textId="77777777" w:rsidR="00B02352" w:rsidRPr="00B02352" w:rsidRDefault="00B02352" w:rsidP="00B02352">
            <w:pPr>
              <w:spacing w:after="0"/>
              <w:jc w:val="left"/>
              <w:rPr>
                <w:rFonts w:eastAsia="Times New Roman"/>
                <w:color w:val="000000"/>
                <w:sz w:val="18"/>
                <w:szCs w:val="18"/>
              </w:rPr>
            </w:pPr>
          </w:p>
        </w:tc>
      </w:tr>
      <w:tr w:rsidR="00B02352" w:rsidRPr="00B02352" w14:paraId="34AD2145" w14:textId="77777777" w:rsidTr="00A35929">
        <w:trPr>
          <w:trHeight w:val="55"/>
        </w:trPr>
        <w:tc>
          <w:tcPr>
            <w:tcW w:w="13845" w:type="dxa"/>
            <w:gridSpan w:val="9"/>
            <w:tcBorders>
              <w:top w:val="nil"/>
              <w:left w:val="single" w:sz="4" w:space="0" w:color="auto"/>
              <w:bottom w:val="single" w:sz="4" w:space="0" w:color="auto"/>
              <w:right w:val="single" w:sz="4" w:space="0" w:color="auto"/>
            </w:tcBorders>
            <w:shd w:val="clear" w:color="000000" w:fill="D6E3BC"/>
            <w:hideMark/>
          </w:tcPr>
          <w:p w14:paraId="7FF35266" w14:textId="77777777" w:rsidR="00B02352" w:rsidRPr="00B02352" w:rsidRDefault="00B02352" w:rsidP="00B02352">
            <w:pPr>
              <w:spacing w:after="0"/>
              <w:jc w:val="left"/>
              <w:rPr>
                <w:rFonts w:eastAsia="Times New Roman"/>
                <w:b/>
                <w:bCs/>
                <w:color w:val="000000"/>
                <w:sz w:val="18"/>
                <w:szCs w:val="18"/>
              </w:rPr>
            </w:pPr>
            <w:r w:rsidRPr="00B02352">
              <w:rPr>
                <w:rFonts w:eastAsia="Times New Roman"/>
                <w:b/>
                <w:bCs/>
                <w:color w:val="000000"/>
                <w:sz w:val="18"/>
                <w:szCs w:val="18"/>
              </w:rPr>
              <w:t xml:space="preserve">CR 5: Capacities to monitor and evaluate </w:t>
            </w:r>
          </w:p>
        </w:tc>
      </w:tr>
      <w:tr w:rsidR="00B02352" w:rsidRPr="00B02352" w14:paraId="7277AB91" w14:textId="77777777" w:rsidTr="00A35929">
        <w:trPr>
          <w:trHeight w:val="240"/>
        </w:trPr>
        <w:tc>
          <w:tcPr>
            <w:tcW w:w="1520" w:type="dxa"/>
            <w:vMerge w:val="restart"/>
            <w:tcBorders>
              <w:top w:val="nil"/>
              <w:left w:val="single" w:sz="4" w:space="0" w:color="auto"/>
              <w:bottom w:val="single" w:sz="4" w:space="0" w:color="000000"/>
              <w:right w:val="single" w:sz="4" w:space="0" w:color="auto"/>
            </w:tcBorders>
            <w:shd w:val="clear" w:color="auto" w:fill="auto"/>
            <w:hideMark/>
          </w:tcPr>
          <w:p w14:paraId="70E2249D" w14:textId="77777777" w:rsidR="00B02352" w:rsidRPr="00B02352" w:rsidRDefault="00B02352" w:rsidP="00B02352">
            <w:pPr>
              <w:spacing w:after="0"/>
              <w:jc w:val="left"/>
              <w:rPr>
                <w:rFonts w:eastAsia="Times New Roman"/>
                <w:b/>
                <w:bCs/>
                <w:color w:val="000000"/>
                <w:sz w:val="18"/>
                <w:szCs w:val="18"/>
              </w:rPr>
            </w:pPr>
            <w:r w:rsidRPr="00B02352">
              <w:rPr>
                <w:rFonts w:eastAsia="Times New Roman"/>
                <w:b/>
                <w:bCs/>
                <w:color w:val="000000"/>
                <w:sz w:val="18"/>
                <w:szCs w:val="18"/>
              </w:rPr>
              <w:t>5.1. Adequacy of the Biosecurity monitoring process</w:t>
            </w:r>
          </w:p>
        </w:tc>
        <w:tc>
          <w:tcPr>
            <w:tcW w:w="3605" w:type="dxa"/>
            <w:tcBorders>
              <w:top w:val="nil"/>
              <w:left w:val="nil"/>
              <w:bottom w:val="single" w:sz="4" w:space="0" w:color="auto"/>
              <w:right w:val="single" w:sz="4" w:space="0" w:color="auto"/>
            </w:tcBorders>
            <w:shd w:val="clear" w:color="auto" w:fill="auto"/>
            <w:hideMark/>
          </w:tcPr>
          <w:p w14:paraId="2EA37EFE" w14:textId="1CE7068E"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Irregular project monitoring is being done without an adequate monitoring framework detailing what and how to monitor the</w:t>
            </w:r>
            <w:r w:rsidR="005F36E3">
              <w:rPr>
                <w:rFonts w:eastAsia="Times New Roman" w:cs="Arial"/>
                <w:color w:val="000000"/>
                <w:sz w:val="18"/>
                <w:szCs w:val="18"/>
              </w:rPr>
              <w:t xml:space="preserve"> particular project or program</w:t>
            </w:r>
            <w:r w:rsidRPr="00B02352">
              <w:rPr>
                <w:rFonts w:eastAsia="Times New Roman" w:cs="Arial"/>
                <w:color w:val="000000"/>
                <w:sz w:val="18"/>
                <w:szCs w:val="18"/>
              </w:rPr>
              <w:t xml:space="preserve"> </w:t>
            </w:r>
          </w:p>
        </w:tc>
        <w:tc>
          <w:tcPr>
            <w:tcW w:w="695" w:type="dxa"/>
            <w:tcBorders>
              <w:top w:val="nil"/>
              <w:left w:val="nil"/>
              <w:bottom w:val="single" w:sz="4" w:space="0" w:color="auto"/>
              <w:right w:val="single" w:sz="4" w:space="0" w:color="auto"/>
            </w:tcBorders>
            <w:shd w:val="clear" w:color="auto" w:fill="auto"/>
            <w:vAlign w:val="center"/>
            <w:hideMark/>
          </w:tcPr>
          <w:p w14:paraId="514B95BD"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0</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14:paraId="5BBC47BA"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14:paraId="6118A321"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w:t>
            </w:r>
          </w:p>
        </w:tc>
        <w:tc>
          <w:tcPr>
            <w:tcW w:w="717" w:type="dxa"/>
            <w:vMerge w:val="restart"/>
            <w:tcBorders>
              <w:top w:val="nil"/>
              <w:left w:val="single" w:sz="4" w:space="0" w:color="auto"/>
              <w:bottom w:val="single" w:sz="4" w:space="0" w:color="000000"/>
              <w:right w:val="single" w:sz="4" w:space="0" w:color="auto"/>
            </w:tcBorders>
            <w:shd w:val="clear" w:color="auto" w:fill="auto"/>
            <w:vAlign w:val="center"/>
            <w:hideMark/>
          </w:tcPr>
          <w:p w14:paraId="09370CCC"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w:t>
            </w:r>
          </w:p>
        </w:tc>
        <w:tc>
          <w:tcPr>
            <w:tcW w:w="2587" w:type="dxa"/>
            <w:vMerge w:val="restart"/>
            <w:tcBorders>
              <w:top w:val="nil"/>
              <w:left w:val="single" w:sz="4" w:space="0" w:color="auto"/>
              <w:bottom w:val="single" w:sz="4" w:space="0" w:color="000000"/>
              <w:right w:val="single" w:sz="4" w:space="0" w:color="auto"/>
            </w:tcBorders>
            <w:shd w:val="clear" w:color="auto" w:fill="auto"/>
            <w:hideMark/>
          </w:tcPr>
          <w:p w14:paraId="39DD4CC9" w14:textId="78095A25"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 xml:space="preserve">Biosecurty and IAS monitoring is ad hoc. The Biosecurity Office is doing some of its own monitoring, while some is integrated into other biodiversity-related monitoring programs such as national coral reef and bird monitoring. Where IAS and biosecurity are likely to have the most impact </w:t>
            </w:r>
          </w:p>
          <w:p w14:paraId="79D794B5" w14:textId="19D43E78"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 xml:space="preserve">such as </w:t>
            </w:r>
            <w:r w:rsidR="00EB71A9">
              <w:rPr>
                <w:rFonts w:eastAsia="Times New Roman"/>
                <w:color w:val="000000"/>
                <w:sz w:val="18"/>
                <w:szCs w:val="18"/>
              </w:rPr>
              <w:t xml:space="preserve">in </w:t>
            </w:r>
            <w:r w:rsidRPr="00B02352">
              <w:rPr>
                <w:rFonts w:eastAsia="Times New Roman"/>
                <w:color w:val="000000"/>
                <w:sz w:val="18"/>
                <w:szCs w:val="18"/>
              </w:rPr>
              <w:t xml:space="preserve">agriculture and aquaculture there is ad hoc monitoring and then usually only at the start of a venture </w:t>
            </w:r>
          </w:p>
          <w:p w14:paraId="5E70CDDA"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e.g. at the time of imports of supplies.</w:t>
            </w:r>
          </w:p>
        </w:tc>
        <w:tc>
          <w:tcPr>
            <w:tcW w:w="2056" w:type="dxa"/>
            <w:vMerge w:val="restart"/>
            <w:tcBorders>
              <w:top w:val="nil"/>
              <w:left w:val="single" w:sz="4" w:space="0" w:color="auto"/>
              <w:bottom w:val="single" w:sz="4" w:space="0" w:color="000000"/>
              <w:right w:val="single" w:sz="4" w:space="0" w:color="auto"/>
            </w:tcBorders>
            <w:shd w:val="clear" w:color="auto" w:fill="auto"/>
            <w:hideMark/>
          </w:tcPr>
          <w:p w14:paraId="289605D4"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Develop the standard framework for planning documents that includes all key elements from biodiversity, biosecurity, and IAS management, including reporting mechanisms. Incorporate monitoring into state level plans.</w:t>
            </w:r>
          </w:p>
        </w:tc>
        <w:tc>
          <w:tcPr>
            <w:tcW w:w="1073" w:type="dxa"/>
            <w:vMerge w:val="restart"/>
            <w:tcBorders>
              <w:top w:val="nil"/>
              <w:left w:val="single" w:sz="4" w:space="0" w:color="auto"/>
              <w:bottom w:val="single" w:sz="4" w:space="0" w:color="000000"/>
              <w:right w:val="single" w:sz="4" w:space="0" w:color="auto"/>
            </w:tcBorders>
            <w:shd w:val="clear" w:color="auto" w:fill="auto"/>
            <w:vAlign w:val="center"/>
            <w:hideMark/>
          </w:tcPr>
          <w:p w14:paraId="1E6A637E"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All</w:t>
            </w:r>
          </w:p>
        </w:tc>
      </w:tr>
      <w:tr w:rsidR="00B02352" w:rsidRPr="00B02352" w14:paraId="602E95A3" w14:textId="77777777" w:rsidTr="00A35929">
        <w:trPr>
          <w:trHeight w:val="240"/>
        </w:trPr>
        <w:tc>
          <w:tcPr>
            <w:tcW w:w="1520" w:type="dxa"/>
            <w:vMerge/>
            <w:tcBorders>
              <w:top w:val="nil"/>
              <w:left w:val="single" w:sz="4" w:space="0" w:color="auto"/>
              <w:bottom w:val="single" w:sz="4" w:space="0" w:color="000000"/>
              <w:right w:val="single" w:sz="4" w:space="0" w:color="auto"/>
            </w:tcBorders>
            <w:vAlign w:val="center"/>
            <w:hideMark/>
          </w:tcPr>
          <w:p w14:paraId="73FDCEDC"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6AF5D16B"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An adequate resourced monitoring framework is in place but project monitoring is irregularly conducted </w:t>
            </w:r>
          </w:p>
        </w:tc>
        <w:tc>
          <w:tcPr>
            <w:tcW w:w="695" w:type="dxa"/>
            <w:tcBorders>
              <w:top w:val="nil"/>
              <w:left w:val="nil"/>
              <w:bottom w:val="single" w:sz="4" w:space="0" w:color="auto"/>
              <w:right w:val="single" w:sz="4" w:space="0" w:color="auto"/>
            </w:tcBorders>
            <w:shd w:val="clear" w:color="auto" w:fill="auto"/>
            <w:vAlign w:val="center"/>
            <w:hideMark/>
          </w:tcPr>
          <w:p w14:paraId="736FEDAE"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c>
          <w:tcPr>
            <w:tcW w:w="844" w:type="dxa"/>
            <w:vMerge/>
            <w:tcBorders>
              <w:top w:val="nil"/>
              <w:left w:val="single" w:sz="4" w:space="0" w:color="auto"/>
              <w:bottom w:val="single" w:sz="4" w:space="0" w:color="000000"/>
              <w:right w:val="single" w:sz="4" w:space="0" w:color="auto"/>
            </w:tcBorders>
            <w:vAlign w:val="center"/>
            <w:hideMark/>
          </w:tcPr>
          <w:p w14:paraId="27FE1723"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59CA54FB"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422B1506"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09D259FB"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65D29AA5"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5B838913" w14:textId="77777777" w:rsidR="00B02352" w:rsidRPr="00B02352" w:rsidRDefault="00B02352" w:rsidP="00B02352">
            <w:pPr>
              <w:spacing w:after="0"/>
              <w:jc w:val="left"/>
              <w:rPr>
                <w:rFonts w:eastAsia="Times New Roman"/>
                <w:color w:val="000000"/>
                <w:sz w:val="18"/>
                <w:szCs w:val="18"/>
              </w:rPr>
            </w:pPr>
          </w:p>
        </w:tc>
      </w:tr>
      <w:tr w:rsidR="00B02352" w:rsidRPr="00B02352" w14:paraId="5748C47D" w14:textId="77777777" w:rsidTr="00A35929">
        <w:trPr>
          <w:trHeight w:val="480"/>
        </w:trPr>
        <w:tc>
          <w:tcPr>
            <w:tcW w:w="1520" w:type="dxa"/>
            <w:vMerge/>
            <w:tcBorders>
              <w:top w:val="nil"/>
              <w:left w:val="single" w:sz="4" w:space="0" w:color="auto"/>
              <w:bottom w:val="single" w:sz="4" w:space="0" w:color="000000"/>
              <w:right w:val="single" w:sz="4" w:space="0" w:color="auto"/>
            </w:tcBorders>
            <w:vAlign w:val="center"/>
            <w:hideMark/>
          </w:tcPr>
          <w:p w14:paraId="762F7217"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1538E16E" w14:textId="412406D0"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Regular participative monitoring of results in being conducted but this information is only partial</w:t>
            </w:r>
            <w:r w:rsidR="005F36E3">
              <w:rPr>
                <w:rFonts w:eastAsia="Times New Roman" w:cs="Arial"/>
                <w:color w:val="000000"/>
                <w:sz w:val="18"/>
                <w:szCs w:val="18"/>
              </w:rPr>
              <w:t>ly used by the project/program</w:t>
            </w:r>
            <w:r w:rsidRPr="00B02352">
              <w:rPr>
                <w:rFonts w:eastAsia="Times New Roman" w:cs="Arial"/>
                <w:color w:val="000000"/>
                <w:sz w:val="18"/>
                <w:szCs w:val="18"/>
              </w:rPr>
              <w:t xml:space="preserve"> implementation team </w:t>
            </w:r>
          </w:p>
        </w:tc>
        <w:tc>
          <w:tcPr>
            <w:tcW w:w="695" w:type="dxa"/>
            <w:tcBorders>
              <w:top w:val="nil"/>
              <w:left w:val="nil"/>
              <w:bottom w:val="single" w:sz="4" w:space="0" w:color="auto"/>
              <w:right w:val="single" w:sz="4" w:space="0" w:color="auto"/>
            </w:tcBorders>
            <w:shd w:val="clear" w:color="auto" w:fill="auto"/>
            <w:vAlign w:val="center"/>
            <w:hideMark/>
          </w:tcPr>
          <w:p w14:paraId="422D0337"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w:t>
            </w:r>
          </w:p>
        </w:tc>
        <w:tc>
          <w:tcPr>
            <w:tcW w:w="844" w:type="dxa"/>
            <w:vMerge/>
            <w:tcBorders>
              <w:top w:val="nil"/>
              <w:left w:val="single" w:sz="4" w:space="0" w:color="auto"/>
              <w:bottom w:val="single" w:sz="4" w:space="0" w:color="000000"/>
              <w:right w:val="single" w:sz="4" w:space="0" w:color="auto"/>
            </w:tcBorders>
            <w:vAlign w:val="center"/>
            <w:hideMark/>
          </w:tcPr>
          <w:p w14:paraId="53E12F0B"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00D69F94"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44B4976E"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5F22264F"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3C2497B7"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62DD1A59" w14:textId="77777777" w:rsidR="00B02352" w:rsidRPr="00B02352" w:rsidRDefault="00B02352" w:rsidP="00B02352">
            <w:pPr>
              <w:spacing w:after="0"/>
              <w:jc w:val="left"/>
              <w:rPr>
                <w:rFonts w:eastAsia="Times New Roman"/>
                <w:color w:val="000000"/>
                <w:sz w:val="18"/>
                <w:szCs w:val="18"/>
              </w:rPr>
            </w:pPr>
          </w:p>
        </w:tc>
      </w:tr>
      <w:tr w:rsidR="00B02352" w:rsidRPr="00B02352" w14:paraId="7EA71FE5" w14:textId="77777777" w:rsidTr="00A35929">
        <w:trPr>
          <w:trHeight w:val="480"/>
        </w:trPr>
        <w:tc>
          <w:tcPr>
            <w:tcW w:w="1520" w:type="dxa"/>
            <w:vMerge/>
            <w:tcBorders>
              <w:top w:val="nil"/>
              <w:left w:val="single" w:sz="4" w:space="0" w:color="auto"/>
              <w:bottom w:val="single" w:sz="4" w:space="0" w:color="000000"/>
              <w:right w:val="single" w:sz="4" w:space="0" w:color="auto"/>
            </w:tcBorders>
            <w:vAlign w:val="center"/>
            <w:hideMark/>
          </w:tcPr>
          <w:p w14:paraId="1DA6C86D"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2263CF59"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Monitoring information is produced timely and accurately and is used by the implementation team to learn and possibly to change the course of action </w:t>
            </w:r>
          </w:p>
        </w:tc>
        <w:tc>
          <w:tcPr>
            <w:tcW w:w="695" w:type="dxa"/>
            <w:tcBorders>
              <w:top w:val="nil"/>
              <w:left w:val="nil"/>
              <w:bottom w:val="single" w:sz="4" w:space="0" w:color="auto"/>
              <w:right w:val="single" w:sz="4" w:space="0" w:color="auto"/>
            </w:tcBorders>
            <w:shd w:val="clear" w:color="auto" w:fill="auto"/>
            <w:vAlign w:val="center"/>
            <w:hideMark/>
          </w:tcPr>
          <w:p w14:paraId="6A164353"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3</w:t>
            </w:r>
          </w:p>
        </w:tc>
        <w:tc>
          <w:tcPr>
            <w:tcW w:w="844" w:type="dxa"/>
            <w:vMerge/>
            <w:tcBorders>
              <w:top w:val="nil"/>
              <w:left w:val="single" w:sz="4" w:space="0" w:color="auto"/>
              <w:bottom w:val="single" w:sz="4" w:space="0" w:color="000000"/>
              <w:right w:val="single" w:sz="4" w:space="0" w:color="auto"/>
            </w:tcBorders>
            <w:vAlign w:val="center"/>
            <w:hideMark/>
          </w:tcPr>
          <w:p w14:paraId="7321B79E"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6F8E1AE3"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39AA6549"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58FC6DDF"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670FE15F"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6745DFC9" w14:textId="77777777" w:rsidR="00B02352" w:rsidRPr="00B02352" w:rsidRDefault="00B02352" w:rsidP="00B02352">
            <w:pPr>
              <w:spacing w:after="0"/>
              <w:jc w:val="left"/>
              <w:rPr>
                <w:rFonts w:eastAsia="Times New Roman"/>
                <w:color w:val="000000"/>
                <w:sz w:val="18"/>
                <w:szCs w:val="18"/>
              </w:rPr>
            </w:pPr>
          </w:p>
        </w:tc>
      </w:tr>
      <w:tr w:rsidR="00B02352" w:rsidRPr="00B02352" w14:paraId="24CDFAE7" w14:textId="77777777" w:rsidTr="00A35929">
        <w:trPr>
          <w:trHeight w:val="240"/>
        </w:trPr>
        <w:tc>
          <w:tcPr>
            <w:tcW w:w="1520" w:type="dxa"/>
            <w:vMerge w:val="restart"/>
            <w:tcBorders>
              <w:top w:val="nil"/>
              <w:left w:val="single" w:sz="4" w:space="0" w:color="auto"/>
              <w:bottom w:val="single" w:sz="4" w:space="0" w:color="000000"/>
              <w:right w:val="single" w:sz="4" w:space="0" w:color="auto"/>
            </w:tcBorders>
            <w:shd w:val="clear" w:color="auto" w:fill="auto"/>
            <w:hideMark/>
          </w:tcPr>
          <w:p w14:paraId="6C7F9A63" w14:textId="77777777" w:rsidR="00B02352" w:rsidRPr="00B02352" w:rsidRDefault="00B02352" w:rsidP="00B02352">
            <w:pPr>
              <w:spacing w:after="0"/>
              <w:jc w:val="left"/>
              <w:rPr>
                <w:rFonts w:eastAsia="Times New Roman"/>
                <w:b/>
                <w:bCs/>
                <w:color w:val="000000"/>
                <w:sz w:val="18"/>
                <w:szCs w:val="18"/>
              </w:rPr>
            </w:pPr>
            <w:r w:rsidRPr="00B02352">
              <w:rPr>
                <w:rFonts w:eastAsia="Times New Roman"/>
                <w:b/>
                <w:bCs/>
                <w:color w:val="000000"/>
                <w:sz w:val="18"/>
                <w:szCs w:val="18"/>
              </w:rPr>
              <w:t>5.2. Adequacy of the biosecurity evaluation process</w:t>
            </w:r>
          </w:p>
        </w:tc>
        <w:tc>
          <w:tcPr>
            <w:tcW w:w="3605" w:type="dxa"/>
            <w:tcBorders>
              <w:top w:val="nil"/>
              <w:left w:val="nil"/>
              <w:bottom w:val="single" w:sz="4" w:space="0" w:color="auto"/>
              <w:right w:val="single" w:sz="4" w:space="0" w:color="auto"/>
            </w:tcBorders>
            <w:shd w:val="clear" w:color="auto" w:fill="auto"/>
            <w:hideMark/>
          </w:tcPr>
          <w:p w14:paraId="7652AE17"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None or ineffective evaluations are being conducted without an adequate evaluation plan; including the necessary resources </w:t>
            </w:r>
          </w:p>
        </w:tc>
        <w:tc>
          <w:tcPr>
            <w:tcW w:w="695" w:type="dxa"/>
            <w:tcBorders>
              <w:top w:val="nil"/>
              <w:left w:val="nil"/>
              <w:bottom w:val="single" w:sz="4" w:space="0" w:color="auto"/>
              <w:right w:val="single" w:sz="4" w:space="0" w:color="auto"/>
            </w:tcBorders>
            <w:shd w:val="clear" w:color="auto" w:fill="auto"/>
            <w:vAlign w:val="center"/>
            <w:hideMark/>
          </w:tcPr>
          <w:p w14:paraId="5CED985F"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0</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14:paraId="21FB63A2"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14:paraId="4429FFA4"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c>
          <w:tcPr>
            <w:tcW w:w="717" w:type="dxa"/>
            <w:vMerge w:val="restart"/>
            <w:tcBorders>
              <w:top w:val="nil"/>
              <w:left w:val="single" w:sz="4" w:space="0" w:color="auto"/>
              <w:bottom w:val="single" w:sz="4" w:space="0" w:color="000000"/>
              <w:right w:val="single" w:sz="4" w:space="0" w:color="auto"/>
            </w:tcBorders>
            <w:shd w:val="clear" w:color="auto" w:fill="auto"/>
            <w:vAlign w:val="center"/>
            <w:hideMark/>
          </w:tcPr>
          <w:p w14:paraId="1A40FC7D"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w:t>
            </w:r>
          </w:p>
        </w:tc>
        <w:tc>
          <w:tcPr>
            <w:tcW w:w="2587" w:type="dxa"/>
            <w:vMerge w:val="restart"/>
            <w:tcBorders>
              <w:top w:val="nil"/>
              <w:left w:val="single" w:sz="4" w:space="0" w:color="auto"/>
              <w:bottom w:val="single" w:sz="4" w:space="0" w:color="000000"/>
              <w:right w:val="single" w:sz="4" w:space="0" w:color="auto"/>
            </w:tcBorders>
            <w:shd w:val="clear" w:color="auto" w:fill="auto"/>
            <w:hideMark/>
          </w:tcPr>
          <w:p w14:paraId="4A230CF1"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There is little internal evaluation, partially because the Biosecurity Office has not established an internal strategy and thus has no evaluation criteria. Evaluation is ad hoc and generally driven by external needs or donors.</w:t>
            </w:r>
          </w:p>
        </w:tc>
        <w:tc>
          <w:tcPr>
            <w:tcW w:w="2056" w:type="dxa"/>
            <w:vMerge w:val="restart"/>
            <w:tcBorders>
              <w:top w:val="nil"/>
              <w:left w:val="single" w:sz="4" w:space="0" w:color="auto"/>
              <w:bottom w:val="single" w:sz="4" w:space="0" w:color="000000"/>
              <w:right w:val="single" w:sz="4" w:space="0" w:color="auto"/>
            </w:tcBorders>
            <w:shd w:val="clear" w:color="auto" w:fill="auto"/>
            <w:hideMark/>
          </w:tcPr>
          <w:p w14:paraId="3DB468F8"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Ensure that all plans developed and implemented have a feedback and evaluation loop.</w:t>
            </w:r>
          </w:p>
        </w:tc>
        <w:tc>
          <w:tcPr>
            <w:tcW w:w="1073" w:type="dxa"/>
            <w:vMerge w:val="restart"/>
            <w:tcBorders>
              <w:top w:val="nil"/>
              <w:left w:val="single" w:sz="4" w:space="0" w:color="auto"/>
              <w:bottom w:val="single" w:sz="4" w:space="0" w:color="000000"/>
              <w:right w:val="single" w:sz="4" w:space="0" w:color="auto"/>
            </w:tcBorders>
            <w:shd w:val="clear" w:color="auto" w:fill="auto"/>
            <w:vAlign w:val="center"/>
            <w:hideMark/>
          </w:tcPr>
          <w:p w14:paraId="4D2BCFC1"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All</w:t>
            </w:r>
          </w:p>
        </w:tc>
      </w:tr>
      <w:tr w:rsidR="00B02352" w:rsidRPr="00B02352" w14:paraId="066F8FA7" w14:textId="77777777" w:rsidTr="00A35929">
        <w:trPr>
          <w:trHeight w:val="240"/>
        </w:trPr>
        <w:tc>
          <w:tcPr>
            <w:tcW w:w="1520" w:type="dxa"/>
            <w:vMerge/>
            <w:tcBorders>
              <w:top w:val="nil"/>
              <w:left w:val="single" w:sz="4" w:space="0" w:color="auto"/>
              <w:bottom w:val="single" w:sz="4" w:space="0" w:color="000000"/>
              <w:right w:val="single" w:sz="4" w:space="0" w:color="auto"/>
            </w:tcBorders>
            <w:vAlign w:val="center"/>
            <w:hideMark/>
          </w:tcPr>
          <w:p w14:paraId="0D1F36F4"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018BE99D"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An adequate evaluation plan is in place but evaluation activities are irregularly conducted </w:t>
            </w:r>
          </w:p>
        </w:tc>
        <w:tc>
          <w:tcPr>
            <w:tcW w:w="695" w:type="dxa"/>
            <w:tcBorders>
              <w:top w:val="nil"/>
              <w:left w:val="nil"/>
              <w:bottom w:val="single" w:sz="4" w:space="0" w:color="auto"/>
              <w:right w:val="single" w:sz="4" w:space="0" w:color="auto"/>
            </w:tcBorders>
            <w:shd w:val="clear" w:color="auto" w:fill="auto"/>
            <w:vAlign w:val="center"/>
            <w:hideMark/>
          </w:tcPr>
          <w:p w14:paraId="6F8DDDA3"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1</w:t>
            </w:r>
          </w:p>
        </w:tc>
        <w:tc>
          <w:tcPr>
            <w:tcW w:w="844" w:type="dxa"/>
            <w:vMerge/>
            <w:tcBorders>
              <w:top w:val="nil"/>
              <w:left w:val="single" w:sz="4" w:space="0" w:color="auto"/>
              <w:bottom w:val="single" w:sz="4" w:space="0" w:color="000000"/>
              <w:right w:val="single" w:sz="4" w:space="0" w:color="auto"/>
            </w:tcBorders>
            <w:vAlign w:val="center"/>
            <w:hideMark/>
          </w:tcPr>
          <w:p w14:paraId="307C997F"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37197614"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66D3A80B"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60E29279"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6F1A1C0C"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57B2EE5F" w14:textId="77777777" w:rsidR="00B02352" w:rsidRPr="00B02352" w:rsidRDefault="00B02352" w:rsidP="00B02352">
            <w:pPr>
              <w:spacing w:after="0"/>
              <w:jc w:val="left"/>
              <w:rPr>
                <w:rFonts w:eastAsia="Times New Roman"/>
                <w:color w:val="000000"/>
                <w:sz w:val="18"/>
                <w:szCs w:val="18"/>
              </w:rPr>
            </w:pPr>
          </w:p>
        </w:tc>
      </w:tr>
      <w:tr w:rsidR="00B02352" w:rsidRPr="00B02352" w14:paraId="5CC4461C" w14:textId="77777777" w:rsidTr="00A35929">
        <w:trPr>
          <w:trHeight w:val="480"/>
        </w:trPr>
        <w:tc>
          <w:tcPr>
            <w:tcW w:w="1520" w:type="dxa"/>
            <w:vMerge/>
            <w:tcBorders>
              <w:top w:val="nil"/>
              <w:left w:val="single" w:sz="4" w:space="0" w:color="auto"/>
              <w:bottom w:val="single" w:sz="4" w:space="0" w:color="000000"/>
              <w:right w:val="single" w:sz="4" w:space="0" w:color="auto"/>
            </w:tcBorders>
            <w:vAlign w:val="center"/>
            <w:hideMark/>
          </w:tcPr>
          <w:p w14:paraId="00E6A4AE"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2B4864BB" w14:textId="3CE78D10"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Evaluations are being conducted as per an adequate evaluation plan but the evaluation results are only partial</w:t>
            </w:r>
            <w:r w:rsidR="005F36E3">
              <w:rPr>
                <w:rFonts w:eastAsia="Times New Roman" w:cs="Arial"/>
                <w:color w:val="000000"/>
                <w:sz w:val="18"/>
                <w:szCs w:val="18"/>
              </w:rPr>
              <w:t>ly used by the project/program</w:t>
            </w:r>
            <w:r w:rsidRPr="00B02352">
              <w:rPr>
                <w:rFonts w:eastAsia="Times New Roman" w:cs="Arial"/>
                <w:color w:val="000000"/>
                <w:sz w:val="18"/>
                <w:szCs w:val="18"/>
              </w:rPr>
              <w:t xml:space="preserve"> implementation team </w:t>
            </w:r>
          </w:p>
        </w:tc>
        <w:tc>
          <w:tcPr>
            <w:tcW w:w="695" w:type="dxa"/>
            <w:tcBorders>
              <w:top w:val="nil"/>
              <w:left w:val="nil"/>
              <w:bottom w:val="single" w:sz="4" w:space="0" w:color="auto"/>
              <w:right w:val="single" w:sz="4" w:space="0" w:color="auto"/>
            </w:tcBorders>
            <w:shd w:val="clear" w:color="auto" w:fill="auto"/>
            <w:vAlign w:val="center"/>
            <w:hideMark/>
          </w:tcPr>
          <w:p w14:paraId="134D1249"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2</w:t>
            </w:r>
          </w:p>
        </w:tc>
        <w:tc>
          <w:tcPr>
            <w:tcW w:w="844" w:type="dxa"/>
            <w:vMerge/>
            <w:tcBorders>
              <w:top w:val="nil"/>
              <w:left w:val="single" w:sz="4" w:space="0" w:color="auto"/>
              <w:bottom w:val="single" w:sz="4" w:space="0" w:color="000000"/>
              <w:right w:val="single" w:sz="4" w:space="0" w:color="auto"/>
            </w:tcBorders>
            <w:vAlign w:val="center"/>
            <w:hideMark/>
          </w:tcPr>
          <w:p w14:paraId="0EC329EA"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702BB85B"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584C620C"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055A46A5"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7354EB13"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1BCB2E84" w14:textId="77777777" w:rsidR="00B02352" w:rsidRPr="00B02352" w:rsidRDefault="00B02352" w:rsidP="00B02352">
            <w:pPr>
              <w:spacing w:after="0"/>
              <w:jc w:val="left"/>
              <w:rPr>
                <w:rFonts w:eastAsia="Times New Roman"/>
                <w:color w:val="000000"/>
                <w:sz w:val="18"/>
                <w:szCs w:val="18"/>
              </w:rPr>
            </w:pPr>
          </w:p>
        </w:tc>
      </w:tr>
      <w:tr w:rsidR="00B02352" w:rsidRPr="00B02352" w14:paraId="28D75DBA" w14:textId="77777777" w:rsidTr="00A35929">
        <w:trPr>
          <w:trHeight w:val="480"/>
        </w:trPr>
        <w:tc>
          <w:tcPr>
            <w:tcW w:w="1520" w:type="dxa"/>
            <w:vMerge/>
            <w:tcBorders>
              <w:top w:val="nil"/>
              <w:left w:val="single" w:sz="4" w:space="0" w:color="auto"/>
              <w:bottom w:val="single" w:sz="4" w:space="0" w:color="000000"/>
              <w:right w:val="single" w:sz="4" w:space="0" w:color="auto"/>
            </w:tcBorders>
            <w:vAlign w:val="center"/>
            <w:hideMark/>
          </w:tcPr>
          <w:p w14:paraId="70C276F0" w14:textId="77777777" w:rsidR="00B02352" w:rsidRPr="00B02352" w:rsidRDefault="00B02352" w:rsidP="00B02352">
            <w:pPr>
              <w:spacing w:after="0"/>
              <w:jc w:val="left"/>
              <w:rPr>
                <w:rFonts w:eastAsia="Times New Roman"/>
                <w:b/>
                <w:bCs/>
                <w:color w:val="000000"/>
                <w:sz w:val="18"/>
                <w:szCs w:val="18"/>
              </w:rPr>
            </w:pPr>
          </w:p>
        </w:tc>
        <w:tc>
          <w:tcPr>
            <w:tcW w:w="3605" w:type="dxa"/>
            <w:tcBorders>
              <w:top w:val="nil"/>
              <w:left w:val="nil"/>
              <w:bottom w:val="single" w:sz="4" w:space="0" w:color="auto"/>
              <w:right w:val="single" w:sz="4" w:space="0" w:color="auto"/>
            </w:tcBorders>
            <w:shd w:val="clear" w:color="auto" w:fill="auto"/>
            <w:hideMark/>
          </w:tcPr>
          <w:p w14:paraId="6F59BC10" w14:textId="77777777" w:rsidR="00B02352" w:rsidRPr="00B02352" w:rsidRDefault="00B02352" w:rsidP="00B02352">
            <w:pPr>
              <w:spacing w:after="0"/>
              <w:jc w:val="left"/>
              <w:rPr>
                <w:rFonts w:eastAsia="Times New Roman" w:cs="Arial"/>
                <w:color w:val="000000"/>
                <w:sz w:val="18"/>
                <w:szCs w:val="18"/>
              </w:rPr>
            </w:pPr>
            <w:r w:rsidRPr="00B02352">
              <w:rPr>
                <w:rFonts w:eastAsia="Times New Roman" w:cs="Arial"/>
                <w:color w:val="000000"/>
                <w:sz w:val="18"/>
                <w:szCs w:val="18"/>
              </w:rPr>
              <w:t xml:space="preserve"> Effective evaluations are conducted timely and accurately and are used by the implementation team and the Agencies and GEF Staff to correct the course of action if needed and to learn for further planning activities </w:t>
            </w:r>
          </w:p>
        </w:tc>
        <w:tc>
          <w:tcPr>
            <w:tcW w:w="695" w:type="dxa"/>
            <w:tcBorders>
              <w:top w:val="nil"/>
              <w:left w:val="nil"/>
              <w:bottom w:val="single" w:sz="4" w:space="0" w:color="auto"/>
              <w:right w:val="single" w:sz="4" w:space="0" w:color="auto"/>
            </w:tcBorders>
            <w:shd w:val="clear" w:color="auto" w:fill="auto"/>
            <w:vAlign w:val="center"/>
            <w:hideMark/>
          </w:tcPr>
          <w:p w14:paraId="60909AC9" w14:textId="77777777" w:rsidR="00B02352" w:rsidRPr="00B02352" w:rsidRDefault="00B02352" w:rsidP="00B02352">
            <w:pPr>
              <w:spacing w:after="0"/>
              <w:jc w:val="left"/>
              <w:rPr>
                <w:rFonts w:eastAsia="Times New Roman"/>
                <w:color w:val="000000"/>
                <w:sz w:val="18"/>
                <w:szCs w:val="18"/>
              </w:rPr>
            </w:pPr>
            <w:r w:rsidRPr="00B02352">
              <w:rPr>
                <w:rFonts w:eastAsia="Times New Roman"/>
                <w:color w:val="000000"/>
                <w:sz w:val="18"/>
                <w:szCs w:val="18"/>
              </w:rPr>
              <w:t>3</w:t>
            </w:r>
          </w:p>
        </w:tc>
        <w:tc>
          <w:tcPr>
            <w:tcW w:w="844" w:type="dxa"/>
            <w:vMerge/>
            <w:tcBorders>
              <w:top w:val="nil"/>
              <w:left w:val="single" w:sz="4" w:space="0" w:color="auto"/>
              <w:bottom w:val="single" w:sz="4" w:space="0" w:color="000000"/>
              <w:right w:val="single" w:sz="4" w:space="0" w:color="auto"/>
            </w:tcBorders>
            <w:vAlign w:val="center"/>
            <w:hideMark/>
          </w:tcPr>
          <w:p w14:paraId="268EFD4B" w14:textId="77777777" w:rsidR="00B02352" w:rsidRPr="00B02352" w:rsidRDefault="00B02352" w:rsidP="00B02352">
            <w:pPr>
              <w:spacing w:after="0"/>
              <w:jc w:val="left"/>
              <w:rPr>
                <w:rFonts w:eastAsia="Times New Roman"/>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14:paraId="5697EBC7" w14:textId="77777777" w:rsidR="00B02352" w:rsidRPr="00B02352" w:rsidRDefault="00B02352" w:rsidP="00B02352">
            <w:pPr>
              <w:spacing w:after="0"/>
              <w:jc w:val="left"/>
              <w:rPr>
                <w:rFonts w:eastAsia="Times New Roman"/>
                <w:color w:val="000000"/>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14:paraId="1D3D20B7" w14:textId="77777777" w:rsidR="00B02352" w:rsidRPr="00B02352" w:rsidRDefault="00B02352" w:rsidP="00B02352">
            <w:pPr>
              <w:spacing w:after="0"/>
              <w:jc w:val="left"/>
              <w:rPr>
                <w:rFonts w:eastAsia="Times New Roman"/>
                <w:color w:val="000000"/>
                <w:sz w:val="18"/>
                <w:szCs w:val="18"/>
              </w:rPr>
            </w:pPr>
          </w:p>
        </w:tc>
        <w:tc>
          <w:tcPr>
            <w:tcW w:w="2587" w:type="dxa"/>
            <w:vMerge/>
            <w:tcBorders>
              <w:top w:val="nil"/>
              <w:left w:val="single" w:sz="4" w:space="0" w:color="auto"/>
              <w:bottom w:val="single" w:sz="4" w:space="0" w:color="000000"/>
              <w:right w:val="single" w:sz="4" w:space="0" w:color="auto"/>
            </w:tcBorders>
            <w:vAlign w:val="center"/>
            <w:hideMark/>
          </w:tcPr>
          <w:p w14:paraId="4D1CC3C7" w14:textId="77777777" w:rsidR="00B02352" w:rsidRPr="00B02352" w:rsidRDefault="00B02352" w:rsidP="00B02352">
            <w:pPr>
              <w:spacing w:after="0"/>
              <w:jc w:val="left"/>
              <w:rPr>
                <w:rFonts w:eastAsia="Times New Roman"/>
                <w:color w:val="000000"/>
                <w:sz w:val="18"/>
                <w:szCs w:val="18"/>
              </w:rPr>
            </w:pPr>
          </w:p>
        </w:tc>
        <w:tc>
          <w:tcPr>
            <w:tcW w:w="2056" w:type="dxa"/>
            <w:vMerge/>
            <w:tcBorders>
              <w:top w:val="nil"/>
              <w:left w:val="single" w:sz="4" w:space="0" w:color="auto"/>
              <w:bottom w:val="single" w:sz="4" w:space="0" w:color="000000"/>
              <w:right w:val="single" w:sz="4" w:space="0" w:color="auto"/>
            </w:tcBorders>
            <w:vAlign w:val="center"/>
            <w:hideMark/>
          </w:tcPr>
          <w:p w14:paraId="638F8514" w14:textId="77777777" w:rsidR="00B02352" w:rsidRPr="00B02352" w:rsidRDefault="00B02352" w:rsidP="00B02352">
            <w:pPr>
              <w:spacing w:after="0"/>
              <w:jc w:val="left"/>
              <w:rPr>
                <w:rFonts w:eastAsia="Times New Roman"/>
                <w:color w:val="000000"/>
                <w:sz w:val="18"/>
                <w:szCs w:val="18"/>
              </w:rPr>
            </w:pPr>
          </w:p>
        </w:tc>
        <w:tc>
          <w:tcPr>
            <w:tcW w:w="1073" w:type="dxa"/>
            <w:vMerge/>
            <w:tcBorders>
              <w:top w:val="nil"/>
              <w:left w:val="single" w:sz="4" w:space="0" w:color="auto"/>
              <w:bottom w:val="single" w:sz="4" w:space="0" w:color="000000"/>
              <w:right w:val="single" w:sz="4" w:space="0" w:color="auto"/>
            </w:tcBorders>
            <w:vAlign w:val="center"/>
            <w:hideMark/>
          </w:tcPr>
          <w:p w14:paraId="13F13DAA" w14:textId="77777777" w:rsidR="00B02352" w:rsidRPr="00B02352" w:rsidRDefault="00B02352" w:rsidP="00B02352">
            <w:pPr>
              <w:spacing w:after="0"/>
              <w:jc w:val="left"/>
              <w:rPr>
                <w:rFonts w:eastAsia="Times New Roman"/>
                <w:color w:val="000000"/>
                <w:sz w:val="18"/>
                <w:szCs w:val="18"/>
              </w:rPr>
            </w:pPr>
          </w:p>
        </w:tc>
      </w:tr>
      <w:tr w:rsidR="00B02352" w:rsidRPr="00B02352" w14:paraId="6ECBB243" w14:textId="77777777" w:rsidTr="00A35929">
        <w:trPr>
          <w:trHeight w:val="240"/>
        </w:trPr>
        <w:tc>
          <w:tcPr>
            <w:tcW w:w="1520" w:type="dxa"/>
            <w:tcBorders>
              <w:top w:val="nil"/>
              <w:left w:val="nil"/>
              <w:bottom w:val="nil"/>
              <w:right w:val="nil"/>
            </w:tcBorders>
            <w:shd w:val="clear" w:color="auto" w:fill="auto"/>
            <w:hideMark/>
          </w:tcPr>
          <w:p w14:paraId="69338089" w14:textId="77777777" w:rsidR="00B02352" w:rsidRPr="00B02352" w:rsidRDefault="00B02352" w:rsidP="00B02352">
            <w:pPr>
              <w:spacing w:after="0"/>
              <w:jc w:val="left"/>
              <w:rPr>
                <w:rFonts w:eastAsia="Times New Roman"/>
                <w:color w:val="000000"/>
                <w:sz w:val="18"/>
                <w:szCs w:val="18"/>
              </w:rPr>
            </w:pPr>
          </w:p>
        </w:tc>
        <w:tc>
          <w:tcPr>
            <w:tcW w:w="3605" w:type="dxa"/>
            <w:tcBorders>
              <w:top w:val="nil"/>
              <w:left w:val="single" w:sz="4" w:space="0" w:color="auto"/>
              <w:bottom w:val="single" w:sz="4" w:space="0" w:color="auto"/>
              <w:right w:val="single" w:sz="4" w:space="0" w:color="auto"/>
            </w:tcBorders>
            <w:shd w:val="clear" w:color="auto" w:fill="auto"/>
            <w:hideMark/>
          </w:tcPr>
          <w:p w14:paraId="77D6EB0C" w14:textId="77777777" w:rsidR="00B02352" w:rsidRPr="00B02352" w:rsidRDefault="00B02352" w:rsidP="00B02352">
            <w:pPr>
              <w:spacing w:after="0"/>
              <w:jc w:val="left"/>
              <w:rPr>
                <w:rFonts w:eastAsia="Times New Roman"/>
                <w:b/>
                <w:bCs/>
                <w:color w:val="000000"/>
                <w:sz w:val="18"/>
                <w:szCs w:val="18"/>
              </w:rPr>
            </w:pPr>
            <w:r w:rsidRPr="00B02352">
              <w:rPr>
                <w:rFonts w:eastAsia="Times New Roman"/>
                <w:b/>
                <w:bCs/>
                <w:color w:val="000000"/>
                <w:sz w:val="18"/>
                <w:szCs w:val="18"/>
              </w:rPr>
              <w:t>TOTAL</w:t>
            </w:r>
          </w:p>
        </w:tc>
        <w:tc>
          <w:tcPr>
            <w:tcW w:w="695" w:type="dxa"/>
            <w:tcBorders>
              <w:top w:val="nil"/>
              <w:left w:val="nil"/>
              <w:bottom w:val="single" w:sz="4" w:space="0" w:color="auto"/>
              <w:right w:val="single" w:sz="4" w:space="0" w:color="auto"/>
            </w:tcBorders>
            <w:shd w:val="clear" w:color="auto" w:fill="auto"/>
            <w:vAlign w:val="center"/>
            <w:hideMark/>
          </w:tcPr>
          <w:p w14:paraId="0B041F0D" w14:textId="77777777" w:rsidR="00B02352" w:rsidRPr="00B02352" w:rsidRDefault="00B02352" w:rsidP="00B02352">
            <w:pPr>
              <w:spacing w:after="0"/>
              <w:jc w:val="left"/>
              <w:rPr>
                <w:rFonts w:eastAsia="Times New Roman"/>
                <w:b/>
                <w:bCs/>
                <w:color w:val="000000"/>
                <w:sz w:val="18"/>
                <w:szCs w:val="18"/>
              </w:rPr>
            </w:pPr>
            <w:r w:rsidRPr="00B02352">
              <w:rPr>
                <w:rFonts w:eastAsia="Times New Roman"/>
                <w:b/>
                <w:bCs/>
                <w:color w:val="000000"/>
                <w:sz w:val="18"/>
                <w:szCs w:val="18"/>
              </w:rPr>
              <w:t>45</w:t>
            </w:r>
          </w:p>
        </w:tc>
        <w:tc>
          <w:tcPr>
            <w:tcW w:w="844" w:type="dxa"/>
            <w:tcBorders>
              <w:top w:val="nil"/>
              <w:left w:val="nil"/>
              <w:bottom w:val="single" w:sz="4" w:space="0" w:color="auto"/>
              <w:right w:val="single" w:sz="4" w:space="0" w:color="auto"/>
            </w:tcBorders>
            <w:shd w:val="clear" w:color="auto" w:fill="auto"/>
            <w:vAlign w:val="center"/>
            <w:hideMark/>
          </w:tcPr>
          <w:p w14:paraId="3827FA95" w14:textId="77777777" w:rsidR="00B02352" w:rsidRPr="00B02352" w:rsidRDefault="00B02352" w:rsidP="00B02352">
            <w:pPr>
              <w:spacing w:after="0"/>
              <w:jc w:val="left"/>
              <w:rPr>
                <w:rFonts w:eastAsia="Times New Roman"/>
                <w:b/>
                <w:bCs/>
                <w:color w:val="000000"/>
                <w:sz w:val="18"/>
                <w:szCs w:val="18"/>
              </w:rPr>
            </w:pPr>
            <w:r w:rsidRPr="00B02352">
              <w:rPr>
                <w:rFonts w:eastAsia="Times New Roman"/>
                <w:b/>
                <w:bCs/>
                <w:color w:val="000000"/>
                <w:sz w:val="18"/>
                <w:szCs w:val="18"/>
              </w:rPr>
              <w:t>15</w:t>
            </w:r>
          </w:p>
        </w:tc>
        <w:tc>
          <w:tcPr>
            <w:tcW w:w="748" w:type="dxa"/>
            <w:tcBorders>
              <w:top w:val="nil"/>
              <w:left w:val="nil"/>
              <w:bottom w:val="single" w:sz="4" w:space="0" w:color="auto"/>
              <w:right w:val="single" w:sz="4" w:space="0" w:color="auto"/>
            </w:tcBorders>
            <w:shd w:val="clear" w:color="auto" w:fill="auto"/>
            <w:vAlign w:val="center"/>
            <w:hideMark/>
          </w:tcPr>
          <w:p w14:paraId="70C4FD31" w14:textId="77777777" w:rsidR="00B02352" w:rsidRPr="00B02352" w:rsidRDefault="00B02352" w:rsidP="00B02352">
            <w:pPr>
              <w:spacing w:after="0"/>
              <w:jc w:val="left"/>
              <w:rPr>
                <w:rFonts w:eastAsia="Times New Roman"/>
                <w:b/>
                <w:bCs/>
                <w:color w:val="000000"/>
                <w:sz w:val="18"/>
                <w:szCs w:val="18"/>
              </w:rPr>
            </w:pPr>
            <w:r w:rsidRPr="00B02352">
              <w:rPr>
                <w:rFonts w:eastAsia="Times New Roman"/>
                <w:b/>
                <w:bCs/>
                <w:color w:val="000000"/>
                <w:sz w:val="18"/>
                <w:szCs w:val="18"/>
              </w:rPr>
              <w:t>26</w:t>
            </w:r>
          </w:p>
        </w:tc>
        <w:tc>
          <w:tcPr>
            <w:tcW w:w="717" w:type="dxa"/>
            <w:tcBorders>
              <w:top w:val="nil"/>
              <w:left w:val="nil"/>
              <w:bottom w:val="single" w:sz="4" w:space="0" w:color="auto"/>
              <w:right w:val="single" w:sz="4" w:space="0" w:color="auto"/>
            </w:tcBorders>
            <w:shd w:val="clear" w:color="auto" w:fill="auto"/>
            <w:vAlign w:val="center"/>
            <w:hideMark/>
          </w:tcPr>
          <w:p w14:paraId="5032438D" w14:textId="77777777" w:rsidR="00B02352" w:rsidRPr="00B02352" w:rsidRDefault="00B02352" w:rsidP="00B02352">
            <w:pPr>
              <w:spacing w:after="0"/>
              <w:jc w:val="left"/>
              <w:rPr>
                <w:rFonts w:eastAsia="Times New Roman"/>
                <w:b/>
                <w:bCs/>
                <w:color w:val="000000"/>
                <w:sz w:val="18"/>
                <w:szCs w:val="18"/>
              </w:rPr>
            </w:pPr>
            <w:r w:rsidRPr="00B02352">
              <w:rPr>
                <w:rFonts w:eastAsia="Times New Roman"/>
                <w:b/>
                <w:bCs/>
                <w:color w:val="000000"/>
                <w:sz w:val="18"/>
                <w:szCs w:val="18"/>
              </w:rPr>
              <w:t>36</w:t>
            </w:r>
          </w:p>
        </w:tc>
        <w:tc>
          <w:tcPr>
            <w:tcW w:w="2587" w:type="dxa"/>
            <w:tcBorders>
              <w:top w:val="nil"/>
              <w:left w:val="nil"/>
              <w:bottom w:val="nil"/>
              <w:right w:val="nil"/>
            </w:tcBorders>
            <w:shd w:val="clear" w:color="auto" w:fill="auto"/>
            <w:hideMark/>
          </w:tcPr>
          <w:p w14:paraId="335650B7" w14:textId="77777777" w:rsidR="00B02352" w:rsidRPr="00B02352" w:rsidRDefault="00B02352" w:rsidP="00B02352">
            <w:pPr>
              <w:spacing w:after="0"/>
              <w:jc w:val="left"/>
              <w:rPr>
                <w:rFonts w:eastAsia="Times New Roman"/>
                <w:b/>
                <w:bCs/>
                <w:color w:val="000000"/>
                <w:sz w:val="18"/>
                <w:szCs w:val="18"/>
              </w:rPr>
            </w:pPr>
          </w:p>
        </w:tc>
        <w:tc>
          <w:tcPr>
            <w:tcW w:w="2056" w:type="dxa"/>
            <w:tcBorders>
              <w:top w:val="nil"/>
              <w:left w:val="nil"/>
              <w:bottom w:val="nil"/>
              <w:right w:val="nil"/>
            </w:tcBorders>
            <w:shd w:val="clear" w:color="auto" w:fill="auto"/>
            <w:hideMark/>
          </w:tcPr>
          <w:p w14:paraId="116343D1" w14:textId="77777777" w:rsidR="00B02352" w:rsidRPr="00B02352" w:rsidRDefault="00B02352" w:rsidP="00B02352">
            <w:pPr>
              <w:spacing w:after="0"/>
              <w:jc w:val="left"/>
              <w:rPr>
                <w:rFonts w:eastAsia="Times New Roman"/>
                <w:sz w:val="18"/>
                <w:szCs w:val="18"/>
              </w:rPr>
            </w:pPr>
          </w:p>
        </w:tc>
        <w:tc>
          <w:tcPr>
            <w:tcW w:w="1073" w:type="dxa"/>
            <w:tcBorders>
              <w:top w:val="nil"/>
              <w:left w:val="nil"/>
              <w:bottom w:val="nil"/>
              <w:right w:val="nil"/>
            </w:tcBorders>
            <w:shd w:val="clear" w:color="auto" w:fill="auto"/>
            <w:vAlign w:val="center"/>
            <w:hideMark/>
          </w:tcPr>
          <w:p w14:paraId="282D5968" w14:textId="77777777" w:rsidR="00B02352" w:rsidRPr="00B02352" w:rsidRDefault="00B02352" w:rsidP="00B02352">
            <w:pPr>
              <w:spacing w:after="0"/>
              <w:jc w:val="left"/>
              <w:rPr>
                <w:rFonts w:eastAsia="Times New Roman"/>
                <w:sz w:val="18"/>
                <w:szCs w:val="18"/>
              </w:rPr>
            </w:pPr>
          </w:p>
        </w:tc>
      </w:tr>
    </w:tbl>
    <w:p w14:paraId="1A1B66E5" w14:textId="77777777" w:rsidR="005F36E3" w:rsidRPr="005F36E3" w:rsidRDefault="005F36E3" w:rsidP="00B02352">
      <w:pPr>
        <w:jc w:val="left"/>
        <w:rPr>
          <w:b/>
          <w:sz w:val="20"/>
          <w:szCs w:val="20"/>
        </w:rPr>
      </w:pPr>
    </w:p>
    <w:p w14:paraId="1782991F" w14:textId="77777777" w:rsidR="00B02352" w:rsidRPr="005F36E3" w:rsidRDefault="00B02352" w:rsidP="00B02352">
      <w:pPr>
        <w:jc w:val="left"/>
        <w:rPr>
          <w:b/>
          <w:sz w:val="20"/>
          <w:szCs w:val="20"/>
        </w:rPr>
      </w:pPr>
      <w:r w:rsidRPr="005F36E3">
        <w:rPr>
          <w:b/>
          <w:sz w:val="20"/>
          <w:szCs w:val="20"/>
        </w:rPr>
        <w:t>4. National Environmental Management Scorecard</w:t>
      </w:r>
    </w:p>
    <w:p w14:paraId="0CCB68E7" w14:textId="06F7CECF" w:rsidR="00B02352" w:rsidRPr="005F36E3" w:rsidRDefault="00B02352" w:rsidP="00B02352">
      <w:pPr>
        <w:jc w:val="left"/>
        <w:rPr>
          <w:i/>
          <w:sz w:val="20"/>
          <w:szCs w:val="20"/>
        </w:rPr>
      </w:pPr>
      <w:r w:rsidRPr="005F36E3">
        <w:rPr>
          <w:i/>
          <w:sz w:val="20"/>
          <w:szCs w:val="20"/>
        </w:rPr>
        <w:t xml:space="preserve">The Baseline was determined in 2014 as part of the Project Document for the GEF-funded CB2 Project. The Scorecard was updated during a National Capacity Scoring and Gender Analysis Workshop held on May 10, 2017. </w:t>
      </w:r>
      <w:r w:rsidR="005F36E3">
        <w:rPr>
          <w:i/>
          <w:sz w:val="20"/>
          <w:szCs w:val="20"/>
        </w:rPr>
        <w:t xml:space="preserve">A total of </w:t>
      </w:r>
      <w:r w:rsidRPr="005F36E3">
        <w:rPr>
          <w:i/>
          <w:sz w:val="20"/>
          <w:szCs w:val="20"/>
        </w:rPr>
        <w:t xml:space="preserve">17 Stakeholders representing 12 National and State organizations participated. Scores were agreed by consensus. </w:t>
      </w:r>
    </w:p>
    <w:p w14:paraId="728419FE" w14:textId="77777777" w:rsidR="00B02352" w:rsidRPr="00B02352" w:rsidRDefault="00B02352" w:rsidP="00B02352">
      <w:pPr>
        <w:jc w:val="left"/>
        <w:rPr>
          <w:sz w:val="18"/>
          <w:szCs w:val="18"/>
        </w:rPr>
      </w:pPr>
    </w:p>
    <w:tbl>
      <w:tblPr>
        <w:tblW w:w="14059" w:type="dxa"/>
        <w:tblLayout w:type="fixed"/>
        <w:tblLook w:val="04A0" w:firstRow="1" w:lastRow="0" w:firstColumn="1" w:lastColumn="0" w:noHBand="0" w:noVBand="1"/>
      </w:tblPr>
      <w:tblGrid>
        <w:gridCol w:w="1345"/>
        <w:gridCol w:w="3083"/>
        <w:gridCol w:w="810"/>
        <w:gridCol w:w="990"/>
        <w:gridCol w:w="720"/>
        <w:gridCol w:w="810"/>
        <w:gridCol w:w="2698"/>
        <w:gridCol w:w="183"/>
        <w:gridCol w:w="1873"/>
        <w:gridCol w:w="557"/>
        <w:gridCol w:w="612"/>
        <w:gridCol w:w="378"/>
      </w:tblGrid>
      <w:tr w:rsidR="00B02352" w:rsidRPr="00B02352" w14:paraId="3FBB8D94" w14:textId="77777777" w:rsidTr="005F36E3">
        <w:trPr>
          <w:trHeight w:val="480"/>
          <w:tblHeader/>
        </w:trPr>
        <w:tc>
          <w:tcPr>
            <w:tcW w:w="1345" w:type="dxa"/>
            <w:tcBorders>
              <w:top w:val="single" w:sz="4" w:space="0" w:color="auto"/>
              <w:left w:val="single" w:sz="4" w:space="0" w:color="auto"/>
              <w:bottom w:val="single" w:sz="4" w:space="0" w:color="auto"/>
              <w:right w:val="single" w:sz="4" w:space="0" w:color="auto"/>
            </w:tcBorders>
            <w:shd w:val="clear" w:color="000000" w:fill="C2D69B"/>
            <w:vAlign w:val="center"/>
            <w:hideMark/>
          </w:tcPr>
          <w:p w14:paraId="50E60854" w14:textId="77777777" w:rsidR="00B02352" w:rsidRPr="005F36E3" w:rsidRDefault="00B02352" w:rsidP="00B02352">
            <w:pPr>
              <w:spacing w:after="0"/>
              <w:jc w:val="left"/>
              <w:rPr>
                <w:rFonts w:asciiTheme="majorHAnsi" w:eastAsia="Times New Roman" w:hAnsiTheme="majorHAnsi"/>
                <w:b/>
                <w:bCs/>
                <w:color w:val="0563C1"/>
                <w:sz w:val="18"/>
                <w:szCs w:val="18"/>
                <w:u w:val="single"/>
              </w:rPr>
            </w:pPr>
            <w:r w:rsidRPr="005F36E3">
              <w:rPr>
                <w:rFonts w:asciiTheme="majorHAnsi" w:eastAsia="Times New Roman" w:hAnsiTheme="majorHAnsi"/>
                <w:b/>
                <w:bCs/>
                <w:color w:val="000000"/>
                <w:sz w:val="18"/>
                <w:szCs w:val="18"/>
              </w:rPr>
              <w:t>Capacity Result / Indicator</w:t>
            </w:r>
          </w:p>
        </w:tc>
        <w:tc>
          <w:tcPr>
            <w:tcW w:w="3083" w:type="dxa"/>
            <w:tcBorders>
              <w:top w:val="single" w:sz="4" w:space="0" w:color="auto"/>
              <w:left w:val="nil"/>
              <w:bottom w:val="single" w:sz="4" w:space="0" w:color="auto"/>
              <w:right w:val="single" w:sz="4" w:space="0" w:color="auto"/>
            </w:tcBorders>
            <w:shd w:val="clear" w:color="000000" w:fill="C2D69B"/>
            <w:vAlign w:val="center"/>
            <w:hideMark/>
          </w:tcPr>
          <w:p w14:paraId="23DA5D74" w14:textId="77777777" w:rsidR="00B02352" w:rsidRPr="005F36E3" w:rsidRDefault="00B02352" w:rsidP="00B02352">
            <w:pPr>
              <w:spacing w:after="0"/>
              <w:jc w:val="left"/>
              <w:rPr>
                <w:rFonts w:asciiTheme="majorHAnsi" w:eastAsia="Times New Roman" w:hAnsiTheme="majorHAnsi"/>
                <w:b/>
                <w:bCs/>
                <w:color w:val="000000"/>
                <w:sz w:val="18"/>
                <w:szCs w:val="18"/>
              </w:rPr>
            </w:pPr>
            <w:r w:rsidRPr="005F36E3">
              <w:rPr>
                <w:rFonts w:asciiTheme="majorHAnsi" w:eastAsia="Times New Roman" w:hAnsiTheme="majorHAnsi"/>
                <w:b/>
                <w:bCs/>
                <w:color w:val="000000"/>
                <w:sz w:val="18"/>
                <w:szCs w:val="18"/>
              </w:rPr>
              <w:t>Staged Indicators</w:t>
            </w:r>
          </w:p>
        </w:tc>
        <w:tc>
          <w:tcPr>
            <w:tcW w:w="810" w:type="dxa"/>
            <w:tcBorders>
              <w:top w:val="single" w:sz="4" w:space="0" w:color="auto"/>
              <w:left w:val="nil"/>
              <w:bottom w:val="single" w:sz="4" w:space="0" w:color="auto"/>
              <w:right w:val="single" w:sz="4" w:space="0" w:color="auto"/>
            </w:tcBorders>
            <w:shd w:val="clear" w:color="000000" w:fill="C2D69B"/>
            <w:vAlign w:val="center"/>
            <w:hideMark/>
          </w:tcPr>
          <w:p w14:paraId="0B3FE3F1" w14:textId="77777777" w:rsidR="00B02352" w:rsidRPr="005F36E3" w:rsidRDefault="00B02352" w:rsidP="00B02352">
            <w:pPr>
              <w:spacing w:after="0"/>
              <w:jc w:val="left"/>
              <w:rPr>
                <w:rFonts w:asciiTheme="majorHAnsi" w:eastAsia="Times New Roman" w:hAnsiTheme="majorHAnsi"/>
                <w:b/>
                <w:bCs/>
                <w:color w:val="000000"/>
                <w:sz w:val="18"/>
                <w:szCs w:val="18"/>
              </w:rPr>
            </w:pPr>
            <w:r w:rsidRPr="005F36E3">
              <w:rPr>
                <w:rFonts w:asciiTheme="majorHAnsi" w:eastAsia="Times New Roman" w:hAnsiTheme="majorHAnsi"/>
                <w:b/>
                <w:bCs/>
                <w:color w:val="000000"/>
                <w:sz w:val="18"/>
                <w:szCs w:val="18"/>
              </w:rPr>
              <w:t>Rating</w:t>
            </w:r>
          </w:p>
        </w:tc>
        <w:tc>
          <w:tcPr>
            <w:tcW w:w="990" w:type="dxa"/>
            <w:tcBorders>
              <w:top w:val="single" w:sz="4" w:space="0" w:color="auto"/>
              <w:left w:val="nil"/>
              <w:bottom w:val="single" w:sz="4" w:space="0" w:color="auto"/>
              <w:right w:val="single" w:sz="4" w:space="0" w:color="auto"/>
            </w:tcBorders>
            <w:shd w:val="clear" w:color="000000" w:fill="C2D69B"/>
            <w:vAlign w:val="center"/>
            <w:hideMark/>
          </w:tcPr>
          <w:p w14:paraId="2D183BE4" w14:textId="77777777" w:rsidR="00B02352" w:rsidRPr="005F36E3" w:rsidRDefault="00B02352" w:rsidP="00B02352">
            <w:pPr>
              <w:spacing w:after="0"/>
              <w:jc w:val="left"/>
              <w:rPr>
                <w:rFonts w:asciiTheme="majorHAnsi" w:eastAsia="Times New Roman" w:hAnsiTheme="majorHAnsi"/>
                <w:b/>
                <w:bCs/>
                <w:color w:val="000000"/>
                <w:sz w:val="18"/>
                <w:szCs w:val="18"/>
              </w:rPr>
            </w:pPr>
            <w:r w:rsidRPr="005F36E3">
              <w:rPr>
                <w:rFonts w:asciiTheme="majorHAnsi" w:eastAsia="Times New Roman" w:hAnsiTheme="majorHAnsi"/>
                <w:b/>
                <w:bCs/>
                <w:color w:val="000000"/>
                <w:sz w:val="18"/>
                <w:szCs w:val="18"/>
              </w:rPr>
              <w:t xml:space="preserve">Baseline Score </w:t>
            </w:r>
          </w:p>
          <w:p w14:paraId="15BE5B2B" w14:textId="77777777" w:rsidR="00B02352" w:rsidRPr="005F36E3" w:rsidRDefault="00B02352" w:rsidP="00B02352">
            <w:pPr>
              <w:spacing w:after="0"/>
              <w:jc w:val="left"/>
              <w:rPr>
                <w:rFonts w:asciiTheme="majorHAnsi" w:eastAsia="Times New Roman" w:hAnsiTheme="majorHAnsi"/>
                <w:b/>
                <w:bCs/>
                <w:color w:val="000000"/>
                <w:sz w:val="18"/>
                <w:szCs w:val="18"/>
              </w:rPr>
            </w:pPr>
            <w:r w:rsidRPr="005F36E3">
              <w:rPr>
                <w:rFonts w:asciiTheme="majorHAnsi" w:eastAsia="Times New Roman" w:hAnsiTheme="majorHAnsi"/>
                <w:b/>
                <w:bCs/>
                <w:color w:val="000000"/>
                <w:sz w:val="18"/>
                <w:szCs w:val="18"/>
              </w:rPr>
              <w:t>2014</w:t>
            </w:r>
          </w:p>
        </w:tc>
        <w:tc>
          <w:tcPr>
            <w:tcW w:w="720" w:type="dxa"/>
            <w:tcBorders>
              <w:top w:val="single" w:sz="4" w:space="0" w:color="auto"/>
              <w:left w:val="nil"/>
              <w:bottom w:val="single" w:sz="4" w:space="0" w:color="auto"/>
              <w:right w:val="single" w:sz="4" w:space="0" w:color="auto"/>
            </w:tcBorders>
            <w:shd w:val="clear" w:color="000000" w:fill="C2D69B"/>
            <w:vAlign w:val="center"/>
            <w:hideMark/>
          </w:tcPr>
          <w:p w14:paraId="42BC4315" w14:textId="77777777" w:rsidR="00B02352" w:rsidRPr="005F36E3" w:rsidRDefault="00B02352" w:rsidP="00B02352">
            <w:pPr>
              <w:spacing w:after="0"/>
              <w:jc w:val="left"/>
              <w:rPr>
                <w:rFonts w:asciiTheme="majorHAnsi" w:eastAsia="Times New Roman" w:hAnsiTheme="majorHAnsi"/>
                <w:b/>
                <w:bCs/>
                <w:color w:val="000000"/>
                <w:sz w:val="18"/>
                <w:szCs w:val="18"/>
              </w:rPr>
            </w:pPr>
            <w:r w:rsidRPr="005F36E3">
              <w:rPr>
                <w:rFonts w:asciiTheme="majorHAnsi" w:eastAsia="Times New Roman" w:hAnsiTheme="majorHAnsi"/>
                <w:b/>
                <w:bCs/>
                <w:color w:val="000000"/>
                <w:sz w:val="18"/>
                <w:szCs w:val="18"/>
              </w:rPr>
              <w:t>2017 Score</w:t>
            </w:r>
          </w:p>
        </w:tc>
        <w:tc>
          <w:tcPr>
            <w:tcW w:w="810" w:type="dxa"/>
            <w:tcBorders>
              <w:top w:val="single" w:sz="4" w:space="0" w:color="auto"/>
              <w:left w:val="nil"/>
              <w:bottom w:val="single" w:sz="4" w:space="0" w:color="auto"/>
              <w:right w:val="single" w:sz="4" w:space="0" w:color="auto"/>
            </w:tcBorders>
            <w:shd w:val="clear" w:color="000000" w:fill="C2D69B"/>
            <w:vAlign w:val="center"/>
            <w:hideMark/>
          </w:tcPr>
          <w:p w14:paraId="4B665AE3" w14:textId="77777777" w:rsidR="00B02352" w:rsidRPr="005F36E3" w:rsidRDefault="00B02352" w:rsidP="00B02352">
            <w:pPr>
              <w:spacing w:after="0"/>
              <w:jc w:val="left"/>
              <w:rPr>
                <w:rFonts w:asciiTheme="majorHAnsi" w:eastAsia="Times New Roman" w:hAnsiTheme="majorHAnsi"/>
                <w:b/>
                <w:bCs/>
                <w:color w:val="000000"/>
                <w:sz w:val="18"/>
                <w:szCs w:val="18"/>
              </w:rPr>
            </w:pPr>
            <w:r w:rsidRPr="005F36E3">
              <w:rPr>
                <w:rFonts w:asciiTheme="majorHAnsi" w:eastAsia="Times New Roman" w:hAnsiTheme="majorHAnsi"/>
                <w:b/>
                <w:bCs/>
                <w:color w:val="000000"/>
                <w:sz w:val="18"/>
                <w:szCs w:val="18"/>
              </w:rPr>
              <w:t>GEF6 Target Score</w:t>
            </w:r>
          </w:p>
        </w:tc>
        <w:tc>
          <w:tcPr>
            <w:tcW w:w="2881" w:type="dxa"/>
            <w:gridSpan w:val="2"/>
            <w:tcBorders>
              <w:top w:val="single" w:sz="4" w:space="0" w:color="auto"/>
              <w:left w:val="nil"/>
              <w:bottom w:val="single" w:sz="4" w:space="0" w:color="auto"/>
              <w:right w:val="single" w:sz="4" w:space="0" w:color="auto"/>
            </w:tcBorders>
            <w:shd w:val="clear" w:color="000000" w:fill="C2D69B"/>
            <w:vAlign w:val="center"/>
            <w:hideMark/>
          </w:tcPr>
          <w:p w14:paraId="30B9A3A3" w14:textId="77777777" w:rsidR="00B02352" w:rsidRPr="005F36E3" w:rsidRDefault="00B02352" w:rsidP="00B02352">
            <w:pPr>
              <w:spacing w:after="0"/>
              <w:jc w:val="left"/>
              <w:rPr>
                <w:rFonts w:asciiTheme="majorHAnsi" w:eastAsia="Times New Roman" w:hAnsiTheme="majorHAnsi"/>
                <w:b/>
                <w:bCs/>
                <w:color w:val="000000"/>
                <w:sz w:val="18"/>
                <w:szCs w:val="18"/>
              </w:rPr>
            </w:pPr>
            <w:r w:rsidRPr="005F36E3">
              <w:rPr>
                <w:rFonts w:asciiTheme="majorHAnsi" w:eastAsia="Times New Roman" w:hAnsiTheme="majorHAnsi"/>
                <w:b/>
                <w:bCs/>
                <w:color w:val="000000"/>
                <w:sz w:val="18"/>
                <w:szCs w:val="18"/>
              </w:rPr>
              <w:t>Comments</w:t>
            </w:r>
          </w:p>
        </w:tc>
        <w:tc>
          <w:tcPr>
            <w:tcW w:w="2430" w:type="dxa"/>
            <w:gridSpan w:val="2"/>
            <w:tcBorders>
              <w:top w:val="single" w:sz="4" w:space="0" w:color="auto"/>
              <w:left w:val="nil"/>
              <w:bottom w:val="single" w:sz="4" w:space="0" w:color="auto"/>
              <w:right w:val="single" w:sz="4" w:space="0" w:color="auto"/>
            </w:tcBorders>
            <w:shd w:val="clear" w:color="000000" w:fill="C2D69B"/>
            <w:vAlign w:val="center"/>
          </w:tcPr>
          <w:p w14:paraId="5CC770A4" w14:textId="77777777" w:rsidR="00B02352" w:rsidRPr="005F36E3" w:rsidRDefault="00B02352" w:rsidP="00B02352">
            <w:pPr>
              <w:spacing w:after="0"/>
              <w:jc w:val="left"/>
              <w:rPr>
                <w:rFonts w:asciiTheme="majorHAnsi" w:eastAsia="Times New Roman" w:hAnsiTheme="majorHAnsi"/>
                <w:b/>
                <w:bCs/>
                <w:color w:val="000000"/>
                <w:sz w:val="18"/>
                <w:szCs w:val="18"/>
              </w:rPr>
            </w:pPr>
            <w:r w:rsidRPr="005F36E3">
              <w:rPr>
                <w:rFonts w:asciiTheme="majorHAnsi" w:eastAsia="Times New Roman" w:hAnsiTheme="majorHAnsi"/>
                <w:b/>
                <w:bCs/>
                <w:color w:val="000000"/>
                <w:sz w:val="18"/>
                <w:szCs w:val="18"/>
              </w:rPr>
              <w:t>Next Steps</w:t>
            </w:r>
          </w:p>
        </w:tc>
        <w:tc>
          <w:tcPr>
            <w:tcW w:w="990" w:type="dxa"/>
            <w:gridSpan w:val="2"/>
            <w:tcBorders>
              <w:top w:val="single" w:sz="4" w:space="0" w:color="auto"/>
              <w:left w:val="nil"/>
              <w:bottom w:val="single" w:sz="4" w:space="0" w:color="auto"/>
              <w:right w:val="single" w:sz="4" w:space="0" w:color="auto"/>
            </w:tcBorders>
            <w:shd w:val="clear" w:color="000000" w:fill="C2D69B"/>
            <w:vAlign w:val="center"/>
          </w:tcPr>
          <w:p w14:paraId="6A3927E8" w14:textId="77777777" w:rsidR="00B02352" w:rsidRPr="005F36E3" w:rsidRDefault="00B02352" w:rsidP="00B02352">
            <w:pPr>
              <w:spacing w:after="0"/>
              <w:jc w:val="left"/>
              <w:rPr>
                <w:rFonts w:asciiTheme="majorHAnsi" w:eastAsia="Times New Roman" w:hAnsiTheme="majorHAnsi"/>
                <w:b/>
                <w:bCs/>
                <w:color w:val="000000"/>
                <w:sz w:val="18"/>
                <w:szCs w:val="18"/>
              </w:rPr>
            </w:pPr>
            <w:r w:rsidRPr="005F36E3">
              <w:rPr>
                <w:rFonts w:asciiTheme="majorHAnsi" w:eastAsia="Times New Roman" w:hAnsiTheme="majorHAnsi"/>
                <w:b/>
                <w:bCs/>
                <w:color w:val="000000"/>
                <w:sz w:val="18"/>
                <w:szCs w:val="18"/>
              </w:rPr>
              <w:t>Contribution to which Outcome</w:t>
            </w:r>
          </w:p>
          <w:p w14:paraId="2DBCD170" w14:textId="77777777" w:rsidR="00B02352" w:rsidRPr="005F36E3" w:rsidRDefault="00B02352" w:rsidP="00B02352">
            <w:pPr>
              <w:spacing w:after="0"/>
              <w:jc w:val="left"/>
              <w:rPr>
                <w:rFonts w:asciiTheme="majorHAnsi" w:eastAsia="Times New Roman" w:hAnsiTheme="majorHAnsi"/>
                <w:b/>
                <w:bCs/>
                <w:color w:val="000000"/>
                <w:sz w:val="18"/>
                <w:szCs w:val="18"/>
              </w:rPr>
            </w:pPr>
          </w:p>
        </w:tc>
      </w:tr>
      <w:tr w:rsidR="00B02352" w:rsidRPr="005F36E3" w14:paraId="4F3DED51" w14:textId="77777777" w:rsidTr="00A35929">
        <w:trPr>
          <w:trHeight w:val="240"/>
        </w:trPr>
        <w:tc>
          <w:tcPr>
            <w:tcW w:w="10639" w:type="dxa"/>
            <w:gridSpan w:val="8"/>
            <w:tcBorders>
              <w:top w:val="single" w:sz="4" w:space="0" w:color="auto"/>
              <w:left w:val="single" w:sz="4" w:space="0" w:color="auto"/>
              <w:bottom w:val="single" w:sz="4" w:space="0" w:color="auto"/>
              <w:right w:val="nil"/>
            </w:tcBorders>
            <w:shd w:val="clear" w:color="000000" w:fill="D6E3BC"/>
            <w:hideMark/>
          </w:tcPr>
          <w:p w14:paraId="19334314" w14:textId="77777777" w:rsidR="00B02352" w:rsidRPr="005F36E3" w:rsidRDefault="00B02352" w:rsidP="00B02352">
            <w:pPr>
              <w:spacing w:after="0"/>
              <w:jc w:val="left"/>
              <w:rPr>
                <w:rFonts w:asciiTheme="majorHAnsi" w:eastAsia="Times New Roman" w:hAnsiTheme="majorHAnsi"/>
                <w:b/>
                <w:bCs/>
                <w:color w:val="000000"/>
                <w:sz w:val="18"/>
                <w:szCs w:val="18"/>
              </w:rPr>
            </w:pPr>
            <w:r w:rsidRPr="005F36E3">
              <w:rPr>
                <w:rFonts w:asciiTheme="majorHAnsi" w:eastAsia="Times New Roman" w:hAnsiTheme="majorHAnsi"/>
                <w:b/>
                <w:bCs/>
                <w:color w:val="000000"/>
                <w:sz w:val="18"/>
                <w:szCs w:val="18"/>
              </w:rPr>
              <w:t>CR 1: Capacities for engagement</w:t>
            </w:r>
          </w:p>
        </w:tc>
        <w:tc>
          <w:tcPr>
            <w:tcW w:w="2430" w:type="dxa"/>
            <w:gridSpan w:val="2"/>
            <w:tcBorders>
              <w:top w:val="single" w:sz="4" w:space="0" w:color="auto"/>
              <w:left w:val="single" w:sz="4" w:space="0" w:color="auto"/>
              <w:bottom w:val="single" w:sz="4" w:space="0" w:color="auto"/>
              <w:right w:val="nil"/>
            </w:tcBorders>
            <w:shd w:val="clear" w:color="000000" w:fill="D6E3BC"/>
          </w:tcPr>
          <w:p w14:paraId="5EA127B6"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990" w:type="dxa"/>
            <w:gridSpan w:val="2"/>
            <w:tcBorders>
              <w:top w:val="single" w:sz="4" w:space="0" w:color="auto"/>
              <w:left w:val="single" w:sz="4" w:space="0" w:color="auto"/>
              <w:bottom w:val="single" w:sz="4" w:space="0" w:color="auto"/>
              <w:right w:val="nil"/>
            </w:tcBorders>
            <w:shd w:val="clear" w:color="000000" w:fill="D6E3BC"/>
            <w:vAlign w:val="center"/>
          </w:tcPr>
          <w:p w14:paraId="677D5BF6" w14:textId="77777777" w:rsidR="00B02352" w:rsidRPr="005F36E3" w:rsidRDefault="00B02352" w:rsidP="00B02352">
            <w:pPr>
              <w:spacing w:after="0"/>
              <w:jc w:val="left"/>
              <w:rPr>
                <w:rFonts w:asciiTheme="majorHAnsi" w:eastAsia="Times New Roman" w:hAnsiTheme="majorHAnsi"/>
                <w:b/>
                <w:bCs/>
                <w:color w:val="000000"/>
                <w:sz w:val="18"/>
                <w:szCs w:val="18"/>
              </w:rPr>
            </w:pPr>
          </w:p>
        </w:tc>
      </w:tr>
      <w:tr w:rsidR="00B02352" w:rsidRPr="005F36E3" w14:paraId="0D848137" w14:textId="77777777" w:rsidTr="005F36E3">
        <w:trPr>
          <w:trHeight w:val="720"/>
        </w:trPr>
        <w:tc>
          <w:tcPr>
            <w:tcW w:w="1345" w:type="dxa"/>
            <w:vMerge w:val="restart"/>
            <w:tcBorders>
              <w:top w:val="nil"/>
              <w:left w:val="single" w:sz="4" w:space="0" w:color="auto"/>
              <w:bottom w:val="single" w:sz="4" w:space="0" w:color="000000"/>
              <w:right w:val="single" w:sz="4" w:space="0" w:color="auto"/>
            </w:tcBorders>
            <w:shd w:val="clear" w:color="auto" w:fill="auto"/>
            <w:hideMark/>
          </w:tcPr>
          <w:p w14:paraId="15C62D6C" w14:textId="77777777" w:rsidR="00B02352" w:rsidRPr="005F36E3" w:rsidRDefault="00B02352" w:rsidP="00B02352">
            <w:pPr>
              <w:spacing w:after="0"/>
              <w:jc w:val="left"/>
              <w:rPr>
                <w:rFonts w:asciiTheme="majorHAnsi" w:eastAsia="Times New Roman" w:hAnsiTheme="majorHAnsi"/>
                <w:b/>
                <w:bCs/>
                <w:color w:val="000000"/>
                <w:sz w:val="18"/>
                <w:szCs w:val="18"/>
              </w:rPr>
            </w:pPr>
            <w:r w:rsidRPr="005F36E3">
              <w:rPr>
                <w:rFonts w:asciiTheme="majorHAnsi" w:eastAsia="Times New Roman" w:hAnsiTheme="majorHAnsi"/>
                <w:b/>
                <w:bCs/>
                <w:color w:val="000000"/>
                <w:sz w:val="18"/>
                <w:szCs w:val="18"/>
              </w:rPr>
              <w:t>1.1. Degree of legitimacy/ mandate of lead environmental organizations</w:t>
            </w:r>
          </w:p>
        </w:tc>
        <w:tc>
          <w:tcPr>
            <w:tcW w:w="3083" w:type="dxa"/>
            <w:tcBorders>
              <w:top w:val="nil"/>
              <w:left w:val="nil"/>
              <w:bottom w:val="single" w:sz="4" w:space="0" w:color="auto"/>
              <w:right w:val="single" w:sz="4" w:space="0" w:color="auto"/>
            </w:tcBorders>
            <w:shd w:val="clear" w:color="auto" w:fill="auto"/>
            <w:vAlign w:val="center"/>
            <w:hideMark/>
          </w:tcPr>
          <w:p w14:paraId="6EC93869" w14:textId="173B5AC9"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Organizational responsibilities for environmental mana</w:t>
            </w:r>
            <w:r w:rsidR="005F36E3" w:rsidRPr="005F36E3">
              <w:rPr>
                <w:rFonts w:asciiTheme="majorHAnsi" w:eastAsia="Times New Roman" w:hAnsiTheme="majorHAnsi" w:cs="Arial"/>
                <w:color w:val="000000"/>
                <w:sz w:val="18"/>
                <w:szCs w:val="18"/>
              </w:rPr>
              <w:t xml:space="preserve">gement are not clearly defined </w:t>
            </w:r>
          </w:p>
        </w:tc>
        <w:tc>
          <w:tcPr>
            <w:tcW w:w="810" w:type="dxa"/>
            <w:tcBorders>
              <w:top w:val="nil"/>
              <w:left w:val="nil"/>
              <w:bottom w:val="single" w:sz="4" w:space="0" w:color="auto"/>
              <w:right w:val="single" w:sz="4" w:space="0" w:color="auto"/>
            </w:tcBorders>
            <w:shd w:val="clear" w:color="auto" w:fill="auto"/>
            <w:noWrap/>
            <w:vAlign w:val="bottom"/>
            <w:hideMark/>
          </w:tcPr>
          <w:p w14:paraId="38860C7B"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0</w:t>
            </w:r>
          </w:p>
        </w:tc>
        <w:tc>
          <w:tcPr>
            <w:tcW w:w="9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9999BD"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AB8CF9"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8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4C17D5"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2881" w:type="dxa"/>
            <w:gridSpan w:val="2"/>
            <w:vMerge w:val="restart"/>
            <w:tcBorders>
              <w:top w:val="nil"/>
              <w:left w:val="single" w:sz="4" w:space="0" w:color="auto"/>
              <w:bottom w:val="single" w:sz="4" w:space="0" w:color="000000"/>
              <w:right w:val="single" w:sz="4" w:space="0" w:color="auto"/>
            </w:tcBorders>
            <w:shd w:val="clear" w:color="auto" w:fill="auto"/>
            <w:noWrap/>
            <w:hideMark/>
          </w:tcPr>
          <w:p w14:paraId="713C64F5" w14:textId="5541F333"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 xml:space="preserve">MNRET seen as legitimate, but with capacity gaps. Fish and Wildlife has </w:t>
            </w:r>
            <w:r w:rsidR="005F36E3">
              <w:rPr>
                <w:rFonts w:asciiTheme="majorHAnsi" w:eastAsia="Times New Roman" w:hAnsiTheme="majorHAnsi"/>
                <w:color w:val="000000"/>
                <w:sz w:val="18"/>
                <w:szCs w:val="18"/>
              </w:rPr>
              <w:t xml:space="preserve">a </w:t>
            </w:r>
            <w:r w:rsidRPr="005F36E3">
              <w:rPr>
                <w:rFonts w:asciiTheme="majorHAnsi" w:eastAsia="Times New Roman" w:hAnsiTheme="majorHAnsi"/>
                <w:color w:val="000000"/>
                <w:sz w:val="18"/>
                <w:szCs w:val="18"/>
              </w:rPr>
              <w:t>mandate but often not seen as legitimate or effective. Oftentimes NGOS are confused for regulatory agencies. Newer legislation such as PAN and Biosecurity has identified clear roles and responsibilities of key agencies and recent reorganizations of government agencies has further clarified roles and reduced redundancies, although not filled gaps. A key gap is an authority on Land Use/Terrestrial Use and Landscape Planning. Community-based and State-based stakeholders are not aware of all relevant organizations and their roles.</w:t>
            </w:r>
          </w:p>
        </w:tc>
        <w:tc>
          <w:tcPr>
            <w:tcW w:w="2430" w:type="dxa"/>
            <w:gridSpan w:val="2"/>
            <w:vMerge w:val="restart"/>
            <w:tcBorders>
              <w:top w:val="nil"/>
              <w:left w:val="single" w:sz="4" w:space="0" w:color="auto"/>
              <w:right w:val="single" w:sz="4" w:space="0" w:color="auto"/>
            </w:tcBorders>
          </w:tcPr>
          <w:p w14:paraId="34FA0A88"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Increase awareness of Biosecurity authorities through regulations, awareness, and training. Establish a NEPC subcommittee with the authority to oversee landscape and seascape planning. Establish the foundations of an eventual Environmental Planning Unit within MNRET to oversee Landscape Planning and implementation. Clarify the role of EQPB.</w:t>
            </w:r>
          </w:p>
        </w:tc>
        <w:tc>
          <w:tcPr>
            <w:tcW w:w="990" w:type="dxa"/>
            <w:gridSpan w:val="2"/>
            <w:vMerge w:val="restart"/>
            <w:tcBorders>
              <w:top w:val="nil"/>
              <w:left w:val="single" w:sz="4" w:space="0" w:color="auto"/>
              <w:right w:val="single" w:sz="4" w:space="0" w:color="auto"/>
            </w:tcBorders>
            <w:vAlign w:val="center"/>
          </w:tcPr>
          <w:p w14:paraId="7772E33D"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1 and 4</w:t>
            </w:r>
          </w:p>
        </w:tc>
      </w:tr>
      <w:tr w:rsidR="00B02352" w:rsidRPr="005F36E3" w14:paraId="586F8CDD" w14:textId="77777777" w:rsidTr="005F36E3">
        <w:trPr>
          <w:trHeight w:val="240"/>
        </w:trPr>
        <w:tc>
          <w:tcPr>
            <w:tcW w:w="1345" w:type="dxa"/>
            <w:vMerge/>
            <w:tcBorders>
              <w:top w:val="nil"/>
              <w:left w:val="single" w:sz="4" w:space="0" w:color="auto"/>
              <w:bottom w:val="single" w:sz="4" w:space="0" w:color="000000"/>
              <w:right w:val="single" w:sz="4" w:space="0" w:color="auto"/>
            </w:tcBorders>
            <w:vAlign w:val="center"/>
            <w:hideMark/>
          </w:tcPr>
          <w:p w14:paraId="2F5DDDBE"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3F1095CB" w14:textId="696869BF"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Organizational responsibilities for environme</w:t>
            </w:r>
            <w:r w:rsidR="005F36E3">
              <w:rPr>
                <w:rFonts w:asciiTheme="majorHAnsi" w:eastAsia="Times New Roman" w:hAnsiTheme="majorHAnsi" w:cs="Arial"/>
                <w:color w:val="000000"/>
                <w:sz w:val="18"/>
                <w:szCs w:val="18"/>
              </w:rPr>
              <w:t xml:space="preserve">ntal management are identified </w:t>
            </w:r>
          </w:p>
        </w:tc>
        <w:tc>
          <w:tcPr>
            <w:tcW w:w="810" w:type="dxa"/>
            <w:tcBorders>
              <w:top w:val="nil"/>
              <w:left w:val="nil"/>
              <w:bottom w:val="single" w:sz="4" w:space="0" w:color="auto"/>
              <w:right w:val="single" w:sz="4" w:space="0" w:color="auto"/>
            </w:tcBorders>
            <w:shd w:val="clear" w:color="auto" w:fill="auto"/>
            <w:noWrap/>
            <w:vAlign w:val="bottom"/>
            <w:hideMark/>
          </w:tcPr>
          <w:p w14:paraId="7A4F696E"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1</w:t>
            </w:r>
          </w:p>
        </w:tc>
        <w:tc>
          <w:tcPr>
            <w:tcW w:w="990" w:type="dxa"/>
            <w:vMerge/>
            <w:tcBorders>
              <w:top w:val="nil"/>
              <w:left w:val="single" w:sz="4" w:space="0" w:color="auto"/>
              <w:bottom w:val="single" w:sz="4" w:space="0" w:color="000000"/>
              <w:right w:val="single" w:sz="4" w:space="0" w:color="auto"/>
            </w:tcBorders>
            <w:vAlign w:val="center"/>
            <w:hideMark/>
          </w:tcPr>
          <w:p w14:paraId="538C9540"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53468E7E"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54D5543C"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170D612F"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right w:val="single" w:sz="4" w:space="0" w:color="auto"/>
            </w:tcBorders>
          </w:tcPr>
          <w:p w14:paraId="77560450"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right w:val="single" w:sz="4" w:space="0" w:color="auto"/>
            </w:tcBorders>
            <w:vAlign w:val="center"/>
          </w:tcPr>
          <w:p w14:paraId="39F072C4"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66DDDFC7" w14:textId="77777777" w:rsidTr="005F36E3">
        <w:trPr>
          <w:trHeight w:val="480"/>
        </w:trPr>
        <w:tc>
          <w:tcPr>
            <w:tcW w:w="1345" w:type="dxa"/>
            <w:vMerge/>
            <w:tcBorders>
              <w:top w:val="nil"/>
              <w:left w:val="single" w:sz="4" w:space="0" w:color="auto"/>
              <w:bottom w:val="single" w:sz="4" w:space="0" w:color="000000"/>
              <w:right w:val="single" w:sz="4" w:space="0" w:color="auto"/>
            </w:tcBorders>
            <w:vAlign w:val="center"/>
            <w:hideMark/>
          </w:tcPr>
          <w:p w14:paraId="4A7BD4F3"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0BA53FE1" w14:textId="6D6656AD"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Authority and legitimacy of all lead organizations responsible for environmental management are partially recognized by stakehold</w:t>
            </w:r>
            <w:r w:rsidR="005F36E3">
              <w:rPr>
                <w:rFonts w:asciiTheme="majorHAnsi" w:eastAsia="Times New Roman" w:hAnsiTheme="majorHAnsi" w:cs="Arial"/>
                <w:color w:val="000000"/>
                <w:sz w:val="18"/>
                <w:szCs w:val="18"/>
              </w:rPr>
              <w:t xml:space="preserve">ers </w:t>
            </w:r>
          </w:p>
        </w:tc>
        <w:tc>
          <w:tcPr>
            <w:tcW w:w="810" w:type="dxa"/>
            <w:tcBorders>
              <w:top w:val="nil"/>
              <w:left w:val="nil"/>
              <w:bottom w:val="single" w:sz="4" w:space="0" w:color="auto"/>
              <w:right w:val="single" w:sz="4" w:space="0" w:color="auto"/>
            </w:tcBorders>
            <w:shd w:val="clear" w:color="auto" w:fill="auto"/>
            <w:noWrap/>
            <w:vAlign w:val="bottom"/>
            <w:hideMark/>
          </w:tcPr>
          <w:p w14:paraId="5D9046CB"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990" w:type="dxa"/>
            <w:vMerge/>
            <w:tcBorders>
              <w:top w:val="nil"/>
              <w:left w:val="single" w:sz="4" w:space="0" w:color="auto"/>
              <w:bottom w:val="single" w:sz="4" w:space="0" w:color="000000"/>
              <w:right w:val="single" w:sz="4" w:space="0" w:color="auto"/>
            </w:tcBorders>
            <w:vAlign w:val="center"/>
            <w:hideMark/>
          </w:tcPr>
          <w:p w14:paraId="02F8D276"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1EAE9DE2"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2BEBB69B"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0CC91813"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right w:val="single" w:sz="4" w:space="0" w:color="auto"/>
            </w:tcBorders>
          </w:tcPr>
          <w:p w14:paraId="19AD5A7C"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right w:val="single" w:sz="4" w:space="0" w:color="auto"/>
            </w:tcBorders>
            <w:vAlign w:val="center"/>
          </w:tcPr>
          <w:p w14:paraId="2A7508C3"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02F07514" w14:textId="77777777" w:rsidTr="005F36E3">
        <w:trPr>
          <w:trHeight w:val="480"/>
        </w:trPr>
        <w:tc>
          <w:tcPr>
            <w:tcW w:w="1345" w:type="dxa"/>
            <w:vMerge/>
            <w:tcBorders>
              <w:top w:val="nil"/>
              <w:left w:val="single" w:sz="4" w:space="0" w:color="auto"/>
              <w:bottom w:val="single" w:sz="4" w:space="0" w:color="000000"/>
              <w:right w:val="single" w:sz="4" w:space="0" w:color="auto"/>
            </w:tcBorders>
            <w:vAlign w:val="center"/>
            <w:hideMark/>
          </w:tcPr>
          <w:p w14:paraId="68DEC54F"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454456BE" w14:textId="5A163C0A"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Authority and legitimacy of all lead organizations responsible for environmental managem</w:t>
            </w:r>
            <w:r w:rsidR="005F36E3">
              <w:rPr>
                <w:rFonts w:asciiTheme="majorHAnsi" w:eastAsia="Times New Roman" w:hAnsiTheme="majorHAnsi" w:cs="Arial"/>
                <w:color w:val="000000"/>
                <w:sz w:val="18"/>
                <w:szCs w:val="18"/>
              </w:rPr>
              <w:t xml:space="preserve">ent recognized by stakeholders </w:t>
            </w:r>
          </w:p>
        </w:tc>
        <w:tc>
          <w:tcPr>
            <w:tcW w:w="810" w:type="dxa"/>
            <w:tcBorders>
              <w:top w:val="nil"/>
              <w:left w:val="nil"/>
              <w:bottom w:val="single" w:sz="4" w:space="0" w:color="auto"/>
              <w:right w:val="single" w:sz="4" w:space="0" w:color="auto"/>
            </w:tcBorders>
            <w:shd w:val="clear" w:color="auto" w:fill="auto"/>
            <w:noWrap/>
            <w:vAlign w:val="bottom"/>
            <w:hideMark/>
          </w:tcPr>
          <w:p w14:paraId="69C09834"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3</w:t>
            </w:r>
          </w:p>
        </w:tc>
        <w:tc>
          <w:tcPr>
            <w:tcW w:w="990" w:type="dxa"/>
            <w:vMerge/>
            <w:tcBorders>
              <w:top w:val="nil"/>
              <w:left w:val="single" w:sz="4" w:space="0" w:color="auto"/>
              <w:bottom w:val="single" w:sz="4" w:space="0" w:color="000000"/>
              <w:right w:val="single" w:sz="4" w:space="0" w:color="auto"/>
            </w:tcBorders>
            <w:vAlign w:val="center"/>
            <w:hideMark/>
          </w:tcPr>
          <w:p w14:paraId="1C9BF349"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25D0FCAE"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5D7A6BC9"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3C85F049"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bottom w:val="single" w:sz="4" w:space="0" w:color="000000"/>
              <w:right w:val="single" w:sz="4" w:space="0" w:color="auto"/>
            </w:tcBorders>
          </w:tcPr>
          <w:p w14:paraId="795FFA6E"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bottom w:val="single" w:sz="4" w:space="0" w:color="000000"/>
              <w:right w:val="single" w:sz="4" w:space="0" w:color="auto"/>
            </w:tcBorders>
            <w:vAlign w:val="center"/>
          </w:tcPr>
          <w:p w14:paraId="72174CF6"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1044CE21" w14:textId="77777777" w:rsidTr="005F36E3">
        <w:trPr>
          <w:trHeight w:val="480"/>
        </w:trPr>
        <w:tc>
          <w:tcPr>
            <w:tcW w:w="1345" w:type="dxa"/>
            <w:vMerge w:val="restart"/>
            <w:tcBorders>
              <w:top w:val="nil"/>
              <w:left w:val="single" w:sz="4" w:space="0" w:color="auto"/>
              <w:bottom w:val="single" w:sz="4" w:space="0" w:color="000000"/>
              <w:right w:val="single" w:sz="4" w:space="0" w:color="auto"/>
            </w:tcBorders>
            <w:shd w:val="clear" w:color="auto" w:fill="auto"/>
            <w:hideMark/>
          </w:tcPr>
          <w:p w14:paraId="5DC82F8B" w14:textId="77777777" w:rsidR="00B02352" w:rsidRPr="005F36E3" w:rsidRDefault="00B02352" w:rsidP="00B02352">
            <w:pPr>
              <w:spacing w:after="0"/>
              <w:jc w:val="left"/>
              <w:rPr>
                <w:rFonts w:asciiTheme="majorHAnsi" w:eastAsia="Times New Roman" w:hAnsiTheme="majorHAnsi"/>
                <w:b/>
                <w:bCs/>
                <w:color w:val="000000"/>
                <w:sz w:val="18"/>
                <w:szCs w:val="18"/>
              </w:rPr>
            </w:pPr>
            <w:r w:rsidRPr="005F36E3">
              <w:rPr>
                <w:rFonts w:asciiTheme="majorHAnsi" w:eastAsia="Times New Roman" w:hAnsiTheme="majorHAnsi"/>
                <w:b/>
                <w:bCs/>
                <w:color w:val="000000"/>
                <w:sz w:val="18"/>
                <w:szCs w:val="18"/>
              </w:rPr>
              <w:t>1.2 Existence of operational co-management mechanisms</w:t>
            </w:r>
          </w:p>
        </w:tc>
        <w:tc>
          <w:tcPr>
            <w:tcW w:w="3083" w:type="dxa"/>
            <w:tcBorders>
              <w:top w:val="nil"/>
              <w:left w:val="nil"/>
              <w:bottom w:val="single" w:sz="4" w:space="0" w:color="auto"/>
              <w:right w:val="single" w:sz="4" w:space="0" w:color="auto"/>
            </w:tcBorders>
            <w:shd w:val="clear" w:color="auto" w:fill="auto"/>
            <w:vAlign w:val="center"/>
            <w:hideMark/>
          </w:tcPr>
          <w:p w14:paraId="63D4D8F0" w14:textId="7DA21E3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No co-mana</w:t>
            </w:r>
            <w:r w:rsidR="005F36E3">
              <w:rPr>
                <w:rFonts w:asciiTheme="majorHAnsi" w:eastAsia="Times New Roman" w:hAnsiTheme="majorHAnsi" w:cs="Arial"/>
                <w:color w:val="000000"/>
                <w:sz w:val="18"/>
                <w:szCs w:val="18"/>
              </w:rPr>
              <w:t xml:space="preserve">gement mechanisms are in place </w:t>
            </w:r>
          </w:p>
        </w:tc>
        <w:tc>
          <w:tcPr>
            <w:tcW w:w="810" w:type="dxa"/>
            <w:tcBorders>
              <w:top w:val="nil"/>
              <w:left w:val="nil"/>
              <w:bottom w:val="single" w:sz="4" w:space="0" w:color="auto"/>
              <w:right w:val="single" w:sz="4" w:space="0" w:color="auto"/>
            </w:tcBorders>
            <w:shd w:val="clear" w:color="auto" w:fill="auto"/>
            <w:noWrap/>
            <w:vAlign w:val="bottom"/>
            <w:hideMark/>
          </w:tcPr>
          <w:p w14:paraId="7793602D"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0</w:t>
            </w:r>
          </w:p>
        </w:tc>
        <w:tc>
          <w:tcPr>
            <w:tcW w:w="9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DD9B40"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1</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99DEA9"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1</w:t>
            </w:r>
          </w:p>
        </w:tc>
        <w:tc>
          <w:tcPr>
            <w:tcW w:w="8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FFCF56"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2881" w:type="dxa"/>
            <w:gridSpan w:val="2"/>
            <w:vMerge w:val="restart"/>
            <w:tcBorders>
              <w:top w:val="nil"/>
              <w:left w:val="single" w:sz="4" w:space="0" w:color="auto"/>
              <w:bottom w:val="single" w:sz="4" w:space="0" w:color="000000"/>
              <w:right w:val="single" w:sz="4" w:space="0" w:color="auto"/>
            </w:tcBorders>
            <w:shd w:val="clear" w:color="auto" w:fill="auto"/>
            <w:noWrap/>
            <w:hideMark/>
          </w:tcPr>
          <w:p w14:paraId="3CC1FD32"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PAN Management Committee involves relationships with agencies, and these are formal.</w:t>
            </w:r>
          </w:p>
          <w:p w14:paraId="791B30AA" w14:textId="77777777" w:rsidR="00B02352" w:rsidRPr="005F36E3" w:rsidRDefault="00B02352" w:rsidP="00B02352">
            <w:pPr>
              <w:spacing w:after="0"/>
              <w:jc w:val="left"/>
              <w:rPr>
                <w:rFonts w:asciiTheme="majorHAnsi" w:eastAsia="Times New Roman" w:hAnsiTheme="majorHAnsi"/>
                <w:color w:val="000000"/>
                <w:sz w:val="18"/>
                <w:szCs w:val="18"/>
              </w:rPr>
            </w:pPr>
          </w:p>
          <w:p w14:paraId="2326F13B"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 xml:space="preserve">NEPC is formal, but not co-management. </w:t>
            </w:r>
          </w:p>
          <w:p w14:paraId="2801277F" w14:textId="77777777" w:rsidR="00B02352" w:rsidRPr="005F36E3" w:rsidRDefault="00B02352" w:rsidP="00B02352">
            <w:pPr>
              <w:spacing w:after="0"/>
              <w:jc w:val="left"/>
              <w:rPr>
                <w:rFonts w:asciiTheme="majorHAnsi" w:eastAsia="Times New Roman" w:hAnsiTheme="majorHAnsi"/>
                <w:color w:val="000000"/>
                <w:sz w:val="18"/>
                <w:szCs w:val="18"/>
              </w:rPr>
            </w:pPr>
          </w:p>
          <w:p w14:paraId="4F54FC6A"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There are numerous established relationships but no understanding of what co-management needs exist.</w:t>
            </w:r>
          </w:p>
        </w:tc>
        <w:tc>
          <w:tcPr>
            <w:tcW w:w="2430" w:type="dxa"/>
            <w:gridSpan w:val="2"/>
            <w:vMerge w:val="restart"/>
            <w:tcBorders>
              <w:top w:val="nil"/>
              <w:left w:val="single" w:sz="4" w:space="0" w:color="auto"/>
              <w:right w:val="single" w:sz="4" w:space="0" w:color="auto"/>
            </w:tcBorders>
          </w:tcPr>
          <w:p w14:paraId="0A646114"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 xml:space="preserve">Identify co-management needs for Biosecurity and Landscape Planning and Implementation. </w:t>
            </w:r>
          </w:p>
          <w:p w14:paraId="47ECE554" w14:textId="77777777" w:rsidR="00B02352" w:rsidRPr="005F36E3" w:rsidRDefault="00B02352" w:rsidP="00B02352">
            <w:pPr>
              <w:spacing w:after="0"/>
              <w:jc w:val="left"/>
              <w:rPr>
                <w:rFonts w:asciiTheme="majorHAnsi" w:eastAsia="Times New Roman" w:hAnsiTheme="majorHAnsi"/>
                <w:color w:val="000000"/>
                <w:sz w:val="18"/>
                <w:szCs w:val="18"/>
              </w:rPr>
            </w:pPr>
          </w:p>
          <w:p w14:paraId="66268FAB"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Identify and test co-management schemes for best practices on the ground in states within the 5 key sectors.</w:t>
            </w:r>
          </w:p>
        </w:tc>
        <w:tc>
          <w:tcPr>
            <w:tcW w:w="990" w:type="dxa"/>
            <w:gridSpan w:val="2"/>
            <w:vMerge w:val="restart"/>
            <w:tcBorders>
              <w:top w:val="nil"/>
              <w:left w:val="single" w:sz="4" w:space="0" w:color="auto"/>
              <w:right w:val="single" w:sz="4" w:space="0" w:color="auto"/>
            </w:tcBorders>
            <w:vAlign w:val="center"/>
          </w:tcPr>
          <w:p w14:paraId="70629040"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1, 2, and 3</w:t>
            </w:r>
          </w:p>
        </w:tc>
      </w:tr>
      <w:tr w:rsidR="00B02352" w:rsidRPr="005F36E3" w14:paraId="322A752F" w14:textId="77777777" w:rsidTr="005F36E3">
        <w:trPr>
          <w:trHeight w:val="240"/>
        </w:trPr>
        <w:tc>
          <w:tcPr>
            <w:tcW w:w="1345" w:type="dxa"/>
            <w:vMerge/>
            <w:tcBorders>
              <w:top w:val="nil"/>
              <w:left w:val="single" w:sz="4" w:space="0" w:color="auto"/>
              <w:bottom w:val="single" w:sz="4" w:space="0" w:color="000000"/>
              <w:right w:val="single" w:sz="4" w:space="0" w:color="auto"/>
            </w:tcBorders>
            <w:vAlign w:val="center"/>
            <w:hideMark/>
          </w:tcPr>
          <w:p w14:paraId="3AA48A9A"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5565FBC7" w14:textId="4FEA8B56"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Some co-management mechanism</w:t>
            </w:r>
            <w:r w:rsidR="005F36E3">
              <w:rPr>
                <w:rFonts w:asciiTheme="majorHAnsi" w:eastAsia="Times New Roman" w:hAnsiTheme="majorHAnsi" w:cs="Arial"/>
                <w:color w:val="000000"/>
                <w:sz w:val="18"/>
                <w:szCs w:val="18"/>
              </w:rPr>
              <w:t xml:space="preserve">s are in place and operational </w:t>
            </w:r>
          </w:p>
        </w:tc>
        <w:tc>
          <w:tcPr>
            <w:tcW w:w="810" w:type="dxa"/>
            <w:tcBorders>
              <w:top w:val="nil"/>
              <w:left w:val="nil"/>
              <w:bottom w:val="single" w:sz="4" w:space="0" w:color="auto"/>
              <w:right w:val="single" w:sz="4" w:space="0" w:color="auto"/>
            </w:tcBorders>
            <w:shd w:val="clear" w:color="auto" w:fill="auto"/>
            <w:noWrap/>
            <w:vAlign w:val="bottom"/>
            <w:hideMark/>
          </w:tcPr>
          <w:p w14:paraId="4478E639"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1</w:t>
            </w:r>
          </w:p>
        </w:tc>
        <w:tc>
          <w:tcPr>
            <w:tcW w:w="990" w:type="dxa"/>
            <w:vMerge/>
            <w:tcBorders>
              <w:top w:val="nil"/>
              <w:left w:val="single" w:sz="4" w:space="0" w:color="auto"/>
              <w:bottom w:val="single" w:sz="4" w:space="0" w:color="000000"/>
              <w:right w:val="single" w:sz="4" w:space="0" w:color="auto"/>
            </w:tcBorders>
            <w:vAlign w:val="center"/>
            <w:hideMark/>
          </w:tcPr>
          <w:p w14:paraId="6D24E5E1"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3B93EC63"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34E07159"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216945F1"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right w:val="single" w:sz="4" w:space="0" w:color="auto"/>
            </w:tcBorders>
          </w:tcPr>
          <w:p w14:paraId="5EACE386"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right w:val="single" w:sz="4" w:space="0" w:color="auto"/>
            </w:tcBorders>
            <w:vAlign w:val="center"/>
          </w:tcPr>
          <w:p w14:paraId="29A175A1"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6FEC2985" w14:textId="77777777" w:rsidTr="005F36E3">
        <w:trPr>
          <w:trHeight w:val="240"/>
        </w:trPr>
        <w:tc>
          <w:tcPr>
            <w:tcW w:w="1345" w:type="dxa"/>
            <w:vMerge/>
            <w:tcBorders>
              <w:top w:val="nil"/>
              <w:left w:val="single" w:sz="4" w:space="0" w:color="auto"/>
              <w:bottom w:val="single" w:sz="4" w:space="0" w:color="000000"/>
              <w:right w:val="single" w:sz="4" w:space="0" w:color="auto"/>
            </w:tcBorders>
            <w:vAlign w:val="center"/>
            <w:hideMark/>
          </w:tcPr>
          <w:p w14:paraId="21DE61CB"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6B5A7ACA" w14:textId="043DE6A8"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Some co-management mechanisms are formally established through agreements, MOUs, etc</w:t>
            </w:r>
            <w:r w:rsidR="00194AA1" w:rsidRPr="005F36E3">
              <w:rPr>
                <w:rFonts w:asciiTheme="majorHAnsi" w:eastAsia="Times New Roman" w:hAnsiTheme="majorHAnsi" w:cs="Arial"/>
                <w:color w:val="00000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bottom"/>
            <w:hideMark/>
          </w:tcPr>
          <w:p w14:paraId="0925939E"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990" w:type="dxa"/>
            <w:vMerge/>
            <w:tcBorders>
              <w:top w:val="nil"/>
              <w:left w:val="single" w:sz="4" w:space="0" w:color="auto"/>
              <w:bottom w:val="single" w:sz="4" w:space="0" w:color="000000"/>
              <w:right w:val="single" w:sz="4" w:space="0" w:color="auto"/>
            </w:tcBorders>
            <w:vAlign w:val="center"/>
            <w:hideMark/>
          </w:tcPr>
          <w:p w14:paraId="019CCE2C"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779E232E"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08B89A92"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2D0E7F9F"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right w:val="single" w:sz="4" w:space="0" w:color="auto"/>
            </w:tcBorders>
          </w:tcPr>
          <w:p w14:paraId="2042D386"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right w:val="single" w:sz="4" w:space="0" w:color="auto"/>
            </w:tcBorders>
            <w:vAlign w:val="center"/>
          </w:tcPr>
          <w:p w14:paraId="3EB99093"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5AEC9CA7" w14:textId="77777777" w:rsidTr="005F36E3">
        <w:trPr>
          <w:trHeight w:val="240"/>
        </w:trPr>
        <w:tc>
          <w:tcPr>
            <w:tcW w:w="1345" w:type="dxa"/>
            <w:vMerge/>
            <w:tcBorders>
              <w:top w:val="nil"/>
              <w:left w:val="single" w:sz="4" w:space="0" w:color="auto"/>
              <w:bottom w:val="single" w:sz="4" w:space="0" w:color="000000"/>
              <w:right w:val="single" w:sz="4" w:space="0" w:color="auto"/>
            </w:tcBorders>
            <w:vAlign w:val="center"/>
            <w:hideMark/>
          </w:tcPr>
          <w:p w14:paraId="5201D684"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2B8F61E4" w14:textId="60B3F504"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Comprehensive co-management mechanisms are formally established </w:t>
            </w:r>
            <w:r w:rsidR="005F36E3">
              <w:rPr>
                <w:rFonts w:asciiTheme="majorHAnsi" w:eastAsia="Times New Roman" w:hAnsiTheme="majorHAnsi" w:cs="Arial"/>
                <w:color w:val="000000"/>
                <w:sz w:val="18"/>
                <w:szCs w:val="18"/>
              </w:rPr>
              <w:t xml:space="preserve">and are operational/functional </w:t>
            </w:r>
          </w:p>
        </w:tc>
        <w:tc>
          <w:tcPr>
            <w:tcW w:w="810" w:type="dxa"/>
            <w:tcBorders>
              <w:top w:val="nil"/>
              <w:left w:val="nil"/>
              <w:bottom w:val="single" w:sz="4" w:space="0" w:color="auto"/>
              <w:right w:val="single" w:sz="4" w:space="0" w:color="auto"/>
            </w:tcBorders>
            <w:shd w:val="clear" w:color="auto" w:fill="auto"/>
            <w:noWrap/>
            <w:vAlign w:val="bottom"/>
            <w:hideMark/>
          </w:tcPr>
          <w:p w14:paraId="36AB3CCC"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3</w:t>
            </w:r>
          </w:p>
        </w:tc>
        <w:tc>
          <w:tcPr>
            <w:tcW w:w="990" w:type="dxa"/>
            <w:vMerge/>
            <w:tcBorders>
              <w:top w:val="nil"/>
              <w:left w:val="single" w:sz="4" w:space="0" w:color="auto"/>
              <w:bottom w:val="single" w:sz="4" w:space="0" w:color="000000"/>
              <w:right w:val="single" w:sz="4" w:space="0" w:color="auto"/>
            </w:tcBorders>
            <w:vAlign w:val="center"/>
            <w:hideMark/>
          </w:tcPr>
          <w:p w14:paraId="62483733"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077A783F"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0063BEC4"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0D9A0952"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bottom w:val="single" w:sz="4" w:space="0" w:color="000000"/>
              <w:right w:val="single" w:sz="4" w:space="0" w:color="auto"/>
            </w:tcBorders>
          </w:tcPr>
          <w:p w14:paraId="69645765"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bottom w:val="single" w:sz="4" w:space="0" w:color="000000"/>
              <w:right w:val="single" w:sz="4" w:space="0" w:color="auto"/>
            </w:tcBorders>
            <w:vAlign w:val="center"/>
          </w:tcPr>
          <w:p w14:paraId="4979A646"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7C2123A3" w14:textId="77777777" w:rsidTr="005F36E3">
        <w:trPr>
          <w:trHeight w:val="480"/>
        </w:trPr>
        <w:tc>
          <w:tcPr>
            <w:tcW w:w="1345" w:type="dxa"/>
            <w:vMerge w:val="restart"/>
            <w:tcBorders>
              <w:top w:val="nil"/>
              <w:left w:val="single" w:sz="4" w:space="0" w:color="auto"/>
              <w:bottom w:val="single" w:sz="4" w:space="0" w:color="000000"/>
              <w:right w:val="single" w:sz="4" w:space="0" w:color="auto"/>
            </w:tcBorders>
            <w:shd w:val="clear" w:color="auto" w:fill="auto"/>
            <w:hideMark/>
          </w:tcPr>
          <w:p w14:paraId="4242889C" w14:textId="77777777" w:rsidR="00B02352" w:rsidRPr="005F36E3" w:rsidRDefault="00B02352" w:rsidP="00B02352">
            <w:pPr>
              <w:spacing w:after="0"/>
              <w:jc w:val="left"/>
              <w:rPr>
                <w:rFonts w:asciiTheme="majorHAnsi" w:eastAsia="Times New Roman" w:hAnsiTheme="majorHAnsi"/>
                <w:b/>
                <w:bCs/>
                <w:color w:val="000000"/>
                <w:sz w:val="18"/>
                <w:szCs w:val="18"/>
              </w:rPr>
            </w:pPr>
            <w:r w:rsidRPr="005F36E3">
              <w:rPr>
                <w:rFonts w:asciiTheme="majorHAnsi" w:eastAsia="Times New Roman" w:hAnsiTheme="majorHAnsi"/>
                <w:b/>
                <w:bCs/>
                <w:color w:val="000000"/>
                <w:sz w:val="18"/>
                <w:szCs w:val="18"/>
              </w:rPr>
              <w:t xml:space="preserve">1.3. Existence of cooperation with stakeholder groups </w:t>
            </w:r>
          </w:p>
        </w:tc>
        <w:tc>
          <w:tcPr>
            <w:tcW w:w="3083" w:type="dxa"/>
            <w:tcBorders>
              <w:top w:val="nil"/>
              <w:left w:val="nil"/>
              <w:bottom w:val="single" w:sz="4" w:space="0" w:color="auto"/>
              <w:right w:val="single" w:sz="4" w:space="0" w:color="auto"/>
            </w:tcBorders>
            <w:shd w:val="clear" w:color="auto" w:fill="auto"/>
            <w:vAlign w:val="center"/>
            <w:hideMark/>
          </w:tcPr>
          <w:p w14:paraId="0D7FAFA0" w14:textId="0649C41B"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Identification of stakeholders and their participation/involvem</w:t>
            </w:r>
            <w:r w:rsidR="005F36E3">
              <w:rPr>
                <w:rFonts w:asciiTheme="majorHAnsi" w:eastAsia="Times New Roman" w:hAnsiTheme="majorHAnsi" w:cs="Arial"/>
                <w:color w:val="000000"/>
                <w:sz w:val="18"/>
                <w:szCs w:val="18"/>
              </w:rPr>
              <w:t xml:space="preserve">ent in decision-making is poor </w:t>
            </w:r>
          </w:p>
        </w:tc>
        <w:tc>
          <w:tcPr>
            <w:tcW w:w="810" w:type="dxa"/>
            <w:tcBorders>
              <w:top w:val="nil"/>
              <w:left w:val="nil"/>
              <w:bottom w:val="single" w:sz="4" w:space="0" w:color="auto"/>
              <w:right w:val="single" w:sz="4" w:space="0" w:color="auto"/>
            </w:tcBorders>
            <w:shd w:val="clear" w:color="auto" w:fill="auto"/>
            <w:noWrap/>
            <w:vAlign w:val="bottom"/>
            <w:hideMark/>
          </w:tcPr>
          <w:p w14:paraId="768156A0"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0</w:t>
            </w:r>
          </w:p>
        </w:tc>
        <w:tc>
          <w:tcPr>
            <w:tcW w:w="9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E53F98"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1</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C593A5"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1</w:t>
            </w:r>
          </w:p>
        </w:tc>
        <w:tc>
          <w:tcPr>
            <w:tcW w:w="8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BDEA38"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2881" w:type="dxa"/>
            <w:gridSpan w:val="2"/>
            <w:vMerge w:val="restart"/>
            <w:tcBorders>
              <w:top w:val="nil"/>
              <w:left w:val="single" w:sz="4" w:space="0" w:color="auto"/>
              <w:bottom w:val="single" w:sz="4" w:space="0" w:color="000000"/>
              <w:right w:val="single" w:sz="4" w:space="0" w:color="auto"/>
            </w:tcBorders>
            <w:shd w:val="clear" w:color="auto" w:fill="auto"/>
            <w:noWrap/>
            <w:hideMark/>
          </w:tcPr>
          <w:p w14:paraId="4DCF58E9"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Understanding of which stakeholder groups exist is high, and for many stakeholders their needs are known, however, the best mechanisms to ensure participation are not known. Efforts to bring in stakeholders are often limited due to both capacity and political/economic reasons.</w:t>
            </w:r>
          </w:p>
        </w:tc>
        <w:tc>
          <w:tcPr>
            <w:tcW w:w="2430" w:type="dxa"/>
            <w:gridSpan w:val="2"/>
            <w:vMerge w:val="restart"/>
            <w:tcBorders>
              <w:top w:val="nil"/>
              <w:left w:val="single" w:sz="4" w:space="0" w:color="auto"/>
              <w:right w:val="single" w:sz="4" w:space="0" w:color="auto"/>
            </w:tcBorders>
          </w:tcPr>
          <w:p w14:paraId="2692B212"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 xml:space="preserve">Establish Landscape/ Seascape Planning teams at multiple levels </w:t>
            </w:r>
          </w:p>
          <w:p w14:paraId="64C624B1"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 xml:space="preserve">National, National-State, and State and ensure that stakeholder representation and participation is considered </w:t>
            </w:r>
          </w:p>
          <w:p w14:paraId="207A976F"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e.g. through gender mainstreaming and purposeful inclusivity</w:t>
            </w:r>
          </w:p>
        </w:tc>
        <w:tc>
          <w:tcPr>
            <w:tcW w:w="990" w:type="dxa"/>
            <w:gridSpan w:val="2"/>
            <w:vMerge w:val="restart"/>
            <w:tcBorders>
              <w:top w:val="nil"/>
              <w:left w:val="single" w:sz="4" w:space="0" w:color="auto"/>
              <w:right w:val="single" w:sz="4" w:space="0" w:color="auto"/>
            </w:tcBorders>
            <w:vAlign w:val="center"/>
          </w:tcPr>
          <w:p w14:paraId="1A103DD7"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1 and 4</w:t>
            </w:r>
          </w:p>
        </w:tc>
      </w:tr>
      <w:tr w:rsidR="00B02352" w:rsidRPr="005F36E3" w14:paraId="47E3F2FB" w14:textId="77777777" w:rsidTr="005F36E3">
        <w:trPr>
          <w:trHeight w:val="240"/>
        </w:trPr>
        <w:tc>
          <w:tcPr>
            <w:tcW w:w="1345" w:type="dxa"/>
            <w:vMerge/>
            <w:tcBorders>
              <w:top w:val="nil"/>
              <w:left w:val="single" w:sz="4" w:space="0" w:color="auto"/>
              <w:bottom w:val="single" w:sz="4" w:space="0" w:color="000000"/>
              <w:right w:val="single" w:sz="4" w:space="0" w:color="auto"/>
            </w:tcBorders>
            <w:vAlign w:val="center"/>
            <w:hideMark/>
          </w:tcPr>
          <w:p w14:paraId="1E612FCF"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1173DAF7" w14:textId="0EBB8278"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Stakeholders are identified but their participation</w:t>
            </w:r>
            <w:r w:rsidR="005F36E3">
              <w:rPr>
                <w:rFonts w:asciiTheme="majorHAnsi" w:eastAsia="Times New Roman" w:hAnsiTheme="majorHAnsi" w:cs="Arial"/>
                <w:color w:val="000000"/>
                <w:sz w:val="18"/>
                <w:szCs w:val="18"/>
              </w:rPr>
              <w:t xml:space="preserve"> in decision-making is limited </w:t>
            </w:r>
          </w:p>
        </w:tc>
        <w:tc>
          <w:tcPr>
            <w:tcW w:w="810" w:type="dxa"/>
            <w:tcBorders>
              <w:top w:val="nil"/>
              <w:left w:val="nil"/>
              <w:bottom w:val="single" w:sz="4" w:space="0" w:color="auto"/>
              <w:right w:val="single" w:sz="4" w:space="0" w:color="auto"/>
            </w:tcBorders>
            <w:shd w:val="clear" w:color="auto" w:fill="auto"/>
            <w:noWrap/>
            <w:vAlign w:val="bottom"/>
            <w:hideMark/>
          </w:tcPr>
          <w:p w14:paraId="24A3E324"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1</w:t>
            </w:r>
          </w:p>
        </w:tc>
        <w:tc>
          <w:tcPr>
            <w:tcW w:w="990" w:type="dxa"/>
            <w:vMerge/>
            <w:tcBorders>
              <w:top w:val="nil"/>
              <w:left w:val="single" w:sz="4" w:space="0" w:color="auto"/>
              <w:bottom w:val="single" w:sz="4" w:space="0" w:color="000000"/>
              <w:right w:val="single" w:sz="4" w:space="0" w:color="auto"/>
            </w:tcBorders>
            <w:vAlign w:val="center"/>
            <w:hideMark/>
          </w:tcPr>
          <w:p w14:paraId="3E4D9267"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40F64758"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431BD136"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1D35E115"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right w:val="single" w:sz="4" w:space="0" w:color="auto"/>
            </w:tcBorders>
          </w:tcPr>
          <w:p w14:paraId="37089BA6"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right w:val="single" w:sz="4" w:space="0" w:color="auto"/>
            </w:tcBorders>
            <w:vAlign w:val="center"/>
          </w:tcPr>
          <w:p w14:paraId="604811E9"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156341BA" w14:textId="77777777" w:rsidTr="005F36E3">
        <w:trPr>
          <w:trHeight w:val="240"/>
        </w:trPr>
        <w:tc>
          <w:tcPr>
            <w:tcW w:w="1345" w:type="dxa"/>
            <w:vMerge/>
            <w:tcBorders>
              <w:top w:val="nil"/>
              <w:left w:val="single" w:sz="4" w:space="0" w:color="auto"/>
              <w:bottom w:val="single" w:sz="4" w:space="0" w:color="000000"/>
              <w:right w:val="single" w:sz="4" w:space="0" w:color="auto"/>
            </w:tcBorders>
            <w:vAlign w:val="center"/>
            <w:hideMark/>
          </w:tcPr>
          <w:p w14:paraId="0EED7123"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4619F90C" w14:textId="03B24E93"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Stakeholders are identified and regular consultati</w:t>
            </w:r>
            <w:r w:rsidR="005F36E3">
              <w:rPr>
                <w:rFonts w:asciiTheme="majorHAnsi" w:eastAsia="Times New Roman" w:hAnsiTheme="majorHAnsi" w:cs="Arial"/>
                <w:color w:val="000000"/>
                <w:sz w:val="18"/>
                <w:szCs w:val="18"/>
              </w:rPr>
              <w:t xml:space="preserve">ons mechanisms are established </w:t>
            </w:r>
          </w:p>
        </w:tc>
        <w:tc>
          <w:tcPr>
            <w:tcW w:w="810" w:type="dxa"/>
            <w:tcBorders>
              <w:top w:val="nil"/>
              <w:left w:val="nil"/>
              <w:bottom w:val="single" w:sz="4" w:space="0" w:color="auto"/>
              <w:right w:val="single" w:sz="4" w:space="0" w:color="auto"/>
            </w:tcBorders>
            <w:shd w:val="clear" w:color="auto" w:fill="auto"/>
            <w:noWrap/>
            <w:vAlign w:val="bottom"/>
            <w:hideMark/>
          </w:tcPr>
          <w:p w14:paraId="6D741713"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990" w:type="dxa"/>
            <w:vMerge/>
            <w:tcBorders>
              <w:top w:val="nil"/>
              <w:left w:val="single" w:sz="4" w:space="0" w:color="auto"/>
              <w:bottom w:val="single" w:sz="4" w:space="0" w:color="000000"/>
              <w:right w:val="single" w:sz="4" w:space="0" w:color="auto"/>
            </w:tcBorders>
            <w:vAlign w:val="center"/>
            <w:hideMark/>
          </w:tcPr>
          <w:p w14:paraId="19A62C51"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16FECF02"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48584051"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7CA82CED"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right w:val="single" w:sz="4" w:space="0" w:color="auto"/>
            </w:tcBorders>
          </w:tcPr>
          <w:p w14:paraId="5AD08791"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right w:val="single" w:sz="4" w:space="0" w:color="auto"/>
            </w:tcBorders>
            <w:vAlign w:val="center"/>
          </w:tcPr>
          <w:p w14:paraId="0CEDAF1A"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1C7F7F6C" w14:textId="77777777" w:rsidTr="005F36E3">
        <w:trPr>
          <w:trHeight w:val="240"/>
        </w:trPr>
        <w:tc>
          <w:tcPr>
            <w:tcW w:w="1345" w:type="dxa"/>
            <w:vMerge/>
            <w:tcBorders>
              <w:top w:val="nil"/>
              <w:left w:val="single" w:sz="4" w:space="0" w:color="auto"/>
              <w:bottom w:val="single" w:sz="4" w:space="0" w:color="000000"/>
              <w:right w:val="single" w:sz="4" w:space="0" w:color="auto"/>
            </w:tcBorders>
            <w:vAlign w:val="center"/>
            <w:hideMark/>
          </w:tcPr>
          <w:p w14:paraId="1BDD48C6"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133DA35B" w14:textId="408E2268"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Stakeholders are identified and they actively contribute to established participative decision</w:t>
            </w:r>
            <w:r w:rsidR="005F36E3">
              <w:rPr>
                <w:rFonts w:asciiTheme="majorHAnsi" w:eastAsia="Times New Roman" w:hAnsiTheme="majorHAnsi" w:cs="Arial"/>
                <w:color w:val="000000"/>
                <w:sz w:val="18"/>
                <w:szCs w:val="18"/>
              </w:rPr>
              <w:t xml:space="preserve">-making processes </w:t>
            </w:r>
          </w:p>
        </w:tc>
        <w:tc>
          <w:tcPr>
            <w:tcW w:w="810" w:type="dxa"/>
            <w:tcBorders>
              <w:top w:val="nil"/>
              <w:left w:val="nil"/>
              <w:bottom w:val="single" w:sz="4" w:space="0" w:color="auto"/>
              <w:right w:val="single" w:sz="4" w:space="0" w:color="auto"/>
            </w:tcBorders>
            <w:shd w:val="clear" w:color="auto" w:fill="auto"/>
            <w:noWrap/>
            <w:vAlign w:val="bottom"/>
            <w:hideMark/>
          </w:tcPr>
          <w:p w14:paraId="3EB0A237"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3</w:t>
            </w:r>
          </w:p>
        </w:tc>
        <w:tc>
          <w:tcPr>
            <w:tcW w:w="990" w:type="dxa"/>
            <w:vMerge/>
            <w:tcBorders>
              <w:top w:val="nil"/>
              <w:left w:val="single" w:sz="4" w:space="0" w:color="auto"/>
              <w:bottom w:val="single" w:sz="4" w:space="0" w:color="000000"/>
              <w:right w:val="single" w:sz="4" w:space="0" w:color="auto"/>
            </w:tcBorders>
            <w:vAlign w:val="center"/>
            <w:hideMark/>
          </w:tcPr>
          <w:p w14:paraId="194BEEC0"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1112FC44"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20647F3E"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4A722C63"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bottom w:val="single" w:sz="4" w:space="0" w:color="000000"/>
              <w:right w:val="single" w:sz="4" w:space="0" w:color="auto"/>
            </w:tcBorders>
          </w:tcPr>
          <w:p w14:paraId="191DBB04"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bottom w:val="single" w:sz="4" w:space="0" w:color="000000"/>
              <w:right w:val="single" w:sz="4" w:space="0" w:color="auto"/>
            </w:tcBorders>
            <w:vAlign w:val="center"/>
          </w:tcPr>
          <w:p w14:paraId="249C5542"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3ECA8EB8" w14:textId="77777777" w:rsidTr="00A35929">
        <w:trPr>
          <w:trHeight w:val="480"/>
        </w:trPr>
        <w:tc>
          <w:tcPr>
            <w:tcW w:w="10639" w:type="dxa"/>
            <w:gridSpan w:val="8"/>
            <w:tcBorders>
              <w:top w:val="single" w:sz="4" w:space="0" w:color="auto"/>
              <w:left w:val="single" w:sz="4" w:space="0" w:color="auto"/>
              <w:bottom w:val="single" w:sz="4" w:space="0" w:color="auto"/>
              <w:right w:val="nil"/>
            </w:tcBorders>
            <w:shd w:val="clear" w:color="000000" w:fill="D6E3BC"/>
            <w:hideMark/>
          </w:tcPr>
          <w:p w14:paraId="62481FC9" w14:textId="77777777" w:rsidR="00B02352" w:rsidRPr="005F36E3" w:rsidRDefault="00B02352" w:rsidP="00B02352">
            <w:pPr>
              <w:spacing w:after="0"/>
              <w:jc w:val="left"/>
              <w:rPr>
                <w:rFonts w:asciiTheme="majorHAnsi" w:eastAsia="Times New Roman" w:hAnsiTheme="majorHAnsi"/>
                <w:b/>
                <w:bCs/>
                <w:color w:val="000000"/>
                <w:sz w:val="18"/>
                <w:szCs w:val="18"/>
              </w:rPr>
            </w:pPr>
            <w:r w:rsidRPr="005F36E3">
              <w:rPr>
                <w:rFonts w:asciiTheme="majorHAnsi" w:eastAsia="Times New Roman" w:hAnsiTheme="majorHAnsi"/>
                <w:b/>
                <w:bCs/>
                <w:color w:val="000000"/>
                <w:sz w:val="18"/>
                <w:szCs w:val="18"/>
              </w:rPr>
              <w:t>CR 2: Capacities to generate, access and use information and knowledge</w:t>
            </w:r>
          </w:p>
        </w:tc>
        <w:tc>
          <w:tcPr>
            <w:tcW w:w="2430" w:type="dxa"/>
            <w:gridSpan w:val="2"/>
            <w:tcBorders>
              <w:top w:val="single" w:sz="4" w:space="0" w:color="auto"/>
              <w:left w:val="single" w:sz="4" w:space="0" w:color="auto"/>
              <w:bottom w:val="single" w:sz="4" w:space="0" w:color="auto"/>
              <w:right w:val="nil"/>
            </w:tcBorders>
            <w:shd w:val="clear" w:color="000000" w:fill="D6E3BC"/>
          </w:tcPr>
          <w:p w14:paraId="03F83BCA"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990" w:type="dxa"/>
            <w:gridSpan w:val="2"/>
            <w:tcBorders>
              <w:top w:val="single" w:sz="4" w:space="0" w:color="auto"/>
              <w:left w:val="single" w:sz="4" w:space="0" w:color="auto"/>
              <w:bottom w:val="single" w:sz="4" w:space="0" w:color="auto"/>
              <w:right w:val="nil"/>
            </w:tcBorders>
            <w:shd w:val="clear" w:color="000000" w:fill="D6E3BC"/>
            <w:vAlign w:val="center"/>
          </w:tcPr>
          <w:p w14:paraId="651A58B9" w14:textId="77777777" w:rsidR="00B02352" w:rsidRPr="005F36E3" w:rsidRDefault="00B02352" w:rsidP="00B02352">
            <w:pPr>
              <w:spacing w:after="0"/>
              <w:jc w:val="left"/>
              <w:rPr>
                <w:rFonts w:asciiTheme="majorHAnsi" w:eastAsia="Times New Roman" w:hAnsiTheme="majorHAnsi"/>
                <w:b/>
                <w:bCs/>
                <w:color w:val="000000"/>
                <w:sz w:val="18"/>
                <w:szCs w:val="18"/>
              </w:rPr>
            </w:pPr>
          </w:p>
        </w:tc>
      </w:tr>
      <w:tr w:rsidR="00B02352" w:rsidRPr="005F36E3" w14:paraId="5460DA7A" w14:textId="77777777" w:rsidTr="005F36E3">
        <w:trPr>
          <w:trHeight w:val="480"/>
        </w:trPr>
        <w:tc>
          <w:tcPr>
            <w:tcW w:w="1345" w:type="dxa"/>
            <w:vMerge w:val="restart"/>
            <w:tcBorders>
              <w:top w:val="nil"/>
              <w:left w:val="single" w:sz="4" w:space="0" w:color="auto"/>
              <w:bottom w:val="single" w:sz="4" w:space="0" w:color="000000"/>
              <w:right w:val="single" w:sz="4" w:space="0" w:color="auto"/>
            </w:tcBorders>
            <w:shd w:val="clear" w:color="auto" w:fill="auto"/>
            <w:hideMark/>
          </w:tcPr>
          <w:p w14:paraId="7BD1F6B1" w14:textId="77777777" w:rsidR="00B02352" w:rsidRPr="005F36E3" w:rsidRDefault="00B02352" w:rsidP="00B02352">
            <w:pPr>
              <w:spacing w:after="0"/>
              <w:jc w:val="left"/>
              <w:rPr>
                <w:rFonts w:asciiTheme="majorHAnsi" w:eastAsia="Times New Roman" w:hAnsiTheme="majorHAnsi"/>
                <w:b/>
                <w:bCs/>
                <w:color w:val="000000"/>
                <w:sz w:val="18"/>
                <w:szCs w:val="18"/>
              </w:rPr>
            </w:pPr>
            <w:r w:rsidRPr="005F36E3">
              <w:rPr>
                <w:rFonts w:asciiTheme="majorHAnsi" w:eastAsia="Times New Roman" w:hAnsiTheme="majorHAnsi"/>
                <w:b/>
                <w:bCs/>
                <w:color w:val="000000"/>
                <w:sz w:val="18"/>
                <w:szCs w:val="18"/>
              </w:rPr>
              <w:t>2.1. Degree of environmental awareness of stakeholders</w:t>
            </w:r>
          </w:p>
        </w:tc>
        <w:tc>
          <w:tcPr>
            <w:tcW w:w="3083" w:type="dxa"/>
            <w:tcBorders>
              <w:top w:val="nil"/>
              <w:left w:val="nil"/>
              <w:bottom w:val="single" w:sz="4" w:space="0" w:color="auto"/>
              <w:right w:val="single" w:sz="4" w:space="0" w:color="auto"/>
            </w:tcBorders>
            <w:shd w:val="clear" w:color="auto" w:fill="auto"/>
            <w:vAlign w:val="center"/>
            <w:hideMark/>
          </w:tcPr>
          <w:p w14:paraId="40F1D9F0"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Stakeholders are not aware about global environmental issues and their related possible solutions </w:t>
            </w:r>
          </w:p>
          <w:p w14:paraId="1942ACEC"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MEAs </w:t>
            </w:r>
          </w:p>
        </w:tc>
        <w:tc>
          <w:tcPr>
            <w:tcW w:w="810" w:type="dxa"/>
            <w:tcBorders>
              <w:top w:val="nil"/>
              <w:left w:val="nil"/>
              <w:bottom w:val="single" w:sz="4" w:space="0" w:color="auto"/>
              <w:right w:val="single" w:sz="4" w:space="0" w:color="auto"/>
            </w:tcBorders>
            <w:shd w:val="clear" w:color="auto" w:fill="auto"/>
            <w:noWrap/>
            <w:vAlign w:val="bottom"/>
            <w:hideMark/>
          </w:tcPr>
          <w:p w14:paraId="2DF0A051"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0</w:t>
            </w:r>
          </w:p>
        </w:tc>
        <w:tc>
          <w:tcPr>
            <w:tcW w:w="9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432151"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61C464"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8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B8115C"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2881" w:type="dxa"/>
            <w:gridSpan w:val="2"/>
            <w:vMerge w:val="restart"/>
            <w:tcBorders>
              <w:top w:val="nil"/>
              <w:left w:val="single" w:sz="4" w:space="0" w:color="auto"/>
              <w:bottom w:val="single" w:sz="4" w:space="0" w:color="000000"/>
              <w:right w:val="single" w:sz="4" w:space="0" w:color="auto"/>
            </w:tcBorders>
            <w:shd w:val="clear" w:color="auto" w:fill="auto"/>
            <w:noWrap/>
            <w:hideMark/>
          </w:tcPr>
          <w:p w14:paraId="567EEFE1"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Awareness of global environmental issues is high, although with key gaps. Biosecurity and IAS is a key gaps. State governments are aware of the need to conduct Landscape/ Seascape Planning but do not know how to participate. Community-based participation is limited within the 5 key sectors of the project.</w:t>
            </w:r>
          </w:p>
        </w:tc>
        <w:tc>
          <w:tcPr>
            <w:tcW w:w="2430" w:type="dxa"/>
            <w:gridSpan w:val="2"/>
            <w:vMerge w:val="restart"/>
            <w:tcBorders>
              <w:top w:val="nil"/>
              <w:left w:val="single" w:sz="4" w:space="0" w:color="auto"/>
              <w:right w:val="single" w:sz="4" w:space="0" w:color="auto"/>
            </w:tcBorders>
          </w:tcPr>
          <w:p w14:paraId="5EC5756F"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Implement Communications Plan, including measures to mainstream gender and inclusivity. Develop awareness and outreach plan for Biosecurity and IAS and conduct targeted outreach on Landscape Planning and Best Practices.</w:t>
            </w:r>
          </w:p>
        </w:tc>
        <w:tc>
          <w:tcPr>
            <w:tcW w:w="990" w:type="dxa"/>
            <w:gridSpan w:val="2"/>
            <w:vMerge w:val="restart"/>
            <w:tcBorders>
              <w:top w:val="nil"/>
              <w:left w:val="single" w:sz="4" w:space="0" w:color="auto"/>
              <w:right w:val="single" w:sz="4" w:space="0" w:color="auto"/>
            </w:tcBorders>
            <w:vAlign w:val="center"/>
          </w:tcPr>
          <w:p w14:paraId="58371657"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4</w:t>
            </w:r>
          </w:p>
        </w:tc>
      </w:tr>
      <w:tr w:rsidR="00B02352" w:rsidRPr="005F36E3" w14:paraId="08919045" w14:textId="77777777" w:rsidTr="005F36E3">
        <w:trPr>
          <w:trHeight w:val="240"/>
        </w:trPr>
        <w:tc>
          <w:tcPr>
            <w:tcW w:w="1345" w:type="dxa"/>
            <w:vMerge/>
            <w:tcBorders>
              <w:top w:val="nil"/>
              <w:left w:val="single" w:sz="4" w:space="0" w:color="auto"/>
              <w:bottom w:val="single" w:sz="4" w:space="0" w:color="000000"/>
              <w:right w:val="single" w:sz="4" w:space="0" w:color="auto"/>
            </w:tcBorders>
            <w:vAlign w:val="center"/>
            <w:hideMark/>
          </w:tcPr>
          <w:p w14:paraId="22AA501E"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7AD0418C"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Stakeholders are aware about global environmental issues but not about the possible solutions </w:t>
            </w:r>
          </w:p>
          <w:p w14:paraId="226F8FF9"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MEAs </w:t>
            </w:r>
          </w:p>
        </w:tc>
        <w:tc>
          <w:tcPr>
            <w:tcW w:w="810" w:type="dxa"/>
            <w:tcBorders>
              <w:top w:val="nil"/>
              <w:left w:val="nil"/>
              <w:bottom w:val="single" w:sz="4" w:space="0" w:color="auto"/>
              <w:right w:val="single" w:sz="4" w:space="0" w:color="auto"/>
            </w:tcBorders>
            <w:shd w:val="clear" w:color="auto" w:fill="auto"/>
            <w:noWrap/>
            <w:vAlign w:val="bottom"/>
            <w:hideMark/>
          </w:tcPr>
          <w:p w14:paraId="2CF2FD87"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1</w:t>
            </w:r>
          </w:p>
        </w:tc>
        <w:tc>
          <w:tcPr>
            <w:tcW w:w="990" w:type="dxa"/>
            <w:vMerge/>
            <w:tcBorders>
              <w:top w:val="nil"/>
              <w:left w:val="single" w:sz="4" w:space="0" w:color="auto"/>
              <w:bottom w:val="single" w:sz="4" w:space="0" w:color="000000"/>
              <w:right w:val="single" w:sz="4" w:space="0" w:color="auto"/>
            </w:tcBorders>
            <w:vAlign w:val="center"/>
            <w:hideMark/>
          </w:tcPr>
          <w:p w14:paraId="00F4F51F"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506C47E7"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650F581C"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18B424C2"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right w:val="single" w:sz="4" w:space="0" w:color="auto"/>
            </w:tcBorders>
          </w:tcPr>
          <w:p w14:paraId="51F2E03F"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right w:val="single" w:sz="4" w:space="0" w:color="auto"/>
            </w:tcBorders>
            <w:vAlign w:val="center"/>
          </w:tcPr>
          <w:p w14:paraId="6D91AC72"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06CF9938" w14:textId="77777777" w:rsidTr="005F36E3">
        <w:trPr>
          <w:trHeight w:val="480"/>
        </w:trPr>
        <w:tc>
          <w:tcPr>
            <w:tcW w:w="1345" w:type="dxa"/>
            <w:vMerge/>
            <w:tcBorders>
              <w:top w:val="nil"/>
              <w:left w:val="single" w:sz="4" w:space="0" w:color="auto"/>
              <w:bottom w:val="single" w:sz="4" w:space="0" w:color="000000"/>
              <w:right w:val="single" w:sz="4" w:space="0" w:color="auto"/>
            </w:tcBorders>
            <w:vAlign w:val="center"/>
            <w:hideMark/>
          </w:tcPr>
          <w:p w14:paraId="53586E79"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0292F5C5"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Stakeholders are aware about global environmental issues and the possible solutions but do not know how to participate </w:t>
            </w:r>
          </w:p>
        </w:tc>
        <w:tc>
          <w:tcPr>
            <w:tcW w:w="810" w:type="dxa"/>
            <w:tcBorders>
              <w:top w:val="nil"/>
              <w:left w:val="nil"/>
              <w:bottom w:val="single" w:sz="4" w:space="0" w:color="auto"/>
              <w:right w:val="single" w:sz="4" w:space="0" w:color="auto"/>
            </w:tcBorders>
            <w:shd w:val="clear" w:color="auto" w:fill="auto"/>
            <w:noWrap/>
            <w:vAlign w:val="bottom"/>
            <w:hideMark/>
          </w:tcPr>
          <w:p w14:paraId="5AEB49ED"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990" w:type="dxa"/>
            <w:vMerge/>
            <w:tcBorders>
              <w:top w:val="nil"/>
              <w:left w:val="single" w:sz="4" w:space="0" w:color="auto"/>
              <w:bottom w:val="single" w:sz="4" w:space="0" w:color="000000"/>
              <w:right w:val="single" w:sz="4" w:space="0" w:color="auto"/>
            </w:tcBorders>
            <w:vAlign w:val="center"/>
            <w:hideMark/>
          </w:tcPr>
          <w:p w14:paraId="0F7FEE42"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39E40656"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7BD3D918"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093C7558"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right w:val="single" w:sz="4" w:space="0" w:color="auto"/>
            </w:tcBorders>
          </w:tcPr>
          <w:p w14:paraId="6F6E5BC0"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right w:val="single" w:sz="4" w:space="0" w:color="auto"/>
            </w:tcBorders>
            <w:vAlign w:val="center"/>
          </w:tcPr>
          <w:p w14:paraId="77C2CA16"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398DA61A" w14:textId="77777777" w:rsidTr="005F36E3">
        <w:trPr>
          <w:trHeight w:val="480"/>
        </w:trPr>
        <w:tc>
          <w:tcPr>
            <w:tcW w:w="1345" w:type="dxa"/>
            <w:vMerge/>
            <w:tcBorders>
              <w:top w:val="nil"/>
              <w:left w:val="single" w:sz="4" w:space="0" w:color="auto"/>
              <w:bottom w:val="single" w:sz="4" w:space="0" w:color="000000"/>
              <w:right w:val="single" w:sz="4" w:space="0" w:color="auto"/>
            </w:tcBorders>
            <w:vAlign w:val="center"/>
            <w:hideMark/>
          </w:tcPr>
          <w:p w14:paraId="6535AA1F"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56CC4A9E"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Stakeholders are aware about global environmental issues and are actively participating in the implementation of related solutions </w:t>
            </w:r>
          </w:p>
        </w:tc>
        <w:tc>
          <w:tcPr>
            <w:tcW w:w="810" w:type="dxa"/>
            <w:tcBorders>
              <w:top w:val="nil"/>
              <w:left w:val="nil"/>
              <w:bottom w:val="single" w:sz="4" w:space="0" w:color="auto"/>
              <w:right w:val="single" w:sz="4" w:space="0" w:color="auto"/>
            </w:tcBorders>
            <w:shd w:val="clear" w:color="auto" w:fill="auto"/>
            <w:noWrap/>
            <w:vAlign w:val="bottom"/>
            <w:hideMark/>
          </w:tcPr>
          <w:p w14:paraId="765763B1"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3</w:t>
            </w:r>
          </w:p>
        </w:tc>
        <w:tc>
          <w:tcPr>
            <w:tcW w:w="990" w:type="dxa"/>
            <w:vMerge/>
            <w:tcBorders>
              <w:top w:val="nil"/>
              <w:left w:val="single" w:sz="4" w:space="0" w:color="auto"/>
              <w:bottom w:val="single" w:sz="4" w:space="0" w:color="000000"/>
              <w:right w:val="single" w:sz="4" w:space="0" w:color="auto"/>
            </w:tcBorders>
            <w:vAlign w:val="center"/>
            <w:hideMark/>
          </w:tcPr>
          <w:p w14:paraId="11986468"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1E509ADD"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1551C2CA"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7CAA8331"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bottom w:val="single" w:sz="4" w:space="0" w:color="000000"/>
              <w:right w:val="single" w:sz="4" w:space="0" w:color="auto"/>
            </w:tcBorders>
          </w:tcPr>
          <w:p w14:paraId="3477D767"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bottom w:val="single" w:sz="4" w:space="0" w:color="000000"/>
              <w:right w:val="single" w:sz="4" w:space="0" w:color="auto"/>
            </w:tcBorders>
            <w:vAlign w:val="center"/>
          </w:tcPr>
          <w:p w14:paraId="748F53C5"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6FDA37EE" w14:textId="77777777" w:rsidTr="005F36E3">
        <w:trPr>
          <w:trHeight w:val="720"/>
        </w:trPr>
        <w:tc>
          <w:tcPr>
            <w:tcW w:w="1345" w:type="dxa"/>
            <w:vMerge w:val="restart"/>
            <w:tcBorders>
              <w:top w:val="nil"/>
              <w:left w:val="single" w:sz="4" w:space="0" w:color="auto"/>
              <w:bottom w:val="single" w:sz="4" w:space="0" w:color="000000"/>
              <w:right w:val="single" w:sz="4" w:space="0" w:color="auto"/>
            </w:tcBorders>
            <w:shd w:val="clear" w:color="auto" w:fill="auto"/>
            <w:hideMark/>
          </w:tcPr>
          <w:p w14:paraId="0A29FEE7" w14:textId="299D0AD3" w:rsidR="00B02352" w:rsidRPr="005F36E3" w:rsidRDefault="00B02352" w:rsidP="00B02352">
            <w:pPr>
              <w:spacing w:after="0"/>
              <w:jc w:val="left"/>
              <w:rPr>
                <w:rFonts w:asciiTheme="majorHAnsi" w:eastAsia="Times New Roman" w:hAnsiTheme="majorHAnsi"/>
                <w:b/>
                <w:bCs/>
                <w:color w:val="000000"/>
                <w:sz w:val="18"/>
                <w:szCs w:val="18"/>
              </w:rPr>
            </w:pPr>
            <w:r w:rsidRPr="005F36E3">
              <w:rPr>
                <w:rFonts w:asciiTheme="majorHAnsi" w:eastAsia="Times New Roman" w:hAnsiTheme="majorHAnsi"/>
                <w:b/>
                <w:bCs/>
                <w:color w:val="000000"/>
                <w:sz w:val="18"/>
                <w:szCs w:val="18"/>
              </w:rPr>
              <w:t>2.2. Access and sh</w:t>
            </w:r>
            <w:r w:rsidR="005F36E3">
              <w:rPr>
                <w:rFonts w:asciiTheme="majorHAnsi" w:eastAsia="Times New Roman" w:hAnsiTheme="majorHAnsi"/>
                <w:b/>
                <w:bCs/>
                <w:color w:val="000000"/>
                <w:sz w:val="18"/>
                <w:szCs w:val="18"/>
              </w:rPr>
              <w:t xml:space="preserve">aring of environmental related </w:t>
            </w:r>
            <w:r w:rsidRPr="005F36E3">
              <w:rPr>
                <w:rFonts w:asciiTheme="majorHAnsi" w:eastAsia="Times New Roman" w:hAnsiTheme="majorHAnsi"/>
                <w:b/>
                <w:bCs/>
                <w:color w:val="000000"/>
                <w:sz w:val="18"/>
                <w:szCs w:val="18"/>
              </w:rPr>
              <w:t>information by stakeholders</w:t>
            </w:r>
          </w:p>
        </w:tc>
        <w:tc>
          <w:tcPr>
            <w:tcW w:w="3083" w:type="dxa"/>
            <w:tcBorders>
              <w:top w:val="nil"/>
              <w:left w:val="nil"/>
              <w:bottom w:val="single" w:sz="4" w:space="0" w:color="auto"/>
              <w:right w:val="single" w:sz="4" w:space="0" w:color="auto"/>
            </w:tcBorders>
            <w:shd w:val="clear" w:color="auto" w:fill="auto"/>
            <w:vAlign w:val="center"/>
            <w:hideMark/>
          </w:tcPr>
          <w:p w14:paraId="08249407"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The environmental information needs are not identified and the information management infrastructure is inadequate </w:t>
            </w:r>
          </w:p>
        </w:tc>
        <w:tc>
          <w:tcPr>
            <w:tcW w:w="810" w:type="dxa"/>
            <w:tcBorders>
              <w:top w:val="nil"/>
              <w:left w:val="nil"/>
              <w:bottom w:val="single" w:sz="4" w:space="0" w:color="auto"/>
              <w:right w:val="single" w:sz="4" w:space="0" w:color="auto"/>
            </w:tcBorders>
            <w:shd w:val="clear" w:color="auto" w:fill="auto"/>
            <w:noWrap/>
            <w:vAlign w:val="bottom"/>
            <w:hideMark/>
          </w:tcPr>
          <w:p w14:paraId="7E4F752E"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0</w:t>
            </w:r>
          </w:p>
        </w:tc>
        <w:tc>
          <w:tcPr>
            <w:tcW w:w="9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4F5F18"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1</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FFFF74"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8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F7AF8C"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3</w:t>
            </w:r>
          </w:p>
        </w:tc>
        <w:tc>
          <w:tcPr>
            <w:tcW w:w="2881" w:type="dxa"/>
            <w:gridSpan w:val="2"/>
            <w:vMerge w:val="restart"/>
            <w:tcBorders>
              <w:top w:val="nil"/>
              <w:left w:val="single" w:sz="4" w:space="0" w:color="auto"/>
              <w:bottom w:val="single" w:sz="4" w:space="0" w:color="000000"/>
              <w:right w:val="single" w:sz="4" w:space="0" w:color="auto"/>
            </w:tcBorders>
            <w:shd w:val="clear" w:color="auto" w:fill="auto"/>
            <w:noWrap/>
            <w:hideMark/>
          </w:tcPr>
          <w:p w14:paraId="181686B9"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Significant progress has been made in country in identified sources and locations of environmental information and establishing mechanisms for sharing it, especially at the National Government and national Nonprofit levels. There are still gaps in information within the sectors of the project and little public access.</w:t>
            </w:r>
          </w:p>
        </w:tc>
        <w:tc>
          <w:tcPr>
            <w:tcW w:w="2430" w:type="dxa"/>
            <w:gridSpan w:val="2"/>
            <w:vMerge w:val="restart"/>
            <w:tcBorders>
              <w:top w:val="nil"/>
              <w:left w:val="single" w:sz="4" w:space="0" w:color="auto"/>
              <w:right w:val="single" w:sz="4" w:space="0" w:color="auto"/>
            </w:tcBorders>
          </w:tcPr>
          <w:p w14:paraId="333B1A3C"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Fill information gaps needed to conduct Landscape/ Seascape Planning and share via existing PALARIS database mechanism, as well as feed into MNRET for future Environmental Planning Unit. Share Best Practices developed under GEF STAR; consider linkages with GEF SGP to implement communications directly to communities.</w:t>
            </w:r>
          </w:p>
        </w:tc>
        <w:tc>
          <w:tcPr>
            <w:tcW w:w="990" w:type="dxa"/>
            <w:gridSpan w:val="2"/>
            <w:vMerge w:val="restart"/>
            <w:tcBorders>
              <w:top w:val="nil"/>
              <w:left w:val="single" w:sz="4" w:space="0" w:color="auto"/>
              <w:right w:val="single" w:sz="4" w:space="0" w:color="auto"/>
            </w:tcBorders>
            <w:vAlign w:val="center"/>
          </w:tcPr>
          <w:p w14:paraId="7D6A3E05"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All</w:t>
            </w:r>
          </w:p>
        </w:tc>
      </w:tr>
      <w:tr w:rsidR="00B02352" w:rsidRPr="005F36E3" w14:paraId="447FB273" w14:textId="77777777" w:rsidTr="005F36E3">
        <w:trPr>
          <w:trHeight w:val="480"/>
        </w:trPr>
        <w:tc>
          <w:tcPr>
            <w:tcW w:w="1345" w:type="dxa"/>
            <w:vMerge/>
            <w:tcBorders>
              <w:top w:val="nil"/>
              <w:left w:val="single" w:sz="4" w:space="0" w:color="auto"/>
              <w:bottom w:val="single" w:sz="4" w:space="0" w:color="000000"/>
              <w:right w:val="single" w:sz="4" w:space="0" w:color="auto"/>
            </w:tcBorders>
            <w:vAlign w:val="center"/>
            <w:hideMark/>
          </w:tcPr>
          <w:p w14:paraId="21A097E1"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28EF544D"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The environmental information needs are identified but the information management infrastructure is inadequate </w:t>
            </w:r>
          </w:p>
        </w:tc>
        <w:tc>
          <w:tcPr>
            <w:tcW w:w="810" w:type="dxa"/>
            <w:tcBorders>
              <w:top w:val="nil"/>
              <w:left w:val="nil"/>
              <w:bottom w:val="single" w:sz="4" w:space="0" w:color="auto"/>
              <w:right w:val="single" w:sz="4" w:space="0" w:color="auto"/>
            </w:tcBorders>
            <w:shd w:val="clear" w:color="auto" w:fill="auto"/>
            <w:noWrap/>
            <w:vAlign w:val="bottom"/>
            <w:hideMark/>
          </w:tcPr>
          <w:p w14:paraId="0081E558"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1</w:t>
            </w:r>
          </w:p>
        </w:tc>
        <w:tc>
          <w:tcPr>
            <w:tcW w:w="990" w:type="dxa"/>
            <w:vMerge/>
            <w:tcBorders>
              <w:top w:val="nil"/>
              <w:left w:val="single" w:sz="4" w:space="0" w:color="auto"/>
              <w:bottom w:val="single" w:sz="4" w:space="0" w:color="000000"/>
              <w:right w:val="single" w:sz="4" w:space="0" w:color="auto"/>
            </w:tcBorders>
            <w:vAlign w:val="center"/>
            <w:hideMark/>
          </w:tcPr>
          <w:p w14:paraId="12480C81"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711478CB"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396AF779"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57A4B898"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right w:val="single" w:sz="4" w:space="0" w:color="auto"/>
            </w:tcBorders>
          </w:tcPr>
          <w:p w14:paraId="654A7EAD"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right w:val="single" w:sz="4" w:space="0" w:color="auto"/>
            </w:tcBorders>
            <w:vAlign w:val="center"/>
          </w:tcPr>
          <w:p w14:paraId="75EA9C6B"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0A34EED6" w14:textId="77777777" w:rsidTr="005F36E3">
        <w:trPr>
          <w:trHeight w:val="720"/>
        </w:trPr>
        <w:tc>
          <w:tcPr>
            <w:tcW w:w="1345" w:type="dxa"/>
            <w:vMerge/>
            <w:tcBorders>
              <w:top w:val="nil"/>
              <w:left w:val="single" w:sz="4" w:space="0" w:color="auto"/>
              <w:bottom w:val="single" w:sz="4" w:space="0" w:color="000000"/>
              <w:right w:val="single" w:sz="4" w:space="0" w:color="auto"/>
            </w:tcBorders>
            <w:vAlign w:val="center"/>
            <w:hideMark/>
          </w:tcPr>
          <w:p w14:paraId="71EDD019"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4B55459E"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The environmental information is partially available and shared among stakeholders but is not covering all focal areas and/or the information management infrastructure to manage and give information access to the public is limited </w:t>
            </w:r>
          </w:p>
        </w:tc>
        <w:tc>
          <w:tcPr>
            <w:tcW w:w="810" w:type="dxa"/>
            <w:tcBorders>
              <w:top w:val="nil"/>
              <w:left w:val="nil"/>
              <w:bottom w:val="single" w:sz="4" w:space="0" w:color="auto"/>
              <w:right w:val="single" w:sz="4" w:space="0" w:color="auto"/>
            </w:tcBorders>
            <w:shd w:val="clear" w:color="auto" w:fill="auto"/>
            <w:noWrap/>
            <w:vAlign w:val="bottom"/>
            <w:hideMark/>
          </w:tcPr>
          <w:p w14:paraId="215CA607"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990" w:type="dxa"/>
            <w:vMerge/>
            <w:tcBorders>
              <w:top w:val="nil"/>
              <w:left w:val="single" w:sz="4" w:space="0" w:color="auto"/>
              <w:bottom w:val="single" w:sz="4" w:space="0" w:color="000000"/>
              <w:right w:val="single" w:sz="4" w:space="0" w:color="auto"/>
            </w:tcBorders>
            <w:vAlign w:val="center"/>
            <w:hideMark/>
          </w:tcPr>
          <w:p w14:paraId="7A5A1608"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6D0C39A6"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090C822E"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3FEACF57"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right w:val="single" w:sz="4" w:space="0" w:color="auto"/>
            </w:tcBorders>
          </w:tcPr>
          <w:p w14:paraId="2E211206"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right w:val="single" w:sz="4" w:space="0" w:color="auto"/>
            </w:tcBorders>
            <w:vAlign w:val="center"/>
          </w:tcPr>
          <w:p w14:paraId="45BD4CB7"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50570492" w14:textId="77777777" w:rsidTr="005F36E3">
        <w:trPr>
          <w:trHeight w:val="480"/>
        </w:trPr>
        <w:tc>
          <w:tcPr>
            <w:tcW w:w="1345" w:type="dxa"/>
            <w:vMerge/>
            <w:tcBorders>
              <w:top w:val="nil"/>
              <w:left w:val="single" w:sz="4" w:space="0" w:color="auto"/>
              <w:bottom w:val="single" w:sz="4" w:space="0" w:color="000000"/>
              <w:right w:val="single" w:sz="4" w:space="0" w:color="auto"/>
            </w:tcBorders>
            <w:vAlign w:val="center"/>
            <w:hideMark/>
          </w:tcPr>
          <w:p w14:paraId="2BBB3FDD"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498DDCFF"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Comprehensive environmental information is available and shared through an adequate information management infrastructure </w:t>
            </w:r>
          </w:p>
        </w:tc>
        <w:tc>
          <w:tcPr>
            <w:tcW w:w="810" w:type="dxa"/>
            <w:tcBorders>
              <w:top w:val="nil"/>
              <w:left w:val="nil"/>
              <w:bottom w:val="single" w:sz="4" w:space="0" w:color="auto"/>
              <w:right w:val="single" w:sz="4" w:space="0" w:color="auto"/>
            </w:tcBorders>
            <w:shd w:val="clear" w:color="auto" w:fill="auto"/>
            <w:noWrap/>
            <w:vAlign w:val="bottom"/>
            <w:hideMark/>
          </w:tcPr>
          <w:p w14:paraId="62640910"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3</w:t>
            </w:r>
          </w:p>
        </w:tc>
        <w:tc>
          <w:tcPr>
            <w:tcW w:w="990" w:type="dxa"/>
            <w:vMerge/>
            <w:tcBorders>
              <w:top w:val="nil"/>
              <w:left w:val="single" w:sz="4" w:space="0" w:color="auto"/>
              <w:bottom w:val="single" w:sz="4" w:space="0" w:color="000000"/>
              <w:right w:val="single" w:sz="4" w:space="0" w:color="auto"/>
            </w:tcBorders>
            <w:vAlign w:val="center"/>
            <w:hideMark/>
          </w:tcPr>
          <w:p w14:paraId="32BC9044"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06F7584C"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5A031C0C"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4457DA4A"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bottom w:val="single" w:sz="4" w:space="0" w:color="000000"/>
              <w:right w:val="single" w:sz="4" w:space="0" w:color="auto"/>
            </w:tcBorders>
          </w:tcPr>
          <w:p w14:paraId="795E323B"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bottom w:val="single" w:sz="4" w:space="0" w:color="000000"/>
              <w:right w:val="single" w:sz="4" w:space="0" w:color="auto"/>
            </w:tcBorders>
            <w:vAlign w:val="center"/>
          </w:tcPr>
          <w:p w14:paraId="2DB9EA1C"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6EFF5161" w14:textId="77777777" w:rsidTr="005F36E3">
        <w:trPr>
          <w:trHeight w:val="480"/>
        </w:trPr>
        <w:tc>
          <w:tcPr>
            <w:tcW w:w="1345" w:type="dxa"/>
            <w:vMerge w:val="restart"/>
            <w:tcBorders>
              <w:top w:val="nil"/>
              <w:left w:val="single" w:sz="4" w:space="0" w:color="auto"/>
              <w:bottom w:val="single" w:sz="4" w:space="0" w:color="000000"/>
              <w:right w:val="single" w:sz="4" w:space="0" w:color="auto"/>
            </w:tcBorders>
            <w:shd w:val="clear" w:color="auto" w:fill="auto"/>
            <w:hideMark/>
          </w:tcPr>
          <w:p w14:paraId="35572B0F" w14:textId="77777777" w:rsidR="00B02352" w:rsidRPr="005F36E3" w:rsidRDefault="00B02352" w:rsidP="00B02352">
            <w:pPr>
              <w:spacing w:after="0"/>
              <w:jc w:val="left"/>
              <w:rPr>
                <w:rFonts w:asciiTheme="majorHAnsi" w:eastAsia="Times New Roman" w:hAnsiTheme="majorHAnsi"/>
                <w:b/>
                <w:bCs/>
                <w:color w:val="000000"/>
                <w:sz w:val="18"/>
                <w:szCs w:val="18"/>
              </w:rPr>
            </w:pPr>
            <w:r w:rsidRPr="005F36E3">
              <w:rPr>
                <w:rFonts w:asciiTheme="majorHAnsi" w:eastAsia="Times New Roman" w:hAnsiTheme="majorHAnsi"/>
                <w:b/>
                <w:bCs/>
                <w:color w:val="000000"/>
                <w:sz w:val="18"/>
                <w:szCs w:val="18"/>
              </w:rPr>
              <w:t>2.3. Existence of environmental awareness and education programs</w:t>
            </w:r>
          </w:p>
        </w:tc>
        <w:tc>
          <w:tcPr>
            <w:tcW w:w="3083" w:type="dxa"/>
            <w:tcBorders>
              <w:top w:val="nil"/>
              <w:left w:val="nil"/>
              <w:bottom w:val="single" w:sz="4" w:space="0" w:color="auto"/>
              <w:right w:val="single" w:sz="4" w:space="0" w:color="auto"/>
            </w:tcBorders>
            <w:shd w:val="clear" w:color="auto" w:fill="auto"/>
            <w:vAlign w:val="center"/>
            <w:hideMark/>
          </w:tcPr>
          <w:p w14:paraId="6C1BA601" w14:textId="22CF7319"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No e</w:t>
            </w:r>
            <w:r w:rsidR="005F36E3">
              <w:rPr>
                <w:rFonts w:asciiTheme="majorHAnsi" w:eastAsia="Times New Roman" w:hAnsiTheme="majorHAnsi" w:cs="Arial"/>
                <w:color w:val="000000"/>
                <w:sz w:val="18"/>
                <w:szCs w:val="18"/>
              </w:rPr>
              <w:t>nvironmental education program</w:t>
            </w:r>
            <w:r w:rsidRPr="005F36E3">
              <w:rPr>
                <w:rFonts w:asciiTheme="majorHAnsi" w:eastAsia="Times New Roman" w:hAnsiTheme="majorHAnsi" w:cs="Arial"/>
                <w:color w:val="000000"/>
                <w:sz w:val="18"/>
                <w:szCs w:val="18"/>
              </w:rPr>
              <w:t xml:space="preserve">s are in place </w:t>
            </w:r>
          </w:p>
        </w:tc>
        <w:tc>
          <w:tcPr>
            <w:tcW w:w="810" w:type="dxa"/>
            <w:tcBorders>
              <w:top w:val="nil"/>
              <w:left w:val="nil"/>
              <w:bottom w:val="single" w:sz="4" w:space="0" w:color="auto"/>
              <w:right w:val="single" w:sz="4" w:space="0" w:color="auto"/>
            </w:tcBorders>
            <w:shd w:val="clear" w:color="auto" w:fill="auto"/>
            <w:noWrap/>
            <w:vAlign w:val="bottom"/>
            <w:hideMark/>
          </w:tcPr>
          <w:p w14:paraId="7BBC601B"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0</w:t>
            </w:r>
          </w:p>
        </w:tc>
        <w:tc>
          <w:tcPr>
            <w:tcW w:w="9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BFF3CF"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1</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F8F363"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8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9DF6BB"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2881" w:type="dxa"/>
            <w:gridSpan w:val="2"/>
            <w:vMerge w:val="restart"/>
            <w:tcBorders>
              <w:top w:val="nil"/>
              <w:left w:val="single" w:sz="4" w:space="0" w:color="auto"/>
              <w:bottom w:val="single" w:sz="4" w:space="0" w:color="000000"/>
              <w:right w:val="single" w:sz="4" w:space="0" w:color="auto"/>
            </w:tcBorders>
            <w:shd w:val="clear" w:color="auto" w:fill="auto"/>
            <w:noWrap/>
            <w:hideMark/>
          </w:tcPr>
          <w:p w14:paraId="377D00BA" w14:textId="7E6D5356"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 xml:space="preserve">Nationwide there are good environmental education programs for certain sectors, especially marine and watersheds. Certain sectors are behind, such as energy, and those that pertain to this project biosecurity and Landscape/ Seascape Planning as well as Best Practices in the 5 key sectors. Palauan language outreach is lacking. Although the public school curriculum has recently been updated with environmental information, there are still some gaps and most agency outreach to schools is still ad hoc and does not contribute to formal educational programs. </w:t>
            </w:r>
          </w:p>
        </w:tc>
        <w:tc>
          <w:tcPr>
            <w:tcW w:w="2430" w:type="dxa"/>
            <w:gridSpan w:val="2"/>
            <w:vMerge w:val="restart"/>
            <w:tcBorders>
              <w:top w:val="nil"/>
              <w:left w:val="single" w:sz="4" w:space="0" w:color="auto"/>
              <w:right w:val="single" w:sz="4" w:space="0" w:color="auto"/>
            </w:tcBorders>
          </w:tcPr>
          <w:p w14:paraId="5191AD6C"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 xml:space="preserve">Implement the Biosecurity awareness plan, including development and integration of biosecurity and IAS education programs in the primary schools. </w:t>
            </w:r>
          </w:p>
          <w:p w14:paraId="5CB6D782"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br/>
              <w:t xml:space="preserve">Following Landscape/ Seascape Plans, ensure that Planning Teams have incorporated Communications Strategies into their resulting Plans </w:t>
            </w:r>
          </w:p>
          <w:p w14:paraId="6D7676CF"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including with gender mainstreaming and inclusivity</w:t>
            </w:r>
          </w:p>
        </w:tc>
        <w:tc>
          <w:tcPr>
            <w:tcW w:w="990" w:type="dxa"/>
            <w:gridSpan w:val="2"/>
            <w:vMerge w:val="restart"/>
            <w:tcBorders>
              <w:top w:val="nil"/>
              <w:left w:val="single" w:sz="4" w:space="0" w:color="auto"/>
              <w:right w:val="single" w:sz="4" w:space="0" w:color="auto"/>
            </w:tcBorders>
            <w:vAlign w:val="center"/>
          </w:tcPr>
          <w:p w14:paraId="74B8C235"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4</w:t>
            </w:r>
          </w:p>
        </w:tc>
      </w:tr>
      <w:tr w:rsidR="00B02352" w:rsidRPr="005F36E3" w14:paraId="394D00E8" w14:textId="77777777" w:rsidTr="005F36E3">
        <w:trPr>
          <w:trHeight w:val="240"/>
        </w:trPr>
        <w:tc>
          <w:tcPr>
            <w:tcW w:w="1345" w:type="dxa"/>
            <w:vMerge/>
            <w:tcBorders>
              <w:top w:val="nil"/>
              <w:left w:val="single" w:sz="4" w:space="0" w:color="auto"/>
              <w:bottom w:val="single" w:sz="4" w:space="0" w:color="000000"/>
              <w:right w:val="single" w:sz="4" w:space="0" w:color="auto"/>
            </w:tcBorders>
            <w:vAlign w:val="center"/>
            <w:hideMark/>
          </w:tcPr>
          <w:p w14:paraId="53E1E641"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1C4B3ABC" w14:textId="3008987C"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E</w:t>
            </w:r>
            <w:r w:rsidR="005F36E3">
              <w:rPr>
                <w:rFonts w:asciiTheme="majorHAnsi" w:eastAsia="Times New Roman" w:hAnsiTheme="majorHAnsi" w:cs="Arial"/>
                <w:color w:val="000000"/>
                <w:sz w:val="18"/>
                <w:szCs w:val="18"/>
              </w:rPr>
              <w:t>nvironmental education program</w:t>
            </w:r>
            <w:r w:rsidRPr="005F36E3">
              <w:rPr>
                <w:rFonts w:asciiTheme="majorHAnsi" w:eastAsia="Times New Roman" w:hAnsiTheme="majorHAnsi" w:cs="Arial"/>
                <w:color w:val="000000"/>
                <w:sz w:val="18"/>
                <w:szCs w:val="18"/>
              </w:rPr>
              <w:t xml:space="preserve">s are partially developed and partially delivered </w:t>
            </w:r>
          </w:p>
        </w:tc>
        <w:tc>
          <w:tcPr>
            <w:tcW w:w="810" w:type="dxa"/>
            <w:tcBorders>
              <w:top w:val="nil"/>
              <w:left w:val="nil"/>
              <w:bottom w:val="single" w:sz="4" w:space="0" w:color="auto"/>
              <w:right w:val="single" w:sz="4" w:space="0" w:color="auto"/>
            </w:tcBorders>
            <w:shd w:val="clear" w:color="auto" w:fill="auto"/>
            <w:noWrap/>
            <w:vAlign w:val="bottom"/>
            <w:hideMark/>
          </w:tcPr>
          <w:p w14:paraId="0D190016"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1</w:t>
            </w:r>
          </w:p>
        </w:tc>
        <w:tc>
          <w:tcPr>
            <w:tcW w:w="990" w:type="dxa"/>
            <w:vMerge/>
            <w:tcBorders>
              <w:top w:val="nil"/>
              <w:left w:val="single" w:sz="4" w:space="0" w:color="auto"/>
              <w:bottom w:val="single" w:sz="4" w:space="0" w:color="000000"/>
              <w:right w:val="single" w:sz="4" w:space="0" w:color="auto"/>
            </w:tcBorders>
            <w:vAlign w:val="center"/>
            <w:hideMark/>
          </w:tcPr>
          <w:p w14:paraId="132511E7"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102C9074"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18AE7B33"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78B90AD2"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right w:val="single" w:sz="4" w:space="0" w:color="auto"/>
            </w:tcBorders>
          </w:tcPr>
          <w:p w14:paraId="6DE11C70"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right w:val="single" w:sz="4" w:space="0" w:color="auto"/>
            </w:tcBorders>
            <w:vAlign w:val="center"/>
          </w:tcPr>
          <w:p w14:paraId="700CE228"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7FB68A5B" w14:textId="77777777" w:rsidTr="005F36E3">
        <w:trPr>
          <w:trHeight w:val="240"/>
        </w:trPr>
        <w:tc>
          <w:tcPr>
            <w:tcW w:w="1345" w:type="dxa"/>
            <w:vMerge/>
            <w:tcBorders>
              <w:top w:val="nil"/>
              <w:left w:val="single" w:sz="4" w:space="0" w:color="auto"/>
              <w:bottom w:val="single" w:sz="4" w:space="0" w:color="000000"/>
              <w:right w:val="single" w:sz="4" w:space="0" w:color="auto"/>
            </w:tcBorders>
            <w:vAlign w:val="center"/>
            <w:hideMark/>
          </w:tcPr>
          <w:p w14:paraId="5A289F2B"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636F1B1F" w14:textId="171BC1AF"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E</w:t>
            </w:r>
            <w:r w:rsidR="005F36E3">
              <w:rPr>
                <w:rFonts w:asciiTheme="majorHAnsi" w:eastAsia="Times New Roman" w:hAnsiTheme="majorHAnsi" w:cs="Arial"/>
                <w:color w:val="000000"/>
                <w:sz w:val="18"/>
                <w:szCs w:val="18"/>
              </w:rPr>
              <w:t>nvironmental education program</w:t>
            </w:r>
            <w:r w:rsidRPr="005F36E3">
              <w:rPr>
                <w:rFonts w:asciiTheme="majorHAnsi" w:eastAsia="Times New Roman" w:hAnsiTheme="majorHAnsi" w:cs="Arial"/>
                <w:color w:val="000000"/>
                <w:sz w:val="18"/>
                <w:szCs w:val="18"/>
              </w:rPr>
              <w:t xml:space="preserve">s are fully developed but partially delivered </w:t>
            </w:r>
          </w:p>
        </w:tc>
        <w:tc>
          <w:tcPr>
            <w:tcW w:w="810" w:type="dxa"/>
            <w:tcBorders>
              <w:top w:val="nil"/>
              <w:left w:val="nil"/>
              <w:bottom w:val="single" w:sz="4" w:space="0" w:color="auto"/>
              <w:right w:val="single" w:sz="4" w:space="0" w:color="auto"/>
            </w:tcBorders>
            <w:shd w:val="clear" w:color="auto" w:fill="auto"/>
            <w:noWrap/>
            <w:vAlign w:val="bottom"/>
            <w:hideMark/>
          </w:tcPr>
          <w:p w14:paraId="387060AF"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990" w:type="dxa"/>
            <w:vMerge/>
            <w:tcBorders>
              <w:top w:val="nil"/>
              <w:left w:val="single" w:sz="4" w:space="0" w:color="auto"/>
              <w:bottom w:val="single" w:sz="4" w:space="0" w:color="000000"/>
              <w:right w:val="single" w:sz="4" w:space="0" w:color="auto"/>
            </w:tcBorders>
            <w:vAlign w:val="center"/>
            <w:hideMark/>
          </w:tcPr>
          <w:p w14:paraId="4A39ED0B"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2B47A62D"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76BEC464"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0F812B70"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right w:val="single" w:sz="4" w:space="0" w:color="auto"/>
            </w:tcBorders>
          </w:tcPr>
          <w:p w14:paraId="696C2BF2"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right w:val="single" w:sz="4" w:space="0" w:color="auto"/>
            </w:tcBorders>
            <w:vAlign w:val="center"/>
          </w:tcPr>
          <w:p w14:paraId="75DECEF5"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2B9E00C4" w14:textId="77777777" w:rsidTr="005F36E3">
        <w:trPr>
          <w:trHeight w:val="240"/>
        </w:trPr>
        <w:tc>
          <w:tcPr>
            <w:tcW w:w="1345" w:type="dxa"/>
            <w:vMerge/>
            <w:tcBorders>
              <w:top w:val="nil"/>
              <w:left w:val="single" w:sz="4" w:space="0" w:color="auto"/>
              <w:bottom w:val="single" w:sz="4" w:space="0" w:color="000000"/>
              <w:right w:val="single" w:sz="4" w:space="0" w:color="auto"/>
            </w:tcBorders>
            <w:vAlign w:val="center"/>
            <w:hideMark/>
          </w:tcPr>
          <w:p w14:paraId="18E6C0EB"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6783B496" w14:textId="605AC9E2"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Comprehensive e</w:t>
            </w:r>
            <w:r w:rsidR="005F36E3">
              <w:rPr>
                <w:rFonts w:asciiTheme="majorHAnsi" w:eastAsia="Times New Roman" w:hAnsiTheme="majorHAnsi" w:cs="Arial"/>
                <w:color w:val="000000"/>
                <w:sz w:val="18"/>
                <w:szCs w:val="18"/>
              </w:rPr>
              <w:t>nvironmental education program</w:t>
            </w:r>
            <w:r w:rsidRPr="005F36E3">
              <w:rPr>
                <w:rFonts w:asciiTheme="majorHAnsi" w:eastAsia="Times New Roman" w:hAnsiTheme="majorHAnsi" w:cs="Arial"/>
                <w:color w:val="000000"/>
                <w:sz w:val="18"/>
                <w:szCs w:val="18"/>
              </w:rPr>
              <w:t xml:space="preserve">s exist and are being delivered </w:t>
            </w:r>
          </w:p>
        </w:tc>
        <w:tc>
          <w:tcPr>
            <w:tcW w:w="810" w:type="dxa"/>
            <w:tcBorders>
              <w:top w:val="nil"/>
              <w:left w:val="nil"/>
              <w:bottom w:val="single" w:sz="4" w:space="0" w:color="auto"/>
              <w:right w:val="single" w:sz="4" w:space="0" w:color="auto"/>
            </w:tcBorders>
            <w:shd w:val="clear" w:color="auto" w:fill="auto"/>
            <w:noWrap/>
            <w:vAlign w:val="bottom"/>
            <w:hideMark/>
          </w:tcPr>
          <w:p w14:paraId="42B3C7B1"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3</w:t>
            </w:r>
          </w:p>
        </w:tc>
        <w:tc>
          <w:tcPr>
            <w:tcW w:w="990" w:type="dxa"/>
            <w:vMerge/>
            <w:tcBorders>
              <w:top w:val="nil"/>
              <w:left w:val="single" w:sz="4" w:space="0" w:color="auto"/>
              <w:bottom w:val="single" w:sz="4" w:space="0" w:color="000000"/>
              <w:right w:val="single" w:sz="4" w:space="0" w:color="auto"/>
            </w:tcBorders>
            <w:vAlign w:val="center"/>
            <w:hideMark/>
          </w:tcPr>
          <w:p w14:paraId="0600AC0B"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62D4D432"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19DD76D4"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602475BC"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bottom w:val="single" w:sz="4" w:space="0" w:color="000000"/>
              <w:right w:val="single" w:sz="4" w:space="0" w:color="auto"/>
            </w:tcBorders>
          </w:tcPr>
          <w:p w14:paraId="71C59B84"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bottom w:val="single" w:sz="4" w:space="0" w:color="000000"/>
              <w:right w:val="single" w:sz="4" w:space="0" w:color="auto"/>
            </w:tcBorders>
            <w:vAlign w:val="center"/>
          </w:tcPr>
          <w:p w14:paraId="44EBF836"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09092906" w14:textId="77777777" w:rsidTr="005F36E3">
        <w:trPr>
          <w:trHeight w:val="720"/>
        </w:trPr>
        <w:tc>
          <w:tcPr>
            <w:tcW w:w="1345" w:type="dxa"/>
            <w:vMerge w:val="restart"/>
            <w:tcBorders>
              <w:top w:val="nil"/>
              <w:left w:val="single" w:sz="4" w:space="0" w:color="auto"/>
              <w:bottom w:val="single" w:sz="4" w:space="0" w:color="000000"/>
              <w:right w:val="single" w:sz="4" w:space="0" w:color="auto"/>
            </w:tcBorders>
            <w:shd w:val="clear" w:color="auto" w:fill="auto"/>
            <w:hideMark/>
          </w:tcPr>
          <w:p w14:paraId="67902E2D" w14:textId="730DC090" w:rsidR="00B02352" w:rsidRPr="005F36E3" w:rsidRDefault="00B02352" w:rsidP="00B02352">
            <w:pPr>
              <w:spacing w:after="0"/>
              <w:jc w:val="left"/>
              <w:rPr>
                <w:rFonts w:asciiTheme="majorHAnsi" w:eastAsia="Times New Roman" w:hAnsiTheme="majorHAnsi"/>
                <w:b/>
                <w:bCs/>
                <w:color w:val="000000"/>
                <w:sz w:val="18"/>
                <w:szCs w:val="18"/>
              </w:rPr>
            </w:pPr>
            <w:r w:rsidRPr="005F36E3">
              <w:rPr>
                <w:rFonts w:asciiTheme="majorHAnsi" w:eastAsia="Times New Roman" w:hAnsiTheme="majorHAnsi"/>
                <w:b/>
                <w:bCs/>
                <w:color w:val="000000"/>
                <w:sz w:val="18"/>
                <w:szCs w:val="18"/>
              </w:rPr>
              <w:t>2.4. Extent of the lin</w:t>
            </w:r>
            <w:r w:rsidR="00FF141B">
              <w:rPr>
                <w:rFonts w:asciiTheme="majorHAnsi" w:eastAsia="Times New Roman" w:hAnsiTheme="majorHAnsi"/>
                <w:b/>
                <w:bCs/>
                <w:color w:val="000000"/>
                <w:sz w:val="18"/>
                <w:szCs w:val="18"/>
              </w:rPr>
              <w:t xml:space="preserve">kage between </w:t>
            </w:r>
            <w:r w:rsidRPr="005F36E3">
              <w:rPr>
                <w:rFonts w:asciiTheme="majorHAnsi" w:eastAsia="Times New Roman" w:hAnsiTheme="majorHAnsi"/>
                <w:b/>
                <w:bCs/>
                <w:color w:val="000000"/>
                <w:sz w:val="18"/>
                <w:szCs w:val="18"/>
              </w:rPr>
              <w:t>research/science and environmental policy development</w:t>
            </w:r>
          </w:p>
        </w:tc>
        <w:tc>
          <w:tcPr>
            <w:tcW w:w="3083" w:type="dxa"/>
            <w:tcBorders>
              <w:top w:val="nil"/>
              <w:left w:val="nil"/>
              <w:bottom w:val="single" w:sz="4" w:space="0" w:color="auto"/>
              <w:right w:val="single" w:sz="4" w:space="0" w:color="auto"/>
            </w:tcBorders>
            <w:shd w:val="clear" w:color="auto" w:fill="auto"/>
            <w:vAlign w:val="center"/>
            <w:hideMark/>
          </w:tcPr>
          <w:p w14:paraId="21485F6C" w14:textId="546DC6B3"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No linkage exist between environmental policy development and science/r</w:t>
            </w:r>
            <w:r w:rsidR="00FF141B">
              <w:rPr>
                <w:rFonts w:asciiTheme="majorHAnsi" w:eastAsia="Times New Roman" w:hAnsiTheme="majorHAnsi" w:cs="Arial"/>
                <w:color w:val="000000"/>
                <w:sz w:val="18"/>
                <w:szCs w:val="18"/>
              </w:rPr>
              <w:t>esearch strategies and program</w:t>
            </w:r>
            <w:r w:rsidRPr="005F36E3">
              <w:rPr>
                <w:rFonts w:asciiTheme="majorHAnsi" w:eastAsia="Times New Roman" w:hAnsiTheme="majorHAnsi" w:cs="Arial"/>
                <w:color w:val="000000"/>
                <w:sz w:val="18"/>
                <w:szCs w:val="18"/>
              </w:rPr>
              <w:t xml:space="preserve">s </w:t>
            </w:r>
          </w:p>
        </w:tc>
        <w:tc>
          <w:tcPr>
            <w:tcW w:w="810" w:type="dxa"/>
            <w:tcBorders>
              <w:top w:val="nil"/>
              <w:left w:val="nil"/>
              <w:bottom w:val="single" w:sz="4" w:space="0" w:color="auto"/>
              <w:right w:val="single" w:sz="4" w:space="0" w:color="auto"/>
            </w:tcBorders>
            <w:shd w:val="clear" w:color="auto" w:fill="auto"/>
            <w:noWrap/>
            <w:vAlign w:val="bottom"/>
            <w:hideMark/>
          </w:tcPr>
          <w:p w14:paraId="70817B5D"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0</w:t>
            </w:r>
          </w:p>
        </w:tc>
        <w:tc>
          <w:tcPr>
            <w:tcW w:w="9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66836A"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CC5140"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8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55D2A0"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3</w:t>
            </w:r>
          </w:p>
        </w:tc>
        <w:tc>
          <w:tcPr>
            <w:tcW w:w="2881" w:type="dxa"/>
            <w:gridSpan w:val="2"/>
            <w:vMerge w:val="restart"/>
            <w:tcBorders>
              <w:top w:val="nil"/>
              <w:left w:val="single" w:sz="4" w:space="0" w:color="auto"/>
              <w:bottom w:val="single" w:sz="4" w:space="0" w:color="000000"/>
              <w:right w:val="single" w:sz="4" w:space="0" w:color="auto"/>
            </w:tcBorders>
            <w:shd w:val="clear" w:color="auto" w:fill="auto"/>
            <w:noWrap/>
            <w:hideMark/>
          </w:tcPr>
          <w:p w14:paraId="157E1DD1" w14:textId="35AA6402"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Research-based findings are good in the marine sector, but policy does not adequately respond to findings. This is due to lack of mechanisms for sharing and integrations, lack of understanding of the important or relevance of the research, and political/economic considerations. Research in the terrestrial sector, as well as in social sectors, is more limited and similarly policy does not always respond to findings</w:t>
            </w:r>
            <w:r w:rsidR="00194AA1" w:rsidRPr="005F36E3">
              <w:rPr>
                <w:rFonts w:asciiTheme="majorHAnsi" w:eastAsia="Times New Roman" w:hAnsiTheme="majorHAnsi"/>
                <w:color w:val="000000"/>
                <w:sz w:val="18"/>
                <w:szCs w:val="18"/>
              </w:rPr>
              <w:t xml:space="preserve">. </w:t>
            </w:r>
            <w:r w:rsidRPr="005F36E3">
              <w:rPr>
                <w:rFonts w:asciiTheme="majorHAnsi" w:eastAsia="Times New Roman" w:hAnsiTheme="majorHAnsi"/>
                <w:color w:val="000000"/>
                <w:sz w:val="18"/>
                <w:szCs w:val="18"/>
              </w:rPr>
              <w:t xml:space="preserve">In some cases links are very strong, such as links between agricultural research and policy. </w:t>
            </w:r>
          </w:p>
        </w:tc>
        <w:tc>
          <w:tcPr>
            <w:tcW w:w="2430" w:type="dxa"/>
            <w:gridSpan w:val="2"/>
            <w:vMerge w:val="restart"/>
            <w:tcBorders>
              <w:top w:val="nil"/>
              <w:left w:val="single" w:sz="4" w:space="0" w:color="auto"/>
              <w:right w:val="single" w:sz="4" w:space="0" w:color="auto"/>
            </w:tcBorders>
          </w:tcPr>
          <w:p w14:paraId="224A9EAA"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Identify existing research needs for Landscape/ Seascape Planning and within the Biosecurity Sector. Fill immediate gaps with island and lagoon-wide mapping.</w:t>
            </w:r>
          </w:p>
        </w:tc>
        <w:tc>
          <w:tcPr>
            <w:tcW w:w="990" w:type="dxa"/>
            <w:gridSpan w:val="2"/>
            <w:vMerge w:val="restart"/>
            <w:tcBorders>
              <w:top w:val="nil"/>
              <w:left w:val="single" w:sz="4" w:space="0" w:color="auto"/>
              <w:right w:val="single" w:sz="4" w:space="0" w:color="auto"/>
            </w:tcBorders>
            <w:vAlign w:val="center"/>
          </w:tcPr>
          <w:p w14:paraId="23B59B07"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All</w:t>
            </w:r>
          </w:p>
        </w:tc>
      </w:tr>
      <w:tr w:rsidR="00B02352" w:rsidRPr="005F36E3" w14:paraId="551AFF97" w14:textId="77777777" w:rsidTr="005F36E3">
        <w:trPr>
          <w:trHeight w:val="480"/>
        </w:trPr>
        <w:tc>
          <w:tcPr>
            <w:tcW w:w="1345" w:type="dxa"/>
            <w:vMerge/>
            <w:tcBorders>
              <w:top w:val="nil"/>
              <w:left w:val="single" w:sz="4" w:space="0" w:color="auto"/>
              <w:bottom w:val="single" w:sz="4" w:space="0" w:color="000000"/>
              <w:right w:val="single" w:sz="4" w:space="0" w:color="auto"/>
            </w:tcBorders>
            <w:vAlign w:val="center"/>
            <w:hideMark/>
          </w:tcPr>
          <w:p w14:paraId="3F77779D"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653490DC" w14:textId="6A2517D6"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Research needs for environmental policy development are identified but are not translated into relevant r</w:t>
            </w:r>
            <w:r w:rsidR="00FF141B">
              <w:rPr>
                <w:rFonts w:asciiTheme="majorHAnsi" w:eastAsia="Times New Roman" w:hAnsiTheme="majorHAnsi" w:cs="Arial"/>
                <w:color w:val="000000"/>
                <w:sz w:val="18"/>
                <w:szCs w:val="18"/>
              </w:rPr>
              <w:t>esearch strategies and program</w:t>
            </w:r>
            <w:r w:rsidRPr="005F36E3">
              <w:rPr>
                <w:rFonts w:asciiTheme="majorHAnsi" w:eastAsia="Times New Roman" w:hAnsiTheme="majorHAnsi" w:cs="Arial"/>
                <w:color w:val="000000"/>
                <w:sz w:val="18"/>
                <w:szCs w:val="18"/>
              </w:rPr>
              <w:t xml:space="preserve">s </w:t>
            </w:r>
          </w:p>
        </w:tc>
        <w:tc>
          <w:tcPr>
            <w:tcW w:w="810" w:type="dxa"/>
            <w:tcBorders>
              <w:top w:val="nil"/>
              <w:left w:val="nil"/>
              <w:bottom w:val="single" w:sz="4" w:space="0" w:color="auto"/>
              <w:right w:val="single" w:sz="4" w:space="0" w:color="auto"/>
            </w:tcBorders>
            <w:shd w:val="clear" w:color="auto" w:fill="auto"/>
            <w:noWrap/>
            <w:vAlign w:val="bottom"/>
            <w:hideMark/>
          </w:tcPr>
          <w:p w14:paraId="2CA6250F"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1</w:t>
            </w:r>
          </w:p>
        </w:tc>
        <w:tc>
          <w:tcPr>
            <w:tcW w:w="990" w:type="dxa"/>
            <w:vMerge/>
            <w:tcBorders>
              <w:top w:val="nil"/>
              <w:left w:val="single" w:sz="4" w:space="0" w:color="auto"/>
              <w:bottom w:val="single" w:sz="4" w:space="0" w:color="000000"/>
              <w:right w:val="single" w:sz="4" w:space="0" w:color="auto"/>
            </w:tcBorders>
            <w:vAlign w:val="center"/>
            <w:hideMark/>
          </w:tcPr>
          <w:p w14:paraId="7CE881D1"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7EC9392A"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08A30569"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71133813"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right w:val="single" w:sz="4" w:space="0" w:color="auto"/>
            </w:tcBorders>
          </w:tcPr>
          <w:p w14:paraId="095B342E"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right w:val="single" w:sz="4" w:space="0" w:color="auto"/>
            </w:tcBorders>
            <w:vAlign w:val="center"/>
          </w:tcPr>
          <w:p w14:paraId="0AED852E"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662B2C37" w14:textId="77777777" w:rsidTr="005F36E3">
        <w:trPr>
          <w:trHeight w:val="480"/>
        </w:trPr>
        <w:tc>
          <w:tcPr>
            <w:tcW w:w="1345" w:type="dxa"/>
            <w:vMerge/>
            <w:tcBorders>
              <w:top w:val="nil"/>
              <w:left w:val="single" w:sz="4" w:space="0" w:color="auto"/>
              <w:bottom w:val="single" w:sz="4" w:space="0" w:color="000000"/>
              <w:right w:val="single" w:sz="4" w:space="0" w:color="auto"/>
            </w:tcBorders>
            <w:vAlign w:val="center"/>
            <w:hideMark/>
          </w:tcPr>
          <w:p w14:paraId="07CC2172"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3D2BC0DF" w14:textId="0C7E199C"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Relevant rese</w:t>
            </w:r>
            <w:r w:rsidR="00FF141B">
              <w:rPr>
                <w:rFonts w:asciiTheme="majorHAnsi" w:eastAsia="Times New Roman" w:hAnsiTheme="majorHAnsi" w:cs="Arial"/>
                <w:color w:val="000000"/>
                <w:sz w:val="18"/>
                <w:szCs w:val="18"/>
              </w:rPr>
              <w:t>arch strategies and program</w:t>
            </w:r>
            <w:r w:rsidRPr="005F36E3">
              <w:rPr>
                <w:rFonts w:asciiTheme="majorHAnsi" w:eastAsia="Times New Roman" w:hAnsiTheme="majorHAnsi" w:cs="Arial"/>
                <w:color w:val="000000"/>
                <w:sz w:val="18"/>
                <w:szCs w:val="18"/>
              </w:rPr>
              <w:t xml:space="preserve">s for environmental policy development exist but the research information is not responding fully to the policy research needs </w:t>
            </w:r>
          </w:p>
        </w:tc>
        <w:tc>
          <w:tcPr>
            <w:tcW w:w="810" w:type="dxa"/>
            <w:tcBorders>
              <w:top w:val="nil"/>
              <w:left w:val="nil"/>
              <w:bottom w:val="single" w:sz="4" w:space="0" w:color="auto"/>
              <w:right w:val="single" w:sz="4" w:space="0" w:color="auto"/>
            </w:tcBorders>
            <w:shd w:val="clear" w:color="auto" w:fill="auto"/>
            <w:noWrap/>
            <w:vAlign w:val="bottom"/>
            <w:hideMark/>
          </w:tcPr>
          <w:p w14:paraId="5292F62A"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990" w:type="dxa"/>
            <w:vMerge/>
            <w:tcBorders>
              <w:top w:val="nil"/>
              <w:left w:val="single" w:sz="4" w:space="0" w:color="auto"/>
              <w:bottom w:val="single" w:sz="4" w:space="0" w:color="000000"/>
              <w:right w:val="single" w:sz="4" w:space="0" w:color="auto"/>
            </w:tcBorders>
            <w:vAlign w:val="center"/>
            <w:hideMark/>
          </w:tcPr>
          <w:p w14:paraId="6AFA8A36"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28953B78"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00173C32"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166CF63A"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right w:val="single" w:sz="4" w:space="0" w:color="auto"/>
            </w:tcBorders>
          </w:tcPr>
          <w:p w14:paraId="6D2EBB0D"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right w:val="single" w:sz="4" w:space="0" w:color="auto"/>
            </w:tcBorders>
            <w:vAlign w:val="center"/>
          </w:tcPr>
          <w:p w14:paraId="34CAE11F"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7749C6F8" w14:textId="77777777" w:rsidTr="005F36E3">
        <w:trPr>
          <w:trHeight w:val="240"/>
        </w:trPr>
        <w:tc>
          <w:tcPr>
            <w:tcW w:w="1345" w:type="dxa"/>
            <w:vMerge/>
            <w:tcBorders>
              <w:top w:val="nil"/>
              <w:left w:val="single" w:sz="4" w:space="0" w:color="auto"/>
              <w:bottom w:val="single" w:sz="4" w:space="0" w:color="000000"/>
              <w:right w:val="single" w:sz="4" w:space="0" w:color="auto"/>
            </w:tcBorders>
            <w:vAlign w:val="center"/>
            <w:hideMark/>
          </w:tcPr>
          <w:p w14:paraId="214C1E89"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003C3E79"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Relevant research results are available for environmental policy development </w:t>
            </w:r>
          </w:p>
        </w:tc>
        <w:tc>
          <w:tcPr>
            <w:tcW w:w="810" w:type="dxa"/>
            <w:tcBorders>
              <w:top w:val="nil"/>
              <w:left w:val="nil"/>
              <w:bottom w:val="single" w:sz="4" w:space="0" w:color="auto"/>
              <w:right w:val="single" w:sz="4" w:space="0" w:color="auto"/>
            </w:tcBorders>
            <w:shd w:val="clear" w:color="auto" w:fill="auto"/>
            <w:noWrap/>
            <w:vAlign w:val="bottom"/>
            <w:hideMark/>
          </w:tcPr>
          <w:p w14:paraId="22354D20"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3</w:t>
            </w:r>
          </w:p>
        </w:tc>
        <w:tc>
          <w:tcPr>
            <w:tcW w:w="990" w:type="dxa"/>
            <w:vMerge/>
            <w:tcBorders>
              <w:top w:val="nil"/>
              <w:left w:val="single" w:sz="4" w:space="0" w:color="auto"/>
              <w:bottom w:val="single" w:sz="4" w:space="0" w:color="000000"/>
              <w:right w:val="single" w:sz="4" w:space="0" w:color="auto"/>
            </w:tcBorders>
            <w:vAlign w:val="center"/>
            <w:hideMark/>
          </w:tcPr>
          <w:p w14:paraId="71DC7BB2"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3282574C"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4D5BCD5C"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55E21897"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bottom w:val="single" w:sz="4" w:space="0" w:color="000000"/>
              <w:right w:val="single" w:sz="4" w:space="0" w:color="auto"/>
            </w:tcBorders>
          </w:tcPr>
          <w:p w14:paraId="5DD62E59"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bottom w:val="single" w:sz="4" w:space="0" w:color="000000"/>
              <w:right w:val="single" w:sz="4" w:space="0" w:color="auto"/>
            </w:tcBorders>
            <w:vAlign w:val="center"/>
          </w:tcPr>
          <w:p w14:paraId="7CBCEFD5"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57F187E9" w14:textId="77777777" w:rsidTr="005F36E3">
        <w:trPr>
          <w:trHeight w:val="720"/>
        </w:trPr>
        <w:tc>
          <w:tcPr>
            <w:tcW w:w="1345" w:type="dxa"/>
            <w:vMerge w:val="restart"/>
            <w:tcBorders>
              <w:top w:val="nil"/>
              <w:left w:val="single" w:sz="4" w:space="0" w:color="auto"/>
              <w:bottom w:val="single" w:sz="4" w:space="0" w:color="000000"/>
              <w:right w:val="single" w:sz="4" w:space="0" w:color="auto"/>
            </w:tcBorders>
            <w:shd w:val="clear" w:color="auto" w:fill="auto"/>
            <w:hideMark/>
          </w:tcPr>
          <w:p w14:paraId="64631D64" w14:textId="5E96FFC1" w:rsidR="00B02352" w:rsidRPr="005F36E3" w:rsidRDefault="00B02352" w:rsidP="00B02352">
            <w:pPr>
              <w:spacing w:after="0"/>
              <w:jc w:val="left"/>
              <w:rPr>
                <w:rFonts w:asciiTheme="majorHAnsi" w:eastAsia="Times New Roman" w:hAnsiTheme="majorHAnsi"/>
                <w:b/>
                <w:bCs/>
                <w:color w:val="000000"/>
                <w:sz w:val="18"/>
                <w:szCs w:val="18"/>
              </w:rPr>
            </w:pPr>
            <w:r w:rsidRPr="005F36E3">
              <w:rPr>
                <w:rFonts w:asciiTheme="majorHAnsi" w:eastAsia="Times New Roman" w:hAnsiTheme="majorHAnsi"/>
                <w:b/>
                <w:bCs/>
                <w:color w:val="000000"/>
                <w:sz w:val="18"/>
                <w:szCs w:val="18"/>
              </w:rPr>
              <w:t xml:space="preserve">2.5. Extent of inclusion/use of traditional knowledge in </w:t>
            </w:r>
            <w:r w:rsidR="00FF141B">
              <w:rPr>
                <w:rFonts w:asciiTheme="majorHAnsi" w:eastAsia="Times New Roman" w:hAnsiTheme="majorHAnsi"/>
                <w:b/>
                <w:bCs/>
                <w:color w:val="000000"/>
                <w:sz w:val="18"/>
                <w:szCs w:val="18"/>
              </w:rPr>
              <w:t xml:space="preserve">environmental </w:t>
            </w:r>
            <w:r w:rsidRPr="005F36E3">
              <w:rPr>
                <w:rFonts w:asciiTheme="majorHAnsi" w:eastAsia="Times New Roman" w:hAnsiTheme="majorHAnsi"/>
                <w:b/>
                <w:bCs/>
                <w:color w:val="000000"/>
                <w:sz w:val="18"/>
                <w:szCs w:val="18"/>
              </w:rPr>
              <w:t>decision-making</w:t>
            </w:r>
          </w:p>
        </w:tc>
        <w:tc>
          <w:tcPr>
            <w:tcW w:w="3083" w:type="dxa"/>
            <w:tcBorders>
              <w:top w:val="nil"/>
              <w:left w:val="nil"/>
              <w:bottom w:val="single" w:sz="4" w:space="0" w:color="auto"/>
              <w:right w:val="single" w:sz="4" w:space="0" w:color="auto"/>
            </w:tcBorders>
            <w:shd w:val="clear" w:color="auto" w:fill="auto"/>
            <w:vAlign w:val="center"/>
            <w:hideMark/>
          </w:tcPr>
          <w:p w14:paraId="496B6490"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Traditional knowledge is ignored and not taken into account into relevant participative decision-making processes </w:t>
            </w:r>
          </w:p>
        </w:tc>
        <w:tc>
          <w:tcPr>
            <w:tcW w:w="810" w:type="dxa"/>
            <w:tcBorders>
              <w:top w:val="nil"/>
              <w:left w:val="nil"/>
              <w:bottom w:val="single" w:sz="4" w:space="0" w:color="auto"/>
              <w:right w:val="single" w:sz="4" w:space="0" w:color="auto"/>
            </w:tcBorders>
            <w:shd w:val="clear" w:color="auto" w:fill="auto"/>
            <w:noWrap/>
            <w:vAlign w:val="bottom"/>
            <w:hideMark/>
          </w:tcPr>
          <w:p w14:paraId="37FDBCFB"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0</w:t>
            </w:r>
          </w:p>
        </w:tc>
        <w:tc>
          <w:tcPr>
            <w:tcW w:w="9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47CCC4"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873E0B"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8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63E05F"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3</w:t>
            </w:r>
          </w:p>
        </w:tc>
        <w:tc>
          <w:tcPr>
            <w:tcW w:w="2881" w:type="dxa"/>
            <w:gridSpan w:val="2"/>
            <w:vMerge w:val="restart"/>
            <w:tcBorders>
              <w:top w:val="nil"/>
              <w:left w:val="single" w:sz="4" w:space="0" w:color="auto"/>
              <w:bottom w:val="single" w:sz="4" w:space="0" w:color="000000"/>
              <w:right w:val="single" w:sz="4" w:space="0" w:color="auto"/>
            </w:tcBorders>
            <w:shd w:val="clear" w:color="auto" w:fill="auto"/>
            <w:noWrap/>
            <w:hideMark/>
          </w:tcPr>
          <w:p w14:paraId="26A37514"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Research programs generally acknowledge the role and importance of Traditional Knowledge, but this is not translated into policy or action. There are no formal mechanisms for incorporating Traditional Knowledge.</w:t>
            </w:r>
          </w:p>
        </w:tc>
        <w:tc>
          <w:tcPr>
            <w:tcW w:w="2430" w:type="dxa"/>
            <w:gridSpan w:val="2"/>
            <w:vMerge w:val="restart"/>
            <w:tcBorders>
              <w:top w:val="nil"/>
              <w:left w:val="single" w:sz="4" w:space="0" w:color="auto"/>
              <w:right w:val="single" w:sz="4" w:space="0" w:color="auto"/>
            </w:tcBorders>
          </w:tcPr>
          <w:p w14:paraId="67CF4E90" w14:textId="74A5C24D"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Through stakeholder participation and gender mainstreaming/inclusivity procedures, provide mechanisms for sharing and integration of Traditional Knowledge into Landscap</w:t>
            </w:r>
            <w:r w:rsidR="00FF141B">
              <w:rPr>
                <w:rFonts w:asciiTheme="majorHAnsi" w:eastAsia="Times New Roman" w:hAnsiTheme="majorHAnsi"/>
                <w:color w:val="000000"/>
                <w:sz w:val="18"/>
                <w:szCs w:val="18"/>
              </w:rPr>
              <w:t xml:space="preserve">e/ Seascape Plans. Ensure that </w:t>
            </w:r>
            <w:r w:rsidRPr="005F36E3">
              <w:rPr>
                <w:rFonts w:asciiTheme="majorHAnsi" w:eastAsia="Times New Roman" w:hAnsiTheme="majorHAnsi"/>
                <w:color w:val="000000"/>
                <w:sz w:val="18"/>
                <w:szCs w:val="18"/>
              </w:rPr>
              <w:t>Planning teams have such mechanisms.</w:t>
            </w:r>
          </w:p>
        </w:tc>
        <w:tc>
          <w:tcPr>
            <w:tcW w:w="990" w:type="dxa"/>
            <w:gridSpan w:val="2"/>
            <w:vMerge w:val="restart"/>
            <w:tcBorders>
              <w:top w:val="nil"/>
              <w:left w:val="single" w:sz="4" w:space="0" w:color="auto"/>
              <w:right w:val="single" w:sz="4" w:space="0" w:color="auto"/>
            </w:tcBorders>
            <w:vAlign w:val="center"/>
          </w:tcPr>
          <w:p w14:paraId="1705E366"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 and 3</w:t>
            </w:r>
          </w:p>
        </w:tc>
      </w:tr>
      <w:tr w:rsidR="00B02352" w:rsidRPr="005F36E3" w14:paraId="16A45771" w14:textId="77777777" w:rsidTr="005F36E3">
        <w:trPr>
          <w:trHeight w:val="480"/>
        </w:trPr>
        <w:tc>
          <w:tcPr>
            <w:tcW w:w="1345" w:type="dxa"/>
            <w:vMerge/>
            <w:tcBorders>
              <w:top w:val="nil"/>
              <w:left w:val="single" w:sz="4" w:space="0" w:color="auto"/>
              <w:bottom w:val="single" w:sz="4" w:space="0" w:color="000000"/>
              <w:right w:val="single" w:sz="4" w:space="0" w:color="auto"/>
            </w:tcBorders>
            <w:vAlign w:val="center"/>
            <w:hideMark/>
          </w:tcPr>
          <w:p w14:paraId="67F7D6E6"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29FC2CEB"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Traditional knowledge is identified and recognized as important but is not collected and used in relevant participative decision-making processes </w:t>
            </w:r>
          </w:p>
        </w:tc>
        <w:tc>
          <w:tcPr>
            <w:tcW w:w="810" w:type="dxa"/>
            <w:tcBorders>
              <w:top w:val="nil"/>
              <w:left w:val="nil"/>
              <w:bottom w:val="single" w:sz="4" w:space="0" w:color="auto"/>
              <w:right w:val="single" w:sz="4" w:space="0" w:color="auto"/>
            </w:tcBorders>
            <w:shd w:val="clear" w:color="auto" w:fill="auto"/>
            <w:noWrap/>
            <w:vAlign w:val="bottom"/>
            <w:hideMark/>
          </w:tcPr>
          <w:p w14:paraId="4A53F469"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1</w:t>
            </w:r>
          </w:p>
        </w:tc>
        <w:tc>
          <w:tcPr>
            <w:tcW w:w="990" w:type="dxa"/>
            <w:vMerge/>
            <w:tcBorders>
              <w:top w:val="nil"/>
              <w:left w:val="single" w:sz="4" w:space="0" w:color="auto"/>
              <w:bottom w:val="single" w:sz="4" w:space="0" w:color="000000"/>
              <w:right w:val="single" w:sz="4" w:space="0" w:color="auto"/>
            </w:tcBorders>
            <w:vAlign w:val="center"/>
            <w:hideMark/>
          </w:tcPr>
          <w:p w14:paraId="11D42D19"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13D2E077"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1BF9FA8B"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600D5AA5"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right w:val="single" w:sz="4" w:space="0" w:color="auto"/>
            </w:tcBorders>
          </w:tcPr>
          <w:p w14:paraId="7B5B55F6"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right w:val="single" w:sz="4" w:space="0" w:color="auto"/>
            </w:tcBorders>
            <w:vAlign w:val="center"/>
          </w:tcPr>
          <w:p w14:paraId="79FDBF64"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419BF914" w14:textId="77777777" w:rsidTr="005F36E3">
        <w:trPr>
          <w:trHeight w:val="480"/>
        </w:trPr>
        <w:tc>
          <w:tcPr>
            <w:tcW w:w="1345" w:type="dxa"/>
            <w:vMerge/>
            <w:tcBorders>
              <w:top w:val="nil"/>
              <w:left w:val="single" w:sz="4" w:space="0" w:color="auto"/>
              <w:bottom w:val="single" w:sz="4" w:space="0" w:color="000000"/>
              <w:right w:val="single" w:sz="4" w:space="0" w:color="auto"/>
            </w:tcBorders>
            <w:vAlign w:val="center"/>
            <w:hideMark/>
          </w:tcPr>
          <w:p w14:paraId="39BB441F"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60312A55" w14:textId="61DE7563"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Traditional knowledge is collected but is not used systematically into relevant participative decision</w:t>
            </w:r>
            <w:r w:rsidR="00FF141B">
              <w:rPr>
                <w:rFonts w:asciiTheme="majorHAnsi" w:eastAsia="Times New Roman" w:hAnsiTheme="majorHAnsi" w:cs="Arial"/>
                <w:color w:val="000000"/>
                <w:sz w:val="18"/>
                <w:szCs w:val="18"/>
              </w:rPr>
              <w:t>-</w:t>
            </w:r>
            <w:r w:rsidRPr="005F36E3">
              <w:rPr>
                <w:rFonts w:asciiTheme="majorHAnsi" w:eastAsia="Times New Roman" w:hAnsiTheme="majorHAnsi" w:cs="Arial"/>
                <w:color w:val="000000"/>
                <w:sz w:val="18"/>
                <w:szCs w:val="18"/>
              </w:rPr>
              <w:t xml:space="preserve">making processes </w:t>
            </w:r>
          </w:p>
        </w:tc>
        <w:tc>
          <w:tcPr>
            <w:tcW w:w="810" w:type="dxa"/>
            <w:tcBorders>
              <w:top w:val="nil"/>
              <w:left w:val="nil"/>
              <w:bottom w:val="single" w:sz="4" w:space="0" w:color="auto"/>
              <w:right w:val="single" w:sz="4" w:space="0" w:color="auto"/>
            </w:tcBorders>
            <w:shd w:val="clear" w:color="auto" w:fill="auto"/>
            <w:noWrap/>
            <w:vAlign w:val="bottom"/>
            <w:hideMark/>
          </w:tcPr>
          <w:p w14:paraId="5931ED3F"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990" w:type="dxa"/>
            <w:vMerge/>
            <w:tcBorders>
              <w:top w:val="nil"/>
              <w:left w:val="single" w:sz="4" w:space="0" w:color="auto"/>
              <w:bottom w:val="single" w:sz="4" w:space="0" w:color="000000"/>
              <w:right w:val="single" w:sz="4" w:space="0" w:color="auto"/>
            </w:tcBorders>
            <w:vAlign w:val="center"/>
            <w:hideMark/>
          </w:tcPr>
          <w:p w14:paraId="6B677914"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7B9CE362"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4CCC0ED4"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4B61A7F7"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right w:val="single" w:sz="4" w:space="0" w:color="auto"/>
            </w:tcBorders>
          </w:tcPr>
          <w:p w14:paraId="7C759D79"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right w:val="single" w:sz="4" w:space="0" w:color="auto"/>
            </w:tcBorders>
            <w:vAlign w:val="center"/>
          </w:tcPr>
          <w:p w14:paraId="472716A1"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58355B5A" w14:textId="77777777" w:rsidTr="005F36E3">
        <w:trPr>
          <w:trHeight w:val="240"/>
        </w:trPr>
        <w:tc>
          <w:tcPr>
            <w:tcW w:w="1345" w:type="dxa"/>
            <w:vMerge/>
            <w:tcBorders>
              <w:top w:val="nil"/>
              <w:left w:val="single" w:sz="4" w:space="0" w:color="auto"/>
              <w:bottom w:val="single" w:sz="4" w:space="0" w:color="000000"/>
              <w:right w:val="single" w:sz="4" w:space="0" w:color="auto"/>
            </w:tcBorders>
            <w:vAlign w:val="center"/>
            <w:hideMark/>
          </w:tcPr>
          <w:p w14:paraId="17AF3EE6"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390CADBC"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Traditional knowledge is collected, used and shared for effective participative decision-making processes </w:t>
            </w:r>
          </w:p>
        </w:tc>
        <w:tc>
          <w:tcPr>
            <w:tcW w:w="810" w:type="dxa"/>
            <w:tcBorders>
              <w:top w:val="nil"/>
              <w:left w:val="nil"/>
              <w:bottom w:val="single" w:sz="4" w:space="0" w:color="auto"/>
              <w:right w:val="single" w:sz="4" w:space="0" w:color="auto"/>
            </w:tcBorders>
            <w:shd w:val="clear" w:color="auto" w:fill="auto"/>
            <w:noWrap/>
            <w:vAlign w:val="bottom"/>
            <w:hideMark/>
          </w:tcPr>
          <w:p w14:paraId="3671D745"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3</w:t>
            </w:r>
          </w:p>
        </w:tc>
        <w:tc>
          <w:tcPr>
            <w:tcW w:w="990" w:type="dxa"/>
            <w:vMerge/>
            <w:tcBorders>
              <w:top w:val="nil"/>
              <w:left w:val="single" w:sz="4" w:space="0" w:color="auto"/>
              <w:bottom w:val="single" w:sz="4" w:space="0" w:color="000000"/>
              <w:right w:val="single" w:sz="4" w:space="0" w:color="auto"/>
            </w:tcBorders>
            <w:vAlign w:val="center"/>
            <w:hideMark/>
          </w:tcPr>
          <w:p w14:paraId="485C40F7"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163527D6"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104609FF"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69FA3986"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bottom w:val="single" w:sz="4" w:space="0" w:color="000000"/>
              <w:right w:val="single" w:sz="4" w:space="0" w:color="auto"/>
            </w:tcBorders>
          </w:tcPr>
          <w:p w14:paraId="3F7DCB3B"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bottom w:val="single" w:sz="4" w:space="0" w:color="000000"/>
              <w:right w:val="single" w:sz="4" w:space="0" w:color="auto"/>
            </w:tcBorders>
            <w:vAlign w:val="center"/>
          </w:tcPr>
          <w:p w14:paraId="57EA7272"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3502E219" w14:textId="77777777" w:rsidTr="00A35929">
        <w:trPr>
          <w:trHeight w:val="480"/>
        </w:trPr>
        <w:tc>
          <w:tcPr>
            <w:tcW w:w="10639" w:type="dxa"/>
            <w:gridSpan w:val="8"/>
            <w:tcBorders>
              <w:top w:val="single" w:sz="4" w:space="0" w:color="auto"/>
              <w:left w:val="single" w:sz="4" w:space="0" w:color="auto"/>
              <w:bottom w:val="single" w:sz="4" w:space="0" w:color="auto"/>
              <w:right w:val="nil"/>
            </w:tcBorders>
            <w:shd w:val="clear" w:color="000000" w:fill="D6E3BC"/>
            <w:hideMark/>
          </w:tcPr>
          <w:p w14:paraId="11FE60AB" w14:textId="77777777" w:rsidR="00B02352" w:rsidRPr="005F36E3" w:rsidRDefault="00B02352" w:rsidP="00B02352">
            <w:pPr>
              <w:spacing w:after="0"/>
              <w:jc w:val="left"/>
              <w:rPr>
                <w:rFonts w:asciiTheme="majorHAnsi" w:eastAsia="Times New Roman" w:hAnsiTheme="majorHAnsi"/>
                <w:b/>
                <w:bCs/>
                <w:color w:val="000000"/>
                <w:sz w:val="18"/>
                <w:szCs w:val="18"/>
              </w:rPr>
            </w:pPr>
            <w:r w:rsidRPr="005F36E3">
              <w:rPr>
                <w:rFonts w:asciiTheme="majorHAnsi" w:eastAsia="Times New Roman" w:hAnsiTheme="majorHAnsi"/>
                <w:b/>
                <w:bCs/>
                <w:color w:val="000000"/>
                <w:sz w:val="18"/>
                <w:szCs w:val="18"/>
              </w:rPr>
              <w:t>CR 3: Capacities to strategy, policy and legislation development</w:t>
            </w:r>
          </w:p>
        </w:tc>
        <w:tc>
          <w:tcPr>
            <w:tcW w:w="2430" w:type="dxa"/>
            <w:gridSpan w:val="2"/>
            <w:tcBorders>
              <w:top w:val="single" w:sz="4" w:space="0" w:color="auto"/>
              <w:left w:val="single" w:sz="4" w:space="0" w:color="auto"/>
              <w:bottom w:val="single" w:sz="4" w:space="0" w:color="auto"/>
              <w:right w:val="nil"/>
            </w:tcBorders>
            <w:shd w:val="clear" w:color="000000" w:fill="D6E3BC"/>
          </w:tcPr>
          <w:p w14:paraId="66CF32D8"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990" w:type="dxa"/>
            <w:gridSpan w:val="2"/>
            <w:tcBorders>
              <w:top w:val="single" w:sz="4" w:space="0" w:color="auto"/>
              <w:left w:val="single" w:sz="4" w:space="0" w:color="auto"/>
              <w:bottom w:val="single" w:sz="4" w:space="0" w:color="auto"/>
              <w:right w:val="nil"/>
            </w:tcBorders>
            <w:shd w:val="clear" w:color="000000" w:fill="D6E3BC"/>
            <w:vAlign w:val="center"/>
          </w:tcPr>
          <w:p w14:paraId="35DE878C" w14:textId="77777777" w:rsidR="00B02352" w:rsidRPr="005F36E3" w:rsidRDefault="00B02352" w:rsidP="00B02352">
            <w:pPr>
              <w:spacing w:after="0"/>
              <w:jc w:val="left"/>
              <w:rPr>
                <w:rFonts w:asciiTheme="majorHAnsi" w:eastAsia="Times New Roman" w:hAnsiTheme="majorHAnsi"/>
                <w:b/>
                <w:bCs/>
                <w:color w:val="000000"/>
                <w:sz w:val="18"/>
                <w:szCs w:val="18"/>
              </w:rPr>
            </w:pPr>
          </w:p>
        </w:tc>
      </w:tr>
      <w:tr w:rsidR="00B02352" w:rsidRPr="005F36E3" w14:paraId="03F22EEB" w14:textId="77777777" w:rsidTr="005F36E3">
        <w:trPr>
          <w:trHeight w:val="720"/>
        </w:trPr>
        <w:tc>
          <w:tcPr>
            <w:tcW w:w="1345" w:type="dxa"/>
            <w:vMerge w:val="restart"/>
            <w:tcBorders>
              <w:top w:val="nil"/>
              <w:left w:val="single" w:sz="4" w:space="0" w:color="auto"/>
              <w:bottom w:val="single" w:sz="4" w:space="0" w:color="000000"/>
              <w:right w:val="single" w:sz="4" w:space="0" w:color="auto"/>
            </w:tcBorders>
            <w:shd w:val="clear" w:color="auto" w:fill="auto"/>
            <w:hideMark/>
          </w:tcPr>
          <w:p w14:paraId="4AA8A38F" w14:textId="77777777" w:rsidR="00B02352" w:rsidRPr="005F36E3" w:rsidRDefault="00B02352" w:rsidP="00B02352">
            <w:pPr>
              <w:spacing w:after="0"/>
              <w:jc w:val="left"/>
              <w:rPr>
                <w:rFonts w:asciiTheme="majorHAnsi" w:eastAsia="Times New Roman" w:hAnsiTheme="majorHAnsi"/>
                <w:b/>
                <w:bCs/>
                <w:color w:val="000000"/>
                <w:sz w:val="18"/>
                <w:szCs w:val="18"/>
              </w:rPr>
            </w:pPr>
            <w:r w:rsidRPr="005F36E3">
              <w:rPr>
                <w:rFonts w:asciiTheme="majorHAnsi" w:eastAsia="Times New Roman" w:hAnsiTheme="majorHAnsi"/>
                <w:b/>
                <w:bCs/>
                <w:color w:val="000000"/>
                <w:sz w:val="18"/>
                <w:szCs w:val="18"/>
              </w:rPr>
              <w:t>3.1. Extent of the environmental planning and strategy development process</w:t>
            </w:r>
          </w:p>
        </w:tc>
        <w:tc>
          <w:tcPr>
            <w:tcW w:w="3083" w:type="dxa"/>
            <w:tcBorders>
              <w:top w:val="nil"/>
              <w:left w:val="nil"/>
              <w:bottom w:val="single" w:sz="4" w:space="0" w:color="auto"/>
              <w:right w:val="single" w:sz="4" w:space="0" w:color="auto"/>
            </w:tcBorders>
            <w:shd w:val="clear" w:color="auto" w:fill="auto"/>
            <w:vAlign w:val="center"/>
            <w:hideMark/>
          </w:tcPr>
          <w:p w14:paraId="429793EB"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The environmental planning and strategy development process is not coordinated and does not produce adequate environmental plans and strategies </w:t>
            </w:r>
          </w:p>
        </w:tc>
        <w:tc>
          <w:tcPr>
            <w:tcW w:w="810" w:type="dxa"/>
            <w:tcBorders>
              <w:top w:val="nil"/>
              <w:left w:val="nil"/>
              <w:bottom w:val="single" w:sz="4" w:space="0" w:color="auto"/>
              <w:right w:val="single" w:sz="4" w:space="0" w:color="auto"/>
            </w:tcBorders>
            <w:shd w:val="clear" w:color="auto" w:fill="auto"/>
            <w:noWrap/>
            <w:vAlign w:val="bottom"/>
            <w:hideMark/>
          </w:tcPr>
          <w:p w14:paraId="4C127896"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0</w:t>
            </w:r>
          </w:p>
        </w:tc>
        <w:tc>
          <w:tcPr>
            <w:tcW w:w="9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A8E0A4"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BEDEBA"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8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7355D1"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3</w:t>
            </w:r>
          </w:p>
        </w:tc>
        <w:tc>
          <w:tcPr>
            <w:tcW w:w="2881" w:type="dxa"/>
            <w:gridSpan w:val="2"/>
            <w:vMerge w:val="restart"/>
            <w:tcBorders>
              <w:top w:val="nil"/>
              <w:left w:val="single" w:sz="4" w:space="0" w:color="auto"/>
              <w:bottom w:val="single" w:sz="4" w:space="0" w:color="000000"/>
              <w:right w:val="single" w:sz="4" w:space="0" w:color="auto"/>
            </w:tcBorders>
            <w:shd w:val="clear" w:color="auto" w:fill="auto"/>
            <w:noWrap/>
            <w:hideMark/>
          </w:tcPr>
          <w:p w14:paraId="6CAC76D7" w14:textId="5682EEA0"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 There are environmental plans and strategies in place but not all are up-to-date. Additionally, these plans are mostly thematic plans and strategies such as the NBSAP biodiversity and the NAP land degradation and there is no overarching environmental polic</w:t>
            </w:r>
            <w:r w:rsidR="00EB71A9" w:rsidRPr="005F36E3">
              <w:rPr>
                <w:rFonts w:asciiTheme="majorHAnsi" w:eastAsia="Times New Roman" w:hAnsiTheme="majorHAnsi"/>
                <w:color w:val="000000"/>
                <w:sz w:val="18"/>
                <w:szCs w:val="18"/>
              </w:rPr>
              <w:t xml:space="preserve">y up-to-date. Protection of the </w:t>
            </w:r>
            <w:r w:rsidRPr="005F36E3">
              <w:rPr>
                <w:rFonts w:asciiTheme="majorHAnsi" w:eastAsia="Times New Roman" w:hAnsiTheme="majorHAnsi"/>
                <w:color w:val="000000"/>
                <w:sz w:val="18"/>
                <w:szCs w:val="18"/>
              </w:rPr>
              <w:t>environment is becoming more of a priority in the development agenda of Palau, but mechanisms to mainstream biodiversity and environmental protection are limited generally only by EQPB.</w:t>
            </w:r>
          </w:p>
        </w:tc>
        <w:tc>
          <w:tcPr>
            <w:tcW w:w="2430" w:type="dxa"/>
            <w:gridSpan w:val="2"/>
            <w:vMerge w:val="restart"/>
            <w:tcBorders>
              <w:top w:val="nil"/>
              <w:left w:val="single" w:sz="4" w:space="0" w:color="auto"/>
              <w:right w:val="single" w:sz="4" w:space="0" w:color="auto"/>
            </w:tcBorders>
          </w:tcPr>
          <w:p w14:paraId="2F57FB7C"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Implement Landscape/ Seascape Planning mechanisms, including stakeholder teams, cross-sector coordination through MNRET and NEPC, and by inclusion of private, nonprofit, State, and National government.</w:t>
            </w:r>
          </w:p>
        </w:tc>
        <w:tc>
          <w:tcPr>
            <w:tcW w:w="990" w:type="dxa"/>
            <w:gridSpan w:val="2"/>
            <w:vMerge w:val="restart"/>
            <w:tcBorders>
              <w:top w:val="nil"/>
              <w:left w:val="single" w:sz="4" w:space="0" w:color="auto"/>
              <w:right w:val="single" w:sz="4" w:space="0" w:color="auto"/>
            </w:tcBorders>
            <w:vAlign w:val="center"/>
          </w:tcPr>
          <w:p w14:paraId="5D5794BE"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1, 2, and 3</w:t>
            </w:r>
          </w:p>
        </w:tc>
      </w:tr>
      <w:tr w:rsidR="00B02352" w:rsidRPr="005F36E3" w14:paraId="125C6760" w14:textId="77777777" w:rsidTr="005F36E3">
        <w:trPr>
          <w:trHeight w:val="480"/>
        </w:trPr>
        <w:tc>
          <w:tcPr>
            <w:tcW w:w="1345" w:type="dxa"/>
            <w:vMerge/>
            <w:tcBorders>
              <w:top w:val="nil"/>
              <w:left w:val="single" w:sz="4" w:space="0" w:color="auto"/>
              <w:bottom w:val="single" w:sz="4" w:space="0" w:color="000000"/>
              <w:right w:val="single" w:sz="4" w:space="0" w:color="auto"/>
            </w:tcBorders>
            <w:vAlign w:val="center"/>
            <w:hideMark/>
          </w:tcPr>
          <w:p w14:paraId="7CFEA471"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4FF7704C"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The environmental planning and strategy development process does produce adequate environmental plans and strategies but there are not implemented/used </w:t>
            </w:r>
          </w:p>
        </w:tc>
        <w:tc>
          <w:tcPr>
            <w:tcW w:w="810" w:type="dxa"/>
            <w:tcBorders>
              <w:top w:val="nil"/>
              <w:left w:val="nil"/>
              <w:bottom w:val="single" w:sz="4" w:space="0" w:color="auto"/>
              <w:right w:val="single" w:sz="4" w:space="0" w:color="auto"/>
            </w:tcBorders>
            <w:shd w:val="clear" w:color="auto" w:fill="auto"/>
            <w:noWrap/>
            <w:vAlign w:val="bottom"/>
            <w:hideMark/>
          </w:tcPr>
          <w:p w14:paraId="629BE727"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1</w:t>
            </w:r>
          </w:p>
        </w:tc>
        <w:tc>
          <w:tcPr>
            <w:tcW w:w="990" w:type="dxa"/>
            <w:vMerge/>
            <w:tcBorders>
              <w:top w:val="nil"/>
              <w:left w:val="single" w:sz="4" w:space="0" w:color="auto"/>
              <w:bottom w:val="single" w:sz="4" w:space="0" w:color="000000"/>
              <w:right w:val="single" w:sz="4" w:space="0" w:color="auto"/>
            </w:tcBorders>
            <w:vAlign w:val="center"/>
            <w:hideMark/>
          </w:tcPr>
          <w:p w14:paraId="11FFB151"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1942245B"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197965D1"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6143C396"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right w:val="single" w:sz="4" w:space="0" w:color="auto"/>
            </w:tcBorders>
          </w:tcPr>
          <w:p w14:paraId="7FB34853"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right w:val="single" w:sz="4" w:space="0" w:color="auto"/>
            </w:tcBorders>
            <w:vAlign w:val="center"/>
          </w:tcPr>
          <w:p w14:paraId="1BEA9B81"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23238710" w14:textId="77777777" w:rsidTr="005F36E3">
        <w:trPr>
          <w:trHeight w:val="480"/>
        </w:trPr>
        <w:tc>
          <w:tcPr>
            <w:tcW w:w="1345" w:type="dxa"/>
            <w:vMerge/>
            <w:tcBorders>
              <w:top w:val="nil"/>
              <w:left w:val="single" w:sz="4" w:space="0" w:color="auto"/>
              <w:bottom w:val="single" w:sz="4" w:space="0" w:color="000000"/>
              <w:right w:val="single" w:sz="4" w:space="0" w:color="auto"/>
            </w:tcBorders>
            <w:vAlign w:val="center"/>
            <w:hideMark/>
          </w:tcPr>
          <w:p w14:paraId="7DF69A99"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7895DFC8"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Adequate environmental plans and strategies are produced but there are only partially implemented because of funding constraints and/or other problems </w:t>
            </w:r>
          </w:p>
        </w:tc>
        <w:tc>
          <w:tcPr>
            <w:tcW w:w="810" w:type="dxa"/>
            <w:tcBorders>
              <w:top w:val="nil"/>
              <w:left w:val="nil"/>
              <w:bottom w:val="single" w:sz="4" w:space="0" w:color="auto"/>
              <w:right w:val="single" w:sz="4" w:space="0" w:color="auto"/>
            </w:tcBorders>
            <w:shd w:val="clear" w:color="auto" w:fill="auto"/>
            <w:noWrap/>
            <w:vAlign w:val="bottom"/>
            <w:hideMark/>
          </w:tcPr>
          <w:p w14:paraId="28B6F3C5"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990" w:type="dxa"/>
            <w:vMerge/>
            <w:tcBorders>
              <w:top w:val="nil"/>
              <w:left w:val="single" w:sz="4" w:space="0" w:color="auto"/>
              <w:bottom w:val="single" w:sz="4" w:space="0" w:color="000000"/>
              <w:right w:val="single" w:sz="4" w:space="0" w:color="auto"/>
            </w:tcBorders>
            <w:vAlign w:val="center"/>
            <w:hideMark/>
          </w:tcPr>
          <w:p w14:paraId="0DB286A4"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14E3EC4A"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06EC9AE5"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3DFEE5A9"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right w:val="single" w:sz="4" w:space="0" w:color="auto"/>
            </w:tcBorders>
          </w:tcPr>
          <w:p w14:paraId="76BD4D26"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right w:val="single" w:sz="4" w:space="0" w:color="auto"/>
            </w:tcBorders>
            <w:vAlign w:val="center"/>
          </w:tcPr>
          <w:p w14:paraId="574592F4"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00D15C17" w14:textId="77777777" w:rsidTr="005F36E3">
        <w:trPr>
          <w:trHeight w:val="480"/>
        </w:trPr>
        <w:tc>
          <w:tcPr>
            <w:tcW w:w="1345" w:type="dxa"/>
            <w:vMerge/>
            <w:tcBorders>
              <w:top w:val="nil"/>
              <w:left w:val="single" w:sz="4" w:space="0" w:color="auto"/>
              <w:bottom w:val="single" w:sz="4" w:space="0" w:color="000000"/>
              <w:right w:val="single" w:sz="4" w:space="0" w:color="auto"/>
            </w:tcBorders>
            <w:vAlign w:val="center"/>
            <w:hideMark/>
          </w:tcPr>
          <w:p w14:paraId="25014449"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3CA56555"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The environmental planning and strategy development process is well coordinated by the lead environmental organizations and produces the required environmental plans and strategies; which are being implemented </w:t>
            </w:r>
          </w:p>
        </w:tc>
        <w:tc>
          <w:tcPr>
            <w:tcW w:w="810" w:type="dxa"/>
            <w:tcBorders>
              <w:top w:val="nil"/>
              <w:left w:val="nil"/>
              <w:bottom w:val="single" w:sz="4" w:space="0" w:color="auto"/>
              <w:right w:val="single" w:sz="4" w:space="0" w:color="auto"/>
            </w:tcBorders>
            <w:shd w:val="clear" w:color="auto" w:fill="auto"/>
            <w:noWrap/>
            <w:vAlign w:val="bottom"/>
            <w:hideMark/>
          </w:tcPr>
          <w:p w14:paraId="302D4C4A"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3</w:t>
            </w:r>
          </w:p>
        </w:tc>
        <w:tc>
          <w:tcPr>
            <w:tcW w:w="990" w:type="dxa"/>
            <w:vMerge/>
            <w:tcBorders>
              <w:top w:val="nil"/>
              <w:left w:val="single" w:sz="4" w:space="0" w:color="auto"/>
              <w:bottom w:val="single" w:sz="4" w:space="0" w:color="000000"/>
              <w:right w:val="single" w:sz="4" w:space="0" w:color="auto"/>
            </w:tcBorders>
            <w:vAlign w:val="center"/>
            <w:hideMark/>
          </w:tcPr>
          <w:p w14:paraId="54D487A0"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7863EFAB"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2CEE7E90"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547A3580"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bottom w:val="single" w:sz="4" w:space="0" w:color="000000"/>
              <w:right w:val="single" w:sz="4" w:space="0" w:color="auto"/>
            </w:tcBorders>
          </w:tcPr>
          <w:p w14:paraId="6F634B82"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bottom w:val="single" w:sz="4" w:space="0" w:color="auto"/>
              <w:right w:val="single" w:sz="4" w:space="0" w:color="auto"/>
            </w:tcBorders>
            <w:vAlign w:val="center"/>
          </w:tcPr>
          <w:p w14:paraId="4F54BC87"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2B520039" w14:textId="77777777" w:rsidTr="005F36E3">
        <w:trPr>
          <w:trHeight w:val="720"/>
        </w:trPr>
        <w:tc>
          <w:tcPr>
            <w:tcW w:w="1345" w:type="dxa"/>
            <w:vMerge w:val="restart"/>
            <w:tcBorders>
              <w:top w:val="nil"/>
              <w:left w:val="single" w:sz="4" w:space="0" w:color="auto"/>
              <w:bottom w:val="single" w:sz="4" w:space="0" w:color="000000"/>
              <w:right w:val="single" w:sz="4" w:space="0" w:color="auto"/>
            </w:tcBorders>
            <w:shd w:val="clear" w:color="auto" w:fill="auto"/>
            <w:hideMark/>
          </w:tcPr>
          <w:p w14:paraId="7AC6980C" w14:textId="77777777" w:rsidR="00B02352" w:rsidRPr="005F36E3" w:rsidRDefault="00B02352" w:rsidP="00B02352">
            <w:pPr>
              <w:spacing w:after="0"/>
              <w:jc w:val="left"/>
              <w:rPr>
                <w:rFonts w:asciiTheme="majorHAnsi" w:eastAsia="Times New Roman" w:hAnsiTheme="majorHAnsi"/>
                <w:b/>
                <w:bCs/>
                <w:color w:val="000000"/>
                <w:sz w:val="18"/>
                <w:szCs w:val="18"/>
              </w:rPr>
            </w:pPr>
            <w:r w:rsidRPr="005F36E3">
              <w:rPr>
                <w:rFonts w:asciiTheme="majorHAnsi" w:eastAsia="Times New Roman" w:hAnsiTheme="majorHAnsi"/>
                <w:b/>
                <w:bCs/>
                <w:color w:val="000000"/>
                <w:sz w:val="18"/>
                <w:szCs w:val="18"/>
              </w:rPr>
              <w:t>3.2. Existence of an adequate environmental policy and regulatory frameworks</w:t>
            </w:r>
          </w:p>
        </w:tc>
        <w:tc>
          <w:tcPr>
            <w:tcW w:w="3083" w:type="dxa"/>
            <w:tcBorders>
              <w:top w:val="nil"/>
              <w:left w:val="nil"/>
              <w:bottom w:val="single" w:sz="4" w:space="0" w:color="auto"/>
              <w:right w:val="single" w:sz="4" w:space="0" w:color="auto"/>
            </w:tcBorders>
            <w:shd w:val="clear" w:color="auto" w:fill="auto"/>
            <w:vAlign w:val="center"/>
            <w:hideMark/>
          </w:tcPr>
          <w:p w14:paraId="2FC3FF52"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The environmental policy and regulatory frameworks are insufficient; they do not provide an enabling environment </w:t>
            </w:r>
          </w:p>
        </w:tc>
        <w:tc>
          <w:tcPr>
            <w:tcW w:w="810" w:type="dxa"/>
            <w:tcBorders>
              <w:top w:val="nil"/>
              <w:left w:val="nil"/>
              <w:bottom w:val="single" w:sz="4" w:space="0" w:color="auto"/>
              <w:right w:val="single" w:sz="4" w:space="0" w:color="auto"/>
            </w:tcBorders>
            <w:shd w:val="clear" w:color="auto" w:fill="auto"/>
            <w:noWrap/>
            <w:vAlign w:val="bottom"/>
            <w:hideMark/>
          </w:tcPr>
          <w:p w14:paraId="0D26AEA8"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0</w:t>
            </w:r>
          </w:p>
        </w:tc>
        <w:tc>
          <w:tcPr>
            <w:tcW w:w="9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07098C"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060146"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8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6BA3DD"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3</w:t>
            </w:r>
          </w:p>
        </w:tc>
        <w:tc>
          <w:tcPr>
            <w:tcW w:w="2881" w:type="dxa"/>
            <w:gridSpan w:val="2"/>
            <w:vMerge w:val="restart"/>
            <w:tcBorders>
              <w:top w:val="nil"/>
              <w:left w:val="single" w:sz="4" w:space="0" w:color="auto"/>
              <w:bottom w:val="single" w:sz="4" w:space="0" w:color="000000"/>
              <w:right w:val="single" w:sz="4" w:space="0" w:color="auto"/>
            </w:tcBorders>
            <w:shd w:val="clear" w:color="auto" w:fill="auto"/>
            <w:noWrap/>
            <w:hideMark/>
          </w:tcPr>
          <w:p w14:paraId="6A7A090F"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 xml:space="preserve">Environmental policies and regulations exist only at the National level, although there is some inclusion of PAN-based regulations at the State level. Budgetary restraints and lack of personnel are limiting factors. </w:t>
            </w:r>
          </w:p>
        </w:tc>
        <w:tc>
          <w:tcPr>
            <w:tcW w:w="2430" w:type="dxa"/>
            <w:gridSpan w:val="2"/>
            <w:vMerge w:val="restart"/>
            <w:tcBorders>
              <w:top w:val="nil"/>
              <w:left w:val="single" w:sz="4" w:space="0" w:color="auto"/>
              <w:right w:val="single" w:sz="4" w:space="0" w:color="auto"/>
            </w:tcBorders>
          </w:tcPr>
          <w:p w14:paraId="66BA71FE"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Create the Landscape/ Seascape Planning subcommittee within the NEPC and direct agendas to examine mainstreaming of relevant policies. Implement National-State Collaboration through joint planning teams and work planning. Targeted communications will build capacity and political will and thus improve policy and regulations.</w:t>
            </w:r>
          </w:p>
        </w:tc>
        <w:tc>
          <w:tcPr>
            <w:tcW w:w="990" w:type="dxa"/>
            <w:gridSpan w:val="2"/>
            <w:vMerge w:val="restart"/>
            <w:tcBorders>
              <w:top w:val="single" w:sz="4" w:space="0" w:color="auto"/>
              <w:left w:val="single" w:sz="4" w:space="0" w:color="auto"/>
              <w:bottom w:val="single" w:sz="4" w:space="0" w:color="auto"/>
              <w:right w:val="single" w:sz="4" w:space="0" w:color="auto"/>
            </w:tcBorders>
            <w:vAlign w:val="center"/>
          </w:tcPr>
          <w:p w14:paraId="19B40C8B"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1, 2, and 3</w:t>
            </w:r>
          </w:p>
        </w:tc>
      </w:tr>
      <w:tr w:rsidR="00B02352" w:rsidRPr="005F36E3" w14:paraId="72153A47" w14:textId="77777777" w:rsidTr="005F36E3">
        <w:trPr>
          <w:trHeight w:val="240"/>
        </w:trPr>
        <w:tc>
          <w:tcPr>
            <w:tcW w:w="1345" w:type="dxa"/>
            <w:vMerge/>
            <w:tcBorders>
              <w:top w:val="nil"/>
              <w:left w:val="single" w:sz="4" w:space="0" w:color="auto"/>
              <w:bottom w:val="single" w:sz="4" w:space="0" w:color="000000"/>
              <w:right w:val="single" w:sz="4" w:space="0" w:color="auto"/>
            </w:tcBorders>
            <w:vAlign w:val="center"/>
            <w:hideMark/>
          </w:tcPr>
          <w:p w14:paraId="03DF4861"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27E85129"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Some relevant environmental policies and laws exist but few are implemented and enforced </w:t>
            </w:r>
          </w:p>
        </w:tc>
        <w:tc>
          <w:tcPr>
            <w:tcW w:w="810" w:type="dxa"/>
            <w:tcBorders>
              <w:top w:val="nil"/>
              <w:left w:val="nil"/>
              <w:bottom w:val="single" w:sz="4" w:space="0" w:color="auto"/>
              <w:right w:val="single" w:sz="4" w:space="0" w:color="auto"/>
            </w:tcBorders>
            <w:shd w:val="clear" w:color="auto" w:fill="auto"/>
            <w:noWrap/>
            <w:vAlign w:val="bottom"/>
            <w:hideMark/>
          </w:tcPr>
          <w:p w14:paraId="167E53E9"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1</w:t>
            </w:r>
          </w:p>
        </w:tc>
        <w:tc>
          <w:tcPr>
            <w:tcW w:w="990" w:type="dxa"/>
            <w:vMerge/>
            <w:tcBorders>
              <w:top w:val="nil"/>
              <w:left w:val="single" w:sz="4" w:space="0" w:color="auto"/>
              <w:bottom w:val="single" w:sz="4" w:space="0" w:color="000000"/>
              <w:right w:val="single" w:sz="4" w:space="0" w:color="auto"/>
            </w:tcBorders>
            <w:vAlign w:val="center"/>
            <w:hideMark/>
          </w:tcPr>
          <w:p w14:paraId="0765C619"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666D6640"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0DF895CC"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14975FD8"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right w:val="single" w:sz="4" w:space="0" w:color="auto"/>
            </w:tcBorders>
          </w:tcPr>
          <w:p w14:paraId="0E44A5CF"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top w:val="single" w:sz="4" w:space="0" w:color="auto"/>
              <w:left w:val="single" w:sz="4" w:space="0" w:color="auto"/>
              <w:bottom w:val="single" w:sz="4" w:space="0" w:color="auto"/>
              <w:right w:val="single" w:sz="4" w:space="0" w:color="auto"/>
            </w:tcBorders>
            <w:vAlign w:val="center"/>
          </w:tcPr>
          <w:p w14:paraId="7A999C7C"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6E2DC7C6" w14:textId="77777777" w:rsidTr="005F36E3">
        <w:trPr>
          <w:trHeight w:val="480"/>
        </w:trPr>
        <w:tc>
          <w:tcPr>
            <w:tcW w:w="1345" w:type="dxa"/>
            <w:vMerge/>
            <w:tcBorders>
              <w:top w:val="nil"/>
              <w:left w:val="single" w:sz="4" w:space="0" w:color="auto"/>
              <w:bottom w:val="single" w:sz="4" w:space="0" w:color="000000"/>
              <w:right w:val="single" w:sz="4" w:space="0" w:color="auto"/>
            </w:tcBorders>
            <w:vAlign w:val="center"/>
            <w:hideMark/>
          </w:tcPr>
          <w:p w14:paraId="3369B21A"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78E2501B"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Adequate environmental policy and legislation frameworks exist but there are problems in implementing and enforcing them </w:t>
            </w:r>
          </w:p>
        </w:tc>
        <w:tc>
          <w:tcPr>
            <w:tcW w:w="810" w:type="dxa"/>
            <w:tcBorders>
              <w:top w:val="nil"/>
              <w:left w:val="nil"/>
              <w:bottom w:val="single" w:sz="4" w:space="0" w:color="auto"/>
              <w:right w:val="single" w:sz="4" w:space="0" w:color="auto"/>
            </w:tcBorders>
            <w:shd w:val="clear" w:color="auto" w:fill="auto"/>
            <w:noWrap/>
            <w:vAlign w:val="bottom"/>
            <w:hideMark/>
          </w:tcPr>
          <w:p w14:paraId="1D2812A6"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990" w:type="dxa"/>
            <w:vMerge/>
            <w:tcBorders>
              <w:top w:val="nil"/>
              <w:left w:val="single" w:sz="4" w:space="0" w:color="auto"/>
              <w:bottom w:val="single" w:sz="4" w:space="0" w:color="000000"/>
              <w:right w:val="single" w:sz="4" w:space="0" w:color="auto"/>
            </w:tcBorders>
            <w:vAlign w:val="center"/>
            <w:hideMark/>
          </w:tcPr>
          <w:p w14:paraId="25602114"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73E1CDA3"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389ACA18"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2547D981"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right w:val="single" w:sz="4" w:space="0" w:color="auto"/>
            </w:tcBorders>
          </w:tcPr>
          <w:p w14:paraId="506FFB16"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top w:val="single" w:sz="4" w:space="0" w:color="auto"/>
              <w:left w:val="single" w:sz="4" w:space="0" w:color="auto"/>
              <w:bottom w:val="single" w:sz="4" w:space="0" w:color="auto"/>
              <w:right w:val="single" w:sz="4" w:space="0" w:color="auto"/>
            </w:tcBorders>
            <w:vAlign w:val="center"/>
          </w:tcPr>
          <w:p w14:paraId="730050EF"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47C23C4F" w14:textId="77777777" w:rsidTr="005F36E3">
        <w:trPr>
          <w:trHeight w:val="480"/>
        </w:trPr>
        <w:tc>
          <w:tcPr>
            <w:tcW w:w="1345" w:type="dxa"/>
            <w:vMerge/>
            <w:tcBorders>
              <w:top w:val="nil"/>
              <w:left w:val="single" w:sz="4" w:space="0" w:color="auto"/>
              <w:bottom w:val="single" w:sz="4" w:space="0" w:color="000000"/>
              <w:right w:val="single" w:sz="4" w:space="0" w:color="auto"/>
            </w:tcBorders>
            <w:vAlign w:val="center"/>
            <w:hideMark/>
          </w:tcPr>
          <w:p w14:paraId="6D55E6F2"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1389C109"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Adequate policy and legislation frameworks are implemented and provide an adequate enabling environment; a compliance and enforcement mechanism is established and functions </w:t>
            </w:r>
          </w:p>
        </w:tc>
        <w:tc>
          <w:tcPr>
            <w:tcW w:w="810" w:type="dxa"/>
            <w:tcBorders>
              <w:top w:val="nil"/>
              <w:left w:val="nil"/>
              <w:bottom w:val="single" w:sz="4" w:space="0" w:color="auto"/>
              <w:right w:val="single" w:sz="4" w:space="0" w:color="auto"/>
            </w:tcBorders>
            <w:shd w:val="clear" w:color="auto" w:fill="auto"/>
            <w:noWrap/>
            <w:vAlign w:val="bottom"/>
            <w:hideMark/>
          </w:tcPr>
          <w:p w14:paraId="26BF3822"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3</w:t>
            </w:r>
          </w:p>
        </w:tc>
        <w:tc>
          <w:tcPr>
            <w:tcW w:w="990" w:type="dxa"/>
            <w:vMerge/>
            <w:tcBorders>
              <w:top w:val="nil"/>
              <w:left w:val="single" w:sz="4" w:space="0" w:color="auto"/>
              <w:bottom w:val="single" w:sz="4" w:space="0" w:color="000000"/>
              <w:right w:val="single" w:sz="4" w:space="0" w:color="auto"/>
            </w:tcBorders>
            <w:vAlign w:val="center"/>
            <w:hideMark/>
          </w:tcPr>
          <w:p w14:paraId="10D93D3B"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790EC1D8"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462F6B43"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2432C37B"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bottom w:val="single" w:sz="4" w:space="0" w:color="000000"/>
              <w:right w:val="single" w:sz="4" w:space="0" w:color="auto"/>
            </w:tcBorders>
          </w:tcPr>
          <w:p w14:paraId="4A820CDD"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top w:val="single" w:sz="4" w:space="0" w:color="auto"/>
              <w:left w:val="single" w:sz="4" w:space="0" w:color="auto"/>
              <w:bottom w:val="single" w:sz="4" w:space="0" w:color="auto"/>
              <w:right w:val="single" w:sz="4" w:space="0" w:color="auto"/>
            </w:tcBorders>
            <w:vAlign w:val="center"/>
          </w:tcPr>
          <w:p w14:paraId="7A34698D"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34F40DE1" w14:textId="77777777" w:rsidTr="005F36E3">
        <w:trPr>
          <w:trHeight w:val="720"/>
        </w:trPr>
        <w:tc>
          <w:tcPr>
            <w:tcW w:w="1345" w:type="dxa"/>
            <w:vMerge w:val="restart"/>
            <w:tcBorders>
              <w:top w:val="nil"/>
              <w:left w:val="single" w:sz="4" w:space="0" w:color="auto"/>
              <w:bottom w:val="single" w:sz="4" w:space="0" w:color="000000"/>
              <w:right w:val="single" w:sz="4" w:space="0" w:color="auto"/>
            </w:tcBorders>
            <w:shd w:val="clear" w:color="auto" w:fill="auto"/>
            <w:hideMark/>
          </w:tcPr>
          <w:p w14:paraId="019086BC" w14:textId="77777777" w:rsidR="00B02352" w:rsidRPr="005F36E3" w:rsidRDefault="00B02352" w:rsidP="00B02352">
            <w:pPr>
              <w:spacing w:after="0"/>
              <w:jc w:val="left"/>
              <w:rPr>
                <w:rFonts w:asciiTheme="majorHAnsi" w:eastAsia="Times New Roman" w:hAnsiTheme="majorHAnsi"/>
                <w:b/>
                <w:bCs/>
                <w:color w:val="000000"/>
                <w:sz w:val="18"/>
                <w:szCs w:val="18"/>
              </w:rPr>
            </w:pPr>
            <w:r w:rsidRPr="005F36E3">
              <w:rPr>
                <w:rFonts w:asciiTheme="majorHAnsi" w:eastAsia="Times New Roman" w:hAnsiTheme="majorHAnsi"/>
                <w:b/>
                <w:bCs/>
                <w:color w:val="000000"/>
                <w:sz w:val="18"/>
                <w:szCs w:val="18"/>
              </w:rPr>
              <w:t>3.3. Adequacy of the environmental information available for decision-making</w:t>
            </w:r>
          </w:p>
        </w:tc>
        <w:tc>
          <w:tcPr>
            <w:tcW w:w="3083" w:type="dxa"/>
            <w:tcBorders>
              <w:top w:val="nil"/>
              <w:left w:val="nil"/>
              <w:bottom w:val="single" w:sz="4" w:space="0" w:color="auto"/>
              <w:right w:val="single" w:sz="4" w:space="0" w:color="auto"/>
            </w:tcBorders>
            <w:shd w:val="clear" w:color="auto" w:fill="auto"/>
            <w:vAlign w:val="center"/>
            <w:hideMark/>
          </w:tcPr>
          <w:p w14:paraId="208D7A38"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The availability of environmental information for decision-making is lacking </w:t>
            </w:r>
          </w:p>
        </w:tc>
        <w:tc>
          <w:tcPr>
            <w:tcW w:w="810" w:type="dxa"/>
            <w:tcBorders>
              <w:top w:val="nil"/>
              <w:left w:val="nil"/>
              <w:bottom w:val="single" w:sz="4" w:space="0" w:color="auto"/>
              <w:right w:val="single" w:sz="4" w:space="0" w:color="auto"/>
            </w:tcBorders>
            <w:shd w:val="clear" w:color="auto" w:fill="auto"/>
            <w:noWrap/>
            <w:vAlign w:val="bottom"/>
            <w:hideMark/>
          </w:tcPr>
          <w:p w14:paraId="6E96785B"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0</w:t>
            </w:r>
          </w:p>
        </w:tc>
        <w:tc>
          <w:tcPr>
            <w:tcW w:w="9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942160"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1</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D127BB"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1</w:t>
            </w:r>
          </w:p>
        </w:tc>
        <w:tc>
          <w:tcPr>
            <w:tcW w:w="8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EE1231"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2881" w:type="dxa"/>
            <w:gridSpan w:val="2"/>
            <w:vMerge w:val="restart"/>
            <w:tcBorders>
              <w:top w:val="nil"/>
              <w:left w:val="single" w:sz="4" w:space="0" w:color="auto"/>
              <w:bottom w:val="single" w:sz="4" w:space="0" w:color="000000"/>
              <w:right w:val="single" w:sz="4" w:space="0" w:color="auto"/>
            </w:tcBorders>
            <w:shd w:val="clear" w:color="auto" w:fill="auto"/>
            <w:noWrap/>
            <w:hideMark/>
          </w:tcPr>
          <w:p w14:paraId="383CB2CD" w14:textId="6A38C03B"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The process to use the information is not systematic, and often results from a direct partnership between organizations. There has been progress in identifying sources of information and gaps in monitoring and research, but there are not enough plans in place to fill those gaps</w:t>
            </w:r>
            <w:r w:rsidR="00194AA1" w:rsidRPr="005F36E3">
              <w:rPr>
                <w:rFonts w:asciiTheme="majorHAnsi" w:eastAsia="Times New Roman" w:hAnsiTheme="majorHAnsi"/>
                <w:color w:val="000000"/>
                <w:sz w:val="18"/>
                <w:szCs w:val="18"/>
              </w:rPr>
              <w:t xml:space="preserve">. </w:t>
            </w:r>
            <w:r w:rsidRPr="005F36E3">
              <w:rPr>
                <w:rFonts w:asciiTheme="majorHAnsi" w:eastAsia="Times New Roman" w:hAnsiTheme="majorHAnsi"/>
                <w:color w:val="000000"/>
                <w:sz w:val="18"/>
                <w:szCs w:val="18"/>
              </w:rPr>
              <w:t>The GEF CB2 project is working to improve provision of information to decision makers.</w:t>
            </w:r>
          </w:p>
        </w:tc>
        <w:tc>
          <w:tcPr>
            <w:tcW w:w="2430" w:type="dxa"/>
            <w:gridSpan w:val="2"/>
            <w:vMerge w:val="restart"/>
            <w:tcBorders>
              <w:top w:val="nil"/>
              <w:left w:val="single" w:sz="4" w:space="0" w:color="auto"/>
              <w:right w:val="single" w:sz="4" w:space="0" w:color="auto"/>
            </w:tcBorders>
          </w:tcPr>
          <w:p w14:paraId="0BA42384"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Develop Standard Operating Procedures for use by Landscape/ Seascape Planning teams that incorporate sourcing and supply of information and that have protocols for making decisions using such information.</w:t>
            </w:r>
          </w:p>
        </w:tc>
        <w:tc>
          <w:tcPr>
            <w:tcW w:w="990" w:type="dxa"/>
            <w:gridSpan w:val="2"/>
            <w:vMerge w:val="restart"/>
            <w:tcBorders>
              <w:top w:val="single" w:sz="4" w:space="0" w:color="auto"/>
              <w:left w:val="single" w:sz="4" w:space="0" w:color="auto"/>
              <w:bottom w:val="single" w:sz="4" w:space="0" w:color="auto"/>
              <w:right w:val="single" w:sz="4" w:space="0" w:color="auto"/>
            </w:tcBorders>
            <w:vAlign w:val="center"/>
          </w:tcPr>
          <w:p w14:paraId="32F3258B"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1</w:t>
            </w:r>
          </w:p>
        </w:tc>
      </w:tr>
      <w:tr w:rsidR="00B02352" w:rsidRPr="005F36E3" w14:paraId="34E9B462" w14:textId="77777777" w:rsidTr="005F36E3">
        <w:trPr>
          <w:trHeight w:val="480"/>
        </w:trPr>
        <w:tc>
          <w:tcPr>
            <w:tcW w:w="1345" w:type="dxa"/>
            <w:vMerge/>
            <w:tcBorders>
              <w:top w:val="nil"/>
              <w:left w:val="single" w:sz="4" w:space="0" w:color="auto"/>
              <w:bottom w:val="single" w:sz="4" w:space="0" w:color="000000"/>
              <w:right w:val="single" w:sz="4" w:space="0" w:color="auto"/>
            </w:tcBorders>
            <w:vAlign w:val="center"/>
            <w:hideMark/>
          </w:tcPr>
          <w:p w14:paraId="11C5360D"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55B744DF"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Some environmental information exists but it is not sufficient to support environmental decision-making processes </w:t>
            </w:r>
          </w:p>
        </w:tc>
        <w:tc>
          <w:tcPr>
            <w:tcW w:w="810" w:type="dxa"/>
            <w:tcBorders>
              <w:top w:val="nil"/>
              <w:left w:val="nil"/>
              <w:bottom w:val="single" w:sz="4" w:space="0" w:color="auto"/>
              <w:right w:val="single" w:sz="4" w:space="0" w:color="auto"/>
            </w:tcBorders>
            <w:shd w:val="clear" w:color="auto" w:fill="auto"/>
            <w:noWrap/>
            <w:vAlign w:val="bottom"/>
            <w:hideMark/>
          </w:tcPr>
          <w:p w14:paraId="72DA0908"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1</w:t>
            </w:r>
          </w:p>
        </w:tc>
        <w:tc>
          <w:tcPr>
            <w:tcW w:w="990" w:type="dxa"/>
            <w:vMerge/>
            <w:tcBorders>
              <w:top w:val="nil"/>
              <w:left w:val="single" w:sz="4" w:space="0" w:color="auto"/>
              <w:bottom w:val="single" w:sz="4" w:space="0" w:color="000000"/>
              <w:right w:val="single" w:sz="4" w:space="0" w:color="auto"/>
            </w:tcBorders>
            <w:vAlign w:val="center"/>
            <w:hideMark/>
          </w:tcPr>
          <w:p w14:paraId="319978EF"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67C13A92"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7AF0D365"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03EABA2A"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right w:val="single" w:sz="4" w:space="0" w:color="auto"/>
            </w:tcBorders>
          </w:tcPr>
          <w:p w14:paraId="5EF48318"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top w:val="single" w:sz="4" w:space="0" w:color="auto"/>
              <w:left w:val="single" w:sz="4" w:space="0" w:color="auto"/>
              <w:bottom w:val="single" w:sz="4" w:space="0" w:color="auto"/>
              <w:right w:val="single" w:sz="4" w:space="0" w:color="auto"/>
            </w:tcBorders>
            <w:vAlign w:val="center"/>
          </w:tcPr>
          <w:p w14:paraId="65562581"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082BE3A5" w14:textId="77777777" w:rsidTr="005F36E3">
        <w:trPr>
          <w:trHeight w:val="480"/>
        </w:trPr>
        <w:tc>
          <w:tcPr>
            <w:tcW w:w="1345" w:type="dxa"/>
            <w:vMerge/>
            <w:tcBorders>
              <w:top w:val="nil"/>
              <w:left w:val="single" w:sz="4" w:space="0" w:color="auto"/>
              <w:bottom w:val="single" w:sz="4" w:space="0" w:color="000000"/>
              <w:right w:val="single" w:sz="4" w:space="0" w:color="auto"/>
            </w:tcBorders>
            <w:vAlign w:val="center"/>
            <w:hideMark/>
          </w:tcPr>
          <w:p w14:paraId="04B9EA5F"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6B60FF06"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Relevant environmental information is made available to environmental decision-makers but the process to update this information is not functioning properly </w:t>
            </w:r>
          </w:p>
        </w:tc>
        <w:tc>
          <w:tcPr>
            <w:tcW w:w="810" w:type="dxa"/>
            <w:tcBorders>
              <w:top w:val="nil"/>
              <w:left w:val="nil"/>
              <w:bottom w:val="single" w:sz="4" w:space="0" w:color="auto"/>
              <w:right w:val="single" w:sz="4" w:space="0" w:color="auto"/>
            </w:tcBorders>
            <w:shd w:val="clear" w:color="auto" w:fill="auto"/>
            <w:noWrap/>
            <w:vAlign w:val="bottom"/>
            <w:hideMark/>
          </w:tcPr>
          <w:p w14:paraId="03247215"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990" w:type="dxa"/>
            <w:vMerge/>
            <w:tcBorders>
              <w:top w:val="nil"/>
              <w:left w:val="single" w:sz="4" w:space="0" w:color="auto"/>
              <w:bottom w:val="single" w:sz="4" w:space="0" w:color="000000"/>
              <w:right w:val="single" w:sz="4" w:space="0" w:color="auto"/>
            </w:tcBorders>
            <w:vAlign w:val="center"/>
            <w:hideMark/>
          </w:tcPr>
          <w:p w14:paraId="28394E7F"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398520D3"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43492275"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67BBBA3E"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right w:val="single" w:sz="4" w:space="0" w:color="auto"/>
            </w:tcBorders>
          </w:tcPr>
          <w:p w14:paraId="27E4D143"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top w:val="single" w:sz="4" w:space="0" w:color="auto"/>
              <w:left w:val="single" w:sz="4" w:space="0" w:color="auto"/>
              <w:bottom w:val="single" w:sz="4" w:space="0" w:color="auto"/>
              <w:right w:val="single" w:sz="4" w:space="0" w:color="auto"/>
            </w:tcBorders>
            <w:vAlign w:val="center"/>
          </w:tcPr>
          <w:p w14:paraId="103CD108"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1AF9765E" w14:textId="77777777" w:rsidTr="005F36E3">
        <w:trPr>
          <w:trHeight w:val="480"/>
        </w:trPr>
        <w:tc>
          <w:tcPr>
            <w:tcW w:w="1345" w:type="dxa"/>
            <w:vMerge/>
            <w:tcBorders>
              <w:top w:val="nil"/>
              <w:left w:val="single" w:sz="4" w:space="0" w:color="auto"/>
              <w:bottom w:val="single" w:sz="4" w:space="0" w:color="000000"/>
              <w:right w:val="single" w:sz="4" w:space="0" w:color="auto"/>
            </w:tcBorders>
            <w:vAlign w:val="center"/>
            <w:hideMark/>
          </w:tcPr>
          <w:p w14:paraId="16C8EC36"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351AA118"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Political and administrative decision-makers obtain and use updated environmental information to make environmental decisions </w:t>
            </w:r>
          </w:p>
        </w:tc>
        <w:tc>
          <w:tcPr>
            <w:tcW w:w="810" w:type="dxa"/>
            <w:tcBorders>
              <w:top w:val="nil"/>
              <w:left w:val="nil"/>
              <w:bottom w:val="single" w:sz="4" w:space="0" w:color="auto"/>
              <w:right w:val="single" w:sz="4" w:space="0" w:color="auto"/>
            </w:tcBorders>
            <w:shd w:val="clear" w:color="auto" w:fill="auto"/>
            <w:noWrap/>
            <w:vAlign w:val="bottom"/>
            <w:hideMark/>
          </w:tcPr>
          <w:p w14:paraId="59A2E883"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3</w:t>
            </w:r>
          </w:p>
        </w:tc>
        <w:tc>
          <w:tcPr>
            <w:tcW w:w="990" w:type="dxa"/>
            <w:vMerge/>
            <w:tcBorders>
              <w:top w:val="nil"/>
              <w:left w:val="single" w:sz="4" w:space="0" w:color="auto"/>
              <w:bottom w:val="single" w:sz="4" w:space="0" w:color="000000"/>
              <w:right w:val="single" w:sz="4" w:space="0" w:color="auto"/>
            </w:tcBorders>
            <w:vAlign w:val="center"/>
            <w:hideMark/>
          </w:tcPr>
          <w:p w14:paraId="59BEDEC7"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0A75556F"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525B2E55"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0F0D56C3"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bottom w:val="single" w:sz="4" w:space="0" w:color="000000"/>
              <w:right w:val="single" w:sz="4" w:space="0" w:color="auto"/>
            </w:tcBorders>
          </w:tcPr>
          <w:p w14:paraId="0DC62F30"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top w:val="single" w:sz="4" w:space="0" w:color="auto"/>
              <w:left w:val="single" w:sz="4" w:space="0" w:color="auto"/>
              <w:bottom w:val="single" w:sz="4" w:space="0" w:color="auto"/>
              <w:right w:val="single" w:sz="4" w:space="0" w:color="auto"/>
            </w:tcBorders>
            <w:vAlign w:val="center"/>
          </w:tcPr>
          <w:p w14:paraId="070D0EB2"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4EE8C432" w14:textId="77777777" w:rsidTr="00A35929">
        <w:trPr>
          <w:trHeight w:val="480"/>
        </w:trPr>
        <w:tc>
          <w:tcPr>
            <w:tcW w:w="10639" w:type="dxa"/>
            <w:gridSpan w:val="8"/>
            <w:tcBorders>
              <w:top w:val="single" w:sz="4" w:space="0" w:color="auto"/>
              <w:left w:val="single" w:sz="4" w:space="0" w:color="auto"/>
              <w:bottom w:val="single" w:sz="4" w:space="0" w:color="auto"/>
              <w:right w:val="nil"/>
            </w:tcBorders>
            <w:shd w:val="clear" w:color="000000" w:fill="D6E3BC"/>
            <w:hideMark/>
          </w:tcPr>
          <w:p w14:paraId="6F3EB45C" w14:textId="77777777" w:rsidR="00B02352" w:rsidRPr="005F36E3" w:rsidRDefault="00B02352" w:rsidP="00B02352">
            <w:pPr>
              <w:spacing w:after="0"/>
              <w:jc w:val="left"/>
              <w:rPr>
                <w:rFonts w:asciiTheme="majorHAnsi" w:eastAsia="Times New Roman" w:hAnsiTheme="majorHAnsi"/>
                <w:b/>
                <w:bCs/>
                <w:color w:val="000000"/>
                <w:sz w:val="18"/>
                <w:szCs w:val="18"/>
              </w:rPr>
            </w:pPr>
            <w:r w:rsidRPr="005F36E3">
              <w:rPr>
                <w:rFonts w:asciiTheme="majorHAnsi" w:eastAsia="Times New Roman" w:hAnsiTheme="majorHAnsi"/>
                <w:b/>
                <w:bCs/>
                <w:color w:val="000000"/>
                <w:sz w:val="18"/>
                <w:szCs w:val="18"/>
              </w:rPr>
              <w:t>CR 4: Capacities for management and implementation</w:t>
            </w:r>
          </w:p>
        </w:tc>
        <w:tc>
          <w:tcPr>
            <w:tcW w:w="2430" w:type="dxa"/>
            <w:gridSpan w:val="2"/>
            <w:tcBorders>
              <w:top w:val="single" w:sz="4" w:space="0" w:color="auto"/>
              <w:left w:val="single" w:sz="4" w:space="0" w:color="auto"/>
              <w:bottom w:val="single" w:sz="4" w:space="0" w:color="auto"/>
              <w:right w:val="nil"/>
            </w:tcBorders>
            <w:shd w:val="clear" w:color="000000" w:fill="D6E3BC"/>
          </w:tcPr>
          <w:p w14:paraId="539A20D0"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990" w:type="dxa"/>
            <w:gridSpan w:val="2"/>
            <w:tcBorders>
              <w:top w:val="single" w:sz="4" w:space="0" w:color="auto"/>
              <w:left w:val="single" w:sz="4" w:space="0" w:color="auto"/>
              <w:bottom w:val="single" w:sz="4" w:space="0" w:color="auto"/>
              <w:right w:val="nil"/>
            </w:tcBorders>
            <w:shd w:val="clear" w:color="000000" w:fill="D6E3BC"/>
            <w:vAlign w:val="center"/>
          </w:tcPr>
          <w:p w14:paraId="5AE99AE9" w14:textId="77777777" w:rsidR="00B02352" w:rsidRPr="005F36E3" w:rsidRDefault="00B02352" w:rsidP="00B02352">
            <w:pPr>
              <w:spacing w:after="0"/>
              <w:jc w:val="left"/>
              <w:rPr>
                <w:rFonts w:asciiTheme="majorHAnsi" w:eastAsia="Times New Roman" w:hAnsiTheme="majorHAnsi"/>
                <w:b/>
                <w:bCs/>
                <w:color w:val="000000"/>
                <w:sz w:val="18"/>
                <w:szCs w:val="18"/>
              </w:rPr>
            </w:pPr>
          </w:p>
        </w:tc>
      </w:tr>
      <w:tr w:rsidR="00B02352" w:rsidRPr="005F36E3" w14:paraId="1D6BA5FE" w14:textId="77777777" w:rsidTr="005F36E3">
        <w:trPr>
          <w:trHeight w:val="720"/>
        </w:trPr>
        <w:tc>
          <w:tcPr>
            <w:tcW w:w="1345" w:type="dxa"/>
            <w:vMerge w:val="restart"/>
            <w:tcBorders>
              <w:top w:val="nil"/>
              <w:left w:val="single" w:sz="4" w:space="0" w:color="auto"/>
              <w:bottom w:val="single" w:sz="4" w:space="0" w:color="000000"/>
              <w:right w:val="single" w:sz="4" w:space="0" w:color="auto"/>
            </w:tcBorders>
            <w:shd w:val="clear" w:color="auto" w:fill="auto"/>
            <w:hideMark/>
          </w:tcPr>
          <w:p w14:paraId="52BB8D0D" w14:textId="77777777" w:rsidR="00B02352" w:rsidRPr="005F36E3" w:rsidRDefault="00B02352" w:rsidP="00B02352">
            <w:pPr>
              <w:spacing w:after="0"/>
              <w:jc w:val="left"/>
              <w:rPr>
                <w:rFonts w:asciiTheme="majorHAnsi" w:eastAsia="Times New Roman" w:hAnsiTheme="majorHAnsi"/>
                <w:b/>
                <w:bCs/>
                <w:color w:val="000000"/>
                <w:sz w:val="18"/>
                <w:szCs w:val="18"/>
              </w:rPr>
            </w:pPr>
            <w:r w:rsidRPr="005F36E3">
              <w:rPr>
                <w:rFonts w:asciiTheme="majorHAnsi" w:eastAsia="Times New Roman" w:hAnsiTheme="majorHAnsi"/>
                <w:b/>
                <w:bCs/>
                <w:color w:val="000000"/>
                <w:sz w:val="18"/>
                <w:szCs w:val="18"/>
              </w:rPr>
              <w:t>4.1. Existence and mobilization of resources by relevant organizations</w:t>
            </w:r>
          </w:p>
        </w:tc>
        <w:tc>
          <w:tcPr>
            <w:tcW w:w="3083" w:type="dxa"/>
            <w:tcBorders>
              <w:top w:val="nil"/>
              <w:left w:val="nil"/>
              <w:bottom w:val="single" w:sz="4" w:space="0" w:color="auto"/>
              <w:right w:val="single" w:sz="4" w:space="0" w:color="auto"/>
            </w:tcBorders>
            <w:shd w:val="clear" w:color="auto" w:fill="auto"/>
            <w:vAlign w:val="center"/>
            <w:hideMark/>
          </w:tcPr>
          <w:p w14:paraId="001F123B" w14:textId="47EDD14E"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The environmental organizations don’t have adequa</w:t>
            </w:r>
            <w:r w:rsidR="00FF141B">
              <w:rPr>
                <w:rFonts w:asciiTheme="majorHAnsi" w:eastAsia="Times New Roman" w:hAnsiTheme="majorHAnsi" w:cs="Arial"/>
                <w:color w:val="000000"/>
                <w:sz w:val="18"/>
                <w:szCs w:val="18"/>
              </w:rPr>
              <w:t>te resources for their program</w:t>
            </w:r>
            <w:r w:rsidRPr="005F36E3">
              <w:rPr>
                <w:rFonts w:asciiTheme="majorHAnsi" w:eastAsia="Times New Roman" w:hAnsiTheme="majorHAnsi" w:cs="Arial"/>
                <w:color w:val="000000"/>
                <w:sz w:val="18"/>
                <w:szCs w:val="18"/>
              </w:rPr>
              <w:t xml:space="preserve">s and projects and the requirements have not been assessed </w:t>
            </w:r>
          </w:p>
        </w:tc>
        <w:tc>
          <w:tcPr>
            <w:tcW w:w="810" w:type="dxa"/>
            <w:tcBorders>
              <w:top w:val="nil"/>
              <w:left w:val="nil"/>
              <w:bottom w:val="single" w:sz="4" w:space="0" w:color="auto"/>
              <w:right w:val="single" w:sz="4" w:space="0" w:color="auto"/>
            </w:tcBorders>
            <w:shd w:val="clear" w:color="auto" w:fill="auto"/>
            <w:noWrap/>
            <w:vAlign w:val="bottom"/>
            <w:hideMark/>
          </w:tcPr>
          <w:p w14:paraId="430B0121"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0</w:t>
            </w:r>
          </w:p>
        </w:tc>
        <w:tc>
          <w:tcPr>
            <w:tcW w:w="9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372276"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1</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31D812"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8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3ADDCB"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2881" w:type="dxa"/>
            <w:gridSpan w:val="2"/>
            <w:vMerge w:val="restart"/>
            <w:tcBorders>
              <w:top w:val="nil"/>
              <w:left w:val="single" w:sz="4" w:space="0" w:color="auto"/>
              <w:bottom w:val="single" w:sz="4" w:space="0" w:color="000000"/>
              <w:right w:val="single" w:sz="4" w:space="0" w:color="auto"/>
            </w:tcBorders>
            <w:shd w:val="clear" w:color="auto" w:fill="auto"/>
            <w:noWrap/>
            <w:hideMark/>
          </w:tcPr>
          <w:p w14:paraId="1A5B7184"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 xml:space="preserve">New plan templates include financial projections so resource requirements are being better identified. When implemented, an Environmental Impact Fee </w:t>
            </w:r>
          </w:p>
          <w:p w14:paraId="411E9458"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 xml:space="preserve">or similar established under the Palau National Marine Santuary will contribute to environmental financing. </w:t>
            </w:r>
          </w:p>
        </w:tc>
        <w:tc>
          <w:tcPr>
            <w:tcW w:w="2430" w:type="dxa"/>
            <w:gridSpan w:val="2"/>
            <w:vMerge w:val="restart"/>
            <w:tcBorders>
              <w:top w:val="nil"/>
              <w:left w:val="single" w:sz="4" w:space="0" w:color="auto"/>
              <w:right w:val="single" w:sz="4" w:space="0" w:color="auto"/>
            </w:tcBorders>
          </w:tcPr>
          <w:p w14:paraId="4D2DC112"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This project does not address financing needs outside of mainstreaming biodiversity into financing and business plans.</w:t>
            </w:r>
          </w:p>
        </w:tc>
        <w:tc>
          <w:tcPr>
            <w:tcW w:w="990" w:type="dxa"/>
            <w:gridSpan w:val="2"/>
            <w:vMerge w:val="restart"/>
            <w:tcBorders>
              <w:top w:val="nil"/>
              <w:left w:val="single" w:sz="4" w:space="0" w:color="auto"/>
              <w:right w:val="single" w:sz="4" w:space="0" w:color="auto"/>
            </w:tcBorders>
            <w:vAlign w:val="center"/>
          </w:tcPr>
          <w:p w14:paraId="6F54A5DB"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None</w:t>
            </w:r>
          </w:p>
        </w:tc>
      </w:tr>
      <w:tr w:rsidR="00B02352" w:rsidRPr="005F36E3" w14:paraId="17539003" w14:textId="77777777" w:rsidTr="005F36E3">
        <w:trPr>
          <w:trHeight w:val="240"/>
        </w:trPr>
        <w:tc>
          <w:tcPr>
            <w:tcW w:w="1345" w:type="dxa"/>
            <w:vMerge/>
            <w:tcBorders>
              <w:top w:val="nil"/>
              <w:left w:val="single" w:sz="4" w:space="0" w:color="auto"/>
              <w:bottom w:val="single" w:sz="4" w:space="0" w:color="000000"/>
              <w:right w:val="single" w:sz="4" w:space="0" w:color="auto"/>
            </w:tcBorders>
            <w:vAlign w:val="center"/>
            <w:hideMark/>
          </w:tcPr>
          <w:p w14:paraId="45CBB63F"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331B78D6"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The resource requirements are known but are not being addressed </w:t>
            </w:r>
          </w:p>
        </w:tc>
        <w:tc>
          <w:tcPr>
            <w:tcW w:w="810" w:type="dxa"/>
            <w:tcBorders>
              <w:top w:val="nil"/>
              <w:left w:val="nil"/>
              <w:bottom w:val="single" w:sz="4" w:space="0" w:color="auto"/>
              <w:right w:val="single" w:sz="4" w:space="0" w:color="auto"/>
            </w:tcBorders>
            <w:shd w:val="clear" w:color="auto" w:fill="auto"/>
            <w:noWrap/>
            <w:vAlign w:val="bottom"/>
            <w:hideMark/>
          </w:tcPr>
          <w:p w14:paraId="3FF77D70"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1</w:t>
            </w:r>
          </w:p>
        </w:tc>
        <w:tc>
          <w:tcPr>
            <w:tcW w:w="990" w:type="dxa"/>
            <w:vMerge/>
            <w:tcBorders>
              <w:top w:val="nil"/>
              <w:left w:val="single" w:sz="4" w:space="0" w:color="auto"/>
              <w:bottom w:val="single" w:sz="4" w:space="0" w:color="000000"/>
              <w:right w:val="single" w:sz="4" w:space="0" w:color="auto"/>
            </w:tcBorders>
            <w:vAlign w:val="center"/>
            <w:hideMark/>
          </w:tcPr>
          <w:p w14:paraId="14940769"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0DECF2D5"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562C84E2"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04F2B217"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right w:val="single" w:sz="4" w:space="0" w:color="auto"/>
            </w:tcBorders>
          </w:tcPr>
          <w:p w14:paraId="6DA6C39E"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right w:val="single" w:sz="4" w:space="0" w:color="auto"/>
            </w:tcBorders>
            <w:vAlign w:val="center"/>
          </w:tcPr>
          <w:p w14:paraId="31AB6522"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55A76849" w14:textId="77777777" w:rsidTr="005F36E3">
        <w:trPr>
          <w:trHeight w:val="480"/>
        </w:trPr>
        <w:tc>
          <w:tcPr>
            <w:tcW w:w="1345" w:type="dxa"/>
            <w:vMerge/>
            <w:tcBorders>
              <w:top w:val="nil"/>
              <w:left w:val="single" w:sz="4" w:space="0" w:color="auto"/>
              <w:bottom w:val="single" w:sz="4" w:space="0" w:color="000000"/>
              <w:right w:val="single" w:sz="4" w:space="0" w:color="auto"/>
            </w:tcBorders>
            <w:vAlign w:val="center"/>
            <w:hideMark/>
          </w:tcPr>
          <w:p w14:paraId="7BC88194"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561FF756"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The funding sources for these resource requirements are partially identified and the resource requirements are partially addressed </w:t>
            </w:r>
          </w:p>
        </w:tc>
        <w:tc>
          <w:tcPr>
            <w:tcW w:w="810" w:type="dxa"/>
            <w:tcBorders>
              <w:top w:val="nil"/>
              <w:left w:val="nil"/>
              <w:bottom w:val="single" w:sz="4" w:space="0" w:color="auto"/>
              <w:right w:val="single" w:sz="4" w:space="0" w:color="auto"/>
            </w:tcBorders>
            <w:shd w:val="clear" w:color="auto" w:fill="auto"/>
            <w:noWrap/>
            <w:vAlign w:val="bottom"/>
            <w:hideMark/>
          </w:tcPr>
          <w:p w14:paraId="23607FBA"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990" w:type="dxa"/>
            <w:vMerge/>
            <w:tcBorders>
              <w:top w:val="nil"/>
              <w:left w:val="single" w:sz="4" w:space="0" w:color="auto"/>
              <w:bottom w:val="single" w:sz="4" w:space="0" w:color="000000"/>
              <w:right w:val="single" w:sz="4" w:space="0" w:color="auto"/>
            </w:tcBorders>
            <w:vAlign w:val="center"/>
            <w:hideMark/>
          </w:tcPr>
          <w:p w14:paraId="4810C21C"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45F38736"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2A96F0B2"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7B9C9A7A"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right w:val="single" w:sz="4" w:space="0" w:color="auto"/>
            </w:tcBorders>
          </w:tcPr>
          <w:p w14:paraId="41DF34E7"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right w:val="single" w:sz="4" w:space="0" w:color="auto"/>
            </w:tcBorders>
            <w:vAlign w:val="center"/>
          </w:tcPr>
          <w:p w14:paraId="2AFD620D"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3FC40B0A" w14:textId="77777777" w:rsidTr="005F36E3">
        <w:trPr>
          <w:trHeight w:val="240"/>
        </w:trPr>
        <w:tc>
          <w:tcPr>
            <w:tcW w:w="1345" w:type="dxa"/>
            <w:vMerge/>
            <w:tcBorders>
              <w:top w:val="nil"/>
              <w:left w:val="single" w:sz="4" w:space="0" w:color="auto"/>
              <w:bottom w:val="single" w:sz="4" w:space="0" w:color="000000"/>
              <w:right w:val="single" w:sz="4" w:space="0" w:color="auto"/>
            </w:tcBorders>
            <w:vAlign w:val="center"/>
            <w:hideMark/>
          </w:tcPr>
          <w:p w14:paraId="12589103"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6ABFE76B"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Adequate resources are mobilized and available for the functioning of the lead environmental organizations </w:t>
            </w:r>
          </w:p>
        </w:tc>
        <w:tc>
          <w:tcPr>
            <w:tcW w:w="810" w:type="dxa"/>
            <w:tcBorders>
              <w:top w:val="nil"/>
              <w:left w:val="nil"/>
              <w:bottom w:val="single" w:sz="4" w:space="0" w:color="auto"/>
              <w:right w:val="single" w:sz="4" w:space="0" w:color="auto"/>
            </w:tcBorders>
            <w:shd w:val="clear" w:color="auto" w:fill="auto"/>
            <w:noWrap/>
            <w:vAlign w:val="bottom"/>
            <w:hideMark/>
          </w:tcPr>
          <w:p w14:paraId="5F1DF113"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3</w:t>
            </w:r>
          </w:p>
        </w:tc>
        <w:tc>
          <w:tcPr>
            <w:tcW w:w="990" w:type="dxa"/>
            <w:vMerge/>
            <w:tcBorders>
              <w:top w:val="nil"/>
              <w:left w:val="single" w:sz="4" w:space="0" w:color="auto"/>
              <w:bottom w:val="single" w:sz="4" w:space="0" w:color="000000"/>
              <w:right w:val="single" w:sz="4" w:space="0" w:color="auto"/>
            </w:tcBorders>
            <w:vAlign w:val="center"/>
            <w:hideMark/>
          </w:tcPr>
          <w:p w14:paraId="1AB653C0"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5FB7AB2A"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242E4FDD"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1FBA9074"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bottom w:val="single" w:sz="4" w:space="0" w:color="000000"/>
              <w:right w:val="single" w:sz="4" w:space="0" w:color="auto"/>
            </w:tcBorders>
          </w:tcPr>
          <w:p w14:paraId="53446A56"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bottom w:val="single" w:sz="4" w:space="0" w:color="000000"/>
              <w:right w:val="single" w:sz="4" w:space="0" w:color="auto"/>
            </w:tcBorders>
            <w:vAlign w:val="center"/>
          </w:tcPr>
          <w:p w14:paraId="02B047ED"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13D66B46" w14:textId="77777777" w:rsidTr="005F36E3">
        <w:trPr>
          <w:trHeight w:val="720"/>
        </w:trPr>
        <w:tc>
          <w:tcPr>
            <w:tcW w:w="1345" w:type="dxa"/>
            <w:vMerge w:val="restart"/>
            <w:tcBorders>
              <w:top w:val="nil"/>
              <w:left w:val="single" w:sz="4" w:space="0" w:color="auto"/>
              <w:bottom w:val="single" w:sz="4" w:space="0" w:color="000000"/>
              <w:right w:val="single" w:sz="4" w:space="0" w:color="auto"/>
            </w:tcBorders>
            <w:shd w:val="clear" w:color="auto" w:fill="auto"/>
            <w:hideMark/>
          </w:tcPr>
          <w:p w14:paraId="5EE86476" w14:textId="77777777" w:rsidR="00B02352" w:rsidRPr="005F36E3" w:rsidRDefault="00B02352" w:rsidP="00B02352">
            <w:pPr>
              <w:spacing w:after="0"/>
              <w:jc w:val="left"/>
              <w:rPr>
                <w:rFonts w:asciiTheme="majorHAnsi" w:eastAsia="Times New Roman" w:hAnsiTheme="majorHAnsi"/>
                <w:b/>
                <w:bCs/>
                <w:color w:val="000000"/>
                <w:sz w:val="18"/>
                <w:szCs w:val="18"/>
              </w:rPr>
            </w:pPr>
            <w:r w:rsidRPr="005F36E3">
              <w:rPr>
                <w:rFonts w:asciiTheme="majorHAnsi" w:eastAsia="Times New Roman" w:hAnsiTheme="majorHAnsi"/>
                <w:b/>
                <w:bCs/>
                <w:color w:val="000000"/>
                <w:sz w:val="18"/>
                <w:szCs w:val="18"/>
              </w:rPr>
              <w:t>4.2. Availability of required technical skills and technology transfer</w:t>
            </w:r>
          </w:p>
        </w:tc>
        <w:tc>
          <w:tcPr>
            <w:tcW w:w="3083" w:type="dxa"/>
            <w:tcBorders>
              <w:top w:val="nil"/>
              <w:left w:val="nil"/>
              <w:bottom w:val="single" w:sz="4" w:space="0" w:color="auto"/>
              <w:right w:val="single" w:sz="4" w:space="0" w:color="auto"/>
            </w:tcBorders>
            <w:shd w:val="clear" w:color="auto" w:fill="auto"/>
            <w:vAlign w:val="center"/>
            <w:hideMark/>
          </w:tcPr>
          <w:p w14:paraId="1462EDF1"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The necessary required skills and technology are not available and the needs are not identified </w:t>
            </w:r>
          </w:p>
        </w:tc>
        <w:tc>
          <w:tcPr>
            <w:tcW w:w="810" w:type="dxa"/>
            <w:tcBorders>
              <w:top w:val="nil"/>
              <w:left w:val="nil"/>
              <w:bottom w:val="single" w:sz="4" w:space="0" w:color="auto"/>
              <w:right w:val="single" w:sz="4" w:space="0" w:color="auto"/>
            </w:tcBorders>
            <w:shd w:val="clear" w:color="auto" w:fill="auto"/>
            <w:noWrap/>
            <w:vAlign w:val="bottom"/>
            <w:hideMark/>
          </w:tcPr>
          <w:p w14:paraId="324EFFAF"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0</w:t>
            </w:r>
          </w:p>
        </w:tc>
        <w:tc>
          <w:tcPr>
            <w:tcW w:w="9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B39AD8"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1</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4801C5"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1</w:t>
            </w:r>
          </w:p>
        </w:tc>
        <w:tc>
          <w:tcPr>
            <w:tcW w:w="8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78D056"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2881" w:type="dxa"/>
            <w:gridSpan w:val="2"/>
            <w:vMerge w:val="restart"/>
            <w:tcBorders>
              <w:top w:val="nil"/>
              <w:left w:val="single" w:sz="4" w:space="0" w:color="auto"/>
              <w:bottom w:val="single" w:sz="4" w:space="0" w:color="000000"/>
              <w:right w:val="single" w:sz="4" w:space="0" w:color="auto"/>
            </w:tcBorders>
            <w:shd w:val="clear" w:color="auto" w:fill="auto"/>
            <w:noWrap/>
            <w:hideMark/>
          </w:tcPr>
          <w:p w14:paraId="4FBD7F91" w14:textId="1296F57F"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There is some understanding of technical capacity and needs although it varies by sector. The marine sector fisheries and tourism and the tourism sector commercial aspects are well understood. A baseline understanding of capacity needs on land and in the terrestrial realm is less developed, and capacity building programs have largely focused on marine resources. Capacity in Landscape/ Seascape Planning and within Biosecurity is limited.</w:t>
            </w:r>
          </w:p>
        </w:tc>
        <w:tc>
          <w:tcPr>
            <w:tcW w:w="2430" w:type="dxa"/>
            <w:gridSpan w:val="2"/>
            <w:vMerge w:val="restart"/>
            <w:tcBorders>
              <w:top w:val="nil"/>
              <w:left w:val="single" w:sz="4" w:space="0" w:color="auto"/>
              <w:right w:val="single" w:sz="4" w:space="0" w:color="auto"/>
            </w:tcBorders>
          </w:tcPr>
          <w:p w14:paraId="33D3BFE8"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The project will bring in technical consultants to develop training programs to build capacity within Biosecurity and Landscape/ Seascape Planning. This will include protocols for incorporating new information and updating training programs. Implementation and tracking of Best Practices at the State level within model/demonstration projects will also result in a protocol for updating training programs.</w:t>
            </w:r>
          </w:p>
        </w:tc>
        <w:tc>
          <w:tcPr>
            <w:tcW w:w="990" w:type="dxa"/>
            <w:gridSpan w:val="2"/>
            <w:vMerge w:val="restart"/>
            <w:tcBorders>
              <w:top w:val="nil"/>
              <w:left w:val="single" w:sz="4" w:space="0" w:color="auto"/>
              <w:right w:val="single" w:sz="4" w:space="0" w:color="auto"/>
            </w:tcBorders>
            <w:vAlign w:val="center"/>
          </w:tcPr>
          <w:p w14:paraId="5D760624"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All</w:t>
            </w:r>
          </w:p>
        </w:tc>
      </w:tr>
      <w:tr w:rsidR="00B02352" w:rsidRPr="005F36E3" w14:paraId="53176216" w14:textId="77777777" w:rsidTr="005F36E3">
        <w:trPr>
          <w:trHeight w:val="240"/>
        </w:trPr>
        <w:tc>
          <w:tcPr>
            <w:tcW w:w="1345" w:type="dxa"/>
            <w:vMerge/>
            <w:tcBorders>
              <w:top w:val="nil"/>
              <w:left w:val="single" w:sz="4" w:space="0" w:color="auto"/>
              <w:bottom w:val="single" w:sz="4" w:space="0" w:color="000000"/>
              <w:right w:val="single" w:sz="4" w:space="0" w:color="auto"/>
            </w:tcBorders>
            <w:vAlign w:val="center"/>
            <w:hideMark/>
          </w:tcPr>
          <w:p w14:paraId="23DE07E4"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17E176CB"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The required skills and technologies needs are identified as well as their sources </w:t>
            </w:r>
          </w:p>
        </w:tc>
        <w:tc>
          <w:tcPr>
            <w:tcW w:w="810" w:type="dxa"/>
            <w:tcBorders>
              <w:top w:val="nil"/>
              <w:left w:val="nil"/>
              <w:bottom w:val="single" w:sz="4" w:space="0" w:color="auto"/>
              <w:right w:val="single" w:sz="4" w:space="0" w:color="auto"/>
            </w:tcBorders>
            <w:shd w:val="clear" w:color="auto" w:fill="auto"/>
            <w:noWrap/>
            <w:vAlign w:val="bottom"/>
            <w:hideMark/>
          </w:tcPr>
          <w:p w14:paraId="3F970FBB"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1</w:t>
            </w:r>
          </w:p>
        </w:tc>
        <w:tc>
          <w:tcPr>
            <w:tcW w:w="990" w:type="dxa"/>
            <w:vMerge/>
            <w:tcBorders>
              <w:top w:val="nil"/>
              <w:left w:val="single" w:sz="4" w:space="0" w:color="auto"/>
              <w:bottom w:val="single" w:sz="4" w:space="0" w:color="000000"/>
              <w:right w:val="single" w:sz="4" w:space="0" w:color="auto"/>
            </w:tcBorders>
            <w:vAlign w:val="center"/>
            <w:hideMark/>
          </w:tcPr>
          <w:p w14:paraId="21434570"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2CCB9E9F"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1A9117CD"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4B4AC560"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right w:val="single" w:sz="4" w:space="0" w:color="auto"/>
            </w:tcBorders>
          </w:tcPr>
          <w:p w14:paraId="0E82CCAB"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right w:val="single" w:sz="4" w:space="0" w:color="auto"/>
            </w:tcBorders>
            <w:vAlign w:val="center"/>
          </w:tcPr>
          <w:p w14:paraId="4AF278F6"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15B20454" w14:textId="77777777" w:rsidTr="005F36E3">
        <w:trPr>
          <w:trHeight w:val="240"/>
        </w:trPr>
        <w:tc>
          <w:tcPr>
            <w:tcW w:w="1345" w:type="dxa"/>
            <w:vMerge/>
            <w:tcBorders>
              <w:top w:val="nil"/>
              <w:left w:val="single" w:sz="4" w:space="0" w:color="auto"/>
              <w:bottom w:val="single" w:sz="4" w:space="0" w:color="000000"/>
              <w:right w:val="single" w:sz="4" w:space="0" w:color="auto"/>
            </w:tcBorders>
            <w:vAlign w:val="center"/>
            <w:hideMark/>
          </w:tcPr>
          <w:p w14:paraId="431AD556"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77771AEE"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The required skills and technologies are obtained but their access depend on foreign sources </w:t>
            </w:r>
          </w:p>
        </w:tc>
        <w:tc>
          <w:tcPr>
            <w:tcW w:w="810" w:type="dxa"/>
            <w:tcBorders>
              <w:top w:val="nil"/>
              <w:left w:val="nil"/>
              <w:bottom w:val="single" w:sz="4" w:space="0" w:color="auto"/>
              <w:right w:val="single" w:sz="4" w:space="0" w:color="auto"/>
            </w:tcBorders>
            <w:shd w:val="clear" w:color="auto" w:fill="auto"/>
            <w:noWrap/>
            <w:vAlign w:val="bottom"/>
            <w:hideMark/>
          </w:tcPr>
          <w:p w14:paraId="2F5122BC"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990" w:type="dxa"/>
            <w:vMerge/>
            <w:tcBorders>
              <w:top w:val="nil"/>
              <w:left w:val="single" w:sz="4" w:space="0" w:color="auto"/>
              <w:bottom w:val="single" w:sz="4" w:space="0" w:color="000000"/>
              <w:right w:val="single" w:sz="4" w:space="0" w:color="auto"/>
            </w:tcBorders>
            <w:vAlign w:val="center"/>
            <w:hideMark/>
          </w:tcPr>
          <w:p w14:paraId="56AE4CF4"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77CB117E"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446AFB58"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57394073"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right w:val="single" w:sz="4" w:space="0" w:color="auto"/>
            </w:tcBorders>
          </w:tcPr>
          <w:p w14:paraId="4A6A61AE"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right w:val="single" w:sz="4" w:space="0" w:color="auto"/>
            </w:tcBorders>
            <w:vAlign w:val="center"/>
          </w:tcPr>
          <w:p w14:paraId="6E322B3F"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03D3BC43" w14:textId="77777777" w:rsidTr="005F36E3">
        <w:trPr>
          <w:trHeight w:val="480"/>
        </w:trPr>
        <w:tc>
          <w:tcPr>
            <w:tcW w:w="1345" w:type="dxa"/>
            <w:vMerge/>
            <w:tcBorders>
              <w:top w:val="nil"/>
              <w:left w:val="single" w:sz="4" w:space="0" w:color="auto"/>
              <w:bottom w:val="single" w:sz="4" w:space="0" w:color="000000"/>
              <w:right w:val="single" w:sz="4" w:space="0" w:color="auto"/>
            </w:tcBorders>
            <w:vAlign w:val="center"/>
            <w:hideMark/>
          </w:tcPr>
          <w:p w14:paraId="695CC87B"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2783F8D7"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The required skills and technologies are available and there is a national-based mechanism for updating the required skills and for upgrading the technologies </w:t>
            </w:r>
          </w:p>
        </w:tc>
        <w:tc>
          <w:tcPr>
            <w:tcW w:w="810" w:type="dxa"/>
            <w:tcBorders>
              <w:top w:val="nil"/>
              <w:left w:val="nil"/>
              <w:bottom w:val="single" w:sz="4" w:space="0" w:color="auto"/>
              <w:right w:val="single" w:sz="4" w:space="0" w:color="auto"/>
            </w:tcBorders>
            <w:shd w:val="clear" w:color="auto" w:fill="auto"/>
            <w:noWrap/>
            <w:vAlign w:val="bottom"/>
            <w:hideMark/>
          </w:tcPr>
          <w:p w14:paraId="0CEE2800"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3</w:t>
            </w:r>
          </w:p>
        </w:tc>
        <w:tc>
          <w:tcPr>
            <w:tcW w:w="990" w:type="dxa"/>
            <w:vMerge/>
            <w:tcBorders>
              <w:top w:val="nil"/>
              <w:left w:val="single" w:sz="4" w:space="0" w:color="auto"/>
              <w:bottom w:val="single" w:sz="4" w:space="0" w:color="000000"/>
              <w:right w:val="single" w:sz="4" w:space="0" w:color="auto"/>
            </w:tcBorders>
            <w:vAlign w:val="center"/>
            <w:hideMark/>
          </w:tcPr>
          <w:p w14:paraId="27813DF3"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243264BA"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3C4EF80E"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3C8F0BAD"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bottom w:val="single" w:sz="4" w:space="0" w:color="000000"/>
              <w:right w:val="single" w:sz="4" w:space="0" w:color="auto"/>
            </w:tcBorders>
          </w:tcPr>
          <w:p w14:paraId="56BFB67A"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bottom w:val="single" w:sz="4" w:space="0" w:color="000000"/>
              <w:right w:val="single" w:sz="4" w:space="0" w:color="auto"/>
            </w:tcBorders>
            <w:vAlign w:val="center"/>
          </w:tcPr>
          <w:p w14:paraId="13C83CDE"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5027F714" w14:textId="77777777" w:rsidTr="00A35929">
        <w:trPr>
          <w:trHeight w:val="480"/>
        </w:trPr>
        <w:tc>
          <w:tcPr>
            <w:tcW w:w="10639" w:type="dxa"/>
            <w:gridSpan w:val="8"/>
            <w:tcBorders>
              <w:top w:val="single" w:sz="4" w:space="0" w:color="auto"/>
              <w:left w:val="single" w:sz="4" w:space="0" w:color="auto"/>
              <w:bottom w:val="single" w:sz="4" w:space="0" w:color="auto"/>
              <w:right w:val="nil"/>
            </w:tcBorders>
            <w:shd w:val="clear" w:color="000000" w:fill="D6E3BC"/>
            <w:hideMark/>
          </w:tcPr>
          <w:p w14:paraId="6CE9FEE0" w14:textId="77777777" w:rsidR="00B02352" w:rsidRPr="005F36E3" w:rsidRDefault="00B02352" w:rsidP="00B02352">
            <w:pPr>
              <w:spacing w:after="0"/>
              <w:jc w:val="left"/>
              <w:rPr>
                <w:rFonts w:asciiTheme="majorHAnsi" w:eastAsia="Times New Roman" w:hAnsiTheme="majorHAnsi"/>
                <w:b/>
                <w:bCs/>
                <w:color w:val="000000"/>
                <w:sz w:val="18"/>
                <w:szCs w:val="18"/>
              </w:rPr>
            </w:pPr>
            <w:r w:rsidRPr="005F36E3">
              <w:rPr>
                <w:rFonts w:asciiTheme="majorHAnsi" w:eastAsia="Times New Roman" w:hAnsiTheme="majorHAnsi"/>
                <w:b/>
                <w:bCs/>
                <w:color w:val="000000"/>
                <w:sz w:val="18"/>
                <w:szCs w:val="18"/>
              </w:rPr>
              <w:t>CR 5: Capacities to monitor and evaluate</w:t>
            </w:r>
          </w:p>
        </w:tc>
        <w:tc>
          <w:tcPr>
            <w:tcW w:w="2430" w:type="dxa"/>
            <w:gridSpan w:val="2"/>
            <w:tcBorders>
              <w:top w:val="single" w:sz="4" w:space="0" w:color="auto"/>
              <w:left w:val="single" w:sz="4" w:space="0" w:color="auto"/>
              <w:bottom w:val="single" w:sz="4" w:space="0" w:color="auto"/>
              <w:right w:val="nil"/>
            </w:tcBorders>
            <w:shd w:val="clear" w:color="000000" w:fill="D6E3BC"/>
          </w:tcPr>
          <w:p w14:paraId="67E3BB7A"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990" w:type="dxa"/>
            <w:gridSpan w:val="2"/>
            <w:tcBorders>
              <w:top w:val="single" w:sz="4" w:space="0" w:color="auto"/>
              <w:left w:val="single" w:sz="4" w:space="0" w:color="auto"/>
              <w:bottom w:val="single" w:sz="4" w:space="0" w:color="auto"/>
              <w:right w:val="nil"/>
            </w:tcBorders>
            <w:shd w:val="clear" w:color="000000" w:fill="D6E3BC"/>
            <w:vAlign w:val="center"/>
          </w:tcPr>
          <w:p w14:paraId="269C2AF0" w14:textId="77777777" w:rsidR="00B02352" w:rsidRPr="005F36E3" w:rsidRDefault="00B02352" w:rsidP="00B02352">
            <w:pPr>
              <w:spacing w:after="0"/>
              <w:jc w:val="left"/>
              <w:rPr>
                <w:rFonts w:asciiTheme="majorHAnsi" w:eastAsia="Times New Roman" w:hAnsiTheme="majorHAnsi"/>
                <w:b/>
                <w:bCs/>
                <w:color w:val="000000"/>
                <w:sz w:val="18"/>
                <w:szCs w:val="18"/>
              </w:rPr>
            </w:pPr>
          </w:p>
        </w:tc>
      </w:tr>
      <w:tr w:rsidR="00B02352" w:rsidRPr="005F36E3" w14:paraId="509CDAF7" w14:textId="77777777" w:rsidTr="005F36E3">
        <w:trPr>
          <w:trHeight w:val="480"/>
        </w:trPr>
        <w:tc>
          <w:tcPr>
            <w:tcW w:w="1345" w:type="dxa"/>
            <w:vMerge w:val="restart"/>
            <w:tcBorders>
              <w:top w:val="nil"/>
              <w:left w:val="single" w:sz="4" w:space="0" w:color="auto"/>
              <w:bottom w:val="single" w:sz="4" w:space="0" w:color="000000"/>
              <w:right w:val="single" w:sz="4" w:space="0" w:color="auto"/>
            </w:tcBorders>
            <w:shd w:val="clear" w:color="auto" w:fill="auto"/>
            <w:hideMark/>
          </w:tcPr>
          <w:p w14:paraId="283E9575" w14:textId="77777777" w:rsidR="00B02352" w:rsidRPr="005F36E3" w:rsidRDefault="00B02352" w:rsidP="00B02352">
            <w:pPr>
              <w:spacing w:after="0"/>
              <w:jc w:val="left"/>
              <w:rPr>
                <w:rFonts w:asciiTheme="majorHAnsi" w:eastAsia="Times New Roman" w:hAnsiTheme="majorHAnsi"/>
                <w:b/>
                <w:bCs/>
                <w:color w:val="000000"/>
                <w:sz w:val="18"/>
                <w:szCs w:val="18"/>
              </w:rPr>
            </w:pPr>
            <w:r w:rsidRPr="005F36E3">
              <w:rPr>
                <w:rFonts w:asciiTheme="majorHAnsi" w:eastAsia="Times New Roman" w:hAnsiTheme="majorHAnsi"/>
                <w:b/>
                <w:bCs/>
                <w:color w:val="000000"/>
                <w:sz w:val="18"/>
                <w:szCs w:val="18"/>
              </w:rPr>
              <w:t>5.1. Adequacy of the environmental monitoring process</w:t>
            </w:r>
          </w:p>
        </w:tc>
        <w:tc>
          <w:tcPr>
            <w:tcW w:w="3083" w:type="dxa"/>
            <w:tcBorders>
              <w:top w:val="nil"/>
              <w:left w:val="nil"/>
              <w:bottom w:val="single" w:sz="4" w:space="0" w:color="auto"/>
              <w:right w:val="single" w:sz="4" w:space="0" w:color="auto"/>
            </w:tcBorders>
            <w:shd w:val="clear" w:color="auto" w:fill="auto"/>
            <w:vAlign w:val="center"/>
            <w:hideMark/>
          </w:tcPr>
          <w:p w14:paraId="03F85F28" w14:textId="05CB570F"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Irregular project monitoring is being done without an adequate monitoring framework detailing what and how to monitor the</w:t>
            </w:r>
            <w:r w:rsidR="00FF141B">
              <w:rPr>
                <w:rFonts w:asciiTheme="majorHAnsi" w:eastAsia="Times New Roman" w:hAnsiTheme="majorHAnsi" w:cs="Arial"/>
                <w:color w:val="000000"/>
                <w:sz w:val="18"/>
                <w:szCs w:val="18"/>
              </w:rPr>
              <w:t xml:space="preserve"> particular project or program</w:t>
            </w:r>
            <w:r w:rsidRPr="005F36E3">
              <w:rPr>
                <w:rFonts w:asciiTheme="majorHAnsi" w:eastAsia="Times New Roman" w:hAnsiTheme="majorHAnsi" w:cs="Arial"/>
                <w:color w:val="00000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bottom"/>
            <w:hideMark/>
          </w:tcPr>
          <w:p w14:paraId="6A67371A"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0</w:t>
            </w:r>
          </w:p>
        </w:tc>
        <w:tc>
          <w:tcPr>
            <w:tcW w:w="9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B9DBC8"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313A62"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8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999A51"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val="restart"/>
            <w:tcBorders>
              <w:top w:val="nil"/>
              <w:left w:val="single" w:sz="4" w:space="0" w:color="auto"/>
              <w:bottom w:val="single" w:sz="4" w:space="0" w:color="000000"/>
              <w:right w:val="single" w:sz="4" w:space="0" w:color="auto"/>
            </w:tcBorders>
            <w:shd w:val="clear" w:color="auto" w:fill="auto"/>
            <w:noWrap/>
            <w:hideMark/>
          </w:tcPr>
          <w:p w14:paraId="1E60D13D" w14:textId="5B4341FD"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 xml:space="preserve">Most projects have consistent monitoring but this is based on project objectives and the information is not shared well across projects, agencies, or with the public. Thus, data collected is not consistent across projects. Larger NGOs and CSOs have more developed monitoring programs that government agencies. Limitations in technical capacity and funding often mean that data is collected but not used or even accessible. </w:t>
            </w:r>
          </w:p>
          <w:p w14:paraId="0347D9C5"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br/>
              <w:t>Aside from the PAN, the National Government does not have as many monitoring programs as NGOs and CSOs.</w:t>
            </w:r>
          </w:p>
        </w:tc>
        <w:tc>
          <w:tcPr>
            <w:tcW w:w="2430" w:type="dxa"/>
            <w:gridSpan w:val="2"/>
            <w:vMerge w:val="restart"/>
            <w:tcBorders>
              <w:top w:val="nil"/>
              <w:left w:val="single" w:sz="4" w:space="0" w:color="auto"/>
              <w:right w:val="single" w:sz="4" w:space="0" w:color="auto"/>
            </w:tcBorders>
          </w:tcPr>
          <w:p w14:paraId="767A0E6A"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Implement the Project M&amp;E Plan, as well as build in monitoring into Landscape Planning. Build capacity to implement Biosecurity-related monitoring.</w:t>
            </w:r>
          </w:p>
        </w:tc>
        <w:tc>
          <w:tcPr>
            <w:tcW w:w="990" w:type="dxa"/>
            <w:gridSpan w:val="2"/>
            <w:vMerge w:val="restart"/>
            <w:tcBorders>
              <w:top w:val="nil"/>
              <w:left w:val="single" w:sz="4" w:space="0" w:color="auto"/>
              <w:right w:val="single" w:sz="4" w:space="0" w:color="auto"/>
            </w:tcBorders>
            <w:vAlign w:val="center"/>
          </w:tcPr>
          <w:p w14:paraId="4387ED06"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All</w:t>
            </w:r>
          </w:p>
        </w:tc>
      </w:tr>
      <w:tr w:rsidR="00B02352" w:rsidRPr="005F36E3" w14:paraId="3827170C" w14:textId="77777777" w:rsidTr="005F36E3">
        <w:trPr>
          <w:trHeight w:val="240"/>
        </w:trPr>
        <w:tc>
          <w:tcPr>
            <w:tcW w:w="1345" w:type="dxa"/>
            <w:vMerge/>
            <w:tcBorders>
              <w:top w:val="nil"/>
              <w:left w:val="single" w:sz="4" w:space="0" w:color="auto"/>
              <w:bottom w:val="single" w:sz="4" w:space="0" w:color="000000"/>
              <w:right w:val="single" w:sz="4" w:space="0" w:color="auto"/>
            </w:tcBorders>
            <w:vAlign w:val="center"/>
            <w:hideMark/>
          </w:tcPr>
          <w:p w14:paraId="2C892321"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241563F5"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An adequate resourced monitoring framework is in place but project monitoring is irregularly conducted </w:t>
            </w:r>
          </w:p>
        </w:tc>
        <w:tc>
          <w:tcPr>
            <w:tcW w:w="810" w:type="dxa"/>
            <w:tcBorders>
              <w:top w:val="nil"/>
              <w:left w:val="nil"/>
              <w:bottom w:val="single" w:sz="4" w:space="0" w:color="auto"/>
              <w:right w:val="single" w:sz="4" w:space="0" w:color="auto"/>
            </w:tcBorders>
            <w:shd w:val="clear" w:color="auto" w:fill="auto"/>
            <w:noWrap/>
            <w:vAlign w:val="bottom"/>
            <w:hideMark/>
          </w:tcPr>
          <w:p w14:paraId="63A885F8"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1</w:t>
            </w:r>
          </w:p>
        </w:tc>
        <w:tc>
          <w:tcPr>
            <w:tcW w:w="990" w:type="dxa"/>
            <w:vMerge/>
            <w:tcBorders>
              <w:top w:val="nil"/>
              <w:left w:val="single" w:sz="4" w:space="0" w:color="auto"/>
              <w:bottom w:val="single" w:sz="4" w:space="0" w:color="000000"/>
              <w:right w:val="single" w:sz="4" w:space="0" w:color="auto"/>
            </w:tcBorders>
            <w:vAlign w:val="center"/>
            <w:hideMark/>
          </w:tcPr>
          <w:p w14:paraId="53285E5F"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4EB95633"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372CCDC0"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4CDE15D1"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right w:val="single" w:sz="4" w:space="0" w:color="auto"/>
            </w:tcBorders>
          </w:tcPr>
          <w:p w14:paraId="7EF7CF4F"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right w:val="single" w:sz="4" w:space="0" w:color="auto"/>
            </w:tcBorders>
            <w:vAlign w:val="center"/>
          </w:tcPr>
          <w:p w14:paraId="03D9087B"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70221105" w14:textId="77777777" w:rsidTr="005F36E3">
        <w:trPr>
          <w:trHeight w:val="480"/>
        </w:trPr>
        <w:tc>
          <w:tcPr>
            <w:tcW w:w="1345" w:type="dxa"/>
            <w:vMerge/>
            <w:tcBorders>
              <w:top w:val="nil"/>
              <w:left w:val="single" w:sz="4" w:space="0" w:color="auto"/>
              <w:bottom w:val="single" w:sz="4" w:space="0" w:color="000000"/>
              <w:right w:val="single" w:sz="4" w:space="0" w:color="auto"/>
            </w:tcBorders>
            <w:vAlign w:val="center"/>
            <w:hideMark/>
          </w:tcPr>
          <w:p w14:paraId="4EAC0252"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37E1F143" w14:textId="3F0A2054"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Regular participative monitoring of results in being conducted but this information is only partiall</w:t>
            </w:r>
            <w:r w:rsidR="00FF141B">
              <w:rPr>
                <w:rFonts w:asciiTheme="majorHAnsi" w:eastAsia="Times New Roman" w:hAnsiTheme="majorHAnsi" w:cs="Arial"/>
                <w:color w:val="000000"/>
                <w:sz w:val="18"/>
                <w:szCs w:val="18"/>
              </w:rPr>
              <w:t xml:space="preserve">y used by the project/program </w:t>
            </w:r>
            <w:r w:rsidRPr="005F36E3">
              <w:rPr>
                <w:rFonts w:asciiTheme="majorHAnsi" w:eastAsia="Times New Roman" w:hAnsiTheme="majorHAnsi" w:cs="Arial"/>
                <w:color w:val="000000"/>
                <w:sz w:val="18"/>
                <w:szCs w:val="18"/>
              </w:rPr>
              <w:t xml:space="preserve">implementation team </w:t>
            </w:r>
          </w:p>
        </w:tc>
        <w:tc>
          <w:tcPr>
            <w:tcW w:w="810" w:type="dxa"/>
            <w:tcBorders>
              <w:top w:val="nil"/>
              <w:left w:val="nil"/>
              <w:bottom w:val="single" w:sz="4" w:space="0" w:color="auto"/>
              <w:right w:val="single" w:sz="4" w:space="0" w:color="auto"/>
            </w:tcBorders>
            <w:shd w:val="clear" w:color="auto" w:fill="auto"/>
            <w:noWrap/>
            <w:vAlign w:val="bottom"/>
            <w:hideMark/>
          </w:tcPr>
          <w:p w14:paraId="71F15946"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990" w:type="dxa"/>
            <w:vMerge/>
            <w:tcBorders>
              <w:top w:val="nil"/>
              <w:left w:val="single" w:sz="4" w:space="0" w:color="auto"/>
              <w:bottom w:val="single" w:sz="4" w:space="0" w:color="000000"/>
              <w:right w:val="single" w:sz="4" w:space="0" w:color="auto"/>
            </w:tcBorders>
            <w:vAlign w:val="center"/>
            <w:hideMark/>
          </w:tcPr>
          <w:p w14:paraId="52FACCA3"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7A896CF1"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052550B1"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03954296"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right w:val="single" w:sz="4" w:space="0" w:color="auto"/>
            </w:tcBorders>
          </w:tcPr>
          <w:p w14:paraId="10283562"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right w:val="single" w:sz="4" w:space="0" w:color="auto"/>
            </w:tcBorders>
            <w:vAlign w:val="center"/>
          </w:tcPr>
          <w:p w14:paraId="7194AF9D"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07FDEAB0" w14:textId="77777777" w:rsidTr="005F36E3">
        <w:trPr>
          <w:trHeight w:val="480"/>
        </w:trPr>
        <w:tc>
          <w:tcPr>
            <w:tcW w:w="1345" w:type="dxa"/>
            <w:vMerge/>
            <w:tcBorders>
              <w:top w:val="nil"/>
              <w:left w:val="single" w:sz="4" w:space="0" w:color="auto"/>
              <w:bottom w:val="single" w:sz="4" w:space="0" w:color="000000"/>
              <w:right w:val="single" w:sz="4" w:space="0" w:color="auto"/>
            </w:tcBorders>
            <w:vAlign w:val="center"/>
            <w:hideMark/>
          </w:tcPr>
          <w:p w14:paraId="65F3D7BD"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56A84F4A"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Monitoring information is produced timely and accurately and is used by the implementation team to learn and possibly to change the course of action </w:t>
            </w:r>
          </w:p>
        </w:tc>
        <w:tc>
          <w:tcPr>
            <w:tcW w:w="810" w:type="dxa"/>
            <w:tcBorders>
              <w:top w:val="nil"/>
              <w:left w:val="nil"/>
              <w:bottom w:val="single" w:sz="4" w:space="0" w:color="auto"/>
              <w:right w:val="single" w:sz="4" w:space="0" w:color="auto"/>
            </w:tcBorders>
            <w:shd w:val="clear" w:color="auto" w:fill="auto"/>
            <w:noWrap/>
            <w:vAlign w:val="bottom"/>
            <w:hideMark/>
          </w:tcPr>
          <w:p w14:paraId="11F6BDBA"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3</w:t>
            </w:r>
          </w:p>
        </w:tc>
        <w:tc>
          <w:tcPr>
            <w:tcW w:w="990" w:type="dxa"/>
            <w:vMerge/>
            <w:tcBorders>
              <w:top w:val="nil"/>
              <w:left w:val="single" w:sz="4" w:space="0" w:color="auto"/>
              <w:bottom w:val="single" w:sz="4" w:space="0" w:color="000000"/>
              <w:right w:val="single" w:sz="4" w:space="0" w:color="auto"/>
            </w:tcBorders>
            <w:vAlign w:val="center"/>
            <w:hideMark/>
          </w:tcPr>
          <w:p w14:paraId="41D93501"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44D33630"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75D2AC92"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2E3354C7"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bottom w:val="single" w:sz="4" w:space="0" w:color="000000"/>
              <w:right w:val="single" w:sz="4" w:space="0" w:color="auto"/>
            </w:tcBorders>
          </w:tcPr>
          <w:p w14:paraId="024813F7"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bottom w:val="single" w:sz="4" w:space="0" w:color="000000"/>
              <w:right w:val="single" w:sz="4" w:space="0" w:color="auto"/>
            </w:tcBorders>
            <w:vAlign w:val="center"/>
          </w:tcPr>
          <w:p w14:paraId="22328AA7"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400A43C2" w14:textId="77777777" w:rsidTr="005F36E3">
        <w:trPr>
          <w:trHeight w:val="480"/>
        </w:trPr>
        <w:tc>
          <w:tcPr>
            <w:tcW w:w="1345" w:type="dxa"/>
            <w:vMerge w:val="restart"/>
            <w:tcBorders>
              <w:top w:val="nil"/>
              <w:left w:val="single" w:sz="4" w:space="0" w:color="auto"/>
              <w:bottom w:val="single" w:sz="4" w:space="0" w:color="000000"/>
              <w:right w:val="single" w:sz="4" w:space="0" w:color="auto"/>
            </w:tcBorders>
            <w:shd w:val="clear" w:color="auto" w:fill="auto"/>
            <w:hideMark/>
          </w:tcPr>
          <w:p w14:paraId="33210707" w14:textId="77777777" w:rsidR="00B02352" w:rsidRPr="005F36E3" w:rsidRDefault="00B02352" w:rsidP="00B02352">
            <w:pPr>
              <w:spacing w:after="0"/>
              <w:jc w:val="left"/>
              <w:rPr>
                <w:rFonts w:asciiTheme="majorHAnsi" w:eastAsia="Times New Roman" w:hAnsiTheme="majorHAnsi"/>
                <w:b/>
                <w:bCs/>
                <w:color w:val="000000"/>
                <w:sz w:val="18"/>
                <w:szCs w:val="18"/>
              </w:rPr>
            </w:pPr>
            <w:r w:rsidRPr="005F36E3">
              <w:rPr>
                <w:rFonts w:asciiTheme="majorHAnsi" w:eastAsia="Times New Roman" w:hAnsiTheme="majorHAnsi"/>
                <w:b/>
                <w:bCs/>
                <w:color w:val="000000"/>
                <w:sz w:val="18"/>
                <w:szCs w:val="18"/>
              </w:rPr>
              <w:t>5.2. Adequacy of the environmental evaluation process</w:t>
            </w:r>
          </w:p>
        </w:tc>
        <w:tc>
          <w:tcPr>
            <w:tcW w:w="3083" w:type="dxa"/>
            <w:tcBorders>
              <w:top w:val="nil"/>
              <w:left w:val="nil"/>
              <w:bottom w:val="single" w:sz="4" w:space="0" w:color="auto"/>
              <w:right w:val="single" w:sz="4" w:space="0" w:color="auto"/>
            </w:tcBorders>
            <w:shd w:val="clear" w:color="auto" w:fill="auto"/>
            <w:vAlign w:val="center"/>
            <w:hideMark/>
          </w:tcPr>
          <w:p w14:paraId="15176E03"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None or ineffective evaluations are being conducted without an adequate evaluation plan; including the necessary resources </w:t>
            </w:r>
          </w:p>
        </w:tc>
        <w:tc>
          <w:tcPr>
            <w:tcW w:w="810" w:type="dxa"/>
            <w:tcBorders>
              <w:top w:val="nil"/>
              <w:left w:val="nil"/>
              <w:bottom w:val="single" w:sz="4" w:space="0" w:color="auto"/>
              <w:right w:val="single" w:sz="4" w:space="0" w:color="auto"/>
            </w:tcBorders>
            <w:shd w:val="clear" w:color="auto" w:fill="auto"/>
            <w:noWrap/>
            <w:vAlign w:val="bottom"/>
            <w:hideMark/>
          </w:tcPr>
          <w:p w14:paraId="3EE43418"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0</w:t>
            </w:r>
          </w:p>
        </w:tc>
        <w:tc>
          <w:tcPr>
            <w:tcW w:w="9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AF4FBD"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1</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92E965"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1</w:t>
            </w:r>
          </w:p>
        </w:tc>
        <w:tc>
          <w:tcPr>
            <w:tcW w:w="8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10721A"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2881" w:type="dxa"/>
            <w:gridSpan w:val="2"/>
            <w:vMerge w:val="restart"/>
            <w:tcBorders>
              <w:top w:val="nil"/>
              <w:left w:val="single" w:sz="4" w:space="0" w:color="auto"/>
              <w:bottom w:val="single" w:sz="4" w:space="0" w:color="000000"/>
              <w:right w:val="single" w:sz="4" w:space="0" w:color="auto"/>
            </w:tcBorders>
            <w:shd w:val="clear" w:color="auto" w:fill="auto"/>
            <w:noWrap/>
            <w:hideMark/>
          </w:tcPr>
          <w:p w14:paraId="53F621F1"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 xml:space="preserve">Even when monitoring is conducted oftentimes the data is not used to conduct self-evaluations. Many evaluations have been conducted by external entities. Most externally funded projects have evaluation components but this does not evaluate overall Ministry-level programs. </w:t>
            </w:r>
          </w:p>
          <w:p w14:paraId="2480F3DE" w14:textId="77777777" w:rsidR="00B02352" w:rsidRPr="005F36E3" w:rsidRDefault="00B02352" w:rsidP="00B02352">
            <w:pPr>
              <w:spacing w:after="0"/>
              <w:jc w:val="left"/>
              <w:rPr>
                <w:rFonts w:asciiTheme="majorHAnsi" w:eastAsia="Times New Roman" w:hAnsiTheme="majorHAnsi"/>
                <w:color w:val="000000"/>
                <w:sz w:val="18"/>
                <w:szCs w:val="18"/>
              </w:rPr>
            </w:pPr>
          </w:p>
          <w:p w14:paraId="021852E9" w14:textId="5505D182" w:rsidR="00B02352" w:rsidRPr="005F36E3" w:rsidRDefault="00B02352" w:rsidP="00FF141B">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 xml:space="preserve">In recent years this has improved with the PAN, which has built in evaluation at the national program level and at the state program level. Palau recently put out a State of the Environment report </w:t>
            </w:r>
            <w:r w:rsidR="00FF141B">
              <w:rPr>
                <w:rFonts w:asciiTheme="majorHAnsi" w:eastAsia="Times New Roman" w:hAnsiTheme="majorHAnsi"/>
                <w:color w:val="000000"/>
                <w:sz w:val="18"/>
                <w:szCs w:val="18"/>
              </w:rPr>
              <w:t>that</w:t>
            </w:r>
            <w:r w:rsidRPr="005F36E3">
              <w:rPr>
                <w:rFonts w:asciiTheme="majorHAnsi" w:eastAsia="Times New Roman" w:hAnsiTheme="majorHAnsi"/>
                <w:color w:val="000000"/>
                <w:sz w:val="18"/>
                <w:szCs w:val="18"/>
              </w:rPr>
              <w:t xml:space="preserve"> forms the basis for ongoing evaluation of environmental programs. </w:t>
            </w:r>
          </w:p>
        </w:tc>
        <w:tc>
          <w:tcPr>
            <w:tcW w:w="2430" w:type="dxa"/>
            <w:gridSpan w:val="2"/>
            <w:vMerge w:val="restart"/>
            <w:tcBorders>
              <w:top w:val="nil"/>
              <w:left w:val="single" w:sz="4" w:space="0" w:color="auto"/>
              <w:right w:val="single" w:sz="4" w:space="0" w:color="auto"/>
            </w:tcBorders>
          </w:tcPr>
          <w:p w14:paraId="7A315E27"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Implement the Project M&amp;E Plan, as well as build in evaluation into Landscape Planning. Build capacity to implement Biosecurity-related monitoring and evaluation.</w:t>
            </w:r>
          </w:p>
        </w:tc>
        <w:tc>
          <w:tcPr>
            <w:tcW w:w="990" w:type="dxa"/>
            <w:gridSpan w:val="2"/>
            <w:vMerge w:val="restart"/>
            <w:tcBorders>
              <w:top w:val="nil"/>
              <w:left w:val="single" w:sz="4" w:space="0" w:color="auto"/>
              <w:right w:val="single" w:sz="4" w:space="0" w:color="auto"/>
            </w:tcBorders>
            <w:vAlign w:val="center"/>
          </w:tcPr>
          <w:p w14:paraId="52F5F023"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All</w:t>
            </w:r>
          </w:p>
        </w:tc>
      </w:tr>
      <w:tr w:rsidR="00B02352" w:rsidRPr="005F36E3" w14:paraId="307FE6E4" w14:textId="77777777" w:rsidTr="005F36E3">
        <w:trPr>
          <w:trHeight w:val="240"/>
        </w:trPr>
        <w:tc>
          <w:tcPr>
            <w:tcW w:w="1345" w:type="dxa"/>
            <w:vMerge/>
            <w:tcBorders>
              <w:top w:val="nil"/>
              <w:left w:val="single" w:sz="4" w:space="0" w:color="auto"/>
              <w:bottom w:val="single" w:sz="4" w:space="0" w:color="000000"/>
              <w:right w:val="single" w:sz="4" w:space="0" w:color="auto"/>
            </w:tcBorders>
            <w:vAlign w:val="center"/>
            <w:hideMark/>
          </w:tcPr>
          <w:p w14:paraId="64D64988"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0BCFE15E"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An adequate evaluation plan is in place but evaluation activities are irregularly conducted </w:t>
            </w:r>
          </w:p>
        </w:tc>
        <w:tc>
          <w:tcPr>
            <w:tcW w:w="810" w:type="dxa"/>
            <w:tcBorders>
              <w:top w:val="nil"/>
              <w:left w:val="nil"/>
              <w:bottom w:val="single" w:sz="4" w:space="0" w:color="auto"/>
              <w:right w:val="single" w:sz="4" w:space="0" w:color="auto"/>
            </w:tcBorders>
            <w:shd w:val="clear" w:color="auto" w:fill="auto"/>
            <w:noWrap/>
            <w:vAlign w:val="bottom"/>
            <w:hideMark/>
          </w:tcPr>
          <w:p w14:paraId="41058966"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1</w:t>
            </w:r>
          </w:p>
        </w:tc>
        <w:tc>
          <w:tcPr>
            <w:tcW w:w="990" w:type="dxa"/>
            <w:vMerge/>
            <w:tcBorders>
              <w:top w:val="nil"/>
              <w:left w:val="single" w:sz="4" w:space="0" w:color="auto"/>
              <w:bottom w:val="single" w:sz="4" w:space="0" w:color="000000"/>
              <w:right w:val="single" w:sz="4" w:space="0" w:color="auto"/>
            </w:tcBorders>
            <w:vAlign w:val="center"/>
            <w:hideMark/>
          </w:tcPr>
          <w:p w14:paraId="0C74D504"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791CAE73"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5C5D743A"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0840B80E"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right w:val="single" w:sz="4" w:space="0" w:color="auto"/>
            </w:tcBorders>
          </w:tcPr>
          <w:p w14:paraId="35E1A28A"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right w:val="single" w:sz="4" w:space="0" w:color="auto"/>
            </w:tcBorders>
            <w:vAlign w:val="center"/>
          </w:tcPr>
          <w:p w14:paraId="2C255D7A"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623BD84D" w14:textId="77777777" w:rsidTr="005F36E3">
        <w:trPr>
          <w:trHeight w:val="480"/>
        </w:trPr>
        <w:tc>
          <w:tcPr>
            <w:tcW w:w="1345" w:type="dxa"/>
            <w:vMerge/>
            <w:tcBorders>
              <w:top w:val="nil"/>
              <w:left w:val="single" w:sz="4" w:space="0" w:color="auto"/>
              <w:bottom w:val="single" w:sz="4" w:space="0" w:color="000000"/>
              <w:right w:val="single" w:sz="4" w:space="0" w:color="auto"/>
            </w:tcBorders>
            <w:vAlign w:val="center"/>
            <w:hideMark/>
          </w:tcPr>
          <w:p w14:paraId="35C97CF0"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hideMark/>
          </w:tcPr>
          <w:p w14:paraId="0DCAE14D" w14:textId="1BE5E1B3"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Evaluations are being conducted as per an adequate evaluation plan but the evaluation results are only partiall</w:t>
            </w:r>
            <w:r w:rsidR="00FF141B">
              <w:rPr>
                <w:rFonts w:asciiTheme="majorHAnsi" w:eastAsia="Times New Roman" w:hAnsiTheme="majorHAnsi" w:cs="Arial"/>
                <w:color w:val="000000"/>
                <w:sz w:val="18"/>
                <w:szCs w:val="18"/>
              </w:rPr>
              <w:t xml:space="preserve">y used by the project/program </w:t>
            </w:r>
            <w:r w:rsidRPr="005F36E3">
              <w:rPr>
                <w:rFonts w:asciiTheme="majorHAnsi" w:eastAsia="Times New Roman" w:hAnsiTheme="majorHAnsi" w:cs="Arial"/>
                <w:color w:val="000000"/>
                <w:sz w:val="18"/>
                <w:szCs w:val="18"/>
              </w:rPr>
              <w:t xml:space="preserve">implementation team </w:t>
            </w:r>
          </w:p>
        </w:tc>
        <w:tc>
          <w:tcPr>
            <w:tcW w:w="810" w:type="dxa"/>
            <w:tcBorders>
              <w:top w:val="nil"/>
              <w:left w:val="nil"/>
              <w:bottom w:val="single" w:sz="4" w:space="0" w:color="auto"/>
              <w:right w:val="single" w:sz="4" w:space="0" w:color="auto"/>
            </w:tcBorders>
            <w:shd w:val="clear" w:color="auto" w:fill="auto"/>
            <w:noWrap/>
            <w:vAlign w:val="bottom"/>
            <w:hideMark/>
          </w:tcPr>
          <w:p w14:paraId="3B31FFD8"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2</w:t>
            </w:r>
          </w:p>
        </w:tc>
        <w:tc>
          <w:tcPr>
            <w:tcW w:w="990" w:type="dxa"/>
            <w:vMerge/>
            <w:tcBorders>
              <w:top w:val="nil"/>
              <w:left w:val="single" w:sz="4" w:space="0" w:color="auto"/>
              <w:bottom w:val="single" w:sz="4" w:space="0" w:color="000000"/>
              <w:right w:val="single" w:sz="4" w:space="0" w:color="auto"/>
            </w:tcBorders>
            <w:vAlign w:val="center"/>
            <w:hideMark/>
          </w:tcPr>
          <w:p w14:paraId="0830D624"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14:paraId="5493E04B"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single" w:sz="4" w:space="0" w:color="000000"/>
              <w:right w:val="single" w:sz="4" w:space="0" w:color="auto"/>
            </w:tcBorders>
            <w:vAlign w:val="center"/>
            <w:hideMark/>
          </w:tcPr>
          <w:p w14:paraId="48108672"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single" w:sz="4" w:space="0" w:color="000000"/>
              <w:right w:val="single" w:sz="4" w:space="0" w:color="auto"/>
            </w:tcBorders>
            <w:hideMark/>
          </w:tcPr>
          <w:p w14:paraId="3D029E27"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right w:val="single" w:sz="4" w:space="0" w:color="auto"/>
            </w:tcBorders>
          </w:tcPr>
          <w:p w14:paraId="287A16BC"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right w:val="single" w:sz="4" w:space="0" w:color="auto"/>
            </w:tcBorders>
            <w:vAlign w:val="center"/>
          </w:tcPr>
          <w:p w14:paraId="6EC6F898"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4C576AA0" w14:textId="77777777" w:rsidTr="005F36E3">
        <w:trPr>
          <w:trHeight w:val="480"/>
        </w:trPr>
        <w:tc>
          <w:tcPr>
            <w:tcW w:w="1345" w:type="dxa"/>
            <w:vMerge/>
            <w:tcBorders>
              <w:top w:val="nil"/>
              <w:left w:val="single" w:sz="4" w:space="0" w:color="auto"/>
              <w:bottom w:val="nil"/>
              <w:right w:val="single" w:sz="4" w:space="0" w:color="auto"/>
            </w:tcBorders>
            <w:vAlign w:val="center"/>
            <w:hideMark/>
          </w:tcPr>
          <w:p w14:paraId="2CE5F032"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nil"/>
              <w:right w:val="single" w:sz="4" w:space="0" w:color="auto"/>
            </w:tcBorders>
            <w:shd w:val="clear" w:color="auto" w:fill="auto"/>
            <w:vAlign w:val="center"/>
            <w:hideMark/>
          </w:tcPr>
          <w:p w14:paraId="0C3C6910" w14:textId="77777777" w:rsidR="00B02352" w:rsidRPr="005F36E3" w:rsidRDefault="00B02352" w:rsidP="00B02352">
            <w:pPr>
              <w:spacing w:after="0"/>
              <w:jc w:val="left"/>
              <w:rPr>
                <w:rFonts w:asciiTheme="majorHAnsi" w:eastAsia="Times New Roman" w:hAnsiTheme="majorHAnsi" w:cs="Arial"/>
                <w:color w:val="000000"/>
                <w:sz w:val="18"/>
                <w:szCs w:val="18"/>
              </w:rPr>
            </w:pPr>
            <w:r w:rsidRPr="005F36E3">
              <w:rPr>
                <w:rFonts w:asciiTheme="majorHAnsi" w:eastAsia="Times New Roman" w:hAnsiTheme="majorHAnsi" w:cs="Arial"/>
                <w:color w:val="000000"/>
                <w:sz w:val="18"/>
                <w:szCs w:val="18"/>
              </w:rPr>
              <w:t xml:space="preserve"> Effective evaluations are conducted timely and accurately and are used by the implementation team and the Agencies and GEF Staff to correct the course of action if needed and to learn for further planning activities </w:t>
            </w:r>
          </w:p>
        </w:tc>
        <w:tc>
          <w:tcPr>
            <w:tcW w:w="810" w:type="dxa"/>
            <w:tcBorders>
              <w:top w:val="nil"/>
              <w:left w:val="nil"/>
              <w:bottom w:val="nil"/>
              <w:right w:val="single" w:sz="4" w:space="0" w:color="auto"/>
            </w:tcBorders>
            <w:shd w:val="clear" w:color="auto" w:fill="auto"/>
            <w:noWrap/>
            <w:vAlign w:val="bottom"/>
            <w:hideMark/>
          </w:tcPr>
          <w:p w14:paraId="04973573" w14:textId="77777777" w:rsidR="00B02352" w:rsidRPr="005F36E3" w:rsidRDefault="00B02352" w:rsidP="00B02352">
            <w:pPr>
              <w:spacing w:after="0"/>
              <w:jc w:val="left"/>
              <w:rPr>
                <w:rFonts w:asciiTheme="majorHAnsi" w:eastAsia="Times New Roman" w:hAnsiTheme="majorHAnsi"/>
                <w:color w:val="000000"/>
                <w:sz w:val="18"/>
                <w:szCs w:val="18"/>
              </w:rPr>
            </w:pPr>
            <w:r w:rsidRPr="005F36E3">
              <w:rPr>
                <w:rFonts w:asciiTheme="majorHAnsi" w:eastAsia="Times New Roman" w:hAnsiTheme="majorHAnsi"/>
                <w:color w:val="000000"/>
                <w:sz w:val="18"/>
                <w:szCs w:val="18"/>
              </w:rPr>
              <w:t>3</w:t>
            </w:r>
          </w:p>
        </w:tc>
        <w:tc>
          <w:tcPr>
            <w:tcW w:w="990" w:type="dxa"/>
            <w:vMerge/>
            <w:tcBorders>
              <w:top w:val="nil"/>
              <w:left w:val="single" w:sz="4" w:space="0" w:color="auto"/>
              <w:bottom w:val="nil"/>
              <w:right w:val="single" w:sz="4" w:space="0" w:color="auto"/>
            </w:tcBorders>
            <w:vAlign w:val="center"/>
            <w:hideMark/>
          </w:tcPr>
          <w:p w14:paraId="37EA3DD1"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vMerge/>
            <w:tcBorders>
              <w:top w:val="nil"/>
              <w:left w:val="single" w:sz="4" w:space="0" w:color="auto"/>
              <w:bottom w:val="nil"/>
              <w:right w:val="single" w:sz="4" w:space="0" w:color="auto"/>
            </w:tcBorders>
            <w:vAlign w:val="center"/>
            <w:hideMark/>
          </w:tcPr>
          <w:p w14:paraId="305247E1"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vMerge/>
            <w:tcBorders>
              <w:top w:val="nil"/>
              <w:left w:val="single" w:sz="4" w:space="0" w:color="auto"/>
              <w:bottom w:val="nil"/>
              <w:right w:val="single" w:sz="4" w:space="0" w:color="auto"/>
            </w:tcBorders>
            <w:vAlign w:val="center"/>
            <w:hideMark/>
          </w:tcPr>
          <w:p w14:paraId="5F9C4B1E"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vMerge/>
            <w:tcBorders>
              <w:top w:val="nil"/>
              <w:left w:val="single" w:sz="4" w:space="0" w:color="auto"/>
              <w:bottom w:val="nil"/>
              <w:right w:val="single" w:sz="4" w:space="0" w:color="auto"/>
            </w:tcBorders>
            <w:hideMark/>
          </w:tcPr>
          <w:p w14:paraId="09FAA993"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vMerge/>
            <w:tcBorders>
              <w:left w:val="single" w:sz="4" w:space="0" w:color="auto"/>
              <w:right w:val="single" w:sz="4" w:space="0" w:color="auto"/>
            </w:tcBorders>
          </w:tcPr>
          <w:p w14:paraId="7048208D"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vMerge/>
            <w:tcBorders>
              <w:left w:val="single" w:sz="4" w:space="0" w:color="auto"/>
              <w:right w:val="single" w:sz="4" w:space="0" w:color="auto"/>
            </w:tcBorders>
            <w:vAlign w:val="center"/>
          </w:tcPr>
          <w:p w14:paraId="1A15AB40"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45F310F0" w14:textId="77777777" w:rsidTr="005F36E3">
        <w:trPr>
          <w:trHeight w:val="480"/>
        </w:trPr>
        <w:tc>
          <w:tcPr>
            <w:tcW w:w="1345" w:type="dxa"/>
            <w:tcBorders>
              <w:top w:val="nil"/>
              <w:left w:val="single" w:sz="4" w:space="0" w:color="auto"/>
              <w:bottom w:val="single" w:sz="4" w:space="0" w:color="000000"/>
              <w:right w:val="single" w:sz="4" w:space="0" w:color="auto"/>
            </w:tcBorders>
            <w:vAlign w:val="center"/>
          </w:tcPr>
          <w:p w14:paraId="50A254B1"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3083" w:type="dxa"/>
            <w:tcBorders>
              <w:top w:val="nil"/>
              <w:left w:val="nil"/>
              <w:bottom w:val="single" w:sz="4" w:space="0" w:color="auto"/>
              <w:right w:val="single" w:sz="4" w:space="0" w:color="auto"/>
            </w:tcBorders>
            <w:shd w:val="clear" w:color="auto" w:fill="auto"/>
            <w:vAlign w:val="center"/>
          </w:tcPr>
          <w:p w14:paraId="7E97D899" w14:textId="77777777" w:rsidR="00B02352" w:rsidRPr="005F36E3" w:rsidRDefault="00B02352" w:rsidP="00B02352">
            <w:pPr>
              <w:spacing w:after="0"/>
              <w:jc w:val="left"/>
              <w:rPr>
                <w:rFonts w:asciiTheme="majorHAnsi" w:eastAsia="Times New Roman" w:hAnsiTheme="majorHAnsi" w:cs="Arial"/>
                <w:color w:val="000000"/>
                <w:sz w:val="18"/>
                <w:szCs w:val="18"/>
              </w:rPr>
            </w:pPr>
          </w:p>
        </w:tc>
        <w:tc>
          <w:tcPr>
            <w:tcW w:w="810" w:type="dxa"/>
            <w:tcBorders>
              <w:top w:val="nil"/>
              <w:left w:val="nil"/>
              <w:bottom w:val="single" w:sz="4" w:space="0" w:color="auto"/>
              <w:right w:val="single" w:sz="4" w:space="0" w:color="auto"/>
            </w:tcBorders>
            <w:shd w:val="clear" w:color="auto" w:fill="auto"/>
            <w:noWrap/>
            <w:vAlign w:val="bottom"/>
          </w:tcPr>
          <w:p w14:paraId="225D5EAB"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tcBorders>
              <w:top w:val="nil"/>
              <w:left w:val="single" w:sz="4" w:space="0" w:color="auto"/>
              <w:bottom w:val="single" w:sz="4" w:space="0" w:color="000000"/>
              <w:right w:val="single" w:sz="4" w:space="0" w:color="auto"/>
            </w:tcBorders>
            <w:vAlign w:val="center"/>
          </w:tcPr>
          <w:p w14:paraId="73058DF9"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720" w:type="dxa"/>
            <w:tcBorders>
              <w:top w:val="nil"/>
              <w:left w:val="single" w:sz="4" w:space="0" w:color="auto"/>
              <w:bottom w:val="single" w:sz="4" w:space="0" w:color="000000"/>
              <w:right w:val="single" w:sz="4" w:space="0" w:color="auto"/>
            </w:tcBorders>
            <w:vAlign w:val="center"/>
          </w:tcPr>
          <w:p w14:paraId="37249114"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810" w:type="dxa"/>
            <w:tcBorders>
              <w:top w:val="nil"/>
              <w:left w:val="single" w:sz="4" w:space="0" w:color="auto"/>
              <w:bottom w:val="single" w:sz="4" w:space="0" w:color="000000"/>
              <w:right w:val="single" w:sz="4" w:space="0" w:color="auto"/>
            </w:tcBorders>
            <w:vAlign w:val="center"/>
          </w:tcPr>
          <w:p w14:paraId="10DE7D6B"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881" w:type="dxa"/>
            <w:gridSpan w:val="2"/>
            <w:tcBorders>
              <w:top w:val="nil"/>
              <w:left w:val="single" w:sz="4" w:space="0" w:color="auto"/>
              <w:bottom w:val="single" w:sz="4" w:space="0" w:color="000000"/>
              <w:right w:val="single" w:sz="4" w:space="0" w:color="auto"/>
            </w:tcBorders>
          </w:tcPr>
          <w:p w14:paraId="427E1A7B"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2430" w:type="dxa"/>
            <w:gridSpan w:val="2"/>
            <w:tcBorders>
              <w:left w:val="single" w:sz="4" w:space="0" w:color="auto"/>
              <w:bottom w:val="single" w:sz="4" w:space="0" w:color="000000"/>
              <w:right w:val="single" w:sz="4" w:space="0" w:color="auto"/>
            </w:tcBorders>
          </w:tcPr>
          <w:p w14:paraId="7ACACBC1"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990" w:type="dxa"/>
            <w:gridSpan w:val="2"/>
            <w:tcBorders>
              <w:left w:val="single" w:sz="4" w:space="0" w:color="auto"/>
              <w:bottom w:val="single" w:sz="4" w:space="0" w:color="000000"/>
              <w:right w:val="single" w:sz="4" w:space="0" w:color="auto"/>
            </w:tcBorders>
            <w:vAlign w:val="center"/>
          </w:tcPr>
          <w:p w14:paraId="50F79A9B" w14:textId="77777777" w:rsidR="00B02352" w:rsidRPr="005F36E3" w:rsidRDefault="00B02352" w:rsidP="00B02352">
            <w:pPr>
              <w:spacing w:after="0"/>
              <w:jc w:val="left"/>
              <w:rPr>
                <w:rFonts w:asciiTheme="majorHAnsi" w:eastAsia="Times New Roman" w:hAnsiTheme="majorHAnsi"/>
                <w:color w:val="000000"/>
                <w:sz w:val="18"/>
                <w:szCs w:val="18"/>
              </w:rPr>
            </w:pPr>
          </w:p>
        </w:tc>
      </w:tr>
      <w:tr w:rsidR="00B02352" w:rsidRPr="005F36E3" w14:paraId="199BD32E" w14:textId="77777777" w:rsidTr="00FF141B">
        <w:trPr>
          <w:gridAfter w:val="1"/>
          <w:wAfter w:w="378" w:type="dxa"/>
          <w:trHeight w:val="240"/>
          <w:tblHeader/>
        </w:trPr>
        <w:tc>
          <w:tcPr>
            <w:tcW w:w="1345" w:type="dxa"/>
            <w:tcBorders>
              <w:top w:val="nil"/>
              <w:left w:val="nil"/>
              <w:bottom w:val="nil"/>
              <w:right w:val="nil"/>
            </w:tcBorders>
            <w:shd w:val="clear" w:color="auto" w:fill="auto"/>
            <w:hideMark/>
          </w:tcPr>
          <w:p w14:paraId="18DD9EDB" w14:textId="77777777" w:rsidR="00B02352" w:rsidRPr="005F36E3" w:rsidRDefault="00B02352" w:rsidP="00B02352">
            <w:pPr>
              <w:spacing w:after="0"/>
              <w:jc w:val="left"/>
              <w:rPr>
                <w:rFonts w:asciiTheme="majorHAnsi" w:eastAsia="Times New Roman" w:hAnsiTheme="majorHAnsi"/>
                <w:color w:val="000000"/>
                <w:sz w:val="18"/>
                <w:szCs w:val="18"/>
              </w:rPr>
            </w:pPr>
          </w:p>
        </w:tc>
        <w:tc>
          <w:tcPr>
            <w:tcW w:w="3083" w:type="dxa"/>
            <w:tcBorders>
              <w:top w:val="nil"/>
              <w:left w:val="single" w:sz="4" w:space="0" w:color="auto"/>
              <w:bottom w:val="single" w:sz="4" w:space="0" w:color="auto"/>
              <w:right w:val="single" w:sz="4" w:space="0" w:color="auto"/>
            </w:tcBorders>
            <w:shd w:val="clear" w:color="auto" w:fill="auto"/>
            <w:hideMark/>
          </w:tcPr>
          <w:p w14:paraId="0923FEF8" w14:textId="77777777" w:rsidR="00B02352" w:rsidRPr="005F36E3" w:rsidRDefault="00B02352" w:rsidP="00B02352">
            <w:pPr>
              <w:spacing w:after="0"/>
              <w:jc w:val="left"/>
              <w:rPr>
                <w:rFonts w:asciiTheme="majorHAnsi" w:eastAsia="Times New Roman" w:hAnsiTheme="majorHAnsi"/>
                <w:b/>
                <w:bCs/>
                <w:color w:val="000000"/>
                <w:sz w:val="18"/>
                <w:szCs w:val="18"/>
              </w:rPr>
            </w:pPr>
            <w:r w:rsidRPr="005F36E3">
              <w:rPr>
                <w:rFonts w:asciiTheme="majorHAnsi" w:eastAsia="Times New Roman" w:hAnsiTheme="majorHAnsi"/>
                <w:b/>
                <w:bCs/>
                <w:color w:val="000000"/>
                <w:sz w:val="18"/>
                <w:szCs w:val="18"/>
              </w:rPr>
              <w:t>TOTAL</w:t>
            </w:r>
          </w:p>
        </w:tc>
        <w:tc>
          <w:tcPr>
            <w:tcW w:w="810" w:type="dxa"/>
            <w:tcBorders>
              <w:top w:val="nil"/>
              <w:left w:val="nil"/>
              <w:bottom w:val="single" w:sz="4" w:space="0" w:color="auto"/>
              <w:right w:val="single" w:sz="4" w:space="0" w:color="auto"/>
            </w:tcBorders>
            <w:shd w:val="clear" w:color="auto" w:fill="auto"/>
            <w:vAlign w:val="center"/>
            <w:hideMark/>
          </w:tcPr>
          <w:p w14:paraId="44F9278A" w14:textId="77777777" w:rsidR="00B02352" w:rsidRPr="005F36E3" w:rsidRDefault="00B02352" w:rsidP="00B02352">
            <w:pPr>
              <w:spacing w:after="0"/>
              <w:jc w:val="left"/>
              <w:rPr>
                <w:rFonts w:asciiTheme="majorHAnsi" w:eastAsia="Times New Roman" w:hAnsiTheme="majorHAnsi"/>
                <w:b/>
                <w:bCs/>
                <w:color w:val="000000"/>
                <w:sz w:val="18"/>
                <w:szCs w:val="18"/>
              </w:rPr>
            </w:pPr>
            <w:r w:rsidRPr="005F36E3">
              <w:rPr>
                <w:rFonts w:asciiTheme="majorHAnsi" w:eastAsia="Times New Roman" w:hAnsiTheme="majorHAnsi"/>
                <w:b/>
                <w:bCs/>
                <w:color w:val="000000"/>
                <w:sz w:val="18"/>
                <w:szCs w:val="18"/>
              </w:rPr>
              <w:t>45</w:t>
            </w:r>
          </w:p>
        </w:tc>
        <w:tc>
          <w:tcPr>
            <w:tcW w:w="990" w:type="dxa"/>
            <w:tcBorders>
              <w:top w:val="nil"/>
              <w:left w:val="nil"/>
              <w:bottom w:val="single" w:sz="4" w:space="0" w:color="auto"/>
              <w:right w:val="single" w:sz="4" w:space="0" w:color="auto"/>
            </w:tcBorders>
            <w:shd w:val="clear" w:color="auto" w:fill="auto"/>
            <w:vAlign w:val="center"/>
            <w:hideMark/>
          </w:tcPr>
          <w:p w14:paraId="256EC2DC" w14:textId="77777777" w:rsidR="00B02352" w:rsidRPr="005F36E3" w:rsidRDefault="00B02352" w:rsidP="00B02352">
            <w:pPr>
              <w:spacing w:after="0"/>
              <w:jc w:val="left"/>
              <w:rPr>
                <w:rFonts w:asciiTheme="majorHAnsi" w:eastAsia="Times New Roman" w:hAnsiTheme="majorHAnsi"/>
                <w:b/>
                <w:bCs/>
                <w:color w:val="000000"/>
                <w:sz w:val="18"/>
                <w:szCs w:val="18"/>
              </w:rPr>
            </w:pPr>
            <w:r w:rsidRPr="005F36E3">
              <w:rPr>
                <w:rFonts w:asciiTheme="majorHAnsi" w:eastAsia="Times New Roman" w:hAnsiTheme="majorHAnsi"/>
                <w:b/>
                <w:bCs/>
                <w:color w:val="000000"/>
                <w:sz w:val="18"/>
                <w:szCs w:val="18"/>
              </w:rPr>
              <w:t>22</w:t>
            </w:r>
          </w:p>
        </w:tc>
        <w:tc>
          <w:tcPr>
            <w:tcW w:w="720" w:type="dxa"/>
            <w:tcBorders>
              <w:top w:val="nil"/>
              <w:left w:val="nil"/>
              <w:bottom w:val="single" w:sz="4" w:space="0" w:color="auto"/>
              <w:right w:val="single" w:sz="4" w:space="0" w:color="auto"/>
            </w:tcBorders>
            <w:shd w:val="clear" w:color="auto" w:fill="auto"/>
            <w:vAlign w:val="center"/>
            <w:hideMark/>
          </w:tcPr>
          <w:p w14:paraId="253630B7" w14:textId="77777777" w:rsidR="00B02352" w:rsidRPr="005F36E3" w:rsidRDefault="00B02352" w:rsidP="00B02352">
            <w:pPr>
              <w:spacing w:after="0"/>
              <w:jc w:val="left"/>
              <w:rPr>
                <w:rFonts w:asciiTheme="majorHAnsi" w:eastAsia="Times New Roman" w:hAnsiTheme="majorHAnsi"/>
                <w:b/>
                <w:bCs/>
                <w:color w:val="000000"/>
                <w:sz w:val="18"/>
                <w:szCs w:val="18"/>
              </w:rPr>
            </w:pPr>
            <w:r w:rsidRPr="005F36E3">
              <w:rPr>
                <w:rFonts w:asciiTheme="majorHAnsi" w:eastAsia="Times New Roman" w:hAnsiTheme="majorHAnsi"/>
                <w:b/>
                <w:bCs/>
                <w:color w:val="000000"/>
                <w:sz w:val="18"/>
                <w:szCs w:val="18"/>
              </w:rPr>
              <w:t>25</w:t>
            </w:r>
          </w:p>
        </w:tc>
        <w:tc>
          <w:tcPr>
            <w:tcW w:w="810" w:type="dxa"/>
            <w:tcBorders>
              <w:top w:val="nil"/>
              <w:left w:val="nil"/>
              <w:bottom w:val="single" w:sz="4" w:space="0" w:color="auto"/>
              <w:right w:val="single" w:sz="4" w:space="0" w:color="auto"/>
            </w:tcBorders>
            <w:shd w:val="clear" w:color="auto" w:fill="auto"/>
            <w:vAlign w:val="center"/>
            <w:hideMark/>
          </w:tcPr>
          <w:p w14:paraId="2AF79833" w14:textId="77777777" w:rsidR="00B02352" w:rsidRPr="005F36E3" w:rsidRDefault="00B02352" w:rsidP="00B02352">
            <w:pPr>
              <w:spacing w:after="0"/>
              <w:jc w:val="left"/>
              <w:rPr>
                <w:rFonts w:asciiTheme="majorHAnsi" w:eastAsia="Times New Roman" w:hAnsiTheme="majorHAnsi"/>
                <w:b/>
                <w:bCs/>
                <w:color w:val="000000"/>
                <w:sz w:val="18"/>
                <w:szCs w:val="18"/>
              </w:rPr>
            </w:pPr>
            <w:r w:rsidRPr="005F36E3">
              <w:rPr>
                <w:rFonts w:asciiTheme="majorHAnsi" w:eastAsia="Times New Roman" w:hAnsiTheme="majorHAnsi"/>
                <w:b/>
                <w:bCs/>
                <w:color w:val="000000"/>
                <w:sz w:val="18"/>
                <w:szCs w:val="18"/>
              </w:rPr>
              <w:t>33</w:t>
            </w:r>
          </w:p>
        </w:tc>
        <w:tc>
          <w:tcPr>
            <w:tcW w:w="2698" w:type="dxa"/>
            <w:tcBorders>
              <w:top w:val="nil"/>
              <w:left w:val="nil"/>
              <w:bottom w:val="nil"/>
              <w:right w:val="nil"/>
            </w:tcBorders>
            <w:shd w:val="clear" w:color="auto" w:fill="auto"/>
            <w:hideMark/>
          </w:tcPr>
          <w:p w14:paraId="7796AD72" w14:textId="77777777" w:rsidR="00B02352" w:rsidRPr="005F36E3" w:rsidRDefault="00B02352" w:rsidP="00B02352">
            <w:pPr>
              <w:spacing w:after="0"/>
              <w:jc w:val="left"/>
              <w:rPr>
                <w:rFonts w:asciiTheme="majorHAnsi" w:eastAsia="Times New Roman" w:hAnsiTheme="majorHAnsi"/>
                <w:b/>
                <w:bCs/>
                <w:color w:val="000000"/>
                <w:sz w:val="18"/>
                <w:szCs w:val="18"/>
              </w:rPr>
            </w:pPr>
          </w:p>
        </w:tc>
        <w:tc>
          <w:tcPr>
            <w:tcW w:w="2056" w:type="dxa"/>
            <w:gridSpan w:val="2"/>
            <w:tcBorders>
              <w:top w:val="nil"/>
              <w:left w:val="nil"/>
              <w:bottom w:val="nil"/>
              <w:right w:val="nil"/>
            </w:tcBorders>
            <w:shd w:val="clear" w:color="auto" w:fill="auto"/>
            <w:hideMark/>
          </w:tcPr>
          <w:p w14:paraId="6A88F535" w14:textId="77777777" w:rsidR="00B02352" w:rsidRPr="005F36E3" w:rsidRDefault="00B02352" w:rsidP="00B02352">
            <w:pPr>
              <w:spacing w:after="0"/>
              <w:jc w:val="left"/>
              <w:rPr>
                <w:rFonts w:asciiTheme="majorHAnsi" w:eastAsia="Times New Roman" w:hAnsiTheme="majorHAnsi"/>
                <w:sz w:val="18"/>
                <w:szCs w:val="18"/>
              </w:rPr>
            </w:pPr>
          </w:p>
        </w:tc>
        <w:tc>
          <w:tcPr>
            <w:tcW w:w="1169" w:type="dxa"/>
            <w:gridSpan w:val="2"/>
            <w:tcBorders>
              <w:top w:val="nil"/>
              <w:left w:val="nil"/>
              <w:bottom w:val="nil"/>
              <w:right w:val="nil"/>
            </w:tcBorders>
            <w:shd w:val="clear" w:color="auto" w:fill="auto"/>
            <w:vAlign w:val="center"/>
            <w:hideMark/>
          </w:tcPr>
          <w:p w14:paraId="2333E9C4" w14:textId="77777777" w:rsidR="00B02352" w:rsidRPr="005F36E3" w:rsidRDefault="00B02352" w:rsidP="00B02352">
            <w:pPr>
              <w:spacing w:after="0"/>
              <w:jc w:val="left"/>
              <w:rPr>
                <w:rFonts w:asciiTheme="majorHAnsi" w:eastAsia="Times New Roman" w:hAnsiTheme="majorHAnsi"/>
                <w:sz w:val="18"/>
                <w:szCs w:val="18"/>
              </w:rPr>
            </w:pPr>
          </w:p>
        </w:tc>
      </w:tr>
    </w:tbl>
    <w:p w14:paraId="0D66EC50" w14:textId="77777777" w:rsidR="00874815" w:rsidRPr="005F36E3" w:rsidRDefault="00874815" w:rsidP="00B02352">
      <w:pPr>
        <w:spacing w:after="160" w:line="259" w:lineRule="auto"/>
        <w:jc w:val="left"/>
        <w:rPr>
          <w:rFonts w:asciiTheme="majorHAnsi" w:hAnsiTheme="majorHAnsi"/>
          <w:sz w:val="18"/>
          <w:szCs w:val="18"/>
        </w:rPr>
      </w:pPr>
      <w:r w:rsidRPr="005F36E3">
        <w:rPr>
          <w:rFonts w:asciiTheme="majorHAnsi" w:hAnsiTheme="majorHAnsi"/>
          <w:sz w:val="18"/>
          <w:szCs w:val="18"/>
        </w:rPr>
        <w:br w:type="page"/>
      </w:r>
    </w:p>
    <w:p w14:paraId="4F401554" w14:textId="0A01506C" w:rsidR="00874815" w:rsidRDefault="00874815">
      <w:pPr>
        <w:spacing w:after="0"/>
        <w:jc w:val="left"/>
        <w:rPr>
          <w:sz w:val="20"/>
          <w:szCs w:val="20"/>
        </w:rPr>
      </w:pPr>
    </w:p>
    <w:p w14:paraId="6CDB0C76" w14:textId="267AA9B3" w:rsidR="00874815" w:rsidRDefault="00874815" w:rsidP="00874815">
      <w:pPr>
        <w:jc w:val="right"/>
        <w:rPr>
          <w:sz w:val="20"/>
          <w:szCs w:val="20"/>
        </w:rPr>
      </w:pPr>
      <w:r>
        <w:rPr>
          <w:sz w:val="20"/>
          <w:szCs w:val="20"/>
        </w:rPr>
        <w:t>Annex 24</w:t>
      </w:r>
    </w:p>
    <w:p w14:paraId="2A7A0766" w14:textId="77777777" w:rsidR="00874815" w:rsidRPr="00874815" w:rsidRDefault="00874815" w:rsidP="00874815">
      <w:pPr>
        <w:jc w:val="right"/>
        <w:rPr>
          <w:sz w:val="20"/>
          <w:szCs w:val="20"/>
        </w:rPr>
      </w:pPr>
    </w:p>
    <w:p w14:paraId="37E2A87D" w14:textId="77777777" w:rsidR="00775F46" w:rsidRDefault="00775F46" w:rsidP="00874815">
      <w:pPr>
        <w:jc w:val="center"/>
        <w:rPr>
          <w:sz w:val="20"/>
          <w:szCs w:val="20"/>
        </w:rPr>
      </w:pPr>
      <w:r w:rsidRPr="00874815">
        <w:rPr>
          <w:sz w:val="20"/>
          <w:szCs w:val="20"/>
        </w:rPr>
        <w:t>GEF Tracking Tools at baseline</w:t>
      </w:r>
    </w:p>
    <w:p w14:paraId="02870AF7" w14:textId="77777777" w:rsidR="00874815" w:rsidRDefault="00874815" w:rsidP="00874815">
      <w:pPr>
        <w:jc w:val="center"/>
        <w:rPr>
          <w:sz w:val="20"/>
          <w:szCs w:val="20"/>
        </w:rPr>
      </w:pPr>
    </w:p>
    <w:p w14:paraId="11BC4880" w14:textId="7F3614C4" w:rsidR="00874815" w:rsidRDefault="00874815">
      <w:pPr>
        <w:spacing w:after="0"/>
        <w:jc w:val="left"/>
        <w:rPr>
          <w:sz w:val="20"/>
          <w:szCs w:val="20"/>
        </w:rPr>
      </w:pPr>
      <w:r>
        <w:rPr>
          <w:sz w:val="20"/>
          <w:szCs w:val="20"/>
        </w:rPr>
        <w:br w:type="page"/>
      </w:r>
    </w:p>
    <w:p w14:paraId="58C791DF" w14:textId="7B33FCC9" w:rsidR="00874815" w:rsidRPr="00874815" w:rsidRDefault="00874815" w:rsidP="00874815">
      <w:pPr>
        <w:jc w:val="right"/>
        <w:rPr>
          <w:sz w:val="20"/>
          <w:szCs w:val="20"/>
        </w:rPr>
      </w:pPr>
      <w:r>
        <w:rPr>
          <w:sz w:val="20"/>
          <w:szCs w:val="20"/>
        </w:rPr>
        <w:t>Annex 25</w:t>
      </w:r>
    </w:p>
    <w:p w14:paraId="51BF8A26" w14:textId="0D668D41" w:rsidR="00DC71AF" w:rsidRPr="00DC71AF" w:rsidRDefault="00775F46" w:rsidP="00775F46">
      <w:pPr>
        <w:jc w:val="center"/>
        <w:rPr>
          <w:b/>
          <w:sz w:val="20"/>
          <w:szCs w:val="20"/>
        </w:rPr>
      </w:pPr>
      <w:r>
        <w:rPr>
          <w:sz w:val="20"/>
          <w:szCs w:val="20"/>
        </w:rPr>
        <w:t>Co-financing Letters</w:t>
      </w:r>
    </w:p>
    <w:sectPr w:rsidR="00DC71AF" w:rsidRPr="00DC71AF" w:rsidSect="00B02352">
      <w:pgSz w:w="17480" w:h="22620" w:code="1"/>
      <w:pgMar w:top="720" w:right="720" w:bottom="720" w:left="72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477E76" w16cid:durableId="1D418A80"/>
  <w16cid:commentId w16cid:paraId="375332FC" w16cid:durableId="1D418A81"/>
  <w16cid:commentId w16cid:paraId="5CAD4230" w16cid:durableId="1D418A8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2C69A0" w14:textId="77777777" w:rsidR="005F36E3" w:rsidRDefault="005F36E3">
      <w:r>
        <w:separator/>
      </w:r>
    </w:p>
  </w:endnote>
  <w:endnote w:type="continuationSeparator" w:id="0">
    <w:p w14:paraId="4D034787" w14:textId="77777777" w:rsidR="005F36E3" w:rsidRDefault="005F3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obe Garamond Pro">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New Roman Bold">
    <w:panose1 w:val="02020803070505020304"/>
    <w:charset w:val="00"/>
    <w:family w:val="auto"/>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Minion Pro">
    <w:charset w:val="00"/>
    <w:family w:val="auto"/>
    <w:pitch w:val="variable"/>
    <w:sig w:usb0="60000287" w:usb1="00000001" w:usb2="00000000" w:usb3="00000000" w:csb0="0000019F" w:csb1="00000000"/>
  </w:font>
  <w:font w:name="Cambria-Bold">
    <w:panose1 w:val="00000000000000000000"/>
    <w:charset w:val="00"/>
    <w:family w:val="roman"/>
    <w:notTrueType/>
    <w:pitch w:val="default"/>
    <w:sig w:usb0="00000003" w:usb1="08070000" w:usb2="00000010" w:usb3="00000000" w:csb0="00020001" w:csb1="00000000"/>
  </w:font>
  <w:font w:name="Segoe UI Symbol">
    <w:altName w:val="Athelas Bold Italic"/>
    <w:panose1 w:val="020B0502040204020203"/>
    <w:charset w:val="00"/>
    <w:family w:val="swiss"/>
    <w:pitch w:val="variable"/>
    <w:sig w:usb0="8000006F" w:usb1="1200FBEF" w:usb2="0064C000" w:usb3="00000000" w:csb0="00000001" w:csb1="00000000"/>
  </w:font>
  <w:font w:name="Menlo Bold">
    <w:altName w:val="Arial"/>
    <w:charset w:val="00"/>
    <w:family w:val="auto"/>
    <w:pitch w:val="variable"/>
    <w:sig w:usb0="00000000" w:usb1="D000F1FB" w:usb2="00000028"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Arial (W1)">
    <w:altName w:val="Arial"/>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80AB8" w14:textId="793F163D" w:rsidR="005F36E3" w:rsidRDefault="005F36E3" w:rsidP="0003763F">
    <w:pPr>
      <w:pStyle w:val="Footer"/>
      <w:pBdr>
        <w:top w:val="single" w:sz="4" w:space="1" w:color="D9D9D9"/>
      </w:pBdr>
      <w:jc w:val="right"/>
    </w:pPr>
    <w:r>
      <w:fldChar w:fldCharType="begin"/>
    </w:r>
    <w:r>
      <w:instrText xml:space="preserve"> PAGE   \* MERGEFORMAT </w:instrText>
    </w:r>
    <w:r>
      <w:fldChar w:fldCharType="separate"/>
    </w:r>
    <w:r w:rsidR="00E03EBE">
      <w:rPr>
        <w:noProof/>
      </w:rPr>
      <w:t>55</w:t>
    </w:r>
    <w:r>
      <w:rPr>
        <w:noProof/>
      </w:rPr>
      <w:fldChar w:fldCharType="end"/>
    </w:r>
    <w:r>
      <w:t xml:space="preserve"> | </w:t>
    </w:r>
    <w:r w:rsidRPr="0003763F">
      <w:rPr>
        <w:color w:val="7F7F7F"/>
        <w:spacing w:val="60"/>
      </w:rPr>
      <w:t>Page</w:t>
    </w:r>
  </w:p>
  <w:p w14:paraId="20A011E8" w14:textId="77777777" w:rsidR="005F36E3" w:rsidRDefault="005F36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C1094" w14:textId="04EF9218" w:rsidR="005F36E3" w:rsidRDefault="005F36E3" w:rsidP="00DD472A">
    <w:pPr>
      <w:pStyle w:val="Footer"/>
      <w:pBdr>
        <w:top w:val="single" w:sz="4" w:space="1" w:color="D9D9D9"/>
      </w:pBdr>
      <w:tabs>
        <w:tab w:val="left" w:pos="345"/>
        <w:tab w:val="right" w:pos="9360"/>
      </w:tabs>
      <w:jc w:val="left"/>
    </w:pPr>
    <w:r>
      <w:tab/>
    </w:r>
    <w:r>
      <w:tab/>
    </w:r>
    <w:r>
      <w:tab/>
    </w:r>
    <w:r>
      <w:tab/>
    </w:r>
    <w:r>
      <w:fldChar w:fldCharType="begin"/>
    </w:r>
    <w:r>
      <w:instrText xml:space="preserve"> PAGE   \* MERGEFORMAT </w:instrText>
    </w:r>
    <w:r>
      <w:fldChar w:fldCharType="separate"/>
    </w:r>
    <w:r w:rsidR="00E03EBE">
      <w:rPr>
        <w:noProof/>
      </w:rPr>
      <w:t>1</w:t>
    </w:r>
    <w:r>
      <w:rPr>
        <w:noProof/>
      </w:rPr>
      <w:fldChar w:fldCharType="end"/>
    </w:r>
    <w:r>
      <w:t xml:space="preserve"> | </w:t>
    </w:r>
    <w:r w:rsidRPr="00DD472A">
      <w:rPr>
        <w:color w:val="7F7F7F"/>
        <w:spacing w:val="60"/>
      </w:rPr>
      <w:t>Page</w:t>
    </w:r>
  </w:p>
  <w:p w14:paraId="60D4B5BC" w14:textId="77777777" w:rsidR="005F36E3" w:rsidRDefault="005F36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B6E74" w14:textId="77777777" w:rsidR="005F36E3" w:rsidRDefault="005F36E3" w:rsidP="00FD3A8F">
    <w:pPr>
      <w:pStyle w:val="Header"/>
    </w:pPr>
  </w:p>
  <w:p w14:paraId="628941CA" w14:textId="4CAD05D7" w:rsidR="005F36E3" w:rsidRDefault="005F36E3" w:rsidP="0003763F">
    <w:pPr>
      <w:pStyle w:val="Footer"/>
      <w:pBdr>
        <w:top w:val="single" w:sz="4" w:space="1" w:color="D9D9D9"/>
      </w:pBdr>
      <w:jc w:val="right"/>
    </w:pPr>
    <w:r>
      <w:fldChar w:fldCharType="begin"/>
    </w:r>
    <w:r>
      <w:instrText xml:space="preserve"> PAGE   \* MERGEFORMAT </w:instrText>
    </w:r>
    <w:r>
      <w:fldChar w:fldCharType="separate"/>
    </w:r>
    <w:r w:rsidR="00E03EBE">
      <w:rPr>
        <w:noProof/>
      </w:rPr>
      <w:t>72</w:t>
    </w:r>
    <w:r>
      <w:rPr>
        <w:noProof/>
      </w:rPr>
      <w:fldChar w:fldCharType="end"/>
    </w:r>
    <w:r>
      <w:t xml:space="preserve"> | </w:t>
    </w:r>
    <w:r w:rsidRPr="0003763F">
      <w:rPr>
        <w:color w:val="7F7F7F"/>
        <w:spacing w:val="60"/>
      </w:rPr>
      <w:t>Page</w:t>
    </w:r>
  </w:p>
  <w:p w14:paraId="46ADC091" w14:textId="77777777" w:rsidR="005F36E3" w:rsidRDefault="005F36E3" w:rsidP="00FD3A8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39726" w14:textId="77777777" w:rsidR="005F36E3" w:rsidRDefault="005F36E3" w:rsidP="005B3A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1A6034" w14:textId="77777777" w:rsidR="005F36E3" w:rsidRDefault="005F36E3" w:rsidP="005B3A19">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A62D4" w14:textId="3F745073" w:rsidR="005F36E3" w:rsidRDefault="005F36E3" w:rsidP="005B3A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92D8A">
      <w:rPr>
        <w:rStyle w:val="PageNumber"/>
        <w:noProof/>
      </w:rPr>
      <w:t>125</w:t>
    </w:r>
    <w:r>
      <w:rPr>
        <w:rStyle w:val="PageNumber"/>
      </w:rPr>
      <w:fldChar w:fldCharType="end"/>
    </w:r>
  </w:p>
  <w:p w14:paraId="773E3362" w14:textId="77777777" w:rsidR="005F36E3" w:rsidRDefault="005F36E3" w:rsidP="005B3A19">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050AFC" w14:textId="77777777" w:rsidR="005F36E3" w:rsidRDefault="005F36E3">
      <w:r>
        <w:separator/>
      </w:r>
    </w:p>
  </w:footnote>
  <w:footnote w:type="continuationSeparator" w:id="0">
    <w:p w14:paraId="01DEB941" w14:textId="77777777" w:rsidR="005F36E3" w:rsidRDefault="005F36E3">
      <w:r>
        <w:continuationSeparator/>
      </w:r>
    </w:p>
  </w:footnote>
  <w:footnote w:id="1">
    <w:p w14:paraId="36F6B3A3" w14:textId="77777777" w:rsidR="005F36E3" w:rsidRPr="00630C1A" w:rsidRDefault="005F36E3" w:rsidP="00B87774">
      <w:pPr>
        <w:pStyle w:val="FootnoteText"/>
        <w:spacing w:after="0"/>
        <w:rPr>
          <w:rFonts w:ascii="Calibri" w:hAnsi="Calibri"/>
          <w:sz w:val="16"/>
          <w:szCs w:val="16"/>
        </w:rPr>
      </w:pPr>
      <w:r w:rsidRPr="00630C1A">
        <w:rPr>
          <w:rStyle w:val="FootnoteReference"/>
          <w:rFonts w:ascii="Calibri" w:hAnsi="Calibri"/>
          <w:sz w:val="16"/>
          <w:szCs w:val="16"/>
        </w:rPr>
        <w:footnoteRef/>
      </w:r>
      <w:r w:rsidRPr="00630C1A">
        <w:rPr>
          <w:rFonts w:ascii="Calibri" w:hAnsi="Calibri"/>
          <w:sz w:val="16"/>
          <w:szCs w:val="16"/>
        </w:rPr>
        <w:t xml:space="preserve"> Endemic plant species include: </w:t>
      </w:r>
      <w:r w:rsidRPr="00630C1A">
        <w:rPr>
          <w:rFonts w:ascii="Calibri" w:hAnsi="Calibri"/>
          <w:i/>
          <w:iCs/>
          <w:sz w:val="16"/>
          <w:szCs w:val="16"/>
        </w:rPr>
        <w:t xml:space="preserve">Ponapea palauensis, Rauvolfia insularis, Parkia parvifoliola </w:t>
      </w:r>
      <w:r w:rsidRPr="00630C1A">
        <w:rPr>
          <w:rFonts w:ascii="Calibri" w:hAnsi="Calibri"/>
          <w:sz w:val="16"/>
          <w:szCs w:val="16"/>
        </w:rPr>
        <w:t xml:space="preserve"> </w:t>
      </w:r>
    </w:p>
  </w:footnote>
  <w:footnote w:id="2">
    <w:p w14:paraId="31563A5A" w14:textId="793B1E8D" w:rsidR="005F36E3" w:rsidRPr="001665DF" w:rsidRDefault="005F36E3" w:rsidP="00B87774">
      <w:pPr>
        <w:pStyle w:val="FootnoteText"/>
        <w:spacing w:after="0"/>
      </w:pPr>
      <w:r w:rsidRPr="00630C1A">
        <w:rPr>
          <w:rStyle w:val="FootnoteReference"/>
          <w:rFonts w:ascii="Calibri" w:hAnsi="Calibri"/>
          <w:sz w:val="16"/>
          <w:szCs w:val="16"/>
        </w:rPr>
        <w:footnoteRef/>
      </w:r>
      <w:r w:rsidRPr="00630C1A">
        <w:rPr>
          <w:rFonts w:ascii="Calibri" w:hAnsi="Calibri"/>
          <w:sz w:val="16"/>
          <w:szCs w:val="16"/>
        </w:rPr>
        <w:t xml:space="preserve"> Endemic birds of Palau: Palau Greater White-eye (</w:t>
      </w:r>
      <w:r w:rsidRPr="00630C1A">
        <w:rPr>
          <w:rFonts w:ascii="Calibri" w:hAnsi="Calibri"/>
          <w:i/>
          <w:iCs/>
          <w:sz w:val="16"/>
          <w:szCs w:val="16"/>
        </w:rPr>
        <w:t>Megazosterops palauensis</w:t>
      </w:r>
      <w:r w:rsidRPr="00630C1A">
        <w:rPr>
          <w:rFonts w:ascii="Calibri" w:hAnsi="Calibri"/>
          <w:sz w:val="16"/>
          <w:szCs w:val="16"/>
        </w:rPr>
        <w:t>), Palau Morningbird (</w:t>
      </w:r>
      <w:r w:rsidRPr="00630C1A">
        <w:rPr>
          <w:rFonts w:ascii="Calibri" w:hAnsi="Calibri"/>
          <w:i/>
          <w:iCs/>
          <w:sz w:val="16"/>
          <w:szCs w:val="16"/>
        </w:rPr>
        <w:t>Pitohui tenebrosa</w:t>
      </w:r>
      <w:r w:rsidRPr="00630C1A">
        <w:rPr>
          <w:rFonts w:ascii="Calibri" w:hAnsi="Calibri"/>
          <w:sz w:val="16"/>
          <w:szCs w:val="16"/>
        </w:rPr>
        <w:t>), Palau Fantail (</w:t>
      </w:r>
      <w:r w:rsidRPr="00630C1A">
        <w:rPr>
          <w:rFonts w:ascii="Calibri" w:hAnsi="Calibri"/>
          <w:i/>
          <w:iCs/>
          <w:sz w:val="16"/>
          <w:szCs w:val="16"/>
        </w:rPr>
        <w:t>Rhipidura lepida</w:t>
      </w:r>
      <w:r w:rsidRPr="00630C1A">
        <w:rPr>
          <w:rFonts w:ascii="Calibri" w:hAnsi="Calibri"/>
          <w:sz w:val="16"/>
          <w:szCs w:val="16"/>
        </w:rPr>
        <w:t>), Palau Flycatcher (</w:t>
      </w:r>
      <w:r w:rsidRPr="00630C1A">
        <w:rPr>
          <w:rFonts w:ascii="Calibri" w:hAnsi="Calibri"/>
          <w:i/>
          <w:iCs/>
          <w:sz w:val="16"/>
          <w:szCs w:val="16"/>
        </w:rPr>
        <w:t>Myiagra erythril-ops</w:t>
      </w:r>
      <w:r w:rsidRPr="00630C1A">
        <w:rPr>
          <w:rFonts w:ascii="Calibri" w:hAnsi="Calibri"/>
          <w:sz w:val="16"/>
          <w:szCs w:val="16"/>
        </w:rPr>
        <w:t>), Palau Bush-Warbler (</w:t>
      </w:r>
      <w:r w:rsidRPr="00630C1A">
        <w:rPr>
          <w:rFonts w:ascii="Calibri" w:hAnsi="Calibri"/>
          <w:i/>
          <w:iCs/>
          <w:sz w:val="16"/>
          <w:szCs w:val="16"/>
        </w:rPr>
        <w:t>Cettial annae</w:t>
      </w:r>
      <w:r w:rsidRPr="00630C1A">
        <w:rPr>
          <w:rFonts w:ascii="Calibri" w:hAnsi="Calibri"/>
          <w:sz w:val="16"/>
          <w:szCs w:val="16"/>
        </w:rPr>
        <w:t>), Palau Owl (</w:t>
      </w:r>
      <w:r w:rsidRPr="00630C1A">
        <w:rPr>
          <w:rFonts w:ascii="Calibri" w:hAnsi="Calibri"/>
          <w:i/>
          <w:iCs/>
          <w:sz w:val="16"/>
          <w:szCs w:val="16"/>
        </w:rPr>
        <w:t>Pyrroglaux podargina</w:t>
      </w:r>
      <w:r w:rsidRPr="00630C1A">
        <w:rPr>
          <w:rFonts w:ascii="Calibri" w:hAnsi="Calibri"/>
          <w:sz w:val="16"/>
          <w:szCs w:val="16"/>
        </w:rPr>
        <w:t>), Palau Fruit-Dove (</w:t>
      </w:r>
      <w:r w:rsidRPr="00630C1A">
        <w:rPr>
          <w:rFonts w:ascii="Calibri" w:hAnsi="Calibri"/>
          <w:i/>
          <w:iCs/>
          <w:sz w:val="16"/>
          <w:szCs w:val="16"/>
        </w:rPr>
        <w:t>Ptilinopus pelewensis</w:t>
      </w:r>
      <w:r w:rsidRPr="00630C1A">
        <w:rPr>
          <w:rFonts w:ascii="Calibri" w:hAnsi="Calibri"/>
          <w:sz w:val="16"/>
          <w:szCs w:val="16"/>
        </w:rPr>
        <w:t>), Palau Ground-Dove (</w:t>
      </w:r>
      <w:r w:rsidRPr="00630C1A">
        <w:rPr>
          <w:rFonts w:ascii="Calibri" w:hAnsi="Calibri"/>
          <w:i/>
          <w:iCs/>
          <w:sz w:val="16"/>
          <w:szCs w:val="16"/>
        </w:rPr>
        <w:t>Gallicolumba canifrons</w:t>
      </w:r>
      <w:r w:rsidRPr="00630C1A">
        <w:rPr>
          <w:rFonts w:ascii="Calibri" w:hAnsi="Calibri"/>
          <w:sz w:val="16"/>
          <w:szCs w:val="16"/>
        </w:rPr>
        <w:t>), Dusky White Eye (</w:t>
      </w:r>
      <w:r w:rsidRPr="00630C1A">
        <w:rPr>
          <w:rFonts w:ascii="Calibri" w:hAnsi="Calibri"/>
          <w:i/>
          <w:iCs/>
          <w:sz w:val="16"/>
          <w:szCs w:val="16"/>
        </w:rPr>
        <w:t>Zosterops semperi</w:t>
      </w:r>
      <w:r w:rsidRPr="00630C1A">
        <w:rPr>
          <w:rFonts w:ascii="Calibri" w:hAnsi="Calibri"/>
          <w:sz w:val="16"/>
          <w:szCs w:val="16"/>
        </w:rPr>
        <w:t>)</w:t>
      </w:r>
      <w:r>
        <w:rPr>
          <w:rFonts w:ascii="Calibri" w:hAnsi="Calibri"/>
          <w:sz w:val="16"/>
          <w:szCs w:val="16"/>
        </w:rPr>
        <w:t xml:space="preserve">. </w:t>
      </w:r>
    </w:p>
  </w:footnote>
  <w:footnote w:id="3">
    <w:p w14:paraId="63051F1A" w14:textId="41895DCE" w:rsidR="005F36E3" w:rsidRDefault="005F36E3" w:rsidP="00575508">
      <w:pPr>
        <w:autoSpaceDE w:val="0"/>
        <w:autoSpaceDN w:val="0"/>
        <w:adjustRightInd w:val="0"/>
        <w:spacing w:after="0"/>
        <w:jc w:val="left"/>
      </w:pPr>
      <w:r>
        <w:rPr>
          <w:rStyle w:val="FootnoteReference"/>
        </w:rPr>
        <w:footnoteRef/>
      </w:r>
      <w:r>
        <w:t xml:space="preserve"> </w:t>
      </w:r>
      <w:r w:rsidRPr="00401272">
        <w:rPr>
          <w:rFonts w:asciiTheme="majorHAnsi" w:hAnsiTheme="majorHAnsi"/>
          <w:sz w:val="16"/>
          <w:szCs w:val="16"/>
        </w:rPr>
        <w:t xml:space="preserve">Poonian et al. 2010. </w:t>
      </w:r>
      <w:r w:rsidRPr="00401272">
        <w:rPr>
          <w:rFonts w:asciiTheme="majorHAnsi" w:hAnsiTheme="majorHAnsi" w:cs="Garamond"/>
          <w:sz w:val="16"/>
          <w:szCs w:val="16"/>
        </w:rPr>
        <w:t>Impacts of Recreational Divers on Palauan Coral Reefs and Options for Management. Pacific Science (2010), vol. 64, no. 4:557–565.</w:t>
      </w:r>
    </w:p>
  </w:footnote>
  <w:footnote w:id="4">
    <w:p w14:paraId="7129780B" w14:textId="47367DF1" w:rsidR="005F36E3" w:rsidRPr="00E52FBF" w:rsidRDefault="005F36E3" w:rsidP="00F56178">
      <w:pPr>
        <w:pStyle w:val="FootnoteText"/>
        <w:spacing w:after="0"/>
        <w:rPr>
          <w:rFonts w:asciiTheme="majorHAnsi" w:hAnsiTheme="majorHAnsi"/>
          <w:sz w:val="16"/>
          <w:szCs w:val="16"/>
        </w:rPr>
      </w:pPr>
      <w:r w:rsidRPr="00E52FBF">
        <w:rPr>
          <w:rStyle w:val="FootnoteReference"/>
          <w:rFonts w:asciiTheme="majorHAnsi" w:hAnsiTheme="majorHAnsi"/>
          <w:sz w:val="16"/>
          <w:szCs w:val="16"/>
        </w:rPr>
        <w:footnoteRef/>
      </w:r>
      <w:r w:rsidRPr="00E52FBF">
        <w:rPr>
          <w:rFonts w:asciiTheme="majorHAnsi" w:hAnsiTheme="majorHAnsi"/>
          <w:sz w:val="16"/>
          <w:szCs w:val="16"/>
        </w:rPr>
        <w:t xml:space="preserve"> </w:t>
      </w:r>
      <w:r>
        <w:rPr>
          <w:rFonts w:asciiTheme="majorHAnsi" w:hAnsiTheme="majorHAnsi"/>
          <w:sz w:val="16"/>
          <w:szCs w:val="16"/>
        </w:rPr>
        <w:t xml:space="preserve"> ADB (2017). Private Sector Assessment for Palau: Policies for Sustainable Growth Revisited</w:t>
      </w:r>
    </w:p>
  </w:footnote>
  <w:footnote w:id="5">
    <w:p w14:paraId="2E2E1E46" w14:textId="3AAF561D" w:rsidR="005F36E3" w:rsidRPr="00E52FBF" w:rsidRDefault="005F36E3" w:rsidP="00F56178">
      <w:pPr>
        <w:pStyle w:val="FootnoteText"/>
        <w:spacing w:after="0"/>
        <w:rPr>
          <w:rFonts w:asciiTheme="majorHAnsi" w:hAnsiTheme="majorHAnsi"/>
          <w:sz w:val="16"/>
          <w:szCs w:val="16"/>
        </w:rPr>
      </w:pPr>
      <w:r w:rsidRPr="00E52FBF">
        <w:rPr>
          <w:rStyle w:val="FootnoteReference"/>
          <w:rFonts w:asciiTheme="majorHAnsi" w:hAnsiTheme="majorHAnsi"/>
          <w:sz w:val="16"/>
          <w:szCs w:val="16"/>
        </w:rPr>
        <w:footnoteRef/>
      </w:r>
      <w:r w:rsidRPr="00E52FBF">
        <w:rPr>
          <w:rFonts w:asciiTheme="majorHAnsi" w:hAnsiTheme="majorHAnsi"/>
          <w:sz w:val="16"/>
          <w:szCs w:val="16"/>
        </w:rPr>
        <w:t xml:space="preserve"> </w:t>
      </w:r>
      <w:r>
        <w:rPr>
          <w:rFonts w:asciiTheme="majorHAnsi" w:hAnsiTheme="majorHAnsi"/>
          <w:sz w:val="16"/>
          <w:szCs w:val="16"/>
        </w:rPr>
        <w:t>IMF (2017). Asia Pacific: Preparing for Choppy Seas. Regional Economic Outlook</w:t>
      </w:r>
    </w:p>
  </w:footnote>
  <w:footnote w:id="6">
    <w:p w14:paraId="3E61C6FC" w14:textId="22F79BF3" w:rsidR="005F36E3" w:rsidRPr="00C159B7" w:rsidRDefault="005F36E3">
      <w:pPr>
        <w:pStyle w:val="FootnoteText"/>
        <w:rPr>
          <w:sz w:val="16"/>
          <w:szCs w:val="16"/>
        </w:rPr>
      </w:pPr>
      <w:r w:rsidRPr="00C159B7">
        <w:rPr>
          <w:rStyle w:val="FootnoteReference"/>
          <w:sz w:val="16"/>
          <w:szCs w:val="16"/>
        </w:rPr>
        <w:footnoteRef/>
      </w:r>
      <w:r w:rsidRPr="00C159B7">
        <w:rPr>
          <w:sz w:val="16"/>
          <w:szCs w:val="16"/>
        </w:rPr>
        <w:t xml:space="preserve"> </w:t>
      </w:r>
      <w:r w:rsidRPr="00C159B7">
        <w:rPr>
          <w:rFonts w:asciiTheme="majorHAnsi" w:hAnsiTheme="majorHAnsi" w:cs="Arial"/>
          <w:color w:val="262626"/>
          <w:sz w:val="16"/>
          <w:szCs w:val="16"/>
        </w:rPr>
        <w:t>van Kerkhoff, Lorrae and Pilbeam, Victoria (2015). Science, C</w:t>
      </w:r>
      <w:r>
        <w:rPr>
          <w:rFonts w:asciiTheme="majorHAnsi" w:hAnsiTheme="majorHAnsi" w:cs="Arial"/>
          <w:color w:val="262626"/>
          <w:sz w:val="16"/>
          <w:szCs w:val="16"/>
        </w:rPr>
        <w:t>u</w:t>
      </w:r>
      <w:r w:rsidRPr="00C159B7">
        <w:rPr>
          <w:rFonts w:asciiTheme="majorHAnsi" w:hAnsiTheme="majorHAnsi" w:cs="Arial"/>
          <w:color w:val="262626"/>
          <w:sz w:val="16"/>
          <w:szCs w:val="16"/>
        </w:rPr>
        <w:t xml:space="preserve">lture and </w:t>
      </w:r>
      <w:r>
        <w:rPr>
          <w:rFonts w:asciiTheme="majorHAnsi" w:hAnsiTheme="majorHAnsi" w:cs="Arial"/>
          <w:color w:val="262626"/>
          <w:sz w:val="16"/>
          <w:szCs w:val="16"/>
        </w:rPr>
        <w:t>community</w:t>
      </w:r>
      <w:r w:rsidRPr="00C159B7">
        <w:rPr>
          <w:rFonts w:asciiTheme="majorHAnsi" w:hAnsiTheme="majorHAnsi" w:cs="Arial"/>
          <w:color w:val="262626"/>
          <w:sz w:val="16"/>
          <w:szCs w:val="16"/>
        </w:rPr>
        <w:t>-</w:t>
      </w:r>
      <w:r>
        <w:rPr>
          <w:rFonts w:asciiTheme="majorHAnsi" w:hAnsiTheme="majorHAnsi" w:cs="Arial"/>
          <w:color w:val="262626"/>
          <w:sz w:val="16"/>
          <w:szCs w:val="16"/>
        </w:rPr>
        <w:t>based environmental governance: A pilot study from Palau</w:t>
      </w:r>
    </w:p>
  </w:footnote>
  <w:footnote w:id="7">
    <w:p w14:paraId="3F671769" w14:textId="77777777" w:rsidR="005F36E3" w:rsidRPr="002300C3" w:rsidRDefault="005F36E3" w:rsidP="0057218D">
      <w:pPr>
        <w:pStyle w:val="FootnoteText"/>
        <w:rPr>
          <w:rFonts w:ascii="Calibri" w:hAnsi="Calibri"/>
        </w:rPr>
      </w:pPr>
      <w:r>
        <w:rPr>
          <w:rStyle w:val="FootnoteReference"/>
        </w:rPr>
        <w:footnoteRef/>
      </w:r>
      <w:r>
        <w:t xml:space="preserve"> </w:t>
      </w:r>
      <w:r w:rsidRPr="002C7DE0">
        <w:rPr>
          <w:rFonts w:ascii="Calibri" w:hAnsi="Calibri"/>
          <w:sz w:val="16"/>
          <w:szCs w:val="16"/>
        </w:rPr>
        <w:t>Areas of sea are computed on the basis of the NOAA habitat map</w:t>
      </w:r>
    </w:p>
  </w:footnote>
  <w:footnote w:id="8">
    <w:p w14:paraId="70F9EFA2" w14:textId="3F9510DB" w:rsidR="005F36E3" w:rsidRPr="00D143D1" w:rsidRDefault="005F36E3" w:rsidP="0057218D">
      <w:pPr>
        <w:pStyle w:val="FootnoteText"/>
      </w:pPr>
      <w:r>
        <w:rPr>
          <w:rStyle w:val="FootnoteReference"/>
        </w:rPr>
        <w:footnoteRef/>
      </w:r>
      <w:r>
        <w:t xml:space="preserve"> </w:t>
      </w:r>
      <w:r w:rsidRPr="002300C3">
        <w:rPr>
          <w:rFonts w:ascii="Calibri" w:hAnsi="Calibri"/>
          <w:sz w:val="16"/>
          <w:szCs w:val="16"/>
        </w:rPr>
        <w:t xml:space="preserve">EQPB currently manages environmental permitting and environmental compliance enforcement of single initiatives, at site </w:t>
      </w:r>
      <w:r>
        <w:rPr>
          <w:rFonts w:ascii="Calibri" w:hAnsi="Calibri"/>
          <w:sz w:val="16"/>
          <w:szCs w:val="16"/>
        </w:rPr>
        <w:t>level</w:t>
      </w:r>
      <w:r w:rsidRPr="002300C3">
        <w:rPr>
          <w:rFonts w:ascii="Calibri" w:hAnsi="Calibri"/>
          <w:sz w:val="16"/>
          <w:szCs w:val="16"/>
        </w:rPr>
        <w:t xml:space="preserve">, through EA and EIS processes, without </w:t>
      </w:r>
      <w:r>
        <w:rPr>
          <w:rFonts w:ascii="Calibri" w:hAnsi="Calibri"/>
          <w:sz w:val="16"/>
          <w:szCs w:val="16"/>
        </w:rPr>
        <w:t>strongly considering</w:t>
      </w:r>
      <w:r w:rsidRPr="002300C3">
        <w:rPr>
          <w:rFonts w:ascii="Calibri" w:hAnsi="Calibri"/>
          <w:sz w:val="16"/>
          <w:szCs w:val="16"/>
        </w:rPr>
        <w:t xml:space="preserve"> the territorial level.</w:t>
      </w:r>
    </w:p>
  </w:footnote>
  <w:footnote w:id="9">
    <w:p w14:paraId="16028A91" w14:textId="78669269" w:rsidR="005F36E3" w:rsidRPr="00B05D74" w:rsidRDefault="005F36E3">
      <w:pPr>
        <w:pStyle w:val="FootnoteText"/>
        <w:rPr>
          <w:rFonts w:asciiTheme="majorHAnsi" w:hAnsiTheme="majorHAnsi"/>
          <w:sz w:val="16"/>
          <w:szCs w:val="16"/>
        </w:rPr>
      </w:pPr>
      <w:r w:rsidRPr="00B05D74">
        <w:rPr>
          <w:rStyle w:val="FootnoteReference"/>
          <w:rFonts w:asciiTheme="majorHAnsi" w:hAnsiTheme="majorHAnsi"/>
          <w:sz w:val="16"/>
          <w:szCs w:val="16"/>
        </w:rPr>
        <w:footnoteRef/>
      </w:r>
      <w:r w:rsidRPr="00B05D74">
        <w:rPr>
          <w:rFonts w:asciiTheme="majorHAnsi" w:hAnsiTheme="majorHAnsi"/>
          <w:sz w:val="16"/>
          <w:szCs w:val="16"/>
        </w:rPr>
        <w:t xml:space="preserve"> This process </w:t>
      </w:r>
      <w:r>
        <w:rPr>
          <w:rFonts w:asciiTheme="majorHAnsi" w:hAnsiTheme="majorHAnsi"/>
          <w:sz w:val="16"/>
          <w:szCs w:val="16"/>
        </w:rPr>
        <w:t>may benefit from being iterative, with a draft Strategy defining the overall framework, principles and criteria for preparation of State Plans that then further inform the refinement and finalization of the Strategy.</w:t>
      </w:r>
    </w:p>
  </w:footnote>
  <w:footnote w:id="10">
    <w:p w14:paraId="7DE92126" w14:textId="72F8EF45" w:rsidR="005F36E3" w:rsidRDefault="005F36E3">
      <w:pPr>
        <w:pStyle w:val="FootnoteText"/>
      </w:pPr>
      <w:r w:rsidRPr="00137F8B">
        <w:rPr>
          <w:rStyle w:val="FootnoteReference"/>
          <w:rFonts w:asciiTheme="majorHAnsi" w:hAnsiTheme="majorHAnsi"/>
          <w:sz w:val="16"/>
          <w:szCs w:val="16"/>
        </w:rPr>
        <w:footnoteRef/>
      </w:r>
      <w:r w:rsidRPr="00137F8B">
        <w:rPr>
          <w:rFonts w:asciiTheme="majorHAnsi" w:hAnsiTheme="majorHAnsi"/>
          <w:sz w:val="16"/>
          <w:szCs w:val="16"/>
        </w:rPr>
        <w:t xml:space="preserve"> </w:t>
      </w:r>
      <w:r w:rsidRPr="00FA196A">
        <w:rPr>
          <w:rFonts w:asciiTheme="majorHAnsi" w:hAnsiTheme="majorHAnsi"/>
          <w:sz w:val="16"/>
          <w:szCs w:val="16"/>
        </w:rPr>
        <w:t>Covering 40,900 ha of land area and 100,000 of seascape up to limits of coral reef making a total of 140,900 ha</w:t>
      </w:r>
    </w:p>
  </w:footnote>
  <w:footnote w:id="11">
    <w:p w14:paraId="4E5C5D5C" w14:textId="07AFB316" w:rsidR="005F36E3" w:rsidRPr="00C22D0C" w:rsidRDefault="005F36E3" w:rsidP="00C22D0C">
      <w:pPr>
        <w:pStyle w:val="FootnoteText"/>
        <w:spacing w:after="0"/>
        <w:rPr>
          <w:rFonts w:asciiTheme="majorHAnsi" w:hAnsiTheme="majorHAnsi"/>
          <w:sz w:val="16"/>
          <w:szCs w:val="16"/>
        </w:rPr>
      </w:pPr>
      <w:r w:rsidRPr="00C22D0C">
        <w:rPr>
          <w:rStyle w:val="FootnoteReference"/>
          <w:rFonts w:asciiTheme="majorHAnsi" w:hAnsiTheme="majorHAnsi"/>
          <w:sz w:val="16"/>
          <w:szCs w:val="16"/>
        </w:rPr>
        <w:footnoteRef/>
      </w:r>
      <w:r w:rsidRPr="00C22D0C">
        <w:rPr>
          <w:rFonts w:asciiTheme="majorHAnsi" w:hAnsiTheme="majorHAnsi"/>
          <w:sz w:val="16"/>
          <w:szCs w:val="16"/>
        </w:rPr>
        <w:t xml:space="preserve"> </w:t>
      </w:r>
      <w:r>
        <w:rPr>
          <w:rFonts w:asciiTheme="majorHAnsi" w:hAnsiTheme="majorHAnsi"/>
          <w:sz w:val="16"/>
          <w:szCs w:val="16"/>
        </w:rPr>
        <w:t xml:space="preserve"> Represents new households additional to the 300 HHs currently practicing sustainable natural resources management best practices.</w:t>
      </w:r>
    </w:p>
  </w:footnote>
  <w:footnote w:id="12">
    <w:p w14:paraId="33F89164" w14:textId="1B75EBB1" w:rsidR="005F36E3" w:rsidRPr="00DF29AB" w:rsidRDefault="005F36E3" w:rsidP="00C22D0C">
      <w:pPr>
        <w:pStyle w:val="FootnoteText"/>
        <w:spacing w:after="0"/>
        <w:rPr>
          <w:rFonts w:asciiTheme="majorHAnsi" w:hAnsiTheme="majorHAnsi"/>
          <w:sz w:val="16"/>
          <w:szCs w:val="16"/>
        </w:rPr>
      </w:pPr>
      <w:r w:rsidRPr="00C22D0C">
        <w:rPr>
          <w:rStyle w:val="FootnoteReference"/>
          <w:rFonts w:asciiTheme="majorHAnsi" w:hAnsiTheme="majorHAnsi"/>
          <w:sz w:val="16"/>
          <w:szCs w:val="16"/>
        </w:rPr>
        <w:footnoteRef/>
      </w:r>
      <w:r w:rsidRPr="00C22D0C">
        <w:rPr>
          <w:rFonts w:asciiTheme="majorHAnsi" w:hAnsiTheme="majorHAnsi"/>
          <w:sz w:val="16"/>
          <w:szCs w:val="16"/>
        </w:rPr>
        <w:t xml:space="preserve"> Total households in 7 Babeldoah States </w:t>
      </w:r>
      <w:r>
        <w:rPr>
          <w:rFonts w:asciiTheme="majorHAnsi" w:hAnsiTheme="majorHAnsi"/>
          <w:sz w:val="16"/>
          <w:szCs w:val="16"/>
        </w:rPr>
        <w:t xml:space="preserve">is </w:t>
      </w:r>
      <w:r w:rsidRPr="00C22D0C">
        <w:rPr>
          <w:rFonts w:asciiTheme="majorHAnsi" w:hAnsiTheme="majorHAnsi"/>
          <w:sz w:val="16"/>
          <w:szCs w:val="16"/>
        </w:rPr>
        <w:t>a</w:t>
      </w:r>
      <w:r>
        <w:rPr>
          <w:rFonts w:asciiTheme="majorHAnsi" w:hAnsiTheme="majorHAnsi"/>
          <w:sz w:val="16"/>
          <w:szCs w:val="16"/>
        </w:rPr>
        <w:t>bout</w:t>
      </w:r>
      <w:r w:rsidRPr="00C22D0C">
        <w:rPr>
          <w:rFonts w:asciiTheme="majorHAnsi" w:hAnsiTheme="majorHAnsi"/>
          <w:sz w:val="16"/>
          <w:szCs w:val="16"/>
        </w:rPr>
        <w:t xml:space="preserve"> 620</w:t>
      </w:r>
      <w:r>
        <w:rPr>
          <w:rFonts w:asciiTheme="majorHAnsi" w:hAnsiTheme="majorHAnsi"/>
          <w:sz w:val="16"/>
          <w:szCs w:val="16"/>
        </w:rPr>
        <w:t>.</w:t>
      </w:r>
    </w:p>
  </w:footnote>
  <w:footnote w:id="13">
    <w:p w14:paraId="7E66D80F" w14:textId="7C968047" w:rsidR="005F36E3" w:rsidRDefault="005F36E3">
      <w:pPr>
        <w:pStyle w:val="FootnoteText"/>
      </w:pPr>
      <w:r w:rsidRPr="005C03F3">
        <w:rPr>
          <w:rStyle w:val="FootnoteReference"/>
          <w:rFonts w:asciiTheme="majorHAnsi" w:hAnsiTheme="majorHAnsi"/>
          <w:sz w:val="16"/>
          <w:szCs w:val="16"/>
        </w:rPr>
        <w:footnoteRef/>
      </w:r>
      <w:r w:rsidRPr="005C03F3">
        <w:rPr>
          <w:rFonts w:asciiTheme="majorHAnsi" w:hAnsiTheme="majorHAnsi"/>
          <w:sz w:val="16"/>
          <w:szCs w:val="16"/>
        </w:rPr>
        <w:t xml:space="preserve"> </w:t>
      </w:r>
      <w:r w:rsidRPr="009F2A65">
        <w:rPr>
          <w:rFonts w:asciiTheme="majorHAnsi" w:hAnsiTheme="majorHAnsi"/>
          <w:sz w:val="16"/>
          <w:szCs w:val="16"/>
        </w:rPr>
        <w:t>Southern Lagoon extends to the 12 nautical mile EEZ  and covers 264,600 ha, embracing the states of Koror, Peleliu</w:t>
      </w:r>
      <w:r>
        <w:rPr>
          <w:rFonts w:asciiTheme="majorHAnsi" w:hAnsiTheme="majorHAnsi"/>
          <w:sz w:val="16"/>
          <w:szCs w:val="16"/>
        </w:rPr>
        <w:t xml:space="preserve"> a</w:t>
      </w:r>
      <w:r w:rsidRPr="009F2A65">
        <w:rPr>
          <w:rFonts w:asciiTheme="majorHAnsi" w:hAnsiTheme="majorHAnsi"/>
          <w:sz w:val="16"/>
          <w:szCs w:val="16"/>
        </w:rPr>
        <w:t xml:space="preserve">nd Angaur. </w:t>
      </w:r>
      <w:r>
        <w:rPr>
          <w:rFonts w:asciiTheme="majorHAnsi" w:hAnsiTheme="majorHAnsi"/>
          <w:sz w:val="16"/>
          <w:szCs w:val="16"/>
        </w:rPr>
        <w:t>Its total</w:t>
      </w:r>
      <w:r w:rsidRPr="009F2A65">
        <w:rPr>
          <w:rFonts w:asciiTheme="majorHAnsi" w:hAnsiTheme="majorHAnsi"/>
          <w:sz w:val="16"/>
          <w:szCs w:val="16"/>
        </w:rPr>
        <w:t xml:space="preserve"> land area </w:t>
      </w:r>
      <w:r>
        <w:rPr>
          <w:rFonts w:asciiTheme="majorHAnsi" w:hAnsiTheme="majorHAnsi"/>
          <w:sz w:val="16"/>
          <w:szCs w:val="16"/>
        </w:rPr>
        <w:t>is</w:t>
      </w:r>
      <w:r w:rsidRPr="009F2A65">
        <w:rPr>
          <w:rFonts w:asciiTheme="majorHAnsi" w:hAnsiTheme="majorHAnsi"/>
          <w:sz w:val="16"/>
          <w:szCs w:val="16"/>
        </w:rPr>
        <w:t xml:space="preserve"> 3,100 ha</w:t>
      </w:r>
      <w:r>
        <w:rPr>
          <w:rFonts w:asciiTheme="majorHAnsi" w:hAnsiTheme="majorHAnsi"/>
          <w:sz w:val="16"/>
          <w:szCs w:val="16"/>
        </w:rPr>
        <w:t>.</w:t>
      </w:r>
      <w:r w:rsidRPr="009F2A65">
        <w:rPr>
          <w:rFonts w:asciiTheme="majorHAnsi" w:hAnsiTheme="majorHAnsi"/>
          <w:sz w:val="16"/>
          <w:szCs w:val="16"/>
        </w:rPr>
        <w:t xml:space="preserve"> </w:t>
      </w:r>
      <w:r>
        <w:rPr>
          <w:rFonts w:asciiTheme="majorHAnsi" w:hAnsiTheme="majorHAnsi"/>
          <w:sz w:val="16"/>
          <w:szCs w:val="16"/>
        </w:rPr>
        <w:t>T</w:t>
      </w:r>
      <w:r w:rsidRPr="009F2A65">
        <w:rPr>
          <w:rFonts w:asciiTheme="majorHAnsi" w:hAnsiTheme="majorHAnsi"/>
          <w:sz w:val="16"/>
          <w:szCs w:val="16"/>
        </w:rPr>
        <w:t>he major planning effort will focus more narrowly on the</w:t>
      </w:r>
      <w:r>
        <w:rPr>
          <w:rFonts w:asciiTheme="majorHAnsi" w:hAnsiTheme="majorHAnsi"/>
          <w:sz w:val="16"/>
          <w:szCs w:val="16"/>
        </w:rPr>
        <w:t xml:space="preserve"> land and seascape up to the coral reef boundary, covering 103,100 ha, while including deep sea fishing considerations beyond the coral reef boundary. </w:t>
      </w:r>
    </w:p>
  </w:footnote>
  <w:footnote w:id="14">
    <w:p w14:paraId="0E9232DF" w14:textId="1226D05A" w:rsidR="005F36E3" w:rsidRPr="00225975" w:rsidRDefault="005F36E3" w:rsidP="00E54698">
      <w:pPr>
        <w:pStyle w:val="FootnoteText"/>
        <w:rPr>
          <w:rFonts w:asciiTheme="majorHAnsi" w:hAnsiTheme="majorHAnsi"/>
          <w:sz w:val="16"/>
          <w:szCs w:val="16"/>
        </w:rPr>
      </w:pPr>
      <w:r w:rsidRPr="00225975">
        <w:rPr>
          <w:rStyle w:val="FootnoteReference"/>
          <w:rFonts w:asciiTheme="majorHAnsi" w:hAnsiTheme="majorHAnsi"/>
          <w:sz w:val="16"/>
          <w:szCs w:val="16"/>
        </w:rPr>
        <w:footnoteRef/>
      </w:r>
      <w:r w:rsidRPr="00225975">
        <w:rPr>
          <w:rFonts w:asciiTheme="majorHAnsi" w:hAnsiTheme="majorHAnsi"/>
          <w:sz w:val="16"/>
          <w:szCs w:val="16"/>
        </w:rPr>
        <w:t xml:space="preserve"> </w:t>
      </w:r>
      <w:r>
        <w:rPr>
          <w:rFonts w:asciiTheme="majorHAnsi" w:hAnsiTheme="majorHAnsi"/>
          <w:sz w:val="16"/>
          <w:szCs w:val="16"/>
        </w:rPr>
        <w:t xml:space="preserve"> Additional information in terms of baselines and monitoring indicators is provided in Annex 16</w:t>
      </w:r>
    </w:p>
  </w:footnote>
  <w:footnote w:id="15">
    <w:p w14:paraId="3F6B078C" w14:textId="77777777" w:rsidR="005F36E3" w:rsidRPr="0003763F" w:rsidRDefault="005F36E3" w:rsidP="00E54698">
      <w:pPr>
        <w:pStyle w:val="FootnoteText"/>
        <w:spacing w:after="0"/>
        <w:rPr>
          <w:rFonts w:ascii="Calibri" w:hAnsi="Calibri"/>
          <w:sz w:val="16"/>
          <w:szCs w:val="16"/>
        </w:rPr>
      </w:pPr>
      <w:r w:rsidRPr="00225975">
        <w:rPr>
          <w:rStyle w:val="FootnoteReference"/>
          <w:rFonts w:asciiTheme="majorHAnsi" w:hAnsiTheme="majorHAnsi"/>
          <w:sz w:val="16"/>
          <w:szCs w:val="16"/>
        </w:rPr>
        <w:footnoteRef/>
      </w:r>
      <w:r w:rsidRPr="00225975">
        <w:rPr>
          <w:rFonts w:asciiTheme="majorHAnsi" w:hAnsiTheme="majorHAnsi"/>
          <w:sz w:val="16"/>
          <w:szCs w:val="16"/>
        </w:rPr>
        <w:t xml:space="preserve"> Baseline</w:t>
      </w:r>
      <w:r w:rsidRPr="0003763F">
        <w:rPr>
          <w:rFonts w:ascii="Calibri" w:hAnsi="Calibri"/>
          <w:sz w:val="16"/>
          <w:szCs w:val="16"/>
        </w:rPr>
        <w:t xml:space="preserve">, mid-term and end of project </w:t>
      </w:r>
      <w:r>
        <w:rPr>
          <w:rFonts w:ascii="Calibri" w:hAnsi="Calibri"/>
          <w:sz w:val="16"/>
          <w:szCs w:val="16"/>
        </w:rPr>
        <w:t xml:space="preserve">target </w:t>
      </w:r>
      <w:r w:rsidRPr="0003763F">
        <w:rPr>
          <w:rFonts w:ascii="Calibri" w:hAnsi="Calibri"/>
          <w:sz w:val="16"/>
          <w:szCs w:val="16"/>
        </w:rPr>
        <w:t>levels must be expressed in the same neutral unit of analysis a</w:t>
      </w:r>
      <w:r>
        <w:rPr>
          <w:rFonts w:ascii="Calibri" w:hAnsi="Calibri"/>
          <w:sz w:val="16"/>
          <w:szCs w:val="16"/>
        </w:rPr>
        <w:t xml:space="preserve">s the corresponding indicator. </w:t>
      </w:r>
      <w:r w:rsidRPr="0003763F">
        <w:rPr>
          <w:rFonts w:ascii="Calibri" w:hAnsi="Calibri"/>
          <w:sz w:val="16"/>
          <w:szCs w:val="16"/>
        </w:rPr>
        <w:t>Baseline is the current/original status or condition and need t</w:t>
      </w:r>
      <w:r>
        <w:rPr>
          <w:rFonts w:ascii="Calibri" w:hAnsi="Calibri"/>
          <w:sz w:val="16"/>
          <w:szCs w:val="16"/>
        </w:rPr>
        <w:t>o be quantified</w:t>
      </w:r>
      <w:r w:rsidRPr="0003763F">
        <w:rPr>
          <w:rFonts w:ascii="Calibri" w:hAnsi="Calibri"/>
          <w:sz w:val="16"/>
          <w:szCs w:val="16"/>
        </w:rPr>
        <w:t xml:space="preserve">. The baseline must be established before the project document is submitted </w:t>
      </w:r>
      <w:r>
        <w:rPr>
          <w:rFonts w:ascii="Calibri" w:hAnsi="Calibri"/>
          <w:sz w:val="16"/>
          <w:szCs w:val="16"/>
        </w:rPr>
        <w:t xml:space="preserve">to the GEF for final approval. </w:t>
      </w:r>
      <w:r w:rsidRPr="0003763F">
        <w:rPr>
          <w:rFonts w:ascii="Calibri" w:hAnsi="Calibri"/>
          <w:sz w:val="16"/>
          <w:szCs w:val="16"/>
        </w:rPr>
        <w:t xml:space="preserve">The baseline values will be used to measure the success of the project through implementation monitoring and evaluation. </w:t>
      </w:r>
    </w:p>
  </w:footnote>
  <w:footnote w:id="16">
    <w:p w14:paraId="080D5CB4" w14:textId="77777777" w:rsidR="005F36E3" w:rsidRPr="0003763F" w:rsidRDefault="005F36E3" w:rsidP="00A57F29">
      <w:pPr>
        <w:pStyle w:val="FootnoteText"/>
        <w:spacing w:after="0"/>
        <w:rPr>
          <w:rFonts w:ascii="Calibri" w:hAnsi="Calibri"/>
          <w:sz w:val="16"/>
          <w:szCs w:val="16"/>
        </w:rPr>
      </w:pPr>
      <w:r w:rsidRPr="0003763F">
        <w:rPr>
          <w:rStyle w:val="FootnoteReference"/>
          <w:rFonts w:ascii="Calibri" w:hAnsi="Calibri"/>
          <w:sz w:val="16"/>
          <w:szCs w:val="16"/>
        </w:rPr>
        <w:footnoteRef/>
      </w:r>
      <w:r w:rsidRPr="0003763F">
        <w:rPr>
          <w:rFonts w:ascii="Calibri" w:hAnsi="Calibri"/>
          <w:sz w:val="16"/>
          <w:szCs w:val="16"/>
        </w:rPr>
        <w:t xml:space="preserve"> Target is the change in the baseline value that will be achieved by the mid-term review and then again by the terminal evaluation.</w:t>
      </w:r>
    </w:p>
  </w:footnote>
  <w:footnote w:id="17">
    <w:p w14:paraId="03AA2CE0" w14:textId="3FA8DEF2" w:rsidR="005F36E3" w:rsidRPr="00A57F29" w:rsidRDefault="005F36E3" w:rsidP="00A57F29">
      <w:pPr>
        <w:pStyle w:val="FootnoteText"/>
        <w:spacing w:after="0"/>
        <w:rPr>
          <w:rFonts w:asciiTheme="majorHAnsi" w:hAnsiTheme="majorHAnsi"/>
          <w:sz w:val="16"/>
          <w:szCs w:val="16"/>
        </w:rPr>
      </w:pPr>
      <w:r w:rsidRPr="009D08C5">
        <w:rPr>
          <w:rStyle w:val="FootnoteReference"/>
          <w:rFonts w:ascii="Calibri" w:hAnsi="Calibri"/>
          <w:sz w:val="16"/>
          <w:szCs w:val="16"/>
        </w:rPr>
        <w:footnoteRef/>
      </w:r>
      <w:r w:rsidRPr="009D08C5">
        <w:rPr>
          <w:rFonts w:ascii="Calibri" w:hAnsi="Calibri"/>
          <w:sz w:val="16"/>
          <w:szCs w:val="16"/>
        </w:rPr>
        <w:t xml:space="preserve"> Ris</w:t>
      </w:r>
      <w:r w:rsidRPr="00A57F29">
        <w:rPr>
          <w:rFonts w:asciiTheme="majorHAnsi" w:hAnsiTheme="majorHAnsi"/>
          <w:sz w:val="16"/>
          <w:szCs w:val="16"/>
        </w:rPr>
        <w:t>ks must be outlined in the Feasibility section of this project document</w:t>
      </w:r>
      <w:r>
        <w:rPr>
          <w:rFonts w:asciiTheme="majorHAnsi" w:hAnsiTheme="majorHAnsi"/>
          <w:sz w:val="16"/>
          <w:szCs w:val="16"/>
        </w:rPr>
        <w:t xml:space="preserve">. </w:t>
      </w:r>
    </w:p>
  </w:footnote>
  <w:footnote w:id="18">
    <w:p w14:paraId="429ABFE1" w14:textId="02D5E784" w:rsidR="005F36E3" w:rsidRPr="0022163F" w:rsidRDefault="005F36E3">
      <w:pPr>
        <w:pStyle w:val="FootnoteText"/>
        <w:rPr>
          <w:sz w:val="16"/>
          <w:szCs w:val="16"/>
        </w:rPr>
      </w:pPr>
      <w:r w:rsidRPr="0022163F">
        <w:rPr>
          <w:rStyle w:val="FootnoteReference"/>
          <w:rFonts w:asciiTheme="majorHAnsi" w:hAnsiTheme="majorHAnsi"/>
          <w:sz w:val="16"/>
          <w:szCs w:val="16"/>
        </w:rPr>
        <w:footnoteRef/>
      </w:r>
      <w:r w:rsidRPr="0022163F">
        <w:rPr>
          <w:rFonts w:asciiTheme="majorHAnsi" w:hAnsiTheme="majorHAnsi"/>
          <w:sz w:val="16"/>
          <w:szCs w:val="16"/>
        </w:rPr>
        <w:t xml:space="preserve"> The represent PAN sites and other protected areas</w:t>
      </w:r>
    </w:p>
  </w:footnote>
  <w:footnote w:id="19">
    <w:p w14:paraId="79160E21" w14:textId="11D278CD" w:rsidR="005F36E3" w:rsidRPr="0022163F" w:rsidRDefault="005F36E3" w:rsidP="0022163F">
      <w:pPr>
        <w:pStyle w:val="FootnoteText"/>
        <w:spacing w:after="0"/>
        <w:rPr>
          <w:rFonts w:asciiTheme="majorHAnsi" w:hAnsiTheme="majorHAnsi"/>
          <w:sz w:val="16"/>
          <w:szCs w:val="16"/>
        </w:rPr>
      </w:pPr>
      <w:r w:rsidRPr="0022163F">
        <w:rPr>
          <w:rStyle w:val="FootnoteReference"/>
          <w:rFonts w:asciiTheme="majorHAnsi" w:hAnsiTheme="majorHAnsi"/>
          <w:sz w:val="16"/>
          <w:szCs w:val="16"/>
        </w:rPr>
        <w:footnoteRef/>
      </w:r>
      <w:r w:rsidRPr="0022163F">
        <w:rPr>
          <w:rFonts w:asciiTheme="majorHAnsi" w:hAnsiTheme="majorHAnsi"/>
          <w:sz w:val="16"/>
          <w:szCs w:val="16"/>
        </w:rPr>
        <w:t xml:space="preserve"> Based on the </w:t>
      </w:r>
      <w:r>
        <w:rPr>
          <w:rFonts w:asciiTheme="majorHAnsi" w:hAnsiTheme="majorHAnsi"/>
          <w:sz w:val="16"/>
          <w:szCs w:val="16"/>
        </w:rPr>
        <w:t xml:space="preserve">assumption that (i) institutional arrangements in place enabling integrated planning and management; (ii) land/seascapes zoned based on biological principles; (iii) land/seascape planning basis for budgetary allocations; (iv) sector regulations integrate biological considerations; (v) best practice activities implemented and (v) monitoring systems validate outcomes. Includes areas up to coral reef limits covered under Outcomes 2 and 3. </w:t>
      </w:r>
    </w:p>
  </w:footnote>
  <w:footnote w:id="20">
    <w:p w14:paraId="5D9E720B" w14:textId="0594D820" w:rsidR="005F36E3" w:rsidRDefault="005F36E3">
      <w:pPr>
        <w:pStyle w:val="FootnoteText"/>
      </w:pPr>
      <w:r>
        <w:rPr>
          <w:rStyle w:val="FootnoteReference"/>
        </w:rPr>
        <w:footnoteRef/>
      </w:r>
      <w:r>
        <w:t xml:space="preserve"> </w:t>
      </w:r>
      <w:r w:rsidRPr="00347DBE">
        <w:rPr>
          <w:rFonts w:asciiTheme="majorHAnsi" w:hAnsiTheme="majorHAnsi"/>
          <w:sz w:val="16"/>
          <w:szCs w:val="16"/>
        </w:rPr>
        <w:t>In 2015 there were 763 households in those 8 states (7 on Babeldaob and 1 Peleliu) plus another 3070 households in Koror.</w:t>
      </w:r>
    </w:p>
  </w:footnote>
  <w:footnote w:id="21">
    <w:p w14:paraId="72DE6997" w14:textId="409FB4CB" w:rsidR="005F36E3" w:rsidRDefault="005F36E3">
      <w:pPr>
        <w:pStyle w:val="FootnoteText"/>
      </w:pPr>
      <w:r>
        <w:rPr>
          <w:rStyle w:val="FootnoteReference"/>
        </w:rPr>
        <w:footnoteRef/>
      </w:r>
      <w:r>
        <w:t xml:space="preserve"> </w:t>
      </w:r>
      <w:r w:rsidRPr="00347DBE">
        <w:rPr>
          <w:rFonts w:asciiTheme="majorHAnsi" w:hAnsiTheme="majorHAnsi"/>
          <w:sz w:val="16"/>
          <w:szCs w:val="16"/>
        </w:rPr>
        <w:t>This number was derived from surveys during the PPG (May 2017)</w:t>
      </w:r>
    </w:p>
  </w:footnote>
  <w:footnote w:id="22">
    <w:p w14:paraId="32884BCB" w14:textId="1021D0E9" w:rsidR="005F36E3" w:rsidRPr="00520A61" w:rsidRDefault="005F36E3" w:rsidP="00415B14">
      <w:pPr>
        <w:pStyle w:val="FootnoteText"/>
        <w:rPr>
          <w:rFonts w:ascii="Calibri" w:hAnsi="Calibri"/>
          <w:sz w:val="16"/>
          <w:szCs w:val="16"/>
        </w:rPr>
      </w:pPr>
      <w:r w:rsidRPr="00520A61">
        <w:rPr>
          <w:rStyle w:val="FootnoteReference"/>
          <w:rFonts w:ascii="Calibri" w:hAnsi="Calibri"/>
          <w:sz w:val="16"/>
          <w:szCs w:val="16"/>
        </w:rPr>
        <w:footnoteRef/>
      </w:r>
      <w:r w:rsidRPr="00520A61">
        <w:rPr>
          <w:rFonts w:ascii="Calibri" w:hAnsi="Calibri"/>
          <w:bCs/>
          <w:sz w:val="16"/>
          <w:szCs w:val="16"/>
        </w:rPr>
        <w:t xml:space="preserve">Outcomes are </w:t>
      </w:r>
      <w:r w:rsidRPr="00520A61">
        <w:rPr>
          <w:rFonts w:ascii="Calibri" w:hAnsi="Calibri"/>
          <w:sz w:val="16"/>
          <w:szCs w:val="16"/>
        </w:rPr>
        <w:t>short to medium term results that the project makes a contribution towards, and that are designed to help achieve the longer term objective</w:t>
      </w:r>
      <w:r>
        <w:rPr>
          <w:rFonts w:ascii="Calibri" w:hAnsi="Calibri"/>
          <w:sz w:val="16"/>
          <w:szCs w:val="16"/>
        </w:rPr>
        <w:t xml:space="preserve">. </w:t>
      </w:r>
      <w:r w:rsidRPr="00520A61">
        <w:rPr>
          <w:rFonts w:ascii="Calibri" w:hAnsi="Calibri"/>
          <w:sz w:val="16"/>
          <w:szCs w:val="16"/>
        </w:rPr>
        <w:t>Achievement of outcomes will be influenced both by project outputs and additional factors that may be outside the direct control of the project.</w:t>
      </w:r>
    </w:p>
  </w:footnote>
  <w:footnote w:id="23">
    <w:p w14:paraId="4A7A65FA" w14:textId="4C1E487F" w:rsidR="005F36E3" w:rsidRPr="00FA196A" w:rsidRDefault="005F36E3">
      <w:pPr>
        <w:pStyle w:val="FootnoteText"/>
        <w:rPr>
          <w:rFonts w:asciiTheme="majorHAnsi" w:hAnsiTheme="majorHAnsi"/>
          <w:sz w:val="16"/>
          <w:szCs w:val="16"/>
        </w:rPr>
      </w:pPr>
      <w:r w:rsidRPr="00FA196A">
        <w:rPr>
          <w:rStyle w:val="FootnoteReference"/>
          <w:rFonts w:asciiTheme="majorHAnsi" w:hAnsiTheme="majorHAnsi"/>
          <w:sz w:val="16"/>
          <w:szCs w:val="16"/>
        </w:rPr>
        <w:footnoteRef/>
      </w:r>
      <w:r w:rsidRPr="00FA196A">
        <w:rPr>
          <w:rFonts w:asciiTheme="majorHAnsi" w:hAnsiTheme="majorHAnsi"/>
          <w:sz w:val="16"/>
          <w:szCs w:val="16"/>
        </w:rPr>
        <w:t xml:space="preserve"> Covering 40,900 ha of land area and 100,000 of seascape up to limits of coral reef making a total of 140,900 ha</w:t>
      </w:r>
    </w:p>
  </w:footnote>
  <w:footnote w:id="24">
    <w:p w14:paraId="5EC3797A" w14:textId="16E674A5" w:rsidR="005F36E3" w:rsidRDefault="005F36E3">
      <w:pPr>
        <w:pStyle w:val="FootnoteText"/>
      </w:pPr>
      <w:r>
        <w:rPr>
          <w:rStyle w:val="FootnoteReference"/>
        </w:rPr>
        <w:footnoteRef/>
      </w:r>
      <w:r>
        <w:t xml:space="preserve"> </w:t>
      </w:r>
      <w:r>
        <w:rPr>
          <w:rFonts w:asciiTheme="majorHAnsi" w:hAnsiTheme="majorHAnsi"/>
          <w:sz w:val="16"/>
          <w:szCs w:val="16"/>
        </w:rPr>
        <w:t xml:space="preserve">This </w:t>
      </w:r>
      <w:r w:rsidRPr="00627586">
        <w:rPr>
          <w:rFonts w:asciiTheme="majorHAnsi" w:hAnsiTheme="majorHAnsi"/>
          <w:sz w:val="16"/>
          <w:szCs w:val="16"/>
        </w:rPr>
        <w:t>i</w:t>
      </w:r>
      <w:r w:rsidRPr="00FA196A">
        <w:rPr>
          <w:rFonts w:asciiTheme="majorHAnsi" w:hAnsiTheme="majorHAnsi"/>
          <w:sz w:val="16"/>
          <w:szCs w:val="16"/>
        </w:rPr>
        <w:t xml:space="preserve">ncludes land area </w:t>
      </w:r>
      <w:r>
        <w:rPr>
          <w:rFonts w:asciiTheme="majorHAnsi" w:hAnsiTheme="majorHAnsi"/>
          <w:sz w:val="16"/>
          <w:szCs w:val="16"/>
        </w:rPr>
        <w:t>(</w:t>
      </w:r>
      <w:r w:rsidRPr="00FA196A">
        <w:rPr>
          <w:rFonts w:asciiTheme="majorHAnsi" w:hAnsiTheme="majorHAnsi"/>
          <w:sz w:val="16"/>
          <w:szCs w:val="16"/>
        </w:rPr>
        <w:t>3,100 ha</w:t>
      </w:r>
      <w:r>
        <w:rPr>
          <w:rFonts w:asciiTheme="majorHAnsi" w:hAnsiTheme="majorHAnsi"/>
          <w:sz w:val="16"/>
          <w:szCs w:val="16"/>
        </w:rPr>
        <w:t>)</w:t>
      </w:r>
      <w:r w:rsidRPr="00FA196A">
        <w:rPr>
          <w:rFonts w:asciiTheme="majorHAnsi" w:hAnsiTheme="majorHAnsi"/>
          <w:sz w:val="16"/>
          <w:szCs w:val="16"/>
        </w:rPr>
        <w:t xml:space="preserve"> and </w:t>
      </w:r>
      <w:r>
        <w:rPr>
          <w:rFonts w:asciiTheme="majorHAnsi" w:hAnsiTheme="majorHAnsi"/>
          <w:sz w:val="16"/>
          <w:szCs w:val="16"/>
        </w:rPr>
        <w:t>the surrounding marine area to the state nautical limit of 12 miles making a total of 264,686 ha (area up to coral reef limits including land area is 103,100 ha)  Planning beyond the reef (and up to the 12 nautical mile limit) will only address deep sea fishing issues.</w:t>
      </w:r>
    </w:p>
  </w:footnote>
  <w:footnote w:id="25">
    <w:p w14:paraId="31D069FD" w14:textId="77777777" w:rsidR="005F36E3" w:rsidRPr="0003763F" w:rsidRDefault="005F36E3">
      <w:pPr>
        <w:pStyle w:val="FootnoteText"/>
        <w:rPr>
          <w:rFonts w:ascii="Calibri" w:hAnsi="Calibri" w:cs="Segoe UI"/>
          <w:color w:val="000000"/>
          <w:sz w:val="18"/>
          <w:szCs w:val="18"/>
        </w:rPr>
      </w:pPr>
      <w:r w:rsidRPr="0003763F">
        <w:rPr>
          <w:rStyle w:val="FootnoteReference"/>
          <w:rFonts w:ascii="Calibri" w:hAnsi="Calibri"/>
          <w:szCs w:val="18"/>
        </w:rPr>
        <w:footnoteRef/>
      </w:r>
      <w:r w:rsidRPr="0003763F">
        <w:rPr>
          <w:rFonts w:ascii="Calibri" w:hAnsi="Calibri"/>
          <w:sz w:val="18"/>
          <w:szCs w:val="18"/>
        </w:rPr>
        <w:t xml:space="preserve"> See </w:t>
      </w:r>
      <w:hyperlink r:id="rId1" w:history="1">
        <w:r w:rsidRPr="0003763F">
          <w:rPr>
            <w:rStyle w:val="Hyperlink"/>
            <w:rFonts w:ascii="Calibri" w:hAnsi="Calibri" w:cs="Segoe UI"/>
            <w:sz w:val="18"/>
            <w:szCs w:val="18"/>
          </w:rPr>
          <w:t>https://www.thegef.org/gef/policies_guidelines</w:t>
        </w:r>
      </w:hyperlink>
    </w:p>
  </w:footnote>
  <w:footnote w:id="26">
    <w:p w14:paraId="237ECE14" w14:textId="77777777" w:rsidR="005F36E3" w:rsidRPr="0003763F" w:rsidRDefault="005F36E3">
      <w:pPr>
        <w:pStyle w:val="FootnoteText"/>
        <w:rPr>
          <w:rFonts w:ascii="Calibri" w:hAnsi="Calibri" w:cs="Segoe UI"/>
          <w:color w:val="000000"/>
          <w:sz w:val="18"/>
          <w:szCs w:val="18"/>
        </w:rPr>
      </w:pPr>
      <w:r w:rsidRPr="0003763F">
        <w:rPr>
          <w:rStyle w:val="FootnoteReference"/>
          <w:rFonts w:ascii="Calibri" w:hAnsi="Calibri"/>
          <w:szCs w:val="18"/>
        </w:rPr>
        <w:footnoteRef/>
      </w:r>
      <w:r w:rsidRPr="0003763F">
        <w:rPr>
          <w:rFonts w:ascii="Calibri" w:hAnsi="Calibri"/>
          <w:sz w:val="18"/>
          <w:szCs w:val="18"/>
        </w:rPr>
        <w:t xml:space="preserve"> See </w:t>
      </w:r>
      <w:hyperlink r:id="rId2" w:history="1">
        <w:r w:rsidRPr="0003763F">
          <w:rPr>
            <w:rStyle w:val="Hyperlink"/>
            <w:rFonts w:ascii="Calibri" w:hAnsi="Calibri" w:cs="Segoe UI"/>
            <w:sz w:val="18"/>
            <w:szCs w:val="18"/>
          </w:rPr>
          <w:t>https://www.thegef.org/gef/gef_agencies</w:t>
        </w:r>
      </w:hyperlink>
    </w:p>
  </w:footnote>
  <w:footnote w:id="27">
    <w:p w14:paraId="52B48D76" w14:textId="77777777" w:rsidR="005F36E3" w:rsidRPr="0003763F" w:rsidRDefault="005F36E3">
      <w:pPr>
        <w:pStyle w:val="FootnoteText"/>
        <w:rPr>
          <w:rFonts w:ascii="Calibri" w:hAnsi="Calibri" w:cs="Segoe UI"/>
          <w:color w:val="000000"/>
          <w:sz w:val="18"/>
          <w:szCs w:val="18"/>
        </w:rPr>
      </w:pPr>
      <w:r w:rsidRPr="0003763F">
        <w:rPr>
          <w:rStyle w:val="FootnoteReference"/>
          <w:rFonts w:ascii="Calibri" w:hAnsi="Calibri"/>
          <w:szCs w:val="18"/>
        </w:rPr>
        <w:footnoteRef/>
      </w:r>
      <w:r w:rsidRPr="0003763F">
        <w:rPr>
          <w:rFonts w:ascii="Calibri" w:hAnsi="Calibri"/>
          <w:sz w:val="18"/>
          <w:szCs w:val="18"/>
        </w:rPr>
        <w:t xml:space="preserve"> See guidance here:  </w:t>
      </w:r>
      <w:hyperlink r:id="rId3" w:history="1">
        <w:r w:rsidRPr="0003763F">
          <w:rPr>
            <w:rStyle w:val="Hyperlink"/>
            <w:rFonts w:ascii="Calibri" w:hAnsi="Calibri" w:cs="Segoe UI"/>
            <w:sz w:val="18"/>
            <w:szCs w:val="18"/>
          </w:rPr>
          <w:t>https://info.undp.org/global/popp/frm/pages/financial-management-and-execution-modalities.aspx</w:t>
        </w:r>
      </w:hyperlink>
    </w:p>
    <w:p w14:paraId="73A3CA8B" w14:textId="77777777" w:rsidR="005F36E3" w:rsidRPr="0003763F" w:rsidRDefault="005F36E3">
      <w:pPr>
        <w:pStyle w:val="FootnoteText"/>
        <w:rPr>
          <w:rFonts w:ascii="Calibri" w:hAnsi="Calibri"/>
          <w:sz w:val="18"/>
          <w:szCs w:val="18"/>
        </w:rPr>
      </w:pPr>
    </w:p>
  </w:footnote>
  <w:footnote w:id="28">
    <w:p w14:paraId="6D9E3F2A" w14:textId="77777777" w:rsidR="005F36E3" w:rsidRPr="0046177D" w:rsidRDefault="005F36E3" w:rsidP="003E3ABA">
      <w:pPr>
        <w:pStyle w:val="FootnoteText"/>
        <w:spacing w:after="0"/>
        <w:rPr>
          <w:rFonts w:ascii="Calibri" w:hAnsi="Calibri" w:cs="Calibri"/>
          <w:sz w:val="18"/>
          <w:szCs w:val="18"/>
        </w:rPr>
      </w:pPr>
      <w:r w:rsidRPr="0046177D">
        <w:rPr>
          <w:rStyle w:val="FootnoteReference"/>
          <w:rFonts w:ascii="Calibri" w:hAnsi="Calibri" w:cs="Calibri"/>
          <w:szCs w:val="18"/>
        </w:rPr>
        <w:footnoteRef/>
      </w:r>
      <w:r w:rsidRPr="0046177D">
        <w:rPr>
          <w:rFonts w:ascii="Calibri" w:hAnsi="Calibri" w:cs="Calibri"/>
          <w:sz w:val="18"/>
          <w:szCs w:val="18"/>
        </w:rPr>
        <w:t xml:space="preserve"> Excluding project team staff time and UNDP staff time and travel expenses</w:t>
      </w:r>
      <w:r>
        <w:rPr>
          <w:rFonts w:ascii="Calibri" w:hAnsi="Calibri" w:cs="Calibri"/>
          <w:sz w:val="18"/>
          <w:szCs w:val="18"/>
        </w:rPr>
        <w:t>.</w:t>
      </w:r>
    </w:p>
  </w:footnote>
  <w:footnote w:id="29">
    <w:p w14:paraId="6AEA1415" w14:textId="77777777" w:rsidR="005F36E3" w:rsidRPr="00DD767C" w:rsidRDefault="005F36E3" w:rsidP="003E3ABA">
      <w:pPr>
        <w:pStyle w:val="FootnoteText"/>
        <w:spacing w:after="0"/>
        <w:rPr>
          <w:rFonts w:ascii="Calibri" w:hAnsi="Calibri" w:cs="Calibri"/>
          <w:sz w:val="18"/>
          <w:szCs w:val="18"/>
        </w:rPr>
      </w:pPr>
      <w:r w:rsidRPr="00DD767C">
        <w:rPr>
          <w:rStyle w:val="FootnoteReference"/>
          <w:rFonts w:ascii="Calibri" w:hAnsi="Calibri" w:cs="Calibri"/>
          <w:szCs w:val="18"/>
        </w:rPr>
        <w:footnoteRef/>
      </w:r>
      <w:r w:rsidRPr="00DD767C">
        <w:rPr>
          <w:rFonts w:ascii="Calibri" w:hAnsi="Calibri" w:cs="Calibri"/>
          <w:sz w:val="18"/>
          <w:szCs w:val="18"/>
        </w:rPr>
        <w:t xml:space="preserve"> The costs of UNDP </w:t>
      </w:r>
      <w:r>
        <w:rPr>
          <w:rFonts w:ascii="Calibri" w:hAnsi="Calibri" w:cs="Calibri"/>
          <w:sz w:val="18"/>
          <w:szCs w:val="18"/>
        </w:rPr>
        <w:t xml:space="preserve">Country Office </w:t>
      </w:r>
      <w:r w:rsidRPr="00DD767C">
        <w:rPr>
          <w:rFonts w:ascii="Calibri" w:hAnsi="Calibri" w:cs="Calibri"/>
          <w:sz w:val="18"/>
          <w:szCs w:val="18"/>
        </w:rPr>
        <w:t>and UNDP-GEF</w:t>
      </w:r>
      <w:r>
        <w:rPr>
          <w:rFonts w:ascii="Calibri" w:hAnsi="Calibri" w:cs="Calibri"/>
          <w:sz w:val="18"/>
          <w:szCs w:val="18"/>
        </w:rPr>
        <w:t xml:space="preserve"> Unit</w:t>
      </w:r>
      <w:r w:rsidRPr="00DD767C">
        <w:rPr>
          <w:rFonts w:ascii="Calibri" w:hAnsi="Calibri" w:cs="Calibri"/>
          <w:sz w:val="18"/>
          <w:szCs w:val="18"/>
        </w:rPr>
        <w:t xml:space="preserve">’s participation </w:t>
      </w:r>
      <w:r>
        <w:rPr>
          <w:rFonts w:ascii="Calibri" w:hAnsi="Calibri" w:cs="Calibri"/>
          <w:sz w:val="18"/>
          <w:szCs w:val="18"/>
        </w:rPr>
        <w:t xml:space="preserve">and time </w:t>
      </w:r>
      <w:r w:rsidRPr="00DD767C">
        <w:rPr>
          <w:rFonts w:ascii="Calibri" w:hAnsi="Calibri" w:cs="Calibri"/>
          <w:sz w:val="18"/>
          <w:szCs w:val="18"/>
        </w:rPr>
        <w:t>are charged to the</w:t>
      </w:r>
      <w:r>
        <w:rPr>
          <w:rFonts w:ascii="Calibri" w:hAnsi="Calibri" w:cs="Calibri"/>
          <w:sz w:val="18"/>
          <w:szCs w:val="18"/>
        </w:rPr>
        <w:t xml:space="preserve"> GEF Agency</w:t>
      </w:r>
      <w:r w:rsidRPr="00DD767C">
        <w:rPr>
          <w:rFonts w:ascii="Calibri" w:hAnsi="Calibri" w:cs="Calibri"/>
          <w:sz w:val="18"/>
          <w:szCs w:val="18"/>
        </w:rPr>
        <w:t xml:space="preserve"> Fee.</w:t>
      </w:r>
    </w:p>
  </w:footnote>
  <w:footnote w:id="30">
    <w:p w14:paraId="5B950270" w14:textId="77777777" w:rsidR="005F36E3" w:rsidRPr="00AD6A9D" w:rsidRDefault="005F36E3" w:rsidP="00E571C9">
      <w:pPr>
        <w:pStyle w:val="FootnoteText"/>
        <w:jc w:val="left"/>
        <w:rPr>
          <w:rFonts w:ascii="Calibri" w:hAnsi="Calibri"/>
          <w:sz w:val="18"/>
          <w:szCs w:val="18"/>
        </w:rPr>
      </w:pPr>
      <w:r w:rsidRPr="00AD6A9D">
        <w:rPr>
          <w:rStyle w:val="FootnoteReference"/>
          <w:rFonts w:ascii="Calibri" w:hAnsi="Calibri"/>
          <w:szCs w:val="18"/>
        </w:rPr>
        <w:footnoteRef/>
      </w:r>
      <w:r w:rsidRPr="00AD6A9D">
        <w:rPr>
          <w:rFonts w:ascii="Calibri" w:hAnsi="Calibri"/>
          <w:sz w:val="18"/>
          <w:szCs w:val="18"/>
        </w:rPr>
        <w:t xml:space="preserve"> See </w:t>
      </w:r>
      <w:r w:rsidRPr="00AD6A9D">
        <w:rPr>
          <w:rFonts w:ascii="Calibri" w:hAnsi="Calibri" w:cs="Segoe UI"/>
          <w:color w:val="000000"/>
          <w:sz w:val="18"/>
          <w:szCs w:val="18"/>
        </w:rPr>
        <w:t>http://www.undp.org/content/undp/en/home/operations/transparency/information_disclosurepolicy/</w:t>
      </w:r>
    </w:p>
  </w:footnote>
  <w:footnote w:id="31">
    <w:p w14:paraId="7E8B7493" w14:textId="77777777" w:rsidR="005F36E3" w:rsidRPr="00AD6A9D" w:rsidRDefault="005F36E3" w:rsidP="00E571C9">
      <w:pPr>
        <w:pStyle w:val="FootnoteText"/>
        <w:rPr>
          <w:rFonts w:ascii="Calibri" w:hAnsi="Calibri"/>
          <w:sz w:val="18"/>
          <w:szCs w:val="18"/>
        </w:rPr>
      </w:pPr>
      <w:r w:rsidRPr="00AD6A9D">
        <w:rPr>
          <w:rStyle w:val="FootnoteReference"/>
          <w:rFonts w:ascii="Calibri" w:hAnsi="Calibri"/>
          <w:szCs w:val="18"/>
        </w:rPr>
        <w:footnoteRef/>
      </w:r>
      <w:r w:rsidRPr="00AD6A9D">
        <w:rPr>
          <w:rFonts w:ascii="Calibri" w:hAnsi="Calibri"/>
          <w:sz w:val="18"/>
          <w:szCs w:val="18"/>
        </w:rPr>
        <w:t xml:space="preserve"> See </w:t>
      </w:r>
      <w:r w:rsidRPr="00AD6A9D">
        <w:rPr>
          <w:rFonts w:ascii="Calibri" w:hAnsi="Calibri" w:cs="Segoe UI"/>
          <w:color w:val="000000"/>
          <w:sz w:val="18"/>
          <w:szCs w:val="18"/>
        </w:rPr>
        <w:t>https://www.thegef.org/gef/policies_guidelines</w:t>
      </w:r>
    </w:p>
  </w:footnote>
  <w:footnote w:id="32">
    <w:p w14:paraId="19A9564C" w14:textId="77777777" w:rsidR="005F36E3" w:rsidRPr="00C23420" w:rsidRDefault="005F36E3">
      <w:pPr>
        <w:pStyle w:val="FootnoteText"/>
        <w:rPr>
          <w:rStyle w:val="Hyperlink"/>
          <w:rFonts w:ascii="Calibri" w:hAnsi="Calibri"/>
          <w:sz w:val="18"/>
          <w:szCs w:val="18"/>
        </w:rPr>
      </w:pPr>
      <w:r w:rsidRPr="00C23420">
        <w:rPr>
          <w:rStyle w:val="FootnoteReference"/>
          <w:rFonts w:ascii="Calibri" w:hAnsi="Calibri"/>
          <w:szCs w:val="18"/>
        </w:rPr>
        <w:footnoteRef/>
      </w:r>
      <w:r w:rsidRPr="00C23420">
        <w:rPr>
          <w:rFonts w:ascii="Calibri" w:hAnsi="Calibri"/>
          <w:sz w:val="18"/>
          <w:szCs w:val="18"/>
        </w:rPr>
        <w:t xml:space="preserve"> see  </w:t>
      </w:r>
      <w:hyperlink r:id="rId4" w:history="1">
        <w:r w:rsidRPr="00C23420">
          <w:rPr>
            <w:rStyle w:val="Hyperlink"/>
            <w:rFonts w:ascii="Calibri" w:hAnsi="Calibri"/>
            <w:sz w:val="18"/>
            <w:szCs w:val="18"/>
          </w:rPr>
          <w:t>https://info.undp.org/global/popp/ppm/Pages/Closing-a-Project.aspx</w:t>
        </w:r>
      </w:hyperlink>
    </w:p>
    <w:p w14:paraId="10604F3F" w14:textId="77777777" w:rsidR="005F36E3" w:rsidRDefault="005F36E3">
      <w:pPr>
        <w:pStyle w:val="FootnoteText"/>
      </w:pPr>
    </w:p>
  </w:footnote>
  <w:footnote w:id="33">
    <w:p w14:paraId="4EE12BD8" w14:textId="77777777" w:rsidR="005F36E3" w:rsidRPr="00C5414B" w:rsidRDefault="005F36E3" w:rsidP="00C5414B">
      <w:pPr>
        <w:pStyle w:val="FootnoteText"/>
        <w:rPr>
          <w:rFonts w:asciiTheme="majorHAnsi" w:hAnsiTheme="majorHAnsi"/>
          <w:sz w:val="16"/>
          <w:szCs w:val="16"/>
        </w:rPr>
      </w:pPr>
      <w:r w:rsidRPr="00C5414B">
        <w:rPr>
          <w:rStyle w:val="FootnoteReference"/>
          <w:rFonts w:asciiTheme="majorHAnsi" w:hAnsiTheme="majorHAnsi"/>
          <w:sz w:val="16"/>
          <w:szCs w:val="16"/>
        </w:rPr>
        <w:footnoteRef/>
      </w:r>
      <w:r w:rsidRPr="00C5414B">
        <w:rPr>
          <w:rFonts w:asciiTheme="majorHAnsi" w:hAnsiTheme="majorHAnsi"/>
          <w:sz w:val="16"/>
          <w:szCs w:val="16"/>
        </w:rPr>
        <w:t xml:space="preserve"> During the project implementation the competent Authorities will assess the opportunity to adopt a specific law</w:t>
      </w:r>
    </w:p>
  </w:footnote>
  <w:footnote w:id="34">
    <w:p w14:paraId="6CA9C20B" w14:textId="77777777" w:rsidR="005F36E3" w:rsidRPr="009375C5" w:rsidRDefault="005F36E3" w:rsidP="000D2499">
      <w:pPr>
        <w:pStyle w:val="FootnoteText"/>
        <w:jc w:val="left"/>
        <w:rPr>
          <w:rFonts w:asciiTheme="majorHAnsi" w:hAnsiTheme="majorHAnsi"/>
          <w:sz w:val="16"/>
          <w:szCs w:val="16"/>
        </w:rPr>
      </w:pPr>
      <w:r>
        <w:rPr>
          <w:rStyle w:val="FootnoteReference"/>
        </w:rPr>
        <w:footnoteRef/>
      </w:r>
      <w:r>
        <w:t xml:space="preserve"> </w:t>
      </w:r>
      <w:r w:rsidRPr="009375C5">
        <w:rPr>
          <w:rFonts w:asciiTheme="majorHAnsi" w:hAnsiTheme="majorHAnsi"/>
          <w:sz w:val="16"/>
          <w:szCs w:val="16"/>
        </w:rPr>
        <w:t>Carol Emaurois (EU GCCA Project); Madelsar Ngiraingas (BTA, formerly with PACC); and Klouldil Singeo (MCCA and Gender Division)</w:t>
      </w:r>
    </w:p>
  </w:footnote>
  <w:footnote w:id="35">
    <w:p w14:paraId="47861FE6" w14:textId="77777777" w:rsidR="005F36E3" w:rsidRPr="009375C5" w:rsidRDefault="005F36E3" w:rsidP="000D2499">
      <w:pPr>
        <w:autoSpaceDE w:val="0"/>
        <w:autoSpaceDN w:val="0"/>
        <w:adjustRightInd w:val="0"/>
        <w:spacing w:after="0"/>
        <w:jc w:val="left"/>
        <w:rPr>
          <w:rFonts w:asciiTheme="majorHAnsi" w:hAnsiTheme="majorHAnsi"/>
          <w:sz w:val="16"/>
          <w:szCs w:val="16"/>
        </w:rPr>
      </w:pPr>
      <w:r w:rsidRPr="009375C5">
        <w:rPr>
          <w:rStyle w:val="FootnoteReference"/>
          <w:rFonts w:asciiTheme="majorHAnsi" w:hAnsiTheme="majorHAnsi"/>
          <w:sz w:val="16"/>
          <w:szCs w:val="16"/>
        </w:rPr>
        <w:footnoteRef/>
      </w:r>
      <w:r w:rsidRPr="009375C5">
        <w:rPr>
          <w:rFonts w:asciiTheme="majorHAnsi" w:hAnsiTheme="majorHAnsi"/>
          <w:sz w:val="16"/>
          <w:szCs w:val="16"/>
        </w:rPr>
        <w:t xml:space="preserve"> Gender and Development Program, United Nations Development Program (GIDP/UNDP): UNDP Learning and Information Pack -- Gender Mainstreaming, June 2000. Accessed May 2017 from: </w:t>
      </w:r>
      <w:hyperlink r:id="rId5" w:history="1">
        <w:r w:rsidRPr="009375C5">
          <w:rPr>
            <w:rStyle w:val="Hyperlink"/>
            <w:rFonts w:asciiTheme="majorHAnsi" w:hAnsiTheme="majorHAnsi"/>
            <w:sz w:val="16"/>
            <w:szCs w:val="16"/>
          </w:rPr>
          <w:t>http://www.undp.org/content/dam/undp/library/gender/Institutional%20Development/TLGEN1.6%20UNDP%20GenderAnalysis%20toolkit.pdf</w:t>
        </w:r>
      </w:hyperlink>
    </w:p>
  </w:footnote>
  <w:footnote w:id="36">
    <w:p w14:paraId="7F8296CA" w14:textId="77777777" w:rsidR="005F36E3" w:rsidRPr="009375C5" w:rsidRDefault="005F36E3" w:rsidP="000D2499">
      <w:pPr>
        <w:pStyle w:val="FootnoteText"/>
        <w:jc w:val="left"/>
        <w:rPr>
          <w:rFonts w:asciiTheme="majorHAnsi" w:hAnsiTheme="majorHAnsi"/>
          <w:sz w:val="16"/>
          <w:szCs w:val="16"/>
        </w:rPr>
      </w:pPr>
      <w:r w:rsidRPr="009375C5">
        <w:rPr>
          <w:rStyle w:val="FootnoteReference"/>
          <w:rFonts w:asciiTheme="majorHAnsi" w:hAnsiTheme="majorHAnsi"/>
          <w:sz w:val="16"/>
          <w:szCs w:val="16"/>
        </w:rPr>
        <w:footnoteRef/>
      </w:r>
      <w:r w:rsidRPr="009375C5">
        <w:rPr>
          <w:rFonts w:asciiTheme="majorHAnsi" w:hAnsiTheme="majorHAnsi"/>
          <w:sz w:val="16"/>
          <w:szCs w:val="16"/>
        </w:rPr>
        <w:t xml:space="preserve"> United States Agency for International Development, Economic Growth and Trade, Office of Gender Equality &amp; Women's Empowerment: Tips for Conducting a Gender Analysis at the Activity or Project Level, March 2011. Accessed May 2017 from: </w:t>
      </w:r>
      <w:hyperlink r:id="rId6" w:history="1">
        <w:r w:rsidRPr="009375C5">
          <w:rPr>
            <w:rStyle w:val="Hyperlink"/>
            <w:rFonts w:asciiTheme="majorHAnsi" w:hAnsiTheme="majorHAnsi"/>
            <w:sz w:val="16"/>
            <w:szCs w:val="16"/>
          </w:rPr>
          <w:t>http://pdf.usaid.gov/pdf_docs/pdacx964.pdf</w:t>
        </w:r>
      </w:hyperlink>
    </w:p>
    <w:p w14:paraId="4FDFB439" w14:textId="77777777" w:rsidR="005F36E3" w:rsidRDefault="005F36E3" w:rsidP="000D2499">
      <w:pPr>
        <w:pStyle w:val="FootnoteText"/>
      </w:pPr>
    </w:p>
  </w:footnote>
  <w:footnote w:id="37">
    <w:p w14:paraId="5411DDD3" w14:textId="77777777" w:rsidR="005F36E3" w:rsidRDefault="005F36E3" w:rsidP="000D2499">
      <w:r>
        <w:rPr>
          <w:rStyle w:val="FootnoteReference"/>
        </w:rPr>
        <w:footnoteRef/>
      </w:r>
      <w:r>
        <w:t xml:space="preserve"> R</w:t>
      </w:r>
      <w:r w:rsidRPr="003F1B9E">
        <w:rPr>
          <w:sz w:val="16"/>
          <w:szCs w:val="16"/>
        </w:rPr>
        <w:t>espondents were also asked about participation of vulnerable peoples (</w:t>
      </w:r>
      <w:r>
        <w:rPr>
          <w:sz w:val="16"/>
          <w:szCs w:val="16"/>
        </w:rPr>
        <w:t xml:space="preserve">defined as the </w:t>
      </w:r>
      <w:r w:rsidRPr="003F1B9E">
        <w:rPr>
          <w:sz w:val="16"/>
          <w:szCs w:val="16"/>
        </w:rPr>
        <w:t>uneducated, poor, or people with</w:t>
      </w:r>
      <w:r>
        <w:rPr>
          <w:sz w:val="16"/>
          <w:szCs w:val="16"/>
        </w:rPr>
        <w:t>out</w:t>
      </w:r>
      <w:r w:rsidRPr="003F1B9E">
        <w:rPr>
          <w:sz w:val="16"/>
          <w:szCs w:val="16"/>
        </w:rPr>
        <w:t xml:space="preserve"> access to economic and political power). 6 out of 9 States could not identify any participation by vulnerable peoples and 3 states indicated very low participation (1 person or 10-20% of participants).</w:t>
      </w:r>
    </w:p>
    <w:p w14:paraId="4C77CFCD" w14:textId="77777777" w:rsidR="005F36E3" w:rsidRDefault="005F36E3" w:rsidP="000D2499">
      <w:pPr>
        <w:pStyle w:val="FootnoteText"/>
      </w:pPr>
    </w:p>
  </w:footnote>
  <w:footnote w:id="38">
    <w:p w14:paraId="09DC5FFC" w14:textId="77777777" w:rsidR="005F36E3" w:rsidRPr="006D63E5" w:rsidRDefault="005F36E3" w:rsidP="00A22E4D">
      <w:pPr>
        <w:rPr>
          <w:rFonts w:asciiTheme="majorHAnsi" w:hAnsiTheme="majorHAnsi"/>
          <w:sz w:val="18"/>
          <w:szCs w:val="18"/>
        </w:rPr>
      </w:pPr>
      <w:r w:rsidRPr="006D63E5">
        <w:rPr>
          <w:rStyle w:val="FootnoteReference"/>
          <w:rFonts w:asciiTheme="majorHAnsi" w:hAnsiTheme="majorHAnsi"/>
          <w:szCs w:val="18"/>
        </w:rPr>
        <w:footnoteRef/>
      </w:r>
      <w:r w:rsidRPr="006D63E5">
        <w:rPr>
          <w:rFonts w:asciiTheme="majorHAnsi" w:hAnsiTheme="majorHAnsi"/>
          <w:sz w:val="18"/>
          <w:szCs w:val="18"/>
        </w:rPr>
        <w:t xml:space="preserve"> This section was adapted from: CLME+ Over-Arching Communication Strategy Framework by Dr. Maria Protz. Caribbean LME Project, UNDP, UNOPS, and GEF. 2016. Available from: </w:t>
      </w:r>
      <w:hyperlink r:id="rId7" w:history="1">
        <w:r w:rsidRPr="006D63E5">
          <w:rPr>
            <w:rStyle w:val="Hyperlink"/>
            <w:rFonts w:asciiTheme="majorHAnsi" w:hAnsiTheme="majorHAnsi"/>
            <w:sz w:val="18"/>
            <w:szCs w:val="18"/>
          </w:rPr>
          <w:t>https://clmeproject.wordpress.com/clme-communication-strategy/</w:t>
        </w:r>
      </w:hyperlink>
    </w:p>
    <w:p w14:paraId="665AFC45" w14:textId="77777777" w:rsidR="005F36E3" w:rsidRDefault="005F36E3" w:rsidP="00A22E4D">
      <w:pPr>
        <w:pStyle w:val="FootnoteText"/>
      </w:pPr>
    </w:p>
  </w:footnote>
  <w:footnote w:id="39">
    <w:p w14:paraId="4B8CC5F9" w14:textId="77777777" w:rsidR="005F36E3" w:rsidRPr="00186D07" w:rsidRDefault="005F36E3" w:rsidP="00A22E4D">
      <w:pPr>
        <w:pStyle w:val="FootnoteText"/>
        <w:rPr>
          <w:b/>
        </w:rPr>
      </w:pPr>
      <w:r w:rsidRPr="00186D07">
        <w:rPr>
          <w:rStyle w:val="FootnoteReference"/>
        </w:rPr>
        <w:footnoteRef/>
      </w:r>
      <w:r w:rsidRPr="00186D07">
        <w:rPr>
          <w:b/>
        </w:rPr>
        <w:t xml:space="preserve"> </w:t>
      </w:r>
      <w:r w:rsidRPr="00150717">
        <w:rPr>
          <w:rFonts w:asciiTheme="majorHAnsi" w:hAnsiTheme="majorHAnsi"/>
          <w:b/>
          <w:sz w:val="16"/>
          <w:szCs w:val="16"/>
        </w:rPr>
        <w:t>This is a specific need that was identified (nd directly requested by Governors and Planning Team Chairs) through multiple meetings with State Leaders during formation of the Project Document. The expert should focus on the importance of Landscape/Seascape Planning and the importance of implementing the plan (including using anecdotes of what happens when such planning does not occur).</w:t>
      </w:r>
    </w:p>
  </w:footnote>
  <w:footnote w:id="40">
    <w:p w14:paraId="7293B24D" w14:textId="77777777" w:rsidR="005F36E3" w:rsidRDefault="005F36E3" w:rsidP="00A22E4D">
      <w:pPr>
        <w:pStyle w:val="FootnoteText"/>
      </w:pPr>
      <w:r>
        <w:rPr>
          <w:rStyle w:val="FootnoteReference"/>
        </w:rPr>
        <w:footnoteRef/>
      </w:r>
      <w:r>
        <w:t xml:space="preserve"> </w:t>
      </w:r>
      <w:r w:rsidRPr="00150717">
        <w:rPr>
          <w:rFonts w:asciiTheme="majorHAnsi" w:hAnsiTheme="majorHAnsi"/>
          <w:sz w:val="16"/>
          <w:szCs w:val="16"/>
        </w:rPr>
        <w:t>The following information is courtesy of Roll’em Productions from a survey of 100 Palauans conducted in 2009. It may have changed and should be updated once the KAP Survey is done.</w:t>
      </w:r>
    </w:p>
  </w:footnote>
  <w:footnote w:id="41">
    <w:p w14:paraId="272C33CD" w14:textId="77777777" w:rsidR="005F36E3" w:rsidRPr="000D2499" w:rsidRDefault="005F36E3" w:rsidP="00A22E4D">
      <w:pPr>
        <w:pStyle w:val="FootnoteText"/>
        <w:rPr>
          <w:rFonts w:asciiTheme="majorHAnsi" w:hAnsiTheme="majorHAnsi"/>
          <w:sz w:val="16"/>
          <w:szCs w:val="16"/>
        </w:rPr>
      </w:pPr>
      <w:r w:rsidRPr="000D2499">
        <w:rPr>
          <w:rStyle w:val="FootnoteReference"/>
          <w:rFonts w:asciiTheme="majorHAnsi" w:hAnsiTheme="majorHAnsi"/>
          <w:sz w:val="16"/>
          <w:szCs w:val="16"/>
        </w:rPr>
        <w:footnoteRef/>
      </w:r>
      <w:r w:rsidRPr="000D2499">
        <w:rPr>
          <w:rFonts w:asciiTheme="majorHAnsi" w:hAnsiTheme="majorHAnsi"/>
          <w:sz w:val="16"/>
          <w:szCs w:val="16"/>
        </w:rPr>
        <w:t xml:space="preserve"> Have a student intern identify how many of the key audience members have Facebook pages)</w:t>
      </w:r>
    </w:p>
  </w:footnote>
  <w:footnote w:id="42">
    <w:p w14:paraId="65CC14D0" w14:textId="77777777" w:rsidR="005F36E3" w:rsidRPr="000D2499" w:rsidRDefault="005F36E3" w:rsidP="00A22E4D">
      <w:pPr>
        <w:pStyle w:val="FootnoteText"/>
        <w:rPr>
          <w:rFonts w:asciiTheme="majorHAnsi" w:hAnsiTheme="majorHAnsi"/>
          <w:sz w:val="16"/>
          <w:szCs w:val="16"/>
        </w:rPr>
      </w:pPr>
      <w:r>
        <w:rPr>
          <w:rStyle w:val="FootnoteReference"/>
        </w:rPr>
        <w:footnoteRef/>
      </w:r>
      <w:r>
        <w:t xml:space="preserve"> </w:t>
      </w:r>
      <w:r w:rsidRPr="000D2499">
        <w:rPr>
          <w:rFonts w:asciiTheme="majorHAnsi" w:hAnsiTheme="majorHAnsi"/>
          <w:sz w:val="16"/>
          <w:szCs w:val="16"/>
        </w:rPr>
        <w:t>Timed with something relevant (such as MCES or budget hearings)</w:t>
      </w:r>
    </w:p>
  </w:footnote>
  <w:footnote w:id="43">
    <w:p w14:paraId="61476B7E" w14:textId="77777777" w:rsidR="005F36E3" w:rsidRDefault="005F36E3" w:rsidP="00A22E4D">
      <w:pPr>
        <w:pStyle w:val="FootnoteText"/>
      </w:pPr>
      <w:r w:rsidRPr="000D2499">
        <w:rPr>
          <w:rStyle w:val="FootnoteReference"/>
          <w:rFonts w:asciiTheme="majorHAnsi" w:hAnsiTheme="majorHAnsi"/>
          <w:sz w:val="16"/>
          <w:szCs w:val="16"/>
        </w:rPr>
        <w:footnoteRef/>
      </w:r>
      <w:r w:rsidRPr="000D2499">
        <w:rPr>
          <w:rFonts w:asciiTheme="majorHAnsi" w:hAnsiTheme="majorHAnsi"/>
          <w:sz w:val="16"/>
          <w:szCs w:val="16"/>
        </w:rPr>
        <w:t xml:space="preserve"> This Plan does not advocate for a mass printing. Simply print out copies as needed so that after meetings, people have something tangible to hold and refer to.</w:t>
      </w:r>
    </w:p>
  </w:footnote>
  <w:footnote w:id="44">
    <w:p w14:paraId="0E711936" w14:textId="77777777" w:rsidR="005F36E3" w:rsidRDefault="005F36E3" w:rsidP="0077105D">
      <w:pPr>
        <w:pStyle w:val="FootnoteText"/>
      </w:pPr>
      <w:r>
        <w:rPr>
          <w:rStyle w:val="FootnoteReference"/>
        </w:rPr>
        <w:footnoteRef/>
      </w:r>
      <w:r>
        <w:t xml:space="preserve"> </w:t>
      </w:r>
      <w:r w:rsidRPr="00C97C18">
        <w:rPr>
          <w:rFonts w:asciiTheme="majorHAnsi" w:hAnsiTheme="majorHAnsi"/>
          <w:sz w:val="18"/>
          <w:szCs w:val="18"/>
        </w:rPr>
        <w:t xml:space="preserve">Prohibited </w:t>
      </w:r>
      <w:r w:rsidRPr="00C97C18">
        <w:rPr>
          <w:rFonts w:asciiTheme="majorHAnsi" w:hAnsiTheme="majorHAnsi"/>
          <w:sz w:val="18"/>
          <w:szCs w:val="18"/>
          <w:lang w:val="en-CA"/>
        </w:rPr>
        <w:t xml:space="preserve">grounds of discrimination include race, ethnicity, gender, age, language, disability, sexual orientation, religion, political or other opinion, national or social or geographical origin, property, birth or other status including as an indigenous person or as a member of a minority. </w:t>
      </w:r>
      <w:r w:rsidRPr="00C97C18">
        <w:rPr>
          <w:rFonts w:asciiTheme="majorHAnsi" w:hAnsiTheme="majorHAnsi"/>
          <w:sz w:val="18"/>
          <w:szCs w:val="18"/>
        </w:rPr>
        <w:t>References to “women and men” or similar is understood to include women and men, boys and girls, and other groups discriminated against based on their gender identities, such as transgender people and transsexuals.</w:t>
      </w:r>
    </w:p>
  </w:footnote>
  <w:footnote w:id="45">
    <w:p w14:paraId="23E0EEA2" w14:textId="77777777" w:rsidR="005F36E3" w:rsidRPr="000319DF" w:rsidRDefault="005F36E3" w:rsidP="0077105D">
      <w:pPr>
        <w:spacing w:before="60"/>
        <w:rPr>
          <w:sz w:val="18"/>
          <w:szCs w:val="18"/>
        </w:rPr>
      </w:pPr>
      <w:r w:rsidRPr="000319DF">
        <w:rPr>
          <w:vertAlign w:val="superscript"/>
        </w:rPr>
        <w:footnoteRef/>
      </w:r>
      <w:r w:rsidRPr="000319DF">
        <w:rPr>
          <w:sz w:val="18"/>
          <w:szCs w:val="18"/>
        </w:rPr>
        <w:t xml:space="preserve"> </w:t>
      </w:r>
      <w:r>
        <w:rPr>
          <w:sz w:val="18"/>
          <w:szCs w:val="18"/>
        </w:rPr>
        <w:t xml:space="preserve">In regards to </w:t>
      </w:r>
      <w:r w:rsidRPr="000319DF">
        <w:rPr>
          <w:sz w:val="18"/>
          <w:szCs w:val="18"/>
        </w:rPr>
        <w:t>CO</w:t>
      </w:r>
      <w:r w:rsidRPr="000319DF">
        <w:rPr>
          <w:sz w:val="18"/>
          <w:szCs w:val="18"/>
          <w:vertAlign w:val="subscript"/>
        </w:rPr>
        <w:t>2</w:t>
      </w:r>
      <w:r>
        <w:rPr>
          <w:sz w:val="18"/>
          <w:szCs w:val="18"/>
          <w:vertAlign w:val="subscript"/>
        </w:rPr>
        <w:t>,</w:t>
      </w:r>
      <w:r>
        <w:rPr>
          <w:sz w:val="18"/>
          <w:szCs w:val="18"/>
        </w:rPr>
        <w:t xml:space="preserve"> ‘s</w:t>
      </w:r>
      <w:r w:rsidRPr="000319DF">
        <w:rPr>
          <w:sz w:val="18"/>
          <w:szCs w:val="18"/>
        </w:rPr>
        <w:t>ignificant</w:t>
      </w:r>
      <w:r>
        <w:rPr>
          <w:sz w:val="18"/>
          <w:szCs w:val="18"/>
        </w:rPr>
        <w:t xml:space="preserve"> emissions’</w:t>
      </w:r>
      <w:r w:rsidRPr="000319DF">
        <w:rPr>
          <w:sz w:val="18"/>
          <w:szCs w:val="18"/>
        </w:rPr>
        <w:t xml:space="preserve"> corresponds </w:t>
      </w:r>
      <w:r>
        <w:rPr>
          <w:sz w:val="18"/>
          <w:szCs w:val="18"/>
        </w:rPr>
        <w:t>generally to more</w:t>
      </w:r>
      <w:r w:rsidRPr="000319DF">
        <w:rPr>
          <w:sz w:val="18"/>
          <w:szCs w:val="18"/>
        </w:rPr>
        <w:t xml:space="preserve"> than 25,000 tons per year (from both direct</w:t>
      </w:r>
      <w:r>
        <w:rPr>
          <w:sz w:val="18"/>
          <w:szCs w:val="18"/>
        </w:rPr>
        <w:t xml:space="preserve"> and indirect sources). [The Guidance Note on Climate Change Mitigation and Adaptation</w:t>
      </w:r>
      <w:r w:rsidRPr="000319DF">
        <w:rPr>
          <w:sz w:val="18"/>
          <w:szCs w:val="18"/>
        </w:rPr>
        <w:t xml:space="preserve"> provides additional </w:t>
      </w:r>
      <w:r>
        <w:rPr>
          <w:sz w:val="18"/>
          <w:szCs w:val="18"/>
        </w:rPr>
        <w:t xml:space="preserve">information on GHG </w:t>
      </w:r>
      <w:r w:rsidRPr="000319DF">
        <w:rPr>
          <w:sz w:val="18"/>
          <w:szCs w:val="18"/>
        </w:rPr>
        <w:t>emissions.]</w:t>
      </w:r>
    </w:p>
  </w:footnote>
  <w:footnote w:id="46">
    <w:p w14:paraId="072F714E" w14:textId="77777777" w:rsidR="005F36E3" w:rsidRDefault="005F36E3" w:rsidP="0077105D">
      <w:pPr>
        <w:pStyle w:val="FootnoteText"/>
      </w:pPr>
      <w:r>
        <w:rPr>
          <w:rStyle w:val="FootnoteReference"/>
        </w:rPr>
        <w:footnoteRef/>
      </w:r>
      <w:r>
        <w:t xml:space="preserve"> </w:t>
      </w:r>
      <w:r w:rsidRPr="00C97C18">
        <w:rPr>
          <w:rFonts w:asciiTheme="majorHAnsi" w:hAnsiTheme="majorHAnsi"/>
          <w:sz w:val="18"/>
          <w:szCs w:val="18"/>
        </w:rPr>
        <w:t>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 w:id="47">
    <w:p w14:paraId="3874E120" w14:textId="77777777" w:rsidR="005F36E3" w:rsidRPr="0022163F" w:rsidRDefault="005F36E3" w:rsidP="001F6249">
      <w:pPr>
        <w:pStyle w:val="FootnoteText"/>
        <w:rPr>
          <w:rFonts w:asciiTheme="majorHAnsi" w:hAnsiTheme="majorHAnsi"/>
          <w:sz w:val="16"/>
          <w:szCs w:val="16"/>
        </w:rPr>
      </w:pPr>
      <w:r w:rsidRPr="0022163F">
        <w:rPr>
          <w:rStyle w:val="FootnoteReference"/>
          <w:rFonts w:asciiTheme="majorHAnsi" w:hAnsiTheme="majorHAnsi"/>
          <w:sz w:val="16"/>
          <w:szCs w:val="16"/>
        </w:rPr>
        <w:footnoteRef/>
      </w:r>
      <w:r w:rsidRPr="0022163F">
        <w:rPr>
          <w:rFonts w:asciiTheme="majorHAnsi" w:hAnsiTheme="majorHAnsi"/>
          <w:sz w:val="16"/>
          <w:szCs w:val="16"/>
        </w:rPr>
        <w:t xml:space="preserve"> Based on the </w:t>
      </w:r>
      <w:r>
        <w:rPr>
          <w:rFonts w:asciiTheme="majorHAnsi" w:hAnsiTheme="majorHAnsi"/>
          <w:sz w:val="16"/>
          <w:szCs w:val="16"/>
        </w:rPr>
        <w:t xml:space="preserve">assumption that (i) institutional arrangements in place enabling integrated planning and management; (ii) land/seascapes zoned based on biological principles; (iii) land/seascape planning basis for budgetary allocations; (iv) sector regulations integrate biological considerations; (v) best practice activities implemented and (v) monitoring systems validate outcomes. Includes areas up to coral reef limits covered under Outcomes 2 and 3. </w:t>
      </w:r>
    </w:p>
  </w:footnote>
  <w:footnote w:id="48">
    <w:p w14:paraId="27FFCCC5" w14:textId="77777777" w:rsidR="005F36E3" w:rsidRPr="00FA196A" w:rsidRDefault="005F36E3" w:rsidP="00B97E2E">
      <w:pPr>
        <w:pStyle w:val="FootnoteText"/>
        <w:rPr>
          <w:rFonts w:asciiTheme="majorHAnsi" w:hAnsiTheme="majorHAnsi"/>
          <w:sz w:val="16"/>
          <w:szCs w:val="16"/>
        </w:rPr>
      </w:pPr>
      <w:r w:rsidRPr="00FA196A">
        <w:rPr>
          <w:rStyle w:val="FootnoteReference"/>
          <w:rFonts w:asciiTheme="majorHAnsi" w:hAnsiTheme="majorHAnsi"/>
          <w:sz w:val="16"/>
          <w:szCs w:val="16"/>
        </w:rPr>
        <w:footnoteRef/>
      </w:r>
      <w:r w:rsidRPr="00FA196A">
        <w:rPr>
          <w:rFonts w:asciiTheme="majorHAnsi" w:hAnsiTheme="majorHAnsi"/>
          <w:sz w:val="16"/>
          <w:szCs w:val="16"/>
        </w:rPr>
        <w:t xml:space="preserve"> Covering 40,900 ha of land area and 100,000 of seascape up to limits of coral reef making a total of 140,900 ha</w:t>
      </w:r>
    </w:p>
  </w:footnote>
  <w:footnote w:id="49">
    <w:p w14:paraId="2185957B" w14:textId="77777777" w:rsidR="005F36E3" w:rsidRDefault="005F36E3" w:rsidP="00883F24">
      <w:pPr>
        <w:pStyle w:val="FootnoteText"/>
      </w:pPr>
      <w:r>
        <w:rPr>
          <w:rStyle w:val="FootnoteReference"/>
        </w:rPr>
        <w:footnoteRef/>
      </w:r>
      <w:r>
        <w:t xml:space="preserve"> </w:t>
      </w:r>
      <w:r>
        <w:rPr>
          <w:rFonts w:asciiTheme="majorHAnsi" w:hAnsiTheme="majorHAnsi"/>
          <w:sz w:val="16"/>
          <w:szCs w:val="16"/>
        </w:rPr>
        <w:t xml:space="preserve">This </w:t>
      </w:r>
      <w:r w:rsidRPr="00627586">
        <w:rPr>
          <w:rFonts w:asciiTheme="majorHAnsi" w:hAnsiTheme="majorHAnsi"/>
          <w:sz w:val="16"/>
          <w:szCs w:val="16"/>
        </w:rPr>
        <w:t>i</w:t>
      </w:r>
      <w:r w:rsidRPr="00FA196A">
        <w:rPr>
          <w:rFonts w:asciiTheme="majorHAnsi" w:hAnsiTheme="majorHAnsi"/>
          <w:sz w:val="16"/>
          <w:szCs w:val="16"/>
        </w:rPr>
        <w:t xml:space="preserve">ncludes land area </w:t>
      </w:r>
      <w:r>
        <w:rPr>
          <w:rFonts w:asciiTheme="majorHAnsi" w:hAnsiTheme="majorHAnsi"/>
          <w:sz w:val="16"/>
          <w:szCs w:val="16"/>
        </w:rPr>
        <w:t>(</w:t>
      </w:r>
      <w:r w:rsidRPr="00FA196A">
        <w:rPr>
          <w:rFonts w:asciiTheme="majorHAnsi" w:hAnsiTheme="majorHAnsi"/>
          <w:sz w:val="16"/>
          <w:szCs w:val="16"/>
        </w:rPr>
        <w:t>3,100 ha</w:t>
      </w:r>
      <w:r>
        <w:rPr>
          <w:rFonts w:asciiTheme="majorHAnsi" w:hAnsiTheme="majorHAnsi"/>
          <w:sz w:val="16"/>
          <w:szCs w:val="16"/>
        </w:rPr>
        <w:t>)</w:t>
      </w:r>
      <w:r w:rsidRPr="00FA196A">
        <w:rPr>
          <w:rFonts w:asciiTheme="majorHAnsi" w:hAnsiTheme="majorHAnsi"/>
          <w:sz w:val="16"/>
          <w:szCs w:val="16"/>
        </w:rPr>
        <w:t xml:space="preserve"> and </w:t>
      </w:r>
      <w:r>
        <w:rPr>
          <w:rFonts w:asciiTheme="majorHAnsi" w:hAnsiTheme="majorHAnsi"/>
          <w:sz w:val="16"/>
          <w:szCs w:val="16"/>
        </w:rPr>
        <w:t>the surrounding marine area to the state nautical limit of 12 miles making a total of 264,686 ha (area up to coral reef limits including land area is 103,100 ha)  Planning beyond the reef (and up to the 12 nautical mile limit) will only address deep sea fishing issues.</w:t>
      </w:r>
    </w:p>
  </w:footnote>
  <w:footnote w:id="50">
    <w:p w14:paraId="38379180" w14:textId="13BB819E" w:rsidR="005F36E3" w:rsidRPr="0003763F" w:rsidRDefault="005F36E3" w:rsidP="003E3ABA">
      <w:pPr>
        <w:pStyle w:val="FootnoteText"/>
        <w:rPr>
          <w:rFonts w:ascii="Calibri" w:hAnsi="Calibri"/>
          <w:sz w:val="18"/>
          <w:szCs w:val="18"/>
        </w:rPr>
      </w:pPr>
      <w:r w:rsidRPr="0003763F">
        <w:rPr>
          <w:rStyle w:val="FootnoteReference"/>
          <w:rFonts w:ascii="Calibri" w:hAnsi="Calibri"/>
          <w:szCs w:val="18"/>
        </w:rPr>
        <w:footnoteRef/>
      </w:r>
      <w:r w:rsidRPr="0003763F">
        <w:rPr>
          <w:rFonts w:ascii="Calibri" w:hAnsi="Calibri"/>
          <w:sz w:val="18"/>
          <w:szCs w:val="18"/>
        </w:rPr>
        <w:t xml:space="preserve"> The budget will vary depending on the number of consultants required (for full size projects should be two consultants); the number of project sites to be visited; and other travel related costs</w:t>
      </w:r>
      <w:r>
        <w:rPr>
          <w:rFonts w:ascii="Calibri" w:hAnsi="Calibri"/>
          <w:sz w:val="18"/>
          <w:szCs w:val="18"/>
        </w:rPr>
        <w:t xml:space="preserve">. </w:t>
      </w:r>
      <w:r w:rsidRPr="0003763F">
        <w:rPr>
          <w:rFonts w:ascii="Calibri" w:hAnsi="Calibri"/>
          <w:sz w:val="18"/>
          <w:szCs w:val="18"/>
        </w:rPr>
        <w:t>Average # total working days per consultant not including travel is between 22-25 working days</w:t>
      </w:r>
      <w:r>
        <w:rPr>
          <w:rFonts w:ascii="Calibri" w:hAnsi="Calibri"/>
          <w:sz w:val="18"/>
          <w:szCs w:val="18"/>
        </w:rPr>
        <w:t xml:space="preserve">. </w:t>
      </w:r>
    </w:p>
  </w:footnote>
  <w:footnote w:id="51">
    <w:p w14:paraId="0662E995" w14:textId="77777777" w:rsidR="005F36E3" w:rsidRPr="006B7C18" w:rsidRDefault="005F36E3" w:rsidP="008C0BCC">
      <w:pPr>
        <w:pStyle w:val="FootnoteText"/>
        <w:rPr>
          <w:rFonts w:asciiTheme="majorHAnsi" w:hAnsiTheme="majorHAnsi"/>
          <w:sz w:val="16"/>
          <w:szCs w:val="16"/>
        </w:rPr>
      </w:pPr>
      <w:r w:rsidRPr="006B7C18">
        <w:rPr>
          <w:rStyle w:val="FootnoteReference"/>
          <w:rFonts w:asciiTheme="majorHAnsi" w:hAnsiTheme="majorHAnsi"/>
          <w:sz w:val="16"/>
          <w:szCs w:val="16"/>
        </w:rPr>
        <w:footnoteRef/>
      </w:r>
      <w:r w:rsidRPr="006B7C18">
        <w:rPr>
          <w:rFonts w:asciiTheme="majorHAnsi" w:hAnsiTheme="majorHAnsi"/>
          <w:sz w:val="16"/>
          <w:szCs w:val="16"/>
        </w:rPr>
        <w:t xml:space="preserve"> </w:t>
      </w:r>
      <w:r>
        <w:rPr>
          <w:rFonts w:asciiTheme="majorHAnsi" w:hAnsiTheme="majorHAnsi"/>
          <w:sz w:val="16"/>
          <w:szCs w:val="16"/>
        </w:rPr>
        <w:t>Colin, P. 2009. Marine Environments of Palau (based on deforestation figures from 2001-2005. No newer figures exists)</w:t>
      </w:r>
    </w:p>
  </w:footnote>
  <w:footnote w:id="52">
    <w:p w14:paraId="1BA7B141" w14:textId="77777777" w:rsidR="005F36E3" w:rsidRPr="00FB1ACB" w:rsidRDefault="005F36E3" w:rsidP="008C0BCC">
      <w:pPr>
        <w:pStyle w:val="FootnoteText"/>
        <w:rPr>
          <w:rFonts w:asciiTheme="majorHAnsi" w:hAnsiTheme="majorHAnsi"/>
          <w:sz w:val="16"/>
          <w:szCs w:val="16"/>
        </w:rPr>
      </w:pPr>
      <w:r w:rsidRPr="00FB1ACB">
        <w:rPr>
          <w:rStyle w:val="FootnoteReference"/>
          <w:rFonts w:asciiTheme="majorHAnsi" w:hAnsiTheme="majorHAnsi"/>
          <w:sz w:val="16"/>
          <w:szCs w:val="16"/>
        </w:rPr>
        <w:footnoteRef/>
      </w:r>
      <w:r w:rsidRPr="00FB1ACB">
        <w:rPr>
          <w:rFonts w:asciiTheme="majorHAnsi" w:hAnsiTheme="majorHAnsi"/>
          <w:sz w:val="16"/>
          <w:szCs w:val="16"/>
        </w:rPr>
        <w:t xml:space="preserve"> </w:t>
      </w:r>
      <w:r>
        <w:rPr>
          <w:rFonts w:asciiTheme="majorHAnsi" w:hAnsiTheme="majorHAnsi"/>
          <w:sz w:val="16"/>
          <w:szCs w:val="16"/>
        </w:rPr>
        <w:t>Kitalong, A.H. 2008. Forests of Palau: A long-term perspective (figure based on a 0.04km</w:t>
      </w:r>
      <w:r>
        <w:rPr>
          <w:rFonts w:asciiTheme="majorHAnsi" w:hAnsiTheme="majorHAnsi"/>
          <w:sz w:val="16"/>
          <w:szCs w:val="16"/>
          <w:vertAlign w:val="superscript"/>
        </w:rPr>
        <w:t>2</w:t>
      </w:r>
      <w:r>
        <w:rPr>
          <w:rFonts w:asciiTheme="majorHAnsi" w:hAnsiTheme="majorHAnsi"/>
          <w:sz w:val="16"/>
          <w:szCs w:val="16"/>
        </w:rPr>
        <w:t>/yr</w:t>
      </w:r>
      <w:r w:rsidRPr="00FB1ACB">
        <w:rPr>
          <w:rFonts w:asciiTheme="majorHAnsi" w:hAnsiTheme="majorHAnsi"/>
          <w:sz w:val="16"/>
          <w:szCs w:val="16"/>
          <w:vertAlign w:val="superscript"/>
        </w:rPr>
        <w:t>-1</w:t>
      </w:r>
      <w:r>
        <w:rPr>
          <w:rFonts w:asciiTheme="majorHAnsi" w:hAnsiTheme="majorHAnsi"/>
          <w:sz w:val="16"/>
          <w:szCs w:val="16"/>
          <w:vertAlign w:val="superscript"/>
        </w:rPr>
        <w:t xml:space="preserve"> </w:t>
      </w:r>
      <w:r>
        <w:rPr>
          <w:rFonts w:asciiTheme="majorHAnsi" w:hAnsiTheme="majorHAnsi"/>
          <w:sz w:val="16"/>
          <w:szCs w:val="16"/>
        </w:rPr>
        <w:t>loss from existing 48km</w:t>
      </w:r>
      <w:r>
        <w:rPr>
          <w:rFonts w:asciiTheme="majorHAnsi" w:hAnsiTheme="majorHAnsi"/>
          <w:sz w:val="16"/>
          <w:szCs w:val="16"/>
          <w:vertAlign w:val="superscript"/>
        </w:rPr>
        <w:t xml:space="preserve">2 </w:t>
      </w:r>
      <w:r>
        <w:rPr>
          <w:rFonts w:asciiTheme="majorHAnsi" w:hAnsiTheme="majorHAnsi"/>
          <w:sz w:val="16"/>
          <w:szCs w:val="16"/>
        </w:rPr>
        <w:t>mangrove cover in the whole of Palau)</w:t>
      </w:r>
    </w:p>
  </w:footnote>
  <w:footnote w:id="53">
    <w:p w14:paraId="0B47BFF7" w14:textId="77777777" w:rsidR="005F36E3" w:rsidRPr="00B43638" w:rsidRDefault="005F36E3" w:rsidP="008C0BCC">
      <w:pPr>
        <w:pStyle w:val="FootnoteText"/>
        <w:rPr>
          <w:rFonts w:asciiTheme="majorHAnsi" w:hAnsiTheme="majorHAnsi"/>
          <w:sz w:val="16"/>
          <w:szCs w:val="16"/>
        </w:rPr>
      </w:pPr>
      <w:r w:rsidRPr="00B43638">
        <w:rPr>
          <w:rStyle w:val="FootnoteReference"/>
          <w:rFonts w:asciiTheme="majorHAnsi" w:hAnsiTheme="majorHAnsi"/>
          <w:sz w:val="16"/>
          <w:szCs w:val="16"/>
        </w:rPr>
        <w:footnoteRef/>
      </w:r>
      <w:r w:rsidRPr="00B43638">
        <w:rPr>
          <w:rFonts w:asciiTheme="majorHAnsi" w:hAnsiTheme="majorHAnsi"/>
          <w:sz w:val="16"/>
          <w:szCs w:val="16"/>
        </w:rPr>
        <w:t xml:space="preserve"> </w:t>
      </w:r>
      <w:r>
        <w:rPr>
          <w:rFonts w:asciiTheme="majorHAnsi" w:hAnsiTheme="majorHAnsi"/>
          <w:sz w:val="16"/>
          <w:szCs w:val="16"/>
        </w:rPr>
        <w:t>Donato, D.C., Kauffman, J.B., Mackenzie, R.A., Ainsworth, A., and Pfleeger, A.Z. 2012. Whole-island carbon stocks in tropical Pacific: Implications for mangrove conservation and upland restoration, Journal of Environmental Management. Elsevier Ltd.</w:t>
      </w:r>
    </w:p>
  </w:footnote>
  <w:footnote w:id="54">
    <w:p w14:paraId="29F1A4AC" w14:textId="0A21BA1C" w:rsidR="005F36E3" w:rsidRPr="00225975" w:rsidRDefault="005F36E3" w:rsidP="00225975">
      <w:pPr>
        <w:spacing w:after="0"/>
        <w:ind w:left="450" w:hanging="450"/>
        <w:rPr>
          <w:rFonts w:asciiTheme="majorHAnsi" w:hAnsiTheme="majorHAnsi" w:cs="Garamond"/>
          <w:sz w:val="16"/>
          <w:szCs w:val="16"/>
        </w:rPr>
      </w:pPr>
      <w:r w:rsidRPr="00225975">
        <w:rPr>
          <w:rStyle w:val="FootnoteReference"/>
          <w:rFonts w:asciiTheme="majorHAnsi" w:hAnsiTheme="majorHAnsi"/>
          <w:sz w:val="16"/>
          <w:szCs w:val="16"/>
        </w:rPr>
        <w:footnoteRef/>
      </w:r>
      <w:r w:rsidRPr="00225975">
        <w:rPr>
          <w:rFonts w:asciiTheme="majorHAnsi" w:hAnsiTheme="majorHAnsi"/>
          <w:sz w:val="16"/>
          <w:szCs w:val="16"/>
        </w:rPr>
        <w:t xml:space="preserve"> </w:t>
      </w:r>
      <w:r w:rsidRPr="00927EBB">
        <w:rPr>
          <w:rFonts w:asciiTheme="majorHAnsi" w:hAnsiTheme="majorHAnsi"/>
          <w:sz w:val="16"/>
          <w:szCs w:val="16"/>
        </w:rPr>
        <w:t xml:space="preserve"> </w:t>
      </w:r>
      <w:r w:rsidRPr="00927EBB">
        <w:rPr>
          <w:rFonts w:asciiTheme="majorHAnsi" w:hAnsiTheme="majorHAnsi" w:cs="Garamond"/>
          <w:sz w:val="16"/>
          <w:szCs w:val="16"/>
        </w:rPr>
        <w:t xml:space="preserve">Olsen, Alan and Milang Eberdong. 2016. Bird Species Richness at a World Heritage Site in Palau. Micronesica (in press). </w:t>
      </w:r>
    </w:p>
  </w:footnote>
  <w:footnote w:id="55">
    <w:p w14:paraId="1FE43743" w14:textId="77777777" w:rsidR="005F36E3" w:rsidRPr="002814A6" w:rsidRDefault="005F36E3" w:rsidP="00927EBB">
      <w:pPr>
        <w:spacing w:after="0"/>
        <w:ind w:left="450" w:hanging="450"/>
        <w:rPr>
          <w:rFonts w:asciiTheme="majorHAnsi" w:hAnsiTheme="majorHAnsi"/>
          <w:sz w:val="16"/>
          <w:szCs w:val="16"/>
        </w:rPr>
      </w:pPr>
      <w:r w:rsidRPr="00225975">
        <w:rPr>
          <w:rStyle w:val="FootnoteReference"/>
          <w:rFonts w:asciiTheme="majorHAnsi" w:hAnsiTheme="majorHAnsi"/>
          <w:sz w:val="16"/>
          <w:szCs w:val="16"/>
        </w:rPr>
        <w:footnoteRef/>
      </w:r>
      <w:r>
        <w:t xml:space="preserve"> </w:t>
      </w:r>
      <w:r w:rsidRPr="002814A6">
        <w:rPr>
          <w:rFonts w:asciiTheme="majorHAnsi" w:hAnsiTheme="majorHAnsi" w:cs="Garamond"/>
          <w:sz w:val="16"/>
          <w:szCs w:val="16"/>
        </w:rPr>
        <w:t>Olsen, Alan, Milang Eberdong, Heather Ketebengang, Princess Blailes, and Po-Hao Chen. 2016. Survey of Megapode Nesting Mounds in Palau, Micronesia. In press.</w:t>
      </w:r>
      <w:r w:rsidRPr="002814A6">
        <w:rPr>
          <w:rFonts w:asciiTheme="majorHAnsi" w:hAnsiTheme="majorHAnsi"/>
          <w:sz w:val="16"/>
          <w:szCs w:val="16"/>
        </w:rPr>
        <w:t xml:space="preserve"> </w:t>
      </w:r>
    </w:p>
    <w:p w14:paraId="1128B752" w14:textId="77777777" w:rsidR="005F36E3" w:rsidRPr="002814A6" w:rsidRDefault="005F36E3" w:rsidP="00927EBB">
      <w:pPr>
        <w:spacing w:after="0"/>
        <w:rPr>
          <w:rFonts w:asciiTheme="majorHAnsi" w:hAnsiTheme="majorHAnsi"/>
          <w:b/>
          <w:sz w:val="20"/>
          <w:szCs w:val="20"/>
        </w:rPr>
      </w:pPr>
    </w:p>
    <w:p w14:paraId="0962AF72" w14:textId="2AA15409" w:rsidR="005F36E3" w:rsidRDefault="005F36E3">
      <w:pPr>
        <w:pStyle w:val="FootnoteText"/>
      </w:pPr>
    </w:p>
  </w:footnote>
  <w:footnote w:id="56">
    <w:p w14:paraId="7A8AA236" w14:textId="28477901" w:rsidR="005F36E3" w:rsidRPr="00225975" w:rsidRDefault="005F36E3" w:rsidP="00225975">
      <w:pPr>
        <w:autoSpaceDE w:val="0"/>
        <w:autoSpaceDN w:val="0"/>
        <w:adjustRightInd w:val="0"/>
        <w:spacing w:after="0"/>
        <w:ind w:left="360" w:hanging="360"/>
        <w:rPr>
          <w:rFonts w:asciiTheme="majorHAnsi" w:hAnsiTheme="majorHAnsi" w:cs="Garamond"/>
          <w:sz w:val="20"/>
          <w:szCs w:val="20"/>
        </w:rPr>
      </w:pPr>
      <w:r w:rsidRPr="00225975">
        <w:rPr>
          <w:rStyle w:val="FootnoteReference"/>
          <w:rFonts w:asciiTheme="majorHAnsi" w:hAnsiTheme="majorHAnsi"/>
          <w:sz w:val="16"/>
          <w:szCs w:val="16"/>
        </w:rPr>
        <w:footnoteRef/>
      </w:r>
      <w:r w:rsidRPr="00225975">
        <w:rPr>
          <w:rFonts w:asciiTheme="majorHAnsi" w:hAnsiTheme="majorHAnsi"/>
          <w:sz w:val="16"/>
          <w:szCs w:val="16"/>
        </w:rPr>
        <w:t xml:space="preserve"> </w:t>
      </w:r>
      <w:r w:rsidRPr="002814A6">
        <w:rPr>
          <w:rFonts w:asciiTheme="majorHAnsi" w:hAnsiTheme="majorHAnsi" w:cs="Garamond"/>
          <w:sz w:val="16"/>
          <w:szCs w:val="16"/>
        </w:rPr>
        <w:t>Barkley HC, Cohen AL, Golbuu Y, Starczak VR, DeCarlo TM, Shamberger KEF. 2015. Changes in coral reef communities across a natural gradient in seawater pH. Sci Adv 1:e1500328–e1500328</w:t>
      </w:r>
      <w:r w:rsidRPr="002814A6">
        <w:rPr>
          <w:rFonts w:asciiTheme="majorHAnsi" w:hAnsiTheme="majorHAnsi" w:cs="Garamond"/>
          <w:sz w:val="20"/>
          <w:szCs w:val="20"/>
        </w:rPr>
        <w:t xml:space="preserve">. </w:t>
      </w:r>
    </w:p>
  </w:footnote>
  <w:footnote w:id="57">
    <w:p w14:paraId="5539F5F4" w14:textId="58F9ED69" w:rsidR="005F36E3" w:rsidRPr="00225975" w:rsidRDefault="005F36E3" w:rsidP="00225975">
      <w:pPr>
        <w:autoSpaceDE w:val="0"/>
        <w:autoSpaceDN w:val="0"/>
        <w:adjustRightInd w:val="0"/>
        <w:spacing w:after="0"/>
        <w:ind w:left="360" w:hanging="360"/>
        <w:rPr>
          <w:rFonts w:asciiTheme="majorHAnsi" w:hAnsiTheme="majorHAnsi" w:cs="Garamond"/>
          <w:sz w:val="16"/>
          <w:szCs w:val="16"/>
        </w:rPr>
      </w:pPr>
      <w:r w:rsidRPr="00225975">
        <w:rPr>
          <w:rStyle w:val="FootnoteReference"/>
          <w:rFonts w:asciiTheme="majorHAnsi" w:hAnsiTheme="majorHAnsi"/>
          <w:sz w:val="16"/>
          <w:szCs w:val="16"/>
        </w:rPr>
        <w:footnoteRef/>
      </w:r>
      <w:r w:rsidRPr="00225975">
        <w:rPr>
          <w:rFonts w:asciiTheme="majorHAnsi" w:hAnsiTheme="majorHAnsi"/>
          <w:sz w:val="16"/>
          <w:szCs w:val="16"/>
        </w:rPr>
        <w:t xml:space="preserve"> </w:t>
      </w:r>
      <w:r>
        <w:rPr>
          <w:rFonts w:asciiTheme="majorHAnsi" w:hAnsiTheme="majorHAnsi"/>
          <w:sz w:val="16"/>
          <w:szCs w:val="16"/>
        </w:rPr>
        <w:t xml:space="preserve"> </w:t>
      </w:r>
      <w:r w:rsidRPr="002814A6">
        <w:rPr>
          <w:rFonts w:asciiTheme="majorHAnsi" w:hAnsiTheme="majorHAnsi" w:cs="Garamond"/>
          <w:sz w:val="16"/>
          <w:szCs w:val="16"/>
        </w:rPr>
        <w:t xml:space="preserve">Golbuu, Y., S. Victor, L. Penland, D. Idip Jr, C. Emaurois, K. Okaji, H. Yukihira, A. Iwase, R. van Woesik. 2007. Palau’s coral reefs show differential habitat recovery following the 1998-bleaching event. Coral Reefs 26: 319. doi:10.1007/ s00338-007-0200-7. </w:t>
      </w:r>
    </w:p>
  </w:footnote>
  <w:footnote w:id="58">
    <w:p w14:paraId="4535EBC7" w14:textId="6F787F27" w:rsidR="005F36E3" w:rsidRPr="00225975" w:rsidRDefault="005F36E3" w:rsidP="00DC71AF">
      <w:pPr>
        <w:pStyle w:val="FootnoteText"/>
        <w:jc w:val="left"/>
        <w:rPr>
          <w:rFonts w:asciiTheme="majorHAnsi" w:hAnsiTheme="majorHAnsi"/>
        </w:rPr>
      </w:pPr>
      <w:r w:rsidRPr="00225975">
        <w:rPr>
          <w:rStyle w:val="FootnoteReference"/>
          <w:rFonts w:asciiTheme="majorHAnsi" w:hAnsiTheme="majorHAnsi"/>
        </w:rPr>
        <w:footnoteRef/>
      </w:r>
      <w:r w:rsidRPr="00225975">
        <w:rPr>
          <w:rFonts w:asciiTheme="majorHAnsi" w:hAnsiTheme="majorHAnsi"/>
        </w:rPr>
        <w:t xml:space="preserve"> </w:t>
      </w:r>
      <w:r w:rsidRPr="002814A6">
        <w:rPr>
          <w:rFonts w:asciiTheme="majorHAnsi" w:hAnsiTheme="majorHAnsi" w:cs="Garamond"/>
          <w:sz w:val="16"/>
          <w:szCs w:val="16"/>
        </w:rPr>
        <w:t>Golbuu, Yimnang; Gouezo, Marine; Kurihara, Haruko; Rehm, Lincoln; Wolanski, Eric. 2016. Long-term isolation and local adaptation in Palau's Nikko Bay help corals thrive in acidic waters. Coral Reefs, Volume 35, Issue 3, pp.909-918.</w:t>
      </w:r>
    </w:p>
  </w:footnote>
  <w:footnote w:id="59">
    <w:p w14:paraId="58AC2A9D" w14:textId="77777777" w:rsidR="005F36E3" w:rsidRDefault="005F36E3" w:rsidP="00D17561">
      <w:pPr>
        <w:pStyle w:val="FootnoteText"/>
        <w:rPr>
          <w:sz w:val="18"/>
          <w:szCs w:val="18"/>
        </w:rPr>
      </w:pPr>
      <w:r w:rsidRPr="00971F3B">
        <w:rPr>
          <w:rStyle w:val="FootnoteReference"/>
          <w:szCs w:val="18"/>
        </w:rPr>
        <w:footnoteRef/>
      </w:r>
      <w:r w:rsidRPr="00971F3B">
        <w:rPr>
          <w:sz w:val="18"/>
          <w:szCs w:val="18"/>
        </w:rPr>
        <w:t xml:space="preserve"> </w:t>
      </w:r>
      <w:r w:rsidRPr="00165197">
        <w:rPr>
          <w:sz w:val="18"/>
          <w:szCs w:val="18"/>
        </w:rPr>
        <w:t>1. Sustainable development pathways; 2. Inclusive and effective democratic governance; 3. Resilience building</w:t>
      </w:r>
    </w:p>
    <w:p w14:paraId="5FEBB3A8" w14:textId="77777777" w:rsidR="005F36E3" w:rsidRPr="00971F3B" w:rsidRDefault="005F36E3" w:rsidP="00D17561">
      <w:pPr>
        <w:pStyle w:val="FootnoteText"/>
        <w:rPr>
          <w:sz w:val="18"/>
          <w:szCs w:val="18"/>
        </w:rPr>
      </w:pPr>
    </w:p>
  </w:footnote>
  <w:footnote w:id="60">
    <w:p w14:paraId="70582013" w14:textId="77777777" w:rsidR="005F36E3" w:rsidRDefault="005F36E3" w:rsidP="00D17561">
      <w:pPr>
        <w:pStyle w:val="FootnoteText"/>
      </w:pPr>
      <w:r w:rsidRPr="00971F3B">
        <w:rPr>
          <w:rStyle w:val="FootnoteReference"/>
          <w:szCs w:val="18"/>
        </w:rPr>
        <w:footnoteRef/>
      </w:r>
      <w:r w:rsidRPr="00971F3B">
        <w:rPr>
          <w:sz w:val="18"/>
          <w:szCs w:val="18"/>
        </w:rPr>
        <w:t xml:space="preserve"> </w:t>
      </w:r>
      <w:r w:rsidRPr="00165197">
        <w:rPr>
          <w:sz w:val="18"/>
          <w:szCs w:val="18"/>
        </w:rPr>
        <w:t>sustainable production technologies, access to modern energy services and energy efficiency, natural resources management, extractive industries, urbanization, citizen security, social protection, and risk management for resilience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9048B" w14:textId="77777777" w:rsidR="005F36E3" w:rsidRDefault="00E03EBE">
    <w:pPr>
      <w:pStyle w:val="Header"/>
    </w:pPr>
    <w:r>
      <w:rPr>
        <w:noProof/>
      </w:rPr>
      <w:pict w14:anchorId="00E39C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14DFF" w14:textId="77777777" w:rsidR="005F36E3" w:rsidRPr="00424365" w:rsidRDefault="005F36E3" w:rsidP="00424365">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23A1C"/>
    <w:multiLevelType w:val="hybridMultilevel"/>
    <w:tmpl w:val="EB3E6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7A7E17"/>
    <w:multiLevelType w:val="multilevel"/>
    <w:tmpl w:val="3E162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847B8C"/>
    <w:multiLevelType w:val="hybridMultilevel"/>
    <w:tmpl w:val="1076D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900D7"/>
    <w:multiLevelType w:val="multilevel"/>
    <w:tmpl w:val="B6FC7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1592D"/>
    <w:multiLevelType w:val="multilevel"/>
    <w:tmpl w:val="BD8AEC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3A63171"/>
    <w:multiLevelType w:val="hybridMultilevel"/>
    <w:tmpl w:val="EB360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301186"/>
    <w:multiLevelType w:val="hybridMultilevel"/>
    <w:tmpl w:val="87041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840F2F"/>
    <w:multiLevelType w:val="hybridMultilevel"/>
    <w:tmpl w:val="547454F2"/>
    <w:lvl w:ilvl="0" w:tplc="270C43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B7643D"/>
    <w:multiLevelType w:val="hybridMultilevel"/>
    <w:tmpl w:val="83E2FD44"/>
    <w:lvl w:ilvl="0" w:tplc="B134A4FA">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0" w15:restartNumberingAfterBreak="0">
    <w:nsid w:val="0AD132BC"/>
    <w:multiLevelType w:val="hybridMultilevel"/>
    <w:tmpl w:val="1D20BD88"/>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1" w15:restartNumberingAfterBreak="0">
    <w:nsid w:val="0AF179D6"/>
    <w:multiLevelType w:val="hybridMultilevel"/>
    <w:tmpl w:val="C2BC3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4A38A3"/>
    <w:multiLevelType w:val="hybridMultilevel"/>
    <w:tmpl w:val="C1EE4A9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3" w15:restartNumberingAfterBreak="0">
    <w:nsid w:val="0BBD0333"/>
    <w:multiLevelType w:val="hybridMultilevel"/>
    <w:tmpl w:val="BA524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D1070E"/>
    <w:multiLevelType w:val="hybridMultilevel"/>
    <w:tmpl w:val="B32667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357EAF"/>
    <w:multiLevelType w:val="hybridMultilevel"/>
    <w:tmpl w:val="A726EED6"/>
    <w:lvl w:ilvl="0" w:tplc="BCEE9CFC">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C8F0D93"/>
    <w:multiLevelType w:val="hybridMultilevel"/>
    <w:tmpl w:val="0AE41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B83323"/>
    <w:multiLevelType w:val="hybridMultilevel"/>
    <w:tmpl w:val="E4728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E0302E"/>
    <w:multiLevelType w:val="hybridMultilevel"/>
    <w:tmpl w:val="3B7A2DDC"/>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0D2734B0"/>
    <w:multiLevelType w:val="hybridMultilevel"/>
    <w:tmpl w:val="29CA87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35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3027A1"/>
    <w:multiLevelType w:val="hybridMultilevel"/>
    <w:tmpl w:val="F4E6B2EC"/>
    <w:lvl w:ilvl="0" w:tplc="1F127C6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E0C1F4C"/>
    <w:multiLevelType w:val="hybridMultilevel"/>
    <w:tmpl w:val="60B8F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1D10F4"/>
    <w:multiLevelType w:val="hybridMultilevel"/>
    <w:tmpl w:val="7F36C118"/>
    <w:lvl w:ilvl="0" w:tplc="7EB66F62">
      <w:start w:val="1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01763A7"/>
    <w:multiLevelType w:val="hybridMultilevel"/>
    <w:tmpl w:val="86EA5AA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3A4200"/>
    <w:multiLevelType w:val="hybridMultilevel"/>
    <w:tmpl w:val="6D50FC0C"/>
    <w:lvl w:ilvl="0" w:tplc="09E8657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09E2E6A"/>
    <w:multiLevelType w:val="hybridMultilevel"/>
    <w:tmpl w:val="B8B6D14E"/>
    <w:lvl w:ilvl="0" w:tplc="0410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15:restartNumberingAfterBreak="0">
    <w:nsid w:val="10F959E6"/>
    <w:multiLevelType w:val="hybridMultilevel"/>
    <w:tmpl w:val="3EDAA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2561881"/>
    <w:multiLevelType w:val="hybridMultilevel"/>
    <w:tmpl w:val="7F08C906"/>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8"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12DE7C32"/>
    <w:multiLevelType w:val="hybridMultilevel"/>
    <w:tmpl w:val="D1647A40"/>
    <w:lvl w:ilvl="0" w:tplc="6A2A3BB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34C113C"/>
    <w:multiLevelType w:val="hybridMultilevel"/>
    <w:tmpl w:val="C986D5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3AE1FCF"/>
    <w:multiLevelType w:val="hybridMultilevel"/>
    <w:tmpl w:val="339EB586"/>
    <w:lvl w:ilvl="0" w:tplc="5C14E66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144F60DE"/>
    <w:multiLevelType w:val="hybridMultilevel"/>
    <w:tmpl w:val="C1706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540797F"/>
    <w:multiLevelType w:val="hybridMultilevel"/>
    <w:tmpl w:val="8070C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61277A5"/>
    <w:multiLevelType w:val="hybridMultilevel"/>
    <w:tmpl w:val="A976AB9A"/>
    <w:lvl w:ilvl="0" w:tplc="9DB00120">
      <w:start w:val="1"/>
      <w:numFmt w:val="upperRoman"/>
      <w:pStyle w:val="Heading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16877412"/>
    <w:multiLevelType w:val="hybridMultilevel"/>
    <w:tmpl w:val="5CC8E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7280B9B"/>
    <w:multiLevelType w:val="hybridMultilevel"/>
    <w:tmpl w:val="E450839A"/>
    <w:lvl w:ilvl="0" w:tplc="9552DE3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15:restartNumberingAfterBreak="0">
    <w:nsid w:val="17856DA5"/>
    <w:multiLevelType w:val="hybridMultilevel"/>
    <w:tmpl w:val="3EDAA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8966BE2"/>
    <w:multiLevelType w:val="hybridMultilevel"/>
    <w:tmpl w:val="207ECD9E"/>
    <w:lvl w:ilvl="0" w:tplc="B134A4FA">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18BE6A41"/>
    <w:multiLevelType w:val="hybridMultilevel"/>
    <w:tmpl w:val="304E9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98E09AC"/>
    <w:multiLevelType w:val="hybridMultilevel"/>
    <w:tmpl w:val="853A6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9DA790E"/>
    <w:multiLevelType w:val="hybridMultilevel"/>
    <w:tmpl w:val="9F6A2C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1A265833"/>
    <w:multiLevelType w:val="hybridMultilevel"/>
    <w:tmpl w:val="ED2432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A4E5DB0"/>
    <w:multiLevelType w:val="hybridMultilevel"/>
    <w:tmpl w:val="F14C98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A654B00"/>
    <w:multiLevelType w:val="hybridMultilevel"/>
    <w:tmpl w:val="0088A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AE6132F"/>
    <w:multiLevelType w:val="hybridMultilevel"/>
    <w:tmpl w:val="EEF01D6C"/>
    <w:lvl w:ilvl="0" w:tplc="1B8C2EDC">
      <w:start w:val="1"/>
      <w:numFmt w:val="decimal"/>
      <w:lvlText w:val="%1."/>
      <w:lvlJc w:val="left"/>
      <w:pPr>
        <w:ind w:left="810" w:hanging="360"/>
      </w:pPr>
      <w:rPr>
        <w:rFonts w:ascii="Calibri" w:eastAsia="SimSun"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BCD3B77"/>
    <w:multiLevelType w:val="multilevel"/>
    <w:tmpl w:val="566CC32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8" w15:restartNumberingAfterBreak="0">
    <w:nsid w:val="1C523F36"/>
    <w:multiLevelType w:val="hybridMultilevel"/>
    <w:tmpl w:val="9A2C26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1CE950FB"/>
    <w:multiLevelType w:val="hybridMultilevel"/>
    <w:tmpl w:val="ECD40498"/>
    <w:lvl w:ilvl="0" w:tplc="BBB0EE20">
      <w:start w:val="1"/>
      <w:numFmt w:val="decimal"/>
      <w:pStyle w:val="Para"/>
      <w:lvlText w:val="%1."/>
      <w:lvlJc w:val="left"/>
      <w:pPr>
        <w:ind w:left="720" w:hanging="360"/>
      </w:pPr>
      <w:rPr>
        <w:rFonts w:hint="default"/>
        <w:b w:val="0"/>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D090E24"/>
    <w:multiLevelType w:val="hybridMultilevel"/>
    <w:tmpl w:val="BFF83F1C"/>
    <w:lvl w:ilvl="0" w:tplc="7DEC61D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1" w15:restartNumberingAfterBreak="0">
    <w:nsid w:val="1D976E87"/>
    <w:multiLevelType w:val="multilevel"/>
    <w:tmpl w:val="566CC32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 w15:restartNumberingAfterBreak="0">
    <w:nsid w:val="1E682186"/>
    <w:multiLevelType w:val="multilevel"/>
    <w:tmpl w:val="AF061E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E6B19CE"/>
    <w:multiLevelType w:val="hybridMultilevel"/>
    <w:tmpl w:val="D362E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F733C6E"/>
    <w:multiLevelType w:val="hybridMultilevel"/>
    <w:tmpl w:val="FCF6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2C81BCB"/>
    <w:multiLevelType w:val="hybridMultilevel"/>
    <w:tmpl w:val="5EB0DF62"/>
    <w:lvl w:ilvl="0" w:tplc="33BE8828">
      <w:start w:val="1"/>
      <w:numFmt w:val="low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23523905"/>
    <w:multiLevelType w:val="hybridMultilevel"/>
    <w:tmpl w:val="5B264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43E19A7"/>
    <w:multiLevelType w:val="hybridMultilevel"/>
    <w:tmpl w:val="7DB407A8"/>
    <w:lvl w:ilvl="0" w:tplc="70E0C858">
      <w:start w:val="1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4563834"/>
    <w:multiLevelType w:val="hybridMultilevel"/>
    <w:tmpl w:val="C1A2E7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4D370E9"/>
    <w:multiLevelType w:val="hybridMultilevel"/>
    <w:tmpl w:val="114029BA"/>
    <w:lvl w:ilvl="0" w:tplc="6ECE588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0" w15:restartNumberingAfterBreak="0">
    <w:nsid w:val="2588126B"/>
    <w:multiLevelType w:val="hybridMultilevel"/>
    <w:tmpl w:val="AFF60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6193B25"/>
    <w:multiLevelType w:val="multilevel"/>
    <w:tmpl w:val="949CA3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2" w15:restartNumberingAfterBreak="0">
    <w:nsid w:val="26BA5613"/>
    <w:multiLevelType w:val="hybridMultilevel"/>
    <w:tmpl w:val="CD28F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75E7D6C"/>
    <w:multiLevelType w:val="hybridMultilevel"/>
    <w:tmpl w:val="ECD8CD64"/>
    <w:lvl w:ilvl="0" w:tplc="04090001">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81612D3"/>
    <w:multiLevelType w:val="hybridMultilevel"/>
    <w:tmpl w:val="DA58D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2A177925"/>
    <w:multiLevelType w:val="hybridMultilevel"/>
    <w:tmpl w:val="A8A2B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B5A63F3"/>
    <w:multiLevelType w:val="hybridMultilevel"/>
    <w:tmpl w:val="80BAD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B7C5F78"/>
    <w:multiLevelType w:val="hybridMultilevel"/>
    <w:tmpl w:val="7E52B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BE94337"/>
    <w:multiLevelType w:val="multilevel"/>
    <w:tmpl w:val="8AD0F2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0" w15:restartNumberingAfterBreak="0">
    <w:nsid w:val="2CAA2EF4"/>
    <w:multiLevelType w:val="hybridMultilevel"/>
    <w:tmpl w:val="0D085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CAF6F42"/>
    <w:multiLevelType w:val="hybridMultilevel"/>
    <w:tmpl w:val="14266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D3E6723"/>
    <w:multiLevelType w:val="hybridMultilevel"/>
    <w:tmpl w:val="F012A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D3F0627"/>
    <w:multiLevelType w:val="multilevel"/>
    <w:tmpl w:val="324E2E9A"/>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Calibri" w:eastAsia="Times New Roman" w:hAnsi="Calibri"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DCC28AA"/>
    <w:multiLevelType w:val="hybridMultilevel"/>
    <w:tmpl w:val="99FE13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2DCD3F96"/>
    <w:multiLevelType w:val="multilevel"/>
    <w:tmpl w:val="38D49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EAA65B4"/>
    <w:multiLevelType w:val="multilevel"/>
    <w:tmpl w:val="085AC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EEF5351"/>
    <w:multiLevelType w:val="multilevel"/>
    <w:tmpl w:val="40B60C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8" w15:restartNumberingAfterBreak="0">
    <w:nsid w:val="2FBF5F93"/>
    <w:multiLevelType w:val="hybridMultilevel"/>
    <w:tmpl w:val="8D046B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2FD65093"/>
    <w:multiLevelType w:val="hybridMultilevel"/>
    <w:tmpl w:val="A89E4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05B49B4"/>
    <w:multiLevelType w:val="multilevel"/>
    <w:tmpl w:val="66089F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1" w15:restartNumberingAfterBreak="0">
    <w:nsid w:val="3069578F"/>
    <w:multiLevelType w:val="hybridMultilevel"/>
    <w:tmpl w:val="947A8B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183291C"/>
    <w:multiLevelType w:val="hybridMultilevel"/>
    <w:tmpl w:val="8558F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31CA43D9"/>
    <w:multiLevelType w:val="hybridMultilevel"/>
    <w:tmpl w:val="CB76F2C8"/>
    <w:lvl w:ilvl="0" w:tplc="8AAC848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4" w15:restartNumberingAfterBreak="0">
    <w:nsid w:val="32BA350F"/>
    <w:multiLevelType w:val="hybridMultilevel"/>
    <w:tmpl w:val="8A9CFB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333A74CB"/>
    <w:multiLevelType w:val="hybridMultilevel"/>
    <w:tmpl w:val="CC044850"/>
    <w:lvl w:ilvl="0" w:tplc="AECA041E">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33690049"/>
    <w:multiLevelType w:val="hybridMultilevel"/>
    <w:tmpl w:val="2E862CD4"/>
    <w:lvl w:ilvl="0" w:tplc="274E2D9C">
      <w:start w:val="1"/>
      <w:numFmt w:val="decimal"/>
      <w:lvlText w:val="%1."/>
      <w:lvlJc w:val="left"/>
      <w:pPr>
        <w:ind w:left="720" w:hanging="360"/>
      </w:pPr>
      <w:rPr>
        <w:rFonts w:ascii="Calibri" w:hAnsi="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50664C3"/>
    <w:multiLevelType w:val="hybridMultilevel"/>
    <w:tmpl w:val="BAE2FECC"/>
    <w:lvl w:ilvl="0" w:tplc="82E04C20">
      <w:start w:val="1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52C07B5"/>
    <w:multiLevelType w:val="hybridMultilevel"/>
    <w:tmpl w:val="B080D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57B6BA8"/>
    <w:multiLevelType w:val="multilevel"/>
    <w:tmpl w:val="93A255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0" w15:restartNumberingAfterBreak="0">
    <w:nsid w:val="37296400"/>
    <w:multiLevelType w:val="hybridMultilevel"/>
    <w:tmpl w:val="62FA669A"/>
    <w:lvl w:ilvl="0" w:tplc="270C43C4">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38042715"/>
    <w:multiLevelType w:val="hybridMultilevel"/>
    <w:tmpl w:val="F4D43116"/>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92" w15:restartNumberingAfterBreak="0">
    <w:nsid w:val="38636AF7"/>
    <w:multiLevelType w:val="hybridMultilevel"/>
    <w:tmpl w:val="81F06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869427A"/>
    <w:multiLevelType w:val="hybridMultilevel"/>
    <w:tmpl w:val="C358A6C0"/>
    <w:lvl w:ilvl="0" w:tplc="B314B410">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88036F7"/>
    <w:multiLevelType w:val="hybridMultilevel"/>
    <w:tmpl w:val="B3C64A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9082FA4"/>
    <w:multiLevelType w:val="hybridMultilevel"/>
    <w:tmpl w:val="AF26E2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3B961B4B"/>
    <w:multiLevelType w:val="multilevel"/>
    <w:tmpl w:val="8BC45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BCE00D1"/>
    <w:multiLevelType w:val="hybridMultilevel"/>
    <w:tmpl w:val="DBB89B20"/>
    <w:lvl w:ilvl="0" w:tplc="72C4359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C4A1ABF"/>
    <w:multiLevelType w:val="singleLevel"/>
    <w:tmpl w:val="A914FD20"/>
    <w:lvl w:ilvl="0">
      <w:start w:val="1"/>
      <w:numFmt w:val="decimal"/>
      <w:lvlText w:val="%1."/>
      <w:legacy w:legacy="1" w:legacySpace="120" w:legacyIndent="360"/>
      <w:lvlJc w:val="left"/>
      <w:pPr>
        <w:ind w:left="2700" w:hanging="360"/>
      </w:pPr>
    </w:lvl>
  </w:abstractNum>
  <w:abstractNum w:abstractNumId="99" w15:restartNumberingAfterBreak="0">
    <w:nsid w:val="3D50733D"/>
    <w:multiLevelType w:val="hybridMultilevel"/>
    <w:tmpl w:val="63E26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E626C72"/>
    <w:multiLevelType w:val="hybridMultilevel"/>
    <w:tmpl w:val="BF7A2228"/>
    <w:lvl w:ilvl="0" w:tplc="9FB2FC96">
      <w:start w:val="1"/>
      <w:numFmt w:val="decimal"/>
      <w:lvlText w:val="%1."/>
      <w:lvlJc w:val="left"/>
      <w:pPr>
        <w:ind w:left="720" w:hanging="360"/>
      </w:pPr>
      <w:rPr>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F1837A9"/>
    <w:multiLevelType w:val="hybridMultilevel"/>
    <w:tmpl w:val="3A681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3FD81573"/>
    <w:multiLevelType w:val="hybridMultilevel"/>
    <w:tmpl w:val="3C8C3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01D4B95"/>
    <w:multiLevelType w:val="hybridMultilevel"/>
    <w:tmpl w:val="A8B25C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419824AA"/>
    <w:multiLevelType w:val="hybridMultilevel"/>
    <w:tmpl w:val="6F9E8AB8"/>
    <w:lvl w:ilvl="0" w:tplc="6002892E">
      <w:start w:val="1"/>
      <w:numFmt w:val="decimal"/>
      <w:lvlText w:val="%1."/>
      <w:lvlJc w:val="left"/>
      <w:pPr>
        <w:ind w:left="720" w:hanging="360"/>
      </w:pPr>
      <w:rPr>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5A91E45"/>
    <w:multiLevelType w:val="hybridMultilevel"/>
    <w:tmpl w:val="E59C4138"/>
    <w:lvl w:ilvl="0" w:tplc="B134A4FA">
      <w:start w:val="1"/>
      <w:numFmt w:val="decimal"/>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60853EF"/>
    <w:multiLevelType w:val="multilevel"/>
    <w:tmpl w:val="A24832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7" w15:restartNumberingAfterBreak="0">
    <w:nsid w:val="462419ED"/>
    <w:multiLevelType w:val="hybridMultilevel"/>
    <w:tmpl w:val="E9E80D8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6877B27"/>
    <w:multiLevelType w:val="hybridMultilevel"/>
    <w:tmpl w:val="F0EAEE16"/>
    <w:lvl w:ilvl="0" w:tplc="891C9A12">
      <w:start w:val="1"/>
      <w:numFmt w:val="decimal"/>
      <w:pStyle w:val="NumberedParas"/>
      <w:lvlText w:val="%1."/>
      <w:lvlJc w:val="left"/>
      <w:pPr>
        <w:ind w:left="450" w:hanging="360"/>
      </w:pPr>
      <w:rPr>
        <w:rFonts w:ascii="Times New Roman" w:hAnsi="Times New Roman" w:cs="Times New Roman" w:hint="default"/>
        <w:b w:val="0"/>
        <w:i w:val="0"/>
        <w:caps w:val="0"/>
        <w:strike w:val="0"/>
        <w:dstrike w:val="0"/>
        <w:vanish w:val="0"/>
        <w:webHidden w:val="0"/>
        <w:color w:val="000000"/>
        <w:sz w:val="24"/>
        <w:u w:val="none"/>
        <w:effect w:val="none"/>
        <w:vertAlign w:val="baseline"/>
        <w:specVanish w:val="0"/>
      </w:rPr>
    </w:lvl>
    <w:lvl w:ilvl="1" w:tplc="08090019">
      <w:start w:val="1"/>
      <w:numFmt w:val="lowerLetter"/>
      <w:lvlText w:val="%2."/>
      <w:lvlJc w:val="left"/>
      <w:pPr>
        <w:ind w:left="1980" w:hanging="360"/>
      </w:pPr>
    </w:lvl>
    <w:lvl w:ilvl="2" w:tplc="0809001B">
      <w:start w:val="1"/>
      <w:numFmt w:val="lowerRoman"/>
      <w:lvlText w:val="%3."/>
      <w:lvlJc w:val="right"/>
      <w:pPr>
        <w:ind w:left="2700" w:hanging="180"/>
      </w:pPr>
    </w:lvl>
    <w:lvl w:ilvl="3" w:tplc="0809000F">
      <w:start w:val="1"/>
      <w:numFmt w:val="decimal"/>
      <w:lvlText w:val="%4."/>
      <w:lvlJc w:val="left"/>
      <w:pPr>
        <w:ind w:left="3420" w:hanging="360"/>
      </w:pPr>
    </w:lvl>
    <w:lvl w:ilvl="4" w:tplc="08090019">
      <w:start w:val="1"/>
      <w:numFmt w:val="lowerLetter"/>
      <w:lvlText w:val="%5."/>
      <w:lvlJc w:val="left"/>
      <w:pPr>
        <w:ind w:left="4140" w:hanging="360"/>
      </w:pPr>
    </w:lvl>
    <w:lvl w:ilvl="5" w:tplc="0809001B">
      <w:start w:val="1"/>
      <w:numFmt w:val="lowerRoman"/>
      <w:lvlText w:val="%6."/>
      <w:lvlJc w:val="right"/>
      <w:pPr>
        <w:ind w:left="4860" w:hanging="180"/>
      </w:pPr>
    </w:lvl>
    <w:lvl w:ilvl="6" w:tplc="0809000F">
      <w:start w:val="1"/>
      <w:numFmt w:val="decimal"/>
      <w:lvlText w:val="%7."/>
      <w:lvlJc w:val="left"/>
      <w:pPr>
        <w:ind w:left="5580" w:hanging="360"/>
      </w:pPr>
    </w:lvl>
    <w:lvl w:ilvl="7" w:tplc="08090019">
      <w:start w:val="1"/>
      <w:numFmt w:val="lowerLetter"/>
      <w:lvlText w:val="%8."/>
      <w:lvlJc w:val="left"/>
      <w:pPr>
        <w:ind w:left="6300" w:hanging="360"/>
      </w:pPr>
    </w:lvl>
    <w:lvl w:ilvl="8" w:tplc="0809001B">
      <w:start w:val="1"/>
      <w:numFmt w:val="lowerRoman"/>
      <w:lvlText w:val="%9."/>
      <w:lvlJc w:val="right"/>
      <w:pPr>
        <w:ind w:left="7020" w:hanging="180"/>
      </w:pPr>
    </w:lvl>
  </w:abstractNum>
  <w:abstractNum w:abstractNumId="109" w15:restartNumberingAfterBreak="0">
    <w:nsid w:val="48076F6B"/>
    <w:multiLevelType w:val="hybridMultilevel"/>
    <w:tmpl w:val="53900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8232B6E"/>
    <w:multiLevelType w:val="multilevel"/>
    <w:tmpl w:val="98BCF1E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1" w15:restartNumberingAfterBreak="0">
    <w:nsid w:val="486761CE"/>
    <w:multiLevelType w:val="multilevel"/>
    <w:tmpl w:val="F21824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2" w15:restartNumberingAfterBreak="0">
    <w:nsid w:val="489D616E"/>
    <w:multiLevelType w:val="hybridMultilevel"/>
    <w:tmpl w:val="0A469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8A46EAC"/>
    <w:multiLevelType w:val="hybridMultilevel"/>
    <w:tmpl w:val="0A469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8C3198E"/>
    <w:multiLevelType w:val="hybridMultilevel"/>
    <w:tmpl w:val="0F7C7B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93074EA"/>
    <w:multiLevelType w:val="hybridMultilevel"/>
    <w:tmpl w:val="0338D47E"/>
    <w:lvl w:ilvl="0" w:tplc="B134A4FA">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17" w15:restartNumberingAfterBreak="0">
    <w:nsid w:val="498C4434"/>
    <w:multiLevelType w:val="hybridMultilevel"/>
    <w:tmpl w:val="86AE6116"/>
    <w:lvl w:ilvl="0" w:tplc="EAC891DE">
      <w:start w:val="4"/>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A613E34"/>
    <w:multiLevelType w:val="hybridMultilevel"/>
    <w:tmpl w:val="FF1C6E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4B9A0F22"/>
    <w:multiLevelType w:val="hybridMultilevel"/>
    <w:tmpl w:val="6C962698"/>
    <w:lvl w:ilvl="0" w:tplc="9438B6F6">
      <w:start w:val="1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BD321F9"/>
    <w:multiLevelType w:val="hybridMultilevel"/>
    <w:tmpl w:val="30A21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C6B5FF3"/>
    <w:multiLevelType w:val="hybridMultilevel"/>
    <w:tmpl w:val="92D2F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E6A7ADB"/>
    <w:multiLevelType w:val="hybridMultilevel"/>
    <w:tmpl w:val="E15E8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EB538A8"/>
    <w:multiLevelType w:val="hybridMultilevel"/>
    <w:tmpl w:val="84F0854E"/>
    <w:lvl w:ilvl="0" w:tplc="1604007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4" w15:restartNumberingAfterBreak="0">
    <w:nsid w:val="4FF06336"/>
    <w:multiLevelType w:val="hybridMultilevel"/>
    <w:tmpl w:val="A49A4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006453D"/>
    <w:multiLevelType w:val="hybridMultilevel"/>
    <w:tmpl w:val="15860E74"/>
    <w:lvl w:ilvl="0" w:tplc="0410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6" w15:restartNumberingAfterBreak="0">
    <w:nsid w:val="5156072D"/>
    <w:multiLevelType w:val="multilevel"/>
    <w:tmpl w:val="FF40F5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7" w15:restartNumberingAfterBreak="0">
    <w:nsid w:val="517D5C24"/>
    <w:multiLevelType w:val="hybridMultilevel"/>
    <w:tmpl w:val="EA7E70FC"/>
    <w:lvl w:ilvl="0" w:tplc="45A2D33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8" w15:restartNumberingAfterBreak="0">
    <w:nsid w:val="522B0880"/>
    <w:multiLevelType w:val="hybridMultilevel"/>
    <w:tmpl w:val="97E232A6"/>
    <w:lvl w:ilvl="0" w:tplc="8500BA04">
      <w:start w:val="5"/>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23220EF"/>
    <w:multiLevelType w:val="hybridMultilevel"/>
    <w:tmpl w:val="6D26D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263651D"/>
    <w:multiLevelType w:val="hybridMultilevel"/>
    <w:tmpl w:val="778A61A2"/>
    <w:lvl w:ilvl="0" w:tplc="70807EF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1" w15:restartNumberingAfterBreak="0">
    <w:nsid w:val="52886B54"/>
    <w:multiLevelType w:val="hybridMultilevel"/>
    <w:tmpl w:val="80582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2AF55E7"/>
    <w:multiLevelType w:val="multilevel"/>
    <w:tmpl w:val="739464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3" w15:restartNumberingAfterBreak="0">
    <w:nsid w:val="535D609D"/>
    <w:multiLevelType w:val="hybridMultilevel"/>
    <w:tmpl w:val="4A24A2E2"/>
    <w:lvl w:ilvl="0" w:tplc="2A7A018A">
      <w:start w:val="5"/>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53663B8A"/>
    <w:multiLevelType w:val="hybridMultilevel"/>
    <w:tmpl w:val="C2BC3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37627E7"/>
    <w:multiLevelType w:val="multilevel"/>
    <w:tmpl w:val="056C7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3B92288"/>
    <w:multiLevelType w:val="hybridMultilevel"/>
    <w:tmpl w:val="5E8A5498"/>
    <w:lvl w:ilvl="0" w:tplc="E14E318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7" w15:restartNumberingAfterBreak="0">
    <w:nsid w:val="54C007DB"/>
    <w:multiLevelType w:val="hybridMultilevel"/>
    <w:tmpl w:val="01E65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4E76BC4"/>
    <w:multiLevelType w:val="hybridMultilevel"/>
    <w:tmpl w:val="2A58E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52E7B64"/>
    <w:multiLevelType w:val="hybridMultilevel"/>
    <w:tmpl w:val="08EA6FC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40" w15:restartNumberingAfterBreak="0">
    <w:nsid w:val="552F24D4"/>
    <w:multiLevelType w:val="hybridMultilevel"/>
    <w:tmpl w:val="FA1E0486"/>
    <w:lvl w:ilvl="0" w:tplc="4DBCA2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15:restartNumberingAfterBreak="0">
    <w:nsid w:val="55684761"/>
    <w:multiLevelType w:val="multilevel"/>
    <w:tmpl w:val="2AB839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59219F9"/>
    <w:multiLevelType w:val="hybridMultilevel"/>
    <w:tmpl w:val="E1CE39B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5E50529"/>
    <w:multiLevelType w:val="multilevel"/>
    <w:tmpl w:val="411E7B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4" w15:restartNumberingAfterBreak="0">
    <w:nsid w:val="55EE5AFE"/>
    <w:multiLevelType w:val="hybridMultilevel"/>
    <w:tmpl w:val="17AEF2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5FB499A"/>
    <w:multiLevelType w:val="hybridMultilevel"/>
    <w:tmpl w:val="DF5EB152"/>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46" w15:restartNumberingAfterBreak="0">
    <w:nsid w:val="569E272C"/>
    <w:multiLevelType w:val="hybridMultilevel"/>
    <w:tmpl w:val="00367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7FD5E1D"/>
    <w:multiLevelType w:val="hybridMultilevel"/>
    <w:tmpl w:val="B79A26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7FF0F66"/>
    <w:multiLevelType w:val="hybridMultilevel"/>
    <w:tmpl w:val="01FED5E8"/>
    <w:lvl w:ilvl="0" w:tplc="BCBE3EFC">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59881100"/>
    <w:multiLevelType w:val="hybridMultilevel"/>
    <w:tmpl w:val="A4C6B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9A43884"/>
    <w:multiLevelType w:val="hybridMultilevel"/>
    <w:tmpl w:val="A00EA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A4D00EA"/>
    <w:multiLevelType w:val="hybridMultilevel"/>
    <w:tmpl w:val="82DC9DEA"/>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52" w15:restartNumberingAfterBreak="0">
    <w:nsid w:val="5A703E59"/>
    <w:multiLevelType w:val="hybridMultilevel"/>
    <w:tmpl w:val="932C7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B175BC5"/>
    <w:multiLevelType w:val="hybridMultilevel"/>
    <w:tmpl w:val="A9023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C031D00"/>
    <w:multiLevelType w:val="hybridMultilevel"/>
    <w:tmpl w:val="9CFCF5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5" w15:restartNumberingAfterBreak="0">
    <w:nsid w:val="5C975020"/>
    <w:multiLevelType w:val="hybridMultilevel"/>
    <w:tmpl w:val="57B08E14"/>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56" w15:restartNumberingAfterBreak="0">
    <w:nsid w:val="5CB97498"/>
    <w:multiLevelType w:val="multilevel"/>
    <w:tmpl w:val="5EC07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D2D5C4B"/>
    <w:multiLevelType w:val="hybridMultilevel"/>
    <w:tmpl w:val="E71A7A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5DED278F"/>
    <w:multiLevelType w:val="hybridMultilevel"/>
    <w:tmpl w:val="661E0F58"/>
    <w:lvl w:ilvl="0" w:tplc="9E98A9D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9" w15:restartNumberingAfterBreak="0">
    <w:nsid w:val="5EE41714"/>
    <w:multiLevelType w:val="multilevel"/>
    <w:tmpl w:val="566CC32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0" w15:restartNumberingAfterBreak="0">
    <w:nsid w:val="5EFA6048"/>
    <w:multiLevelType w:val="hybridMultilevel"/>
    <w:tmpl w:val="B1F0C48C"/>
    <w:lvl w:ilvl="0" w:tplc="9C90C89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1" w15:restartNumberingAfterBreak="0">
    <w:nsid w:val="5F616906"/>
    <w:multiLevelType w:val="hybridMultilevel"/>
    <w:tmpl w:val="A7E6A5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5F7557B0"/>
    <w:multiLevelType w:val="hybridMultilevel"/>
    <w:tmpl w:val="AA808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FB14F05"/>
    <w:multiLevelType w:val="hybridMultilevel"/>
    <w:tmpl w:val="7CFE828E"/>
    <w:lvl w:ilvl="0" w:tplc="5E0EC3FA">
      <w:start w:val="3"/>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604328E4"/>
    <w:multiLevelType w:val="hybridMultilevel"/>
    <w:tmpl w:val="B518F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0A204AF"/>
    <w:multiLevelType w:val="hybridMultilevel"/>
    <w:tmpl w:val="D6DC5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0D80EEF"/>
    <w:multiLevelType w:val="hybridMultilevel"/>
    <w:tmpl w:val="4EC8D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12E75C3"/>
    <w:multiLevelType w:val="multilevel"/>
    <w:tmpl w:val="07D6F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3002FDC"/>
    <w:multiLevelType w:val="hybridMultilevel"/>
    <w:tmpl w:val="F558C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9" w15:restartNumberingAfterBreak="0">
    <w:nsid w:val="658C6BC2"/>
    <w:multiLevelType w:val="hybridMultilevel"/>
    <w:tmpl w:val="84A09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65F64BDA"/>
    <w:multiLevelType w:val="hybridMultilevel"/>
    <w:tmpl w:val="388A5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70E4F58"/>
    <w:multiLevelType w:val="hybridMultilevel"/>
    <w:tmpl w:val="5F829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8205DD1"/>
    <w:multiLevelType w:val="multilevel"/>
    <w:tmpl w:val="BDDC33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4" w15:restartNumberingAfterBreak="0">
    <w:nsid w:val="68E262D2"/>
    <w:multiLevelType w:val="multilevel"/>
    <w:tmpl w:val="CB7AA4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5" w15:restartNumberingAfterBreak="0">
    <w:nsid w:val="68E72352"/>
    <w:multiLevelType w:val="hybridMultilevel"/>
    <w:tmpl w:val="6D2C9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9842C95"/>
    <w:multiLevelType w:val="hybridMultilevel"/>
    <w:tmpl w:val="13AAB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A5217F7"/>
    <w:multiLevelType w:val="hybridMultilevel"/>
    <w:tmpl w:val="3D52E90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AF177BA"/>
    <w:multiLevelType w:val="multilevel"/>
    <w:tmpl w:val="BAE691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9" w15:restartNumberingAfterBreak="0">
    <w:nsid w:val="6B8D3D6A"/>
    <w:multiLevelType w:val="hybridMultilevel"/>
    <w:tmpl w:val="A6745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F64231F"/>
    <w:multiLevelType w:val="hybridMultilevel"/>
    <w:tmpl w:val="0742C1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15:restartNumberingAfterBreak="0">
    <w:nsid w:val="705E104D"/>
    <w:multiLevelType w:val="hybridMultilevel"/>
    <w:tmpl w:val="065C57D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2" w15:restartNumberingAfterBreak="0">
    <w:nsid w:val="71E47B55"/>
    <w:multiLevelType w:val="multilevel"/>
    <w:tmpl w:val="A0C663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3" w15:restartNumberingAfterBreak="0">
    <w:nsid w:val="722969B9"/>
    <w:multiLevelType w:val="hybridMultilevel"/>
    <w:tmpl w:val="4C04C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724C2CC1"/>
    <w:multiLevelType w:val="hybridMultilevel"/>
    <w:tmpl w:val="615A1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2532C8D"/>
    <w:multiLevelType w:val="hybridMultilevel"/>
    <w:tmpl w:val="BF526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3734866"/>
    <w:multiLevelType w:val="hybridMultilevel"/>
    <w:tmpl w:val="47529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3AA1708"/>
    <w:multiLevelType w:val="hybridMultilevel"/>
    <w:tmpl w:val="8258D66E"/>
    <w:lvl w:ilvl="0" w:tplc="B134A4FA">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88" w15:restartNumberingAfterBreak="0">
    <w:nsid w:val="73C04C8B"/>
    <w:multiLevelType w:val="hybridMultilevel"/>
    <w:tmpl w:val="77A0A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51B5854"/>
    <w:multiLevelType w:val="multilevel"/>
    <w:tmpl w:val="9AE28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5336CDE"/>
    <w:multiLevelType w:val="hybridMultilevel"/>
    <w:tmpl w:val="ACFE3608"/>
    <w:lvl w:ilvl="0" w:tplc="9AC88AB0">
      <w:start w:val="1"/>
      <w:numFmt w:val="bullet"/>
      <w:lvlText w:val=""/>
      <w:lvlJc w:val="left"/>
      <w:pPr>
        <w:ind w:left="720" w:hanging="360"/>
      </w:pPr>
      <w:rPr>
        <w:rFonts w:ascii="Symbol" w:hAnsi="Symbol" w:hint="default"/>
      </w:rPr>
    </w:lvl>
    <w:lvl w:ilvl="1" w:tplc="252A2CDA" w:tentative="1">
      <w:start w:val="1"/>
      <w:numFmt w:val="bullet"/>
      <w:lvlText w:val="o"/>
      <w:lvlJc w:val="left"/>
      <w:pPr>
        <w:ind w:left="1440" w:hanging="360"/>
      </w:pPr>
      <w:rPr>
        <w:rFonts w:ascii="Courier New" w:hAnsi="Courier New" w:cs="Courier New" w:hint="default"/>
      </w:rPr>
    </w:lvl>
    <w:lvl w:ilvl="2" w:tplc="3142FFCA" w:tentative="1">
      <w:start w:val="1"/>
      <w:numFmt w:val="bullet"/>
      <w:lvlText w:val=""/>
      <w:lvlJc w:val="left"/>
      <w:pPr>
        <w:ind w:left="2160" w:hanging="360"/>
      </w:pPr>
      <w:rPr>
        <w:rFonts w:ascii="Wingdings" w:hAnsi="Wingdings" w:hint="default"/>
      </w:rPr>
    </w:lvl>
    <w:lvl w:ilvl="3" w:tplc="6DE6B060" w:tentative="1">
      <w:start w:val="1"/>
      <w:numFmt w:val="bullet"/>
      <w:lvlText w:val=""/>
      <w:lvlJc w:val="left"/>
      <w:pPr>
        <w:ind w:left="2880" w:hanging="360"/>
      </w:pPr>
      <w:rPr>
        <w:rFonts w:ascii="Symbol" w:hAnsi="Symbol" w:hint="default"/>
      </w:rPr>
    </w:lvl>
    <w:lvl w:ilvl="4" w:tplc="FB78C9B0" w:tentative="1">
      <w:start w:val="1"/>
      <w:numFmt w:val="bullet"/>
      <w:lvlText w:val="o"/>
      <w:lvlJc w:val="left"/>
      <w:pPr>
        <w:ind w:left="3600" w:hanging="360"/>
      </w:pPr>
      <w:rPr>
        <w:rFonts w:ascii="Courier New" w:hAnsi="Courier New" w:cs="Courier New" w:hint="default"/>
      </w:rPr>
    </w:lvl>
    <w:lvl w:ilvl="5" w:tplc="E132EE9A" w:tentative="1">
      <w:start w:val="1"/>
      <w:numFmt w:val="bullet"/>
      <w:lvlText w:val=""/>
      <w:lvlJc w:val="left"/>
      <w:pPr>
        <w:ind w:left="4320" w:hanging="360"/>
      </w:pPr>
      <w:rPr>
        <w:rFonts w:ascii="Wingdings" w:hAnsi="Wingdings" w:hint="default"/>
      </w:rPr>
    </w:lvl>
    <w:lvl w:ilvl="6" w:tplc="14D8207C" w:tentative="1">
      <w:start w:val="1"/>
      <w:numFmt w:val="bullet"/>
      <w:lvlText w:val=""/>
      <w:lvlJc w:val="left"/>
      <w:pPr>
        <w:ind w:left="5040" w:hanging="360"/>
      </w:pPr>
      <w:rPr>
        <w:rFonts w:ascii="Symbol" w:hAnsi="Symbol" w:hint="default"/>
      </w:rPr>
    </w:lvl>
    <w:lvl w:ilvl="7" w:tplc="94BEB76A" w:tentative="1">
      <w:start w:val="1"/>
      <w:numFmt w:val="bullet"/>
      <w:lvlText w:val="o"/>
      <w:lvlJc w:val="left"/>
      <w:pPr>
        <w:ind w:left="5760" w:hanging="360"/>
      </w:pPr>
      <w:rPr>
        <w:rFonts w:ascii="Courier New" w:hAnsi="Courier New" w:cs="Courier New" w:hint="default"/>
      </w:rPr>
    </w:lvl>
    <w:lvl w:ilvl="8" w:tplc="06E03648" w:tentative="1">
      <w:start w:val="1"/>
      <w:numFmt w:val="bullet"/>
      <w:lvlText w:val=""/>
      <w:lvlJc w:val="left"/>
      <w:pPr>
        <w:ind w:left="6480" w:hanging="360"/>
      </w:pPr>
      <w:rPr>
        <w:rFonts w:ascii="Wingdings" w:hAnsi="Wingdings" w:hint="default"/>
      </w:rPr>
    </w:lvl>
  </w:abstractNum>
  <w:abstractNum w:abstractNumId="191" w15:restartNumberingAfterBreak="0">
    <w:nsid w:val="75841AFE"/>
    <w:multiLevelType w:val="hybridMultilevel"/>
    <w:tmpl w:val="39F86794"/>
    <w:lvl w:ilvl="0" w:tplc="04090001">
      <w:start w:val="1"/>
      <w:numFmt w:val="bullet"/>
      <w:lvlText w:val=""/>
      <w:lvlJc w:val="left"/>
      <w:pPr>
        <w:ind w:left="720" w:hanging="360"/>
      </w:pPr>
      <w:rPr>
        <w:rFonts w:ascii="Symbol" w:hAnsi="Symbol" w:hint="default"/>
        <w:b/>
      </w:rPr>
    </w:lvl>
    <w:lvl w:ilvl="1" w:tplc="2D62778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75B02F0B"/>
    <w:multiLevelType w:val="hybridMultilevel"/>
    <w:tmpl w:val="D4AEAC7E"/>
    <w:lvl w:ilvl="0" w:tplc="D8C45164">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3" w15:restartNumberingAfterBreak="0">
    <w:nsid w:val="75C139AB"/>
    <w:multiLevelType w:val="hybridMultilevel"/>
    <w:tmpl w:val="44421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5C30342"/>
    <w:multiLevelType w:val="multilevel"/>
    <w:tmpl w:val="45A40896"/>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5" w15:restartNumberingAfterBreak="0">
    <w:nsid w:val="760F00E2"/>
    <w:multiLevelType w:val="hybridMultilevel"/>
    <w:tmpl w:val="1026FA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6" w15:restartNumberingAfterBreak="0">
    <w:nsid w:val="76FA3199"/>
    <w:multiLevelType w:val="hybridMultilevel"/>
    <w:tmpl w:val="13261FBE"/>
    <w:lvl w:ilvl="0" w:tplc="F7BC89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77CC172B"/>
    <w:multiLevelType w:val="hybridMultilevel"/>
    <w:tmpl w:val="0952E43E"/>
    <w:lvl w:ilvl="0" w:tplc="F8D6BBDA">
      <w:start w:val="2"/>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7E25E89"/>
    <w:multiLevelType w:val="hybridMultilevel"/>
    <w:tmpl w:val="DA08EC6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78703680"/>
    <w:multiLevelType w:val="hybridMultilevel"/>
    <w:tmpl w:val="C28CF634"/>
    <w:lvl w:ilvl="0" w:tplc="0409000F">
      <w:start w:val="1"/>
      <w:numFmt w:val="decimal"/>
      <w:lvlText w:val="%1."/>
      <w:lvlJc w:val="left"/>
      <w:pPr>
        <w:ind w:left="720" w:hanging="360"/>
      </w:pPr>
      <w:rPr>
        <w:rFonts w:hint="default"/>
      </w:rPr>
    </w:lvl>
    <w:lvl w:ilvl="1" w:tplc="AEE6571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8CF7F55"/>
    <w:multiLevelType w:val="hybridMultilevel"/>
    <w:tmpl w:val="43E03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9A91680"/>
    <w:multiLevelType w:val="hybridMultilevel"/>
    <w:tmpl w:val="E8A81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A35194B"/>
    <w:multiLevelType w:val="multilevel"/>
    <w:tmpl w:val="2E6421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3" w15:restartNumberingAfterBreak="0">
    <w:nsid w:val="7A525E8B"/>
    <w:multiLevelType w:val="hybridMultilevel"/>
    <w:tmpl w:val="075A6CD0"/>
    <w:lvl w:ilvl="0" w:tplc="D7F2F61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4" w15:restartNumberingAfterBreak="0">
    <w:nsid w:val="7B595A88"/>
    <w:multiLevelType w:val="hybridMultilevel"/>
    <w:tmpl w:val="A942CA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C853F1A"/>
    <w:multiLevelType w:val="hybridMultilevel"/>
    <w:tmpl w:val="12A24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D877B53"/>
    <w:multiLevelType w:val="multilevel"/>
    <w:tmpl w:val="03680B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7" w15:restartNumberingAfterBreak="0">
    <w:nsid w:val="7F9559D2"/>
    <w:multiLevelType w:val="hybridMultilevel"/>
    <w:tmpl w:val="69428A8A"/>
    <w:lvl w:ilvl="0" w:tplc="376EE602">
      <w:numFmt w:val="bullet"/>
      <w:pStyle w:val="Tabletext"/>
      <w:lvlText w:val="-"/>
      <w:lvlJc w:val="left"/>
      <w:pPr>
        <w:ind w:left="21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7"/>
  </w:num>
  <w:num w:numId="3">
    <w:abstractNumId w:val="170"/>
  </w:num>
  <w:num w:numId="4">
    <w:abstractNumId w:val="65"/>
  </w:num>
  <w:num w:numId="5">
    <w:abstractNumId w:val="30"/>
  </w:num>
  <w:num w:numId="6">
    <w:abstractNumId w:val="46"/>
  </w:num>
  <w:num w:numId="7">
    <w:abstractNumId w:val="93"/>
  </w:num>
  <w:num w:numId="8">
    <w:abstractNumId w:val="55"/>
  </w:num>
  <w:num w:numId="9">
    <w:abstractNumId w:val="197"/>
  </w:num>
  <w:num w:numId="10">
    <w:abstractNumId w:val="133"/>
  </w:num>
  <w:num w:numId="11">
    <w:abstractNumId w:val="117"/>
  </w:num>
  <w:num w:numId="12">
    <w:abstractNumId w:val="163"/>
  </w:num>
  <w:num w:numId="13">
    <w:abstractNumId w:val="128"/>
  </w:num>
  <w:num w:numId="14">
    <w:abstractNumId w:val="176"/>
  </w:num>
  <w:num w:numId="1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9"/>
  </w:num>
  <w:num w:numId="17">
    <w:abstractNumId w:val="0"/>
  </w:num>
  <w:num w:numId="18">
    <w:abstractNumId w:val="207"/>
  </w:num>
  <w:num w:numId="19">
    <w:abstractNumId w:val="25"/>
  </w:num>
  <w:num w:numId="20">
    <w:abstractNumId w:val="125"/>
  </w:num>
  <w:num w:numId="21">
    <w:abstractNumId w:val="79"/>
  </w:num>
  <w:num w:numId="22">
    <w:abstractNumId w:val="6"/>
  </w:num>
  <w:num w:numId="23">
    <w:abstractNumId w:val="63"/>
  </w:num>
  <w:num w:numId="24">
    <w:abstractNumId w:val="5"/>
  </w:num>
  <w:num w:numId="25">
    <w:abstractNumId w:val="177"/>
  </w:num>
  <w:num w:numId="26">
    <w:abstractNumId w:val="153"/>
  </w:num>
  <w:num w:numId="27">
    <w:abstractNumId w:val="138"/>
  </w:num>
  <w:num w:numId="28">
    <w:abstractNumId w:val="166"/>
  </w:num>
  <w:num w:numId="29">
    <w:abstractNumId w:val="137"/>
  </w:num>
  <w:num w:numId="30">
    <w:abstractNumId w:val="124"/>
  </w:num>
  <w:num w:numId="31">
    <w:abstractNumId w:val="12"/>
  </w:num>
  <w:num w:numId="32">
    <w:abstractNumId w:val="56"/>
  </w:num>
  <w:num w:numId="33">
    <w:abstractNumId w:val="71"/>
  </w:num>
  <w:num w:numId="34">
    <w:abstractNumId w:val="2"/>
  </w:num>
  <w:num w:numId="35">
    <w:abstractNumId w:val="54"/>
  </w:num>
  <w:num w:numId="36">
    <w:abstractNumId w:val="120"/>
  </w:num>
  <w:num w:numId="37">
    <w:abstractNumId w:val="107"/>
  </w:num>
  <w:num w:numId="38">
    <w:abstractNumId w:val="87"/>
  </w:num>
  <w:num w:numId="39">
    <w:abstractNumId w:val="152"/>
  </w:num>
  <w:num w:numId="40">
    <w:abstractNumId w:val="204"/>
  </w:num>
  <w:num w:numId="41">
    <w:abstractNumId w:val="115"/>
  </w:num>
  <w:num w:numId="42">
    <w:abstractNumId w:val="165"/>
  </w:num>
  <w:num w:numId="43">
    <w:abstractNumId w:val="109"/>
  </w:num>
  <w:num w:numId="44">
    <w:abstractNumId w:val="185"/>
  </w:num>
  <w:num w:numId="45">
    <w:abstractNumId w:val="147"/>
  </w:num>
  <w:num w:numId="46">
    <w:abstractNumId w:val="24"/>
  </w:num>
  <w:num w:numId="47">
    <w:abstractNumId w:val="200"/>
  </w:num>
  <w:num w:numId="48">
    <w:abstractNumId w:val="53"/>
  </w:num>
  <w:num w:numId="49">
    <w:abstractNumId w:val="27"/>
  </w:num>
  <w:num w:numId="50">
    <w:abstractNumId w:val="91"/>
  </w:num>
  <w:num w:numId="51">
    <w:abstractNumId w:val="145"/>
  </w:num>
  <w:num w:numId="52">
    <w:abstractNumId w:val="10"/>
  </w:num>
  <w:num w:numId="53">
    <w:abstractNumId w:val="155"/>
  </w:num>
  <w:num w:numId="54">
    <w:abstractNumId w:val="64"/>
  </w:num>
  <w:num w:numId="55">
    <w:abstractNumId w:val="21"/>
  </w:num>
  <w:num w:numId="56">
    <w:abstractNumId w:val="66"/>
  </w:num>
  <w:num w:numId="57">
    <w:abstractNumId w:val="94"/>
  </w:num>
  <w:num w:numId="58">
    <w:abstractNumId w:val="33"/>
  </w:num>
  <w:num w:numId="59">
    <w:abstractNumId w:val="188"/>
  </w:num>
  <w:num w:numId="60">
    <w:abstractNumId w:val="121"/>
  </w:num>
  <w:num w:numId="61">
    <w:abstractNumId w:val="183"/>
  </w:num>
  <w:num w:numId="62">
    <w:abstractNumId w:val="98"/>
  </w:num>
  <w:num w:numId="63">
    <w:abstractNumId w:val="139"/>
  </w:num>
  <w:num w:numId="64">
    <w:abstractNumId w:val="74"/>
  </w:num>
  <w:num w:numId="65">
    <w:abstractNumId w:val="95"/>
  </w:num>
  <w:num w:numId="66">
    <w:abstractNumId w:val="8"/>
  </w:num>
  <w:num w:numId="67">
    <w:abstractNumId w:val="90"/>
  </w:num>
  <w:num w:numId="68">
    <w:abstractNumId w:val="85"/>
  </w:num>
  <w:num w:numId="69">
    <w:abstractNumId w:val="148"/>
  </w:num>
  <w:num w:numId="70">
    <w:abstractNumId w:val="15"/>
  </w:num>
  <w:num w:numId="71">
    <w:abstractNumId w:val="82"/>
  </w:num>
  <w:num w:numId="72">
    <w:abstractNumId w:val="116"/>
  </w:num>
  <w:num w:numId="73">
    <w:abstractNumId w:val="39"/>
  </w:num>
  <w:num w:numId="74">
    <w:abstractNumId w:val="105"/>
  </w:num>
  <w:num w:numId="75">
    <w:abstractNumId w:val="187"/>
  </w:num>
  <w:num w:numId="76">
    <w:abstractNumId w:val="9"/>
  </w:num>
  <w:num w:numId="77">
    <w:abstractNumId w:val="97"/>
  </w:num>
  <w:num w:numId="78">
    <w:abstractNumId w:val="195"/>
  </w:num>
  <w:num w:numId="79">
    <w:abstractNumId w:val="31"/>
  </w:num>
  <w:num w:numId="80">
    <w:abstractNumId w:val="196"/>
  </w:num>
  <w:num w:numId="81">
    <w:abstractNumId w:val="67"/>
  </w:num>
  <w:num w:numId="82">
    <w:abstractNumId w:val="186"/>
  </w:num>
  <w:num w:numId="83">
    <w:abstractNumId w:val="140"/>
  </w:num>
  <w:num w:numId="84">
    <w:abstractNumId w:val="32"/>
  </w:num>
  <w:num w:numId="85">
    <w:abstractNumId w:val="130"/>
  </w:num>
  <w:num w:numId="86">
    <w:abstractNumId w:val="158"/>
  </w:num>
  <w:num w:numId="87">
    <w:abstractNumId w:val="59"/>
  </w:num>
  <w:num w:numId="88">
    <w:abstractNumId w:val="160"/>
  </w:num>
  <w:num w:numId="89">
    <w:abstractNumId w:val="136"/>
  </w:num>
  <w:num w:numId="90">
    <w:abstractNumId w:val="50"/>
  </w:num>
  <w:num w:numId="91">
    <w:abstractNumId w:val="203"/>
  </w:num>
  <w:num w:numId="92">
    <w:abstractNumId w:val="127"/>
  </w:num>
  <w:num w:numId="93">
    <w:abstractNumId w:val="123"/>
  </w:num>
  <w:num w:numId="94">
    <w:abstractNumId w:val="83"/>
  </w:num>
  <w:num w:numId="95">
    <w:abstractNumId w:val="37"/>
  </w:num>
  <w:num w:numId="96">
    <w:abstractNumId w:val="192"/>
  </w:num>
  <w:num w:numId="97">
    <w:abstractNumId w:val="199"/>
  </w:num>
  <w:num w:numId="98">
    <w:abstractNumId w:val="19"/>
  </w:num>
  <w:num w:numId="99">
    <w:abstractNumId w:val="18"/>
  </w:num>
  <w:num w:numId="100">
    <w:abstractNumId w:val="142"/>
  </w:num>
  <w:num w:numId="101">
    <w:abstractNumId w:val="44"/>
  </w:num>
  <w:num w:numId="102">
    <w:abstractNumId w:val="14"/>
  </w:num>
  <w:num w:numId="103">
    <w:abstractNumId w:val="131"/>
  </w:num>
  <w:num w:numId="104">
    <w:abstractNumId w:val="171"/>
  </w:num>
  <w:num w:numId="105">
    <w:abstractNumId w:val="146"/>
  </w:num>
  <w:num w:numId="106">
    <w:abstractNumId w:val="34"/>
  </w:num>
  <w:num w:numId="107">
    <w:abstractNumId w:val="62"/>
  </w:num>
  <w:num w:numId="108">
    <w:abstractNumId w:val="40"/>
  </w:num>
  <w:num w:numId="109">
    <w:abstractNumId w:val="122"/>
  </w:num>
  <w:num w:numId="110">
    <w:abstractNumId w:val="184"/>
  </w:num>
  <w:num w:numId="111">
    <w:abstractNumId w:val="60"/>
  </w:num>
  <w:num w:numId="112">
    <w:abstractNumId w:val="114"/>
  </w:num>
  <w:num w:numId="113">
    <w:abstractNumId w:val="28"/>
  </w:num>
  <w:num w:numId="114">
    <w:abstractNumId w:val="13"/>
  </w:num>
  <w:num w:numId="115">
    <w:abstractNumId w:val="101"/>
  </w:num>
  <w:num w:numId="116">
    <w:abstractNumId w:val="81"/>
  </w:num>
  <w:num w:numId="117">
    <w:abstractNumId w:val="175"/>
  </w:num>
  <w:num w:numId="118">
    <w:abstractNumId w:val="38"/>
  </w:num>
  <w:num w:numId="119">
    <w:abstractNumId w:val="26"/>
  </w:num>
  <w:num w:numId="120">
    <w:abstractNumId w:val="104"/>
  </w:num>
  <w:num w:numId="121">
    <w:abstractNumId w:val="36"/>
  </w:num>
  <w:num w:numId="122">
    <w:abstractNumId w:val="41"/>
  </w:num>
  <w:num w:numId="123">
    <w:abstractNumId w:val="43"/>
  </w:num>
  <w:num w:numId="124">
    <w:abstractNumId w:val="70"/>
  </w:num>
  <w:num w:numId="125">
    <w:abstractNumId w:val="23"/>
  </w:num>
  <w:num w:numId="126">
    <w:abstractNumId w:val="172"/>
  </w:num>
  <w:num w:numId="127">
    <w:abstractNumId w:val="11"/>
  </w:num>
  <w:num w:numId="128">
    <w:abstractNumId w:val="113"/>
  </w:num>
  <w:num w:numId="129">
    <w:abstractNumId w:val="129"/>
  </w:num>
  <w:num w:numId="130">
    <w:abstractNumId w:val="205"/>
  </w:num>
  <w:num w:numId="131">
    <w:abstractNumId w:val="164"/>
  </w:num>
  <w:num w:numId="132">
    <w:abstractNumId w:val="134"/>
  </w:num>
  <w:num w:numId="133">
    <w:abstractNumId w:val="112"/>
  </w:num>
  <w:num w:numId="134">
    <w:abstractNumId w:val="151"/>
  </w:num>
  <w:num w:numId="135">
    <w:abstractNumId w:val="99"/>
  </w:num>
  <w:num w:numId="136">
    <w:abstractNumId w:val="162"/>
  </w:num>
  <w:num w:numId="137">
    <w:abstractNumId w:val="17"/>
  </w:num>
  <w:num w:numId="138">
    <w:abstractNumId w:val="144"/>
  </w:num>
  <w:num w:numId="139">
    <w:abstractNumId w:val="45"/>
  </w:num>
  <w:num w:numId="140">
    <w:abstractNumId w:val="68"/>
  </w:num>
  <w:num w:numId="141">
    <w:abstractNumId w:val="179"/>
  </w:num>
  <w:num w:numId="142">
    <w:abstractNumId w:val="100"/>
  </w:num>
  <w:num w:numId="143">
    <w:abstractNumId w:val="73"/>
  </w:num>
  <w:num w:numId="144">
    <w:abstractNumId w:val="141"/>
  </w:num>
  <w:num w:numId="145">
    <w:abstractNumId w:val="126"/>
  </w:num>
  <w:num w:numId="146">
    <w:abstractNumId w:val="143"/>
  </w:num>
  <w:num w:numId="147">
    <w:abstractNumId w:val="173"/>
  </w:num>
  <w:num w:numId="148">
    <w:abstractNumId w:val="206"/>
  </w:num>
  <w:num w:numId="149">
    <w:abstractNumId w:val="202"/>
  </w:num>
  <w:num w:numId="150">
    <w:abstractNumId w:val="182"/>
  </w:num>
  <w:num w:numId="151">
    <w:abstractNumId w:val="189"/>
  </w:num>
  <w:num w:numId="152">
    <w:abstractNumId w:val="96"/>
  </w:num>
  <w:num w:numId="153">
    <w:abstractNumId w:val="76"/>
  </w:num>
  <w:num w:numId="154">
    <w:abstractNumId w:val="135"/>
  </w:num>
  <w:num w:numId="155">
    <w:abstractNumId w:val="52"/>
  </w:num>
  <w:num w:numId="156">
    <w:abstractNumId w:val="111"/>
  </w:num>
  <w:num w:numId="157">
    <w:abstractNumId w:val="178"/>
  </w:num>
  <w:num w:numId="158">
    <w:abstractNumId w:val="167"/>
  </w:num>
  <w:num w:numId="159">
    <w:abstractNumId w:val="69"/>
  </w:num>
  <w:num w:numId="160">
    <w:abstractNumId w:val="3"/>
  </w:num>
  <w:num w:numId="161">
    <w:abstractNumId w:val="132"/>
  </w:num>
  <w:num w:numId="162">
    <w:abstractNumId w:val="174"/>
  </w:num>
  <w:num w:numId="163">
    <w:abstractNumId w:val="61"/>
  </w:num>
  <w:num w:numId="164">
    <w:abstractNumId w:val="89"/>
  </w:num>
  <w:num w:numId="165">
    <w:abstractNumId w:val="80"/>
  </w:num>
  <w:num w:numId="166">
    <w:abstractNumId w:val="110"/>
  </w:num>
  <w:num w:numId="167">
    <w:abstractNumId w:val="106"/>
  </w:num>
  <w:num w:numId="168">
    <w:abstractNumId w:val="77"/>
  </w:num>
  <w:num w:numId="169">
    <w:abstractNumId w:val="4"/>
  </w:num>
  <w:num w:numId="170">
    <w:abstractNumId w:val="84"/>
  </w:num>
  <w:num w:numId="171">
    <w:abstractNumId w:val="58"/>
  </w:num>
  <w:num w:numId="172">
    <w:abstractNumId w:val="47"/>
  </w:num>
  <w:num w:numId="173">
    <w:abstractNumId w:val="198"/>
  </w:num>
  <w:num w:numId="174">
    <w:abstractNumId w:val="157"/>
  </w:num>
  <w:num w:numId="175">
    <w:abstractNumId w:val="78"/>
  </w:num>
  <w:num w:numId="176">
    <w:abstractNumId w:val="194"/>
  </w:num>
  <w:num w:numId="177">
    <w:abstractNumId w:val="42"/>
  </w:num>
  <w:num w:numId="178">
    <w:abstractNumId w:val="102"/>
  </w:num>
  <w:num w:numId="179">
    <w:abstractNumId w:val="149"/>
  </w:num>
  <w:num w:numId="180">
    <w:abstractNumId w:val="169"/>
  </w:num>
  <w:num w:numId="181">
    <w:abstractNumId w:val="159"/>
  </w:num>
  <w:num w:numId="182">
    <w:abstractNumId w:val="51"/>
  </w:num>
  <w:num w:numId="183">
    <w:abstractNumId w:val="103"/>
  </w:num>
  <w:num w:numId="184">
    <w:abstractNumId w:val="180"/>
  </w:num>
  <w:num w:numId="185">
    <w:abstractNumId w:val="161"/>
  </w:num>
  <w:num w:numId="186">
    <w:abstractNumId w:val="29"/>
  </w:num>
  <w:num w:numId="187">
    <w:abstractNumId w:val="118"/>
  </w:num>
  <w:num w:numId="188">
    <w:abstractNumId w:val="190"/>
  </w:num>
  <w:num w:numId="189">
    <w:abstractNumId w:val="92"/>
  </w:num>
  <w:num w:numId="190">
    <w:abstractNumId w:val="1"/>
  </w:num>
  <w:num w:numId="191">
    <w:abstractNumId w:val="156"/>
  </w:num>
  <w:num w:numId="192">
    <w:abstractNumId w:val="75"/>
  </w:num>
  <w:num w:numId="193">
    <w:abstractNumId w:val="88"/>
  </w:num>
  <w:num w:numId="194">
    <w:abstractNumId w:val="193"/>
  </w:num>
  <w:num w:numId="195">
    <w:abstractNumId w:val="72"/>
  </w:num>
  <w:num w:numId="196">
    <w:abstractNumId w:val="20"/>
  </w:num>
  <w:num w:numId="197">
    <w:abstractNumId w:val="48"/>
  </w:num>
  <w:num w:numId="198">
    <w:abstractNumId w:val="181"/>
  </w:num>
  <w:num w:numId="199">
    <w:abstractNumId w:val="201"/>
  </w:num>
  <w:num w:numId="200">
    <w:abstractNumId w:val="168"/>
  </w:num>
  <w:num w:numId="201">
    <w:abstractNumId w:val="191"/>
  </w:num>
  <w:num w:numId="202">
    <w:abstractNumId w:val="16"/>
  </w:num>
  <w:num w:numId="203">
    <w:abstractNumId w:val="57"/>
  </w:num>
  <w:num w:numId="204">
    <w:abstractNumId w:val="150"/>
  </w:num>
  <w:num w:numId="205">
    <w:abstractNumId w:val="119"/>
  </w:num>
  <w:num w:numId="206">
    <w:abstractNumId w:val="86"/>
  </w:num>
  <w:num w:numId="207">
    <w:abstractNumId w:val="22"/>
  </w:num>
  <w:num w:numId="208">
    <w:abstractNumId w:val="154"/>
  </w:num>
  <w:numIdMacAtCleanup w:val="2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displayBackgroundShape/>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noPunctuationKerning/>
  <w:characterSpacingControl w:val="doNotCompress"/>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F7"/>
    <w:rsid w:val="00000CA8"/>
    <w:rsid w:val="00001CB8"/>
    <w:rsid w:val="00001D86"/>
    <w:rsid w:val="0000278F"/>
    <w:rsid w:val="00002811"/>
    <w:rsid w:val="00002A5F"/>
    <w:rsid w:val="00002CC1"/>
    <w:rsid w:val="00002CE3"/>
    <w:rsid w:val="00003C72"/>
    <w:rsid w:val="00004157"/>
    <w:rsid w:val="00004F57"/>
    <w:rsid w:val="00005125"/>
    <w:rsid w:val="00005456"/>
    <w:rsid w:val="000057AA"/>
    <w:rsid w:val="00005845"/>
    <w:rsid w:val="0000586A"/>
    <w:rsid w:val="00005D48"/>
    <w:rsid w:val="0000683B"/>
    <w:rsid w:val="000075A3"/>
    <w:rsid w:val="000077F2"/>
    <w:rsid w:val="00007EF0"/>
    <w:rsid w:val="000101B0"/>
    <w:rsid w:val="000107D3"/>
    <w:rsid w:val="0001093E"/>
    <w:rsid w:val="00010E68"/>
    <w:rsid w:val="0001134C"/>
    <w:rsid w:val="0001168F"/>
    <w:rsid w:val="000122EA"/>
    <w:rsid w:val="000125B2"/>
    <w:rsid w:val="000131D9"/>
    <w:rsid w:val="00013523"/>
    <w:rsid w:val="00013ADE"/>
    <w:rsid w:val="00015653"/>
    <w:rsid w:val="00015860"/>
    <w:rsid w:val="00015B6A"/>
    <w:rsid w:val="0001631A"/>
    <w:rsid w:val="00016649"/>
    <w:rsid w:val="00016CD0"/>
    <w:rsid w:val="000177F6"/>
    <w:rsid w:val="00017AE6"/>
    <w:rsid w:val="00017BFE"/>
    <w:rsid w:val="00017D90"/>
    <w:rsid w:val="000205AF"/>
    <w:rsid w:val="00020AA0"/>
    <w:rsid w:val="00021004"/>
    <w:rsid w:val="00021238"/>
    <w:rsid w:val="000217F5"/>
    <w:rsid w:val="00021B90"/>
    <w:rsid w:val="00022401"/>
    <w:rsid w:val="0002252F"/>
    <w:rsid w:val="000225BF"/>
    <w:rsid w:val="00022DE9"/>
    <w:rsid w:val="000230A3"/>
    <w:rsid w:val="00023435"/>
    <w:rsid w:val="000234A8"/>
    <w:rsid w:val="00023A76"/>
    <w:rsid w:val="00023C29"/>
    <w:rsid w:val="00024495"/>
    <w:rsid w:val="0002489D"/>
    <w:rsid w:val="00025012"/>
    <w:rsid w:val="0002530B"/>
    <w:rsid w:val="00025C9A"/>
    <w:rsid w:val="00025E57"/>
    <w:rsid w:val="000260FF"/>
    <w:rsid w:val="00026455"/>
    <w:rsid w:val="0002661F"/>
    <w:rsid w:val="000266D2"/>
    <w:rsid w:val="000272A9"/>
    <w:rsid w:val="00030007"/>
    <w:rsid w:val="0003036B"/>
    <w:rsid w:val="0003059D"/>
    <w:rsid w:val="0003122B"/>
    <w:rsid w:val="0003124F"/>
    <w:rsid w:val="00031E16"/>
    <w:rsid w:val="00031E84"/>
    <w:rsid w:val="0003214C"/>
    <w:rsid w:val="00032241"/>
    <w:rsid w:val="000323AF"/>
    <w:rsid w:val="00032E37"/>
    <w:rsid w:val="0003325F"/>
    <w:rsid w:val="00033869"/>
    <w:rsid w:val="00033EB5"/>
    <w:rsid w:val="00033F65"/>
    <w:rsid w:val="000341EA"/>
    <w:rsid w:val="00034508"/>
    <w:rsid w:val="000348DE"/>
    <w:rsid w:val="00034B29"/>
    <w:rsid w:val="00034F6E"/>
    <w:rsid w:val="0003544E"/>
    <w:rsid w:val="00035536"/>
    <w:rsid w:val="00035830"/>
    <w:rsid w:val="00035D96"/>
    <w:rsid w:val="0003646E"/>
    <w:rsid w:val="00036804"/>
    <w:rsid w:val="00036A5C"/>
    <w:rsid w:val="00036F60"/>
    <w:rsid w:val="00037013"/>
    <w:rsid w:val="00037275"/>
    <w:rsid w:val="0003763F"/>
    <w:rsid w:val="000377AB"/>
    <w:rsid w:val="0003782E"/>
    <w:rsid w:val="00037A3E"/>
    <w:rsid w:val="00037E21"/>
    <w:rsid w:val="00040511"/>
    <w:rsid w:val="00040B34"/>
    <w:rsid w:val="00041B17"/>
    <w:rsid w:val="00041E0C"/>
    <w:rsid w:val="00041F19"/>
    <w:rsid w:val="00041F97"/>
    <w:rsid w:val="00041FE0"/>
    <w:rsid w:val="00042214"/>
    <w:rsid w:val="00042BB9"/>
    <w:rsid w:val="00043249"/>
    <w:rsid w:val="0004344E"/>
    <w:rsid w:val="000435F9"/>
    <w:rsid w:val="000437E6"/>
    <w:rsid w:val="00043A4B"/>
    <w:rsid w:val="00043FA1"/>
    <w:rsid w:val="00044177"/>
    <w:rsid w:val="0004450C"/>
    <w:rsid w:val="000445AD"/>
    <w:rsid w:val="00044654"/>
    <w:rsid w:val="00044655"/>
    <w:rsid w:val="00044B8D"/>
    <w:rsid w:val="00044BD9"/>
    <w:rsid w:val="00044FDD"/>
    <w:rsid w:val="000459A0"/>
    <w:rsid w:val="000464F1"/>
    <w:rsid w:val="00046804"/>
    <w:rsid w:val="00046CF8"/>
    <w:rsid w:val="000477B7"/>
    <w:rsid w:val="00050021"/>
    <w:rsid w:val="000509F3"/>
    <w:rsid w:val="00050D84"/>
    <w:rsid w:val="0005135E"/>
    <w:rsid w:val="0005159D"/>
    <w:rsid w:val="00051A25"/>
    <w:rsid w:val="0005232E"/>
    <w:rsid w:val="00052EF5"/>
    <w:rsid w:val="00053494"/>
    <w:rsid w:val="0005351F"/>
    <w:rsid w:val="000540EE"/>
    <w:rsid w:val="00054895"/>
    <w:rsid w:val="000548D9"/>
    <w:rsid w:val="000549A0"/>
    <w:rsid w:val="00054B0C"/>
    <w:rsid w:val="00054EB2"/>
    <w:rsid w:val="0005530F"/>
    <w:rsid w:val="00055372"/>
    <w:rsid w:val="0005542F"/>
    <w:rsid w:val="000556B9"/>
    <w:rsid w:val="000556CB"/>
    <w:rsid w:val="0005571B"/>
    <w:rsid w:val="000557EF"/>
    <w:rsid w:val="00055972"/>
    <w:rsid w:val="00055AC7"/>
    <w:rsid w:val="00055F28"/>
    <w:rsid w:val="00056113"/>
    <w:rsid w:val="000561E4"/>
    <w:rsid w:val="000564D0"/>
    <w:rsid w:val="00056567"/>
    <w:rsid w:val="000565AB"/>
    <w:rsid w:val="00056B16"/>
    <w:rsid w:val="000575CF"/>
    <w:rsid w:val="00057AA9"/>
    <w:rsid w:val="00057E03"/>
    <w:rsid w:val="00057F1E"/>
    <w:rsid w:val="0006004C"/>
    <w:rsid w:val="0006010A"/>
    <w:rsid w:val="000602C2"/>
    <w:rsid w:val="0006041E"/>
    <w:rsid w:val="000607A4"/>
    <w:rsid w:val="00060D9A"/>
    <w:rsid w:val="00060E4F"/>
    <w:rsid w:val="00060F04"/>
    <w:rsid w:val="00060F8B"/>
    <w:rsid w:val="00061536"/>
    <w:rsid w:val="00061B73"/>
    <w:rsid w:val="00061E1A"/>
    <w:rsid w:val="00062063"/>
    <w:rsid w:val="00062792"/>
    <w:rsid w:val="00062E78"/>
    <w:rsid w:val="00063680"/>
    <w:rsid w:val="00063762"/>
    <w:rsid w:val="0006380A"/>
    <w:rsid w:val="00063935"/>
    <w:rsid w:val="00063D70"/>
    <w:rsid w:val="00063DD1"/>
    <w:rsid w:val="00063E7C"/>
    <w:rsid w:val="00064A64"/>
    <w:rsid w:val="00064BBE"/>
    <w:rsid w:val="0006562F"/>
    <w:rsid w:val="0006604F"/>
    <w:rsid w:val="00066676"/>
    <w:rsid w:val="00066A40"/>
    <w:rsid w:val="00066A76"/>
    <w:rsid w:val="00066C4E"/>
    <w:rsid w:val="0006741E"/>
    <w:rsid w:val="0006793B"/>
    <w:rsid w:val="00067C2A"/>
    <w:rsid w:val="00067FC8"/>
    <w:rsid w:val="00070127"/>
    <w:rsid w:val="00070B1A"/>
    <w:rsid w:val="0007137A"/>
    <w:rsid w:val="000715AE"/>
    <w:rsid w:val="00071E65"/>
    <w:rsid w:val="00071F11"/>
    <w:rsid w:val="000725FE"/>
    <w:rsid w:val="00072768"/>
    <w:rsid w:val="000729D2"/>
    <w:rsid w:val="00072CB3"/>
    <w:rsid w:val="00072DC0"/>
    <w:rsid w:val="000730CE"/>
    <w:rsid w:val="000734D7"/>
    <w:rsid w:val="000734EF"/>
    <w:rsid w:val="0007404F"/>
    <w:rsid w:val="00074763"/>
    <w:rsid w:val="0007479A"/>
    <w:rsid w:val="000748FE"/>
    <w:rsid w:val="00074B7D"/>
    <w:rsid w:val="00074D09"/>
    <w:rsid w:val="00074D27"/>
    <w:rsid w:val="00075056"/>
    <w:rsid w:val="00075100"/>
    <w:rsid w:val="00075324"/>
    <w:rsid w:val="000761BB"/>
    <w:rsid w:val="000761BF"/>
    <w:rsid w:val="00077232"/>
    <w:rsid w:val="00077367"/>
    <w:rsid w:val="00080BD1"/>
    <w:rsid w:val="00080C28"/>
    <w:rsid w:val="00080EAA"/>
    <w:rsid w:val="000814A4"/>
    <w:rsid w:val="000816B1"/>
    <w:rsid w:val="00081B5A"/>
    <w:rsid w:val="000824D6"/>
    <w:rsid w:val="00082B33"/>
    <w:rsid w:val="00082B40"/>
    <w:rsid w:val="00082E59"/>
    <w:rsid w:val="0008309A"/>
    <w:rsid w:val="00083AB4"/>
    <w:rsid w:val="000843F3"/>
    <w:rsid w:val="0008485F"/>
    <w:rsid w:val="00084C30"/>
    <w:rsid w:val="00084C6E"/>
    <w:rsid w:val="00084E2B"/>
    <w:rsid w:val="00085230"/>
    <w:rsid w:val="000867F9"/>
    <w:rsid w:val="00086D18"/>
    <w:rsid w:val="00086FA9"/>
    <w:rsid w:val="000902FD"/>
    <w:rsid w:val="00090966"/>
    <w:rsid w:val="00090BF9"/>
    <w:rsid w:val="00090D3E"/>
    <w:rsid w:val="0009100C"/>
    <w:rsid w:val="0009107D"/>
    <w:rsid w:val="000923DC"/>
    <w:rsid w:val="00092B2F"/>
    <w:rsid w:val="00093723"/>
    <w:rsid w:val="000938C2"/>
    <w:rsid w:val="00093AEB"/>
    <w:rsid w:val="000944FE"/>
    <w:rsid w:val="00094E53"/>
    <w:rsid w:val="00095885"/>
    <w:rsid w:val="00096087"/>
    <w:rsid w:val="00096807"/>
    <w:rsid w:val="00096C29"/>
    <w:rsid w:val="00097017"/>
    <w:rsid w:val="000971A7"/>
    <w:rsid w:val="000973F9"/>
    <w:rsid w:val="00097632"/>
    <w:rsid w:val="00097A1E"/>
    <w:rsid w:val="00097F0F"/>
    <w:rsid w:val="000A024F"/>
    <w:rsid w:val="000A0289"/>
    <w:rsid w:val="000A0830"/>
    <w:rsid w:val="000A08E0"/>
    <w:rsid w:val="000A0B46"/>
    <w:rsid w:val="000A0E18"/>
    <w:rsid w:val="000A0F4C"/>
    <w:rsid w:val="000A1533"/>
    <w:rsid w:val="000A20A2"/>
    <w:rsid w:val="000A21B8"/>
    <w:rsid w:val="000A2C62"/>
    <w:rsid w:val="000A2F7D"/>
    <w:rsid w:val="000A308B"/>
    <w:rsid w:val="000A3778"/>
    <w:rsid w:val="000A4287"/>
    <w:rsid w:val="000A44E4"/>
    <w:rsid w:val="000A4779"/>
    <w:rsid w:val="000A47FB"/>
    <w:rsid w:val="000A498F"/>
    <w:rsid w:val="000A5408"/>
    <w:rsid w:val="000A5FFD"/>
    <w:rsid w:val="000A60FE"/>
    <w:rsid w:val="000A6186"/>
    <w:rsid w:val="000A6583"/>
    <w:rsid w:val="000A6A7D"/>
    <w:rsid w:val="000A6CEB"/>
    <w:rsid w:val="000A6D37"/>
    <w:rsid w:val="000A6EF8"/>
    <w:rsid w:val="000A74B2"/>
    <w:rsid w:val="000A791D"/>
    <w:rsid w:val="000A798A"/>
    <w:rsid w:val="000A7B8A"/>
    <w:rsid w:val="000B1364"/>
    <w:rsid w:val="000B14C7"/>
    <w:rsid w:val="000B16F0"/>
    <w:rsid w:val="000B1BA8"/>
    <w:rsid w:val="000B32E4"/>
    <w:rsid w:val="000B36AF"/>
    <w:rsid w:val="000B3A46"/>
    <w:rsid w:val="000B3D4F"/>
    <w:rsid w:val="000B48A6"/>
    <w:rsid w:val="000B4C07"/>
    <w:rsid w:val="000B5072"/>
    <w:rsid w:val="000B508E"/>
    <w:rsid w:val="000B5523"/>
    <w:rsid w:val="000B5E17"/>
    <w:rsid w:val="000B6775"/>
    <w:rsid w:val="000B69ED"/>
    <w:rsid w:val="000C0415"/>
    <w:rsid w:val="000C06D6"/>
    <w:rsid w:val="000C1847"/>
    <w:rsid w:val="000C1D2C"/>
    <w:rsid w:val="000C2571"/>
    <w:rsid w:val="000C2632"/>
    <w:rsid w:val="000C27AC"/>
    <w:rsid w:val="000C295E"/>
    <w:rsid w:val="000C339E"/>
    <w:rsid w:val="000C352C"/>
    <w:rsid w:val="000C3D1A"/>
    <w:rsid w:val="000C498C"/>
    <w:rsid w:val="000C4DDD"/>
    <w:rsid w:val="000C506D"/>
    <w:rsid w:val="000C533E"/>
    <w:rsid w:val="000C53C5"/>
    <w:rsid w:val="000C5C1D"/>
    <w:rsid w:val="000C5F12"/>
    <w:rsid w:val="000C619B"/>
    <w:rsid w:val="000C66BF"/>
    <w:rsid w:val="000C78C6"/>
    <w:rsid w:val="000D00F9"/>
    <w:rsid w:val="000D048C"/>
    <w:rsid w:val="000D0522"/>
    <w:rsid w:val="000D05BB"/>
    <w:rsid w:val="000D0818"/>
    <w:rsid w:val="000D0ABB"/>
    <w:rsid w:val="000D0D6F"/>
    <w:rsid w:val="000D0FD6"/>
    <w:rsid w:val="000D11EC"/>
    <w:rsid w:val="000D1449"/>
    <w:rsid w:val="000D1E42"/>
    <w:rsid w:val="000D1EE9"/>
    <w:rsid w:val="000D2499"/>
    <w:rsid w:val="000D285B"/>
    <w:rsid w:val="000D2A90"/>
    <w:rsid w:val="000D2DF2"/>
    <w:rsid w:val="000D2E10"/>
    <w:rsid w:val="000D3449"/>
    <w:rsid w:val="000D3531"/>
    <w:rsid w:val="000D3D7D"/>
    <w:rsid w:val="000D43BE"/>
    <w:rsid w:val="000D451E"/>
    <w:rsid w:val="000D45FB"/>
    <w:rsid w:val="000D4E89"/>
    <w:rsid w:val="000D5052"/>
    <w:rsid w:val="000D5385"/>
    <w:rsid w:val="000D5B61"/>
    <w:rsid w:val="000D6334"/>
    <w:rsid w:val="000D65C1"/>
    <w:rsid w:val="000D7031"/>
    <w:rsid w:val="000D745B"/>
    <w:rsid w:val="000E049F"/>
    <w:rsid w:val="000E089B"/>
    <w:rsid w:val="000E0DAD"/>
    <w:rsid w:val="000E1D28"/>
    <w:rsid w:val="000E2363"/>
    <w:rsid w:val="000E2CEB"/>
    <w:rsid w:val="000E3117"/>
    <w:rsid w:val="000E3178"/>
    <w:rsid w:val="000E3C19"/>
    <w:rsid w:val="000E506E"/>
    <w:rsid w:val="000E586B"/>
    <w:rsid w:val="000E5B28"/>
    <w:rsid w:val="000E6178"/>
    <w:rsid w:val="000E6481"/>
    <w:rsid w:val="000E6550"/>
    <w:rsid w:val="000E6988"/>
    <w:rsid w:val="000E7618"/>
    <w:rsid w:val="000E7AD0"/>
    <w:rsid w:val="000F0E78"/>
    <w:rsid w:val="000F17C2"/>
    <w:rsid w:val="000F17EB"/>
    <w:rsid w:val="000F1A04"/>
    <w:rsid w:val="000F225E"/>
    <w:rsid w:val="000F2B73"/>
    <w:rsid w:val="000F2C3A"/>
    <w:rsid w:val="000F3057"/>
    <w:rsid w:val="000F32EE"/>
    <w:rsid w:val="000F3503"/>
    <w:rsid w:val="000F4082"/>
    <w:rsid w:val="000F4475"/>
    <w:rsid w:val="000F468D"/>
    <w:rsid w:val="000F477E"/>
    <w:rsid w:val="000F51C9"/>
    <w:rsid w:val="000F55A3"/>
    <w:rsid w:val="000F5920"/>
    <w:rsid w:val="000F5CDD"/>
    <w:rsid w:val="000F6317"/>
    <w:rsid w:val="000F635E"/>
    <w:rsid w:val="000F64F0"/>
    <w:rsid w:val="000F6504"/>
    <w:rsid w:val="000F6AFE"/>
    <w:rsid w:val="000F797F"/>
    <w:rsid w:val="0010116A"/>
    <w:rsid w:val="001018D2"/>
    <w:rsid w:val="00101F60"/>
    <w:rsid w:val="001022D2"/>
    <w:rsid w:val="00102335"/>
    <w:rsid w:val="001029FB"/>
    <w:rsid w:val="00102C1E"/>
    <w:rsid w:val="00103E01"/>
    <w:rsid w:val="001047C6"/>
    <w:rsid w:val="00104B42"/>
    <w:rsid w:val="00105D4D"/>
    <w:rsid w:val="00105EF0"/>
    <w:rsid w:val="001060F5"/>
    <w:rsid w:val="001068EA"/>
    <w:rsid w:val="00106D42"/>
    <w:rsid w:val="001071AE"/>
    <w:rsid w:val="00107472"/>
    <w:rsid w:val="00107D07"/>
    <w:rsid w:val="00110171"/>
    <w:rsid w:val="001106D9"/>
    <w:rsid w:val="001107FC"/>
    <w:rsid w:val="00110869"/>
    <w:rsid w:val="00110B0F"/>
    <w:rsid w:val="00111347"/>
    <w:rsid w:val="0011158A"/>
    <w:rsid w:val="00111710"/>
    <w:rsid w:val="00111777"/>
    <w:rsid w:val="001123E5"/>
    <w:rsid w:val="00112F30"/>
    <w:rsid w:val="00113106"/>
    <w:rsid w:val="001134AE"/>
    <w:rsid w:val="00113B22"/>
    <w:rsid w:val="00113F48"/>
    <w:rsid w:val="001141C4"/>
    <w:rsid w:val="0011459A"/>
    <w:rsid w:val="001149D1"/>
    <w:rsid w:val="00115B6D"/>
    <w:rsid w:val="00115EED"/>
    <w:rsid w:val="001160AF"/>
    <w:rsid w:val="001166C1"/>
    <w:rsid w:val="00116D3E"/>
    <w:rsid w:val="001170A3"/>
    <w:rsid w:val="0011725F"/>
    <w:rsid w:val="00117E23"/>
    <w:rsid w:val="00120135"/>
    <w:rsid w:val="0012047E"/>
    <w:rsid w:val="00121376"/>
    <w:rsid w:val="00121DBA"/>
    <w:rsid w:val="001221EF"/>
    <w:rsid w:val="00122301"/>
    <w:rsid w:val="00122DEE"/>
    <w:rsid w:val="00123AA4"/>
    <w:rsid w:val="00123B59"/>
    <w:rsid w:val="00124080"/>
    <w:rsid w:val="00124EF1"/>
    <w:rsid w:val="001252EE"/>
    <w:rsid w:val="0012547F"/>
    <w:rsid w:val="00125E42"/>
    <w:rsid w:val="00126D7F"/>
    <w:rsid w:val="001274AB"/>
    <w:rsid w:val="00127659"/>
    <w:rsid w:val="00127745"/>
    <w:rsid w:val="00127866"/>
    <w:rsid w:val="00127D0D"/>
    <w:rsid w:val="001304B5"/>
    <w:rsid w:val="00130603"/>
    <w:rsid w:val="0013084B"/>
    <w:rsid w:val="001309D3"/>
    <w:rsid w:val="001310FB"/>
    <w:rsid w:val="00131A2B"/>
    <w:rsid w:val="00133018"/>
    <w:rsid w:val="0013320E"/>
    <w:rsid w:val="00133902"/>
    <w:rsid w:val="00133F80"/>
    <w:rsid w:val="001348D8"/>
    <w:rsid w:val="00134E81"/>
    <w:rsid w:val="00134F15"/>
    <w:rsid w:val="00135392"/>
    <w:rsid w:val="00135706"/>
    <w:rsid w:val="00137C16"/>
    <w:rsid w:val="00137F67"/>
    <w:rsid w:val="00137F8B"/>
    <w:rsid w:val="001407B0"/>
    <w:rsid w:val="00140EE1"/>
    <w:rsid w:val="00140FA1"/>
    <w:rsid w:val="001411C6"/>
    <w:rsid w:val="00141B89"/>
    <w:rsid w:val="00142791"/>
    <w:rsid w:val="00142B69"/>
    <w:rsid w:val="00142D7F"/>
    <w:rsid w:val="00142F51"/>
    <w:rsid w:val="00143544"/>
    <w:rsid w:val="00143B00"/>
    <w:rsid w:val="00143B91"/>
    <w:rsid w:val="00143F97"/>
    <w:rsid w:val="001441A6"/>
    <w:rsid w:val="001441D9"/>
    <w:rsid w:val="001443C3"/>
    <w:rsid w:val="001447EB"/>
    <w:rsid w:val="00144CD2"/>
    <w:rsid w:val="00145010"/>
    <w:rsid w:val="001455F1"/>
    <w:rsid w:val="00145816"/>
    <w:rsid w:val="00146321"/>
    <w:rsid w:val="00146350"/>
    <w:rsid w:val="0014637F"/>
    <w:rsid w:val="0014662F"/>
    <w:rsid w:val="0014673C"/>
    <w:rsid w:val="00146C58"/>
    <w:rsid w:val="00146D5A"/>
    <w:rsid w:val="00146D64"/>
    <w:rsid w:val="00146DAE"/>
    <w:rsid w:val="00146FA8"/>
    <w:rsid w:val="00147529"/>
    <w:rsid w:val="00147A34"/>
    <w:rsid w:val="0015056C"/>
    <w:rsid w:val="00150652"/>
    <w:rsid w:val="00150717"/>
    <w:rsid w:val="00150C86"/>
    <w:rsid w:val="00151FAC"/>
    <w:rsid w:val="0015241F"/>
    <w:rsid w:val="00152D55"/>
    <w:rsid w:val="00153156"/>
    <w:rsid w:val="00153794"/>
    <w:rsid w:val="00153DFA"/>
    <w:rsid w:val="00153E02"/>
    <w:rsid w:val="00155458"/>
    <w:rsid w:val="001554A4"/>
    <w:rsid w:val="00155610"/>
    <w:rsid w:val="0015568A"/>
    <w:rsid w:val="00155911"/>
    <w:rsid w:val="00155D98"/>
    <w:rsid w:val="0015600E"/>
    <w:rsid w:val="001560FB"/>
    <w:rsid w:val="00156458"/>
    <w:rsid w:val="001566BA"/>
    <w:rsid w:val="0015686F"/>
    <w:rsid w:val="00156889"/>
    <w:rsid w:val="00156C3E"/>
    <w:rsid w:val="001571F9"/>
    <w:rsid w:val="0015737E"/>
    <w:rsid w:val="00157AD3"/>
    <w:rsid w:val="00157CFD"/>
    <w:rsid w:val="00157E85"/>
    <w:rsid w:val="0016045E"/>
    <w:rsid w:val="00160F58"/>
    <w:rsid w:val="001614E1"/>
    <w:rsid w:val="001617DC"/>
    <w:rsid w:val="00161809"/>
    <w:rsid w:val="0016180B"/>
    <w:rsid w:val="00161F04"/>
    <w:rsid w:val="00162560"/>
    <w:rsid w:val="001625D0"/>
    <w:rsid w:val="00162B97"/>
    <w:rsid w:val="00162C48"/>
    <w:rsid w:val="00162DAA"/>
    <w:rsid w:val="001638EC"/>
    <w:rsid w:val="001643BA"/>
    <w:rsid w:val="00164D85"/>
    <w:rsid w:val="00166EBA"/>
    <w:rsid w:val="00167101"/>
    <w:rsid w:val="00167D78"/>
    <w:rsid w:val="0017005A"/>
    <w:rsid w:val="00170DFF"/>
    <w:rsid w:val="001717B5"/>
    <w:rsid w:val="0017224D"/>
    <w:rsid w:val="00172AC6"/>
    <w:rsid w:val="00172B6E"/>
    <w:rsid w:val="00172BBE"/>
    <w:rsid w:val="00172E20"/>
    <w:rsid w:val="00173799"/>
    <w:rsid w:val="0017399E"/>
    <w:rsid w:val="00174354"/>
    <w:rsid w:val="001748C7"/>
    <w:rsid w:val="00174F5B"/>
    <w:rsid w:val="00174F8B"/>
    <w:rsid w:val="00175107"/>
    <w:rsid w:val="001754B1"/>
    <w:rsid w:val="001755F4"/>
    <w:rsid w:val="00175918"/>
    <w:rsid w:val="00176215"/>
    <w:rsid w:val="0017626D"/>
    <w:rsid w:val="0017651C"/>
    <w:rsid w:val="00176704"/>
    <w:rsid w:val="0017674A"/>
    <w:rsid w:val="00176DEF"/>
    <w:rsid w:val="0017747C"/>
    <w:rsid w:val="001774AD"/>
    <w:rsid w:val="00177A33"/>
    <w:rsid w:val="00177F10"/>
    <w:rsid w:val="0018089C"/>
    <w:rsid w:val="00180FAE"/>
    <w:rsid w:val="00181244"/>
    <w:rsid w:val="00181820"/>
    <w:rsid w:val="00181BBD"/>
    <w:rsid w:val="00181C67"/>
    <w:rsid w:val="00181D07"/>
    <w:rsid w:val="00181E7A"/>
    <w:rsid w:val="0018211F"/>
    <w:rsid w:val="00182292"/>
    <w:rsid w:val="00182770"/>
    <w:rsid w:val="00182CA1"/>
    <w:rsid w:val="0018347B"/>
    <w:rsid w:val="00183CCE"/>
    <w:rsid w:val="001844F5"/>
    <w:rsid w:val="00184AA4"/>
    <w:rsid w:val="00184B18"/>
    <w:rsid w:val="00184BCE"/>
    <w:rsid w:val="0018509D"/>
    <w:rsid w:val="00185527"/>
    <w:rsid w:val="00185D47"/>
    <w:rsid w:val="00185E69"/>
    <w:rsid w:val="00185FE5"/>
    <w:rsid w:val="0018637D"/>
    <w:rsid w:val="00186638"/>
    <w:rsid w:val="00186D11"/>
    <w:rsid w:val="00190860"/>
    <w:rsid w:val="001909E5"/>
    <w:rsid w:val="00190AA8"/>
    <w:rsid w:val="00190F06"/>
    <w:rsid w:val="00191A6D"/>
    <w:rsid w:val="00191D2F"/>
    <w:rsid w:val="00191F69"/>
    <w:rsid w:val="00192102"/>
    <w:rsid w:val="001922D9"/>
    <w:rsid w:val="001923E3"/>
    <w:rsid w:val="00192618"/>
    <w:rsid w:val="00192812"/>
    <w:rsid w:val="001939D9"/>
    <w:rsid w:val="00193BFC"/>
    <w:rsid w:val="00194333"/>
    <w:rsid w:val="00194854"/>
    <w:rsid w:val="00194AA1"/>
    <w:rsid w:val="00194BA9"/>
    <w:rsid w:val="00194EE1"/>
    <w:rsid w:val="00195F54"/>
    <w:rsid w:val="00196502"/>
    <w:rsid w:val="00196AC3"/>
    <w:rsid w:val="00196E4C"/>
    <w:rsid w:val="0019742F"/>
    <w:rsid w:val="0019755B"/>
    <w:rsid w:val="00197758"/>
    <w:rsid w:val="00197965"/>
    <w:rsid w:val="00197B08"/>
    <w:rsid w:val="00197D1E"/>
    <w:rsid w:val="00197DE3"/>
    <w:rsid w:val="001A0917"/>
    <w:rsid w:val="001A1150"/>
    <w:rsid w:val="001A16F2"/>
    <w:rsid w:val="001A17A2"/>
    <w:rsid w:val="001A1BF2"/>
    <w:rsid w:val="001A1E4A"/>
    <w:rsid w:val="001A2021"/>
    <w:rsid w:val="001A251B"/>
    <w:rsid w:val="001A2986"/>
    <w:rsid w:val="001A2B30"/>
    <w:rsid w:val="001A2D26"/>
    <w:rsid w:val="001A30B3"/>
    <w:rsid w:val="001A3E87"/>
    <w:rsid w:val="001A44AC"/>
    <w:rsid w:val="001A497E"/>
    <w:rsid w:val="001A49C9"/>
    <w:rsid w:val="001A4AC1"/>
    <w:rsid w:val="001A579A"/>
    <w:rsid w:val="001A584F"/>
    <w:rsid w:val="001A594E"/>
    <w:rsid w:val="001A5CD7"/>
    <w:rsid w:val="001A60F2"/>
    <w:rsid w:val="001A6298"/>
    <w:rsid w:val="001A6DAD"/>
    <w:rsid w:val="001A7113"/>
    <w:rsid w:val="001A753E"/>
    <w:rsid w:val="001A7D44"/>
    <w:rsid w:val="001A7F0F"/>
    <w:rsid w:val="001B030E"/>
    <w:rsid w:val="001B063C"/>
    <w:rsid w:val="001B0689"/>
    <w:rsid w:val="001B0DA6"/>
    <w:rsid w:val="001B0DD9"/>
    <w:rsid w:val="001B0F8B"/>
    <w:rsid w:val="001B14E4"/>
    <w:rsid w:val="001B1BCE"/>
    <w:rsid w:val="001B20F4"/>
    <w:rsid w:val="001B2292"/>
    <w:rsid w:val="001B22CF"/>
    <w:rsid w:val="001B25DA"/>
    <w:rsid w:val="001B263B"/>
    <w:rsid w:val="001B2AEE"/>
    <w:rsid w:val="001B3329"/>
    <w:rsid w:val="001B3622"/>
    <w:rsid w:val="001B3854"/>
    <w:rsid w:val="001B3A9E"/>
    <w:rsid w:val="001B43BC"/>
    <w:rsid w:val="001B56A2"/>
    <w:rsid w:val="001B5A8E"/>
    <w:rsid w:val="001B5C3F"/>
    <w:rsid w:val="001B6223"/>
    <w:rsid w:val="001B6B6B"/>
    <w:rsid w:val="001B7015"/>
    <w:rsid w:val="001B7A8D"/>
    <w:rsid w:val="001C05C4"/>
    <w:rsid w:val="001C0BBD"/>
    <w:rsid w:val="001C127F"/>
    <w:rsid w:val="001C1A16"/>
    <w:rsid w:val="001C203A"/>
    <w:rsid w:val="001C221B"/>
    <w:rsid w:val="001C2765"/>
    <w:rsid w:val="001C2A72"/>
    <w:rsid w:val="001C2B79"/>
    <w:rsid w:val="001C3A99"/>
    <w:rsid w:val="001C3EFA"/>
    <w:rsid w:val="001C4028"/>
    <w:rsid w:val="001C4A7A"/>
    <w:rsid w:val="001C502A"/>
    <w:rsid w:val="001C505F"/>
    <w:rsid w:val="001C53C6"/>
    <w:rsid w:val="001C5460"/>
    <w:rsid w:val="001C56D8"/>
    <w:rsid w:val="001C576B"/>
    <w:rsid w:val="001C577A"/>
    <w:rsid w:val="001C59E3"/>
    <w:rsid w:val="001C5D45"/>
    <w:rsid w:val="001C60E3"/>
    <w:rsid w:val="001C621F"/>
    <w:rsid w:val="001C64FC"/>
    <w:rsid w:val="001C677D"/>
    <w:rsid w:val="001C6791"/>
    <w:rsid w:val="001C7024"/>
    <w:rsid w:val="001C7E82"/>
    <w:rsid w:val="001D085B"/>
    <w:rsid w:val="001D0B24"/>
    <w:rsid w:val="001D0B98"/>
    <w:rsid w:val="001D0F8F"/>
    <w:rsid w:val="001D124F"/>
    <w:rsid w:val="001D15C1"/>
    <w:rsid w:val="001D1EB5"/>
    <w:rsid w:val="001D1FEB"/>
    <w:rsid w:val="001D2097"/>
    <w:rsid w:val="001D2681"/>
    <w:rsid w:val="001D3679"/>
    <w:rsid w:val="001D459D"/>
    <w:rsid w:val="001D45FA"/>
    <w:rsid w:val="001D56E3"/>
    <w:rsid w:val="001D57AA"/>
    <w:rsid w:val="001D5B18"/>
    <w:rsid w:val="001D6C05"/>
    <w:rsid w:val="001D7159"/>
    <w:rsid w:val="001D734E"/>
    <w:rsid w:val="001D7438"/>
    <w:rsid w:val="001D7CB4"/>
    <w:rsid w:val="001D7E35"/>
    <w:rsid w:val="001E0176"/>
    <w:rsid w:val="001E05A1"/>
    <w:rsid w:val="001E0A62"/>
    <w:rsid w:val="001E0F01"/>
    <w:rsid w:val="001E152F"/>
    <w:rsid w:val="001E1EC6"/>
    <w:rsid w:val="001E2955"/>
    <w:rsid w:val="001E3017"/>
    <w:rsid w:val="001E361F"/>
    <w:rsid w:val="001E3650"/>
    <w:rsid w:val="001E38F9"/>
    <w:rsid w:val="001E3DF7"/>
    <w:rsid w:val="001E401E"/>
    <w:rsid w:val="001E4241"/>
    <w:rsid w:val="001E5562"/>
    <w:rsid w:val="001E5CAF"/>
    <w:rsid w:val="001E61F7"/>
    <w:rsid w:val="001E6563"/>
    <w:rsid w:val="001E6C4E"/>
    <w:rsid w:val="001E6E0F"/>
    <w:rsid w:val="001E78BD"/>
    <w:rsid w:val="001E7C29"/>
    <w:rsid w:val="001F0014"/>
    <w:rsid w:val="001F0209"/>
    <w:rsid w:val="001F0632"/>
    <w:rsid w:val="001F0D77"/>
    <w:rsid w:val="001F0DE9"/>
    <w:rsid w:val="001F10C9"/>
    <w:rsid w:val="001F131B"/>
    <w:rsid w:val="001F1462"/>
    <w:rsid w:val="001F1973"/>
    <w:rsid w:val="001F1DEC"/>
    <w:rsid w:val="001F388F"/>
    <w:rsid w:val="001F410E"/>
    <w:rsid w:val="001F4133"/>
    <w:rsid w:val="001F4492"/>
    <w:rsid w:val="001F44E0"/>
    <w:rsid w:val="001F49F2"/>
    <w:rsid w:val="001F4B06"/>
    <w:rsid w:val="001F4BA5"/>
    <w:rsid w:val="001F51F2"/>
    <w:rsid w:val="001F61BB"/>
    <w:rsid w:val="001F6249"/>
    <w:rsid w:val="001F627B"/>
    <w:rsid w:val="001F62CC"/>
    <w:rsid w:val="001F6918"/>
    <w:rsid w:val="001F6948"/>
    <w:rsid w:val="001F6E52"/>
    <w:rsid w:val="001F731B"/>
    <w:rsid w:val="001F73A9"/>
    <w:rsid w:val="001F77EF"/>
    <w:rsid w:val="001F7909"/>
    <w:rsid w:val="001F7BE8"/>
    <w:rsid w:val="00200AF5"/>
    <w:rsid w:val="002018E2"/>
    <w:rsid w:val="00201B77"/>
    <w:rsid w:val="00202250"/>
    <w:rsid w:val="002022B1"/>
    <w:rsid w:val="00202506"/>
    <w:rsid w:val="002026B3"/>
    <w:rsid w:val="0020280D"/>
    <w:rsid w:val="00202E24"/>
    <w:rsid w:val="002030BF"/>
    <w:rsid w:val="0020310F"/>
    <w:rsid w:val="0020342A"/>
    <w:rsid w:val="0020351D"/>
    <w:rsid w:val="00203894"/>
    <w:rsid w:val="00203A61"/>
    <w:rsid w:val="00203C11"/>
    <w:rsid w:val="00203F78"/>
    <w:rsid w:val="0020477E"/>
    <w:rsid w:val="00204C05"/>
    <w:rsid w:val="00204E38"/>
    <w:rsid w:val="00205234"/>
    <w:rsid w:val="0020563D"/>
    <w:rsid w:val="00205829"/>
    <w:rsid w:val="00205A02"/>
    <w:rsid w:val="00205B65"/>
    <w:rsid w:val="00206172"/>
    <w:rsid w:val="0020620C"/>
    <w:rsid w:val="002068FA"/>
    <w:rsid w:val="00206A67"/>
    <w:rsid w:val="002078C3"/>
    <w:rsid w:val="002102D3"/>
    <w:rsid w:val="002106F7"/>
    <w:rsid w:val="00210C35"/>
    <w:rsid w:val="00210CB9"/>
    <w:rsid w:val="00211045"/>
    <w:rsid w:val="00211050"/>
    <w:rsid w:val="0021132C"/>
    <w:rsid w:val="00211AE1"/>
    <w:rsid w:val="00211BEA"/>
    <w:rsid w:val="00211D4E"/>
    <w:rsid w:val="0021263D"/>
    <w:rsid w:val="002128F2"/>
    <w:rsid w:val="00212B0D"/>
    <w:rsid w:val="00212E44"/>
    <w:rsid w:val="00212ED0"/>
    <w:rsid w:val="00213AEE"/>
    <w:rsid w:val="00213B3C"/>
    <w:rsid w:val="00214157"/>
    <w:rsid w:val="00214320"/>
    <w:rsid w:val="002157E8"/>
    <w:rsid w:val="0021581F"/>
    <w:rsid w:val="00216441"/>
    <w:rsid w:val="002165C8"/>
    <w:rsid w:val="002168D9"/>
    <w:rsid w:val="0021693A"/>
    <w:rsid w:val="00216D60"/>
    <w:rsid w:val="00217471"/>
    <w:rsid w:val="00220076"/>
    <w:rsid w:val="002200BB"/>
    <w:rsid w:val="0022046E"/>
    <w:rsid w:val="0022073C"/>
    <w:rsid w:val="00221020"/>
    <w:rsid w:val="0022163F"/>
    <w:rsid w:val="00221CCB"/>
    <w:rsid w:val="00221DB3"/>
    <w:rsid w:val="00221ED4"/>
    <w:rsid w:val="00222277"/>
    <w:rsid w:val="0022282B"/>
    <w:rsid w:val="00222B80"/>
    <w:rsid w:val="00222E1F"/>
    <w:rsid w:val="0022359C"/>
    <w:rsid w:val="002239A2"/>
    <w:rsid w:val="00223E6D"/>
    <w:rsid w:val="002240C1"/>
    <w:rsid w:val="00224168"/>
    <w:rsid w:val="00224298"/>
    <w:rsid w:val="002242E9"/>
    <w:rsid w:val="00224417"/>
    <w:rsid w:val="00224938"/>
    <w:rsid w:val="00224D3E"/>
    <w:rsid w:val="002250C4"/>
    <w:rsid w:val="00225248"/>
    <w:rsid w:val="00225975"/>
    <w:rsid w:val="00225AFE"/>
    <w:rsid w:val="002260A4"/>
    <w:rsid w:val="0022640B"/>
    <w:rsid w:val="00226584"/>
    <w:rsid w:val="00226ADE"/>
    <w:rsid w:val="00226D1B"/>
    <w:rsid w:val="00227811"/>
    <w:rsid w:val="00227D00"/>
    <w:rsid w:val="0023034D"/>
    <w:rsid w:val="00231380"/>
    <w:rsid w:val="00231598"/>
    <w:rsid w:val="002317AF"/>
    <w:rsid w:val="00231A45"/>
    <w:rsid w:val="00231CF8"/>
    <w:rsid w:val="00231E36"/>
    <w:rsid w:val="00233370"/>
    <w:rsid w:val="00233434"/>
    <w:rsid w:val="00233B1C"/>
    <w:rsid w:val="00233F11"/>
    <w:rsid w:val="002343A9"/>
    <w:rsid w:val="00234446"/>
    <w:rsid w:val="00234A45"/>
    <w:rsid w:val="00234D78"/>
    <w:rsid w:val="00234E8B"/>
    <w:rsid w:val="00234E8E"/>
    <w:rsid w:val="00234E92"/>
    <w:rsid w:val="00235153"/>
    <w:rsid w:val="00235AE4"/>
    <w:rsid w:val="00235E8A"/>
    <w:rsid w:val="00235F3D"/>
    <w:rsid w:val="0023688D"/>
    <w:rsid w:val="002369B0"/>
    <w:rsid w:val="00236A33"/>
    <w:rsid w:val="00236E5E"/>
    <w:rsid w:val="0023749D"/>
    <w:rsid w:val="00237FE5"/>
    <w:rsid w:val="0024019F"/>
    <w:rsid w:val="00240789"/>
    <w:rsid w:val="00240BF7"/>
    <w:rsid w:val="00241CD9"/>
    <w:rsid w:val="00242B34"/>
    <w:rsid w:val="00243069"/>
    <w:rsid w:val="0024349A"/>
    <w:rsid w:val="002438E1"/>
    <w:rsid w:val="00243DCD"/>
    <w:rsid w:val="00244FD2"/>
    <w:rsid w:val="00245B34"/>
    <w:rsid w:val="0024601E"/>
    <w:rsid w:val="002460CE"/>
    <w:rsid w:val="002462B2"/>
    <w:rsid w:val="00246539"/>
    <w:rsid w:val="00247202"/>
    <w:rsid w:val="00247233"/>
    <w:rsid w:val="00247730"/>
    <w:rsid w:val="002479BE"/>
    <w:rsid w:val="00247DAF"/>
    <w:rsid w:val="00247F33"/>
    <w:rsid w:val="002500DF"/>
    <w:rsid w:val="002500E5"/>
    <w:rsid w:val="00250105"/>
    <w:rsid w:val="00250821"/>
    <w:rsid w:val="002511B9"/>
    <w:rsid w:val="00251CD1"/>
    <w:rsid w:val="00251D3E"/>
    <w:rsid w:val="0025203A"/>
    <w:rsid w:val="0025249D"/>
    <w:rsid w:val="0025249E"/>
    <w:rsid w:val="002525B0"/>
    <w:rsid w:val="002528C2"/>
    <w:rsid w:val="00253370"/>
    <w:rsid w:val="002535D2"/>
    <w:rsid w:val="002537BB"/>
    <w:rsid w:val="00254005"/>
    <w:rsid w:val="00254D1B"/>
    <w:rsid w:val="00254F75"/>
    <w:rsid w:val="00254FC2"/>
    <w:rsid w:val="0025519D"/>
    <w:rsid w:val="00255C9D"/>
    <w:rsid w:val="00256B06"/>
    <w:rsid w:val="002570B3"/>
    <w:rsid w:val="002572B9"/>
    <w:rsid w:val="002572BD"/>
    <w:rsid w:val="00257896"/>
    <w:rsid w:val="002603D4"/>
    <w:rsid w:val="00260802"/>
    <w:rsid w:val="00260E56"/>
    <w:rsid w:val="002610BE"/>
    <w:rsid w:val="002612D0"/>
    <w:rsid w:val="0026145E"/>
    <w:rsid w:val="0026179E"/>
    <w:rsid w:val="00261C22"/>
    <w:rsid w:val="00261F8B"/>
    <w:rsid w:val="002626D0"/>
    <w:rsid w:val="00262BFE"/>
    <w:rsid w:val="00262E1F"/>
    <w:rsid w:val="0026325F"/>
    <w:rsid w:val="00263814"/>
    <w:rsid w:val="002638A7"/>
    <w:rsid w:val="00263CD5"/>
    <w:rsid w:val="002641E8"/>
    <w:rsid w:val="00264332"/>
    <w:rsid w:val="002647B5"/>
    <w:rsid w:val="002654C0"/>
    <w:rsid w:val="002657EC"/>
    <w:rsid w:val="002657EF"/>
    <w:rsid w:val="002664A8"/>
    <w:rsid w:val="002664F9"/>
    <w:rsid w:val="002668C2"/>
    <w:rsid w:val="00266ED9"/>
    <w:rsid w:val="00267145"/>
    <w:rsid w:val="002674F1"/>
    <w:rsid w:val="002675A6"/>
    <w:rsid w:val="00267856"/>
    <w:rsid w:val="00267BE5"/>
    <w:rsid w:val="00267CBE"/>
    <w:rsid w:val="00267E00"/>
    <w:rsid w:val="002705F4"/>
    <w:rsid w:val="002709F1"/>
    <w:rsid w:val="00270C8B"/>
    <w:rsid w:val="00270E7B"/>
    <w:rsid w:val="0027113A"/>
    <w:rsid w:val="00271599"/>
    <w:rsid w:val="00271CFC"/>
    <w:rsid w:val="00272435"/>
    <w:rsid w:val="0027284E"/>
    <w:rsid w:val="00272864"/>
    <w:rsid w:val="00272ABC"/>
    <w:rsid w:val="00273186"/>
    <w:rsid w:val="0027330C"/>
    <w:rsid w:val="00273F23"/>
    <w:rsid w:val="00274187"/>
    <w:rsid w:val="002745C0"/>
    <w:rsid w:val="00274AD6"/>
    <w:rsid w:val="00275F2B"/>
    <w:rsid w:val="00275FDE"/>
    <w:rsid w:val="00276257"/>
    <w:rsid w:val="00276422"/>
    <w:rsid w:val="002765D8"/>
    <w:rsid w:val="002767C0"/>
    <w:rsid w:val="002770D7"/>
    <w:rsid w:val="00277114"/>
    <w:rsid w:val="00277383"/>
    <w:rsid w:val="002773F8"/>
    <w:rsid w:val="002777BA"/>
    <w:rsid w:val="00277DFD"/>
    <w:rsid w:val="00280818"/>
    <w:rsid w:val="0028083C"/>
    <w:rsid w:val="00280A24"/>
    <w:rsid w:val="002811A8"/>
    <w:rsid w:val="002813DA"/>
    <w:rsid w:val="002814C1"/>
    <w:rsid w:val="00281D56"/>
    <w:rsid w:val="00281E03"/>
    <w:rsid w:val="00281F4A"/>
    <w:rsid w:val="0028206C"/>
    <w:rsid w:val="0028279F"/>
    <w:rsid w:val="00282E27"/>
    <w:rsid w:val="00282E2B"/>
    <w:rsid w:val="0028325D"/>
    <w:rsid w:val="00283533"/>
    <w:rsid w:val="00283B42"/>
    <w:rsid w:val="00283BC6"/>
    <w:rsid w:val="002842AC"/>
    <w:rsid w:val="0028478A"/>
    <w:rsid w:val="00284985"/>
    <w:rsid w:val="00284B9E"/>
    <w:rsid w:val="00284BA8"/>
    <w:rsid w:val="00284C4E"/>
    <w:rsid w:val="0028508A"/>
    <w:rsid w:val="0028508B"/>
    <w:rsid w:val="00285A7D"/>
    <w:rsid w:val="00285DDF"/>
    <w:rsid w:val="00285E4C"/>
    <w:rsid w:val="00286816"/>
    <w:rsid w:val="00286E02"/>
    <w:rsid w:val="00287241"/>
    <w:rsid w:val="002872A4"/>
    <w:rsid w:val="00287491"/>
    <w:rsid w:val="0028789A"/>
    <w:rsid w:val="0028799E"/>
    <w:rsid w:val="00290145"/>
    <w:rsid w:val="0029044E"/>
    <w:rsid w:val="002905C6"/>
    <w:rsid w:val="002906AA"/>
    <w:rsid w:val="002908AB"/>
    <w:rsid w:val="00291BF8"/>
    <w:rsid w:val="00292737"/>
    <w:rsid w:val="00292797"/>
    <w:rsid w:val="00292A1D"/>
    <w:rsid w:val="00293327"/>
    <w:rsid w:val="00293643"/>
    <w:rsid w:val="00293647"/>
    <w:rsid w:val="00293C23"/>
    <w:rsid w:val="00293D40"/>
    <w:rsid w:val="00293E2C"/>
    <w:rsid w:val="0029467D"/>
    <w:rsid w:val="0029468D"/>
    <w:rsid w:val="002946AC"/>
    <w:rsid w:val="00294CE8"/>
    <w:rsid w:val="0029500E"/>
    <w:rsid w:val="002954E9"/>
    <w:rsid w:val="002956B3"/>
    <w:rsid w:val="00295809"/>
    <w:rsid w:val="00295B70"/>
    <w:rsid w:val="00296497"/>
    <w:rsid w:val="0029674B"/>
    <w:rsid w:val="00296C6F"/>
    <w:rsid w:val="00296D6B"/>
    <w:rsid w:val="00297B5C"/>
    <w:rsid w:val="002A0299"/>
    <w:rsid w:val="002A05C3"/>
    <w:rsid w:val="002A0900"/>
    <w:rsid w:val="002A118F"/>
    <w:rsid w:val="002A1376"/>
    <w:rsid w:val="002A1517"/>
    <w:rsid w:val="002A1923"/>
    <w:rsid w:val="002A2552"/>
    <w:rsid w:val="002A2615"/>
    <w:rsid w:val="002A28A0"/>
    <w:rsid w:val="002A2F09"/>
    <w:rsid w:val="002A3373"/>
    <w:rsid w:val="002A3557"/>
    <w:rsid w:val="002A3786"/>
    <w:rsid w:val="002A38BB"/>
    <w:rsid w:val="002A3C21"/>
    <w:rsid w:val="002A5111"/>
    <w:rsid w:val="002A528B"/>
    <w:rsid w:val="002A55F4"/>
    <w:rsid w:val="002A58F3"/>
    <w:rsid w:val="002A5AD3"/>
    <w:rsid w:val="002A5C87"/>
    <w:rsid w:val="002A5D81"/>
    <w:rsid w:val="002A5E27"/>
    <w:rsid w:val="002A5FA6"/>
    <w:rsid w:val="002A62FD"/>
    <w:rsid w:val="002A6344"/>
    <w:rsid w:val="002A6BEC"/>
    <w:rsid w:val="002A7441"/>
    <w:rsid w:val="002A77E6"/>
    <w:rsid w:val="002A79D3"/>
    <w:rsid w:val="002B08B4"/>
    <w:rsid w:val="002B0F37"/>
    <w:rsid w:val="002B1456"/>
    <w:rsid w:val="002B19A4"/>
    <w:rsid w:val="002B221B"/>
    <w:rsid w:val="002B25F0"/>
    <w:rsid w:val="002B2ABA"/>
    <w:rsid w:val="002B2F61"/>
    <w:rsid w:val="002B3222"/>
    <w:rsid w:val="002B32E3"/>
    <w:rsid w:val="002B3466"/>
    <w:rsid w:val="002B351D"/>
    <w:rsid w:val="002B3CFB"/>
    <w:rsid w:val="002B3F8B"/>
    <w:rsid w:val="002B43A2"/>
    <w:rsid w:val="002B4784"/>
    <w:rsid w:val="002B505C"/>
    <w:rsid w:val="002B51C9"/>
    <w:rsid w:val="002B5220"/>
    <w:rsid w:val="002B5ABD"/>
    <w:rsid w:val="002B5BDE"/>
    <w:rsid w:val="002B5DA7"/>
    <w:rsid w:val="002B5DE9"/>
    <w:rsid w:val="002B62CB"/>
    <w:rsid w:val="002B6694"/>
    <w:rsid w:val="002B6846"/>
    <w:rsid w:val="002B758D"/>
    <w:rsid w:val="002B7966"/>
    <w:rsid w:val="002B7E61"/>
    <w:rsid w:val="002C0170"/>
    <w:rsid w:val="002C04D8"/>
    <w:rsid w:val="002C07FA"/>
    <w:rsid w:val="002C0F24"/>
    <w:rsid w:val="002C0FCE"/>
    <w:rsid w:val="002C12DD"/>
    <w:rsid w:val="002C133E"/>
    <w:rsid w:val="002C1804"/>
    <w:rsid w:val="002C1D21"/>
    <w:rsid w:val="002C23EF"/>
    <w:rsid w:val="002C27BE"/>
    <w:rsid w:val="002C2DE0"/>
    <w:rsid w:val="002C3867"/>
    <w:rsid w:val="002C3DE5"/>
    <w:rsid w:val="002C3F19"/>
    <w:rsid w:val="002C47C5"/>
    <w:rsid w:val="002C49B0"/>
    <w:rsid w:val="002C510E"/>
    <w:rsid w:val="002C54EE"/>
    <w:rsid w:val="002C5B89"/>
    <w:rsid w:val="002C614F"/>
    <w:rsid w:val="002C629B"/>
    <w:rsid w:val="002C69AE"/>
    <w:rsid w:val="002C7073"/>
    <w:rsid w:val="002C7DE0"/>
    <w:rsid w:val="002D0513"/>
    <w:rsid w:val="002D16C4"/>
    <w:rsid w:val="002D17F8"/>
    <w:rsid w:val="002D2257"/>
    <w:rsid w:val="002D25F7"/>
    <w:rsid w:val="002D2714"/>
    <w:rsid w:val="002D345E"/>
    <w:rsid w:val="002D38E5"/>
    <w:rsid w:val="002D3DDA"/>
    <w:rsid w:val="002D41C1"/>
    <w:rsid w:val="002D421E"/>
    <w:rsid w:val="002D4975"/>
    <w:rsid w:val="002D49DD"/>
    <w:rsid w:val="002D4A31"/>
    <w:rsid w:val="002D4DF8"/>
    <w:rsid w:val="002D5383"/>
    <w:rsid w:val="002D5860"/>
    <w:rsid w:val="002D5993"/>
    <w:rsid w:val="002D59BE"/>
    <w:rsid w:val="002D608A"/>
    <w:rsid w:val="002D624A"/>
    <w:rsid w:val="002D6646"/>
    <w:rsid w:val="002D72F3"/>
    <w:rsid w:val="002D7431"/>
    <w:rsid w:val="002D752D"/>
    <w:rsid w:val="002D78F3"/>
    <w:rsid w:val="002D7ADF"/>
    <w:rsid w:val="002E00FC"/>
    <w:rsid w:val="002E02BD"/>
    <w:rsid w:val="002E0400"/>
    <w:rsid w:val="002E1C7E"/>
    <w:rsid w:val="002E1D0B"/>
    <w:rsid w:val="002E21E5"/>
    <w:rsid w:val="002E23EB"/>
    <w:rsid w:val="002E2536"/>
    <w:rsid w:val="002E337C"/>
    <w:rsid w:val="002E3561"/>
    <w:rsid w:val="002E48FD"/>
    <w:rsid w:val="002E4F8C"/>
    <w:rsid w:val="002E617F"/>
    <w:rsid w:val="002E6666"/>
    <w:rsid w:val="002E6BBE"/>
    <w:rsid w:val="002E7733"/>
    <w:rsid w:val="002F01E0"/>
    <w:rsid w:val="002F06A3"/>
    <w:rsid w:val="002F1903"/>
    <w:rsid w:val="002F1AC5"/>
    <w:rsid w:val="002F1D35"/>
    <w:rsid w:val="002F241D"/>
    <w:rsid w:val="002F2DC1"/>
    <w:rsid w:val="002F3084"/>
    <w:rsid w:val="002F3600"/>
    <w:rsid w:val="002F3761"/>
    <w:rsid w:val="002F3C93"/>
    <w:rsid w:val="002F4203"/>
    <w:rsid w:val="002F4657"/>
    <w:rsid w:val="002F4685"/>
    <w:rsid w:val="002F4718"/>
    <w:rsid w:val="002F5065"/>
    <w:rsid w:val="002F5094"/>
    <w:rsid w:val="002F5D75"/>
    <w:rsid w:val="002F6148"/>
    <w:rsid w:val="002F624E"/>
    <w:rsid w:val="002F6486"/>
    <w:rsid w:val="002F7027"/>
    <w:rsid w:val="002F7A47"/>
    <w:rsid w:val="002F7AEC"/>
    <w:rsid w:val="002F7BF3"/>
    <w:rsid w:val="002F7D93"/>
    <w:rsid w:val="0030092A"/>
    <w:rsid w:val="00300C09"/>
    <w:rsid w:val="00301044"/>
    <w:rsid w:val="003011A0"/>
    <w:rsid w:val="003015BD"/>
    <w:rsid w:val="00301FDD"/>
    <w:rsid w:val="00302071"/>
    <w:rsid w:val="003020BD"/>
    <w:rsid w:val="00302277"/>
    <w:rsid w:val="00302288"/>
    <w:rsid w:val="003024B7"/>
    <w:rsid w:val="003027DB"/>
    <w:rsid w:val="0030398D"/>
    <w:rsid w:val="003039EF"/>
    <w:rsid w:val="00303C7B"/>
    <w:rsid w:val="00304259"/>
    <w:rsid w:val="003055CB"/>
    <w:rsid w:val="00305738"/>
    <w:rsid w:val="00305A10"/>
    <w:rsid w:val="00306048"/>
    <w:rsid w:val="0030621E"/>
    <w:rsid w:val="003065F7"/>
    <w:rsid w:val="0030661A"/>
    <w:rsid w:val="003068DE"/>
    <w:rsid w:val="00306C5C"/>
    <w:rsid w:val="00306E2C"/>
    <w:rsid w:val="0030798F"/>
    <w:rsid w:val="00307B5A"/>
    <w:rsid w:val="003107C2"/>
    <w:rsid w:val="00311A25"/>
    <w:rsid w:val="00311FFB"/>
    <w:rsid w:val="003122C4"/>
    <w:rsid w:val="003125C1"/>
    <w:rsid w:val="0031479A"/>
    <w:rsid w:val="00314B45"/>
    <w:rsid w:val="00315ADA"/>
    <w:rsid w:val="00315C4E"/>
    <w:rsid w:val="003160C0"/>
    <w:rsid w:val="003164E5"/>
    <w:rsid w:val="00316F64"/>
    <w:rsid w:val="00317025"/>
    <w:rsid w:val="0031715A"/>
    <w:rsid w:val="0031730F"/>
    <w:rsid w:val="0031784F"/>
    <w:rsid w:val="00317881"/>
    <w:rsid w:val="003179FD"/>
    <w:rsid w:val="00317FEC"/>
    <w:rsid w:val="00320044"/>
    <w:rsid w:val="0032007D"/>
    <w:rsid w:val="00320666"/>
    <w:rsid w:val="003209B7"/>
    <w:rsid w:val="00320DF2"/>
    <w:rsid w:val="00321158"/>
    <w:rsid w:val="00321457"/>
    <w:rsid w:val="0032183A"/>
    <w:rsid w:val="00322406"/>
    <w:rsid w:val="0032260E"/>
    <w:rsid w:val="00322B55"/>
    <w:rsid w:val="00323437"/>
    <w:rsid w:val="003234CA"/>
    <w:rsid w:val="00323613"/>
    <w:rsid w:val="0032440A"/>
    <w:rsid w:val="00324873"/>
    <w:rsid w:val="00324E58"/>
    <w:rsid w:val="00324F4E"/>
    <w:rsid w:val="003250AD"/>
    <w:rsid w:val="003255CA"/>
    <w:rsid w:val="003262EF"/>
    <w:rsid w:val="0032735B"/>
    <w:rsid w:val="00327BDD"/>
    <w:rsid w:val="0033072B"/>
    <w:rsid w:val="00330863"/>
    <w:rsid w:val="00331487"/>
    <w:rsid w:val="003315F6"/>
    <w:rsid w:val="003316A1"/>
    <w:rsid w:val="00331AD5"/>
    <w:rsid w:val="00331BEE"/>
    <w:rsid w:val="00331E19"/>
    <w:rsid w:val="0033211B"/>
    <w:rsid w:val="0033222E"/>
    <w:rsid w:val="0033295F"/>
    <w:rsid w:val="00333636"/>
    <w:rsid w:val="003336F0"/>
    <w:rsid w:val="003336FB"/>
    <w:rsid w:val="0033391A"/>
    <w:rsid w:val="00333AB1"/>
    <w:rsid w:val="0033444C"/>
    <w:rsid w:val="0033479E"/>
    <w:rsid w:val="003347CD"/>
    <w:rsid w:val="00334B27"/>
    <w:rsid w:val="00335154"/>
    <w:rsid w:val="00335A0C"/>
    <w:rsid w:val="00335E8B"/>
    <w:rsid w:val="0033635D"/>
    <w:rsid w:val="003364CC"/>
    <w:rsid w:val="003366A6"/>
    <w:rsid w:val="00336AEE"/>
    <w:rsid w:val="00336B96"/>
    <w:rsid w:val="00336CA4"/>
    <w:rsid w:val="0033712F"/>
    <w:rsid w:val="003375C3"/>
    <w:rsid w:val="00337768"/>
    <w:rsid w:val="00337AEC"/>
    <w:rsid w:val="003401ED"/>
    <w:rsid w:val="00340781"/>
    <w:rsid w:val="00340A20"/>
    <w:rsid w:val="00340E23"/>
    <w:rsid w:val="00341005"/>
    <w:rsid w:val="00341382"/>
    <w:rsid w:val="003416D9"/>
    <w:rsid w:val="0034178C"/>
    <w:rsid w:val="00341D7C"/>
    <w:rsid w:val="003421CC"/>
    <w:rsid w:val="0034324F"/>
    <w:rsid w:val="0034342B"/>
    <w:rsid w:val="003436D8"/>
    <w:rsid w:val="00343A13"/>
    <w:rsid w:val="00343CCA"/>
    <w:rsid w:val="0034481F"/>
    <w:rsid w:val="00344F5D"/>
    <w:rsid w:val="0034575E"/>
    <w:rsid w:val="00345FF5"/>
    <w:rsid w:val="00346F20"/>
    <w:rsid w:val="003470C2"/>
    <w:rsid w:val="00347790"/>
    <w:rsid w:val="00347998"/>
    <w:rsid w:val="00347DBE"/>
    <w:rsid w:val="00347E84"/>
    <w:rsid w:val="00347F8D"/>
    <w:rsid w:val="00347FAB"/>
    <w:rsid w:val="0035027B"/>
    <w:rsid w:val="003512CF"/>
    <w:rsid w:val="00351AC2"/>
    <w:rsid w:val="003524D8"/>
    <w:rsid w:val="00352526"/>
    <w:rsid w:val="00352558"/>
    <w:rsid w:val="0035273E"/>
    <w:rsid w:val="00352F69"/>
    <w:rsid w:val="003531C7"/>
    <w:rsid w:val="00353CB0"/>
    <w:rsid w:val="00353F26"/>
    <w:rsid w:val="0035406A"/>
    <w:rsid w:val="0035489D"/>
    <w:rsid w:val="003548BE"/>
    <w:rsid w:val="00354B6C"/>
    <w:rsid w:val="00354F0E"/>
    <w:rsid w:val="00355B1D"/>
    <w:rsid w:val="00355D08"/>
    <w:rsid w:val="00356039"/>
    <w:rsid w:val="00356413"/>
    <w:rsid w:val="003564F2"/>
    <w:rsid w:val="00356510"/>
    <w:rsid w:val="003567A2"/>
    <w:rsid w:val="00356BB7"/>
    <w:rsid w:val="003571CD"/>
    <w:rsid w:val="003574F7"/>
    <w:rsid w:val="0035786D"/>
    <w:rsid w:val="00357938"/>
    <w:rsid w:val="00357C53"/>
    <w:rsid w:val="00357F46"/>
    <w:rsid w:val="003600C3"/>
    <w:rsid w:val="00361028"/>
    <w:rsid w:val="00361297"/>
    <w:rsid w:val="0036165F"/>
    <w:rsid w:val="00361728"/>
    <w:rsid w:val="0036189E"/>
    <w:rsid w:val="003622A7"/>
    <w:rsid w:val="00362677"/>
    <w:rsid w:val="00362855"/>
    <w:rsid w:val="00362F1B"/>
    <w:rsid w:val="00363608"/>
    <w:rsid w:val="00363B0B"/>
    <w:rsid w:val="00363BDE"/>
    <w:rsid w:val="00363D15"/>
    <w:rsid w:val="00363D28"/>
    <w:rsid w:val="00363DBD"/>
    <w:rsid w:val="003640F7"/>
    <w:rsid w:val="003641C8"/>
    <w:rsid w:val="003650FF"/>
    <w:rsid w:val="00365385"/>
    <w:rsid w:val="00365FC2"/>
    <w:rsid w:val="003669F4"/>
    <w:rsid w:val="00366CB8"/>
    <w:rsid w:val="00366D04"/>
    <w:rsid w:val="003670B6"/>
    <w:rsid w:val="003673A0"/>
    <w:rsid w:val="00367508"/>
    <w:rsid w:val="00367AD4"/>
    <w:rsid w:val="00367E48"/>
    <w:rsid w:val="00367F52"/>
    <w:rsid w:val="003707A4"/>
    <w:rsid w:val="0037132E"/>
    <w:rsid w:val="003714D3"/>
    <w:rsid w:val="00371DC9"/>
    <w:rsid w:val="003721DB"/>
    <w:rsid w:val="0037228D"/>
    <w:rsid w:val="003723DF"/>
    <w:rsid w:val="0037247E"/>
    <w:rsid w:val="00372FF7"/>
    <w:rsid w:val="00373232"/>
    <w:rsid w:val="00373429"/>
    <w:rsid w:val="00374009"/>
    <w:rsid w:val="00374126"/>
    <w:rsid w:val="00374482"/>
    <w:rsid w:val="003747AD"/>
    <w:rsid w:val="003750DD"/>
    <w:rsid w:val="003758BF"/>
    <w:rsid w:val="003758CA"/>
    <w:rsid w:val="00375AE8"/>
    <w:rsid w:val="00376100"/>
    <w:rsid w:val="003770A9"/>
    <w:rsid w:val="0037719F"/>
    <w:rsid w:val="0037737A"/>
    <w:rsid w:val="003777AE"/>
    <w:rsid w:val="00377B93"/>
    <w:rsid w:val="003801B9"/>
    <w:rsid w:val="003806E9"/>
    <w:rsid w:val="00380786"/>
    <w:rsid w:val="00380B7C"/>
    <w:rsid w:val="00380EA1"/>
    <w:rsid w:val="00380F6A"/>
    <w:rsid w:val="003810DA"/>
    <w:rsid w:val="003811C1"/>
    <w:rsid w:val="00381757"/>
    <w:rsid w:val="00382D11"/>
    <w:rsid w:val="003831E3"/>
    <w:rsid w:val="00383AAE"/>
    <w:rsid w:val="00383E4E"/>
    <w:rsid w:val="003840D3"/>
    <w:rsid w:val="0038417E"/>
    <w:rsid w:val="003847E4"/>
    <w:rsid w:val="00385BFD"/>
    <w:rsid w:val="00385F64"/>
    <w:rsid w:val="0038611F"/>
    <w:rsid w:val="00386971"/>
    <w:rsid w:val="00386F0C"/>
    <w:rsid w:val="00386F9A"/>
    <w:rsid w:val="00387287"/>
    <w:rsid w:val="00387486"/>
    <w:rsid w:val="003875E8"/>
    <w:rsid w:val="00387D47"/>
    <w:rsid w:val="00387E71"/>
    <w:rsid w:val="003903A5"/>
    <w:rsid w:val="00390527"/>
    <w:rsid w:val="003905CA"/>
    <w:rsid w:val="00391F78"/>
    <w:rsid w:val="00392188"/>
    <w:rsid w:val="00392560"/>
    <w:rsid w:val="00392B0A"/>
    <w:rsid w:val="00392E99"/>
    <w:rsid w:val="00393241"/>
    <w:rsid w:val="00393350"/>
    <w:rsid w:val="003942EE"/>
    <w:rsid w:val="00394C21"/>
    <w:rsid w:val="00394D0C"/>
    <w:rsid w:val="0039516A"/>
    <w:rsid w:val="0039547D"/>
    <w:rsid w:val="003954AC"/>
    <w:rsid w:val="00395712"/>
    <w:rsid w:val="0039626C"/>
    <w:rsid w:val="003963B5"/>
    <w:rsid w:val="00396601"/>
    <w:rsid w:val="00396EB2"/>
    <w:rsid w:val="003970BC"/>
    <w:rsid w:val="003977F6"/>
    <w:rsid w:val="0039788B"/>
    <w:rsid w:val="00397AAF"/>
    <w:rsid w:val="00397DE6"/>
    <w:rsid w:val="003A01F2"/>
    <w:rsid w:val="003A0FAF"/>
    <w:rsid w:val="003A102F"/>
    <w:rsid w:val="003A11EA"/>
    <w:rsid w:val="003A171F"/>
    <w:rsid w:val="003A173C"/>
    <w:rsid w:val="003A1BE9"/>
    <w:rsid w:val="003A1C9A"/>
    <w:rsid w:val="003A2789"/>
    <w:rsid w:val="003A3403"/>
    <w:rsid w:val="003A3CA0"/>
    <w:rsid w:val="003A4074"/>
    <w:rsid w:val="003A466E"/>
    <w:rsid w:val="003A46A8"/>
    <w:rsid w:val="003A48B0"/>
    <w:rsid w:val="003A5219"/>
    <w:rsid w:val="003A5299"/>
    <w:rsid w:val="003A5372"/>
    <w:rsid w:val="003A54A5"/>
    <w:rsid w:val="003A592A"/>
    <w:rsid w:val="003A5B9D"/>
    <w:rsid w:val="003A68B4"/>
    <w:rsid w:val="003A70F8"/>
    <w:rsid w:val="003A77C8"/>
    <w:rsid w:val="003A7F91"/>
    <w:rsid w:val="003B0440"/>
    <w:rsid w:val="003B0971"/>
    <w:rsid w:val="003B0B3E"/>
    <w:rsid w:val="003B0E68"/>
    <w:rsid w:val="003B11C3"/>
    <w:rsid w:val="003B17C5"/>
    <w:rsid w:val="003B1B69"/>
    <w:rsid w:val="003B215C"/>
    <w:rsid w:val="003B21CA"/>
    <w:rsid w:val="003B2233"/>
    <w:rsid w:val="003B231F"/>
    <w:rsid w:val="003B2A79"/>
    <w:rsid w:val="003B32FC"/>
    <w:rsid w:val="003B4345"/>
    <w:rsid w:val="003B45DC"/>
    <w:rsid w:val="003B45E9"/>
    <w:rsid w:val="003B4B0C"/>
    <w:rsid w:val="003B4DEC"/>
    <w:rsid w:val="003B54FD"/>
    <w:rsid w:val="003B5C2D"/>
    <w:rsid w:val="003B6162"/>
    <w:rsid w:val="003B6528"/>
    <w:rsid w:val="003B6735"/>
    <w:rsid w:val="003B67E3"/>
    <w:rsid w:val="003B68DF"/>
    <w:rsid w:val="003B70FC"/>
    <w:rsid w:val="003B73EE"/>
    <w:rsid w:val="003B7A89"/>
    <w:rsid w:val="003C0446"/>
    <w:rsid w:val="003C0568"/>
    <w:rsid w:val="003C0C73"/>
    <w:rsid w:val="003C0EA7"/>
    <w:rsid w:val="003C1611"/>
    <w:rsid w:val="003C1C76"/>
    <w:rsid w:val="003C290D"/>
    <w:rsid w:val="003C2BF3"/>
    <w:rsid w:val="003C2D66"/>
    <w:rsid w:val="003C2F90"/>
    <w:rsid w:val="003C3B22"/>
    <w:rsid w:val="003C3E2F"/>
    <w:rsid w:val="003C4B11"/>
    <w:rsid w:val="003C4FE3"/>
    <w:rsid w:val="003C500C"/>
    <w:rsid w:val="003C5620"/>
    <w:rsid w:val="003C586A"/>
    <w:rsid w:val="003C5AB9"/>
    <w:rsid w:val="003C64D3"/>
    <w:rsid w:val="003C68CA"/>
    <w:rsid w:val="003C6B5A"/>
    <w:rsid w:val="003C7237"/>
    <w:rsid w:val="003C7C1A"/>
    <w:rsid w:val="003D1546"/>
    <w:rsid w:val="003D1AA1"/>
    <w:rsid w:val="003D2C23"/>
    <w:rsid w:val="003D3E2D"/>
    <w:rsid w:val="003D461A"/>
    <w:rsid w:val="003D4868"/>
    <w:rsid w:val="003D4903"/>
    <w:rsid w:val="003D4A6D"/>
    <w:rsid w:val="003D53D6"/>
    <w:rsid w:val="003D5B3A"/>
    <w:rsid w:val="003D65D9"/>
    <w:rsid w:val="003D6AD1"/>
    <w:rsid w:val="003D6C8A"/>
    <w:rsid w:val="003D6E31"/>
    <w:rsid w:val="003D6FE3"/>
    <w:rsid w:val="003D711F"/>
    <w:rsid w:val="003D77D8"/>
    <w:rsid w:val="003D7DA2"/>
    <w:rsid w:val="003E0327"/>
    <w:rsid w:val="003E03CE"/>
    <w:rsid w:val="003E0CDB"/>
    <w:rsid w:val="003E15B4"/>
    <w:rsid w:val="003E1C96"/>
    <w:rsid w:val="003E1CBA"/>
    <w:rsid w:val="003E1F71"/>
    <w:rsid w:val="003E2279"/>
    <w:rsid w:val="003E266B"/>
    <w:rsid w:val="003E29DE"/>
    <w:rsid w:val="003E2B56"/>
    <w:rsid w:val="003E3586"/>
    <w:rsid w:val="003E3ABA"/>
    <w:rsid w:val="003E57C2"/>
    <w:rsid w:val="003E5B2E"/>
    <w:rsid w:val="003E5C8B"/>
    <w:rsid w:val="003E6089"/>
    <w:rsid w:val="003E627C"/>
    <w:rsid w:val="003E6852"/>
    <w:rsid w:val="003E7392"/>
    <w:rsid w:val="003E73EB"/>
    <w:rsid w:val="003E74DF"/>
    <w:rsid w:val="003E785A"/>
    <w:rsid w:val="003E7860"/>
    <w:rsid w:val="003E7D66"/>
    <w:rsid w:val="003E7D93"/>
    <w:rsid w:val="003E7E3D"/>
    <w:rsid w:val="003F0F21"/>
    <w:rsid w:val="003F1173"/>
    <w:rsid w:val="003F123E"/>
    <w:rsid w:val="003F13B3"/>
    <w:rsid w:val="003F1D79"/>
    <w:rsid w:val="003F22CA"/>
    <w:rsid w:val="003F2425"/>
    <w:rsid w:val="003F2900"/>
    <w:rsid w:val="003F2D3D"/>
    <w:rsid w:val="003F2F54"/>
    <w:rsid w:val="003F3430"/>
    <w:rsid w:val="003F34E0"/>
    <w:rsid w:val="003F354C"/>
    <w:rsid w:val="003F3A95"/>
    <w:rsid w:val="003F3AE0"/>
    <w:rsid w:val="003F3BC5"/>
    <w:rsid w:val="003F492C"/>
    <w:rsid w:val="003F5055"/>
    <w:rsid w:val="003F6490"/>
    <w:rsid w:val="003F7121"/>
    <w:rsid w:val="003F7169"/>
    <w:rsid w:val="003F77BC"/>
    <w:rsid w:val="00400132"/>
    <w:rsid w:val="0040014B"/>
    <w:rsid w:val="00400802"/>
    <w:rsid w:val="00400E97"/>
    <w:rsid w:val="00400EC8"/>
    <w:rsid w:val="0040122B"/>
    <w:rsid w:val="00401272"/>
    <w:rsid w:val="00401F01"/>
    <w:rsid w:val="00401F1F"/>
    <w:rsid w:val="004024C9"/>
    <w:rsid w:val="0040253E"/>
    <w:rsid w:val="00403422"/>
    <w:rsid w:val="00403EA8"/>
    <w:rsid w:val="00405E60"/>
    <w:rsid w:val="00405F42"/>
    <w:rsid w:val="00406452"/>
    <w:rsid w:val="00406578"/>
    <w:rsid w:val="0040676D"/>
    <w:rsid w:val="00406CA5"/>
    <w:rsid w:val="00407483"/>
    <w:rsid w:val="00407586"/>
    <w:rsid w:val="0040793A"/>
    <w:rsid w:val="00407C7F"/>
    <w:rsid w:val="00407CE5"/>
    <w:rsid w:val="00410544"/>
    <w:rsid w:val="00410E7B"/>
    <w:rsid w:val="0041108A"/>
    <w:rsid w:val="004113D4"/>
    <w:rsid w:val="00411F4F"/>
    <w:rsid w:val="00412A28"/>
    <w:rsid w:val="0041323A"/>
    <w:rsid w:val="004132CF"/>
    <w:rsid w:val="00414B3B"/>
    <w:rsid w:val="004156F1"/>
    <w:rsid w:val="00415B14"/>
    <w:rsid w:val="00415C0B"/>
    <w:rsid w:val="004162B1"/>
    <w:rsid w:val="00416AEF"/>
    <w:rsid w:val="00416B45"/>
    <w:rsid w:val="00416D14"/>
    <w:rsid w:val="0041701A"/>
    <w:rsid w:val="00417B1D"/>
    <w:rsid w:val="00417C3C"/>
    <w:rsid w:val="00417D9F"/>
    <w:rsid w:val="004205E1"/>
    <w:rsid w:val="004209B7"/>
    <w:rsid w:val="00420CFE"/>
    <w:rsid w:val="0042197D"/>
    <w:rsid w:val="00421E4E"/>
    <w:rsid w:val="00422057"/>
    <w:rsid w:val="00422D9E"/>
    <w:rsid w:val="00423396"/>
    <w:rsid w:val="00423735"/>
    <w:rsid w:val="00423C3A"/>
    <w:rsid w:val="00423EAD"/>
    <w:rsid w:val="00423F5D"/>
    <w:rsid w:val="00424365"/>
    <w:rsid w:val="00424483"/>
    <w:rsid w:val="004248E2"/>
    <w:rsid w:val="00424C10"/>
    <w:rsid w:val="00424E8C"/>
    <w:rsid w:val="00425B20"/>
    <w:rsid w:val="00425D10"/>
    <w:rsid w:val="004268C3"/>
    <w:rsid w:val="00426A97"/>
    <w:rsid w:val="00427A86"/>
    <w:rsid w:val="004304F5"/>
    <w:rsid w:val="00430D70"/>
    <w:rsid w:val="00430EBF"/>
    <w:rsid w:val="0043121A"/>
    <w:rsid w:val="004316DE"/>
    <w:rsid w:val="00431D59"/>
    <w:rsid w:val="0043446D"/>
    <w:rsid w:val="004348B5"/>
    <w:rsid w:val="00434C02"/>
    <w:rsid w:val="0043514A"/>
    <w:rsid w:val="004358DB"/>
    <w:rsid w:val="00435F65"/>
    <w:rsid w:val="0043623C"/>
    <w:rsid w:val="0043644E"/>
    <w:rsid w:val="00437251"/>
    <w:rsid w:val="0043725B"/>
    <w:rsid w:val="00437834"/>
    <w:rsid w:val="004378B8"/>
    <w:rsid w:val="00437AC4"/>
    <w:rsid w:val="00437C2C"/>
    <w:rsid w:val="0044025D"/>
    <w:rsid w:val="004405FA"/>
    <w:rsid w:val="0044077A"/>
    <w:rsid w:val="0044110C"/>
    <w:rsid w:val="004414EB"/>
    <w:rsid w:val="00441749"/>
    <w:rsid w:val="00441F64"/>
    <w:rsid w:val="004421E1"/>
    <w:rsid w:val="00442CCE"/>
    <w:rsid w:val="00442E1A"/>
    <w:rsid w:val="00442E8C"/>
    <w:rsid w:val="00443AAA"/>
    <w:rsid w:val="004440C2"/>
    <w:rsid w:val="00444597"/>
    <w:rsid w:val="004455EF"/>
    <w:rsid w:val="00445633"/>
    <w:rsid w:val="00445C35"/>
    <w:rsid w:val="00445D64"/>
    <w:rsid w:val="0044609E"/>
    <w:rsid w:val="00446D08"/>
    <w:rsid w:val="00446F71"/>
    <w:rsid w:val="004470DE"/>
    <w:rsid w:val="0044712D"/>
    <w:rsid w:val="004501B9"/>
    <w:rsid w:val="0045041B"/>
    <w:rsid w:val="00450604"/>
    <w:rsid w:val="00450A7C"/>
    <w:rsid w:val="00451696"/>
    <w:rsid w:val="00451774"/>
    <w:rsid w:val="0045185A"/>
    <w:rsid w:val="00452195"/>
    <w:rsid w:val="00452C19"/>
    <w:rsid w:val="00453D4C"/>
    <w:rsid w:val="004541AC"/>
    <w:rsid w:val="0045435C"/>
    <w:rsid w:val="004544D8"/>
    <w:rsid w:val="004546F5"/>
    <w:rsid w:val="004547F9"/>
    <w:rsid w:val="00454932"/>
    <w:rsid w:val="00454A59"/>
    <w:rsid w:val="00454AAD"/>
    <w:rsid w:val="00454D3E"/>
    <w:rsid w:val="0045549B"/>
    <w:rsid w:val="00456028"/>
    <w:rsid w:val="0045750B"/>
    <w:rsid w:val="004602F7"/>
    <w:rsid w:val="004607C1"/>
    <w:rsid w:val="0046082E"/>
    <w:rsid w:val="00460DB4"/>
    <w:rsid w:val="004617EE"/>
    <w:rsid w:val="00461D61"/>
    <w:rsid w:val="004620D0"/>
    <w:rsid w:val="00462207"/>
    <w:rsid w:val="004622D4"/>
    <w:rsid w:val="00462A23"/>
    <w:rsid w:val="00462AA0"/>
    <w:rsid w:val="00463248"/>
    <w:rsid w:val="00463496"/>
    <w:rsid w:val="004634A9"/>
    <w:rsid w:val="00463DDF"/>
    <w:rsid w:val="004643D6"/>
    <w:rsid w:val="00464D42"/>
    <w:rsid w:val="0046500E"/>
    <w:rsid w:val="0046544E"/>
    <w:rsid w:val="0046565B"/>
    <w:rsid w:val="00465A54"/>
    <w:rsid w:val="00465F2D"/>
    <w:rsid w:val="00466632"/>
    <w:rsid w:val="004669B2"/>
    <w:rsid w:val="0046717A"/>
    <w:rsid w:val="00467181"/>
    <w:rsid w:val="004673D9"/>
    <w:rsid w:val="00467BF4"/>
    <w:rsid w:val="00467F61"/>
    <w:rsid w:val="0047010E"/>
    <w:rsid w:val="004703E4"/>
    <w:rsid w:val="00470442"/>
    <w:rsid w:val="0047136E"/>
    <w:rsid w:val="00471A18"/>
    <w:rsid w:val="00471C19"/>
    <w:rsid w:val="004723D1"/>
    <w:rsid w:val="0047242D"/>
    <w:rsid w:val="0047249D"/>
    <w:rsid w:val="00472782"/>
    <w:rsid w:val="0047285B"/>
    <w:rsid w:val="00472ACC"/>
    <w:rsid w:val="00472F5D"/>
    <w:rsid w:val="004731BC"/>
    <w:rsid w:val="00474A34"/>
    <w:rsid w:val="0047541A"/>
    <w:rsid w:val="00475907"/>
    <w:rsid w:val="0047620B"/>
    <w:rsid w:val="004763E0"/>
    <w:rsid w:val="00477E70"/>
    <w:rsid w:val="00480204"/>
    <w:rsid w:val="00480B1E"/>
    <w:rsid w:val="00481FE1"/>
    <w:rsid w:val="00482271"/>
    <w:rsid w:val="00482936"/>
    <w:rsid w:val="00483987"/>
    <w:rsid w:val="00483A63"/>
    <w:rsid w:val="00483EE2"/>
    <w:rsid w:val="00483FA3"/>
    <w:rsid w:val="00483FCB"/>
    <w:rsid w:val="004840B6"/>
    <w:rsid w:val="004840FE"/>
    <w:rsid w:val="00484B9D"/>
    <w:rsid w:val="00484BC6"/>
    <w:rsid w:val="0048528B"/>
    <w:rsid w:val="0048540A"/>
    <w:rsid w:val="004855BD"/>
    <w:rsid w:val="004859B2"/>
    <w:rsid w:val="00485D9F"/>
    <w:rsid w:val="00485E6A"/>
    <w:rsid w:val="0048713A"/>
    <w:rsid w:val="004905B1"/>
    <w:rsid w:val="00490742"/>
    <w:rsid w:val="004914CA"/>
    <w:rsid w:val="00491C6B"/>
    <w:rsid w:val="00491C9E"/>
    <w:rsid w:val="00491C9F"/>
    <w:rsid w:val="00492198"/>
    <w:rsid w:val="004923E4"/>
    <w:rsid w:val="0049324B"/>
    <w:rsid w:val="004932C0"/>
    <w:rsid w:val="00493639"/>
    <w:rsid w:val="004937E8"/>
    <w:rsid w:val="00493C90"/>
    <w:rsid w:val="00493F18"/>
    <w:rsid w:val="0049415E"/>
    <w:rsid w:val="004946C8"/>
    <w:rsid w:val="00494C24"/>
    <w:rsid w:val="00495218"/>
    <w:rsid w:val="00495BB7"/>
    <w:rsid w:val="00495CF0"/>
    <w:rsid w:val="00495EDC"/>
    <w:rsid w:val="004962A7"/>
    <w:rsid w:val="004962CF"/>
    <w:rsid w:val="00496BD2"/>
    <w:rsid w:val="004A03A0"/>
    <w:rsid w:val="004A1146"/>
    <w:rsid w:val="004A1157"/>
    <w:rsid w:val="004A1475"/>
    <w:rsid w:val="004A1EB8"/>
    <w:rsid w:val="004A281B"/>
    <w:rsid w:val="004A2830"/>
    <w:rsid w:val="004A311B"/>
    <w:rsid w:val="004A3369"/>
    <w:rsid w:val="004A39D9"/>
    <w:rsid w:val="004A40E3"/>
    <w:rsid w:val="004A4120"/>
    <w:rsid w:val="004A4A42"/>
    <w:rsid w:val="004A4FD1"/>
    <w:rsid w:val="004A54CF"/>
    <w:rsid w:val="004A5607"/>
    <w:rsid w:val="004A59EE"/>
    <w:rsid w:val="004A6F41"/>
    <w:rsid w:val="004A6F99"/>
    <w:rsid w:val="004A7D62"/>
    <w:rsid w:val="004B024E"/>
    <w:rsid w:val="004B13C1"/>
    <w:rsid w:val="004B153F"/>
    <w:rsid w:val="004B1808"/>
    <w:rsid w:val="004B189A"/>
    <w:rsid w:val="004B1F50"/>
    <w:rsid w:val="004B20AE"/>
    <w:rsid w:val="004B276B"/>
    <w:rsid w:val="004B27DC"/>
    <w:rsid w:val="004B2B5C"/>
    <w:rsid w:val="004B2D0B"/>
    <w:rsid w:val="004B331C"/>
    <w:rsid w:val="004B3955"/>
    <w:rsid w:val="004B46D0"/>
    <w:rsid w:val="004B49B7"/>
    <w:rsid w:val="004B60FB"/>
    <w:rsid w:val="004B612C"/>
    <w:rsid w:val="004B6303"/>
    <w:rsid w:val="004B6340"/>
    <w:rsid w:val="004B6777"/>
    <w:rsid w:val="004B69B5"/>
    <w:rsid w:val="004B6C12"/>
    <w:rsid w:val="004B70C2"/>
    <w:rsid w:val="004B7231"/>
    <w:rsid w:val="004B764F"/>
    <w:rsid w:val="004B79B1"/>
    <w:rsid w:val="004C059F"/>
    <w:rsid w:val="004C05DE"/>
    <w:rsid w:val="004C0675"/>
    <w:rsid w:val="004C0680"/>
    <w:rsid w:val="004C0C60"/>
    <w:rsid w:val="004C1065"/>
    <w:rsid w:val="004C10E9"/>
    <w:rsid w:val="004C127C"/>
    <w:rsid w:val="004C1292"/>
    <w:rsid w:val="004C177B"/>
    <w:rsid w:val="004C1DCA"/>
    <w:rsid w:val="004C2261"/>
    <w:rsid w:val="004C2C55"/>
    <w:rsid w:val="004C2DEA"/>
    <w:rsid w:val="004C2E7E"/>
    <w:rsid w:val="004C314C"/>
    <w:rsid w:val="004C33C6"/>
    <w:rsid w:val="004C3717"/>
    <w:rsid w:val="004C3CE0"/>
    <w:rsid w:val="004C427B"/>
    <w:rsid w:val="004C454A"/>
    <w:rsid w:val="004C4C9A"/>
    <w:rsid w:val="004C4F40"/>
    <w:rsid w:val="004C50E6"/>
    <w:rsid w:val="004C52E0"/>
    <w:rsid w:val="004C530D"/>
    <w:rsid w:val="004C708B"/>
    <w:rsid w:val="004C7878"/>
    <w:rsid w:val="004C7F9B"/>
    <w:rsid w:val="004D025E"/>
    <w:rsid w:val="004D03E2"/>
    <w:rsid w:val="004D1035"/>
    <w:rsid w:val="004D16E4"/>
    <w:rsid w:val="004D2095"/>
    <w:rsid w:val="004D23FB"/>
    <w:rsid w:val="004D279D"/>
    <w:rsid w:val="004D29FC"/>
    <w:rsid w:val="004D2BF7"/>
    <w:rsid w:val="004D2D60"/>
    <w:rsid w:val="004D2F82"/>
    <w:rsid w:val="004D3179"/>
    <w:rsid w:val="004D3263"/>
    <w:rsid w:val="004D3551"/>
    <w:rsid w:val="004D38A5"/>
    <w:rsid w:val="004D5203"/>
    <w:rsid w:val="004D52B7"/>
    <w:rsid w:val="004D73C3"/>
    <w:rsid w:val="004D73DB"/>
    <w:rsid w:val="004D7623"/>
    <w:rsid w:val="004E1255"/>
    <w:rsid w:val="004E163A"/>
    <w:rsid w:val="004E1A4B"/>
    <w:rsid w:val="004E1C0F"/>
    <w:rsid w:val="004E1C6D"/>
    <w:rsid w:val="004E1FAC"/>
    <w:rsid w:val="004E202B"/>
    <w:rsid w:val="004E3282"/>
    <w:rsid w:val="004E32F3"/>
    <w:rsid w:val="004E354F"/>
    <w:rsid w:val="004E35AF"/>
    <w:rsid w:val="004E3D58"/>
    <w:rsid w:val="004E474F"/>
    <w:rsid w:val="004E49D7"/>
    <w:rsid w:val="004E4A21"/>
    <w:rsid w:val="004E4AE0"/>
    <w:rsid w:val="004E4D5A"/>
    <w:rsid w:val="004E4FF9"/>
    <w:rsid w:val="004E53D7"/>
    <w:rsid w:val="004E581E"/>
    <w:rsid w:val="004E5B57"/>
    <w:rsid w:val="004E5D22"/>
    <w:rsid w:val="004E637F"/>
    <w:rsid w:val="004E65EE"/>
    <w:rsid w:val="004E664E"/>
    <w:rsid w:val="004E693A"/>
    <w:rsid w:val="004E6978"/>
    <w:rsid w:val="004E69BA"/>
    <w:rsid w:val="004E76AD"/>
    <w:rsid w:val="004E7826"/>
    <w:rsid w:val="004E7C49"/>
    <w:rsid w:val="004F02C7"/>
    <w:rsid w:val="004F05A5"/>
    <w:rsid w:val="004F0905"/>
    <w:rsid w:val="004F0C07"/>
    <w:rsid w:val="004F0EEC"/>
    <w:rsid w:val="004F130A"/>
    <w:rsid w:val="004F148D"/>
    <w:rsid w:val="004F182F"/>
    <w:rsid w:val="004F187F"/>
    <w:rsid w:val="004F1895"/>
    <w:rsid w:val="004F2706"/>
    <w:rsid w:val="004F28ED"/>
    <w:rsid w:val="004F2A0D"/>
    <w:rsid w:val="004F2A27"/>
    <w:rsid w:val="004F2A99"/>
    <w:rsid w:val="004F2C39"/>
    <w:rsid w:val="004F2F1D"/>
    <w:rsid w:val="004F3A51"/>
    <w:rsid w:val="004F3B77"/>
    <w:rsid w:val="004F3FD2"/>
    <w:rsid w:val="004F4269"/>
    <w:rsid w:val="004F4BE2"/>
    <w:rsid w:val="004F4DD9"/>
    <w:rsid w:val="004F4EBD"/>
    <w:rsid w:val="004F530D"/>
    <w:rsid w:val="004F7010"/>
    <w:rsid w:val="004F7AAB"/>
    <w:rsid w:val="004F7F0C"/>
    <w:rsid w:val="00500A1A"/>
    <w:rsid w:val="00500B8F"/>
    <w:rsid w:val="00500DF2"/>
    <w:rsid w:val="0050143A"/>
    <w:rsid w:val="00501B2E"/>
    <w:rsid w:val="0050227A"/>
    <w:rsid w:val="005022C0"/>
    <w:rsid w:val="0050245C"/>
    <w:rsid w:val="00502AB8"/>
    <w:rsid w:val="00502BB8"/>
    <w:rsid w:val="005033A4"/>
    <w:rsid w:val="005042D6"/>
    <w:rsid w:val="00504318"/>
    <w:rsid w:val="005046D4"/>
    <w:rsid w:val="00504F56"/>
    <w:rsid w:val="0050502B"/>
    <w:rsid w:val="00505275"/>
    <w:rsid w:val="00505585"/>
    <w:rsid w:val="005069A7"/>
    <w:rsid w:val="00506A39"/>
    <w:rsid w:val="00506C9C"/>
    <w:rsid w:val="005072DD"/>
    <w:rsid w:val="005077BB"/>
    <w:rsid w:val="00507CB2"/>
    <w:rsid w:val="00507E0F"/>
    <w:rsid w:val="00510412"/>
    <w:rsid w:val="005106F3"/>
    <w:rsid w:val="00510714"/>
    <w:rsid w:val="005114DF"/>
    <w:rsid w:val="0051160A"/>
    <w:rsid w:val="0051274E"/>
    <w:rsid w:val="00512A3A"/>
    <w:rsid w:val="00512A7C"/>
    <w:rsid w:val="00512B39"/>
    <w:rsid w:val="00513420"/>
    <w:rsid w:val="00513D34"/>
    <w:rsid w:val="00513EE9"/>
    <w:rsid w:val="00514147"/>
    <w:rsid w:val="005142F8"/>
    <w:rsid w:val="00514300"/>
    <w:rsid w:val="00514F9D"/>
    <w:rsid w:val="00515394"/>
    <w:rsid w:val="0051544A"/>
    <w:rsid w:val="00515AAA"/>
    <w:rsid w:val="00515E72"/>
    <w:rsid w:val="005160A2"/>
    <w:rsid w:val="00516797"/>
    <w:rsid w:val="0051694E"/>
    <w:rsid w:val="005169FC"/>
    <w:rsid w:val="00516BD6"/>
    <w:rsid w:val="00517108"/>
    <w:rsid w:val="005178C5"/>
    <w:rsid w:val="00517C88"/>
    <w:rsid w:val="00517D19"/>
    <w:rsid w:val="00520701"/>
    <w:rsid w:val="0052077A"/>
    <w:rsid w:val="00520A61"/>
    <w:rsid w:val="0052111B"/>
    <w:rsid w:val="00521598"/>
    <w:rsid w:val="0052183C"/>
    <w:rsid w:val="00521AC6"/>
    <w:rsid w:val="00521FA0"/>
    <w:rsid w:val="0052260A"/>
    <w:rsid w:val="00522997"/>
    <w:rsid w:val="00522AD1"/>
    <w:rsid w:val="00522F3F"/>
    <w:rsid w:val="005233C0"/>
    <w:rsid w:val="005235C8"/>
    <w:rsid w:val="00524DF9"/>
    <w:rsid w:val="005250C0"/>
    <w:rsid w:val="00525831"/>
    <w:rsid w:val="00525F93"/>
    <w:rsid w:val="00525FCE"/>
    <w:rsid w:val="005266A7"/>
    <w:rsid w:val="0052677E"/>
    <w:rsid w:val="00526A33"/>
    <w:rsid w:val="00527411"/>
    <w:rsid w:val="005274AB"/>
    <w:rsid w:val="005279BA"/>
    <w:rsid w:val="00527E48"/>
    <w:rsid w:val="00527E4D"/>
    <w:rsid w:val="005301E8"/>
    <w:rsid w:val="00530A60"/>
    <w:rsid w:val="005317E6"/>
    <w:rsid w:val="0053197A"/>
    <w:rsid w:val="005319A3"/>
    <w:rsid w:val="00531C84"/>
    <w:rsid w:val="00532410"/>
    <w:rsid w:val="00532524"/>
    <w:rsid w:val="00532951"/>
    <w:rsid w:val="005339C9"/>
    <w:rsid w:val="00533DE5"/>
    <w:rsid w:val="00533EC7"/>
    <w:rsid w:val="00533ED1"/>
    <w:rsid w:val="0053408E"/>
    <w:rsid w:val="00535497"/>
    <w:rsid w:val="00535750"/>
    <w:rsid w:val="00536189"/>
    <w:rsid w:val="005369DE"/>
    <w:rsid w:val="00536B90"/>
    <w:rsid w:val="00536C2B"/>
    <w:rsid w:val="00536E7F"/>
    <w:rsid w:val="00537145"/>
    <w:rsid w:val="00537CC6"/>
    <w:rsid w:val="00537D50"/>
    <w:rsid w:val="00537E2E"/>
    <w:rsid w:val="00540C4F"/>
    <w:rsid w:val="00541411"/>
    <w:rsid w:val="005416AE"/>
    <w:rsid w:val="0054170B"/>
    <w:rsid w:val="00541AC6"/>
    <w:rsid w:val="00541C73"/>
    <w:rsid w:val="00541E6F"/>
    <w:rsid w:val="00542026"/>
    <w:rsid w:val="005421E0"/>
    <w:rsid w:val="0054268D"/>
    <w:rsid w:val="00542C07"/>
    <w:rsid w:val="00542D5E"/>
    <w:rsid w:val="00542ED9"/>
    <w:rsid w:val="0054375D"/>
    <w:rsid w:val="00543A83"/>
    <w:rsid w:val="00543B41"/>
    <w:rsid w:val="00544099"/>
    <w:rsid w:val="00544EF1"/>
    <w:rsid w:val="00544F78"/>
    <w:rsid w:val="00545077"/>
    <w:rsid w:val="0054519A"/>
    <w:rsid w:val="00545728"/>
    <w:rsid w:val="00545AED"/>
    <w:rsid w:val="005461CA"/>
    <w:rsid w:val="005464E9"/>
    <w:rsid w:val="0054685E"/>
    <w:rsid w:val="0054733C"/>
    <w:rsid w:val="0054791C"/>
    <w:rsid w:val="00547E3A"/>
    <w:rsid w:val="0055000C"/>
    <w:rsid w:val="005506A1"/>
    <w:rsid w:val="005507B6"/>
    <w:rsid w:val="00550B07"/>
    <w:rsid w:val="00550BAE"/>
    <w:rsid w:val="00550D8E"/>
    <w:rsid w:val="0055115E"/>
    <w:rsid w:val="005517F0"/>
    <w:rsid w:val="00552012"/>
    <w:rsid w:val="0055273C"/>
    <w:rsid w:val="00552F78"/>
    <w:rsid w:val="005547C6"/>
    <w:rsid w:val="00554AC2"/>
    <w:rsid w:val="00554D82"/>
    <w:rsid w:val="005550B6"/>
    <w:rsid w:val="00555153"/>
    <w:rsid w:val="005557EC"/>
    <w:rsid w:val="00555B2B"/>
    <w:rsid w:val="00555F2A"/>
    <w:rsid w:val="00556003"/>
    <w:rsid w:val="0055612B"/>
    <w:rsid w:val="00556A64"/>
    <w:rsid w:val="00556D02"/>
    <w:rsid w:val="00556F2B"/>
    <w:rsid w:val="0055742F"/>
    <w:rsid w:val="005576E4"/>
    <w:rsid w:val="00557C92"/>
    <w:rsid w:val="00557CF8"/>
    <w:rsid w:val="00557DF6"/>
    <w:rsid w:val="005600A5"/>
    <w:rsid w:val="00560154"/>
    <w:rsid w:val="00560175"/>
    <w:rsid w:val="005602CC"/>
    <w:rsid w:val="005607F6"/>
    <w:rsid w:val="00560D3E"/>
    <w:rsid w:val="00561253"/>
    <w:rsid w:val="0056147F"/>
    <w:rsid w:val="005621F7"/>
    <w:rsid w:val="005636AF"/>
    <w:rsid w:val="0056378E"/>
    <w:rsid w:val="005637A8"/>
    <w:rsid w:val="00563CE2"/>
    <w:rsid w:val="00563DF3"/>
    <w:rsid w:val="00563ED4"/>
    <w:rsid w:val="005640F8"/>
    <w:rsid w:val="0056539A"/>
    <w:rsid w:val="00565B7D"/>
    <w:rsid w:val="00565BB3"/>
    <w:rsid w:val="005667CB"/>
    <w:rsid w:val="005669A4"/>
    <w:rsid w:val="00566B67"/>
    <w:rsid w:val="0056703B"/>
    <w:rsid w:val="0056722A"/>
    <w:rsid w:val="0056796C"/>
    <w:rsid w:val="00567A64"/>
    <w:rsid w:val="00567BB2"/>
    <w:rsid w:val="00567DB7"/>
    <w:rsid w:val="00567F04"/>
    <w:rsid w:val="005702B3"/>
    <w:rsid w:val="005707F8"/>
    <w:rsid w:val="00570A10"/>
    <w:rsid w:val="00570B09"/>
    <w:rsid w:val="00570E55"/>
    <w:rsid w:val="005715A4"/>
    <w:rsid w:val="005719B4"/>
    <w:rsid w:val="00571EDC"/>
    <w:rsid w:val="0057218D"/>
    <w:rsid w:val="005722A6"/>
    <w:rsid w:val="005722AF"/>
    <w:rsid w:val="00572387"/>
    <w:rsid w:val="005723C8"/>
    <w:rsid w:val="005728DE"/>
    <w:rsid w:val="00573AC4"/>
    <w:rsid w:val="00573EC0"/>
    <w:rsid w:val="00573EC3"/>
    <w:rsid w:val="00573F86"/>
    <w:rsid w:val="00573FB1"/>
    <w:rsid w:val="00574991"/>
    <w:rsid w:val="00574A47"/>
    <w:rsid w:val="005751FA"/>
    <w:rsid w:val="00575508"/>
    <w:rsid w:val="0057578A"/>
    <w:rsid w:val="00575820"/>
    <w:rsid w:val="00575BFE"/>
    <w:rsid w:val="0057611C"/>
    <w:rsid w:val="00576960"/>
    <w:rsid w:val="00576D6B"/>
    <w:rsid w:val="00576E59"/>
    <w:rsid w:val="0057778E"/>
    <w:rsid w:val="00577C2F"/>
    <w:rsid w:val="00577C93"/>
    <w:rsid w:val="00577EE8"/>
    <w:rsid w:val="0058006A"/>
    <w:rsid w:val="00580096"/>
    <w:rsid w:val="00580408"/>
    <w:rsid w:val="00580530"/>
    <w:rsid w:val="00580730"/>
    <w:rsid w:val="00580770"/>
    <w:rsid w:val="005808AC"/>
    <w:rsid w:val="00581007"/>
    <w:rsid w:val="00581DB5"/>
    <w:rsid w:val="00582EA0"/>
    <w:rsid w:val="00583734"/>
    <w:rsid w:val="00584D8D"/>
    <w:rsid w:val="0058527E"/>
    <w:rsid w:val="00585565"/>
    <w:rsid w:val="00585796"/>
    <w:rsid w:val="005859CD"/>
    <w:rsid w:val="0058616F"/>
    <w:rsid w:val="0058627A"/>
    <w:rsid w:val="005862BB"/>
    <w:rsid w:val="005862CE"/>
    <w:rsid w:val="0058667A"/>
    <w:rsid w:val="00586716"/>
    <w:rsid w:val="00586A91"/>
    <w:rsid w:val="00586AC4"/>
    <w:rsid w:val="0058768C"/>
    <w:rsid w:val="005876A4"/>
    <w:rsid w:val="00587B1B"/>
    <w:rsid w:val="005901FD"/>
    <w:rsid w:val="00590BD4"/>
    <w:rsid w:val="00590EC3"/>
    <w:rsid w:val="00591574"/>
    <w:rsid w:val="00591632"/>
    <w:rsid w:val="00591868"/>
    <w:rsid w:val="00591D7F"/>
    <w:rsid w:val="00591EF4"/>
    <w:rsid w:val="00593402"/>
    <w:rsid w:val="005936CF"/>
    <w:rsid w:val="00594316"/>
    <w:rsid w:val="005945AA"/>
    <w:rsid w:val="0059479C"/>
    <w:rsid w:val="00594B5F"/>
    <w:rsid w:val="0059510D"/>
    <w:rsid w:val="005957B5"/>
    <w:rsid w:val="005959B5"/>
    <w:rsid w:val="00595A23"/>
    <w:rsid w:val="00596105"/>
    <w:rsid w:val="00596316"/>
    <w:rsid w:val="005966D3"/>
    <w:rsid w:val="00596F55"/>
    <w:rsid w:val="0059774D"/>
    <w:rsid w:val="0059799B"/>
    <w:rsid w:val="00597A09"/>
    <w:rsid w:val="00597C3A"/>
    <w:rsid w:val="00597DEC"/>
    <w:rsid w:val="005A0163"/>
    <w:rsid w:val="005A0367"/>
    <w:rsid w:val="005A0A2D"/>
    <w:rsid w:val="005A0B3C"/>
    <w:rsid w:val="005A1227"/>
    <w:rsid w:val="005A1C30"/>
    <w:rsid w:val="005A2AA6"/>
    <w:rsid w:val="005A2BE1"/>
    <w:rsid w:val="005A2FB6"/>
    <w:rsid w:val="005A2FF0"/>
    <w:rsid w:val="005A3205"/>
    <w:rsid w:val="005A5282"/>
    <w:rsid w:val="005A5463"/>
    <w:rsid w:val="005A558C"/>
    <w:rsid w:val="005A5BAF"/>
    <w:rsid w:val="005A5BCA"/>
    <w:rsid w:val="005A5CD9"/>
    <w:rsid w:val="005A6F8D"/>
    <w:rsid w:val="005A6FB0"/>
    <w:rsid w:val="005A7391"/>
    <w:rsid w:val="005A7590"/>
    <w:rsid w:val="005A7695"/>
    <w:rsid w:val="005A7714"/>
    <w:rsid w:val="005A780E"/>
    <w:rsid w:val="005A7882"/>
    <w:rsid w:val="005A7B3E"/>
    <w:rsid w:val="005A7CDC"/>
    <w:rsid w:val="005B0195"/>
    <w:rsid w:val="005B06E4"/>
    <w:rsid w:val="005B0D15"/>
    <w:rsid w:val="005B18BE"/>
    <w:rsid w:val="005B1F35"/>
    <w:rsid w:val="005B211D"/>
    <w:rsid w:val="005B2392"/>
    <w:rsid w:val="005B27BF"/>
    <w:rsid w:val="005B35B0"/>
    <w:rsid w:val="005B3695"/>
    <w:rsid w:val="005B39B9"/>
    <w:rsid w:val="005B3A19"/>
    <w:rsid w:val="005B4071"/>
    <w:rsid w:val="005B47FC"/>
    <w:rsid w:val="005B4C71"/>
    <w:rsid w:val="005B52CA"/>
    <w:rsid w:val="005B5B2E"/>
    <w:rsid w:val="005B632E"/>
    <w:rsid w:val="005B6DDB"/>
    <w:rsid w:val="005B6EDE"/>
    <w:rsid w:val="005B7336"/>
    <w:rsid w:val="005B7564"/>
    <w:rsid w:val="005B7785"/>
    <w:rsid w:val="005C014E"/>
    <w:rsid w:val="005C03B2"/>
    <w:rsid w:val="005C03F3"/>
    <w:rsid w:val="005C105E"/>
    <w:rsid w:val="005C1B34"/>
    <w:rsid w:val="005C1F44"/>
    <w:rsid w:val="005C2467"/>
    <w:rsid w:val="005C426F"/>
    <w:rsid w:val="005C44F6"/>
    <w:rsid w:val="005C572C"/>
    <w:rsid w:val="005C58E3"/>
    <w:rsid w:val="005C69EB"/>
    <w:rsid w:val="005C7701"/>
    <w:rsid w:val="005C7B51"/>
    <w:rsid w:val="005C7C21"/>
    <w:rsid w:val="005C7D89"/>
    <w:rsid w:val="005D0B7F"/>
    <w:rsid w:val="005D0C12"/>
    <w:rsid w:val="005D1077"/>
    <w:rsid w:val="005D1A4B"/>
    <w:rsid w:val="005D29BC"/>
    <w:rsid w:val="005D2B18"/>
    <w:rsid w:val="005D2B8B"/>
    <w:rsid w:val="005D321F"/>
    <w:rsid w:val="005D352D"/>
    <w:rsid w:val="005D3A6F"/>
    <w:rsid w:val="005D4312"/>
    <w:rsid w:val="005D44C4"/>
    <w:rsid w:val="005D4830"/>
    <w:rsid w:val="005D4F97"/>
    <w:rsid w:val="005D6B39"/>
    <w:rsid w:val="005D6B4F"/>
    <w:rsid w:val="005D7001"/>
    <w:rsid w:val="005D77E2"/>
    <w:rsid w:val="005D7833"/>
    <w:rsid w:val="005E0269"/>
    <w:rsid w:val="005E060C"/>
    <w:rsid w:val="005E0DFE"/>
    <w:rsid w:val="005E11D3"/>
    <w:rsid w:val="005E1246"/>
    <w:rsid w:val="005E1454"/>
    <w:rsid w:val="005E218B"/>
    <w:rsid w:val="005E29B9"/>
    <w:rsid w:val="005E2BD5"/>
    <w:rsid w:val="005E2F94"/>
    <w:rsid w:val="005E310B"/>
    <w:rsid w:val="005E36C4"/>
    <w:rsid w:val="005E3913"/>
    <w:rsid w:val="005E3AE3"/>
    <w:rsid w:val="005E4534"/>
    <w:rsid w:val="005E4C83"/>
    <w:rsid w:val="005E5188"/>
    <w:rsid w:val="005E5190"/>
    <w:rsid w:val="005E527F"/>
    <w:rsid w:val="005E58ED"/>
    <w:rsid w:val="005E5FBE"/>
    <w:rsid w:val="005E6206"/>
    <w:rsid w:val="005E63BE"/>
    <w:rsid w:val="005E651C"/>
    <w:rsid w:val="005E6D31"/>
    <w:rsid w:val="005E6F8F"/>
    <w:rsid w:val="005E77D3"/>
    <w:rsid w:val="005E7BED"/>
    <w:rsid w:val="005E7E35"/>
    <w:rsid w:val="005F0B16"/>
    <w:rsid w:val="005F0D8C"/>
    <w:rsid w:val="005F0E51"/>
    <w:rsid w:val="005F145D"/>
    <w:rsid w:val="005F28F9"/>
    <w:rsid w:val="005F2BFF"/>
    <w:rsid w:val="005F2E51"/>
    <w:rsid w:val="005F3015"/>
    <w:rsid w:val="005F3465"/>
    <w:rsid w:val="005F36E3"/>
    <w:rsid w:val="005F393D"/>
    <w:rsid w:val="005F3C83"/>
    <w:rsid w:val="005F41A2"/>
    <w:rsid w:val="005F41B2"/>
    <w:rsid w:val="005F48B6"/>
    <w:rsid w:val="005F517F"/>
    <w:rsid w:val="005F5541"/>
    <w:rsid w:val="005F6745"/>
    <w:rsid w:val="005F67B4"/>
    <w:rsid w:val="005F69DB"/>
    <w:rsid w:val="005F6AD4"/>
    <w:rsid w:val="005F71BF"/>
    <w:rsid w:val="005F7F03"/>
    <w:rsid w:val="006003B3"/>
    <w:rsid w:val="00600E38"/>
    <w:rsid w:val="00601376"/>
    <w:rsid w:val="006013CB"/>
    <w:rsid w:val="006017FC"/>
    <w:rsid w:val="00601A3D"/>
    <w:rsid w:val="00602EAA"/>
    <w:rsid w:val="00602F1A"/>
    <w:rsid w:val="006035AF"/>
    <w:rsid w:val="00603A45"/>
    <w:rsid w:val="00604002"/>
    <w:rsid w:val="00604F06"/>
    <w:rsid w:val="00605567"/>
    <w:rsid w:val="006058C4"/>
    <w:rsid w:val="00606BE6"/>
    <w:rsid w:val="00607A13"/>
    <w:rsid w:val="006103EB"/>
    <w:rsid w:val="00610567"/>
    <w:rsid w:val="0061064E"/>
    <w:rsid w:val="006108C3"/>
    <w:rsid w:val="00611364"/>
    <w:rsid w:val="00611FE1"/>
    <w:rsid w:val="006121FA"/>
    <w:rsid w:val="0061266E"/>
    <w:rsid w:val="006126B3"/>
    <w:rsid w:val="0061283E"/>
    <w:rsid w:val="00612959"/>
    <w:rsid w:val="006129D8"/>
    <w:rsid w:val="00612C46"/>
    <w:rsid w:val="006130D4"/>
    <w:rsid w:val="00613271"/>
    <w:rsid w:val="0061335F"/>
    <w:rsid w:val="006134F6"/>
    <w:rsid w:val="0061437C"/>
    <w:rsid w:val="00615AD2"/>
    <w:rsid w:val="00615C9C"/>
    <w:rsid w:val="00615FEA"/>
    <w:rsid w:val="0061687B"/>
    <w:rsid w:val="0061695B"/>
    <w:rsid w:val="00616A09"/>
    <w:rsid w:val="006176EA"/>
    <w:rsid w:val="006206C5"/>
    <w:rsid w:val="00621317"/>
    <w:rsid w:val="006214BF"/>
    <w:rsid w:val="00621613"/>
    <w:rsid w:val="00621653"/>
    <w:rsid w:val="00621F8E"/>
    <w:rsid w:val="00622AD0"/>
    <w:rsid w:val="0062301D"/>
    <w:rsid w:val="006244A3"/>
    <w:rsid w:val="00624591"/>
    <w:rsid w:val="006245C6"/>
    <w:rsid w:val="00624A78"/>
    <w:rsid w:val="00624C17"/>
    <w:rsid w:val="00625014"/>
    <w:rsid w:val="006252B9"/>
    <w:rsid w:val="0062539C"/>
    <w:rsid w:val="006255AC"/>
    <w:rsid w:val="0062598B"/>
    <w:rsid w:val="00625AA2"/>
    <w:rsid w:val="00625C12"/>
    <w:rsid w:val="00625D19"/>
    <w:rsid w:val="00625D5D"/>
    <w:rsid w:val="00625EAB"/>
    <w:rsid w:val="0062641C"/>
    <w:rsid w:val="0062685C"/>
    <w:rsid w:val="00626ABF"/>
    <w:rsid w:val="00626B6E"/>
    <w:rsid w:val="00626C60"/>
    <w:rsid w:val="00626D88"/>
    <w:rsid w:val="00626FD3"/>
    <w:rsid w:val="00627270"/>
    <w:rsid w:val="00627586"/>
    <w:rsid w:val="00627A38"/>
    <w:rsid w:val="00627A89"/>
    <w:rsid w:val="00627E17"/>
    <w:rsid w:val="00630AF6"/>
    <w:rsid w:val="00630B28"/>
    <w:rsid w:val="00630DE3"/>
    <w:rsid w:val="006310B1"/>
    <w:rsid w:val="00631301"/>
    <w:rsid w:val="006316F2"/>
    <w:rsid w:val="00631EDC"/>
    <w:rsid w:val="0063265D"/>
    <w:rsid w:val="00632B4B"/>
    <w:rsid w:val="00633BA5"/>
    <w:rsid w:val="00633BAF"/>
    <w:rsid w:val="0063409C"/>
    <w:rsid w:val="0063442A"/>
    <w:rsid w:val="0063448F"/>
    <w:rsid w:val="00634920"/>
    <w:rsid w:val="00634C6E"/>
    <w:rsid w:val="006353F2"/>
    <w:rsid w:val="00635405"/>
    <w:rsid w:val="0063568A"/>
    <w:rsid w:val="006357C6"/>
    <w:rsid w:val="00635A28"/>
    <w:rsid w:val="00636010"/>
    <w:rsid w:val="00636252"/>
    <w:rsid w:val="00636318"/>
    <w:rsid w:val="006364A0"/>
    <w:rsid w:val="006367A0"/>
    <w:rsid w:val="006367A5"/>
    <w:rsid w:val="0063796B"/>
    <w:rsid w:val="006407FF"/>
    <w:rsid w:val="00640B3F"/>
    <w:rsid w:val="006414DC"/>
    <w:rsid w:val="006423C0"/>
    <w:rsid w:val="00642788"/>
    <w:rsid w:val="006428D0"/>
    <w:rsid w:val="006438FE"/>
    <w:rsid w:val="00643EF7"/>
    <w:rsid w:val="00645D39"/>
    <w:rsid w:val="00645F6C"/>
    <w:rsid w:val="00646055"/>
    <w:rsid w:val="00647AD9"/>
    <w:rsid w:val="00647E1F"/>
    <w:rsid w:val="00647FE3"/>
    <w:rsid w:val="006508A6"/>
    <w:rsid w:val="00650D2A"/>
    <w:rsid w:val="00650F25"/>
    <w:rsid w:val="0065154C"/>
    <w:rsid w:val="00651A4B"/>
    <w:rsid w:val="00653294"/>
    <w:rsid w:val="006535C8"/>
    <w:rsid w:val="0065459C"/>
    <w:rsid w:val="00654D16"/>
    <w:rsid w:val="006550C1"/>
    <w:rsid w:val="0065558C"/>
    <w:rsid w:val="00655758"/>
    <w:rsid w:val="006559DA"/>
    <w:rsid w:val="00655B9D"/>
    <w:rsid w:val="00655F23"/>
    <w:rsid w:val="00656B40"/>
    <w:rsid w:val="00656CBB"/>
    <w:rsid w:val="00656DA1"/>
    <w:rsid w:val="00656F05"/>
    <w:rsid w:val="006570AE"/>
    <w:rsid w:val="006576E3"/>
    <w:rsid w:val="006608BD"/>
    <w:rsid w:val="006613D1"/>
    <w:rsid w:val="006615C8"/>
    <w:rsid w:val="00661989"/>
    <w:rsid w:val="0066278E"/>
    <w:rsid w:val="00662D3D"/>
    <w:rsid w:val="006640E0"/>
    <w:rsid w:val="0066422B"/>
    <w:rsid w:val="006642E3"/>
    <w:rsid w:val="0066468D"/>
    <w:rsid w:val="00664932"/>
    <w:rsid w:val="00664D99"/>
    <w:rsid w:val="00665AC8"/>
    <w:rsid w:val="00665E01"/>
    <w:rsid w:val="00665E52"/>
    <w:rsid w:val="00665EA0"/>
    <w:rsid w:val="00665FAC"/>
    <w:rsid w:val="00666A76"/>
    <w:rsid w:val="006674A2"/>
    <w:rsid w:val="00667627"/>
    <w:rsid w:val="00667639"/>
    <w:rsid w:val="00667B10"/>
    <w:rsid w:val="00667E02"/>
    <w:rsid w:val="00670138"/>
    <w:rsid w:val="006703D0"/>
    <w:rsid w:val="00670466"/>
    <w:rsid w:val="00670823"/>
    <w:rsid w:val="00670B57"/>
    <w:rsid w:val="00670C06"/>
    <w:rsid w:val="00670DD9"/>
    <w:rsid w:val="00671EF0"/>
    <w:rsid w:val="00672486"/>
    <w:rsid w:val="006726A0"/>
    <w:rsid w:val="00672EC3"/>
    <w:rsid w:val="006732CA"/>
    <w:rsid w:val="00673CE8"/>
    <w:rsid w:val="006742C2"/>
    <w:rsid w:val="00674C8F"/>
    <w:rsid w:val="00675432"/>
    <w:rsid w:val="00675B3D"/>
    <w:rsid w:val="00675D07"/>
    <w:rsid w:val="00675E8C"/>
    <w:rsid w:val="0067783C"/>
    <w:rsid w:val="00677C52"/>
    <w:rsid w:val="00680080"/>
    <w:rsid w:val="00680685"/>
    <w:rsid w:val="006806D3"/>
    <w:rsid w:val="006811EB"/>
    <w:rsid w:val="00681401"/>
    <w:rsid w:val="00681937"/>
    <w:rsid w:val="006820B2"/>
    <w:rsid w:val="006820C5"/>
    <w:rsid w:val="00682175"/>
    <w:rsid w:val="0068219D"/>
    <w:rsid w:val="006827E0"/>
    <w:rsid w:val="00682A53"/>
    <w:rsid w:val="00682B6A"/>
    <w:rsid w:val="00682D89"/>
    <w:rsid w:val="00682E0D"/>
    <w:rsid w:val="0068307F"/>
    <w:rsid w:val="006830DD"/>
    <w:rsid w:val="0068369F"/>
    <w:rsid w:val="00683811"/>
    <w:rsid w:val="0068382C"/>
    <w:rsid w:val="00683BC5"/>
    <w:rsid w:val="00683DBA"/>
    <w:rsid w:val="0068435F"/>
    <w:rsid w:val="00684B3A"/>
    <w:rsid w:val="00685432"/>
    <w:rsid w:val="006856A7"/>
    <w:rsid w:val="0068646D"/>
    <w:rsid w:val="00686843"/>
    <w:rsid w:val="006868FC"/>
    <w:rsid w:val="00686D80"/>
    <w:rsid w:val="0069012A"/>
    <w:rsid w:val="00690501"/>
    <w:rsid w:val="00690841"/>
    <w:rsid w:val="00690B13"/>
    <w:rsid w:val="00690E6F"/>
    <w:rsid w:val="00691110"/>
    <w:rsid w:val="006914F8"/>
    <w:rsid w:val="006915DE"/>
    <w:rsid w:val="00691D2F"/>
    <w:rsid w:val="006921E6"/>
    <w:rsid w:val="00692602"/>
    <w:rsid w:val="006928E7"/>
    <w:rsid w:val="0069368E"/>
    <w:rsid w:val="00694786"/>
    <w:rsid w:val="0069489D"/>
    <w:rsid w:val="00694ECB"/>
    <w:rsid w:val="00694F1C"/>
    <w:rsid w:val="00695584"/>
    <w:rsid w:val="00695D69"/>
    <w:rsid w:val="00696B9B"/>
    <w:rsid w:val="00696D59"/>
    <w:rsid w:val="00697C0E"/>
    <w:rsid w:val="006A05E3"/>
    <w:rsid w:val="006A2559"/>
    <w:rsid w:val="006A3810"/>
    <w:rsid w:val="006A452B"/>
    <w:rsid w:val="006A4858"/>
    <w:rsid w:val="006A4914"/>
    <w:rsid w:val="006A54B4"/>
    <w:rsid w:val="006A5802"/>
    <w:rsid w:val="006A599D"/>
    <w:rsid w:val="006A5F19"/>
    <w:rsid w:val="006A610C"/>
    <w:rsid w:val="006A611E"/>
    <w:rsid w:val="006A62A7"/>
    <w:rsid w:val="006A64F9"/>
    <w:rsid w:val="006A685F"/>
    <w:rsid w:val="006A6D78"/>
    <w:rsid w:val="006A79F2"/>
    <w:rsid w:val="006A7C21"/>
    <w:rsid w:val="006A7CF4"/>
    <w:rsid w:val="006B0293"/>
    <w:rsid w:val="006B0551"/>
    <w:rsid w:val="006B0A04"/>
    <w:rsid w:val="006B1579"/>
    <w:rsid w:val="006B181B"/>
    <w:rsid w:val="006B1B7F"/>
    <w:rsid w:val="006B1E13"/>
    <w:rsid w:val="006B27B7"/>
    <w:rsid w:val="006B368D"/>
    <w:rsid w:val="006B3C52"/>
    <w:rsid w:val="006B3F2D"/>
    <w:rsid w:val="006B4D1C"/>
    <w:rsid w:val="006B4E1D"/>
    <w:rsid w:val="006B4F6A"/>
    <w:rsid w:val="006B52AF"/>
    <w:rsid w:val="006B5629"/>
    <w:rsid w:val="006B5925"/>
    <w:rsid w:val="006B6015"/>
    <w:rsid w:val="006B67FA"/>
    <w:rsid w:val="006B7273"/>
    <w:rsid w:val="006C1147"/>
    <w:rsid w:val="006C196B"/>
    <w:rsid w:val="006C1A36"/>
    <w:rsid w:val="006C1B1C"/>
    <w:rsid w:val="006C1B8E"/>
    <w:rsid w:val="006C1F00"/>
    <w:rsid w:val="006C2923"/>
    <w:rsid w:val="006C2D0C"/>
    <w:rsid w:val="006C32E6"/>
    <w:rsid w:val="006C3327"/>
    <w:rsid w:val="006C3698"/>
    <w:rsid w:val="006C3AA6"/>
    <w:rsid w:val="006C4102"/>
    <w:rsid w:val="006C420E"/>
    <w:rsid w:val="006C4582"/>
    <w:rsid w:val="006C45A0"/>
    <w:rsid w:val="006C4C7C"/>
    <w:rsid w:val="006C4FAE"/>
    <w:rsid w:val="006C560A"/>
    <w:rsid w:val="006C5796"/>
    <w:rsid w:val="006C5B17"/>
    <w:rsid w:val="006C6072"/>
    <w:rsid w:val="006C63BC"/>
    <w:rsid w:val="006C7027"/>
    <w:rsid w:val="006C70CC"/>
    <w:rsid w:val="006C794B"/>
    <w:rsid w:val="006D136F"/>
    <w:rsid w:val="006D1842"/>
    <w:rsid w:val="006D2049"/>
    <w:rsid w:val="006D217D"/>
    <w:rsid w:val="006D2C73"/>
    <w:rsid w:val="006D3A59"/>
    <w:rsid w:val="006D43CA"/>
    <w:rsid w:val="006D4FA7"/>
    <w:rsid w:val="006D5911"/>
    <w:rsid w:val="006D63E5"/>
    <w:rsid w:val="006D6763"/>
    <w:rsid w:val="006D6807"/>
    <w:rsid w:val="006D6B6D"/>
    <w:rsid w:val="006D6EC5"/>
    <w:rsid w:val="006D6F39"/>
    <w:rsid w:val="006D72CF"/>
    <w:rsid w:val="006D796D"/>
    <w:rsid w:val="006D7B3E"/>
    <w:rsid w:val="006D7BED"/>
    <w:rsid w:val="006E037C"/>
    <w:rsid w:val="006E0441"/>
    <w:rsid w:val="006E1F90"/>
    <w:rsid w:val="006E2A3A"/>
    <w:rsid w:val="006E2A88"/>
    <w:rsid w:val="006E3197"/>
    <w:rsid w:val="006E3851"/>
    <w:rsid w:val="006E3B0E"/>
    <w:rsid w:val="006E3DF5"/>
    <w:rsid w:val="006E3E42"/>
    <w:rsid w:val="006E4088"/>
    <w:rsid w:val="006E40C1"/>
    <w:rsid w:val="006E4128"/>
    <w:rsid w:val="006E426A"/>
    <w:rsid w:val="006E4871"/>
    <w:rsid w:val="006E4A87"/>
    <w:rsid w:val="006E582F"/>
    <w:rsid w:val="006E5B14"/>
    <w:rsid w:val="006E709F"/>
    <w:rsid w:val="006E787D"/>
    <w:rsid w:val="006E7929"/>
    <w:rsid w:val="006E7EA0"/>
    <w:rsid w:val="006F0051"/>
    <w:rsid w:val="006F02CC"/>
    <w:rsid w:val="006F0E20"/>
    <w:rsid w:val="006F1074"/>
    <w:rsid w:val="006F13A5"/>
    <w:rsid w:val="006F15B2"/>
    <w:rsid w:val="006F1BAB"/>
    <w:rsid w:val="006F1D31"/>
    <w:rsid w:val="006F2142"/>
    <w:rsid w:val="006F2256"/>
    <w:rsid w:val="006F2339"/>
    <w:rsid w:val="006F305C"/>
    <w:rsid w:val="006F308D"/>
    <w:rsid w:val="006F36E4"/>
    <w:rsid w:val="006F37AA"/>
    <w:rsid w:val="006F3972"/>
    <w:rsid w:val="006F3AFD"/>
    <w:rsid w:val="006F3C04"/>
    <w:rsid w:val="006F461E"/>
    <w:rsid w:val="006F47AD"/>
    <w:rsid w:val="006F493B"/>
    <w:rsid w:val="006F4CD7"/>
    <w:rsid w:val="006F52C8"/>
    <w:rsid w:val="006F5941"/>
    <w:rsid w:val="006F6033"/>
    <w:rsid w:val="006F6400"/>
    <w:rsid w:val="006F67CB"/>
    <w:rsid w:val="006F69A5"/>
    <w:rsid w:val="006F7150"/>
    <w:rsid w:val="006F785E"/>
    <w:rsid w:val="006F7CAB"/>
    <w:rsid w:val="00700206"/>
    <w:rsid w:val="007004A4"/>
    <w:rsid w:val="007008FA"/>
    <w:rsid w:val="00700A21"/>
    <w:rsid w:val="00700B85"/>
    <w:rsid w:val="00700D7C"/>
    <w:rsid w:val="007013C0"/>
    <w:rsid w:val="0070195A"/>
    <w:rsid w:val="00701E91"/>
    <w:rsid w:val="0070216B"/>
    <w:rsid w:val="0070216C"/>
    <w:rsid w:val="007025A5"/>
    <w:rsid w:val="00703D9C"/>
    <w:rsid w:val="007050EF"/>
    <w:rsid w:val="007051F8"/>
    <w:rsid w:val="007052E5"/>
    <w:rsid w:val="007059DF"/>
    <w:rsid w:val="00705E93"/>
    <w:rsid w:val="0070606B"/>
    <w:rsid w:val="0070647F"/>
    <w:rsid w:val="00706B5E"/>
    <w:rsid w:val="007079DE"/>
    <w:rsid w:val="007079F0"/>
    <w:rsid w:val="00707A93"/>
    <w:rsid w:val="00710283"/>
    <w:rsid w:val="007105DC"/>
    <w:rsid w:val="0071098E"/>
    <w:rsid w:val="00710FE1"/>
    <w:rsid w:val="007113CD"/>
    <w:rsid w:val="0071172A"/>
    <w:rsid w:val="00711A89"/>
    <w:rsid w:val="00711CD6"/>
    <w:rsid w:val="00711D15"/>
    <w:rsid w:val="00711FFD"/>
    <w:rsid w:val="0071268B"/>
    <w:rsid w:val="00712F9D"/>
    <w:rsid w:val="0071368B"/>
    <w:rsid w:val="007137D1"/>
    <w:rsid w:val="007148FA"/>
    <w:rsid w:val="007150F6"/>
    <w:rsid w:val="00715559"/>
    <w:rsid w:val="00715E49"/>
    <w:rsid w:val="00715EDA"/>
    <w:rsid w:val="00715F88"/>
    <w:rsid w:val="00716624"/>
    <w:rsid w:val="0071668C"/>
    <w:rsid w:val="00716C30"/>
    <w:rsid w:val="00716F75"/>
    <w:rsid w:val="007175F4"/>
    <w:rsid w:val="00717C81"/>
    <w:rsid w:val="00720284"/>
    <w:rsid w:val="00720382"/>
    <w:rsid w:val="0072059D"/>
    <w:rsid w:val="00720790"/>
    <w:rsid w:val="00720BB0"/>
    <w:rsid w:val="00720F89"/>
    <w:rsid w:val="00720FA6"/>
    <w:rsid w:val="00721370"/>
    <w:rsid w:val="0072141E"/>
    <w:rsid w:val="00721529"/>
    <w:rsid w:val="00721613"/>
    <w:rsid w:val="00721FA5"/>
    <w:rsid w:val="00722F3B"/>
    <w:rsid w:val="007230A0"/>
    <w:rsid w:val="007233AF"/>
    <w:rsid w:val="0072349E"/>
    <w:rsid w:val="007236DC"/>
    <w:rsid w:val="00723C31"/>
    <w:rsid w:val="00723EA4"/>
    <w:rsid w:val="00724288"/>
    <w:rsid w:val="0072475F"/>
    <w:rsid w:val="00724A92"/>
    <w:rsid w:val="00724D5D"/>
    <w:rsid w:val="0072518E"/>
    <w:rsid w:val="00725F1D"/>
    <w:rsid w:val="00726406"/>
    <w:rsid w:val="007267DB"/>
    <w:rsid w:val="00730ABC"/>
    <w:rsid w:val="00730B4A"/>
    <w:rsid w:val="00730E60"/>
    <w:rsid w:val="007315E7"/>
    <w:rsid w:val="00731C11"/>
    <w:rsid w:val="00732217"/>
    <w:rsid w:val="00732600"/>
    <w:rsid w:val="00732712"/>
    <w:rsid w:val="00732F43"/>
    <w:rsid w:val="00733258"/>
    <w:rsid w:val="0073393D"/>
    <w:rsid w:val="00733A97"/>
    <w:rsid w:val="0073479D"/>
    <w:rsid w:val="00734DFD"/>
    <w:rsid w:val="0073518C"/>
    <w:rsid w:val="00735640"/>
    <w:rsid w:val="00735BC6"/>
    <w:rsid w:val="007366E4"/>
    <w:rsid w:val="00736733"/>
    <w:rsid w:val="0073673A"/>
    <w:rsid w:val="00736B97"/>
    <w:rsid w:val="00736DBB"/>
    <w:rsid w:val="00740309"/>
    <w:rsid w:val="00740665"/>
    <w:rsid w:val="00740F26"/>
    <w:rsid w:val="00742AEE"/>
    <w:rsid w:val="00742B41"/>
    <w:rsid w:val="00743544"/>
    <w:rsid w:val="007440E9"/>
    <w:rsid w:val="00745BAB"/>
    <w:rsid w:val="007464D5"/>
    <w:rsid w:val="00746B6A"/>
    <w:rsid w:val="00746C50"/>
    <w:rsid w:val="00746FD3"/>
    <w:rsid w:val="007471CE"/>
    <w:rsid w:val="0074731A"/>
    <w:rsid w:val="007473E3"/>
    <w:rsid w:val="00747952"/>
    <w:rsid w:val="00747ABB"/>
    <w:rsid w:val="00747FC1"/>
    <w:rsid w:val="0075064F"/>
    <w:rsid w:val="0075070A"/>
    <w:rsid w:val="007510AE"/>
    <w:rsid w:val="007513A1"/>
    <w:rsid w:val="00751975"/>
    <w:rsid w:val="00751D79"/>
    <w:rsid w:val="007521FF"/>
    <w:rsid w:val="007523E4"/>
    <w:rsid w:val="00752D03"/>
    <w:rsid w:val="00752DE4"/>
    <w:rsid w:val="00753293"/>
    <w:rsid w:val="00753CC9"/>
    <w:rsid w:val="00754034"/>
    <w:rsid w:val="0075427C"/>
    <w:rsid w:val="00754C5D"/>
    <w:rsid w:val="00754E3A"/>
    <w:rsid w:val="007556C7"/>
    <w:rsid w:val="007570EC"/>
    <w:rsid w:val="00757417"/>
    <w:rsid w:val="0075744F"/>
    <w:rsid w:val="00757838"/>
    <w:rsid w:val="00757B4A"/>
    <w:rsid w:val="0076005F"/>
    <w:rsid w:val="007603C5"/>
    <w:rsid w:val="00760587"/>
    <w:rsid w:val="0076097B"/>
    <w:rsid w:val="00760A49"/>
    <w:rsid w:val="00760D3A"/>
    <w:rsid w:val="00761042"/>
    <w:rsid w:val="007619B9"/>
    <w:rsid w:val="00761BD3"/>
    <w:rsid w:val="00761CDB"/>
    <w:rsid w:val="00762199"/>
    <w:rsid w:val="007622B3"/>
    <w:rsid w:val="00762518"/>
    <w:rsid w:val="0076309E"/>
    <w:rsid w:val="00763414"/>
    <w:rsid w:val="00763642"/>
    <w:rsid w:val="0076454B"/>
    <w:rsid w:val="00764918"/>
    <w:rsid w:val="007649D2"/>
    <w:rsid w:val="007654AE"/>
    <w:rsid w:val="00765713"/>
    <w:rsid w:val="0076581D"/>
    <w:rsid w:val="007675DE"/>
    <w:rsid w:val="0077065D"/>
    <w:rsid w:val="00770868"/>
    <w:rsid w:val="0077088A"/>
    <w:rsid w:val="00770B83"/>
    <w:rsid w:val="00770DC8"/>
    <w:rsid w:val="0077105D"/>
    <w:rsid w:val="00772100"/>
    <w:rsid w:val="007721B5"/>
    <w:rsid w:val="0077331E"/>
    <w:rsid w:val="007739AC"/>
    <w:rsid w:val="007744DE"/>
    <w:rsid w:val="00774618"/>
    <w:rsid w:val="00774B54"/>
    <w:rsid w:val="00774B5E"/>
    <w:rsid w:val="00774B94"/>
    <w:rsid w:val="00774DE4"/>
    <w:rsid w:val="0077509F"/>
    <w:rsid w:val="00775366"/>
    <w:rsid w:val="0077552E"/>
    <w:rsid w:val="00775EE3"/>
    <w:rsid w:val="00775F46"/>
    <w:rsid w:val="00777EC9"/>
    <w:rsid w:val="00780054"/>
    <w:rsid w:val="007801E1"/>
    <w:rsid w:val="00780619"/>
    <w:rsid w:val="00780DCC"/>
    <w:rsid w:val="00780EBF"/>
    <w:rsid w:val="007817B5"/>
    <w:rsid w:val="00781B50"/>
    <w:rsid w:val="00781FB8"/>
    <w:rsid w:val="00782B38"/>
    <w:rsid w:val="00782B8A"/>
    <w:rsid w:val="0078365D"/>
    <w:rsid w:val="007838CE"/>
    <w:rsid w:val="00783D91"/>
    <w:rsid w:val="007846E7"/>
    <w:rsid w:val="00784769"/>
    <w:rsid w:val="00784852"/>
    <w:rsid w:val="007848E4"/>
    <w:rsid w:val="00784D5B"/>
    <w:rsid w:val="00785427"/>
    <w:rsid w:val="0078618C"/>
    <w:rsid w:val="00786926"/>
    <w:rsid w:val="00786946"/>
    <w:rsid w:val="00786B61"/>
    <w:rsid w:val="00787406"/>
    <w:rsid w:val="007877D6"/>
    <w:rsid w:val="007878A9"/>
    <w:rsid w:val="00787CD1"/>
    <w:rsid w:val="00787D88"/>
    <w:rsid w:val="007902F4"/>
    <w:rsid w:val="00790848"/>
    <w:rsid w:val="0079099A"/>
    <w:rsid w:val="00790A32"/>
    <w:rsid w:val="00790AE5"/>
    <w:rsid w:val="00790E66"/>
    <w:rsid w:val="00791151"/>
    <w:rsid w:val="007911A4"/>
    <w:rsid w:val="00791C9A"/>
    <w:rsid w:val="00791D94"/>
    <w:rsid w:val="00792938"/>
    <w:rsid w:val="00792BF6"/>
    <w:rsid w:val="00792E9A"/>
    <w:rsid w:val="00793099"/>
    <w:rsid w:val="007934EC"/>
    <w:rsid w:val="00793791"/>
    <w:rsid w:val="007938D0"/>
    <w:rsid w:val="00793E8D"/>
    <w:rsid w:val="00794E5C"/>
    <w:rsid w:val="00794EF4"/>
    <w:rsid w:val="007952E3"/>
    <w:rsid w:val="007956DE"/>
    <w:rsid w:val="00796317"/>
    <w:rsid w:val="00796397"/>
    <w:rsid w:val="00796666"/>
    <w:rsid w:val="00796807"/>
    <w:rsid w:val="00796CB2"/>
    <w:rsid w:val="00796CD0"/>
    <w:rsid w:val="0079709B"/>
    <w:rsid w:val="00797CB0"/>
    <w:rsid w:val="007A03BE"/>
    <w:rsid w:val="007A0B1C"/>
    <w:rsid w:val="007A0CCB"/>
    <w:rsid w:val="007A13F6"/>
    <w:rsid w:val="007A1511"/>
    <w:rsid w:val="007A1759"/>
    <w:rsid w:val="007A1BA8"/>
    <w:rsid w:val="007A2ABF"/>
    <w:rsid w:val="007A3144"/>
    <w:rsid w:val="007A4404"/>
    <w:rsid w:val="007A5377"/>
    <w:rsid w:val="007A53A9"/>
    <w:rsid w:val="007A5C67"/>
    <w:rsid w:val="007A62E1"/>
    <w:rsid w:val="007A6EFB"/>
    <w:rsid w:val="007A746B"/>
    <w:rsid w:val="007A7CEA"/>
    <w:rsid w:val="007A7F2F"/>
    <w:rsid w:val="007B0BE7"/>
    <w:rsid w:val="007B1503"/>
    <w:rsid w:val="007B16CC"/>
    <w:rsid w:val="007B19B2"/>
    <w:rsid w:val="007B1D5A"/>
    <w:rsid w:val="007B1ED4"/>
    <w:rsid w:val="007B2413"/>
    <w:rsid w:val="007B2EA6"/>
    <w:rsid w:val="007B3D2E"/>
    <w:rsid w:val="007B4257"/>
    <w:rsid w:val="007B45D2"/>
    <w:rsid w:val="007B555D"/>
    <w:rsid w:val="007B557E"/>
    <w:rsid w:val="007B5B38"/>
    <w:rsid w:val="007B5C8C"/>
    <w:rsid w:val="007B60D5"/>
    <w:rsid w:val="007B6147"/>
    <w:rsid w:val="007B72D6"/>
    <w:rsid w:val="007B7928"/>
    <w:rsid w:val="007B7C24"/>
    <w:rsid w:val="007B7CA2"/>
    <w:rsid w:val="007B7D91"/>
    <w:rsid w:val="007B7FF2"/>
    <w:rsid w:val="007C0246"/>
    <w:rsid w:val="007C0541"/>
    <w:rsid w:val="007C05B6"/>
    <w:rsid w:val="007C0977"/>
    <w:rsid w:val="007C0B7B"/>
    <w:rsid w:val="007C1019"/>
    <w:rsid w:val="007C1E74"/>
    <w:rsid w:val="007C21F1"/>
    <w:rsid w:val="007C2A2F"/>
    <w:rsid w:val="007C3023"/>
    <w:rsid w:val="007C34DF"/>
    <w:rsid w:val="007C42E3"/>
    <w:rsid w:val="007C5CB6"/>
    <w:rsid w:val="007C6114"/>
    <w:rsid w:val="007C635E"/>
    <w:rsid w:val="007C6533"/>
    <w:rsid w:val="007C66E5"/>
    <w:rsid w:val="007C6821"/>
    <w:rsid w:val="007C6E13"/>
    <w:rsid w:val="007C6E71"/>
    <w:rsid w:val="007C6ED6"/>
    <w:rsid w:val="007C79F8"/>
    <w:rsid w:val="007D0AB3"/>
    <w:rsid w:val="007D2278"/>
    <w:rsid w:val="007D2DC7"/>
    <w:rsid w:val="007D3075"/>
    <w:rsid w:val="007D32A8"/>
    <w:rsid w:val="007D33F8"/>
    <w:rsid w:val="007D3A5D"/>
    <w:rsid w:val="007D4B60"/>
    <w:rsid w:val="007D4C66"/>
    <w:rsid w:val="007D4FC6"/>
    <w:rsid w:val="007D56ED"/>
    <w:rsid w:val="007D571C"/>
    <w:rsid w:val="007D58EB"/>
    <w:rsid w:val="007D5911"/>
    <w:rsid w:val="007D6BFA"/>
    <w:rsid w:val="007D6DB9"/>
    <w:rsid w:val="007D6E9B"/>
    <w:rsid w:val="007D6F7C"/>
    <w:rsid w:val="007D728B"/>
    <w:rsid w:val="007D72F8"/>
    <w:rsid w:val="007D7590"/>
    <w:rsid w:val="007D7877"/>
    <w:rsid w:val="007D792E"/>
    <w:rsid w:val="007D7CFF"/>
    <w:rsid w:val="007D7DF9"/>
    <w:rsid w:val="007E0122"/>
    <w:rsid w:val="007E04A7"/>
    <w:rsid w:val="007E0BE8"/>
    <w:rsid w:val="007E0E91"/>
    <w:rsid w:val="007E1139"/>
    <w:rsid w:val="007E1251"/>
    <w:rsid w:val="007E1A8E"/>
    <w:rsid w:val="007E2098"/>
    <w:rsid w:val="007E3375"/>
    <w:rsid w:val="007E36D1"/>
    <w:rsid w:val="007E3A98"/>
    <w:rsid w:val="007E3DD7"/>
    <w:rsid w:val="007E40A9"/>
    <w:rsid w:val="007E4136"/>
    <w:rsid w:val="007E4173"/>
    <w:rsid w:val="007E48EF"/>
    <w:rsid w:val="007E49DB"/>
    <w:rsid w:val="007E59A4"/>
    <w:rsid w:val="007E5AA0"/>
    <w:rsid w:val="007E5DBE"/>
    <w:rsid w:val="007E60FB"/>
    <w:rsid w:val="007E6657"/>
    <w:rsid w:val="007E6E85"/>
    <w:rsid w:val="007E7295"/>
    <w:rsid w:val="007E7AC9"/>
    <w:rsid w:val="007F05D0"/>
    <w:rsid w:val="007F0AD0"/>
    <w:rsid w:val="007F1D81"/>
    <w:rsid w:val="007F1F1D"/>
    <w:rsid w:val="007F21F0"/>
    <w:rsid w:val="007F2370"/>
    <w:rsid w:val="007F27D0"/>
    <w:rsid w:val="007F2ADD"/>
    <w:rsid w:val="007F30A7"/>
    <w:rsid w:val="007F35C8"/>
    <w:rsid w:val="007F379F"/>
    <w:rsid w:val="007F3C35"/>
    <w:rsid w:val="007F3C36"/>
    <w:rsid w:val="007F3E21"/>
    <w:rsid w:val="007F44F7"/>
    <w:rsid w:val="007F4AAC"/>
    <w:rsid w:val="007F4FB7"/>
    <w:rsid w:val="007F5125"/>
    <w:rsid w:val="007F5233"/>
    <w:rsid w:val="007F52D1"/>
    <w:rsid w:val="007F5357"/>
    <w:rsid w:val="007F5483"/>
    <w:rsid w:val="007F57A5"/>
    <w:rsid w:val="007F58BD"/>
    <w:rsid w:val="007F60D4"/>
    <w:rsid w:val="007F613C"/>
    <w:rsid w:val="007F6407"/>
    <w:rsid w:val="007F653B"/>
    <w:rsid w:val="007F705A"/>
    <w:rsid w:val="007F7FB9"/>
    <w:rsid w:val="0080030E"/>
    <w:rsid w:val="00800A8F"/>
    <w:rsid w:val="00800DB8"/>
    <w:rsid w:val="00801536"/>
    <w:rsid w:val="008019E4"/>
    <w:rsid w:val="008028DF"/>
    <w:rsid w:val="00802E0D"/>
    <w:rsid w:val="00803A0E"/>
    <w:rsid w:val="00803DB3"/>
    <w:rsid w:val="008042E0"/>
    <w:rsid w:val="008042FE"/>
    <w:rsid w:val="00804A61"/>
    <w:rsid w:val="00804B83"/>
    <w:rsid w:val="0080519E"/>
    <w:rsid w:val="008051C6"/>
    <w:rsid w:val="00805AF3"/>
    <w:rsid w:val="008061CA"/>
    <w:rsid w:val="00806AED"/>
    <w:rsid w:val="008071BF"/>
    <w:rsid w:val="008078D4"/>
    <w:rsid w:val="00807AE4"/>
    <w:rsid w:val="00807DD3"/>
    <w:rsid w:val="00810591"/>
    <w:rsid w:val="00810A26"/>
    <w:rsid w:val="00810A80"/>
    <w:rsid w:val="00810FD9"/>
    <w:rsid w:val="008110FE"/>
    <w:rsid w:val="00811350"/>
    <w:rsid w:val="00811F60"/>
    <w:rsid w:val="00811FCF"/>
    <w:rsid w:val="00812001"/>
    <w:rsid w:val="0081321A"/>
    <w:rsid w:val="008132F7"/>
    <w:rsid w:val="00813A6C"/>
    <w:rsid w:val="008141ED"/>
    <w:rsid w:val="00814694"/>
    <w:rsid w:val="00814B96"/>
    <w:rsid w:val="008150CF"/>
    <w:rsid w:val="00815224"/>
    <w:rsid w:val="00815277"/>
    <w:rsid w:val="008158DB"/>
    <w:rsid w:val="00815C1C"/>
    <w:rsid w:val="00816389"/>
    <w:rsid w:val="008163F5"/>
    <w:rsid w:val="008165F1"/>
    <w:rsid w:val="00816BDB"/>
    <w:rsid w:val="00816E15"/>
    <w:rsid w:val="00817762"/>
    <w:rsid w:val="0082052C"/>
    <w:rsid w:val="00820B1A"/>
    <w:rsid w:val="008213F4"/>
    <w:rsid w:val="00821E53"/>
    <w:rsid w:val="008224ED"/>
    <w:rsid w:val="0082267F"/>
    <w:rsid w:val="00822C4C"/>
    <w:rsid w:val="008238B5"/>
    <w:rsid w:val="00823E32"/>
    <w:rsid w:val="00824685"/>
    <w:rsid w:val="00824C1E"/>
    <w:rsid w:val="00824DB6"/>
    <w:rsid w:val="008253E8"/>
    <w:rsid w:val="00825878"/>
    <w:rsid w:val="00826063"/>
    <w:rsid w:val="008265A0"/>
    <w:rsid w:val="00826C9B"/>
    <w:rsid w:val="00826EA0"/>
    <w:rsid w:val="00826EFD"/>
    <w:rsid w:val="0082707E"/>
    <w:rsid w:val="008277AC"/>
    <w:rsid w:val="00827CBE"/>
    <w:rsid w:val="00827FD9"/>
    <w:rsid w:val="0083040D"/>
    <w:rsid w:val="008308EC"/>
    <w:rsid w:val="008309D4"/>
    <w:rsid w:val="0083141B"/>
    <w:rsid w:val="00831D6F"/>
    <w:rsid w:val="00832210"/>
    <w:rsid w:val="00832213"/>
    <w:rsid w:val="008322BD"/>
    <w:rsid w:val="00832D93"/>
    <w:rsid w:val="0083320E"/>
    <w:rsid w:val="00833BC2"/>
    <w:rsid w:val="00833C8F"/>
    <w:rsid w:val="00833DD5"/>
    <w:rsid w:val="00833E43"/>
    <w:rsid w:val="00833EB7"/>
    <w:rsid w:val="008343BF"/>
    <w:rsid w:val="00834B68"/>
    <w:rsid w:val="00835BA1"/>
    <w:rsid w:val="00836A41"/>
    <w:rsid w:val="00837417"/>
    <w:rsid w:val="00837BDA"/>
    <w:rsid w:val="00840325"/>
    <w:rsid w:val="008405EC"/>
    <w:rsid w:val="00840B96"/>
    <w:rsid w:val="00841551"/>
    <w:rsid w:val="00841D0A"/>
    <w:rsid w:val="00841FC9"/>
    <w:rsid w:val="0084204E"/>
    <w:rsid w:val="008423A0"/>
    <w:rsid w:val="008428EC"/>
    <w:rsid w:val="00842DCB"/>
    <w:rsid w:val="00843159"/>
    <w:rsid w:val="008432CB"/>
    <w:rsid w:val="00843451"/>
    <w:rsid w:val="00843895"/>
    <w:rsid w:val="008443F5"/>
    <w:rsid w:val="00844C43"/>
    <w:rsid w:val="00845077"/>
    <w:rsid w:val="00846545"/>
    <w:rsid w:val="008466F0"/>
    <w:rsid w:val="008468E7"/>
    <w:rsid w:val="00846FE0"/>
    <w:rsid w:val="00847AB0"/>
    <w:rsid w:val="008508CE"/>
    <w:rsid w:val="0085142B"/>
    <w:rsid w:val="00852BE3"/>
    <w:rsid w:val="00852C5A"/>
    <w:rsid w:val="00852F5B"/>
    <w:rsid w:val="008534B9"/>
    <w:rsid w:val="0085364F"/>
    <w:rsid w:val="0085423A"/>
    <w:rsid w:val="0085452F"/>
    <w:rsid w:val="00854554"/>
    <w:rsid w:val="008547EC"/>
    <w:rsid w:val="0085498B"/>
    <w:rsid w:val="00855272"/>
    <w:rsid w:val="00855695"/>
    <w:rsid w:val="00855773"/>
    <w:rsid w:val="00855974"/>
    <w:rsid w:val="0085629B"/>
    <w:rsid w:val="00856A2C"/>
    <w:rsid w:val="008571BA"/>
    <w:rsid w:val="008571D4"/>
    <w:rsid w:val="008603D3"/>
    <w:rsid w:val="008606FD"/>
    <w:rsid w:val="008613EF"/>
    <w:rsid w:val="00861607"/>
    <w:rsid w:val="008616F7"/>
    <w:rsid w:val="00861B9A"/>
    <w:rsid w:val="00862196"/>
    <w:rsid w:val="0086219E"/>
    <w:rsid w:val="00862E7B"/>
    <w:rsid w:val="00862EB0"/>
    <w:rsid w:val="0086364B"/>
    <w:rsid w:val="0086371F"/>
    <w:rsid w:val="008638A7"/>
    <w:rsid w:val="00863B22"/>
    <w:rsid w:val="0086407F"/>
    <w:rsid w:val="00864468"/>
    <w:rsid w:val="008644B7"/>
    <w:rsid w:val="008645AF"/>
    <w:rsid w:val="008647F9"/>
    <w:rsid w:val="0086491E"/>
    <w:rsid w:val="008650F8"/>
    <w:rsid w:val="00865184"/>
    <w:rsid w:val="00865C94"/>
    <w:rsid w:val="00866185"/>
    <w:rsid w:val="00866416"/>
    <w:rsid w:val="008673C2"/>
    <w:rsid w:val="00867B4C"/>
    <w:rsid w:val="00867E75"/>
    <w:rsid w:val="00870206"/>
    <w:rsid w:val="00870394"/>
    <w:rsid w:val="00870D61"/>
    <w:rsid w:val="008710B4"/>
    <w:rsid w:val="00871931"/>
    <w:rsid w:val="00871D31"/>
    <w:rsid w:val="00871F33"/>
    <w:rsid w:val="00872665"/>
    <w:rsid w:val="00872D48"/>
    <w:rsid w:val="00872DA4"/>
    <w:rsid w:val="008736AD"/>
    <w:rsid w:val="008736C5"/>
    <w:rsid w:val="008747AE"/>
    <w:rsid w:val="00874815"/>
    <w:rsid w:val="00875203"/>
    <w:rsid w:val="00875F6E"/>
    <w:rsid w:val="00876132"/>
    <w:rsid w:val="008761EB"/>
    <w:rsid w:val="00876C64"/>
    <w:rsid w:val="00877275"/>
    <w:rsid w:val="008776C0"/>
    <w:rsid w:val="00877F62"/>
    <w:rsid w:val="008805A1"/>
    <w:rsid w:val="0088082B"/>
    <w:rsid w:val="00880B7D"/>
    <w:rsid w:val="00880F8D"/>
    <w:rsid w:val="0088164D"/>
    <w:rsid w:val="00881A26"/>
    <w:rsid w:val="00881B56"/>
    <w:rsid w:val="00881CA0"/>
    <w:rsid w:val="00881F0F"/>
    <w:rsid w:val="00882033"/>
    <w:rsid w:val="00882D5D"/>
    <w:rsid w:val="0088356A"/>
    <w:rsid w:val="008835C9"/>
    <w:rsid w:val="008836FB"/>
    <w:rsid w:val="00883F24"/>
    <w:rsid w:val="00884F69"/>
    <w:rsid w:val="00886C14"/>
    <w:rsid w:val="008870DF"/>
    <w:rsid w:val="008879E9"/>
    <w:rsid w:val="00887AA1"/>
    <w:rsid w:val="00887C90"/>
    <w:rsid w:val="00890195"/>
    <w:rsid w:val="00890845"/>
    <w:rsid w:val="00890C9A"/>
    <w:rsid w:val="00890CC6"/>
    <w:rsid w:val="008919DB"/>
    <w:rsid w:val="00891A9E"/>
    <w:rsid w:val="00891B71"/>
    <w:rsid w:val="00891F07"/>
    <w:rsid w:val="008927A0"/>
    <w:rsid w:val="00892B01"/>
    <w:rsid w:val="00892C64"/>
    <w:rsid w:val="008934A9"/>
    <w:rsid w:val="0089430E"/>
    <w:rsid w:val="00894685"/>
    <w:rsid w:val="008948C7"/>
    <w:rsid w:val="00894B19"/>
    <w:rsid w:val="00894D47"/>
    <w:rsid w:val="0089565B"/>
    <w:rsid w:val="00896458"/>
    <w:rsid w:val="008966D4"/>
    <w:rsid w:val="00896798"/>
    <w:rsid w:val="0089737D"/>
    <w:rsid w:val="008976A4"/>
    <w:rsid w:val="00897773"/>
    <w:rsid w:val="008A048B"/>
    <w:rsid w:val="008A0C8F"/>
    <w:rsid w:val="008A1015"/>
    <w:rsid w:val="008A11E1"/>
    <w:rsid w:val="008A1910"/>
    <w:rsid w:val="008A1B63"/>
    <w:rsid w:val="008A2447"/>
    <w:rsid w:val="008A347C"/>
    <w:rsid w:val="008A3645"/>
    <w:rsid w:val="008A3AF5"/>
    <w:rsid w:val="008A40B2"/>
    <w:rsid w:val="008A4316"/>
    <w:rsid w:val="008A4845"/>
    <w:rsid w:val="008A49F4"/>
    <w:rsid w:val="008A4CF8"/>
    <w:rsid w:val="008A513D"/>
    <w:rsid w:val="008A53A7"/>
    <w:rsid w:val="008A5C8C"/>
    <w:rsid w:val="008A5E27"/>
    <w:rsid w:val="008A6548"/>
    <w:rsid w:val="008A688F"/>
    <w:rsid w:val="008A690C"/>
    <w:rsid w:val="008A6C89"/>
    <w:rsid w:val="008B0612"/>
    <w:rsid w:val="008B0A99"/>
    <w:rsid w:val="008B0E4B"/>
    <w:rsid w:val="008B0F0C"/>
    <w:rsid w:val="008B100D"/>
    <w:rsid w:val="008B1B87"/>
    <w:rsid w:val="008B1EC7"/>
    <w:rsid w:val="008B2872"/>
    <w:rsid w:val="008B2C36"/>
    <w:rsid w:val="008B3177"/>
    <w:rsid w:val="008B3690"/>
    <w:rsid w:val="008B3C2C"/>
    <w:rsid w:val="008B3CF0"/>
    <w:rsid w:val="008B44D3"/>
    <w:rsid w:val="008B453C"/>
    <w:rsid w:val="008B509D"/>
    <w:rsid w:val="008B5186"/>
    <w:rsid w:val="008B51DB"/>
    <w:rsid w:val="008B52C3"/>
    <w:rsid w:val="008B55F8"/>
    <w:rsid w:val="008B6670"/>
    <w:rsid w:val="008B681D"/>
    <w:rsid w:val="008B693A"/>
    <w:rsid w:val="008B7F96"/>
    <w:rsid w:val="008C00DB"/>
    <w:rsid w:val="008C0BCC"/>
    <w:rsid w:val="008C0BFB"/>
    <w:rsid w:val="008C0DC2"/>
    <w:rsid w:val="008C19AB"/>
    <w:rsid w:val="008C2511"/>
    <w:rsid w:val="008C27C6"/>
    <w:rsid w:val="008C2EDC"/>
    <w:rsid w:val="008C335A"/>
    <w:rsid w:val="008C33EC"/>
    <w:rsid w:val="008C35E2"/>
    <w:rsid w:val="008C3B00"/>
    <w:rsid w:val="008C3F68"/>
    <w:rsid w:val="008C427F"/>
    <w:rsid w:val="008C48A1"/>
    <w:rsid w:val="008C4B4B"/>
    <w:rsid w:val="008C4BD6"/>
    <w:rsid w:val="008C527C"/>
    <w:rsid w:val="008C5646"/>
    <w:rsid w:val="008C571D"/>
    <w:rsid w:val="008C5DA0"/>
    <w:rsid w:val="008C5F37"/>
    <w:rsid w:val="008C6272"/>
    <w:rsid w:val="008C65EB"/>
    <w:rsid w:val="008C677D"/>
    <w:rsid w:val="008C6C80"/>
    <w:rsid w:val="008C6F0C"/>
    <w:rsid w:val="008C70F7"/>
    <w:rsid w:val="008C72AA"/>
    <w:rsid w:val="008C7547"/>
    <w:rsid w:val="008D0098"/>
    <w:rsid w:val="008D0E81"/>
    <w:rsid w:val="008D0FF4"/>
    <w:rsid w:val="008D1705"/>
    <w:rsid w:val="008D17C0"/>
    <w:rsid w:val="008D1B63"/>
    <w:rsid w:val="008D1CF3"/>
    <w:rsid w:val="008D1EBA"/>
    <w:rsid w:val="008D1F85"/>
    <w:rsid w:val="008D2FB7"/>
    <w:rsid w:val="008D338C"/>
    <w:rsid w:val="008D390F"/>
    <w:rsid w:val="008D486A"/>
    <w:rsid w:val="008D511D"/>
    <w:rsid w:val="008D52DE"/>
    <w:rsid w:val="008D552A"/>
    <w:rsid w:val="008D6A1D"/>
    <w:rsid w:val="008D6E8C"/>
    <w:rsid w:val="008D7277"/>
    <w:rsid w:val="008D78A2"/>
    <w:rsid w:val="008E019F"/>
    <w:rsid w:val="008E102F"/>
    <w:rsid w:val="008E12EE"/>
    <w:rsid w:val="008E1554"/>
    <w:rsid w:val="008E1B6D"/>
    <w:rsid w:val="008E251A"/>
    <w:rsid w:val="008E27C2"/>
    <w:rsid w:val="008E3106"/>
    <w:rsid w:val="008E31DD"/>
    <w:rsid w:val="008E3490"/>
    <w:rsid w:val="008E355F"/>
    <w:rsid w:val="008E3D4B"/>
    <w:rsid w:val="008E4727"/>
    <w:rsid w:val="008E5310"/>
    <w:rsid w:val="008E5C1F"/>
    <w:rsid w:val="008E6D2F"/>
    <w:rsid w:val="008E7428"/>
    <w:rsid w:val="008E7842"/>
    <w:rsid w:val="008F0894"/>
    <w:rsid w:val="008F08EA"/>
    <w:rsid w:val="008F0C64"/>
    <w:rsid w:val="008F0EBC"/>
    <w:rsid w:val="008F1069"/>
    <w:rsid w:val="008F165E"/>
    <w:rsid w:val="008F194D"/>
    <w:rsid w:val="008F19B4"/>
    <w:rsid w:val="008F1BB8"/>
    <w:rsid w:val="008F2096"/>
    <w:rsid w:val="008F2362"/>
    <w:rsid w:val="008F2451"/>
    <w:rsid w:val="008F2F73"/>
    <w:rsid w:val="008F3357"/>
    <w:rsid w:val="008F3376"/>
    <w:rsid w:val="008F36E4"/>
    <w:rsid w:val="008F3FF3"/>
    <w:rsid w:val="008F4431"/>
    <w:rsid w:val="008F45C4"/>
    <w:rsid w:val="008F4712"/>
    <w:rsid w:val="008F486A"/>
    <w:rsid w:val="008F4D6F"/>
    <w:rsid w:val="008F5291"/>
    <w:rsid w:val="008F5693"/>
    <w:rsid w:val="008F5751"/>
    <w:rsid w:val="008F5E11"/>
    <w:rsid w:val="008F5F49"/>
    <w:rsid w:val="008F6495"/>
    <w:rsid w:val="008F665F"/>
    <w:rsid w:val="008F68B9"/>
    <w:rsid w:val="008F691B"/>
    <w:rsid w:val="008F69A1"/>
    <w:rsid w:val="008F6FAB"/>
    <w:rsid w:val="008F7B3D"/>
    <w:rsid w:val="008F7B8A"/>
    <w:rsid w:val="008F7F77"/>
    <w:rsid w:val="00900031"/>
    <w:rsid w:val="009011B2"/>
    <w:rsid w:val="00901C95"/>
    <w:rsid w:val="00901CCD"/>
    <w:rsid w:val="00902441"/>
    <w:rsid w:val="00902512"/>
    <w:rsid w:val="00902C1B"/>
    <w:rsid w:val="00902CA5"/>
    <w:rsid w:val="00902E76"/>
    <w:rsid w:val="0090403D"/>
    <w:rsid w:val="009040C6"/>
    <w:rsid w:val="00904182"/>
    <w:rsid w:val="009043EC"/>
    <w:rsid w:val="009046BA"/>
    <w:rsid w:val="00904D59"/>
    <w:rsid w:val="00905AB8"/>
    <w:rsid w:val="00905FEF"/>
    <w:rsid w:val="00906AF7"/>
    <w:rsid w:val="00906F14"/>
    <w:rsid w:val="00907839"/>
    <w:rsid w:val="009078F9"/>
    <w:rsid w:val="00907B1B"/>
    <w:rsid w:val="00907C61"/>
    <w:rsid w:val="00907D58"/>
    <w:rsid w:val="00910320"/>
    <w:rsid w:val="0091089B"/>
    <w:rsid w:val="00910BED"/>
    <w:rsid w:val="00910E9A"/>
    <w:rsid w:val="00910F27"/>
    <w:rsid w:val="0091140F"/>
    <w:rsid w:val="00912142"/>
    <w:rsid w:val="0091230A"/>
    <w:rsid w:val="0091286E"/>
    <w:rsid w:val="00912D5B"/>
    <w:rsid w:val="00912DA1"/>
    <w:rsid w:val="0091323C"/>
    <w:rsid w:val="009132ED"/>
    <w:rsid w:val="00913747"/>
    <w:rsid w:val="00913A83"/>
    <w:rsid w:val="00913CF3"/>
    <w:rsid w:val="00913E1F"/>
    <w:rsid w:val="009141F1"/>
    <w:rsid w:val="00914E41"/>
    <w:rsid w:val="00914F84"/>
    <w:rsid w:val="00914FC3"/>
    <w:rsid w:val="0091550C"/>
    <w:rsid w:val="00915AE4"/>
    <w:rsid w:val="00915C10"/>
    <w:rsid w:val="00916406"/>
    <w:rsid w:val="0091643D"/>
    <w:rsid w:val="00916D52"/>
    <w:rsid w:val="00917315"/>
    <w:rsid w:val="00917C3F"/>
    <w:rsid w:val="009201F9"/>
    <w:rsid w:val="00920360"/>
    <w:rsid w:val="009205D3"/>
    <w:rsid w:val="009206D3"/>
    <w:rsid w:val="009211C1"/>
    <w:rsid w:val="00921B4A"/>
    <w:rsid w:val="0092262A"/>
    <w:rsid w:val="00922A16"/>
    <w:rsid w:val="00922EE5"/>
    <w:rsid w:val="00923C81"/>
    <w:rsid w:val="00924623"/>
    <w:rsid w:val="00924FC6"/>
    <w:rsid w:val="00925FB8"/>
    <w:rsid w:val="00926656"/>
    <w:rsid w:val="00927CDF"/>
    <w:rsid w:val="00927EBB"/>
    <w:rsid w:val="00930051"/>
    <w:rsid w:val="00930339"/>
    <w:rsid w:val="009303EF"/>
    <w:rsid w:val="00930493"/>
    <w:rsid w:val="00930687"/>
    <w:rsid w:val="0093110D"/>
    <w:rsid w:val="0093143C"/>
    <w:rsid w:val="0093185E"/>
    <w:rsid w:val="00931B33"/>
    <w:rsid w:val="00931BBC"/>
    <w:rsid w:val="00933126"/>
    <w:rsid w:val="00933E3C"/>
    <w:rsid w:val="00934E5E"/>
    <w:rsid w:val="00935288"/>
    <w:rsid w:val="0093570E"/>
    <w:rsid w:val="009357ED"/>
    <w:rsid w:val="00935EC6"/>
    <w:rsid w:val="009367DF"/>
    <w:rsid w:val="0093722B"/>
    <w:rsid w:val="009372C1"/>
    <w:rsid w:val="00937AA9"/>
    <w:rsid w:val="00937AB1"/>
    <w:rsid w:val="00940112"/>
    <w:rsid w:val="00940309"/>
    <w:rsid w:val="0094042F"/>
    <w:rsid w:val="00940679"/>
    <w:rsid w:val="0094068D"/>
    <w:rsid w:val="00940D03"/>
    <w:rsid w:val="0094107A"/>
    <w:rsid w:val="00941466"/>
    <w:rsid w:val="009419B9"/>
    <w:rsid w:val="00941CAD"/>
    <w:rsid w:val="0094340C"/>
    <w:rsid w:val="0094380A"/>
    <w:rsid w:val="00943D64"/>
    <w:rsid w:val="00943EB8"/>
    <w:rsid w:val="009443D8"/>
    <w:rsid w:val="0094440F"/>
    <w:rsid w:val="0094449B"/>
    <w:rsid w:val="009454ED"/>
    <w:rsid w:val="00945724"/>
    <w:rsid w:val="009465FF"/>
    <w:rsid w:val="009467E5"/>
    <w:rsid w:val="00946953"/>
    <w:rsid w:val="00946D85"/>
    <w:rsid w:val="00946FCE"/>
    <w:rsid w:val="0094720D"/>
    <w:rsid w:val="0094781E"/>
    <w:rsid w:val="00947920"/>
    <w:rsid w:val="00950888"/>
    <w:rsid w:val="00950A01"/>
    <w:rsid w:val="00950D20"/>
    <w:rsid w:val="0095193F"/>
    <w:rsid w:val="009522A4"/>
    <w:rsid w:val="0095235F"/>
    <w:rsid w:val="00952456"/>
    <w:rsid w:val="0095291D"/>
    <w:rsid w:val="009536A0"/>
    <w:rsid w:val="00953A52"/>
    <w:rsid w:val="00954A3F"/>
    <w:rsid w:val="00955102"/>
    <w:rsid w:val="009551C1"/>
    <w:rsid w:val="00956168"/>
    <w:rsid w:val="0095626D"/>
    <w:rsid w:val="00956F0F"/>
    <w:rsid w:val="00957325"/>
    <w:rsid w:val="009579C9"/>
    <w:rsid w:val="00957D37"/>
    <w:rsid w:val="00960E85"/>
    <w:rsid w:val="00961B52"/>
    <w:rsid w:val="00961C44"/>
    <w:rsid w:val="00961D9F"/>
    <w:rsid w:val="009620A8"/>
    <w:rsid w:val="00962543"/>
    <w:rsid w:val="00962597"/>
    <w:rsid w:val="009626D4"/>
    <w:rsid w:val="009626F1"/>
    <w:rsid w:val="00962835"/>
    <w:rsid w:val="0096284E"/>
    <w:rsid w:val="00962B9E"/>
    <w:rsid w:val="00962C26"/>
    <w:rsid w:val="00963219"/>
    <w:rsid w:val="0096363F"/>
    <w:rsid w:val="009638EF"/>
    <w:rsid w:val="0096398E"/>
    <w:rsid w:val="00964373"/>
    <w:rsid w:val="00964A1C"/>
    <w:rsid w:val="00965861"/>
    <w:rsid w:val="00965BED"/>
    <w:rsid w:val="009665A4"/>
    <w:rsid w:val="0096665D"/>
    <w:rsid w:val="00966EC9"/>
    <w:rsid w:val="009673B1"/>
    <w:rsid w:val="00967407"/>
    <w:rsid w:val="0096759F"/>
    <w:rsid w:val="00967A16"/>
    <w:rsid w:val="009701BE"/>
    <w:rsid w:val="009722CC"/>
    <w:rsid w:val="00972CBE"/>
    <w:rsid w:val="00973513"/>
    <w:rsid w:val="009747C3"/>
    <w:rsid w:val="009748EE"/>
    <w:rsid w:val="00974908"/>
    <w:rsid w:val="009749F9"/>
    <w:rsid w:val="009750B4"/>
    <w:rsid w:val="00976020"/>
    <w:rsid w:val="0097619D"/>
    <w:rsid w:val="0097635E"/>
    <w:rsid w:val="009765C7"/>
    <w:rsid w:val="009769EE"/>
    <w:rsid w:val="00976A1D"/>
    <w:rsid w:val="00976AC0"/>
    <w:rsid w:val="00976D95"/>
    <w:rsid w:val="009775E4"/>
    <w:rsid w:val="0097768C"/>
    <w:rsid w:val="00980402"/>
    <w:rsid w:val="009812A6"/>
    <w:rsid w:val="00982269"/>
    <w:rsid w:val="00982532"/>
    <w:rsid w:val="00983058"/>
    <w:rsid w:val="00983136"/>
    <w:rsid w:val="00983702"/>
    <w:rsid w:val="00983FD7"/>
    <w:rsid w:val="00984906"/>
    <w:rsid w:val="00984AC5"/>
    <w:rsid w:val="00985350"/>
    <w:rsid w:val="00985599"/>
    <w:rsid w:val="00985735"/>
    <w:rsid w:val="00985B18"/>
    <w:rsid w:val="00985DCB"/>
    <w:rsid w:val="0098604D"/>
    <w:rsid w:val="009862A4"/>
    <w:rsid w:val="00986447"/>
    <w:rsid w:val="009865DB"/>
    <w:rsid w:val="00986A20"/>
    <w:rsid w:val="00986B2E"/>
    <w:rsid w:val="009878BF"/>
    <w:rsid w:val="00987AC8"/>
    <w:rsid w:val="00991237"/>
    <w:rsid w:val="009914A5"/>
    <w:rsid w:val="009914EE"/>
    <w:rsid w:val="00991FAC"/>
    <w:rsid w:val="00991FF7"/>
    <w:rsid w:val="00992D8A"/>
    <w:rsid w:val="009932BF"/>
    <w:rsid w:val="00993697"/>
    <w:rsid w:val="00993A63"/>
    <w:rsid w:val="00993D41"/>
    <w:rsid w:val="00993E91"/>
    <w:rsid w:val="00994037"/>
    <w:rsid w:val="009940F2"/>
    <w:rsid w:val="009957A0"/>
    <w:rsid w:val="00995842"/>
    <w:rsid w:val="00995C44"/>
    <w:rsid w:val="00996732"/>
    <w:rsid w:val="0099685F"/>
    <w:rsid w:val="00996BD8"/>
    <w:rsid w:val="00996E56"/>
    <w:rsid w:val="009971C5"/>
    <w:rsid w:val="009976A0"/>
    <w:rsid w:val="00997759"/>
    <w:rsid w:val="00997B80"/>
    <w:rsid w:val="00997F87"/>
    <w:rsid w:val="009A0097"/>
    <w:rsid w:val="009A0774"/>
    <w:rsid w:val="009A0B13"/>
    <w:rsid w:val="009A0D83"/>
    <w:rsid w:val="009A17B1"/>
    <w:rsid w:val="009A1B61"/>
    <w:rsid w:val="009A2296"/>
    <w:rsid w:val="009A23FD"/>
    <w:rsid w:val="009A278E"/>
    <w:rsid w:val="009A33D8"/>
    <w:rsid w:val="009A38BA"/>
    <w:rsid w:val="009A39C3"/>
    <w:rsid w:val="009A427F"/>
    <w:rsid w:val="009A44D6"/>
    <w:rsid w:val="009A46F1"/>
    <w:rsid w:val="009A496C"/>
    <w:rsid w:val="009A5235"/>
    <w:rsid w:val="009A5386"/>
    <w:rsid w:val="009A54B5"/>
    <w:rsid w:val="009A62B1"/>
    <w:rsid w:val="009A6486"/>
    <w:rsid w:val="009A6A4F"/>
    <w:rsid w:val="009A6DE0"/>
    <w:rsid w:val="009A70CB"/>
    <w:rsid w:val="009A7C1D"/>
    <w:rsid w:val="009A7D6A"/>
    <w:rsid w:val="009B0091"/>
    <w:rsid w:val="009B0103"/>
    <w:rsid w:val="009B059B"/>
    <w:rsid w:val="009B132A"/>
    <w:rsid w:val="009B1BD0"/>
    <w:rsid w:val="009B1F71"/>
    <w:rsid w:val="009B204D"/>
    <w:rsid w:val="009B2226"/>
    <w:rsid w:val="009B2458"/>
    <w:rsid w:val="009B2545"/>
    <w:rsid w:val="009B2B4B"/>
    <w:rsid w:val="009B2E78"/>
    <w:rsid w:val="009B317B"/>
    <w:rsid w:val="009B3D63"/>
    <w:rsid w:val="009B3F9E"/>
    <w:rsid w:val="009B497E"/>
    <w:rsid w:val="009B4B95"/>
    <w:rsid w:val="009B5631"/>
    <w:rsid w:val="009B5A66"/>
    <w:rsid w:val="009B5B8D"/>
    <w:rsid w:val="009B6B4D"/>
    <w:rsid w:val="009B6C2A"/>
    <w:rsid w:val="009B6E52"/>
    <w:rsid w:val="009B722E"/>
    <w:rsid w:val="009B7666"/>
    <w:rsid w:val="009B76BF"/>
    <w:rsid w:val="009B7773"/>
    <w:rsid w:val="009C02CB"/>
    <w:rsid w:val="009C04F0"/>
    <w:rsid w:val="009C0E59"/>
    <w:rsid w:val="009C1597"/>
    <w:rsid w:val="009C16D0"/>
    <w:rsid w:val="009C202E"/>
    <w:rsid w:val="009C25A5"/>
    <w:rsid w:val="009C2603"/>
    <w:rsid w:val="009C309E"/>
    <w:rsid w:val="009C3109"/>
    <w:rsid w:val="009C32DB"/>
    <w:rsid w:val="009C33F2"/>
    <w:rsid w:val="009C4467"/>
    <w:rsid w:val="009C49AB"/>
    <w:rsid w:val="009C4D65"/>
    <w:rsid w:val="009C560E"/>
    <w:rsid w:val="009C6371"/>
    <w:rsid w:val="009C642F"/>
    <w:rsid w:val="009C6BC5"/>
    <w:rsid w:val="009C6FE4"/>
    <w:rsid w:val="009C7092"/>
    <w:rsid w:val="009C7124"/>
    <w:rsid w:val="009C73C1"/>
    <w:rsid w:val="009C7DCE"/>
    <w:rsid w:val="009D003F"/>
    <w:rsid w:val="009D01C7"/>
    <w:rsid w:val="009D045F"/>
    <w:rsid w:val="009D08C5"/>
    <w:rsid w:val="009D0D80"/>
    <w:rsid w:val="009D1644"/>
    <w:rsid w:val="009D1AAB"/>
    <w:rsid w:val="009D1B02"/>
    <w:rsid w:val="009D1CC0"/>
    <w:rsid w:val="009D2406"/>
    <w:rsid w:val="009D28E8"/>
    <w:rsid w:val="009D2A13"/>
    <w:rsid w:val="009D3BED"/>
    <w:rsid w:val="009D40D0"/>
    <w:rsid w:val="009D49E7"/>
    <w:rsid w:val="009D4A0A"/>
    <w:rsid w:val="009D4C0D"/>
    <w:rsid w:val="009D55BA"/>
    <w:rsid w:val="009D583B"/>
    <w:rsid w:val="009D602A"/>
    <w:rsid w:val="009D6354"/>
    <w:rsid w:val="009D6D7F"/>
    <w:rsid w:val="009D6E72"/>
    <w:rsid w:val="009D6FAB"/>
    <w:rsid w:val="009E0242"/>
    <w:rsid w:val="009E0683"/>
    <w:rsid w:val="009E0B4C"/>
    <w:rsid w:val="009E1698"/>
    <w:rsid w:val="009E2049"/>
    <w:rsid w:val="009E286F"/>
    <w:rsid w:val="009E3075"/>
    <w:rsid w:val="009E3A60"/>
    <w:rsid w:val="009E40F6"/>
    <w:rsid w:val="009E44C7"/>
    <w:rsid w:val="009E5127"/>
    <w:rsid w:val="009E5331"/>
    <w:rsid w:val="009E5498"/>
    <w:rsid w:val="009E5590"/>
    <w:rsid w:val="009E5690"/>
    <w:rsid w:val="009E58FC"/>
    <w:rsid w:val="009E5AA2"/>
    <w:rsid w:val="009E5D05"/>
    <w:rsid w:val="009E61C4"/>
    <w:rsid w:val="009E65AC"/>
    <w:rsid w:val="009E6BB4"/>
    <w:rsid w:val="009E6E73"/>
    <w:rsid w:val="009E73FE"/>
    <w:rsid w:val="009E7C06"/>
    <w:rsid w:val="009F0330"/>
    <w:rsid w:val="009F0556"/>
    <w:rsid w:val="009F117B"/>
    <w:rsid w:val="009F1418"/>
    <w:rsid w:val="009F165D"/>
    <w:rsid w:val="009F19D4"/>
    <w:rsid w:val="009F255F"/>
    <w:rsid w:val="009F2A65"/>
    <w:rsid w:val="009F2EBB"/>
    <w:rsid w:val="009F30A5"/>
    <w:rsid w:val="009F32B6"/>
    <w:rsid w:val="009F396E"/>
    <w:rsid w:val="009F3D16"/>
    <w:rsid w:val="009F46DE"/>
    <w:rsid w:val="009F49A0"/>
    <w:rsid w:val="009F4BA9"/>
    <w:rsid w:val="009F4DB4"/>
    <w:rsid w:val="009F50F7"/>
    <w:rsid w:val="009F5172"/>
    <w:rsid w:val="009F524B"/>
    <w:rsid w:val="009F591D"/>
    <w:rsid w:val="009F5CFA"/>
    <w:rsid w:val="009F735D"/>
    <w:rsid w:val="009F7633"/>
    <w:rsid w:val="009F7913"/>
    <w:rsid w:val="009F7F59"/>
    <w:rsid w:val="00A000F6"/>
    <w:rsid w:val="00A005C6"/>
    <w:rsid w:val="00A0202E"/>
    <w:rsid w:val="00A02284"/>
    <w:rsid w:val="00A02D7E"/>
    <w:rsid w:val="00A0353A"/>
    <w:rsid w:val="00A04129"/>
    <w:rsid w:val="00A04578"/>
    <w:rsid w:val="00A047AF"/>
    <w:rsid w:val="00A04AB5"/>
    <w:rsid w:val="00A04C4F"/>
    <w:rsid w:val="00A04D54"/>
    <w:rsid w:val="00A04E6F"/>
    <w:rsid w:val="00A04EB0"/>
    <w:rsid w:val="00A05B2F"/>
    <w:rsid w:val="00A063A3"/>
    <w:rsid w:val="00A06414"/>
    <w:rsid w:val="00A0647B"/>
    <w:rsid w:val="00A06DB5"/>
    <w:rsid w:val="00A06EE0"/>
    <w:rsid w:val="00A06F01"/>
    <w:rsid w:val="00A072C0"/>
    <w:rsid w:val="00A075E2"/>
    <w:rsid w:val="00A10917"/>
    <w:rsid w:val="00A117CD"/>
    <w:rsid w:val="00A11855"/>
    <w:rsid w:val="00A11989"/>
    <w:rsid w:val="00A11AC3"/>
    <w:rsid w:val="00A1216C"/>
    <w:rsid w:val="00A13052"/>
    <w:rsid w:val="00A13074"/>
    <w:rsid w:val="00A1363C"/>
    <w:rsid w:val="00A136D2"/>
    <w:rsid w:val="00A13877"/>
    <w:rsid w:val="00A140C5"/>
    <w:rsid w:val="00A1411D"/>
    <w:rsid w:val="00A1442F"/>
    <w:rsid w:val="00A1449E"/>
    <w:rsid w:val="00A144AA"/>
    <w:rsid w:val="00A14A21"/>
    <w:rsid w:val="00A14ECB"/>
    <w:rsid w:val="00A150A5"/>
    <w:rsid w:val="00A15D97"/>
    <w:rsid w:val="00A15F1E"/>
    <w:rsid w:val="00A1658C"/>
    <w:rsid w:val="00A16708"/>
    <w:rsid w:val="00A16CB9"/>
    <w:rsid w:val="00A17343"/>
    <w:rsid w:val="00A17EE4"/>
    <w:rsid w:val="00A17FCB"/>
    <w:rsid w:val="00A202B7"/>
    <w:rsid w:val="00A205F2"/>
    <w:rsid w:val="00A20977"/>
    <w:rsid w:val="00A20D6D"/>
    <w:rsid w:val="00A21473"/>
    <w:rsid w:val="00A216D2"/>
    <w:rsid w:val="00A21F3D"/>
    <w:rsid w:val="00A224CB"/>
    <w:rsid w:val="00A22E4D"/>
    <w:rsid w:val="00A2301E"/>
    <w:rsid w:val="00A236C5"/>
    <w:rsid w:val="00A237A4"/>
    <w:rsid w:val="00A23F5B"/>
    <w:rsid w:val="00A24593"/>
    <w:rsid w:val="00A2462A"/>
    <w:rsid w:val="00A24E89"/>
    <w:rsid w:val="00A253B8"/>
    <w:rsid w:val="00A2541F"/>
    <w:rsid w:val="00A2567D"/>
    <w:rsid w:val="00A25B7F"/>
    <w:rsid w:val="00A25C3F"/>
    <w:rsid w:val="00A25CCB"/>
    <w:rsid w:val="00A264B2"/>
    <w:rsid w:val="00A269B0"/>
    <w:rsid w:val="00A270D1"/>
    <w:rsid w:val="00A275D9"/>
    <w:rsid w:val="00A27AA4"/>
    <w:rsid w:val="00A30495"/>
    <w:rsid w:val="00A30D77"/>
    <w:rsid w:val="00A30E47"/>
    <w:rsid w:val="00A3179D"/>
    <w:rsid w:val="00A31823"/>
    <w:rsid w:val="00A31A68"/>
    <w:rsid w:val="00A31DF6"/>
    <w:rsid w:val="00A323D2"/>
    <w:rsid w:val="00A32845"/>
    <w:rsid w:val="00A32B2E"/>
    <w:rsid w:val="00A32B55"/>
    <w:rsid w:val="00A32C1B"/>
    <w:rsid w:val="00A32F80"/>
    <w:rsid w:val="00A33372"/>
    <w:rsid w:val="00A342F0"/>
    <w:rsid w:val="00A34406"/>
    <w:rsid w:val="00A34574"/>
    <w:rsid w:val="00A348A4"/>
    <w:rsid w:val="00A34C1D"/>
    <w:rsid w:val="00A34CB6"/>
    <w:rsid w:val="00A358A2"/>
    <w:rsid w:val="00A35929"/>
    <w:rsid w:val="00A35C6F"/>
    <w:rsid w:val="00A35E1B"/>
    <w:rsid w:val="00A36155"/>
    <w:rsid w:val="00A371A9"/>
    <w:rsid w:val="00A37429"/>
    <w:rsid w:val="00A37488"/>
    <w:rsid w:val="00A378C4"/>
    <w:rsid w:val="00A37D18"/>
    <w:rsid w:val="00A4095E"/>
    <w:rsid w:val="00A40D42"/>
    <w:rsid w:val="00A40DE0"/>
    <w:rsid w:val="00A414E5"/>
    <w:rsid w:val="00A4196A"/>
    <w:rsid w:val="00A41BF5"/>
    <w:rsid w:val="00A41D38"/>
    <w:rsid w:val="00A42184"/>
    <w:rsid w:val="00A425B0"/>
    <w:rsid w:val="00A42604"/>
    <w:rsid w:val="00A433DF"/>
    <w:rsid w:val="00A433F8"/>
    <w:rsid w:val="00A43925"/>
    <w:rsid w:val="00A439A0"/>
    <w:rsid w:val="00A43C8D"/>
    <w:rsid w:val="00A43D73"/>
    <w:rsid w:val="00A446B8"/>
    <w:rsid w:val="00A44EC7"/>
    <w:rsid w:val="00A44FE2"/>
    <w:rsid w:val="00A45364"/>
    <w:rsid w:val="00A46CAD"/>
    <w:rsid w:val="00A46CC4"/>
    <w:rsid w:val="00A46E10"/>
    <w:rsid w:val="00A46E61"/>
    <w:rsid w:val="00A46EE2"/>
    <w:rsid w:val="00A47698"/>
    <w:rsid w:val="00A478F2"/>
    <w:rsid w:val="00A505E7"/>
    <w:rsid w:val="00A50654"/>
    <w:rsid w:val="00A5093F"/>
    <w:rsid w:val="00A50B36"/>
    <w:rsid w:val="00A51056"/>
    <w:rsid w:val="00A5121E"/>
    <w:rsid w:val="00A5153E"/>
    <w:rsid w:val="00A52139"/>
    <w:rsid w:val="00A5218F"/>
    <w:rsid w:val="00A522C5"/>
    <w:rsid w:val="00A527FA"/>
    <w:rsid w:val="00A52C78"/>
    <w:rsid w:val="00A53FF4"/>
    <w:rsid w:val="00A54002"/>
    <w:rsid w:val="00A54679"/>
    <w:rsid w:val="00A549D3"/>
    <w:rsid w:val="00A55348"/>
    <w:rsid w:val="00A5545D"/>
    <w:rsid w:val="00A554CD"/>
    <w:rsid w:val="00A5588B"/>
    <w:rsid w:val="00A55D2B"/>
    <w:rsid w:val="00A56435"/>
    <w:rsid w:val="00A5698E"/>
    <w:rsid w:val="00A56D2E"/>
    <w:rsid w:val="00A572FB"/>
    <w:rsid w:val="00A57EB2"/>
    <w:rsid w:val="00A57EF4"/>
    <w:rsid w:val="00A57F29"/>
    <w:rsid w:val="00A60112"/>
    <w:rsid w:val="00A60553"/>
    <w:rsid w:val="00A60714"/>
    <w:rsid w:val="00A60DD5"/>
    <w:rsid w:val="00A61152"/>
    <w:rsid w:val="00A61C0B"/>
    <w:rsid w:val="00A61DC1"/>
    <w:rsid w:val="00A6291E"/>
    <w:rsid w:val="00A62EF6"/>
    <w:rsid w:val="00A62FAB"/>
    <w:rsid w:val="00A635E9"/>
    <w:rsid w:val="00A63A45"/>
    <w:rsid w:val="00A63AF1"/>
    <w:rsid w:val="00A63D67"/>
    <w:rsid w:val="00A63EC1"/>
    <w:rsid w:val="00A63F8F"/>
    <w:rsid w:val="00A647D1"/>
    <w:rsid w:val="00A64F0F"/>
    <w:rsid w:val="00A65503"/>
    <w:rsid w:val="00A656D5"/>
    <w:rsid w:val="00A658BD"/>
    <w:rsid w:val="00A66240"/>
    <w:rsid w:val="00A6682A"/>
    <w:rsid w:val="00A66881"/>
    <w:rsid w:val="00A668D4"/>
    <w:rsid w:val="00A66917"/>
    <w:rsid w:val="00A66A8C"/>
    <w:rsid w:val="00A66D35"/>
    <w:rsid w:val="00A66E44"/>
    <w:rsid w:val="00A673EF"/>
    <w:rsid w:val="00A67522"/>
    <w:rsid w:val="00A67939"/>
    <w:rsid w:val="00A67C90"/>
    <w:rsid w:val="00A67E4A"/>
    <w:rsid w:val="00A67E7A"/>
    <w:rsid w:val="00A70B36"/>
    <w:rsid w:val="00A7123D"/>
    <w:rsid w:val="00A7131E"/>
    <w:rsid w:val="00A71415"/>
    <w:rsid w:val="00A71AB5"/>
    <w:rsid w:val="00A720EC"/>
    <w:rsid w:val="00A7232F"/>
    <w:rsid w:val="00A72C47"/>
    <w:rsid w:val="00A72C91"/>
    <w:rsid w:val="00A72F9E"/>
    <w:rsid w:val="00A73636"/>
    <w:rsid w:val="00A73F4B"/>
    <w:rsid w:val="00A7443B"/>
    <w:rsid w:val="00A74BFE"/>
    <w:rsid w:val="00A74C75"/>
    <w:rsid w:val="00A752A8"/>
    <w:rsid w:val="00A75A7E"/>
    <w:rsid w:val="00A75BC2"/>
    <w:rsid w:val="00A7671B"/>
    <w:rsid w:val="00A768C3"/>
    <w:rsid w:val="00A76B9C"/>
    <w:rsid w:val="00A76BDC"/>
    <w:rsid w:val="00A7774D"/>
    <w:rsid w:val="00A77964"/>
    <w:rsid w:val="00A80149"/>
    <w:rsid w:val="00A80541"/>
    <w:rsid w:val="00A80F48"/>
    <w:rsid w:val="00A811BC"/>
    <w:rsid w:val="00A815DB"/>
    <w:rsid w:val="00A81814"/>
    <w:rsid w:val="00A81A96"/>
    <w:rsid w:val="00A81BC1"/>
    <w:rsid w:val="00A81D15"/>
    <w:rsid w:val="00A82224"/>
    <w:rsid w:val="00A824A5"/>
    <w:rsid w:val="00A82B79"/>
    <w:rsid w:val="00A82C78"/>
    <w:rsid w:val="00A833BD"/>
    <w:rsid w:val="00A83B90"/>
    <w:rsid w:val="00A83F18"/>
    <w:rsid w:val="00A84792"/>
    <w:rsid w:val="00A849AB"/>
    <w:rsid w:val="00A84B2F"/>
    <w:rsid w:val="00A84D9D"/>
    <w:rsid w:val="00A84E3D"/>
    <w:rsid w:val="00A850C7"/>
    <w:rsid w:val="00A86044"/>
    <w:rsid w:val="00A861D3"/>
    <w:rsid w:val="00A866C1"/>
    <w:rsid w:val="00A86AA9"/>
    <w:rsid w:val="00A86CFD"/>
    <w:rsid w:val="00A87025"/>
    <w:rsid w:val="00A871B2"/>
    <w:rsid w:val="00A872FA"/>
    <w:rsid w:val="00A873A1"/>
    <w:rsid w:val="00A87995"/>
    <w:rsid w:val="00A9092B"/>
    <w:rsid w:val="00A90CCB"/>
    <w:rsid w:val="00A91A62"/>
    <w:rsid w:val="00A92094"/>
    <w:rsid w:val="00A92121"/>
    <w:rsid w:val="00A9244B"/>
    <w:rsid w:val="00A92A12"/>
    <w:rsid w:val="00A92F28"/>
    <w:rsid w:val="00A931BA"/>
    <w:rsid w:val="00A93A95"/>
    <w:rsid w:val="00A9403D"/>
    <w:rsid w:val="00A952B9"/>
    <w:rsid w:val="00A95305"/>
    <w:rsid w:val="00A9551C"/>
    <w:rsid w:val="00A958C4"/>
    <w:rsid w:val="00A96008"/>
    <w:rsid w:val="00A960BE"/>
    <w:rsid w:val="00A960DD"/>
    <w:rsid w:val="00A96761"/>
    <w:rsid w:val="00A96CE0"/>
    <w:rsid w:val="00A96FFD"/>
    <w:rsid w:val="00AA04D5"/>
    <w:rsid w:val="00AA093C"/>
    <w:rsid w:val="00AA0C36"/>
    <w:rsid w:val="00AA0D65"/>
    <w:rsid w:val="00AA0FFB"/>
    <w:rsid w:val="00AA1265"/>
    <w:rsid w:val="00AA1D5F"/>
    <w:rsid w:val="00AA1E2A"/>
    <w:rsid w:val="00AA1E3C"/>
    <w:rsid w:val="00AA20DC"/>
    <w:rsid w:val="00AA21D4"/>
    <w:rsid w:val="00AA26FB"/>
    <w:rsid w:val="00AA3C17"/>
    <w:rsid w:val="00AA3C6F"/>
    <w:rsid w:val="00AA3E97"/>
    <w:rsid w:val="00AA3FF0"/>
    <w:rsid w:val="00AA4271"/>
    <w:rsid w:val="00AA4608"/>
    <w:rsid w:val="00AA4E57"/>
    <w:rsid w:val="00AA4F0B"/>
    <w:rsid w:val="00AA5180"/>
    <w:rsid w:val="00AA5363"/>
    <w:rsid w:val="00AA6153"/>
    <w:rsid w:val="00AA64D8"/>
    <w:rsid w:val="00AA6691"/>
    <w:rsid w:val="00AA74B5"/>
    <w:rsid w:val="00AA7683"/>
    <w:rsid w:val="00AA7C63"/>
    <w:rsid w:val="00AA7DFC"/>
    <w:rsid w:val="00AA7E52"/>
    <w:rsid w:val="00AA7FDE"/>
    <w:rsid w:val="00AB097D"/>
    <w:rsid w:val="00AB0AA1"/>
    <w:rsid w:val="00AB0CD6"/>
    <w:rsid w:val="00AB12CD"/>
    <w:rsid w:val="00AB22B5"/>
    <w:rsid w:val="00AB23B1"/>
    <w:rsid w:val="00AB32DD"/>
    <w:rsid w:val="00AB368B"/>
    <w:rsid w:val="00AB3980"/>
    <w:rsid w:val="00AB3CAE"/>
    <w:rsid w:val="00AB410B"/>
    <w:rsid w:val="00AB43FC"/>
    <w:rsid w:val="00AB4836"/>
    <w:rsid w:val="00AB4F65"/>
    <w:rsid w:val="00AB4F9E"/>
    <w:rsid w:val="00AB587A"/>
    <w:rsid w:val="00AB589B"/>
    <w:rsid w:val="00AB5BEA"/>
    <w:rsid w:val="00AB5EEC"/>
    <w:rsid w:val="00AB7402"/>
    <w:rsid w:val="00AB7DE6"/>
    <w:rsid w:val="00AC05A7"/>
    <w:rsid w:val="00AC08D6"/>
    <w:rsid w:val="00AC0AAE"/>
    <w:rsid w:val="00AC120C"/>
    <w:rsid w:val="00AC31BC"/>
    <w:rsid w:val="00AC3729"/>
    <w:rsid w:val="00AC41F3"/>
    <w:rsid w:val="00AC455F"/>
    <w:rsid w:val="00AC4719"/>
    <w:rsid w:val="00AC5549"/>
    <w:rsid w:val="00AC5A28"/>
    <w:rsid w:val="00AC5C70"/>
    <w:rsid w:val="00AC5EC2"/>
    <w:rsid w:val="00AC60E7"/>
    <w:rsid w:val="00AC630C"/>
    <w:rsid w:val="00AC6946"/>
    <w:rsid w:val="00AC6A9E"/>
    <w:rsid w:val="00AC7072"/>
    <w:rsid w:val="00AC722A"/>
    <w:rsid w:val="00AC778E"/>
    <w:rsid w:val="00AC7B71"/>
    <w:rsid w:val="00AC7C70"/>
    <w:rsid w:val="00AC7E5B"/>
    <w:rsid w:val="00AD001C"/>
    <w:rsid w:val="00AD04CD"/>
    <w:rsid w:val="00AD0638"/>
    <w:rsid w:val="00AD0FD4"/>
    <w:rsid w:val="00AD1050"/>
    <w:rsid w:val="00AD10CA"/>
    <w:rsid w:val="00AD116D"/>
    <w:rsid w:val="00AD1781"/>
    <w:rsid w:val="00AD19FA"/>
    <w:rsid w:val="00AD25AD"/>
    <w:rsid w:val="00AD2F82"/>
    <w:rsid w:val="00AD3103"/>
    <w:rsid w:val="00AD35BA"/>
    <w:rsid w:val="00AD3DC6"/>
    <w:rsid w:val="00AD46DD"/>
    <w:rsid w:val="00AD4701"/>
    <w:rsid w:val="00AD483F"/>
    <w:rsid w:val="00AD5270"/>
    <w:rsid w:val="00AD658B"/>
    <w:rsid w:val="00AD68B0"/>
    <w:rsid w:val="00AD6A9D"/>
    <w:rsid w:val="00AD6DDE"/>
    <w:rsid w:val="00AD6FEB"/>
    <w:rsid w:val="00AD76AA"/>
    <w:rsid w:val="00AD779E"/>
    <w:rsid w:val="00AD7858"/>
    <w:rsid w:val="00AD7C51"/>
    <w:rsid w:val="00AD7CC2"/>
    <w:rsid w:val="00AD7D31"/>
    <w:rsid w:val="00AE0314"/>
    <w:rsid w:val="00AE1914"/>
    <w:rsid w:val="00AE19DB"/>
    <w:rsid w:val="00AE1F97"/>
    <w:rsid w:val="00AE234B"/>
    <w:rsid w:val="00AE2836"/>
    <w:rsid w:val="00AE31A1"/>
    <w:rsid w:val="00AE3AF7"/>
    <w:rsid w:val="00AE40F9"/>
    <w:rsid w:val="00AE4462"/>
    <w:rsid w:val="00AE475C"/>
    <w:rsid w:val="00AE47E0"/>
    <w:rsid w:val="00AE4D64"/>
    <w:rsid w:val="00AE54C3"/>
    <w:rsid w:val="00AE562C"/>
    <w:rsid w:val="00AE5634"/>
    <w:rsid w:val="00AE5A78"/>
    <w:rsid w:val="00AE6343"/>
    <w:rsid w:val="00AE6624"/>
    <w:rsid w:val="00AE6D3F"/>
    <w:rsid w:val="00AE7B9A"/>
    <w:rsid w:val="00AE7EF6"/>
    <w:rsid w:val="00AE7F38"/>
    <w:rsid w:val="00AF031D"/>
    <w:rsid w:val="00AF073E"/>
    <w:rsid w:val="00AF08A8"/>
    <w:rsid w:val="00AF0D21"/>
    <w:rsid w:val="00AF0DC7"/>
    <w:rsid w:val="00AF10B9"/>
    <w:rsid w:val="00AF11BB"/>
    <w:rsid w:val="00AF13E7"/>
    <w:rsid w:val="00AF1514"/>
    <w:rsid w:val="00AF1542"/>
    <w:rsid w:val="00AF157E"/>
    <w:rsid w:val="00AF1BD1"/>
    <w:rsid w:val="00AF1F00"/>
    <w:rsid w:val="00AF28D4"/>
    <w:rsid w:val="00AF3683"/>
    <w:rsid w:val="00AF39A2"/>
    <w:rsid w:val="00AF3C5A"/>
    <w:rsid w:val="00AF444B"/>
    <w:rsid w:val="00AF4698"/>
    <w:rsid w:val="00AF57B9"/>
    <w:rsid w:val="00AF5A45"/>
    <w:rsid w:val="00AF5B14"/>
    <w:rsid w:val="00AF5D29"/>
    <w:rsid w:val="00AF5DF8"/>
    <w:rsid w:val="00AF6C42"/>
    <w:rsid w:val="00AF7267"/>
    <w:rsid w:val="00AF7DF9"/>
    <w:rsid w:val="00AF7F5B"/>
    <w:rsid w:val="00AF7FC1"/>
    <w:rsid w:val="00B00282"/>
    <w:rsid w:val="00B00F4B"/>
    <w:rsid w:val="00B00FAD"/>
    <w:rsid w:val="00B010C6"/>
    <w:rsid w:val="00B01231"/>
    <w:rsid w:val="00B0144F"/>
    <w:rsid w:val="00B016A5"/>
    <w:rsid w:val="00B01B57"/>
    <w:rsid w:val="00B01DDA"/>
    <w:rsid w:val="00B02352"/>
    <w:rsid w:val="00B025CB"/>
    <w:rsid w:val="00B02E12"/>
    <w:rsid w:val="00B0368D"/>
    <w:rsid w:val="00B03864"/>
    <w:rsid w:val="00B03872"/>
    <w:rsid w:val="00B03B05"/>
    <w:rsid w:val="00B03E6E"/>
    <w:rsid w:val="00B042CF"/>
    <w:rsid w:val="00B04A21"/>
    <w:rsid w:val="00B04FE3"/>
    <w:rsid w:val="00B050FD"/>
    <w:rsid w:val="00B051EE"/>
    <w:rsid w:val="00B056BD"/>
    <w:rsid w:val="00B05D74"/>
    <w:rsid w:val="00B06361"/>
    <w:rsid w:val="00B069F5"/>
    <w:rsid w:val="00B06DD4"/>
    <w:rsid w:val="00B07009"/>
    <w:rsid w:val="00B070B3"/>
    <w:rsid w:val="00B0745E"/>
    <w:rsid w:val="00B103B0"/>
    <w:rsid w:val="00B10DED"/>
    <w:rsid w:val="00B11491"/>
    <w:rsid w:val="00B11B17"/>
    <w:rsid w:val="00B12754"/>
    <w:rsid w:val="00B12FB7"/>
    <w:rsid w:val="00B132D8"/>
    <w:rsid w:val="00B13319"/>
    <w:rsid w:val="00B13428"/>
    <w:rsid w:val="00B13794"/>
    <w:rsid w:val="00B13FB0"/>
    <w:rsid w:val="00B1415B"/>
    <w:rsid w:val="00B146A2"/>
    <w:rsid w:val="00B14C06"/>
    <w:rsid w:val="00B1585E"/>
    <w:rsid w:val="00B159C5"/>
    <w:rsid w:val="00B15A7E"/>
    <w:rsid w:val="00B16171"/>
    <w:rsid w:val="00B16467"/>
    <w:rsid w:val="00B165E7"/>
    <w:rsid w:val="00B16647"/>
    <w:rsid w:val="00B16745"/>
    <w:rsid w:val="00B16FDB"/>
    <w:rsid w:val="00B1740C"/>
    <w:rsid w:val="00B17451"/>
    <w:rsid w:val="00B1755C"/>
    <w:rsid w:val="00B176E0"/>
    <w:rsid w:val="00B17A26"/>
    <w:rsid w:val="00B17CD2"/>
    <w:rsid w:val="00B17EB5"/>
    <w:rsid w:val="00B202A7"/>
    <w:rsid w:val="00B202FE"/>
    <w:rsid w:val="00B21C15"/>
    <w:rsid w:val="00B226B1"/>
    <w:rsid w:val="00B22ED9"/>
    <w:rsid w:val="00B2390D"/>
    <w:rsid w:val="00B23C44"/>
    <w:rsid w:val="00B23D4D"/>
    <w:rsid w:val="00B24599"/>
    <w:rsid w:val="00B24857"/>
    <w:rsid w:val="00B2519B"/>
    <w:rsid w:val="00B258EA"/>
    <w:rsid w:val="00B25BFC"/>
    <w:rsid w:val="00B262D7"/>
    <w:rsid w:val="00B26636"/>
    <w:rsid w:val="00B270EB"/>
    <w:rsid w:val="00B275BF"/>
    <w:rsid w:val="00B27C1D"/>
    <w:rsid w:val="00B27E19"/>
    <w:rsid w:val="00B30279"/>
    <w:rsid w:val="00B305ED"/>
    <w:rsid w:val="00B3073E"/>
    <w:rsid w:val="00B30A0B"/>
    <w:rsid w:val="00B30A55"/>
    <w:rsid w:val="00B3104E"/>
    <w:rsid w:val="00B31194"/>
    <w:rsid w:val="00B31C5C"/>
    <w:rsid w:val="00B32309"/>
    <w:rsid w:val="00B32500"/>
    <w:rsid w:val="00B32D42"/>
    <w:rsid w:val="00B337D1"/>
    <w:rsid w:val="00B33DDA"/>
    <w:rsid w:val="00B33F96"/>
    <w:rsid w:val="00B34418"/>
    <w:rsid w:val="00B34527"/>
    <w:rsid w:val="00B3472A"/>
    <w:rsid w:val="00B349AC"/>
    <w:rsid w:val="00B34BE3"/>
    <w:rsid w:val="00B35172"/>
    <w:rsid w:val="00B351BC"/>
    <w:rsid w:val="00B355E2"/>
    <w:rsid w:val="00B3570F"/>
    <w:rsid w:val="00B35990"/>
    <w:rsid w:val="00B35DBC"/>
    <w:rsid w:val="00B3605F"/>
    <w:rsid w:val="00B360BC"/>
    <w:rsid w:val="00B364C9"/>
    <w:rsid w:val="00B36688"/>
    <w:rsid w:val="00B36857"/>
    <w:rsid w:val="00B36C26"/>
    <w:rsid w:val="00B36FF8"/>
    <w:rsid w:val="00B3728F"/>
    <w:rsid w:val="00B37353"/>
    <w:rsid w:val="00B374A7"/>
    <w:rsid w:val="00B41340"/>
    <w:rsid w:val="00B41428"/>
    <w:rsid w:val="00B4178D"/>
    <w:rsid w:val="00B4216D"/>
    <w:rsid w:val="00B425CB"/>
    <w:rsid w:val="00B4292D"/>
    <w:rsid w:val="00B430DC"/>
    <w:rsid w:val="00B4379F"/>
    <w:rsid w:val="00B437C1"/>
    <w:rsid w:val="00B43C59"/>
    <w:rsid w:val="00B44261"/>
    <w:rsid w:val="00B44EAC"/>
    <w:rsid w:val="00B45104"/>
    <w:rsid w:val="00B453C6"/>
    <w:rsid w:val="00B45F7D"/>
    <w:rsid w:val="00B4674C"/>
    <w:rsid w:val="00B4697F"/>
    <w:rsid w:val="00B46B12"/>
    <w:rsid w:val="00B46D51"/>
    <w:rsid w:val="00B46D63"/>
    <w:rsid w:val="00B46E3C"/>
    <w:rsid w:val="00B474EB"/>
    <w:rsid w:val="00B500D1"/>
    <w:rsid w:val="00B500E0"/>
    <w:rsid w:val="00B508E4"/>
    <w:rsid w:val="00B50FF5"/>
    <w:rsid w:val="00B51087"/>
    <w:rsid w:val="00B52330"/>
    <w:rsid w:val="00B52A0D"/>
    <w:rsid w:val="00B530B1"/>
    <w:rsid w:val="00B53295"/>
    <w:rsid w:val="00B5368E"/>
    <w:rsid w:val="00B5399F"/>
    <w:rsid w:val="00B53B44"/>
    <w:rsid w:val="00B53FFE"/>
    <w:rsid w:val="00B54BF6"/>
    <w:rsid w:val="00B54BF8"/>
    <w:rsid w:val="00B54CC0"/>
    <w:rsid w:val="00B54EC9"/>
    <w:rsid w:val="00B5520D"/>
    <w:rsid w:val="00B5527F"/>
    <w:rsid w:val="00B5558B"/>
    <w:rsid w:val="00B555CC"/>
    <w:rsid w:val="00B55D7F"/>
    <w:rsid w:val="00B561CC"/>
    <w:rsid w:val="00B56275"/>
    <w:rsid w:val="00B56609"/>
    <w:rsid w:val="00B56B68"/>
    <w:rsid w:val="00B577F6"/>
    <w:rsid w:val="00B578FC"/>
    <w:rsid w:val="00B57C8A"/>
    <w:rsid w:val="00B6000A"/>
    <w:rsid w:val="00B602A0"/>
    <w:rsid w:val="00B6041E"/>
    <w:rsid w:val="00B608A1"/>
    <w:rsid w:val="00B60A70"/>
    <w:rsid w:val="00B60AAB"/>
    <w:rsid w:val="00B60DDB"/>
    <w:rsid w:val="00B60EE4"/>
    <w:rsid w:val="00B613A8"/>
    <w:rsid w:val="00B61459"/>
    <w:rsid w:val="00B6194D"/>
    <w:rsid w:val="00B626FC"/>
    <w:rsid w:val="00B627ED"/>
    <w:rsid w:val="00B631BD"/>
    <w:rsid w:val="00B640CF"/>
    <w:rsid w:val="00B643D4"/>
    <w:rsid w:val="00B65044"/>
    <w:rsid w:val="00B6526B"/>
    <w:rsid w:val="00B65886"/>
    <w:rsid w:val="00B65BAD"/>
    <w:rsid w:val="00B65C96"/>
    <w:rsid w:val="00B65E1A"/>
    <w:rsid w:val="00B65F09"/>
    <w:rsid w:val="00B66913"/>
    <w:rsid w:val="00B67011"/>
    <w:rsid w:val="00B679A2"/>
    <w:rsid w:val="00B67F02"/>
    <w:rsid w:val="00B700C6"/>
    <w:rsid w:val="00B70B95"/>
    <w:rsid w:val="00B70D02"/>
    <w:rsid w:val="00B70E26"/>
    <w:rsid w:val="00B718A2"/>
    <w:rsid w:val="00B71C39"/>
    <w:rsid w:val="00B71C79"/>
    <w:rsid w:val="00B71D7F"/>
    <w:rsid w:val="00B71E35"/>
    <w:rsid w:val="00B720B6"/>
    <w:rsid w:val="00B7257B"/>
    <w:rsid w:val="00B728C9"/>
    <w:rsid w:val="00B7294D"/>
    <w:rsid w:val="00B7321E"/>
    <w:rsid w:val="00B739E0"/>
    <w:rsid w:val="00B73CA0"/>
    <w:rsid w:val="00B73DD9"/>
    <w:rsid w:val="00B741E1"/>
    <w:rsid w:val="00B746E7"/>
    <w:rsid w:val="00B74BCB"/>
    <w:rsid w:val="00B7564F"/>
    <w:rsid w:val="00B75A2E"/>
    <w:rsid w:val="00B75C8D"/>
    <w:rsid w:val="00B761C7"/>
    <w:rsid w:val="00B762CD"/>
    <w:rsid w:val="00B7673C"/>
    <w:rsid w:val="00B76816"/>
    <w:rsid w:val="00B76D99"/>
    <w:rsid w:val="00B777E3"/>
    <w:rsid w:val="00B77831"/>
    <w:rsid w:val="00B8034F"/>
    <w:rsid w:val="00B804F3"/>
    <w:rsid w:val="00B80BD6"/>
    <w:rsid w:val="00B81608"/>
    <w:rsid w:val="00B81EED"/>
    <w:rsid w:val="00B8284D"/>
    <w:rsid w:val="00B82871"/>
    <w:rsid w:val="00B82EE3"/>
    <w:rsid w:val="00B830D2"/>
    <w:rsid w:val="00B83C8D"/>
    <w:rsid w:val="00B83F3E"/>
    <w:rsid w:val="00B83FE7"/>
    <w:rsid w:val="00B84B50"/>
    <w:rsid w:val="00B84DC5"/>
    <w:rsid w:val="00B84F64"/>
    <w:rsid w:val="00B850BA"/>
    <w:rsid w:val="00B8549C"/>
    <w:rsid w:val="00B854D4"/>
    <w:rsid w:val="00B859C2"/>
    <w:rsid w:val="00B85B75"/>
    <w:rsid w:val="00B85EA1"/>
    <w:rsid w:val="00B8656D"/>
    <w:rsid w:val="00B86EC3"/>
    <w:rsid w:val="00B86FD7"/>
    <w:rsid w:val="00B87774"/>
    <w:rsid w:val="00B87822"/>
    <w:rsid w:val="00B87D6D"/>
    <w:rsid w:val="00B9027F"/>
    <w:rsid w:val="00B906A9"/>
    <w:rsid w:val="00B90D09"/>
    <w:rsid w:val="00B90D40"/>
    <w:rsid w:val="00B90D44"/>
    <w:rsid w:val="00B90D56"/>
    <w:rsid w:val="00B912F7"/>
    <w:rsid w:val="00B916DB"/>
    <w:rsid w:val="00B921E8"/>
    <w:rsid w:val="00B92273"/>
    <w:rsid w:val="00B922FC"/>
    <w:rsid w:val="00B9234F"/>
    <w:rsid w:val="00B92686"/>
    <w:rsid w:val="00B927D3"/>
    <w:rsid w:val="00B935E3"/>
    <w:rsid w:val="00B939D8"/>
    <w:rsid w:val="00B9408A"/>
    <w:rsid w:val="00B9413F"/>
    <w:rsid w:val="00B954D2"/>
    <w:rsid w:val="00B95DDE"/>
    <w:rsid w:val="00B95EB3"/>
    <w:rsid w:val="00B96012"/>
    <w:rsid w:val="00B961A1"/>
    <w:rsid w:val="00B96A42"/>
    <w:rsid w:val="00B97B96"/>
    <w:rsid w:val="00B97E2E"/>
    <w:rsid w:val="00BA0E69"/>
    <w:rsid w:val="00BA10A2"/>
    <w:rsid w:val="00BA17CB"/>
    <w:rsid w:val="00BA1A7E"/>
    <w:rsid w:val="00BA1B87"/>
    <w:rsid w:val="00BA21C0"/>
    <w:rsid w:val="00BA2674"/>
    <w:rsid w:val="00BA26CB"/>
    <w:rsid w:val="00BA2749"/>
    <w:rsid w:val="00BA2909"/>
    <w:rsid w:val="00BA3021"/>
    <w:rsid w:val="00BA3EF2"/>
    <w:rsid w:val="00BA4BD0"/>
    <w:rsid w:val="00BA54AD"/>
    <w:rsid w:val="00BA56C5"/>
    <w:rsid w:val="00BA64B7"/>
    <w:rsid w:val="00BA68CB"/>
    <w:rsid w:val="00BA75EA"/>
    <w:rsid w:val="00BA7749"/>
    <w:rsid w:val="00BA7B0C"/>
    <w:rsid w:val="00BB0552"/>
    <w:rsid w:val="00BB0855"/>
    <w:rsid w:val="00BB09EF"/>
    <w:rsid w:val="00BB0E20"/>
    <w:rsid w:val="00BB17E3"/>
    <w:rsid w:val="00BB1A44"/>
    <w:rsid w:val="00BB266C"/>
    <w:rsid w:val="00BB2934"/>
    <w:rsid w:val="00BB332D"/>
    <w:rsid w:val="00BB3960"/>
    <w:rsid w:val="00BB3972"/>
    <w:rsid w:val="00BB3DC9"/>
    <w:rsid w:val="00BB3EAD"/>
    <w:rsid w:val="00BB4496"/>
    <w:rsid w:val="00BB485D"/>
    <w:rsid w:val="00BB4C23"/>
    <w:rsid w:val="00BB4C36"/>
    <w:rsid w:val="00BB4CCC"/>
    <w:rsid w:val="00BB4D09"/>
    <w:rsid w:val="00BB582F"/>
    <w:rsid w:val="00BB58E6"/>
    <w:rsid w:val="00BB5A70"/>
    <w:rsid w:val="00BB5C5F"/>
    <w:rsid w:val="00BB7124"/>
    <w:rsid w:val="00BB74DC"/>
    <w:rsid w:val="00BB7C1E"/>
    <w:rsid w:val="00BC0576"/>
    <w:rsid w:val="00BC0927"/>
    <w:rsid w:val="00BC0CE1"/>
    <w:rsid w:val="00BC0E84"/>
    <w:rsid w:val="00BC1826"/>
    <w:rsid w:val="00BC1B09"/>
    <w:rsid w:val="00BC1BC4"/>
    <w:rsid w:val="00BC1DF3"/>
    <w:rsid w:val="00BC22BB"/>
    <w:rsid w:val="00BC268C"/>
    <w:rsid w:val="00BC28E4"/>
    <w:rsid w:val="00BC299E"/>
    <w:rsid w:val="00BC2E8F"/>
    <w:rsid w:val="00BC3346"/>
    <w:rsid w:val="00BC38EB"/>
    <w:rsid w:val="00BC392E"/>
    <w:rsid w:val="00BC3B6E"/>
    <w:rsid w:val="00BC3B97"/>
    <w:rsid w:val="00BC3E92"/>
    <w:rsid w:val="00BC4045"/>
    <w:rsid w:val="00BC413D"/>
    <w:rsid w:val="00BC462A"/>
    <w:rsid w:val="00BC4E97"/>
    <w:rsid w:val="00BC5ABD"/>
    <w:rsid w:val="00BC5AC6"/>
    <w:rsid w:val="00BC5C62"/>
    <w:rsid w:val="00BC6006"/>
    <w:rsid w:val="00BC6C18"/>
    <w:rsid w:val="00BC77ED"/>
    <w:rsid w:val="00BC7B8B"/>
    <w:rsid w:val="00BD0075"/>
    <w:rsid w:val="00BD1137"/>
    <w:rsid w:val="00BD129C"/>
    <w:rsid w:val="00BD160B"/>
    <w:rsid w:val="00BD163E"/>
    <w:rsid w:val="00BD2296"/>
    <w:rsid w:val="00BD366A"/>
    <w:rsid w:val="00BD3BC7"/>
    <w:rsid w:val="00BD3BCB"/>
    <w:rsid w:val="00BD402F"/>
    <w:rsid w:val="00BD45ED"/>
    <w:rsid w:val="00BD47A9"/>
    <w:rsid w:val="00BD4A6D"/>
    <w:rsid w:val="00BD603B"/>
    <w:rsid w:val="00BD610D"/>
    <w:rsid w:val="00BD63DB"/>
    <w:rsid w:val="00BD6BA6"/>
    <w:rsid w:val="00BD71C5"/>
    <w:rsid w:val="00BD749B"/>
    <w:rsid w:val="00BD76AF"/>
    <w:rsid w:val="00BD76DE"/>
    <w:rsid w:val="00BD78D5"/>
    <w:rsid w:val="00BE0011"/>
    <w:rsid w:val="00BE0C5B"/>
    <w:rsid w:val="00BE1341"/>
    <w:rsid w:val="00BE13A1"/>
    <w:rsid w:val="00BE15A0"/>
    <w:rsid w:val="00BE17D8"/>
    <w:rsid w:val="00BE1BED"/>
    <w:rsid w:val="00BE1C05"/>
    <w:rsid w:val="00BE287C"/>
    <w:rsid w:val="00BE2A75"/>
    <w:rsid w:val="00BE3006"/>
    <w:rsid w:val="00BE3B9A"/>
    <w:rsid w:val="00BE47D4"/>
    <w:rsid w:val="00BE52CA"/>
    <w:rsid w:val="00BE5A11"/>
    <w:rsid w:val="00BE627B"/>
    <w:rsid w:val="00BE6812"/>
    <w:rsid w:val="00BE7480"/>
    <w:rsid w:val="00BF001A"/>
    <w:rsid w:val="00BF0055"/>
    <w:rsid w:val="00BF072F"/>
    <w:rsid w:val="00BF0753"/>
    <w:rsid w:val="00BF14A8"/>
    <w:rsid w:val="00BF19B0"/>
    <w:rsid w:val="00BF1DCB"/>
    <w:rsid w:val="00BF2481"/>
    <w:rsid w:val="00BF28E3"/>
    <w:rsid w:val="00BF2CD7"/>
    <w:rsid w:val="00BF2EBF"/>
    <w:rsid w:val="00BF2FA9"/>
    <w:rsid w:val="00BF4054"/>
    <w:rsid w:val="00BF50E7"/>
    <w:rsid w:val="00BF522B"/>
    <w:rsid w:val="00BF552D"/>
    <w:rsid w:val="00BF57A2"/>
    <w:rsid w:val="00BF5BEB"/>
    <w:rsid w:val="00BF6425"/>
    <w:rsid w:val="00BF65EA"/>
    <w:rsid w:val="00BF7558"/>
    <w:rsid w:val="00BF79BA"/>
    <w:rsid w:val="00BF7AA9"/>
    <w:rsid w:val="00BF7FFD"/>
    <w:rsid w:val="00C000D8"/>
    <w:rsid w:val="00C00641"/>
    <w:rsid w:val="00C00D45"/>
    <w:rsid w:val="00C016E2"/>
    <w:rsid w:val="00C0175F"/>
    <w:rsid w:val="00C03537"/>
    <w:rsid w:val="00C03653"/>
    <w:rsid w:val="00C03EEC"/>
    <w:rsid w:val="00C04138"/>
    <w:rsid w:val="00C0474A"/>
    <w:rsid w:val="00C05129"/>
    <w:rsid w:val="00C0571E"/>
    <w:rsid w:val="00C05B27"/>
    <w:rsid w:val="00C05C0C"/>
    <w:rsid w:val="00C06885"/>
    <w:rsid w:val="00C068F0"/>
    <w:rsid w:val="00C06C96"/>
    <w:rsid w:val="00C06F6B"/>
    <w:rsid w:val="00C06F8D"/>
    <w:rsid w:val="00C071FA"/>
    <w:rsid w:val="00C07358"/>
    <w:rsid w:val="00C07365"/>
    <w:rsid w:val="00C0748E"/>
    <w:rsid w:val="00C10228"/>
    <w:rsid w:val="00C10353"/>
    <w:rsid w:val="00C104A1"/>
    <w:rsid w:val="00C10AC7"/>
    <w:rsid w:val="00C1121D"/>
    <w:rsid w:val="00C11595"/>
    <w:rsid w:val="00C115DC"/>
    <w:rsid w:val="00C11A4E"/>
    <w:rsid w:val="00C11AFC"/>
    <w:rsid w:val="00C11F6F"/>
    <w:rsid w:val="00C121D0"/>
    <w:rsid w:val="00C1231E"/>
    <w:rsid w:val="00C12504"/>
    <w:rsid w:val="00C12627"/>
    <w:rsid w:val="00C12B3F"/>
    <w:rsid w:val="00C12D36"/>
    <w:rsid w:val="00C13B05"/>
    <w:rsid w:val="00C13D56"/>
    <w:rsid w:val="00C13EC0"/>
    <w:rsid w:val="00C14950"/>
    <w:rsid w:val="00C149AE"/>
    <w:rsid w:val="00C14F9D"/>
    <w:rsid w:val="00C15062"/>
    <w:rsid w:val="00C159B7"/>
    <w:rsid w:val="00C15A76"/>
    <w:rsid w:val="00C15ACE"/>
    <w:rsid w:val="00C16062"/>
    <w:rsid w:val="00C161A9"/>
    <w:rsid w:val="00C165B7"/>
    <w:rsid w:val="00C16CD6"/>
    <w:rsid w:val="00C16E55"/>
    <w:rsid w:val="00C1719F"/>
    <w:rsid w:val="00C17DE2"/>
    <w:rsid w:val="00C2015E"/>
    <w:rsid w:val="00C202B5"/>
    <w:rsid w:val="00C20E73"/>
    <w:rsid w:val="00C2125C"/>
    <w:rsid w:val="00C213EA"/>
    <w:rsid w:val="00C21497"/>
    <w:rsid w:val="00C21C48"/>
    <w:rsid w:val="00C2214F"/>
    <w:rsid w:val="00C22357"/>
    <w:rsid w:val="00C22D0C"/>
    <w:rsid w:val="00C22D73"/>
    <w:rsid w:val="00C23014"/>
    <w:rsid w:val="00C230EA"/>
    <w:rsid w:val="00C23420"/>
    <w:rsid w:val="00C23B4B"/>
    <w:rsid w:val="00C24669"/>
    <w:rsid w:val="00C249F1"/>
    <w:rsid w:val="00C24F2A"/>
    <w:rsid w:val="00C251B0"/>
    <w:rsid w:val="00C2550C"/>
    <w:rsid w:val="00C256E8"/>
    <w:rsid w:val="00C25C9C"/>
    <w:rsid w:val="00C25EA2"/>
    <w:rsid w:val="00C2638C"/>
    <w:rsid w:val="00C26D7B"/>
    <w:rsid w:val="00C26DE0"/>
    <w:rsid w:val="00C26E4F"/>
    <w:rsid w:val="00C26FEC"/>
    <w:rsid w:val="00C301B3"/>
    <w:rsid w:val="00C30736"/>
    <w:rsid w:val="00C3181C"/>
    <w:rsid w:val="00C323FA"/>
    <w:rsid w:val="00C32983"/>
    <w:rsid w:val="00C32A88"/>
    <w:rsid w:val="00C33222"/>
    <w:rsid w:val="00C3372E"/>
    <w:rsid w:val="00C33854"/>
    <w:rsid w:val="00C33DA0"/>
    <w:rsid w:val="00C34402"/>
    <w:rsid w:val="00C34DB6"/>
    <w:rsid w:val="00C35363"/>
    <w:rsid w:val="00C35893"/>
    <w:rsid w:val="00C359EA"/>
    <w:rsid w:val="00C35C4A"/>
    <w:rsid w:val="00C36162"/>
    <w:rsid w:val="00C3693F"/>
    <w:rsid w:val="00C36ABD"/>
    <w:rsid w:val="00C36DD6"/>
    <w:rsid w:val="00C36EC7"/>
    <w:rsid w:val="00C36F18"/>
    <w:rsid w:val="00C3700C"/>
    <w:rsid w:val="00C3711E"/>
    <w:rsid w:val="00C37A47"/>
    <w:rsid w:val="00C37B9D"/>
    <w:rsid w:val="00C40DBD"/>
    <w:rsid w:val="00C40FDB"/>
    <w:rsid w:val="00C4145C"/>
    <w:rsid w:val="00C4155B"/>
    <w:rsid w:val="00C41756"/>
    <w:rsid w:val="00C41B22"/>
    <w:rsid w:val="00C423A2"/>
    <w:rsid w:val="00C4276B"/>
    <w:rsid w:val="00C427FD"/>
    <w:rsid w:val="00C42AD0"/>
    <w:rsid w:val="00C42D61"/>
    <w:rsid w:val="00C42E4D"/>
    <w:rsid w:val="00C43898"/>
    <w:rsid w:val="00C43EE2"/>
    <w:rsid w:val="00C43F27"/>
    <w:rsid w:val="00C44BD1"/>
    <w:rsid w:val="00C45603"/>
    <w:rsid w:val="00C4568F"/>
    <w:rsid w:val="00C46735"/>
    <w:rsid w:val="00C4679A"/>
    <w:rsid w:val="00C46B5F"/>
    <w:rsid w:val="00C47161"/>
    <w:rsid w:val="00C471A5"/>
    <w:rsid w:val="00C4738F"/>
    <w:rsid w:val="00C47CEB"/>
    <w:rsid w:val="00C47EFB"/>
    <w:rsid w:val="00C47F74"/>
    <w:rsid w:val="00C514AC"/>
    <w:rsid w:val="00C51A3B"/>
    <w:rsid w:val="00C51AF2"/>
    <w:rsid w:val="00C51BE8"/>
    <w:rsid w:val="00C51CC3"/>
    <w:rsid w:val="00C521BB"/>
    <w:rsid w:val="00C52253"/>
    <w:rsid w:val="00C5263A"/>
    <w:rsid w:val="00C5272C"/>
    <w:rsid w:val="00C52A74"/>
    <w:rsid w:val="00C52BE8"/>
    <w:rsid w:val="00C52E05"/>
    <w:rsid w:val="00C5303F"/>
    <w:rsid w:val="00C531AE"/>
    <w:rsid w:val="00C53A4D"/>
    <w:rsid w:val="00C53FF2"/>
    <w:rsid w:val="00C5414B"/>
    <w:rsid w:val="00C5416E"/>
    <w:rsid w:val="00C542A6"/>
    <w:rsid w:val="00C54378"/>
    <w:rsid w:val="00C549A4"/>
    <w:rsid w:val="00C549DF"/>
    <w:rsid w:val="00C54E60"/>
    <w:rsid w:val="00C54EF1"/>
    <w:rsid w:val="00C55125"/>
    <w:rsid w:val="00C55149"/>
    <w:rsid w:val="00C55489"/>
    <w:rsid w:val="00C55DD1"/>
    <w:rsid w:val="00C55F17"/>
    <w:rsid w:val="00C56765"/>
    <w:rsid w:val="00C57F5C"/>
    <w:rsid w:val="00C606BD"/>
    <w:rsid w:val="00C6074A"/>
    <w:rsid w:val="00C607FD"/>
    <w:rsid w:val="00C611BD"/>
    <w:rsid w:val="00C612E7"/>
    <w:rsid w:val="00C61B52"/>
    <w:rsid w:val="00C61E56"/>
    <w:rsid w:val="00C6215A"/>
    <w:rsid w:val="00C6248B"/>
    <w:rsid w:val="00C6391A"/>
    <w:rsid w:val="00C63E07"/>
    <w:rsid w:val="00C64027"/>
    <w:rsid w:val="00C644BD"/>
    <w:rsid w:val="00C646F9"/>
    <w:rsid w:val="00C64BA0"/>
    <w:rsid w:val="00C64BBA"/>
    <w:rsid w:val="00C651FC"/>
    <w:rsid w:val="00C65AD3"/>
    <w:rsid w:val="00C66F4A"/>
    <w:rsid w:val="00C673C6"/>
    <w:rsid w:val="00C6742B"/>
    <w:rsid w:val="00C67B01"/>
    <w:rsid w:val="00C7041F"/>
    <w:rsid w:val="00C705F0"/>
    <w:rsid w:val="00C7078E"/>
    <w:rsid w:val="00C70CA7"/>
    <w:rsid w:val="00C710BB"/>
    <w:rsid w:val="00C718B9"/>
    <w:rsid w:val="00C71EB0"/>
    <w:rsid w:val="00C71F0E"/>
    <w:rsid w:val="00C7261E"/>
    <w:rsid w:val="00C7279B"/>
    <w:rsid w:val="00C728AD"/>
    <w:rsid w:val="00C72D9D"/>
    <w:rsid w:val="00C72DE3"/>
    <w:rsid w:val="00C73569"/>
    <w:rsid w:val="00C735BC"/>
    <w:rsid w:val="00C738D2"/>
    <w:rsid w:val="00C73AE7"/>
    <w:rsid w:val="00C74210"/>
    <w:rsid w:val="00C752D6"/>
    <w:rsid w:val="00C75729"/>
    <w:rsid w:val="00C75820"/>
    <w:rsid w:val="00C75A99"/>
    <w:rsid w:val="00C75C2C"/>
    <w:rsid w:val="00C764DF"/>
    <w:rsid w:val="00C76B11"/>
    <w:rsid w:val="00C76E1D"/>
    <w:rsid w:val="00C77441"/>
    <w:rsid w:val="00C77943"/>
    <w:rsid w:val="00C779CD"/>
    <w:rsid w:val="00C77DA4"/>
    <w:rsid w:val="00C77E42"/>
    <w:rsid w:val="00C80384"/>
    <w:rsid w:val="00C8099D"/>
    <w:rsid w:val="00C80F11"/>
    <w:rsid w:val="00C81799"/>
    <w:rsid w:val="00C81F06"/>
    <w:rsid w:val="00C81FEB"/>
    <w:rsid w:val="00C82D3D"/>
    <w:rsid w:val="00C82E29"/>
    <w:rsid w:val="00C83501"/>
    <w:rsid w:val="00C83593"/>
    <w:rsid w:val="00C835B3"/>
    <w:rsid w:val="00C835CC"/>
    <w:rsid w:val="00C8361A"/>
    <w:rsid w:val="00C83801"/>
    <w:rsid w:val="00C83A92"/>
    <w:rsid w:val="00C83F56"/>
    <w:rsid w:val="00C84A5E"/>
    <w:rsid w:val="00C84A72"/>
    <w:rsid w:val="00C84B1E"/>
    <w:rsid w:val="00C84B24"/>
    <w:rsid w:val="00C84C8F"/>
    <w:rsid w:val="00C84C97"/>
    <w:rsid w:val="00C85B54"/>
    <w:rsid w:val="00C85BA1"/>
    <w:rsid w:val="00C85C67"/>
    <w:rsid w:val="00C86346"/>
    <w:rsid w:val="00C864A3"/>
    <w:rsid w:val="00C86AE1"/>
    <w:rsid w:val="00C86F1A"/>
    <w:rsid w:val="00C87E4B"/>
    <w:rsid w:val="00C9074A"/>
    <w:rsid w:val="00C90C09"/>
    <w:rsid w:val="00C91173"/>
    <w:rsid w:val="00C911D0"/>
    <w:rsid w:val="00C91474"/>
    <w:rsid w:val="00C914BA"/>
    <w:rsid w:val="00C91A2F"/>
    <w:rsid w:val="00C9274C"/>
    <w:rsid w:val="00C92E22"/>
    <w:rsid w:val="00C92E84"/>
    <w:rsid w:val="00C930C8"/>
    <w:rsid w:val="00C93843"/>
    <w:rsid w:val="00C93F2A"/>
    <w:rsid w:val="00C95281"/>
    <w:rsid w:val="00C95A24"/>
    <w:rsid w:val="00C96308"/>
    <w:rsid w:val="00C9667D"/>
    <w:rsid w:val="00C967CD"/>
    <w:rsid w:val="00C96A9C"/>
    <w:rsid w:val="00C96E7A"/>
    <w:rsid w:val="00C96E7D"/>
    <w:rsid w:val="00C96FBB"/>
    <w:rsid w:val="00C9725B"/>
    <w:rsid w:val="00C9767B"/>
    <w:rsid w:val="00C97A85"/>
    <w:rsid w:val="00C97C18"/>
    <w:rsid w:val="00CA0215"/>
    <w:rsid w:val="00CA0EF5"/>
    <w:rsid w:val="00CA10C3"/>
    <w:rsid w:val="00CA16A6"/>
    <w:rsid w:val="00CA1824"/>
    <w:rsid w:val="00CA183A"/>
    <w:rsid w:val="00CA1DCA"/>
    <w:rsid w:val="00CA23BA"/>
    <w:rsid w:val="00CA2560"/>
    <w:rsid w:val="00CA360E"/>
    <w:rsid w:val="00CA4A23"/>
    <w:rsid w:val="00CA5097"/>
    <w:rsid w:val="00CA609F"/>
    <w:rsid w:val="00CA625C"/>
    <w:rsid w:val="00CA64DD"/>
    <w:rsid w:val="00CA65DC"/>
    <w:rsid w:val="00CA699F"/>
    <w:rsid w:val="00CA6AE3"/>
    <w:rsid w:val="00CA6BEC"/>
    <w:rsid w:val="00CA725C"/>
    <w:rsid w:val="00CA739E"/>
    <w:rsid w:val="00CA7738"/>
    <w:rsid w:val="00CA7BF0"/>
    <w:rsid w:val="00CB0596"/>
    <w:rsid w:val="00CB0802"/>
    <w:rsid w:val="00CB0C55"/>
    <w:rsid w:val="00CB0CFC"/>
    <w:rsid w:val="00CB0D57"/>
    <w:rsid w:val="00CB0FAD"/>
    <w:rsid w:val="00CB1142"/>
    <w:rsid w:val="00CB1D82"/>
    <w:rsid w:val="00CB216A"/>
    <w:rsid w:val="00CB2694"/>
    <w:rsid w:val="00CB2F67"/>
    <w:rsid w:val="00CB3CBB"/>
    <w:rsid w:val="00CB44EB"/>
    <w:rsid w:val="00CB44F5"/>
    <w:rsid w:val="00CB4B5D"/>
    <w:rsid w:val="00CB5293"/>
    <w:rsid w:val="00CB531D"/>
    <w:rsid w:val="00CB5EFA"/>
    <w:rsid w:val="00CB63A1"/>
    <w:rsid w:val="00CB6426"/>
    <w:rsid w:val="00CB72BC"/>
    <w:rsid w:val="00CB73AF"/>
    <w:rsid w:val="00CB7E4F"/>
    <w:rsid w:val="00CC03B4"/>
    <w:rsid w:val="00CC12B2"/>
    <w:rsid w:val="00CC20EA"/>
    <w:rsid w:val="00CC228B"/>
    <w:rsid w:val="00CC32E1"/>
    <w:rsid w:val="00CC3E0A"/>
    <w:rsid w:val="00CC4700"/>
    <w:rsid w:val="00CC4873"/>
    <w:rsid w:val="00CC4CB1"/>
    <w:rsid w:val="00CC56CC"/>
    <w:rsid w:val="00CC5B62"/>
    <w:rsid w:val="00CC5F3D"/>
    <w:rsid w:val="00CC61C2"/>
    <w:rsid w:val="00CC6898"/>
    <w:rsid w:val="00CC7127"/>
    <w:rsid w:val="00CD021C"/>
    <w:rsid w:val="00CD05D3"/>
    <w:rsid w:val="00CD12A4"/>
    <w:rsid w:val="00CD1321"/>
    <w:rsid w:val="00CD1BC5"/>
    <w:rsid w:val="00CD1E88"/>
    <w:rsid w:val="00CD1F16"/>
    <w:rsid w:val="00CD2133"/>
    <w:rsid w:val="00CD2AAF"/>
    <w:rsid w:val="00CD2C29"/>
    <w:rsid w:val="00CD2EC5"/>
    <w:rsid w:val="00CD324D"/>
    <w:rsid w:val="00CD390E"/>
    <w:rsid w:val="00CD3D57"/>
    <w:rsid w:val="00CD4398"/>
    <w:rsid w:val="00CD4485"/>
    <w:rsid w:val="00CD46EB"/>
    <w:rsid w:val="00CD4922"/>
    <w:rsid w:val="00CD4BDB"/>
    <w:rsid w:val="00CD5741"/>
    <w:rsid w:val="00CD5EF8"/>
    <w:rsid w:val="00CD6079"/>
    <w:rsid w:val="00CD6546"/>
    <w:rsid w:val="00CD6809"/>
    <w:rsid w:val="00CD7BEC"/>
    <w:rsid w:val="00CD7E14"/>
    <w:rsid w:val="00CE0378"/>
    <w:rsid w:val="00CE04B7"/>
    <w:rsid w:val="00CE0970"/>
    <w:rsid w:val="00CE0FEB"/>
    <w:rsid w:val="00CE1318"/>
    <w:rsid w:val="00CE13CB"/>
    <w:rsid w:val="00CE23BC"/>
    <w:rsid w:val="00CE2894"/>
    <w:rsid w:val="00CE2AA6"/>
    <w:rsid w:val="00CE3319"/>
    <w:rsid w:val="00CE3A02"/>
    <w:rsid w:val="00CE3D14"/>
    <w:rsid w:val="00CE3ECB"/>
    <w:rsid w:val="00CE4222"/>
    <w:rsid w:val="00CE4FD1"/>
    <w:rsid w:val="00CE5961"/>
    <w:rsid w:val="00CE5BF5"/>
    <w:rsid w:val="00CE5DD0"/>
    <w:rsid w:val="00CE6A21"/>
    <w:rsid w:val="00CE72C2"/>
    <w:rsid w:val="00CE773F"/>
    <w:rsid w:val="00CE7CBB"/>
    <w:rsid w:val="00CE7E24"/>
    <w:rsid w:val="00CF023C"/>
    <w:rsid w:val="00CF06FC"/>
    <w:rsid w:val="00CF0948"/>
    <w:rsid w:val="00CF16C7"/>
    <w:rsid w:val="00CF1835"/>
    <w:rsid w:val="00CF1BA0"/>
    <w:rsid w:val="00CF249F"/>
    <w:rsid w:val="00CF27ED"/>
    <w:rsid w:val="00CF2D73"/>
    <w:rsid w:val="00CF403B"/>
    <w:rsid w:val="00CF4212"/>
    <w:rsid w:val="00CF448F"/>
    <w:rsid w:val="00CF5C89"/>
    <w:rsid w:val="00CF6A22"/>
    <w:rsid w:val="00CF6C17"/>
    <w:rsid w:val="00CF715D"/>
    <w:rsid w:val="00CF7192"/>
    <w:rsid w:val="00D0125C"/>
    <w:rsid w:val="00D0135C"/>
    <w:rsid w:val="00D01550"/>
    <w:rsid w:val="00D015DD"/>
    <w:rsid w:val="00D015EE"/>
    <w:rsid w:val="00D02040"/>
    <w:rsid w:val="00D02810"/>
    <w:rsid w:val="00D02DBA"/>
    <w:rsid w:val="00D03785"/>
    <w:rsid w:val="00D038E1"/>
    <w:rsid w:val="00D04A10"/>
    <w:rsid w:val="00D04B5B"/>
    <w:rsid w:val="00D052E8"/>
    <w:rsid w:val="00D061C3"/>
    <w:rsid w:val="00D06EE6"/>
    <w:rsid w:val="00D076AB"/>
    <w:rsid w:val="00D07975"/>
    <w:rsid w:val="00D07A0A"/>
    <w:rsid w:val="00D07AE8"/>
    <w:rsid w:val="00D1062B"/>
    <w:rsid w:val="00D10E95"/>
    <w:rsid w:val="00D11515"/>
    <w:rsid w:val="00D11558"/>
    <w:rsid w:val="00D117FA"/>
    <w:rsid w:val="00D11DE9"/>
    <w:rsid w:val="00D12048"/>
    <w:rsid w:val="00D122DD"/>
    <w:rsid w:val="00D12E7C"/>
    <w:rsid w:val="00D134AB"/>
    <w:rsid w:val="00D13510"/>
    <w:rsid w:val="00D139E9"/>
    <w:rsid w:val="00D13AC9"/>
    <w:rsid w:val="00D13D54"/>
    <w:rsid w:val="00D1435B"/>
    <w:rsid w:val="00D14770"/>
    <w:rsid w:val="00D150C9"/>
    <w:rsid w:val="00D15171"/>
    <w:rsid w:val="00D1546F"/>
    <w:rsid w:val="00D15CE2"/>
    <w:rsid w:val="00D15D73"/>
    <w:rsid w:val="00D15DE2"/>
    <w:rsid w:val="00D163C7"/>
    <w:rsid w:val="00D168B4"/>
    <w:rsid w:val="00D16A48"/>
    <w:rsid w:val="00D17561"/>
    <w:rsid w:val="00D17E20"/>
    <w:rsid w:val="00D2065D"/>
    <w:rsid w:val="00D206E6"/>
    <w:rsid w:val="00D20805"/>
    <w:rsid w:val="00D20E16"/>
    <w:rsid w:val="00D20E6C"/>
    <w:rsid w:val="00D210D8"/>
    <w:rsid w:val="00D218B7"/>
    <w:rsid w:val="00D21B7A"/>
    <w:rsid w:val="00D21BED"/>
    <w:rsid w:val="00D22D00"/>
    <w:rsid w:val="00D23AFA"/>
    <w:rsid w:val="00D25AA7"/>
    <w:rsid w:val="00D2605B"/>
    <w:rsid w:val="00D260B0"/>
    <w:rsid w:val="00D26140"/>
    <w:rsid w:val="00D26454"/>
    <w:rsid w:val="00D26D7D"/>
    <w:rsid w:val="00D272D7"/>
    <w:rsid w:val="00D2773D"/>
    <w:rsid w:val="00D27A12"/>
    <w:rsid w:val="00D3049A"/>
    <w:rsid w:val="00D30808"/>
    <w:rsid w:val="00D30A83"/>
    <w:rsid w:val="00D31027"/>
    <w:rsid w:val="00D31041"/>
    <w:rsid w:val="00D31F69"/>
    <w:rsid w:val="00D32447"/>
    <w:rsid w:val="00D32A2B"/>
    <w:rsid w:val="00D32BA8"/>
    <w:rsid w:val="00D32FA2"/>
    <w:rsid w:val="00D33629"/>
    <w:rsid w:val="00D33B1D"/>
    <w:rsid w:val="00D34360"/>
    <w:rsid w:val="00D34B1B"/>
    <w:rsid w:val="00D34F7D"/>
    <w:rsid w:val="00D358FF"/>
    <w:rsid w:val="00D35AF5"/>
    <w:rsid w:val="00D35ED7"/>
    <w:rsid w:val="00D36BF9"/>
    <w:rsid w:val="00D36C38"/>
    <w:rsid w:val="00D36C54"/>
    <w:rsid w:val="00D372EC"/>
    <w:rsid w:val="00D3741A"/>
    <w:rsid w:val="00D37FAF"/>
    <w:rsid w:val="00D4010B"/>
    <w:rsid w:val="00D40C0F"/>
    <w:rsid w:val="00D40C78"/>
    <w:rsid w:val="00D40D28"/>
    <w:rsid w:val="00D40DB8"/>
    <w:rsid w:val="00D40DE4"/>
    <w:rsid w:val="00D40FDE"/>
    <w:rsid w:val="00D413D4"/>
    <w:rsid w:val="00D41474"/>
    <w:rsid w:val="00D4159A"/>
    <w:rsid w:val="00D4225C"/>
    <w:rsid w:val="00D4275C"/>
    <w:rsid w:val="00D428B3"/>
    <w:rsid w:val="00D428F3"/>
    <w:rsid w:val="00D43009"/>
    <w:rsid w:val="00D4374B"/>
    <w:rsid w:val="00D43E71"/>
    <w:rsid w:val="00D43F15"/>
    <w:rsid w:val="00D4414E"/>
    <w:rsid w:val="00D44496"/>
    <w:rsid w:val="00D448AC"/>
    <w:rsid w:val="00D44C64"/>
    <w:rsid w:val="00D44E16"/>
    <w:rsid w:val="00D44FCB"/>
    <w:rsid w:val="00D453E4"/>
    <w:rsid w:val="00D4577E"/>
    <w:rsid w:val="00D45D10"/>
    <w:rsid w:val="00D45ECA"/>
    <w:rsid w:val="00D46138"/>
    <w:rsid w:val="00D463B6"/>
    <w:rsid w:val="00D46AAB"/>
    <w:rsid w:val="00D46F40"/>
    <w:rsid w:val="00D4726C"/>
    <w:rsid w:val="00D47D3B"/>
    <w:rsid w:val="00D50308"/>
    <w:rsid w:val="00D50312"/>
    <w:rsid w:val="00D506D1"/>
    <w:rsid w:val="00D50868"/>
    <w:rsid w:val="00D51843"/>
    <w:rsid w:val="00D51FFC"/>
    <w:rsid w:val="00D521CC"/>
    <w:rsid w:val="00D52A9A"/>
    <w:rsid w:val="00D53206"/>
    <w:rsid w:val="00D532F8"/>
    <w:rsid w:val="00D53A9C"/>
    <w:rsid w:val="00D53AEB"/>
    <w:rsid w:val="00D543BE"/>
    <w:rsid w:val="00D5482E"/>
    <w:rsid w:val="00D54950"/>
    <w:rsid w:val="00D55223"/>
    <w:rsid w:val="00D552AC"/>
    <w:rsid w:val="00D55537"/>
    <w:rsid w:val="00D556EE"/>
    <w:rsid w:val="00D55BA6"/>
    <w:rsid w:val="00D55D7F"/>
    <w:rsid w:val="00D55E12"/>
    <w:rsid w:val="00D5609A"/>
    <w:rsid w:val="00D56511"/>
    <w:rsid w:val="00D5657D"/>
    <w:rsid w:val="00D56A91"/>
    <w:rsid w:val="00D56DB5"/>
    <w:rsid w:val="00D57104"/>
    <w:rsid w:val="00D572E2"/>
    <w:rsid w:val="00D573DB"/>
    <w:rsid w:val="00D5798F"/>
    <w:rsid w:val="00D602CC"/>
    <w:rsid w:val="00D602E5"/>
    <w:rsid w:val="00D60B0B"/>
    <w:rsid w:val="00D60D24"/>
    <w:rsid w:val="00D61B91"/>
    <w:rsid w:val="00D61FC3"/>
    <w:rsid w:val="00D6301E"/>
    <w:rsid w:val="00D632DC"/>
    <w:rsid w:val="00D64002"/>
    <w:rsid w:val="00D640E4"/>
    <w:rsid w:val="00D641BF"/>
    <w:rsid w:val="00D6461A"/>
    <w:rsid w:val="00D647BD"/>
    <w:rsid w:val="00D64EA4"/>
    <w:rsid w:val="00D658B1"/>
    <w:rsid w:val="00D66749"/>
    <w:rsid w:val="00D66997"/>
    <w:rsid w:val="00D669A1"/>
    <w:rsid w:val="00D6730B"/>
    <w:rsid w:val="00D67374"/>
    <w:rsid w:val="00D67742"/>
    <w:rsid w:val="00D67899"/>
    <w:rsid w:val="00D6796A"/>
    <w:rsid w:val="00D67B0B"/>
    <w:rsid w:val="00D67E26"/>
    <w:rsid w:val="00D67EDF"/>
    <w:rsid w:val="00D70466"/>
    <w:rsid w:val="00D7070E"/>
    <w:rsid w:val="00D70983"/>
    <w:rsid w:val="00D70CCD"/>
    <w:rsid w:val="00D70D36"/>
    <w:rsid w:val="00D7208E"/>
    <w:rsid w:val="00D72307"/>
    <w:rsid w:val="00D7275B"/>
    <w:rsid w:val="00D72B7B"/>
    <w:rsid w:val="00D7437C"/>
    <w:rsid w:val="00D744B6"/>
    <w:rsid w:val="00D7495C"/>
    <w:rsid w:val="00D74A26"/>
    <w:rsid w:val="00D74A57"/>
    <w:rsid w:val="00D757AB"/>
    <w:rsid w:val="00D76D1C"/>
    <w:rsid w:val="00D76E9D"/>
    <w:rsid w:val="00D76F17"/>
    <w:rsid w:val="00D77316"/>
    <w:rsid w:val="00D77D31"/>
    <w:rsid w:val="00D80220"/>
    <w:rsid w:val="00D802CD"/>
    <w:rsid w:val="00D80588"/>
    <w:rsid w:val="00D80E37"/>
    <w:rsid w:val="00D812C9"/>
    <w:rsid w:val="00D81414"/>
    <w:rsid w:val="00D81453"/>
    <w:rsid w:val="00D81B08"/>
    <w:rsid w:val="00D82167"/>
    <w:rsid w:val="00D82250"/>
    <w:rsid w:val="00D82B11"/>
    <w:rsid w:val="00D83157"/>
    <w:rsid w:val="00D83683"/>
    <w:rsid w:val="00D83922"/>
    <w:rsid w:val="00D83B5D"/>
    <w:rsid w:val="00D849A6"/>
    <w:rsid w:val="00D84A65"/>
    <w:rsid w:val="00D86114"/>
    <w:rsid w:val="00D8638E"/>
    <w:rsid w:val="00D86780"/>
    <w:rsid w:val="00D86C35"/>
    <w:rsid w:val="00D87209"/>
    <w:rsid w:val="00D87C68"/>
    <w:rsid w:val="00D9043B"/>
    <w:rsid w:val="00D90C42"/>
    <w:rsid w:val="00D90FD8"/>
    <w:rsid w:val="00D91039"/>
    <w:rsid w:val="00D91D2B"/>
    <w:rsid w:val="00D91EC7"/>
    <w:rsid w:val="00D92227"/>
    <w:rsid w:val="00D922DA"/>
    <w:rsid w:val="00D9296D"/>
    <w:rsid w:val="00D93421"/>
    <w:rsid w:val="00D934AC"/>
    <w:rsid w:val="00D9354C"/>
    <w:rsid w:val="00D938C9"/>
    <w:rsid w:val="00D94866"/>
    <w:rsid w:val="00D94B33"/>
    <w:rsid w:val="00D94B58"/>
    <w:rsid w:val="00D94BAE"/>
    <w:rsid w:val="00D9534E"/>
    <w:rsid w:val="00D95745"/>
    <w:rsid w:val="00D965E2"/>
    <w:rsid w:val="00D96663"/>
    <w:rsid w:val="00D96CD3"/>
    <w:rsid w:val="00D97673"/>
    <w:rsid w:val="00D9779D"/>
    <w:rsid w:val="00D97D20"/>
    <w:rsid w:val="00D97FDF"/>
    <w:rsid w:val="00DA00B5"/>
    <w:rsid w:val="00DA03C1"/>
    <w:rsid w:val="00DA055C"/>
    <w:rsid w:val="00DA16DD"/>
    <w:rsid w:val="00DA18C3"/>
    <w:rsid w:val="00DA1B85"/>
    <w:rsid w:val="00DA1C4D"/>
    <w:rsid w:val="00DA1CC5"/>
    <w:rsid w:val="00DA28CA"/>
    <w:rsid w:val="00DA2E81"/>
    <w:rsid w:val="00DA2E89"/>
    <w:rsid w:val="00DA2F2C"/>
    <w:rsid w:val="00DA3833"/>
    <w:rsid w:val="00DA3D06"/>
    <w:rsid w:val="00DA46DF"/>
    <w:rsid w:val="00DA4B58"/>
    <w:rsid w:val="00DA4F23"/>
    <w:rsid w:val="00DA57B2"/>
    <w:rsid w:val="00DA5D4E"/>
    <w:rsid w:val="00DA5FF1"/>
    <w:rsid w:val="00DA62B8"/>
    <w:rsid w:val="00DA6745"/>
    <w:rsid w:val="00DA6A2A"/>
    <w:rsid w:val="00DA7B16"/>
    <w:rsid w:val="00DA7C53"/>
    <w:rsid w:val="00DB0995"/>
    <w:rsid w:val="00DB0EAB"/>
    <w:rsid w:val="00DB18FA"/>
    <w:rsid w:val="00DB1EC9"/>
    <w:rsid w:val="00DB29F9"/>
    <w:rsid w:val="00DB2CD1"/>
    <w:rsid w:val="00DB2E99"/>
    <w:rsid w:val="00DB369A"/>
    <w:rsid w:val="00DB38FA"/>
    <w:rsid w:val="00DB3A3E"/>
    <w:rsid w:val="00DB4A97"/>
    <w:rsid w:val="00DB4CAD"/>
    <w:rsid w:val="00DB4EB3"/>
    <w:rsid w:val="00DB4F75"/>
    <w:rsid w:val="00DB520F"/>
    <w:rsid w:val="00DB535F"/>
    <w:rsid w:val="00DB53E9"/>
    <w:rsid w:val="00DB5ABB"/>
    <w:rsid w:val="00DB5D51"/>
    <w:rsid w:val="00DB604A"/>
    <w:rsid w:val="00DB6114"/>
    <w:rsid w:val="00DB6D85"/>
    <w:rsid w:val="00DB6EB8"/>
    <w:rsid w:val="00DB739C"/>
    <w:rsid w:val="00DB752E"/>
    <w:rsid w:val="00DB7660"/>
    <w:rsid w:val="00DB7749"/>
    <w:rsid w:val="00DB7D22"/>
    <w:rsid w:val="00DB7F61"/>
    <w:rsid w:val="00DC023A"/>
    <w:rsid w:val="00DC02F7"/>
    <w:rsid w:val="00DC05C1"/>
    <w:rsid w:val="00DC098D"/>
    <w:rsid w:val="00DC0AF7"/>
    <w:rsid w:val="00DC0C85"/>
    <w:rsid w:val="00DC12EC"/>
    <w:rsid w:val="00DC14AD"/>
    <w:rsid w:val="00DC16A7"/>
    <w:rsid w:val="00DC1BE4"/>
    <w:rsid w:val="00DC1E82"/>
    <w:rsid w:val="00DC2173"/>
    <w:rsid w:val="00DC2FC9"/>
    <w:rsid w:val="00DC3A48"/>
    <w:rsid w:val="00DC3BA0"/>
    <w:rsid w:val="00DC473A"/>
    <w:rsid w:val="00DC487D"/>
    <w:rsid w:val="00DC543B"/>
    <w:rsid w:val="00DC592E"/>
    <w:rsid w:val="00DC60E9"/>
    <w:rsid w:val="00DC65FA"/>
    <w:rsid w:val="00DC6A43"/>
    <w:rsid w:val="00DC6E35"/>
    <w:rsid w:val="00DC71AF"/>
    <w:rsid w:val="00DC734B"/>
    <w:rsid w:val="00DC73D0"/>
    <w:rsid w:val="00DC772A"/>
    <w:rsid w:val="00DC7D9D"/>
    <w:rsid w:val="00DC7EE1"/>
    <w:rsid w:val="00DD06EA"/>
    <w:rsid w:val="00DD1C24"/>
    <w:rsid w:val="00DD2826"/>
    <w:rsid w:val="00DD358F"/>
    <w:rsid w:val="00DD3648"/>
    <w:rsid w:val="00DD472A"/>
    <w:rsid w:val="00DD4831"/>
    <w:rsid w:val="00DD4959"/>
    <w:rsid w:val="00DD4BC8"/>
    <w:rsid w:val="00DD4DDE"/>
    <w:rsid w:val="00DD5425"/>
    <w:rsid w:val="00DD587E"/>
    <w:rsid w:val="00DD5C93"/>
    <w:rsid w:val="00DD606D"/>
    <w:rsid w:val="00DD664C"/>
    <w:rsid w:val="00DD66D1"/>
    <w:rsid w:val="00DD6917"/>
    <w:rsid w:val="00DD6A07"/>
    <w:rsid w:val="00DD71F7"/>
    <w:rsid w:val="00DD7219"/>
    <w:rsid w:val="00DD755D"/>
    <w:rsid w:val="00DD7BBC"/>
    <w:rsid w:val="00DD7C45"/>
    <w:rsid w:val="00DD7F4F"/>
    <w:rsid w:val="00DE026A"/>
    <w:rsid w:val="00DE08BC"/>
    <w:rsid w:val="00DE0C76"/>
    <w:rsid w:val="00DE0D93"/>
    <w:rsid w:val="00DE1239"/>
    <w:rsid w:val="00DE15EE"/>
    <w:rsid w:val="00DE1778"/>
    <w:rsid w:val="00DE1C81"/>
    <w:rsid w:val="00DE2332"/>
    <w:rsid w:val="00DE355F"/>
    <w:rsid w:val="00DE368A"/>
    <w:rsid w:val="00DE378F"/>
    <w:rsid w:val="00DE399D"/>
    <w:rsid w:val="00DE3A5F"/>
    <w:rsid w:val="00DE3AC1"/>
    <w:rsid w:val="00DE41FF"/>
    <w:rsid w:val="00DE49A4"/>
    <w:rsid w:val="00DE4B1C"/>
    <w:rsid w:val="00DE4C50"/>
    <w:rsid w:val="00DE503F"/>
    <w:rsid w:val="00DE5466"/>
    <w:rsid w:val="00DE5525"/>
    <w:rsid w:val="00DE5656"/>
    <w:rsid w:val="00DE5A11"/>
    <w:rsid w:val="00DE5DDD"/>
    <w:rsid w:val="00DE6595"/>
    <w:rsid w:val="00DE66BE"/>
    <w:rsid w:val="00DE7029"/>
    <w:rsid w:val="00DE761A"/>
    <w:rsid w:val="00DE77A3"/>
    <w:rsid w:val="00DE7948"/>
    <w:rsid w:val="00DF029E"/>
    <w:rsid w:val="00DF0DED"/>
    <w:rsid w:val="00DF11B5"/>
    <w:rsid w:val="00DF1BCC"/>
    <w:rsid w:val="00DF1C8A"/>
    <w:rsid w:val="00DF29AB"/>
    <w:rsid w:val="00DF2FAA"/>
    <w:rsid w:val="00DF30F4"/>
    <w:rsid w:val="00DF3132"/>
    <w:rsid w:val="00DF31A3"/>
    <w:rsid w:val="00DF3E01"/>
    <w:rsid w:val="00DF4815"/>
    <w:rsid w:val="00DF4B29"/>
    <w:rsid w:val="00DF56A3"/>
    <w:rsid w:val="00DF65E2"/>
    <w:rsid w:val="00DF6BE7"/>
    <w:rsid w:val="00DF6CA2"/>
    <w:rsid w:val="00DF6E59"/>
    <w:rsid w:val="00DF74A1"/>
    <w:rsid w:val="00DF7AB2"/>
    <w:rsid w:val="00DF7D45"/>
    <w:rsid w:val="00E007E5"/>
    <w:rsid w:val="00E010D9"/>
    <w:rsid w:val="00E01538"/>
    <w:rsid w:val="00E01585"/>
    <w:rsid w:val="00E026D3"/>
    <w:rsid w:val="00E02896"/>
    <w:rsid w:val="00E028C4"/>
    <w:rsid w:val="00E029BA"/>
    <w:rsid w:val="00E02B05"/>
    <w:rsid w:val="00E032EE"/>
    <w:rsid w:val="00E03B83"/>
    <w:rsid w:val="00E03EBE"/>
    <w:rsid w:val="00E03FC0"/>
    <w:rsid w:val="00E0453D"/>
    <w:rsid w:val="00E04997"/>
    <w:rsid w:val="00E04E15"/>
    <w:rsid w:val="00E052EA"/>
    <w:rsid w:val="00E05714"/>
    <w:rsid w:val="00E058CD"/>
    <w:rsid w:val="00E0596F"/>
    <w:rsid w:val="00E05BFA"/>
    <w:rsid w:val="00E0615B"/>
    <w:rsid w:val="00E062CD"/>
    <w:rsid w:val="00E0643C"/>
    <w:rsid w:val="00E06A7B"/>
    <w:rsid w:val="00E06B49"/>
    <w:rsid w:val="00E076A5"/>
    <w:rsid w:val="00E078E8"/>
    <w:rsid w:val="00E100CA"/>
    <w:rsid w:val="00E102E8"/>
    <w:rsid w:val="00E105CA"/>
    <w:rsid w:val="00E10CAB"/>
    <w:rsid w:val="00E10F48"/>
    <w:rsid w:val="00E114E5"/>
    <w:rsid w:val="00E12C3B"/>
    <w:rsid w:val="00E13996"/>
    <w:rsid w:val="00E140FF"/>
    <w:rsid w:val="00E1433A"/>
    <w:rsid w:val="00E15424"/>
    <w:rsid w:val="00E158FE"/>
    <w:rsid w:val="00E161E9"/>
    <w:rsid w:val="00E16496"/>
    <w:rsid w:val="00E17661"/>
    <w:rsid w:val="00E17698"/>
    <w:rsid w:val="00E177CC"/>
    <w:rsid w:val="00E1785D"/>
    <w:rsid w:val="00E17902"/>
    <w:rsid w:val="00E201F6"/>
    <w:rsid w:val="00E204F7"/>
    <w:rsid w:val="00E20721"/>
    <w:rsid w:val="00E207E3"/>
    <w:rsid w:val="00E21DF2"/>
    <w:rsid w:val="00E21FDB"/>
    <w:rsid w:val="00E228D9"/>
    <w:rsid w:val="00E23395"/>
    <w:rsid w:val="00E239A6"/>
    <w:rsid w:val="00E23B51"/>
    <w:rsid w:val="00E23DD2"/>
    <w:rsid w:val="00E24802"/>
    <w:rsid w:val="00E24C3C"/>
    <w:rsid w:val="00E251F9"/>
    <w:rsid w:val="00E25202"/>
    <w:rsid w:val="00E25BFE"/>
    <w:rsid w:val="00E2721B"/>
    <w:rsid w:val="00E2728A"/>
    <w:rsid w:val="00E3036A"/>
    <w:rsid w:val="00E3086E"/>
    <w:rsid w:val="00E30BF7"/>
    <w:rsid w:val="00E30C04"/>
    <w:rsid w:val="00E31525"/>
    <w:rsid w:val="00E31932"/>
    <w:rsid w:val="00E31EF1"/>
    <w:rsid w:val="00E33011"/>
    <w:rsid w:val="00E336E5"/>
    <w:rsid w:val="00E3375A"/>
    <w:rsid w:val="00E33DCE"/>
    <w:rsid w:val="00E3403A"/>
    <w:rsid w:val="00E3519C"/>
    <w:rsid w:val="00E35858"/>
    <w:rsid w:val="00E35C01"/>
    <w:rsid w:val="00E35EE1"/>
    <w:rsid w:val="00E360DA"/>
    <w:rsid w:val="00E362F0"/>
    <w:rsid w:val="00E36405"/>
    <w:rsid w:val="00E374D5"/>
    <w:rsid w:val="00E37564"/>
    <w:rsid w:val="00E37EBA"/>
    <w:rsid w:val="00E40105"/>
    <w:rsid w:val="00E4066A"/>
    <w:rsid w:val="00E40683"/>
    <w:rsid w:val="00E409E6"/>
    <w:rsid w:val="00E41282"/>
    <w:rsid w:val="00E424A0"/>
    <w:rsid w:val="00E4283E"/>
    <w:rsid w:val="00E4316D"/>
    <w:rsid w:val="00E4354E"/>
    <w:rsid w:val="00E43E88"/>
    <w:rsid w:val="00E446E5"/>
    <w:rsid w:val="00E44ABF"/>
    <w:rsid w:val="00E44C34"/>
    <w:rsid w:val="00E4538A"/>
    <w:rsid w:val="00E454AD"/>
    <w:rsid w:val="00E459A4"/>
    <w:rsid w:val="00E459E9"/>
    <w:rsid w:val="00E45EC4"/>
    <w:rsid w:val="00E45FB8"/>
    <w:rsid w:val="00E47226"/>
    <w:rsid w:val="00E4734F"/>
    <w:rsid w:val="00E47969"/>
    <w:rsid w:val="00E47C5F"/>
    <w:rsid w:val="00E5081C"/>
    <w:rsid w:val="00E508BF"/>
    <w:rsid w:val="00E5091B"/>
    <w:rsid w:val="00E50A63"/>
    <w:rsid w:val="00E50E59"/>
    <w:rsid w:val="00E51CFD"/>
    <w:rsid w:val="00E520BA"/>
    <w:rsid w:val="00E52484"/>
    <w:rsid w:val="00E528EA"/>
    <w:rsid w:val="00E529B1"/>
    <w:rsid w:val="00E52CC5"/>
    <w:rsid w:val="00E52FBF"/>
    <w:rsid w:val="00E535A8"/>
    <w:rsid w:val="00E53671"/>
    <w:rsid w:val="00E54478"/>
    <w:rsid w:val="00E54698"/>
    <w:rsid w:val="00E5620C"/>
    <w:rsid w:val="00E56319"/>
    <w:rsid w:val="00E56A3C"/>
    <w:rsid w:val="00E571C9"/>
    <w:rsid w:val="00E572FC"/>
    <w:rsid w:val="00E57583"/>
    <w:rsid w:val="00E57859"/>
    <w:rsid w:val="00E57E1A"/>
    <w:rsid w:val="00E57F98"/>
    <w:rsid w:val="00E6060B"/>
    <w:rsid w:val="00E60842"/>
    <w:rsid w:val="00E61142"/>
    <w:rsid w:val="00E61587"/>
    <w:rsid w:val="00E61BB0"/>
    <w:rsid w:val="00E61EC8"/>
    <w:rsid w:val="00E624A0"/>
    <w:rsid w:val="00E631C5"/>
    <w:rsid w:val="00E633F1"/>
    <w:rsid w:val="00E636F5"/>
    <w:rsid w:val="00E636FD"/>
    <w:rsid w:val="00E6378B"/>
    <w:rsid w:val="00E64617"/>
    <w:rsid w:val="00E65351"/>
    <w:rsid w:val="00E6542B"/>
    <w:rsid w:val="00E6548E"/>
    <w:rsid w:val="00E65C5E"/>
    <w:rsid w:val="00E65D92"/>
    <w:rsid w:val="00E663CF"/>
    <w:rsid w:val="00E66418"/>
    <w:rsid w:val="00E669D9"/>
    <w:rsid w:val="00E66BF1"/>
    <w:rsid w:val="00E66D16"/>
    <w:rsid w:val="00E674F1"/>
    <w:rsid w:val="00E6763F"/>
    <w:rsid w:val="00E70037"/>
    <w:rsid w:val="00E701C2"/>
    <w:rsid w:val="00E70976"/>
    <w:rsid w:val="00E70A84"/>
    <w:rsid w:val="00E71356"/>
    <w:rsid w:val="00E7161D"/>
    <w:rsid w:val="00E72897"/>
    <w:rsid w:val="00E72BEB"/>
    <w:rsid w:val="00E72E41"/>
    <w:rsid w:val="00E73712"/>
    <w:rsid w:val="00E73AA5"/>
    <w:rsid w:val="00E73EAE"/>
    <w:rsid w:val="00E74254"/>
    <w:rsid w:val="00E75432"/>
    <w:rsid w:val="00E7562E"/>
    <w:rsid w:val="00E75926"/>
    <w:rsid w:val="00E7629E"/>
    <w:rsid w:val="00E763A2"/>
    <w:rsid w:val="00E768D4"/>
    <w:rsid w:val="00E7696C"/>
    <w:rsid w:val="00E76DD1"/>
    <w:rsid w:val="00E7708D"/>
    <w:rsid w:val="00E77E05"/>
    <w:rsid w:val="00E80450"/>
    <w:rsid w:val="00E804FD"/>
    <w:rsid w:val="00E80540"/>
    <w:rsid w:val="00E805B8"/>
    <w:rsid w:val="00E80793"/>
    <w:rsid w:val="00E80AE7"/>
    <w:rsid w:val="00E80B36"/>
    <w:rsid w:val="00E81025"/>
    <w:rsid w:val="00E8108A"/>
    <w:rsid w:val="00E810C1"/>
    <w:rsid w:val="00E81283"/>
    <w:rsid w:val="00E8130A"/>
    <w:rsid w:val="00E81915"/>
    <w:rsid w:val="00E81A0C"/>
    <w:rsid w:val="00E81B3F"/>
    <w:rsid w:val="00E8265E"/>
    <w:rsid w:val="00E82E8A"/>
    <w:rsid w:val="00E83357"/>
    <w:rsid w:val="00E83405"/>
    <w:rsid w:val="00E8348F"/>
    <w:rsid w:val="00E838D1"/>
    <w:rsid w:val="00E847EA"/>
    <w:rsid w:val="00E84D86"/>
    <w:rsid w:val="00E851A8"/>
    <w:rsid w:val="00E85646"/>
    <w:rsid w:val="00E8576F"/>
    <w:rsid w:val="00E85B3D"/>
    <w:rsid w:val="00E86158"/>
    <w:rsid w:val="00E86AC3"/>
    <w:rsid w:val="00E87076"/>
    <w:rsid w:val="00E874A6"/>
    <w:rsid w:val="00E87A4D"/>
    <w:rsid w:val="00E9026D"/>
    <w:rsid w:val="00E90644"/>
    <w:rsid w:val="00E910B8"/>
    <w:rsid w:val="00E916FE"/>
    <w:rsid w:val="00E91EF9"/>
    <w:rsid w:val="00E921BF"/>
    <w:rsid w:val="00E932BB"/>
    <w:rsid w:val="00E93529"/>
    <w:rsid w:val="00E938D5"/>
    <w:rsid w:val="00E93906"/>
    <w:rsid w:val="00E93DC1"/>
    <w:rsid w:val="00E94214"/>
    <w:rsid w:val="00E94305"/>
    <w:rsid w:val="00E947C4"/>
    <w:rsid w:val="00E948E7"/>
    <w:rsid w:val="00E950A9"/>
    <w:rsid w:val="00E95480"/>
    <w:rsid w:val="00E96458"/>
    <w:rsid w:val="00E964E6"/>
    <w:rsid w:val="00E96B53"/>
    <w:rsid w:val="00E96B61"/>
    <w:rsid w:val="00E96F6A"/>
    <w:rsid w:val="00E97104"/>
    <w:rsid w:val="00E9722D"/>
    <w:rsid w:val="00E97CD2"/>
    <w:rsid w:val="00E97E3B"/>
    <w:rsid w:val="00EA02AB"/>
    <w:rsid w:val="00EA0E5D"/>
    <w:rsid w:val="00EA13BB"/>
    <w:rsid w:val="00EA1C73"/>
    <w:rsid w:val="00EA24A7"/>
    <w:rsid w:val="00EA2794"/>
    <w:rsid w:val="00EA2E48"/>
    <w:rsid w:val="00EA2FE8"/>
    <w:rsid w:val="00EA3A80"/>
    <w:rsid w:val="00EA3D57"/>
    <w:rsid w:val="00EA4043"/>
    <w:rsid w:val="00EA412C"/>
    <w:rsid w:val="00EA4281"/>
    <w:rsid w:val="00EA42D3"/>
    <w:rsid w:val="00EA451B"/>
    <w:rsid w:val="00EA46E3"/>
    <w:rsid w:val="00EA4A3B"/>
    <w:rsid w:val="00EA4C0A"/>
    <w:rsid w:val="00EA4D2E"/>
    <w:rsid w:val="00EA4E95"/>
    <w:rsid w:val="00EA5469"/>
    <w:rsid w:val="00EA6198"/>
    <w:rsid w:val="00EA6699"/>
    <w:rsid w:val="00EA709E"/>
    <w:rsid w:val="00EA70C5"/>
    <w:rsid w:val="00EA7FA0"/>
    <w:rsid w:val="00EB03A7"/>
    <w:rsid w:val="00EB064F"/>
    <w:rsid w:val="00EB06A7"/>
    <w:rsid w:val="00EB089A"/>
    <w:rsid w:val="00EB1DEF"/>
    <w:rsid w:val="00EB286F"/>
    <w:rsid w:val="00EB3029"/>
    <w:rsid w:val="00EB37A2"/>
    <w:rsid w:val="00EB3B68"/>
    <w:rsid w:val="00EB3D3F"/>
    <w:rsid w:val="00EB55B9"/>
    <w:rsid w:val="00EB5726"/>
    <w:rsid w:val="00EB59B9"/>
    <w:rsid w:val="00EB5C3F"/>
    <w:rsid w:val="00EB5C9E"/>
    <w:rsid w:val="00EB6DF5"/>
    <w:rsid w:val="00EB71A9"/>
    <w:rsid w:val="00EB748E"/>
    <w:rsid w:val="00EB7827"/>
    <w:rsid w:val="00EC012C"/>
    <w:rsid w:val="00EC097A"/>
    <w:rsid w:val="00EC0A30"/>
    <w:rsid w:val="00EC0AE2"/>
    <w:rsid w:val="00EC191D"/>
    <w:rsid w:val="00EC2A37"/>
    <w:rsid w:val="00EC33F6"/>
    <w:rsid w:val="00EC3410"/>
    <w:rsid w:val="00EC36CA"/>
    <w:rsid w:val="00EC39DA"/>
    <w:rsid w:val="00EC3BCE"/>
    <w:rsid w:val="00EC3E02"/>
    <w:rsid w:val="00EC3E9C"/>
    <w:rsid w:val="00EC3FD3"/>
    <w:rsid w:val="00EC4263"/>
    <w:rsid w:val="00EC479F"/>
    <w:rsid w:val="00EC489D"/>
    <w:rsid w:val="00EC4F6E"/>
    <w:rsid w:val="00EC5485"/>
    <w:rsid w:val="00EC5AF4"/>
    <w:rsid w:val="00EC5B04"/>
    <w:rsid w:val="00EC638C"/>
    <w:rsid w:val="00EC6DF7"/>
    <w:rsid w:val="00EC7030"/>
    <w:rsid w:val="00EC7207"/>
    <w:rsid w:val="00EC73FF"/>
    <w:rsid w:val="00EC7C35"/>
    <w:rsid w:val="00EC7E01"/>
    <w:rsid w:val="00ED0560"/>
    <w:rsid w:val="00ED0AE2"/>
    <w:rsid w:val="00ED0C5F"/>
    <w:rsid w:val="00ED1526"/>
    <w:rsid w:val="00ED1C29"/>
    <w:rsid w:val="00ED1CB1"/>
    <w:rsid w:val="00ED1F7B"/>
    <w:rsid w:val="00ED20F3"/>
    <w:rsid w:val="00ED2B2B"/>
    <w:rsid w:val="00ED2C72"/>
    <w:rsid w:val="00ED306B"/>
    <w:rsid w:val="00ED3719"/>
    <w:rsid w:val="00ED3A0A"/>
    <w:rsid w:val="00ED3B3E"/>
    <w:rsid w:val="00ED3D65"/>
    <w:rsid w:val="00ED3EE1"/>
    <w:rsid w:val="00ED3F20"/>
    <w:rsid w:val="00ED42ED"/>
    <w:rsid w:val="00ED47AC"/>
    <w:rsid w:val="00ED4D52"/>
    <w:rsid w:val="00ED501C"/>
    <w:rsid w:val="00ED592C"/>
    <w:rsid w:val="00ED5DF5"/>
    <w:rsid w:val="00ED5F9B"/>
    <w:rsid w:val="00ED606E"/>
    <w:rsid w:val="00ED628E"/>
    <w:rsid w:val="00ED65AF"/>
    <w:rsid w:val="00ED6723"/>
    <w:rsid w:val="00ED6F38"/>
    <w:rsid w:val="00ED7570"/>
    <w:rsid w:val="00ED7742"/>
    <w:rsid w:val="00ED7CA0"/>
    <w:rsid w:val="00EE0E00"/>
    <w:rsid w:val="00EE1A64"/>
    <w:rsid w:val="00EE1D4B"/>
    <w:rsid w:val="00EE26AD"/>
    <w:rsid w:val="00EE2FAA"/>
    <w:rsid w:val="00EE3137"/>
    <w:rsid w:val="00EE34C5"/>
    <w:rsid w:val="00EE3FDC"/>
    <w:rsid w:val="00EE4651"/>
    <w:rsid w:val="00EE4807"/>
    <w:rsid w:val="00EE48EB"/>
    <w:rsid w:val="00EE498F"/>
    <w:rsid w:val="00EE4AD3"/>
    <w:rsid w:val="00EE4D77"/>
    <w:rsid w:val="00EE4F5C"/>
    <w:rsid w:val="00EE4FBD"/>
    <w:rsid w:val="00EE581B"/>
    <w:rsid w:val="00EE58B3"/>
    <w:rsid w:val="00EE6586"/>
    <w:rsid w:val="00EE6F28"/>
    <w:rsid w:val="00EE72A7"/>
    <w:rsid w:val="00EE77A8"/>
    <w:rsid w:val="00EE77F5"/>
    <w:rsid w:val="00EE7871"/>
    <w:rsid w:val="00EE7B7B"/>
    <w:rsid w:val="00EE7F4C"/>
    <w:rsid w:val="00EF057B"/>
    <w:rsid w:val="00EF0685"/>
    <w:rsid w:val="00EF0D52"/>
    <w:rsid w:val="00EF0ECA"/>
    <w:rsid w:val="00EF127A"/>
    <w:rsid w:val="00EF134C"/>
    <w:rsid w:val="00EF21D9"/>
    <w:rsid w:val="00EF2ABF"/>
    <w:rsid w:val="00EF347E"/>
    <w:rsid w:val="00EF372A"/>
    <w:rsid w:val="00EF3F8F"/>
    <w:rsid w:val="00EF4134"/>
    <w:rsid w:val="00EF4296"/>
    <w:rsid w:val="00EF489B"/>
    <w:rsid w:val="00EF55D0"/>
    <w:rsid w:val="00EF581D"/>
    <w:rsid w:val="00EF5BAA"/>
    <w:rsid w:val="00EF6275"/>
    <w:rsid w:val="00EF630B"/>
    <w:rsid w:val="00EF6525"/>
    <w:rsid w:val="00EF65F4"/>
    <w:rsid w:val="00EF6C84"/>
    <w:rsid w:val="00EF6E9C"/>
    <w:rsid w:val="00EF73C5"/>
    <w:rsid w:val="00EF7BF1"/>
    <w:rsid w:val="00EF7FD6"/>
    <w:rsid w:val="00F002AF"/>
    <w:rsid w:val="00F00E11"/>
    <w:rsid w:val="00F01094"/>
    <w:rsid w:val="00F010FA"/>
    <w:rsid w:val="00F01114"/>
    <w:rsid w:val="00F018D7"/>
    <w:rsid w:val="00F01D04"/>
    <w:rsid w:val="00F01DC8"/>
    <w:rsid w:val="00F0250E"/>
    <w:rsid w:val="00F02921"/>
    <w:rsid w:val="00F02DA9"/>
    <w:rsid w:val="00F03202"/>
    <w:rsid w:val="00F036EC"/>
    <w:rsid w:val="00F0482E"/>
    <w:rsid w:val="00F04D18"/>
    <w:rsid w:val="00F05537"/>
    <w:rsid w:val="00F063FA"/>
    <w:rsid w:val="00F06414"/>
    <w:rsid w:val="00F06823"/>
    <w:rsid w:val="00F06F0F"/>
    <w:rsid w:val="00F07D3D"/>
    <w:rsid w:val="00F1055C"/>
    <w:rsid w:val="00F10784"/>
    <w:rsid w:val="00F10F99"/>
    <w:rsid w:val="00F1170E"/>
    <w:rsid w:val="00F119EB"/>
    <w:rsid w:val="00F12A0D"/>
    <w:rsid w:val="00F12CA2"/>
    <w:rsid w:val="00F13834"/>
    <w:rsid w:val="00F1395B"/>
    <w:rsid w:val="00F13F7C"/>
    <w:rsid w:val="00F142A3"/>
    <w:rsid w:val="00F142C6"/>
    <w:rsid w:val="00F14431"/>
    <w:rsid w:val="00F147B8"/>
    <w:rsid w:val="00F14D21"/>
    <w:rsid w:val="00F158A9"/>
    <w:rsid w:val="00F159ED"/>
    <w:rsid w:val="00F15F93"/>
    <w:rsid w:val="00F17B51"/>
    <w:rsid w:val="00F200D4"/>
    <w:rsid w:val="00F20987"/>
    <w:rsid w:val="00F20A6C"/>
    <w:rsid w:val="00F21008"/>
    <w:rsid w:val="00F214E2"/>
    <w:rsid w:val="00F21533"/>
    <w:rsid w:val="00F21E1A"/>
    <w:rsid w:val="00F220D8"/>
    <w:rsid w:val="00F226DE"/>
    <w:rsid w:val="00F2289E"/>
    <w:rsid w:val="00F23D49"/>
    <w:rsid w:val="00F2431B"/>
    <w:rsid w:val="00F245A3"/>
    <w:rsid w:val="00F2546D"/>
    <w:rsid w:val="00F26E4E"/>
    <w:rsid w:val="00F26F3A"/>
    <w:rsid w:val="00F27371"/>
    <w:rsid w:val="00F275E7"/>
    <w:rsid w:val="00F27C94"/>
    <w:rsid w:val="00F30150"/>
    <w:rsid w:val="00F30338"/>
    <w:rsid w:val="00F307CA"/>
    <w:rsid w:val="00F31A10"/>
    <w:rsid w:val="00F3239C"/>
    <w:rsid w:val="00F32B0F"/>
    <w:rsid w:val="00F32D2C"/>
    <w:rsid w:val="00F32F78"/>
    <w:rsid w:val="00F3335A"/>
    <w:rsid w:val="00F3356F"/>
    <w:rsid w:val="00F344FE"/>
    <w:rsid w:val="00F3465B"/>
    <w:rsid w:val="00F35563"/>
    <w:rsid w:val="00F358EA"/>
    <w:rsid w:val="00F35DC5"/>
    <w:rsid w:val="00F3624F"/>
    <w:rsid w:val="00F3650D"/>
    <w:rsid w:val="00F36DC7"/>
    <w:rsid w:val="00F36F3A"/>
    <w:rsid w:val="00F3701B"/>
    <w:rsid w:val="00F372D8"/>
    <w:rsid w:val="00F37925"/>
    <w:rsid w:val="00F37ADB"/>
    <w:rsid w:val="00F37AEF"/>
    <w:rsid w:val="00F4004A"/>
    <w:rsid w:val="00F400D2"/>
    <w:rsid w:val="00F40803"/>
    <w:rsid w:val="00F40D17"/>
    <w:rsid w:val="00F40F3F"/>
    <w:rsid w:val="00F410E9"/>
    <w:rsid w:val="00F415EA"/>
    <w:rsid w:val="00F41F6F"/>
    <w:rsid w:val="00F426B7"/>
    <w:rsid w:val="00F427AA"/>
    <w:rsid w:val="00F4281F"/>
    <w:rsid w:val="00F4282E"/>
    <w:rsid w:val="00F42A4A"/>
    <w:rsid w:val="00F42AA7"/>
    <w:rsid w:val="00F42F19"/>
    <w:rsid w:val="00F42FF3"/>
    <w:rsid w:val="00F4341B"/>
    <w:rsid w:val="00F43460"/>
    <w:rsid w:val="00F43604"/>
    <w:rsid w:val="00F43801"/>
    <w:rsid w:val="00F43D21"/>
    <w:rsid w:val="00F43D8F"/>
    <w:rsid w:val="00F4406A"/>
    <w:rsid w:val="00F44D28"/>
    <w:rsid w:val="00F44F91"/>
    <w:rsid w:val="00F46D83"/>
    <w:rsid w:val="00F46E8B"/>
    <w:rsid w:val="00F47D2F"/>
    <w:rsid w:val="00F47EFA"/>
    <w:rsid w:val="00F50B85"/>
    <w:rsid w:val="00F517DB"/>
    <w:rsid w:val="00F520AA"/>
    <w:rsid w:val="00F5216D"/>
    <w:rsid w:val="00F52A12"/>
    <w:rsid w:val="00F53A7E"/>
    <w:rsid w:val="00F53ADE"/>
    <w:rsid w:val="00F53E2B"/>
    <w:rsid w:val="00F53F7B"/>
    <w:rsid w:val="00F544E7"/>
    <w:rsid w:val="00F54609"/>
    <w:rsid w:val="00F5481E"/>
    <w:rsid w:val="00F54BCE"/>
    <w:rsid w:val="00F559BE"/>
    <w:rsid w:val="00F55DCF"/>
    <w:rsid w:val="00F55F9F"/>
    <w:rsid w:val="00F56066"/>
    <w:rsid w:val="00F56178"/>
    <w:rsid w:val="00F570CB"/>
    <w:rsid w:val="00F6019C"/>
    <w:rsid w:val="00F60874"/>
    <w:rsid w:val="00F60D84"/>
    <w:rsid w:val="00F6159C"/>
    <w:rsid w:val="00F61887"/>
    <w:rsid w:val="00F6199B"/>
    <w:rsid w:val="00F6226F"/>
    <w:rsid w:val="00F6357B"/>
    <w:rsid w:val="00F64768"/>
    <w:rsid w:val="00F64947"/>
    <w:rsid w:val="00F64C89"/>
    <w:rsid w:val="00F64D2C"/>
    <w:rsid w:val="00F655E0"/>
    <w:rsid w:val="00F65930"/>
    <w:rsid w:val="00F65B6C"/>
    <w:rsid w:val="00F6745D"/>
    <w:rsid w:val="00F676A2"/>
    <w:rsid w:val="00F67746"/>
    <w:rsid w:val="00F6792E"/>
    <w:rsid w:val="00F701F9"/>
    <w:rsid w:val="00F71156"/>
    <w:rsid w:val="00F71782"/>
    <w:rsid w:val="00F71A7B"/>
    <w:rsid w:val="00F71A93"/>
    <w:rsid w:val="00F729BB"/>
    <w:rsid w:val="00F72F07"/>
    <w:rsid w:val="00F72FAE"/>
    <w:rsid w:val="00F7334F"/>
    <w:rsid w:val="00F73F43"/>
    <w:rsid w:val="00F740B8"/>
    <w:rsid w:val="00F744C7"/>
    <w:rsid w:val="00F74786"/>
    <w:rsid w:val="00F7479A"/>
    <w:rsid w:val="00F747F1"/>
    <w:rsid w:val="00F74C3A"/>
    <w:rsid w:val="00F75640"/>
    <w:rsid w:val="00F75A9F"/>
    <w:rsid w:val="00F7634B"/>
    <w:rsid w:val="00F76DDD"/>
    <w:rsid w:val="00F771D6"/>
    <w:rsid w:val="00F77D11"/>
    <w:rsid w:val="00F77E8B"/>
    <w:rsid w:val="00F77EA6"/>
    <w:rsid w:val="00F77EB2"/>
    <w:rsid w:val="00F77ED2"/>
    <w:rsid w:val="00F80AA3"/>
    <w:rsid w:val="00F81848"/>
    <w:rsid w:val="00F818DC"/>
    <w:rsid w:val="00F81B41"/>
    <w:rsid w:val="00F8203F"/>
    <w:rsid w:val="00F8209B"/>
    <w:rsid w:val="00F82340"/>
    <w:rsid w:val="00F82F3E"/>
    <w:rsid w:val="00F8303B"/>
    <w:rsid w:val="00F83ABA"/>
    <w:rsid w:val="00F83CE5"/>
    <w:rsid w:val="00F840EB"/>
    <w:rsid w:val="00F8437B"/>
    <w:rsid w:val="00F848E0"/>
    <w:rsid w:val="00F8512C"/>
    <w:rsid w:val="00F85968"/>
    <w:rsid w:val="00F86017"/>
    <w:rsid w:val="00F8668C"/>
    <w:rsid w:val="00F86E4E"/>
    <w:rsid w:val="00F86F08"/>
    <w:rsid w:val="00F86FCD"/>
    <w:rsid w:val="00F873AA"/>
    <w:rsid w:val="00F900FA"/>
    <w:rsid w:val="00F903D4"/>
    <w:rsid w:val="00F9072E"/>
    <w:rsid w:val="00F90966"/>
    <w:rsid w:val="00F913A5"/>
    <w:rsid w:val="00F923C8"/>
    <w:rsid w:val="00F924CC"/>
    <w:rsid w:val="00F92AFA"/>
    <w:rsid w:val="00F93A86"/>
    <w:rsid w:val="00F93BD5"/>
    <w:rsid w:val="00F93DBB"/>
    <w:rsid w:val="00F94CBD"/>
    <w:rsid w:val="00F94FC6"/>
    <w:rsid w:val="00F957DF"/>
    <w:rsid w:val="00F95967"/>
    <w:rsid w:val="00F95973"/>
    <w:rsid w:val="00F968C2"/>
    <w:rsid w:val="00F96C77"/>
    <w:rsid w:val="00F96C9D"/>
    <w:rsid w:val="00F96CA9"/>
    <w:rsid w:val="00F96D0A"/>
    <w:rsid w:val="00F96D9E"/>
    <w:rsid w:val="00F96E1C"/>
    <w:rsid w:val="00F96E43"/>
    <w:rsid w:val="00F97642"/>
    <w:rsid w:val="00F97717"/>
    <w:rsid w:val="00F9777B"/>
    <w:rsid w:val="00FA002D"/>
    <w:rsid w:val="00FA062C"/>
    <w:rsid w:val="00FA124F"/>
    <w:rsid w:val="00FA125F"/>
    <w:rsid w:val="00FA146A"/>
    <w:rsid w:val="00FA196A"/>
    <w:rsid w:val="00FA1DF2"/>
    <w:rsid w:val="00FA290C"/>
    <w:rsid w:val="00FA3256"/>
    <w:rsid w:val="00FA3D8B"/>
    <w:rsid w:val="00FA3DF6"/>
    <w:rsid w:val="00FA48FB"/>
    <w:rsid w:val="00FA4BC8"/>
    <w:rsid w:val="00FA5148"/>
    <w:rsid w:val="00FA5394"/>
    <w:rsid w:val="00FA55FC"/>
    <w:rsid w:val="00FA5CEA"/>
    <w:rsid w:val="00FA5F80"/>
    <w:rsid w:val="00FA6278"/>
    <w:rsid w:val="00FA6535"/>
    <w:rsid w:val="00FA7079"/>
    <w:rsid w:val="00FA7FA3"/>
    <w:rsid w:val="00FB0122"/>
    <w:rsid w:val="00FB067A"/>
    <w:rsid w:val="00FB0D46"/>
    <w:rsid w:val="00FB0DB2"/>
    <w:rsid w:val="00FB1451"/>
    <w:rsid w:val="00FB158F"/>
    <w:rsid w:val="00FB2085"/>
    <w:rsid w:val="00FB26B4"/>
    <w:rsid w:val="00FB27A6"/>
    <w:rsid w:val="00FB2B9D"/>
    <w:rsid w:val="00FB46EB"/>
    <w:rsid w:val="00FB5035"/>
    <w:rsid w:val="00FB58DD"/>
    <w:rsid w:val="00FB5C82"/>
    <w:rsid w:val="00FB6518"/>
    <w:rsid w:val="00FB6622"/>
    <w:rsid w:val="00FB728A"/>
    <w:rsid w:val="00FB76AB"/>
    <w:rsid w:val="00FB7D57"/>
    <w:rsid w:val="00FC01BD"/>
    <w:rsid w:val="00FC02D9"/>
    <w:rsid w:val="00FC0458"/>
    <w:rsid w:val="00FC05B4"/>
    <w:rsid w:val="00FC0FE9"/>
    <w:rsid w:val="00FC1173"/>
    <w:rsid w:val="00FC17EC"/>
    <w:rsid w:val="00FC195B"/>
    <w:rsid w:val="00FC1DE4"/>
    <w:rsid w:val="00FC1E89"/>
    <w:rsid w:val="00FC1F80"/>
    <w:rsid w:val="00FC283B"/>
    <w:rsid w:val="00FC2C90"/>
    <w:rsid w:val="00FC2F6D"/>
    <w:rsid w:val="00FC33C4"/>
    <w:rsid w:val="00FC340A"/>
    <w:rsid w:val="00FC34F4"/>
    <w:rsid w:val="00FC461E"/>
    <w:rsid w:val="00FC4707"/>
    <w:rsid w:val="00FC5C92"/>
    <w:rsid w:val="00FC6AE8"/>
    <w:rsid w:val="00FC7D32"/>
    <w:rsid w:val="00FD0662"/>
    <w:rsid w:val="00FD075F"/>
    <w:rsid w:val="00FD0A94"/>
    <w:rsid w:val="00FD0D0F"/>
    <w:rsid w:val="00FD1198"/>
    <w:rsid w:val="00FD1890"/>
    <w:rsid w:val="00FD1A8C"/>
    <w:rsid w:val="00FD1F50"/>
    <w:rsid w:val="00FD236C"/>
    <w:rsid w:val="00FD24D3"/>
    <w:rsid w:val="00FD2B94"/>
    <w:rsid w:val="00FD36BC"/>
    <w:rsid w:val="00FD3A8F"/>
    <w:rsid w:val="00FD4879"/>
    <w:rsid w:val="00FD49F6"/>
    <w:rsid w:val="00FD4F78"/>
    <w:rsid w:val="00FD52DD"/>
    <w:rsid w:val="00FD6155"/>
    <w:rsid w:val="00FD616E"/>
    <w:rsid w:val="00FD6216"/>
    <w:rsid w:val="00FD6B43"/>
    <w:rsid w:val="00FD6FE0"/>
    <w:rsid w:val="00FD7475"/>
    <w:rsid w:val="00FD7D1F"/>
    <w:rsid w:val="00FD7FC7"/>
    <w:rsid w:val="00FE08E6"/>
    <w:rsid w:val="00FE0C26"/>
    <w:rsid w:val="00FE19F5"/>
    <w:rsid w:val="00FE1B6D"/>
    <w:rsid w:val="00FE1C92"/>
    <w:rsid w:val="00FE210D"/>
    <w:rsid w:val="00FE281F"/>
    <w:rsid w:val="00FE2F97"/>
    <w:rsid w:val="00FE2FA4"/>
    <w:rsid w:val="00FE377B"/>
    <w:rsid w:val="00FE3991"/>
    <w:rsid w:val="00FE3B5D"/>
    <w:rsid w:val="00FE4820"/>
    <w:rsid w:val="00FE4886"/>
    <w:rsid w:val="00FE4AAB"/>
    <w:rsid w:val="00FE4B29"/>
    <w:rsid w:val="00FE5A09"/>
    <w:rsid w:val="00FE69D4"/>
    <w:rsid w:val="00FE746E"/>
    <w:rsid w:val="00FF0236"/>
    <w:rsid w:val="00FF09F6"/>
    <w:rsid w:val="00FF0DE3"/>
    <w:rsid w:val="00FF121F"/>
    <w:rsid w:val="00FF141B"/>
    <w:rsid w:val="00FF18D7"/>
    <w:rsid w:val="00FF1998"/>
    <w:rsid w:val="00FF1D7C"/>
    <w:rsid w:val="00FF25E1"/>
    <w:rsid w:val="00FF3551"/>
    <w:rsid w:val="00FF3D3D"/>
    <w:rsid w:val="00FF4253"/>
    <w:rsid w:val="00FF5596"/>
    <w:rsid w:val="00FF5A7E"/>
    <w:rsid w:val="00FF5F15"/>
    <w:rsid w:val="00FF745E"/>
    <w:rsid w:val="00FF7F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fillcolor="white">
      <v:fill color="white"/>
    </o:shapedefaults>
    <o:shapelayout v:ext="edit">
      <o:idmap v:ext="edit" data="1"/>
    </o:shapelayout>
  </w:shapeDefaults>
  <w:decimalSymbol w:val="."/>
  <w:listSeparator w:val=","/>
  <w14:docId w14:val="370D00E2"/>
  <w15:docId w15:val="{4C454BC5-117F-4F98-8E0B-DA7032348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1"/>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34"/>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638"/>
    <w:pPr>
      <w:spacing w:after="60"/>
      <w:jc w:val="both"/>
    </w:pPr>
  </w:style>
  <w:style w:type="paragraph" w:styleId="Heading1">
    <w:name w:val="heading 1"/>
    <w:basedOn w:val="Normal"/>
    <w:next w:val="Normal"/>
    <w:link w:val="Heading1Char"/>
    <w:qFormat/>
    <w:rsid w:val="008F1069"/>
    <w:pPr>
      <w:keepNext/>
      <w:numPr>
        <w:numId w:val="1"/>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1"/>
    <w:qFormat/>
    <w:rsid w:val="00E93DC1"/>
    <w:pPr>
      <w:keepNext/>
      <w:ind w:left="720"/>
      <w:outlineLvl w:val="1"/>
    </w:pPr>
    <w:rPr>
      <w:rFonts w:ascii="Arial Narrow" w:hAnsi="Arial Narrow"/>
      <w:b/>
      <w:bCs/>
    </w:rPr>
  </w:style>
  <w:style w:type="paragraph" w:styleId="Heading3">
    <w:name w:val="heading 3"/>
    <w:basedOn w:val="Normal"/>
    <w:next w:val="Normal"/>
    <w:link w:val="Heading3Char"/>
    <w:qFormat/>
    <w:rsid w:val="00E93DC1"/>
    <w:pPr>
      <w:keepNext/>
      <w:widowControl w:val="0"/>
      <w:tabs>
        <w:tab w:val="left" w:pos="2160"/>
        <w:tab w:val="left" w:pos="9360"/>
      </w:tabs>
      <w:outlineLvl w:val="2"/>
    </w:pPr>
    <w:rPr>
      <w:rFonts w:ascii="Courier" w:hAnsi="Courier"/>
      <w:b/>
      <w:sz w:val="28"/>
      <w:szCs w:val="20"/>
    </w:rPr>
  </w:style>
  <w:style w:type="paragraph" w:styleId="Heading4">
    <w:name w:val="heading 4"/>
    <w:basedOn w:val="Normal"/>
    <w:next w:val="Normal"/>
    <w:link w:val="Heading4Char"/>
    <w:qFormat/>
    <w:rsid w:val="00E93DC1"/>
    <w:pPr>
      <w:keepNext/>
      <w:widowControl w:val="0"/>
      <w:spacing w:after="540"/>
      <w:ind w:left="116"/>
      <w:outlineLvl w:val="3"/>
    </w:pPr>
    <w:rPr>
      <w:b/>
      <w:spacing w:val="15"/>
      <w:sz w:val="28"/>
    </w:rPr>
  </w:style>
  <w:style w:type="paragraph" w:styleId="Heading5">
    <w:name w:val="heading 5"/>
    <w:basedOn w:val="Normal"/>
    <w:next w:val="Normal"/>
    <w:link w:val="Heading5Char"/>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rPr>
  </w:style>
  <w:style w:type="paragraph" w:styleId="Heading8">
    <w:name w:val="heading 8"/>
    <w:basedOn w:val="Normal"/>
    <w:next w:val="Normal"/>
    <w:link w:val="Heading8Char"/>
    <w:unhideWhenUsed/>
    <w:qFormat/>
    <w:rsid w:val="000923DC"/>
    <w:pPr>
      <w:spacing w:before="24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B0802"/>
    <w:rPr>
      <w:rFonts w:ascii="Century Gothic" w:hAnsi="Century Gothic"/>
      <w:b/>
      <w:smallCaps/>
      <w:spacing w:val="-2"/>
      <w:sz w:val="28"/>
      <w:szCs w:val="20"/>
    </w:rPr>
  </w:style>
  <w:style w:type="character" w:customStyle="1" w:styleId="Heading2Char1">
    <w:name w:val="Heading 2 Char1"/>
    <w:link w:val="Heading2"/>
    <w:locked/>
    <w:rsid w:val="00CB0802"/>
    <w:rPr>
      <w:rFonts w:ascii="Cambria" w:hAnsi="Cambria" w:cs="Times New Roman"/>
      <w:b/>
      <w:bCs/>
      <w:i/>
      <w:iCs/>
      <w:sz w:val="28"/>
      <w:szCs w:val="28"/>
      <w:lang w:val="en-GB"/>
    </w:rPr>
  </w:style>
  <w:style w:type="character" w:customStyle="1" w:styleId="Heading3Char">
    <w:name w:val="Heading 3 Char"/>
    <w:link w:val="Heading3"/>
    <w:locked/>
    <w:rsid w:val="00CB0802"/>
    <w:rPr>
      <w:rFonts w:ascii="Cambria" w:hAnsi="Cambria" w:cs="Times New Roman"/>
      <w:b/>
      <w:bCs/>
      <w:sz w:val="26"/>
      <w:szCs w:val="26"/>
      <w:lang w:val="en-GB"/>
    </w:rPr>
  </w:style>
  <w:style w:type="character" w:customStyle="1" w:styleId="Heading4Char">
    <w:name w:val="Heading 4 Char"/>
    <w:link w:val="Heading4"/>
    <w:locked/>
    <w:rsid w:val="00CB0802"/>
    <w:rPr>
      <w:rFonts w:ascii="Calibri" w:hAnsi="Calibri" w:cs="Times New Roman"/>
      <w:b/>
      <w:bCs/>
      <w:sz w:val="28"/>
      <w:szCs w:val="28"/>
      <w:lang w:val="en-GB"/>
    </w:rPr>
  </w:style>
  <w:style w:type="character" w:customStyle="1" w:styleId="Heading5Char">
    <w:name w:val="Heading 5 Char"/>
    <w:link w:val="Heading5"/>
    <w:locked/>
    <w:rsid w:val="00CB0802"/>
    <w:rPr>
      <w:rFonts w:ascii="Calibri" w:hAnsi="Calibri" w:cs="Times New Roman"/>
      <w:b/>
      <w:bCs/>
      <w:i/>
      <w:iCs/>
      <w:sz w:val="26"/>
      <w:szCs w:val="26"/>
      <w:lang w:val="en-GB"/>
    </w:rPr>
  </w:style>
  <w:style w:type="character" w:customStyle="1" w:styleId="Heading8Char">
    <w:name w:val="Heading 8 Char"/>
    <w:link w:val="Heading8"/>
    <w:rsid w:val="000923DC"/>
    <w:rPr>
      <w:rFonts w:ascii="Calibri" w:eastAsia="Times New Roman" w:hAnsi="Calibri" w:cs="Times New Roman"/>
      <w:i/>
      <w:iCs/>
      <w:sz w:val="24"/>
      <w:szCs w:val="24"/>
      <w:lang w:val="en-GB"/>
    </w:rPr>
  </w:style>
  <w:style w:type="paragraph" w:styleId="BalloonText">
    <w:name w:val="Balloon Text"/>
    <w:basedOn w:val="Normal"/>
    <w:link w:val="BalloonTextChar"/>
    <w:uiPriority w:val="99"/>
    <w:semiHidden/>
    <w:rsid w:val="00D260B0"/>
    <w:rPr>
      <w:rFonts w:ascii="Tahoma" w:hAnsi="Tahoma" w:cs="Tahoma"/>
      <w:sz w:val="16"/>
      <w:szCs w:val="16"/>
    </w:rPr>
  </w:style>
  <w:style w:type="character" w:customStyle="1" w:styleId="BalloonTextChar">
    <w:name w:val="Balloon Text Char"/>
    <w:link w:val="BalloonText"/>
    <w:uiPriority w:val="99"/>
    <w:semiHidden/>
    <w:locked/>
    <w:rsid w:val="00CB0802"/>
    <w:rPr>
      <w:rFonts w:cs="Times New Roman"/>
      <w:sz w:val="2"/>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ft, Char Char Char Char,Fußnote,ADB Char Char,ADB Char Char Char,ADB Char Char Char Char Char Char Char,ADB Char Char Char Char Char,FOOTNOTES,fn,Cha,ADB,F"/>
    <w:basedOn w:val="Normal"/>
    <w:link w:val="FootnoteTextChar1"/>
    <w:uiPriority w:val="99"/>
    <w:qFormat/>
    <w:rsid w:val="00E93DC1"/>
    <w:pPr>
      <w:widowControl w:val="0"/>
    </w:pPr>
    <w:rPr>
      <w:rFonts w:ascii="Courier" w:hAnsi="Courier"/>
      <w:szCs w:val="20"/>
    </w:rPr>
  </w:style>
  <w:style w:type="character" w:customStyle="1" w:styleId="FootnoteTextChar1">
    <w:name w:val="Footnote Text Char1"/>
    <w:aliases w:val="Geneva 9 Char,Font: Geneva 9 Char,Boston 10 Char,f Char,single space Char,footnote text Char,Footnote Char,otnote Text Char,ft Char, Char Char Char Char Char1,Fußnote Char1,ADB Char Char Char2,ADB Char Char Char Char1,FOOTNOTES Char1"/>
    <w:link w:val="FootnoteText"/>
    <w:locked/>
    <w:rsid w:val="00CB0802"/>
    <w:rPr>
      <w:rFonts w:ascii="Arial" w:hAnsi="Arial" w:cs="Times New Roman"/>
      <w:lang w:val="en-GB"/>
    </w:rPr>
  </w:style>
  <w:style w:type="paragraph" w:styleId="BodyText3">
    <w:name w:val="Body Text 3"/>
    <w:basedOn w:val="Normal"/>
    <w:link w:val="BodyText3Char"/>
    <w:rsid w:val="00E93DC1"/>
    <w:rPr>
      <w:szCs w:val="20"/>
    </w:rPr>
  </w:style>
  <w:style w:type="character" w:customStyle="1" w:styleId="BodyText3Char">
    <w:name w:val="Body Text 3 Char"/>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rPr>
  </w:style>
  <w:style w:type="character" w:customStyle="1" w:styleId="BodyTextIndentChar">
    <w:name w:val="Body Text Indent Char"/>
    <w:link w:val="BodyTextIndent"/>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link w:val="BodyText2"/>
    <w:locked/>
    <w:rsid w:val="00CB0802"/>
    <w:rPr>
      <w:rFonts w:ascii="Arial" w:hAnsi="Arial" w:cs="Times New Roman"/>
      <w:sz w:val="24"/>
      <w:szCs w:val="24"/>
      <w:lang w:val="en-GB"/>
    </w:rPr>
  </w:style>
  <w:style w:type="character" w:styleId="CommentReference">
    <w:name w:val="annotation reference"/>
    <w:uiPriority w:val="99"/>
    <w:rsid w:val="00EF6275"/>
    <w:rPr>
      <w:rFonts w:cs="Times New Roman"/>
      <w:sz w:val="16"/>
      <w:szCs w:val="16"/>
    </w:rPr>
  </w:style>
  <w:style w:type="paragraph" w:styleId="CommentText">
    <w:name w:val="annotation text"/>
    <w:basedOn w:val="Normal"/>
    <w:link w:val="CommentTextChar"/>
    <w:uiPriority w:val="99"/>
    <w:rsid w:val="00EF6275"/>
    <w:rPr>
      <w:szCs w:val="20"/>
    </w:rPr>
  </w:style>
  <w:style w:type="character" w:customStyle="1" w:styleId="CommentTextChar">
    <w:name w:val="Comment Text Char"/>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semiHidden/>
    <w:rsid w:val="00EF6275"/>
    <w:rPr>
      <w:b/>
      <w:bCs/>
    </w:rPr>
  </w:style>
  <w:style w:type="character" w:customStyle="1" w:styleId="CommentSubjectChar">
    <w:name w:val="Comment Subject Char"/>
    <w:link w:val="CommentSubject"/>
    <w:semiHidden/>
    <w:locked/>
    <w:rsid w:val="00CB0802"/>
    <w:rPr>
      <w:rFonts w:ascii="Arial" w:hAnsi="Arial" w:cs="Times New Roman"/>
      <w:b/>
      <w:bCs/>
      <w:lang w:val="en-GB"/>
    </w:rPr>
  </w:style>
  <w:style w:type="table" w:styleId="TableGrid">
    <w:name w:val="Table Grid"/>
    <w:basedOn w:val="TableNormal"/>
    <w:uiPriority w:val="5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E663CF"/>
    <w:pPr>
      <w:spacing w:before="100" w:beforeAutospacing="1" w:after="100" w:afterAutospacing="1"/>
    </w:pPr>
    <w:rPr>
      <w:rFonts w:ascii="Times New Roman" w:hAnsi="Times New Roman"/>
    </w:rPr>
  </w:style>
  <w:style w:type="character" w:styleId="Emphasis">
    <w:name w:val="Emphasis"/>
    <w:qFormat/>
    <w:rsid w:val="00F30150"/>
    <w:rPr>
      <w:rFonts w:cs="Times New Roman"/>
      <w:i/>
      <w:iCs/>
    </w:rPr>
  </w:style>
  <w:style w:type="character" w:styleId="FootnoteReference">
    <w:name w:val="footnote reference"/>
    <w:aliases w:val="16 Point,Superscript 6 Point,Superscript 6 Point + 11 pt,ftref, BVI fnr,BVI fnr, BVI fnr Car Car,BVI fnr Car, BVI fnr Car Car Car Car,Footnote text,BVI fnr Car Car,BVI fnr Car Car Car Car,(NECG) Footnote Reference,Fußnotenzeichen DISS"/>
    <w:link w:val="Char2"/>
    <w:uiPriority w:val="99"/>
    <w:qFormat/>
    <w:rsid w:val="00BF50E7"/>
    <w:rPr>
      <w:rFonts w:ascii="Arial" w:hAnsi="Arial" w:cs="Times New Roman"/>
      <w:sz w:val="18"/>
      <w:vertAlign w:val="superscript"/>
    </w:rPr>
  </w:style>
  <w:style w:type="paragraph" w:customStyle="1" w:styleId="Char2">
    <w:name w:val="Char2"/>
    <w:basedOn w:val="Normal"/>
    <w:link w:val="FootnoteReference"/>
    <w:uiPriority w:val="99"/>
    <w:rsid w:val="00985B18"/>
    <w:pPr>
      <w:spacing w:after="160" w:line="240" w:lineRule="exact"/>
      <w:jc w:val="left"/>
    </w:pPr>
    <w:rPr>
      <w:rFonts w:ascii="Arial" w:hAnsi="Arial"/>
      <w:sz w:val="18"/>
      <w:szCs w:val="20"/>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aliases w:val="List Paragraph1,Paragraphe de liste1,Numbered paragraph,Paragraphe de liste,Medium Grid 1 - Accent 21,List Paragraph (numbered (a)),Project Profile name,Colorful List - Accent 12,Numbered List Paragraph,References,ReferencesCxSpLast"/>
    <w:basedOn w:val="Normal"/>
    <w:link w:val="ListParagraphChar"/>
    <w:qFormat/>
    <w:rsid w:val="00DB520F"/>
    <w:pPr>
      <w:spacing w:after="0"/>
      <w:ind w:left="720"/>
      <w:jc w:val="left"/>
    </w:pPr>
    <w:rPr>
      <w:rFonts w:ascii="Times New Roman" w:hAnsi="Times New Roman"/>
    </w:rPr>
  </w:style>
  <w:style w:type="character" w:customStyle="1" w:styleId="ListParagraphChar">
    <w:name w:val="List Paragraph Char"/>
    <w:aliases w:val="List Paragraph1 Char,Paragraphe de liste1 Char,Numbered paragraph Char,Paragraphe de liste Char,Medium Grid 1 - Accent 21 Char,List Paragraph (numbered (a)) Char,Project Profile name Char,Colorful List - Accent 12 Char"/>
    <w:link w:val="ListParagraph"/>
    <w:rsid w:val="00881F0F"/>
    <w:rPr>
      <w:sz w:val="24"/>
      <w:szCs w:val="24"/>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jc w:val="left"/>
    </w:pPr>
    <w:rPr>
      <w:rFonts w:cs="Arial"/>
      <w:szCs w:val="20"/>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lang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spacing w:after="0"/>
      <w:jc w:val="left"/>
    </w:pPr>
    <w:rPr>
      <w:rFonts w:eastAsia="MS Mincho"/>
      <w:szCs w:val="20"/>
      <w:lang w:eastAsia="ja-JP"/>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pPr>
      <w:spacing w:after="0"/>
    </w:pPr>
    <w:rPr>
      <w:rFonts w:ascii="Arial Narrow" w:hAnsi="Arial Narrow" w:cs="Arial"/>
      <w:szCs w:val="20"/>
    </w:rPr>
  </w:style>
  <w:style w:type="paragraph" w:customStyle="1" w:styleId="Paragraph">
    <w:name w:val="Paragraph"/>
    <w:basedOn w:val="Normal"/>
    <w:link w:val="ParagraphChar"/>
    <w:qFormat/>
    <w:rsid w:val="000D00F9"/>
    <w:pPr>
      <w:numPr>
        <w:numId w:val="2"/>
      </w:numPr>
      <w:spacing w:after="240"/>
      <w:jc w:val="left"/>
    </w:pPr>
    <w:rPr>
      <w:rFonts w:ascii="Times New Roman" w:hAnsi="Times New Roman" w:cs="Angsana New"/>
      <w:noProof/>
      <w:szCs w:val="22"/>
    </w:rPr>
  </w:style>
  <w:style w:type="character" w:customStyle="1" w:styleId="ParagraphChar">
    <w:name w:val="Paragraph Char"/>
    <w:link w:val="Paragraph"/>
    <w:rsid w:val="000D00F9"/>
    <w:rPr>
      <w:rFonts w:ascii="Times New Roman" w:hAnsi="Times New Roman" w:cs="Angsana New"/>
      <w:noProof/>
      <w:szCs w:val="22"/>
    </w:rPr>
  </w:style>
  <w:style w:type="paragraph" w:customStyle="1" w:styleId="Bullets">
    <w:name w:val="Bullets"/>
    <w:basedOn w:val="Paragraph"/>
    <w:link w:val="BulletsChar"/>
    <w:qFormat/>
    <w:rsid w:val="000D00F9"/>
    <w:pPr>
      <w:numPr>
        <w:numId w:val="3"/>
      </w:numPr>
      <w:spacing w:before="60" w:after="0"/>
    </w:pPr>
  </w:style>
  <w:style w:type="character" w:customStyle="1" w:styleId="BulletsChar">
    <w:name w:val="Bullets Char"/>
    <w:link w:val="Bullets"/>
    <w:rsid w:val="000D00F9"/>
    <w:rPr>
      <w:rFonts w:ascii="Times New Roman" w:hAnsi="Times New Roman" w:cs="Angsana New"/>
      <w:noProof/>
      <w:szCs w:val="22"/>
    </w:rPr>
  </w:style>
  <w:style w:type="paragraph" w:styleId="TOC2">
    <w:name w:val="toc 2"/>
    <w:basedOn w:val="Normal"/>
    <w:next w:val="Normal"/>
    <w:autoRedefine/>
    <w:uiPriority w:val="39"/>
    <w:locked/>
    <w:rsid w:val="0082267F"/>
    <w:pPr>
      <w:ind w:left="220"/>
    </w:pPr>
  </w:style>
  <w:style w:type="paragraph" w:styleId="TOC1">
    <w:name w:val="toc 1"/>
    <w:basedOn w:val="Normal"/>
    <w:next w:val="Normal"/>
    <w:autoRedefine/>
    <w:uiPriority w:val="39"/>
    <w:locked/>
    <w:rsid w:val="009B7773"/>
    <w:pPr>
      <w:tabs>
        <w:tab w:val="left" w:pos="540"/>
        <w:tab w:val="right" w:leader="dot" w:pos="9304"/>
      </w:tabs>
    </w:pPr>
  </w:style>
  <w:style w:type="character" w:customStyle="1" w:styleId="Heading2Char">
    <w:name w:val="Heading 2 Char"/>
    <w:semiHidden/>
    <w:locked/>
    <w:rsid w:val="00720790"/>
    <w:rPr>
      <w:rFonts w:ascii="Cambria" w:hAnsi="Cambria" w:cs="Times New Roman"/>
      <w:b/>
      <w:bCs/>
      <w:i/>
      <w:iCs/>
      <w:sz w:val="28"/>
      <w:szCs w:val="28"/>
      <w:lang w:val="en-GB"/>
    </w:rPr>
  </w:style>
  <w:style w:type="character" w:customStyle="1" w:styleId="FootnoteTextChar">
    <w:name w:val="Footnote Text Char"/>
    <w:aliases w:val=" Char Char Char Char Char,Fußnote Char,ADB Char Char Char1,ADB Char Char Char Char,FOOTNOTES Char,Footnote Text Char Char Char Char,Footnote Text Char Char Char Char Char Char Char Char,Footnote Text Char Char Char Char Char Char1"/>
    <w:uiPriority w:val="99"/>
    <w:locked/>
    <w:rsid w:val="00720790"/>
    <w:rPr>
      <w:rFonts w:ascii="Arial" w:hAnsi="Arial" w:cs="Times New Roman"/>
      <w:lang w:val="en-GB"/>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after="0" w:line="252" w:lineRule="auto"/>
    </w:pPr>
    <w:rPr>
      <w:rFonts w:ascii="Times New Roman" w:hAnsi="Times New Roman"/>
      <w:szCs w:val="20"/>
    </w:rPr>
  </w:style>
  <w:style w:type="paragraph" w:customStyle="1" w:styleId="CharCharChar11">
    <w:name w:val="Char Char Char11"/>
    <w:basedOn w:val="Normal"/>
    <w:rsid w:val="00B27E19"/>
    <w:pPr>
      <w:spacing w:after="160" w:line="240" w:lineRule="exact"/>
      <w:jc w:val="left"/>
    </w:pPr>
    <w:rPr>
      <w:rFonts w:cs="Arial"/>
      <w:szCs w:val="20"/>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snapToGrid w:val="0"/>
      <w:szCs w:val="20"/>
    </w:rPr>
  </w:style>
  <w:style w:type="paragraph" w:styleId="Caption">
    <w:name w:val="caption"/>
    <w:basedOn w:val="Normal"/>
    <w:next w:val="Normal"/>
    <w:qFormat/>
    <w:rsid w:val="0070606B"/>
    <w:pPr>
      <w:spacing w:after="0"/>
      <w:jc w:val="left"/>
    </w:pPr>
    <w:rPr>
      <w:rFonts w:ascii="Times New Roman" w:hAnsi="Times New Roman"/>
      <w:b/>
      <w:bCs/>
      <w:sz w:val="28"/>
    </w:rPr>
  </w:style>
  <w:style w:type="paragraph" w:customStyle="1" w:styleId="TableT">
    <w:name w:val="TableT"/>
    <w:basedOn w:val="Normal"/>
    <w:autoRedefine/>
    <w:rsid w:val="00550BAE"/>
    <w:pPr>
      <w:jc w:val="left"/>
    </w:pPr>
    <w:rPr>
      <w:rFonts w:ascii="Times New Roman" w:hAnsi="Times New Roman"/>
      <w:noProof/>
      <w:szCs w:val="20"/>
    </w:rPr>
  </w:style>
  <w:style w:type="paragraph" w:customStyle="1" w:styleId="ParaCharChar">
    <w:name w:val="Para Char Char"/>
    <w:basedOn w:val="Normal"/>
    <w:link w:val="ParaCharCharChar"/>
    <w:autoRedefine/>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Cs w:val="20"/>
    </w:rPr>
  </w:style>
  <w:style w:type="character" w:customStyle="1" w:styleId="ParaCharCharChar">
    <w:name w:val="Para Char Char Char"/>
    <w:link w:val="ParaCharChar"/>
    <w:rsid w:val="00597DEC"/>
    <w:rPr>
      <w:rFonts w:ascii="Calibri" w:eastAsia="Arial Unicode MS" w:hAnsi="Calibri" w:cs="Arial"/>
      <w:lang w:val="en-GB"/>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spacing w:after="0"/>
      <w:jc w:val="left"/>
    </w:pPr>
    <w:rPr>
      <w:rFonts w:ascii="Times New Roman" w:hAnsi="Times New Roman"/>
    </w:rPr>
  </w:style>
  <w:style w:type="paragraph" w:customStyle="1" w:styleId="NumberedList2">
    <w:name w:val="Numbered List 2"/>
    <w:aliases w:val="nl2"/>
    <w:basedOn w:val="Normal"/>
    <w:rsid w:val="00CA725C"/>
    <w:pPr>
      <w:spacing w:after="0" w:line="240" w:lineRule="atLeast"/>
      <w:ind w:hanging="360"/>
      <w:jc w:val="left"/>
    </w:pPr>
    <w:rPr>
      <w:rFonts w:ascii="Arial Unicode MS" w:hAnsi="Arial Unicode MS"/>
      <w:szCs w:val="22"/>
    </w:rPr>
  </w:style>
  <w:style w:type="paragraph" w:customStyle="1" w:styleId="CharChar">
    <w:name w:val="Char Char Знак Знак"/>
    <w:basedOn w:val="Normal"/>
    <w:rsid w:val="00E61BB0"/>
    <w:pPr>
      <w:spacing w:after="160" w:line="240" w:lineRule="exact"/>
      <w:jc w:val="left"/>
    </w:pPr>
    <w:rPr>
      <w:rFonts w:ascii="Times New Roman" w:hAnsi="Times New Roman" w:cs="Arial"/>
      <w:szCs w:val="20"/>
      <w:lang w:val="de-CH" w:eastAsia="de-CH"/>
    </w:rPr>
  </w:style>
  <w:style w:type="paragraph" w:styleId="PlainText">
    <w:name w:val="Plain Text"/>
    <w:basedOn w:val="Normal"/>
    <w:link w:val="PlainTextChar"/>
    <w:uiPriority w:val="99"/>
    <w:unhideWhenUsed/>
    <w:rsid w:val="00FC1F80"/>
    <w:pPr>
      <w:spacing w:after="0"/>
      <w:jc w:val="left"/>
    </w:pPr>
    <w:rPr>
      <w:rFonts w:ascii="Consolas" w:eastAsia="Calibri" w:hAnsi="Consolas"/>
      <w:sz w:val="21"/>
      <w:szCs w:val="21"/>
    </w:rPr>
  </w:style>
  <w:style w:type="character" w:customStyle="1" w:styleId="PlainTextChar">
    <w:name w:val="Plain Text Char"/>
    <w:link w:val="PlainText"/>
    <w:uiPriority w:val="99"/>
    <w:rsid w:val="00FC1F80"/>
    <w:rPr>
      <w:rFonts w:ascii="Consolas" w:eastAsia="Calibri" w:hAnsi="Consolas"/>
      <w:sz w:val="21"/>
      <w:szCs w:val="21"/>
    </w:rPr>
  </w:style>
  <w:style w:type="paragraph" w:styleId="TOCHeading">
    <w:name w:val="TOC Heading"/>
    <w:basedOn w:val="Heading1"/>
    <w:next w:val="Normal"/>
    <w:uiPriority w:val="39"/>
    <w:unhideWhenUsed/>
    <w:qFormat/>
    <w:rsid w:val="006B67FA"/>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rPr>
  </w:style>
  <w:style w:type="paragraph" w:styleId="NoSpacing">
    <w:name w:val="No Spacing"/>
    <w:link w:val="NoSpacingChar"/>
    <w:uiPriority w:val="1"/>
    <w:qFormat/>
    <w:rsid w:val="004C454A"/>
    <w:rPr>
      <w:rFonts w:ascii="Times" w:eastAsia="Times" w:hAnsi="Times"/>
    </w:rPr>
  </w:style>
  <w:style w:type="character" w:customStyle="1" w:styleId="NoSpacingChar">
    <w:name w:val="No Spacing Char"/>
    <w:link w:val="NoSpacing"/>
    <w:uiPriority w:val="1"/>
    <w:rsid w:val="004C454A"/>
    <w:rPr>
      <w:rFonts w:ascii="Times" w:eastAsia="Times" w:hAnsi="Times"/>
      <w:sz w:val="24"/>
    </w:rPr>
  </w:style>
  <w:style w:type="character" w:customStyle="1" w:styleId="PlainTextChar1">
    <w:name w:val="Plain Text Char1"/>
    <w:uiPriority w:val="99"/>
    <w:locked/>
    <w:rsid w:val="00666A76"/>
    <w:rPr>
      <w:rFonts w:ascii="Consolas" w:eastAsia="Times New Roman" w:hAnsi="Consolas" w:cs="Times New Roman"/>
      <w:sz w:val="20"/>
      <w:szCs w:val="20"/>
    </w:rPr>
  </w:style>
  <w:style w:type="character" w:styleId="IntenseReference">
    <w:name w:val="Intense Reference"/>
    <w:uiPriority w:val="32"/>
    <w:qFormat/>
    <w:rsid w:val="00DA4B58"/>
    <w:rPr>
      <w:b/>
      <w:bCs/>
      <w:smallCaps/>
      <w:color w:val="C0504D"/>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DefaultParagraphFont"/>
    <w:rsid w:val="00655B9D"/>
  </w:style>
  <w:style w:type="character" w:customStyle="1" w:styleId="NumberedParasChar">
    <w:name w:val="Numbered Paras Char"/>
    <w:link w:val="NumberedParas"/>
    <w:locked/>
    <w:rsid w:val="00BB7C1E"/>
    <w:rPr>
      <w:noProof/>
      <w:szCs w:val="22"/>
    </w:rPr>
  </w:style>
  <w:style w:type="paragraph" w:customStyle="1" w:styleId="NumberedParas">
    <w:name w:val="Numbered Paras"/>
    <w:basedOn w:val="Normal"/>
    <w:link w:val="NumberedParasChar"/>
    <w:qFormat/>
    <w:rsid w:val="00BB7C1E"/>
    <w:pPr>
      <w:numPr>
        <w:numId w:val="15"/>
      </w:numPr>
      <w:spacing w:after="120"/>
      <w:ind w:left="0" w:firstLine="0"/>
    </w:pPr>
    <w:rPr>
      <w:noProof/>
      <w:szCs w:val="22"/>
    </w:rPr>
  </w:style>
  <w:style w:type="paragraph" w:customStyle="1" w:styleId="Para">
    <w:name w:val="Para"/>
    <w:basedOn w:val="Normal"/>
    <w:link w:val="ParaChar"/>
    <w:autoRedefine/>
    <w:rsid w:val="0077105D"/>
    <w:pPr>
      <w:numPr>
        <w:numId w:val="16"/>
      </w:numPr>
      <w:tabs>
        <w:tab w:val="left" w:pos="360"/>
      </w:tabs>
      <w:spacing w:after="0"/>
      <w:ind w:left="357" w:hanging="357"/>
      <w:jc w:val="left"/>
    </w:pPr>
    <w:rPr>
      <w:rFonts w:asciiTheme="majorHAnsi" w:eastAsia="Times New Roman" w:hAnsiTheme="majorHAnsi" w:cs="Arial"/>
      <w:sz w:val="18"/>
      <w:szCs w:val="18"/>
    </w:rPr>
  </w:style>
  <w:style w:type="character" w:customStyle="1" w:styleId="ParaChar">
    <w:name w:val="Para Char"/>
    <w:link w:val="Para"/>
    <w:rsid w:val="0077105D"/>
    <w:rPr>
      <w:rFonts w:asciiTheme="majorHAnsi" w:eastAsia="Times New Roman" w:hAnsiTheme="majorHAnsi" w:cs="Arial"/>
      <w:sz w:val="18"/>
      <w:szCs w:val="18"/>
    </w:rPr>
  </w:style>
  <w:style w:type="paragraph" w:customStyle="1" w:styleId="GEFFieldtoFillout">
    <w:name w:val="GEF Field to Fill out"/>
    <w:basedOn w:val="Normal"/>
    <w:link w:val="GEFFieldtoFilloutChar"/>
    <w:qFormat/>
    <w:rsid w:val="00B87774"/>
    <w:pPr>
      <w:spacing w:after="0"/>
      <w:ind w:left="-720"/>
      <w:jc w:val="left"/>
    </w:pPr>
    <w:rPr>
      <w:rFonts w:ascii="Times New Roman" w:eastAsia="Times New Roman" w:hAnsi="Times New Roman"/>
      <w:color w:val="000000"/>
      <w:sz w:val="22"/>
      <w:szCs w:val="22"/>
      <w:lang w:val="x-none"/>
    </w:rPr>
  </w:style>
  <w:style w:type="character" w:customStyle="1" w:styleId="GEFFieldtoFilloutChar">
    <w:name w:val="GEF Field to Fill out Char"/>
    <w:link w:val="GEFFieldtoFillout"/>
    <w:rsid w:val="00B87774"/>
    <w:rPr>
      <w:rFonts w:ascii="Times New Roman" w:eastAsia="Times New Roman" w:hAnsi="Times New Roman"/>
      <w:color w:val="000000"/>
      <w:sz w:val="22"/>
      <w:szCs w:val="22"/>
      <w:lang w:val="x-none"/>
    </w:rPr>
  </w:style>
  <w:style w:type="paragraph" w:customStyle="1" w:styleId="Tabletext">
    <w:name w:val="Tabletext"/>
    <w:basedOn w:val="Normal"/>
    <w:autoRedefine/>
    <w:qFormat/>
    <w:rsid w:val="002C12DD"/>
    <w:pPr>
      <w:framePr w:hSpace="180" w:wrap="around" w:vAnchor="text" w:hAnchor="text" w:x="-270" w:y="1"/>
      <w:numPr>
        <w:numId w:val="18"/>
      </w:numPr>
      <w:spacing w:after="0"/>
      <w:ind w:left="0" w:hanging="288"/>
      <w:suppressOverlap/>
      <w:jc w:val="left"/>
    </w:pPr>
    <w:rPr>
      <w:rFonts w:eastAsia="Calibri" w:cs="Calibri"/>
      <w:i/>
      <w:sz w:val="18"/>
      <w:szCs w:val="18"/>
      <w:lang w:val="en-GB"/>
    </w:rPr>
  </w:style>
  <w:style w:type="character" w:customStyle="1" w:styleId="MediumGrid2Char">
    <w:name w:val="Medium Grid 2 Char"/>
    <w:link w:val="MediumGrid2"/>
    <w:uiPriority w:val="1"/>
    <w:rsid w:val="0057218D"/>
    <w:rPr>
      <w:rFonts w:ascii="Times" w:eastAsia="Times" w:hAnsi="Times"/>
      <w:sz w:val="24"/>
    </w:rPr>
  </w:style>
  <w:style w:type="table" w:styleId="MediumGrid2">
    <w:name w:val="Medium Grid 2"/>
    <w:basedOn w:val="TableNormal"/>
    <w:link w:val="MediumGrid2Char"/>
    <w:uiPriority w:val="1"/>
    <w:semiHidden/>
    <w:unhideWhenUsed/>
    <w:rsid w:val="0057218D"/>
    <w:rPr>
      <w:rFonts w:ascii="Times" w:eastAsia="Times" w:hAnsi="Tim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st">
    <w:name w:val="st"/>
    <w:rsid w:val="00591632"/>
  </w:style>
  <w:style w:type="paragraph" w:styleId="Revision">
    <w:name w:val="Revision"/>
    <w:hidden/>
    <w:uiPriority w:val="71"/>
    <w:semiHidden/>
    <w:rsid w:val="009B059B"/>
  </w:style>
  <w:style w:type="paragraph" w:customStyle="1" w:styleId="yiv0529546285msonormal">
    <w:name w:val="yiv0529546285msonormal"/>
    <w:basedOn w:val="Normal"/>
    <w:rsid w:val="00960E85"/>
    <w:pPr>
      <w:spacing w:before="100" w:beforeAutospacing="1" w:after="100" w:afterAutospacing="1"/>
      <w:jc w:val="left"/>
    </w:pPr>
    <w:rPr>
      <w:rFonts w:ascii="Times" w:hAnsi="Times"/>
      <w:szCs w:val="20"/>
    </w:rPr>
  </w:style>
  <w:style w:type="paragraph" w:customStyle="1" w:styleId="LightGrid-Accent31">
    <w:name w:val="Light Grid - Accent 31"/>
    <w:basedOn w:val="Normal"/>
    <w:qFormat/>
    <w:rsid w:val="00EA4A3B"/>
    <w:pPr>
      <w:spacing w:after="0"/>
      <w:ind w:left="720"/>
      <w:jc w:val="left"/>
    </w:pPr>
    <w:rPr>
      <w:rFonts w:ascii="Times New Roman" w:hAnsi="Times New Roman"/>
    </w:rPr>
  </w:style>
  <w:style w:type="paragraph" w:customStyle="1" w:styleId="SESPbodynumbered">
    <w:name w:val="SESP body numbered"/>
    <w:basedOn w:val="Normal"/>
    <w:qFormat/>
    <w:rsid w:val="00C97C18"/>
    <w:pPr>
      <w:numPr>
        <w:numId w:val="112"/>
      </w:numPr>
      <w:tabs>
        <w:tab w:val="left" w:pos="360"/>
      </w:tabs>
      <w:spacing w:before="120" w:after="120" w:line="264" w:lineRule="auto"/>
      <w:jc w:val="left"/>
    </w:pPr>
    <w:rPr>
      <w:rFonts w:eastAsia="MS Mincho"/>
      <w:sz w:val="20"/>
      <w:szCs w:val="20"/>
      <w:lang w:eastAsia="ja-JP"/>
    </w:rPr>
  </w:style>
  <w:style w:type="paragraph" w:customStyle="1" w:styleId="Heading3ABS">
    <w:name w:val="Heading 3_ABS"/>
    <w:basedOn w:val="Normal"/>
    <w:link w:val="Heading3ABSChar"/>
    <w:qFormat/>
    <w:rsid w:val="006D6F39"/>
    <w:pPr>
      <w:keepNext/>
      <w:spacing w:after="0"/>
      <w:jc w:val="left"/>
      <w:outlineLvl w:val="2"/>
    </w:pPr>
    <w:rPr>
      <w:rFonts w:ascii="Times New Roman Bold" w:eastAsia="Times New Roman" w:hAnsi="Times New Roman Bold"/>
      <w:b/>
      <w:iCs/>
      <w:smallCaps/>
      <w:sz w:val="26"/>
      <w:lang w:val="en-GB"/>
    </w:rPr>
  </w:style>
  <w:style w:type="character" w:customStyle="1" w:styleId="Heading3ABSChar">
    <w:name w:val="Heading 3_ABS Char"/>
    <w:link w:val="Heading3ABS"/>
    <w:rsid w:val="006D6F39"/>
    <w:rPr>
      <w:rFonts w:ascii="Times New Roman Bold" w:eastAsia="Times New Roman" w:hAnsi="Times New Roman Bold"/>
      <w:b/>
      <w:iCs/>
      <w:smallCaps/>
      <w:sz w:val="26"/>
      <w:lang w:val="en-GB"/>
    </w:rPr>
  </w:style>
  <w:style w:type="paragraph" w:styleId="BodyTextIndent2">
    <w:name w:val="Body Text Indent 2"/>
    <w:basedOn w:val="Normal"/>
    <w:link w:val="BodyTextIndent2Char"/>
    <w:unhideWhenUsed/>
    <w:rsid w:val="006D6F39"/>
    <w:pPr>
      <w:spacing w:after="120" w:line="480" w:lineRule="auto"/>
      <w:ind w:left="360"/>
    </w:pPr>
  </w:style>
  <w:style w:type="character" w:customStyle="1" w:styleId="BodyTextIndent2Char">
    <w:name w:val="Body Text Indent 2 Char"/>
    <w:basedOn w:val="DefaultParagraphFont"/>
    <w:link w:val="BodyTextIndent2"/>
    <w:rsid w:val="006D6F39"/>
  </w:style>
  <w:style w:type="paragraph" w:customStyle="1" w:styleId="Heading2ABS">
    <w:name w:val="Heading 2_ABS"/>
    <w:basedOn w:val="Normal"/>
    <w:link w:val="Heading2ABSChar"/>
    <w:qFormat/>
    <w:rsid w:val="006D6F39"/>
    <w:pPr>
      <w:keepNext/>
      <w:spacing w:before="160" w:after="160"/>
      <w:jc w:val="left"/>
      <w:outlineLvl w:val="1"/>
    </w:pPr>
    <w:rPr>
      <w:rFonts w:ascii="Times New Roman" w:eastAsia="Times New Roman" w:hAnsi="Times New Roman"/>
      <w:b/>
      <w:iCs/>
      <w:sz w:val="28"/>
      <w:lang w:val="en-GB"/>
    </w:rPr>
  </w:style>
  <w:style w:type="character" w:customStyle="1" w:styleId="Heading2ABSChar">
    <w:name w:val="Heading 2_ABS Char"/>
    <w:link w:val="Heading2ABS"/>
    <w:rsid w:val="006D6F39"/>
    <w:rPr>
      <w:rFonts w:ascii="Times New Roman" w:eastAsia="Times New Roman" w:hAnsi="Times New Roman"/>
      <w:b/>
      <w:iCs/>
      <w:sz w:val="28"/>
      <w:lang w:val="en-GB"/>
    </w:rPr>
  </w:style>
  <w:style w:type="character" w:customStyle="1" w:styleId="DocumentMapChar">
    <w:name w:val="Document Map Char"/>
    <w:basedOn w:val="DefaultParagraphFont"/>
    <w:link w:val="DocumentMap"/>
    <w:semiHidden/>
    <w:rsid w:val="006D6F39"/>
    <w:rPr>
      <w:rFonts w:ascii="Lucida Grande" w:hAnsi="Lucida Grande" w:cs="Lucida Grande"/>
    </w:rPr>
  </w:style>
  <w:style w:type="paragraph" w:styleId="DocumentMap">
    <w:name w:val="Document Map"/>
    <w:basedOn w:val="Normal"/>
    <w:link w:val="DocumentMapChar"/>
    <w:semiHidden/>
    <w:unhideWhenUsed/>
    <w:rsid w:val="006D6F39"/>
    <w:pPr>
      <w:spacing w:after="0"/>
    </w:pPr>
    <w:rPr>
      <w:rFonts w:ascii="Lucida Grande" w:hAnsi="Lucida Grande" w:cs="Lucida Grande"/>
    </w:rPr>
  </w:style>
  <w:style w:type="paragraph" w:customStyle="1" w:styleId="SEQSbodynumbered">
    <w:name w:val="SEQS body numbered"/>
    <w:basedOn w:val="Normal"/>
    <w:autoRedefine/>
    <w:qFormat/>
    <w:rsid w:val="006D6F39"/>
    <w:pPr>
      <w:framePr w:hSpace="180" w:wrap="around" w:vAnchor="text" w:hAnchor="text" w:xAlign="right" w:y="1"/>
      <w:spacing w:before="20" w:after="20"/>
      <w:ind w:left="337" w:hanging="337"/>
      <w:suppressOverlap/>
      <w:jc w:val="left"/>
    </w:pPr>
    <w:rPr>
      <w:rFonts w:eastAsia="Calibri"/>
      <w:b/>
      <w:bCs/>
      <w:sz w:val="18"/>
      <w:szCs w:val="18"/>
      <w:lang w:eastAsia="ja-JP"/>
    </w:rPr>
  </w:style>
  <w:style w:type="paragraph" w:customStyle="1" w:styleId="default0">
    <w:name w:val="default"/>
    <w:basedOn w:val="Normal"/>
    <w:rsid w:val="006D6F39"/>
    <w:pPr>
      <w:autoSpaceDE w:val="0"/>
      <w:autoSpaceDN w:val="0"/>
      <w:spacing w:after="0"/>
      <w:jc w:val="left"/>
    </w:pPr>
    <w:rPr>
      <w:rFonts w:ascii="Arial" w:eastAsia="Calibri" w:hAnsi="Arial" w:cs="Arial"/>
      <w:color w:val="000000"/>
      <w:lang w:val="de-DE" w:eastAsia="de-DE"/>
    </w:rPr>
  </w:style>
  <w:style w:type="paragraph" w:styleId="TOC3">
    <w:name w:val="toc 3"/>
    <w:basedOn w:val="Normal"/>
    <w:next w:val="Normal"/>
    <w:autoRedefine/>
    <w:uiPriority w:val="39"/>
    <w:unhideWhenUsed/>
    <w:rsid w:val="006D6F39"/>
    <w:pPr>
      <w:spacing w:after="100"/>
      <w:ind w:left="480"/>
    </w:pPr>
  </w:style>
  <w:style w:type="paragraph" w:customStyle="1" w:styleId="m7295056311995408689msolistparagraph">
    <w:name w:val="m_7295056311995408689msolistparagraph"/>
    <w:basedOn w:val="Normal"/>
    <w:rsid w:val="00874815"/>
    <w:pPr>
      <w:spacing w:before="100" w:beforeAutospacing="1" w:after="100" w:afterAutospacing="1"/>
      <w:jc w:val="left"/>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7287">
      <w:bodyDiv w:val="1"/>
      <w:marLeft w:val="0"/>
      <w:marRight w:val="0"/>
      <w:marTop w:val="0"/>
      <w:marBottom w:val="0"/>
      <w:divBdr>
        <w:top w:val="none" w:sz="0" w:space="0" w:color="auto"/>
        <w:left w:val="none" w:sz="0" w:space="0" w:color="auto"/>
        <w:bottom w:val="none" w:sz="0" w:space="0" w:color="auto"/>
        <w:right w:val="none" w:sz="0" w:space="0" w:color="auto"/>
      </w:divBdr>
      <w:divsChild>
        <w:div w:id="1474172686">
          <w:marLeft w:val="0"/>
          <w:marRight w:val="0"/>
          <w:marTop w:val="0"/>
          <w:marBottom w:val="0"/>
          <w:divBdr>
            <w:top w:val="none" w:sz="0" w:space="0" w:color="auto"/>
            <w:left w:val="none" w:sz="0" w:space="0" w:color="auto"/>
            <w:bottom w:val="none" w:sz="0" w:space="0" w:color="auto"/>
            <w:right w:val="none" w:sz="0" w:space="0" w:color="auto"/>
          </w:divBdr>
          <w:divsChild>
            <w:div w:id="498498281">
              <w:marLeft w:val="0"/>
              <w:marRight w:val="0"/>
              <w:marTop w:val="0"/>
              <w:marBottom w:val="0"/>
              <w:divBdr>
                <w:top w:val="none" w:sz="0" w:space="0" w:color="auto"/>
                <w:left w:val="none" w:sz="0" w:space="0" w:color="auto"/>
                <w:bottom w:val="none" w:sz="0" w:space="0" w:color="auto"/>
                <w:right w:val="none" w:sz="0" w:space="0" w:color="auto"/>
              </w:divBdr>
              <w:divsChild>
                <w:div w:id="82170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294339128">
      <w:bodyDiv w:val="1"/>
      <w:marLeft w:val="0"/>
      <w:marRight w:val="0"/>
      <w:marTop w:val="0"/>
      <w:marBottom w:val="0"/>
      <w:divBdr>
        <w:top w:val="none" w:sz="0" w:space="0" w:color="auto"/>
        <w:left w:val="none" w:sz="0" w:space="0" w:color="auto"/>
        <w:bottom w:val="none" w:sz="0" w:space="0" w:color="auto"/>
        <w:right w:val="none" w:sz="0" w:space="0" w:color="auto"/>
      </w:divBdr>
      <w:divsChild>
        <w:div w:id="803161704">
          <w:marLeft w:val="0"/>
          <w:marRight w:val="0"/>
          <w:marTop w:val="0"/>
          <w:marBottom w:val="0"/>
          <w:divBdr>
            <w:top w:val="none" w:sz="0" w:space="0" w:color="auto"/>
            <w:left w:val="none" w:sz="0" w:space="0" w:color="auto"/>
            <w:bottom w:val="none" w:sz="0" w:space="0" w:color="auto"/>
            <w:right w:val="none" w:sz="0" w:space="0" w:color="auto"/>
          </w:divBdr>
          <w:divsChild>
            <w:div w:id="1851018423">
              <w:marLeft w:val="0"/>
              <w:marRight w:val="0"/>
              <w:marTop w:val="0"/>
              <w:marBottom w:val="0"/>
              <w:divBdr>
                <w:top w:val="none" w:sz="0" w:space="0" w:color="auto"/>
                <w:left w:val="none" w:sz="0" w:space="0" w:color="auto"/>
                <w:bottom w:val="none" w:sz="0" w:space="0" w:color="auto"/>
                <w:right w:val="none" w:sz="0" w:space="0" w:color="auto"/>
              </w:divBdr>
              <w:divsChild>
                <w:div w:id="10645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6028367">
          <w:marLeft w:val="0"/>
          <w:marRight w:val="0"/>
          <w:marTop w:val="0"/>
          <w:marBottom w:val="0"/>
          <w:divBdr>
            <w:top w:val="none" w:sz="0" w:space="0" w:color="auto"/>
            <w:left w:val="none" w:sz="0" w:space="0" w:color="auto"/>
            <w:bottom w:val="none" w:sz="0" w:space="0" w:color="auto"/>
            <w:right w:val="none" w:sz="0" w:space="0" w:color="auto"/>
          </w:divBdr>
        </w:div>
        <w:div w:id="910431587">
          <w:marLeft w:val="0"/>
          <w:marRight w:val="0"/>
          <w:marTop w:val="0"/>
          <w:marBottom w:val="0"/>
          <w:divBdr>
            <w:top w:val="none" w:sz="0" w:space="0" w:color="auto"/>
            <w:left w:val="none" w:sz="0" w:space="0" w:color="auto"/>
            <w:bottom w:val="none" w:sz="0" w:space="0" w:color="auto"/>
            <w:right w:val="none" w:sz="0" w:space="0" w:color="auto"/>
          </w:divBdr>
        </w:div>
      </w:divsChild>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1257647">
      <w:bodyDiv w:val="1"/>
      <w:marLeft w:val="0"/>
      <w:marRight w:val="0"/>
      <w:marTop w:val="0"/>
      <w:marBottom w:val="0"/>
      <w:divBdr>
        <w:top w:val="none" w:sz="0" w:space="0" w:color="auto"/>
        <w:left w:val="none" w:sz="0" w:space="0" w:color="auto"/>
        <w:bottom w:val="none" w:sz="0" w:space="0" w:color="auto"/>
        <w:right w:val="none" w:sz="0" w:space="0" w:color="auto"/>
      </w:divBdr>
      <w:divsChild>
        <w:div w:id="1104493553">
          <w:marLeft w:val="0"/>
          <w:marRight w:val="0"/>
          <w:marTop w:val="0"/>
          <w:marBottom w:val="0"/>
          <w:divBdr>
            <w:top w:val="none" w:sz="0" w:space="0" w:color="auto"/>
            <w:left w:val="none" w:sz="0" w:space="0" w:color="auto"/>
            <w:bottom w:val="none" w:sz="0" w:space="0" w:color="auto"/>
            <w:right w:val="none" w:sz="0" w:space="0" w:color="auto"/>
          </w:divBdr>
          <w:divsChild>
            <w:div w:id="1410348037">
              <w:marLeft w:val="0"/>
              <w:marRight w:val="0"/>
              <w:marTop w:val="0"/>
              <w:marBottom w:val="0"/>
              <w:divBdr>
                <w:top w:val="none" w:sz="0" w:space="0" w:color="auto"/>
                <w:left w:val="none" w:sz="0" w:space="0" w:color="auto"/>
                <w:bottom w:val="none" w:sz="0" w:space="0" w:color="auto"/>
                <w:right w:val="none" w:sz="0" w:space="0" w:color="auto"/>
              </w:divBdr>
              <w:divsChild>
                <w:div w:id="19832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791679555">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44610253">
      <w:bodyDiv w:val="1"/>
      <w:marLeft w:val="0"/>
      <w:marRight w:val="0"/>
      <w:marTop w:val="0"/>
      <w:marBottom w:val="0"/>
      <w:divBdr>
        <w:top w:val="none" w:sz="0" w:space="0" w:color="auto"/>
        <w:left w:val="none" w:sz="0" w:space="0" w:color="auto"/>
        <w:bottom w:val="none" w:sz="0" w:space="0" w:color="auto"/>
        <w:right w:val="none" w:sz="0" w:space="0" w:color="auto"/>
      </w:divBdr>
      <w:divsChild>
        <w:div w:id="750126756">
          <w:marLeft w:val="0"/>
          <w:marRight w:val="0"/>
          <w:marTop w:val="0"/>
          <w:marBottom w:val="0"/>
          <w:divBdr>
            <w:top w:val="none" w:sz="0" w:space="0" w:color="auto"/>
            <w:left w:val="none" w:sz="0" w:space="0" w:color="auto"/>
            <w:bottom w:val="none" w:sz="0" w:space="0" w:color="auto"/>
            <w:right w:val="none" w:sz="0" w:space="0" w:color="auto"/>
          </w:divBdr>
          <w:divsChild>
            <w:div w:id="1144204159">
              <w:marLeft w:val="0"/>
              <w:marRight w:val="0"/>
              <w:marTop w:val="0"/>
              <w:marBottom w:val="0"/>
              <w:divBdr>
                <w:top w:val="none" w:sz="0" w:space="0" w:color="auto"/>
                <w:left w:val="none" w:sz="0" w:space="0" w:color="auto"/>
                <w:bottom w:val="none" w:sz="0" w:space="0" w:color="auto"/>
                <w:right w:val="none" w:sz="0" w:space="0" w:color="auto"/>
              </w:divBdr>
              <w:divsChild>
                <w:div w:id="4292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69349604">
      <w:bodyDiv w:val="1"/>
      <w:marLeft w:val="0"/>
      <w:marRight w:val="0"/>
      <w:marTop w:val="0"/>
      <w:marBottom w:val="0"/>
      <w:divBdr>
        <w:top w:val="none" w:sz="0" w:space="0" w:color="auto"/>
        <w:left w:val="none" w:sz="0" w:space="0" w:color="auto"/>
        <w:bottom w:val="none" w:sz="0" w:space="0" w:color="auto"/>
        <w:right w:val="none" w:sz="0" w:space="0" w:color="auto"/>
      </w:divBdr>
      <w:divsChild>
        <w:div w:id="1022242561">
          <w:marLeft w:val="0"/>
          <w:marRight w:val="0"/>
          <w:marTop w:val="0"/>
          <w:marBottom w:val="0"/>
          <w:divBdr>
            <w:top w:val="none" w:sz="0" w:space="0" w:color="auto"/>
            <w:left w:val="none" w:sz="0" w:space="0" w:color="auto"/>
            <w:bottom w:val="none" w:sz="0" w:space="0" w:color="auto"/>
            <w:right w:val="none" w:sz="0" w:space="0" w:color="auto"/>
          </w:divBdr>
          <w:divsChild>
            <w:div w:id="1298412152">
              <w:marLeft w:val="0"/>
              <w:marRight w:val="0"/>
              <w:marTop w:val="0"/>
              <w:marBottom w:val="0"/>
              <w:divBdr>
                <w:top w:val="none" w:sz="0" w:space="0" w:color="auto"/>
                <w:left w:val="none" w:sz="0" w:space="0" w:color="auto"/>
                <w:bottom w:val="none" w:sz="0" w:space="0" w:color="auto"/>
                <w:right w:val="none" w:sz="0" w:space="0" w:color="auto"/>
              </w:divBdr>
              <w:divsChild>
                <w:div w:id="50640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92288778">
      <w:bodyDiv w:val="1"/>
      <w:marLeft w:val="0"/>
      <w:marRight w:val="0"/>
      <w:marTop w:val="0"/>
      <w:marBottom w:val="0"/>
      <w:divBdr>
        <w:top w:val="none" w:sz="0" w:space="0" w:color="auto"/>
        <w:left w:val="none" w:sz="0" w:space="0" w:color="auto"/>
        <w:bottom w:val="none" w:sz="0" w:space="0" w:color="auto"/>
        <w:right w:val="none" w:sz="0" w:space="0" w:color="auto"/>
      </w:divBdr>
      <w:divsChild>
        <w:div w:id="181208481">
          <w:marLeft w:val="0"/>
          <w:marRight w:val="0"/>
          <w:marTop w:val="0"/>
          <w:marBottom w:val="0"/>
          <w:divBdr>
            <w:top w:val="none" w:sz="0" w:space="0" w:color="auto"/>
            <w:left w:val="none" w:sz="0" w:space="0" w:color="auto"/>
            <w:bottom w:val="none" w:sz="0" w:space="0" w:color="auto"/>
            <w:right w:val="none" w:sz="0" w:space="0" w:color="auto"/>
          </w:divBdr>
        </w:div>
        <w:div w:id="194075484">
          <w:marLeft w:val="0"/>
          <w:marRight w:val="0"/>
          <w:marTop w:val="0"/>
          <w:marBottom w:val="0"/>
          <w:divBdr>
            <w:top w:val="none" w:sz="0" w:space="0" w:color="auto"/>
            <w:left w:val="none" w:sz="0" w:space="0" w:color="auto"/>
            <w:bottom w:val="none" w:sz="0" w:space="0" w:color="auto"/>
            <w:right w:val="none" w:sz="0" w:space="0" w:color="auto"/>
          </w:divBdr>
        </w:div>
      </w:divsChild>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alauembassymanila.ph/" TargetMode="External"/><Relationship Id="rId18" Type="http://schemas.openxmlformats.org/officeDocument/2006/relationships/image" Target="media/image4.jpeg"/><Relationship Id="rId26" Type="http://schemas.openxmlformats.org/officeDocument/2006/relationships/hyperlink" Target="http://www.undp.org/content/undp/en/home/operations/accountability/programme_and_operationspoliciesandprocedures.html" TargetMode="External"/><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footer" Target="footer5.xml"/><Relationship Id="rId47" Type="http://schemas.openxmlformats.org/officeDocument/2006/relationships/customXml" Target="../customXml/item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undp.org/content/undp/en/home/operations/accountability/evaluation/evaluation_policyofundp.html" TargetMode="External"/><Relationship Id="rId32" Type="http://schemas.openxmlformats.org/officeDocument/2006/relationships/hyperlink" Target="https://intranet.undp.org/global/documents/ppm/Standard%20text%20for%20Legal%20Context%20section.docx" TargetMode="External"/><Relationship Id="rId37" Type="http://schemas.openxmlformats.org/officeDocument/2006/relationships/hyperlink" Target="http://www.thegef.org" TargetMode="External"/><Relationship Id="rId45"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www.undp.org/content/undp/en/home/operations/accountability/programme_and_operationspoliciesandprocedures.html" TargetMode="External"/><Relationship Id="rId28" Type="http://schemas.openxmlformats.org/officeDocument/2006/relationships/hyperlink" Target="http://web.undp.org/evaluation/guidance.shtml" TargetMode="External"/><Relationship Id="rId36" Type="http://schemas.openxmlformats.org/officeDocument/2006/relationships/hyperlink" Target="http://www.thegef.org"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oter" Target="footer3.xml"/><Relationship Id="rId44"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en.wikipedia.org/wiki/Mangrove" TargetMode="External"/><Relationship Id="rId27" Type="http://schemas.openxmlformats.org/officeDocument/2006/relationships/hyperlink" Target="http://web.undp.org/evaluation/guidance.shtml" TargetMode="External"/><Relationship Id="rId30" Type="http://schemas.openxmlformats.org/officeDocument/2006/relationships/header" Target="header2.xml"/><Relationship Id="rId35" Type="http://schemas.openxmlformats.org/officeDocument/2006/relationships/hyperlink" Target="http://www.undp.org/content/undp/en/home/librarypage/operations1/undp-social-and-environmental-screening-procedure.htm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www.thegef.org/gef/Evaluation%20Policy%202010" TargetMode="External"/><Relationship Id="rId33" Type="http://schemas.openxmlformats.org/officeDocument/2006/relationships/footer" Target="footer4.xml"/><Relationship Id="rId38" Type="http://schemas.openxmlformats.org/officeDocument/2006/relationships/fontTable" Target="fontTable.xml"/><Relationship Id="rId4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3" Type="http://schemas.openxmlformats.org/officeDocument/2006/relationships/hyperlink" Target="https://info.undp.org/global/popp/frm/pages/financial-management-and-execution-modalities.aspx" TargetMode="External"/><Relationship Id="rId7" Type="http://schemas.openxmlformats.org/officeDocument/2006/relationships/hyperlink" Target="https://clmeproject.wordpress.com/clme-communication-strategy/" TargetMode="External"/><Relationship Id="rId2" Type="http://schemas.openxmlformats.org/officeDocument/2006/relationships/hyperlink" Target="https://www.thegef.org/gef/gef_agencies" TargetMode="External"/><Relationship Id="rId1" Type="http://schemas.openxmlformats.org/officeDocument/2006/relationships/hyperlink" Target="https://www.thegef.org/gef/policies_guidelines" TargetMode="External"/><Relationship Id="rId6" Type="http://schemas.openxmlformats.org/officeDocument/2006/relationships/hyperlink" Target="http://pdf.usaid.gov/pdf_docs/pdacx964.pdf" TargetMode="External"/><Relationship Id="rId5" Type="http://schemas.openxmlformats.org/officeDocument/2006/relationships/hyperlink" Target="http://www.undp.org/content/dam/undp/library/gender/Institutional%20Development/TLGEN1.6%20UNDP%20GenderAnalysis%20toolkit.pdf" TargetMode="External"/><Relationship Id="rId4" Type="http://schemas.openxmlformats.org/officeDocument/2006/relationships/hyperlink" Target="https://info.undp.org/global/popp/ppm/Pages/Closing-a-Projec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ATLASPDC-4-67967</_dlc_DocId>
    <_dlc_DocIdUrl xmlns="f1161f5b-24a3-4c2d-bc81-44cb9325e8ee">
      <Url>https://info.undp.org/docs/pdc/_layouts/DocIdRedir.aspx?ID=ATLASPDC-4-67967</Url>
      <Description>ATLASPDC-4-67967</Description>
    </_dlc_DocIdUrl>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2017-08-28T02:00:00+00:00</UNDPPublishedDate>
    <UNDPCountryTaxHTField0 xmlns="1ed4137b-41b2-488b-8250-6d369ec27664">
      <Terms xmlns="http://schemas.microsoft.com/office/infopath/2007/PartnerControls"/>
    </UNDPCountryTaxHTField0>
    <UndpOUCode xmlns="1ed4137b-41b2-488b-8250-6d369ec27664">FJI</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1118</Value>
      <Value>1110</Value>
      <Value>296</Value>
      <Value>1</Value>
      <Value>763</Value>
    </TaxCatchAll>
    <c4e2ab2cc9354bbf9064eeb465a566ea xmlns="1ed4137b-41b2-488b-8250-6d369ec27664">
      <Terms xmlns="http://schemas.microsoft.com/office/infopath/2007/PartnerControls"/>
    </c4e2ab2cc9354bbf9064eeb465a566ea>
    <UndpProjectNo xmlns="1ed4137b-41b2-488b-8250-6d369ec27664">00096345</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PLW</TermName>
          <TermId xmlns="http://schemas.microsoft.com/office/infopath/2007/PartnerControls">1f32e253-91c5-418f-9333-14e8d2b7af07</TermId>
        </TermInfo>
      </Terms>
    </gc6531b704974d528487414686b72f6f>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2669E122-3C35-42F3-8040-AAA43BFAA915}"/>
</file>

<file path=customXml/itemProps2.xml><?xml version="1.0" encoding="utf-8"?>
<ds:datastoreItem xmlns:ds="http://schemas.openxmlformats.org/officeDocument/2006/customXml" ds:itemID="{6A36AA84-CBCE-4C9E-9C0C-7A6F37D97C4C}">
  <ds:schemaRefs>
    <ds:schemaRef ds:uri="http://schemas.microsoft.com/sharepoint/v3/contenttype/forms"/>
  </ds:schemaRefs>
</ds:datastoreItem>
</file>

<file path=customXml/itemProps3.xml><?xml version="1.0" encoding="utf-8"?>
<ds:datastoreItem xmlns:ds="http://schemas.openxmlformats.org/officeDocument/2006/customXml" ds:itemID="{57C99DC5-F799-4C97-9116-A049298C0788}">
  <ds:schemaRefs>
    <ds:schemaRef ds:uri="http://schemas.microsoft.com/office/2006/metadata/longProperties"/>
  </ds:schemaRefs>
</ds:datastoreItem>
</file>

<file path=customXml/itemProps4.xml><?xml version="1.0" encoding="utf-8"?>
<ds:datastoreItem xmlns:ds="http://schemas.openxmlformats.org/officeDocument/2006/customXml" ds:itemID="{94DA8214-1CD9-44AC-B9AC-768D85AC5A8F}">
  <ds:schemaRefs>
    <ds:schemaRef ds:uri="http://schemas.openxmlformats.org/officeDocument/2006/bibliography"/>
  </ds:schemaRefs>
</ds:datastoreItem>
</file>

<file path=customXml/itemProps5.xml><?xml version="1.0" encoding="utf-8"?>
<ds:datastoreItem xmlns:ds="http://schemas.openxmlformats.org/officeDocument/2006/customXml" ds:itemID="{CDD69742-5FE3-4CC7-95F6-58002B8644F0}"/>
</file>

<file path=customXml/itemProps6.xml><?xml version="1.0" encoding="utf-8"?>
<ds:datastoreItem xmlns:ds="http://schemas.openxmlformats.org/officeDocument/2006/customXml" ds:itemID="{658A8934-3D5D-4E62-82CD-DFD416F40934}"/>
</file>

<file path=customXml/itemProps7.xml><?xml version="1.0" encoding="utf-8"?>
<ds:datastoreItem xmlns:ds="http://schemas.openxmlformats.org/officeDocument/2006/customXml" ds:itemID="{C81CFC00-B91A-47B1-9BB4-7EEB6E4579BE}"/>
</file>

<file path=docProps/app.xml><?xml version="1.0" encoding="utf-8"?>
<Properties xmlns="http://schemas.openxmlformats.org/officeDocument/2006/extended-properties" xmlns:vt="http://schemas.openxmlformats.org/officeDocument/2006/docPropsVTypes">
  <Template>Normal</Template>
  <TotalTime>0</TotalTime>
  <Pages>92</Pages>
  <Words>96880</Words>
  <Characters>552220</Characters>
  <Application>Microsoft Office Word</Application>
  <DocSecurity>0</DocSecurity>
  <Lines>4601</Lines>
  <Paragraphs>1295</Paragraphs>
  <ScaleCrop>false</ScaleCrop>
  <HeadingPairs>
    <vt:vector size="2" baseType="variant">
      <vt:variant>
        <vt:lpstr>Title</vt:lpstr>
      </vt:variant>
      <vt:variant>
        <vt:i4>1</vt:i4>
      </vt:variant>
    </vt:vector>
  </HeadingPairs>
  <TitlesOfParts>
    <vt:vector size="1" baseType="lpstr">
      <vt:lpstr>Annotated UNDP-GEF Project Document Template</vt:lpstr>
    </vt:vector>
  </TitlesOfParts>
  <Company>Microsoft</Company>
  <LinksUpToDate>false</LinksUpToDate>
  <CharactersWithSpaces>647805</CharactersWithSpaces>
  <SharedDoc>false</SharedDoc>
  <HLinks>
    <vt:vector size="264" baseType="variant">
      <vt:variant>
        <vt:i4>196657</vt:i4>
      </vt:variant>
      <vt:variant>
        <vt:i4>144</vt:i4>
      </vt:variant>
      <vt:variant>
        <vt:i4>0</vt:i4>
      </vt:variant>
      <vt:variant>
        <vt:i4>5</vt:i4>
      </vt:variant>
      <vt:variant>
        <vt:lpwstr>http://www.thegef.org</vt:lpwstr>
      </vt:variant>
      <vt:variant>
        <vt:lpwstr/>
      </vt:variant>
      <vt:variant>
        <vt:i4>196657</vt:i4>
      </vt:variant>
      <vt:variant>
        <vt:i4>141</vt:i4>
      </vt:variant>
      <vt:variant>
        <vt:i4>0</vt:i4>
      </vt:variant>
      <vt:variant>
        <vt:i4>5</vt:i4>
      </vt:variant>
      <vt:variant>
        <vt:lpwstr>http://www.thegef.org</vt:lpwstr>
      </vt:variant>
      <vt:variant>
        <vt:lpwstr/>
      </vt:variant>
      <vt:variant>
        <vt:i4>3604480</vt:i4>
      </vt:variant>
      <vt:variant>
        <vt:i4>138</vt:i4>
      </vt:variant>
      <vt:variant>
        <vt:i4>0</vt:i4>
      </vt:variant>
      <vt:variant>
        <vt:i4>5</vt:i4>
      </vt:variant>
      <vt:variant>
        <vt:lpwstr>https://intranet.undp.org/global/documents/ppm/Standard text for Legal Context section.docx</vt:lpwstr>
      </vt:variant>
      <vt:variant>
        <vt:lpwstr/>
      </vt:variant>
      <vt:variant>
        <vt:i4>6422625</vt:i4>
      </vt:variant>
      <vt:variant>
        <vt:i4>129</vt:i4>
      </vt:variant>
      <vt:variant>
        <vt:i4>0</vt:i4>
      </vt:variant>
      <vt:variant>
        <vt:i4>5</vt:i4>
      </vt:variant>
      <vt:variant>
        <vt:lpwstr>http://web.undp.org/evaluation/guidance.shtml</vt:lpwstr>
      </vt:variant>
      <vt:variant>
        <vt:lpwstr>gef</vt:lpwstr>
      </vt:variant>
      <vt:variant>
        <vt:i4>6422625</vt:i4>
      </vt:variant>
      <vt:variant>
        <vt:i4>126</vt:i4>
      </vt:variant>
      <vt:variant>
        <vt:i4>0</vt:i4>
      </vt:variant>
      <vt:variant>
        <vt:i4>5</vt:i4>
      </vt:variant>
      <vt:variant>
        <vt:lpwstr>http://web.undp.org/evaluation/guidance.shtml</vt:lpwstr>
      </vt:variant>
      <vt:variant>
        <vt:lpwstr>gef</vt:lpwstr>
      </vt:variant>
      <vt:variant>
        <vt:i4>1441839</vt:i4>
      </vt:variant>
      <vt:variant>
        <vt:i4>123</vt:i4>
      </vt:variant>
      <vt:variant>
        <vt:i4>0</vt:i4>
      </vt:variant>
      <vt:variant>
        <vt:i4>5</vt:i4>
      </vt:variant>
      <vt:variant>
        <vt:lpwstr>http://www.undp.org/content/undp/en/home/operations/accountability/programme_and_operationspoliciesandprocedures.html</vt:lpwstr>
      </vt:variant>
      <vt:variant>
        <vt:lpwstr/>
      </vt:variant>
      <vt:variant>
        <vt:i4>4521990</vt:i4>
      </vt:variant>
      <vt:variant>
        <vt:i4>120</vt:i4>
      </vt:variant>
      <vt:variant>
        <vt:i4>0</vt:i4>
      </vt:variant>
      <vt:variant>
        <vt:i4>5</vt:i4>
      </vt:variant>
      <vt:variant>
        <vt:lpwstr>http://www.thegef.org/gef/Evaluation Policy 2010</vt:lpwstr>
      </vt:variant>
      <vt:variant>
        <vt:lpwstr/>
      </vt:variant>
      <vt:variant>
        <vt:i4>7995479</vt:i4>
      </vt:variant>
      <vt:variant>
        <vt:i4>117</vt:i4>
      </vt:variant>
      <vt:variant>
        <vt:i4>0</vt:i4>
      </vt:variant>
      <vt:variant>
        <vt:i4>5</vt:i4>
      </vt:variant>
      <vt:variant>
        <vt:lpwstr>http://www.undp.org/content/undp/en/home/operations/accountability/evaluation/evaluation_policyofundp.html</vt:lpwstr>
      </vt:variant>
      <vt:variant>
        <vt:lpwstr/>
      </vt:variant>
      <vt:variant>
        <vt:i4>1441839</vt:i4>
      </vt:variant>
      <vt:variant>
        <vt:i4>114</vt:i4>
      </vt:variant>
      <vt:variant>
        <vt:i4>0</vt:i4>
      </vt:variant>
      <vt:variant>
        <vt:i4>5</vt:i4>
      </vt:variant>
      <vt:variant>
        <vt:lpwstr>http://www.undp.org/content/undp/en/home/operations/accountability/programme_and_operationspoliciesandprocedures.html</vt:lpwstr>
      </vt:variant>
      <vt:variant>
        <vt:lpwstr/>
      </vt:variant>
      <vt:variant>
        <vt:i4>2293777</vt:i4>
      </vt:variant>
      <vt:variant>
        <vt:i4>111</vt:i4>
      </vt:variant>
      <vt:variant>
        <vt:i4>0</vt:i4>
      </vt:variant>
      <vt:variant>
        <vt:i4>5</vt:i4>
      </vt:variant>
      <vt:variant>
        <vt:lpwstr>http://www.undp.org/content/undp/en/home/librarypage/operations1/undp-social-and-environmental-screening-procedure/</vt:lpwstr>
      </vt:variant>
      <vt:variant>
        <vt:lpwstr/>
      </vt:variant>
      <vt:variant>
        <vt:i4>2490376</vt:i4>
      </vt:variant>
      <vt:variant>
        <vt:i4>108</vt:i4>
      </vt:variant>
      <vt:variant>
        <vt:i4>0</vt:i4>
      </vt:variant>
      <vt:variant>
        <vt:i4>5</vt:i4>
      </vt:variant>
      <vt:variant>
        <vt:lpwstr>http://www.undp.org/content/undp/en/home/librarypage/operations1/undp-social-and-environmental-screening-procedure.html</vt:lpwstr>
      </vt:variant>
      <vt:variant>
        <vt:lpwstr/>
      </vt:variant>
      <vt:variant>
        <vt:i4>6160460</vt:i4>
      </vt:variant>
      <vt:variant>
        <vt:i4>105</vt:i4>
      </vt:variant>
      <vt:variant>
        <vt:i4>0</vt:i4>
      </vt:variant>
      <vt:variant>
        <vt:i4>5</vt:i4>
      </vt:variant>
      <vt:variant>
        <vt:lpwstr>http://www.undp.org/content/undp/en/home/ourwork/development-impact/south-south-cooperation.html</vt:lpwstr>
      </vt:variant>
      <vt:variant>
        <vt:lpwstr/>
      </vt:variant>
      <vt:variant>
        <vt:i4>4784202</vt:i4>
      </vt:variant>
      <vt:variant>
        <vt:i4>102</vt:i4>
      </vt:variant>
      <vt:variant>
        <vt:i4>0</vt:i4>
      </vt:variant>
      <vt:variant>
        <vt:i4>5</vt:i4>
      </vt:variant>
      <vt:variant>
        <vt:lpwstr>http://web.undp.org/evaluation/documents/eo_gendermainstreaming.pdf</vt:lpwstr>
      </vt:variant>
      <vt:variant>
        <vt:lpwstr/>
      </vt:variant>
      <vt:variant>
        <vt:i4>196626</vt:i4>
      </vt:variant>
      <vt:variant>
        <vt:i4>99</vt:i4>
      </vt:variant>
      <vt:variant>
        <vt:i4>0</vt:i4>
      </vt:variant>
      <vt:variant>
        <vt:i4>5</vt:i4>
      </vt:variant>
      <vt:variant>
        <vt:lpwstr>http://www.undp.org/content/undp/en/home/librarypage/operations1/stakeholder-response-mechanism/</vt:lpwstr>
      </vt:variant>
      <vt:variant>
        <vt:lpwstr/>
      </vt:variant>
      <vt:variant>
        <vt:i4>2818103</vt:i4>
      </vt:variant>
      <vt:variant>
        <vt:i4>96</vt:i4>
      </vt:variant>
      <vt:variant>
        <vt:i4>0</vt:i4>
      </vt:variant>
      <vt:variant>
        <vt:i4>5</vt:i4>
      </vt:variant>
      <vt:variant>
        <vt:lpwstr>http://www.linguee.it/inglese-italiano/traduzione/through.html</vt:lpwstr>
      </vt:variant>
      <vt:variant>
        <vt:lpwstr/>
      </vt:variant>
      <vt:variant>
        <vt:i4>2818103</vt:i4>
      </vt:variant>
      <vt:variant>
        <vt:i4>93</vt:i4>
      </vt:variant>
      <vt:variant>
        <vt:i4>0</vt:i4>
      </vt:variant>
      <vt:variant>
        <vt:i4>5</vt:i4>
      </vt:variant>
      <vt:variant>
        <vt:lpwstr>http://www.linguee.it/inglese-italiano/traduzione/through.html</vt:lpwstr>
      </vt:variant>
      <vt:variant>
        <vt:lpwstr/>
      </vt:variant>
      <vt:variant>
        <vt:i4>2818103</vt:i4>
      </vt:variant>
      <vt:variant>
        <vt:i4>90</vt:i4>
      </vt:variant>
      <vt:variant>
        <vt:i4>0</vt:i4>
      </vt:variant>
      <vt:variant>
        <vt:i4>5</vt:i4>
      </vt:variant>
      <vt:variant>
        <vt:lpwstr>http://www.linguee.it/inglese-italiano/traduzione/through.html</vt:lpwstr>
      </vt:variant>
      <vt:variant>
        <vt:lpwstr/>
      </vt:variant>
      <vt:variant>
        <vt:i4>2818103</vt:i4>
      </vt:variant>
      <vt:variant>
        <vt:i4>87</vt:i4>
      </vt:variant>
      <vt:variant>
        <vt:i4>0</vt:i4>
      </vt:variant>
      <vt:variant>
        <vt:i4>5</vt:i4>
      </vt:variant>
      <vt:variant>
        <vt:lpwstr>http://www.linguee.it/inglese-italiano/traduzione/through.html</vt:lpwstr>
      </vt:variant>
      <vt:variant>
        <vt:lpwstr/>
      </vt:variant>
      <vt:variant>
        <vt:i4>5963807</vt:i4>
      </vt:variant>
      <vt:variant>
        <vt:i4>84</vt:i4>
      </vt:variant>
      <vt:variant>
        <vt:i4>0</vt:i4>
      </vt:variant>
      <vt:variant>
        <vt:i4>5</vt:i4>
      </vt:variant>
      <vt:variant>
        <vt:lpwstr>https://en.wikipedia.org/wiki/Island</vt:lpwstr>
      </vt:variant>
      <vt:variant>
        <vt:lpwstr/>
      </vt:variant>
      <vt:variant>
        <vt:i4>2162803</vt:i4>
      </vt:variant>
      <vt:variant>
        <vt:i4>81</vt:i4>
      </vt:variant>
      <vt:variant>
        <vt:i4>0</vt:i4>
      </vt:variant>
      <vt:variant>
        <vt:i4>5</vt:i4>
      </vt:variant>
      <vt:variant>
        <vt:lpwstr>https://en.wikipedia.org/wiki/Mangrove</vt:lpwstr>
      </vt:variant>
      <vt:variant>
        <vt:lpwstr/>
      </vt:variant>
      <vt:variant>
        <vt:i4>1376257</vt:i4>
      </vt:variant>
      <vt:variant>
        <vt:i4>74</vt:i4>
      </vt:variant>
      <vt:variant>
        <vt:i4>0</vt:i4>
      </vt:variant>
      <vt:variant>
        <vt:i4>5</vt:i4>
      </vt:variant>
      <vt:variant>
        <vt:lpwstr/>
      </vt:variant>
      <vt:variant>
        <vt:lpwstr>_Toc443050764</vt:lpwstr>
      </vt:variant>
      <vt:variant>
        <vt:i4>1376262</vt:i4>
      </vt:variant>
      <vt:variant>
        <vt:i4>68</vt:i4>
      </vt:variant>
      <vt:variant>
        <vt:i4>0</vt:i4>
      </vt:variant>
      <vt:variant>
        <vt:i4>5</vt:i4>
      </vt:variant>
      <vt:variant>
        <vt:lpwstr/>
      </vt:variant>
      <vt:variant>
        <vt:lpwstr>_Toc443050763</vt:lpwstr>
      </vt:variant>
      <vt:variant>
        <vt:i4>1376263</vt:i4>
      </vt:variant>
      <vt:variant>
        <vt:i4>62</vt:i4>
      </vt:variant>
      <vt:variant>
        <vt:i4>0</vt:i4>
      </vt:variant>
      <vt:variant>
        <vt:i4>5</vt:i4>
      </vt:variant>
      <vt:variant>
        <vt:lpwstr/>
      </vt:variant>
      <vt:variant>
        <vt:lpwstr>_Toc443050762</vt:lpwstr>
      </vt:variant>
      <vt:variant>
        <vt:i4>1376260</vt:i4>
      </vt:variant>
      <vt:variant>
        <vt:i4>56</vt:i4>
      </vt:variant>
      <vt:variant>
        <vt:i4>0</vt:i4>
      </vt:variant>
      <vt:variant>
        <vt:i4>5</vt:i4>
      </vt:variant>
      <vt:variant>
        <vt:lpwstr/>
      </vt:variant>
      <vt:variant>
        <vt:lpwstr>_Toc443050761</vt:lpwstr>
      </vt:variant>
      <vt:variant>
        <vt:i4>1376261</vt:i4>
      </vt:variant>
      <vt:variant>
        <vt:i4>50</vt:i4>
      </vt:variant>
      <vt:variant>
        <vt:i4>0</vt:i4>
      </vt:variant>
      <vt:variant>
        <vt:i4>5</vt:i4>
      </vt:variant>
      <vt:variant>
        <vt:lpwstr/>
      </vt:variant>
      <vt:variant>
        <vt:lpwstr>_Toc443050760</vt:lpwstr>
      </vt:variant>
      <vt:variant>
        <vt:i4>1441804</vt:i4>
      </vt:variant>
      <vt:variant>
        <vt:i4>44</vt:i4>
      </vt:variant>
      <vt:variant>
        <vt:i4>0</vt:i4>
      </vt:variant>
      <vt:variant>
        <vt:i4>5</vt:i4>
      </vt:variant>
      <vt:variant>
        <vt:lpwstr/>
      </vt:variant>
      <vt:variant>
        <vt:lpwstr>_Toc443050759</vt:lpwstr>
      </vt:variant>
      <vt:variant>
        <vt:i4>1441805</vt:i4>
      </vt:variant>
      <vt:variant>
        <vt:i4>38</vt:i4>
      </vt:variant>
      <vt:variant>
        <vt:i4>0</vt:i4>
      </vt:variant>
      <vt:variant>
        <vt:i4>5</vt:i4>
      </vt:variant>
      <vt:variant>
        <vt:lpwstr/>
      </vt:variant>
      <vt:variant>
        <vt:lpwstr>_Toc443050758</vt:lpwstr>
      </vt:variant>
      <vt:variant>
        <vt:i4>1441794</vt:i4>
      </vt:variant>
      <vt:variant>
        <vt:i4>32</vt:i4>
      </vt:variant>
      <vt:variant>
        <vt:i4>0</vt:i4>
      </vt:variant>
      <vt:variant>
        <vt:i4>5</vt:i4>
      </vt:variant>
      <vt:variant>
        <vt:lpwstr/>
      </vt:variant>
      <vt:variant>
        <vt:lpwstr>_Toc443050757</vt:lpwstr>
      </vt:variant>
      <vt:variant>
        <vt:i4>1441795</vt:i4>
      </vt:variant>
      <vt:variant>
        <vt:i4>26</vt:i4>
      </vt:variant>
      <vt:variant>
        <vt:i4>0</vt:i4>
      </vt:variant>
      <vt:variant>
        <vt:i4>5</vt:i4>
      </vt:variant>
      <vt:variant>
        <vt:lpwstr/>
      </vt:variant>
      <vt:variant>
        <vt:lpwstr>_Toc443050756</vt:lpwstr>
      </vt:variant>
      <vt:variant>
        <vt:i4>1441792</vt:i4>
      </vt:variant>
      <vt:variant>
        <vt:i4>20</vt:i4>
      </vt:variant>
      <vt:variant>
        <vt:i4>0</vt:i4>
      </vt:variant>
      <vt:variant>
        <vt:i4>5</vt:i4>
      </vt:variant>
      <vt:variant>
        <vt:lpwstr/>
      </vt:variant>
      <vt:variant>
        <vt:lpwstr>_Toc443050755</vt:lpwstr>
      </vt:variant>
      <vt:variant>
        <vt:i4>1441793</vt:i4>
      </vt:variant>
      <vt:variant>
        <vt:i4>14</vt:i4>
      </vt:variant>
      <vt:variant>
        <vt:i4>0</vt:i4>
      </vt:variant>
      <vt:variant>
        <vt:i4>5</vt:i4>
      </vt:variant>
      <vt:variant>
        <vt:lpwstr/>
      </vt:variant>
      <vt:variant>
        <vt:lpwstr>_Toc443050754</vt:lpwstr>
      </vt:variant>
      <vt:variant>
        <vt:i4>1441798</vt:i4>
      </vt:variant>
      <vt:variant>
        <vt:i4>8</vt:i4>
      </vt:variant>
      <vt:variant>
        <vt:i4>0</vt:i4>
      </vt:variant>
      <vt:variant>
        <vt:i4>5</vt:i4>
      </vt:variant>
      <vt:variant>
        <vt:lpwstr/>
      </vt:variant>
      <vt:variant>
        <vt:lpwstr>_Toc443050753</vt:lpwstr>
      </vt:variant>
      <vt:variant>
        <vt:i4>1835125</vt:i4>
      </vt:variant>
      <vt:variant>
        <vt:i4>3</vt:i4>
      </vt:variant>
      <vt:variant>
        <vt:i4>0</vt:i4>
      </vt:variant>
      <vt:variant>
        <vt:i4>5</vt:i4>
      </vt:variant>
      <vt:variant>
        <vt:lpwstr>https://www.thegef.org/gef/policies_guidelines/project_cancellation</vt:lpwstr>
      </vt:variant>
      <vt:variant>
        <vt:lpwstr/>
      </vt:variant>
      <vt:variant>
        <vt:i4>1310770</vt:i4>
      </vt:variant>
      <vt:variant>
        <vt:i4>0</vt:i4>
      </vt:variant>
      <vt:variant>
        <vt:i4>0</vt:i4>
      </vt:variant>
      <vt:variant>
        <vt:i4>5</vt:i4>
      </vt:variant>
      <vt:variant>
        <vt:lpwstr>http://palauembassymanila.ph/</vt:lpwstr>
      </vt:variant>
      <vt:variant>
        <vt:lpwstr/>
      </vt:variant>
      <vt:variant>
        <vt:i4>6553643</vt:i4>
      </vt:variant>
      <vt:variant>
        <vt:i4>9</vt:i4>
      </vt:variant>
      <vt:variant>
        <vt:i4>0</vt:i4>
      </vt:variant>
      <vt:variant>
        <vt:i4>5</vt:i4>
      </vt:variant>
      <vt:variant>
        <vt:lpwstr>https://info.undp.org/global/popp/ppm/Pages/Closing-a-Project.aspx</vt:lpwstr>
      </vt:variant>
      <vt:variant>
        <vt:lpwstr/>
      </vt:variant>
      <vt:variant>
        <vt:i4>3932266</vt:i4>
      </vt:variant>
      <vt:variant>
        <vt:i4>6</vt:i4>
      </vt:variant>
      <vt:variant>
        <vt:i4>0</vt:i4>
      </vt:variant>
      <vt:variant>
        <vt:i4>5</vt:i4>
      </vt:variant>
      <vt:variant>
        <vt:lpwstr>https://info.undp.org/global/popp/frm/pages/financial-management-and-execution-modalities.aspx</vt:lpwstr>
      </vt:variant>
      <vt:variant>
        <vt:lpwstr/>
      </vt:variant>
      <vt:variant>
        <vt:i4>2818084</vt:i4>
      </vt:variant>
      <vt:variant>
        <vt:i4>3</vt:i4>
      </vt:variant>
      <vt:variant>
        <vt:i4>0</vt:i4>
      </vt:variant>
      <vt:variant>
        <vt:i4>5</vt:i4>
      </vt:variant>
      <vt:variant>
        <vt:lpwstr>https://www.thegef.org/gef/gef_agencies</vt:lpwstr>
      </vt:variant>
      <vt:variant>
        <vt:lpwstr/>
      </vt:variant>
      <vt:variant>
        <vt:i4>852086</vt:i4>
      </vt:variant>
      <vt:variant>
        <vt:i4>0</vt:i4>
      </vt:variant>
      <vt:variant>
        <vt:i4>0</vt:i4>
      </vt:variant>
      <vt:variant>
        <vt:i4>5</vt:i4>
      </vt:variant>
      <vt:variant>
        <vt:lpwstr>https://www.thegef.org/gef/policies_guidelines</vt:lpwstr>
      </vt:variant>
      <vt:variant>
        <vt:lpwstr/>
      </vt:variant>
      <vt:variant>
        <vt:i4>1310770</vt:i4>
      </vt:variant>
      <vt:variant>
        <vt:i4>2114</vt:i4>
      </vt:variant>
      <vt:variant>
        <vt:i4>1025</vt:i4>
      </vt:variant>
      <vt:variant>
        <vt:i4>4</vt:i4>
      </vt:variant>
      <vt:variant>
        <vt:lpwstr>http://palauembassymanila.ph/</vt:lpwstr>
      </vt:variant>
      <vt:variant>
        <vt:lpwstr/>
      </vt:variant>
      <vt:variant>
        <vt:i4>1572894</vt:i4>
      </vt:variant>
      <vt:variant>
        <vt:i4>96254</vt:i4>
      </vt:variant>
      <vt:variant>
        <vt:i4>1027</vt:i4>
      </vt:variant>
      <vt:variant>
        <vt:i4>1</vt:i4>
      </vt:variant>
      <vt:variant>
        <vt:lpwstr>Current framework for mainstreaming biodiversity</vt:lpwstr>
      </vt:variant>
      <vt:variant>
        <vt:lpwstr/>
      </vt:variant>
      <vt:variant>
        <vt:i4>458843</vt:i4>
      </vt:variant>
      <vt:variant>
        <vt:i4>96887</vt:i4>
      </vt:variant>
      <vt:variant>
        <vt:i4>1028</vt:i4>
      </vt:variant>
      <vt:variant>
        <vt:i4>1</vt:i4>
      </vt:variant>
      <vt:variant>
        <vt:lpwstr>Current process of mainstreaming</vt:lpwstr>
      </vt:variant>
      <vt:variant>
        <vt:lpwstr/>
      </vt:variant>
      <vt:variant>
        <vt:i4>6226028</vt:i4>
      </vt:variant>
      <vt:variant>
        <vt:i4>100167</vt:i4>
      </vt:variant>
      <vt:variant>
        <vt:i4>1029</vt:i4>
      </vt:variant>
      <vt:variant>
        <vt:i4>1</vt:i4>
      </vt:variant>
      <vt:variant>
        <vt:lpwstr>Alternative Framework</vt:lpwstr>
      </vt:variant>
      <vt:variant>
        <vt:lpwstr/>
      </vt:variant>
      <vt:variant>
        <vt:i4>2555907</vt:i4>
      </vt:variant>
      <vt:variant>
        <vt:i4>100721</vt:i4>
      </vt:variant>
      <vt:variant>
        <vt:i4>1030</vt:i4>
      </vt:variant>
      <vt:variant>
        <vt:i4>1</vt:i4>
      </vt:variant>
      <vt:variant>
        <vt:lpwstr>Alternative Process</vt:lpwstr>
      </vt:variant>
      <vt:variant>
        <vt:lpwstr/>
      </vt:variant>
      <vt:variant>
        <vt:i4>7667754</vt:i4>
      </vt:variant>
      <vt:variant>
        <vt:i4>115224</vt:i4>
      </vt:variant>
      <vt:variant>
        <vt:i4>1031</vt:i4>
      </vt:variant>
      <vt:variant>
        <vt:i4>1</vt:i4>
      </vt:variant>
      <vt:variant>
        <vt:lpwstr>Future Output - Planning Structure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Annotated UNDP-GEF Project Document Template</dc:title>
  <dc:subject>Project Management</dc:subject>
  <dc:creator>Patrick Gremillet</dc:creator>
  <cp:keywords/>
  <dc:description/>
  <cp:lastModifiedBy>Velavela Serukalou</cp:lastModifiedBy>
  <cp:revision>3</cp:revision>
  <cp:lastPrinted>2017-08-20T14:24:00Z</cp:lastPrinted>
  <dcterms:created xsi:type="dcterms:W3CDTF">2017-08-24T21:31:00Z</dcterms:created>
  <dcterms:modified xsi:type="dcterms:W3CDTF">2017-08-28T02:36:00Z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69907112-4827-4077-9128-24c93836cf53</vt:lpwstr>
  </property>
  <property fmtid="{D5CDD505-2E9C-101B-9397-08002B2CF9AE}" pid="4" name="_dlc_DocId">
    <vt:lpwstr>UNITOFFICE-80-84</vt:lpwstr>
  </property>
  <property fmtid="{D5CDD505-2E9C-101B-9397-08002B2CF9AE}" pid="5" name="_dlc_DocIdUrl">
    <vt:lpwstr>https://intranet.undp.org/unit/office/exo/_layouts/DocIdRedir.aspx?ID=UNITOFFICE-80-84, UNITOFFICE-80-84</vt:lpwstr>
  </property>
  <property fmtid="{D5CDD505-2E9C-101B-9397-08002B2CF9AE}" pid="6" name="Category">
    <vt:lpwstr>Project Development Phase</vt:lpwstr>
  </property>
  <property fmtid="{D5CDD505-2E9C-101B-9397-08002B2CF9AE}" pid="7" name="Description0">
    <vt:lpwstr>Annotated ProDoc Template</vt:lpwstr>
  </property>
  <property fmtid="{D5CDD505-2E9C-101B-9397-08002B2CF9AE}" pid="8" name="UNDPCountry">
    <vt:lpwstr/>
  </property>
  <property fmtid="{D5CDD505-2E9C-101B-9397-08002B2CF9AE}" pid="9" name="UNDPDocumentCategory">
    <vt:lpwstr/>
  </property>
  <property fmtid="{D5CDD505-2E9C-101B-9397-08002B2CF9AE}" pid="10" name="UN Languages">
    <vt:lpwstr>1;#English|7f98b732-4b5b-4b70-ba90-a0eff09b5d2d</vt:lpwstr>
  </property>
  <property fmtid="{D5CDD505-2E9C-101B-9397-08002B2CF9AE}" pid="11" name="Operating Unit0">
    <vt:lpwstr>1118;#PLW|1f32e253-91c5-418f-9333-14e8d2b7af07</vt:lpwstr>
  </property>
  <property fmtid="{D5CDD505-2E9C-101B-9397-08002B2CF9AE}" pid="12" name="Atlas Document Status">
    <vt:lpwstr>763;#Draft|121d40a5-e62e-4d42-82e4-d6d12003de0a</vt:lpwstr>
  </property>
  <property fmtid="{D5CDD505-2E9C-101B-9397-08002B2CF9AE}" pid="13" name="Atlas Document Type">
    <vt:lpwstr>1110;#Prodoc|099f975e-b4d9-4bba-a499-dbcc387c61ad</vt:lpwstr>
  </property>
  <property fmtid="{D5CDD505-2E9C-101B-9397-08002B2CF9AE}" pid="14" name="eRegFilingCodeMM">
    <vt:lpwstr/>
  </property>
  <property fmtid="{D5CDD505-2E9C-101B-9397-08002B2CF9AE}" pid="15" name="UndpUnitMM">
    <vt:lpwstr/>
  </property>
  <property fmtid="{D5CDD505-2E9C-101B-9397-08002B2CF9AE}" pid="16" name="UNDPFocusAreas">
    <vt:lpwstr>296;#Environment and Energy|507850c5-118d-4c78-99b1-c760df552b10</vt:lpwstr>
  </property>
  <property fmtid="{D5CDD505-2E9C-101B-9397-08002B2CF9AE}" pid="17" name="UndpDocTypeMM">
    <vt:lpwstr/>
  </property>
  <property fmtid="{D5CDD505-2E9C-101B-9397-08002B2CF9AE}" pid="18" name="DocumentSetDescription">
    <vt:lpwstr/>
  </property>
  <property fmtid="{D5CDD505-2E9C-101B-9397-08002B2CF9AE}" pid="19" name="UnitTaxHTField0">
    <vt:lpwstr/>
  </property>
  <property fmtid="{D5CDD505-2E9C-101B-9397-08002B2CF9AE}" pid="20" name="Unit">
    <vt:lpwstr/>
  </property>
  <property fmtid="{D5CDD505-2E9C-101B-9397-08002B2CF9AE}" pid="21" name="URL">
    <vt:lpwstr/>
  </property>
</Properties>
</file>